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JSZC-320200-XWJC-G2025-0084</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无锡市第二人民医院麻醉机（二）项目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九</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513029200"/>
      <w:r/>
      <w:bookmarkStart w:id="3" w:name="_Toc16938516"/>
      <w:r/>
      <w:bookmarkStart w:id="4" w:name="_Toc479757206"/>
      <w:r/>
      <w:bookmarkStart w:id="5" w:name="_Toc20823272"/>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4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48"/>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48"/>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1"/>
        <w:ind w:firstLine="0"/>
        <w:rPr>
          <w:highlight w:val="none"/>
        </w:rPr>
      </w:pPr>
      <w:r>
        <w:rPr>
          <w:highlight w:val="none"/>
        </w:rPr>
      </w:r>
      <w:r/>
    </w:p>
    <w:p>
      <w:pPr>
        <w:pStyle w:val="731"/>
        <w:ind w:firstLine="0"/>
        <w:rPr>
          <w:highlight w:val="none"/>
        </w:rPr>
      </w:pPr>
      <w:r>
        <w:rPr>
          <w:highlight w:val="none"/>
        </w:rPr>
      </w:r>
      <w:r/>
    </w:p>
    <w:p>
      <w:pPr>
        <w:pStyle w:val="731"/>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无锡市第二人民医院麻醉机（二）项目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JSZC-320200-XWJC-G2025-0084</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无锡市第二人民医院麻醉机（二）项目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10月16日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JSZC-320200-XWJC-G2025-0084</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无锡市第二人民医院麻醉机（二）项目</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150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5台</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135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8985264"/>
      <w:r/>
      <w:bookmarkStart w:id="13" w:name="_Toc35393622"/>
      <w:r/>
      <w:bookmarkStart w:id="14" w:name="_Toc28359080"/>
      <w:r/>
      <w:bookmarkStart w:id="15" w:name="_Toc35393791"/>
      <w:r/>
      <w:bookmarkStart w:id="16" w:name="_Toc28359003"/>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2.1中小企业政策：本项目非专门面向中小企业；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10月16日</w:t>
      </w: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07"/>
      <w:r/>
      <w:bookmarkStart w:id="28" w:name="_Toc35393794"/>
      <w:r/>
      <w:bookmarkStart w:id="29" w:name="_Toc38985267"/>
      <w:r/>
      <w:bookmarkStart w:id="30" w:name="_Toc28359084"/>
      <w:r/>
      <w:bookmarkStart w:id="31" w:name="_Toc35393625"/>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28359085"/>
      <w:r/>
      <w:bookmarkStart w:id="36" w:name="_Toc35393796"/>
      <w:r/>
      <w:bookmarkStart w:id="37" w:name="_Toc35393627"/>
      <w:r/>
      <w:bookmarkStart w:id="38" w:name="_Toc28359008"/>
      <w:r/>
      <w:bookmarkStart w:id="39" w:name="_Toc38985269"/>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16938519"/>
      <w:r/>
      <w:bookmarkStart w:id="48" w:name="_Toc20823275"/>
      <w:r/>
      <w:bookmarkStart w:id="49" w:name="_Toc513029203"/>
      <w:r/>
      <w:bookmarkStart w:id="50" w:name="_Toc120614214"/>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20823277"/>
      <w:r/>
      <w:bookmarkStart w:id="56" w:name="_Toc16938521"/>
      <w:r/>
      <w:bookmarkStart w:id="57" w:name="_Toc513029205"/>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513029207"/>
      <w:r/>
      <w:bookmarkStart w:id="62" w:name="_Toc16938523"/>
      <w:r/>
      <w:bookmarkStart w:id="63" w:name="_Toc20823279"/>
      <w:r/>
      <w:bookmarkStart w:id="64" w:name="_Toc462564067"/>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120614215"/>
      <w:r/>
      <w:bookmarkStart w:id="66" w:name="_Toc20823281"/>
      <w:r/>
      <w:bookmarkStart w:id="67" w:name="_Toc513029209"/>
      <w:r/>
      <w:bookmarkStart w:id="68" w:name="_Toc16938525"/>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sz w:val="24"/>
          <w:highlight w:val="none"/>
        </w:rPr>
        <w:t xml:space="preserve">答疑会时间：2025年</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日14:00</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20823284"/>
      <w:r/>
      <w:bookmarkStart w:id="77" w:name="_Toc462564071"/>
      <w:r/>
      <w:bookmarkStart w:id="78" w:name="_Toc513029212"/>
      <w:r/>
      <w:bookmarkStart w:id="79" w:name="_Toc16938528"/>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120614216"/>
      <w:r/>
      <w:bookmarkStart w:id="81" w:name="_Toc513029213"/>
      <w:r/>
      <w:bookmarkStart w:id="82" w:name="_Toc462564072"/>
      <w:r/>
      <w:bookmarkStart w:id="83" w:name="_Toc16938529"/>
      <w:r/>
      <w:bookmarkStart w:id="84" w:name="_Toc20823285"/>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20823286"/>
      <w:r/>
      <w:bookmarkStart w:id="86" w:name="_Toc16938530"/>
      <w:r/>
      <w:bookmarkStart w:id="87" w:name="_Toc513029214"/>
      <w:r/>
      <w:bookmarkStart w:id="88" w:name="_Toc462564073"/>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462564074"/>
      <w:r/>
      <w:bookmarkStart w:id="90" w:name="_Toc20823287"/>
      <w:r/>
      <w:bookmarkStart w:id="91" w:name="_Toc16938531"/>
      <w:r/>
      <w:bookmarkStart w:id="92" w:name="_Toc513029215"/>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49090507"/>
      <w:r/>
      <w:bookmarkStart w:id="97" w:name="_Toc14577354"/>
      <w:r/>
      <w:bookmarkStart w:id="98" w:name="_Toc513029219"/>
      <w:r/>
      <w:bookmarkStart w:id="99" w:name="_Toc49090509"/>
      <w:r/>
      <w:bookmarkStart w:id="100" w:name="_Toc513029216"/>
      <w:r/>
      <w:bookmarkStart w:id="101" w:name="_Toc14577357"/>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954842"/>
      <w:r/>
      <w:bookmarkEnd w:id="108"/>
      <w:r/>
      <w:bookmarkStart w:id="109" w:name="_Hlt26954731"/>
      <w:r/>
      <w:bookmarkEnd w:id="109"/>
      <w:r/>
      <w:bookmarkStart w:id="110" w:name="_Hlt26670425"/>
      <w:r/>
      <w:bookmarkEnd w:id="110"/>
      <w:r/>
      <w:bookmarkStart w:id="111" w:name="_Hlt26954844"/>
      <w:r/>
      <w:bookmarkEnd w:id="111"/>
      <w:r/>
      <w:bookmarkStart w:id="112" w:name="_Hlt26670486"/>
      <w:r/>
      <w:bookmarkEnd w:id="112"/>
      <w:r/>
      <w:bookmarkStart w:id="113" w:name="_Hlt26670403"/>
      <w:r/>
      <w:bookmarkEnd w:id="113"/>
      <w:r/>
      <w:bookmarkStart w:id="114" w:name="_Hlt26668983"/>
      <w:r/>
      <w:bookmarkEnd w:id="114"/>
      <w:r/>
      <w:bookmarkStart w:id="115" w:name="_Hlt26670482"/>
      <w:r/>
      <w:bookmarkEnd w:id="115"/>
      <w:r/>
      <w:bookmarkStart w:id="116" w:name="_Hlt26954848"/>
      <w:r/>
      <w:bookmarkEnd w:id="116"/>
      <w:r/>
      <w:bookmarkStart w:id="117" w:name="_Hlt26954846"/>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20823297"/>
      <w:r/>
      <w:bookmarkStart w:id="130" w:name="_Toc462564084"/>
      <w:r/>
      <w:bookmarkStart w:id="131" w:name="_Toc513029225"/>
      <w:r/>
      <w:bookmarkStart w:id="132" w:name="_Toc16938541"/>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16938545"/>
      <w:r/>
      <w:bookmarkStart w:id="143" w:name="_Toc20823301"/>
      <w:r/>
      <w:bookmarkStart w:id="144" w:name="_Toc120614218"/>
      <w:r/>
      <w:bookmarkStart w:id="145" w:name="_Toc513029229"/>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16938550"/>
      <w:r/>
      <w:bookmarkStart w:id="159" w:name="_Toc513029234"/>
      <w:r/>
      <w:bookmarkStart w:id="160" w:name="_Toc20823306"/>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0"/>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120614220"/>
      <w:r/>
      <w:bookmarkStart w:id="170" w:name="_Toc513029236"/>
      <w:r/>
      <w:bookmarkStart w:id="171" w:name="_Toc20823308"/>
      <w:r/>
      <w:bookmarkStart w:id="172" w:name="_Toc16938552"/>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4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6938558"/>
      <w:r/>
      <w:bookmarkStart w:id="177" w:name="_Toc120614221"/>
      <w:r/>
      <w:bookmarkStart w:id="178" w:name="_Toc513029242"/>
      <w:r/>
      <w:bookmarkStart w:id="179" w:name="_Toc479757207"/>
      <w:r/>
      <w:bookmarkStart w:id="180" w:name="_Toc20823314"/>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7"/>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6.1乙方交纳人民币___元作为本合同的履约保证金。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预付款支付时间：合同</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生效后</w:t>
      </w:r>
      <w:r>
        <w:rPr>
          <w:rFonts w:hint="eastAsia" w:ascii="宋体" w:hAnsi="宋体" w:cs="Courier New"/>
          <w:bCs/>
          <w:color w:val="000000" w:themeColor="text1"/>
          <w:sz w:val="24"/>
          <w:szCs w:val="24"/>
          <w:highlight w:val="none"/>
          <w14:textFill>
            <w14:solidFill>
              <w14:schemeClr w14:val="tx1"/>
            </w14:solidFill>
          </w14:textFill>
        </w:rPr>
        <w:t xml:space="preserve">，预付款支付比例：合同金额的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计人民币</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2验收款支付时间：设备安装验收合格正常使用三个月并开具全额发票后，</w:t>
      </w:r>
      <w:r>
        <w:rPr>
          <w:rFonts w:hint="eastAsia" w:ascii="宋体" w:hAnsi="宋体" w:cs="Courier New"/>
          <w:bCs/>
          <w:color w:val="000000" w:themeColor="text1"/>
          <w:sz w:val="24"/>
          <w:szCs w:val="24"/>
          <w:highlight w:val="none"/>
          <w14:textFill>
            <w14:solidFill>
              <w14:schemeClr w14:val="tx1"/>
            </w14:solidFill>
          </w14:textFill>
        </w:rPr>
        <w:t xml:space="preserve">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bCs/>
          <w:color w:val="000000" w:themeColor="text1"/>
          <w:sz w:val="24"/>
          <w:szCs w:val="24"/>
          <w:highlight w:val="none"/>
          <w14:textFill>
            <w14:solidFill>
              <w14:schemeClr w14:val="tx1"/>
            </w14:solidFill>
          </w14:textFill>
        </w:rPr>
        <w:t xml:space="preserve">尾款支付时间：</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设备正常使用一年后，</w:t>
      </w:r>
      <w:r>
        <w:rPr>
          <w:rFonts w:hint="eastAsia" w:ascii="宋体" w:hAnsi="宋体" w:cs="Courier New"/>
          <w:bCs/>
          <w:color w:val="000000" w:themeColor="text1"/>
          <w:sz w:val="24"/>
          <w:szCs w:val="24"/>
          <w:highlight w:val="none"/>
          <w14:textFill>
            <w14:solidFill>
              <w14:schemeClr w14:val="tx1"/>
            </w14:solidFill>
          </w14:textFill>
        </w:rPr>
        <w:t xml:space="preserve">尾款支付比例：合同金额的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lang w:val="en-US" w:eastAsia="zh-CN"/>
          <w14:textFill>
            <w14:solidFill>
              <w14:schemeClr w14:val="tx1"/>
            </w14:solidFill>
          </w14:textFill>
        </w:rPr>
        <w:t xml:space="preserve">8.2</w:t>
      </w:r>
      <w:r>
        <w:rPr>
          <w:rFonts w:hint="default" w:ascii="宋体" w:hAnsi="宋体" w:eastAsia="宋体" w:cs="Courier New"/>
          <w:bCs/>
          <w:color w:val="000000" w:themeColor="text1"/>
          <w:sz w:val="24"/>
          <w:szCs w:val="24"/>
          <w:highlight w:val="none"/>
          <w14:textFill>
            <w14:solidFill>
              <w14:schemeClr w14:val="tx1"/>
            </w14:solidFill>
          </w14:textFill>
        </w:rPr>
        <w:t xml:space="preserve">如果中标人为中小企业，按《保障中小企业款项支付条例》</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国令第 802号</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相关要求执行。</w:t>
      </w:r>
      <w:r>
        <w:rPr>
          <w:rFonts w:hint="eastAsia" w:ascii="宋体" w:hAnsi="宋体" w:eastAsia="宋体" w:cs="Courier New"/>
          <w:bCs/>
          <w:color w:val="000000" w:themeColor="text1"/>
          <w:sz w:val="24"/>
          <w:szCs w:val="24"/>
          <w:highlight w:val="none"/>
          <w14:textFill>
            <w14:solidFill>
              <w14:schemeClr w14:val="tx1"/>
            </w14:solidFill>
          </w14:textFill>
        </w:rPr>
        <w:t xml:space="preserve">（因供方延迟开具发票及相关资料等，需方有权延迟付款）</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1、根据《财政部办公厅关于进一步提高政府采购透明度和采购效率相关事项的通知》（财办库〔2023〕243号）相关要求，采购人要进一步落实《关于促进政府采购公平竞争优化营商环境的通知》(财库〔2019〕38号)有关要求，在政府采</w:t>
      </w:r>
      <w:r>
        <w:rPr>
          <w:rFonts w:hint="eastAsia" w:hAnsi="宋体"/>
          <w:bCs/>
          <w:color w:val="000000" w:themeColor="text1"/>
          <w:sz w:val="24"/>
          <w:szCs w:val="24"/>
          <w:highlight w:val="none"/>
          <w14:textFill>
            <w14:solidFill>
              <w14:schemeClr w14:val="tx1"/>
            </w14:solidFill>
          </w14:textFill>
        </w:rPr>
        <w:t xml:space="preserve">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根据《保障中小企业款项支付条例》（国令第802号）相关要求，机关、事业单位从中小企业采购货物、工程、服务，应当自货物、工程、服务交付之日起30日内支付款项；合同另有约定的，从其约定，但付款期限最长不得超过60日。）</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终身</w:t>
      </w:r>
      <w:r>
        <w:rPr>
          <w:rFonts w:hint="eastAsia" w:ascii="宋体" w:hAnsi="宋体" w:cs="Courier New"/>
          <w:color w:val="000000" w:themeColor="text1"/>
          <w:sz w:val="24"/>
          <w:szCs w:val="24"/>
          <w:highlight w:val="none"/>
          <w:lang w:eastAsia="zh-CN"/>
          <w14:textFill>
            <w14:solidFill>
              <w14:schemeClr w14:val="tx1"/>
            </w14:solidFill>
          </w14:textFill>
        </w:rPr>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val="en-US" w:eastAsia="zh-CN"/>
          <w14:textFill>
            <w14:solidFill>
              <w14:schemeClr w14:val="tx1"/>
            </w14:solidFill>
          </w14:textFill>
        </w:rPr>
        <w:t xml:space="preserve">麻醉机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一、设备名称：麻醉机</w:t>
      </w:r>
      <w:r/>
    </w:p>
    <w:p>
      <w:pPr>
        <w:ind w:firstLine="482"/>
        <w:jc w:val="both"/>
        <w:keepLines w:val="0"/>
        <w:keepNext w:val="0"/>
        <w:pageBreakBefore w:val="0"/>
        <w:spacing w:line="360" w:lineRule="auto"/>
        <w:shd w:val="clear" w:color="auto" w:fill="ffffff"/>
        <w:widowControl/>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二、数量：</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5台</w:t>
      </w:r>
      <w:r/>
    </w:p>
    <w:p>
      <w:pPr>
        <w:ind w:firstLine="482"/>
        <w:jc w:val="both"/>
        <w:keepLines w:val="0"/>
        <w:keepNext w:val="0"/>
        <w:pageBreakBefore w:val="0"/>
        <w:spacing w:line="360" w:lineRule="auto"/>
        <w:shd w:val="clear" w:color="auto" w:fill="ffffff"/>
        <w:widowControl/>
        <w:rPr>
          <w:rFonts w:hint="default" w:ascii="宋体" w:hAnsi="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预算：</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150</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万元</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，30万元/台</w:t>
      </w:r>
      <w:r/>
    </w:p>
    <w:p>
      <w:pPr>
        <w:ind w:firstLine="482"/>
        <w:jc w:val="both"/>
        <w:keepLines w:val="0"/>
        <w:keepNext w:val="0"/>
        <w:pageBreakBefore w:val="0"/>
        <w:spacing w:line="360" w:lineRule="auto"/>
        <w:shd w:val="clear" w:color="auto" w:fill="ffffff"/>
        <w:widowControl/>
        <w:rPr>
          <w:rFonts w:hint="default" w:ascii="宋体" w:hAnsi="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    （2）最高限价：135万元，27万元/台</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四、设备用途说明：用于对成人、儿童和</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婴幼儿</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的吸入麻醉及呼吸管理。</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五、交货日期：合同签订后</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60</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天</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六、投标时要求提供原厂家的技术参数表，评标以此为准</w:t>
      </w:r>
      <w:r/>
    </w:p>
    <w:p>
      <w:pPr>
        <w:ind w:firstLine="482"/>
        <w:jc w:val="both"/>
        <w:keepLines w:val="0"/>
        <w:keepNext w:val="0"/>
        <w:pageBreakBefore w:val="0"/>
        <w:spacing w:line="360" w:lineRule="auto"/>
        <w:shd w:val="clear" w:color="auto" w:fill="ffffff"/>
        <w:widowControl/>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七、具有“中华人民共和国医疗器械注册证”</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八、本项目允许进口产品参与</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九、本项目不接受联合体投标</w:t>
      </w:r>
      <w:r/>
    </w:p>
    <w:p>
      <w:pPr>
        <w:ind w:firstLine="482"/>
        <w:jc w:val="both"/>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★十、功能需求与技术参数</w:t>
      </w:r>
      <w:r/>
    </w:p>
    <w:p>
      <w:pPr>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（一）功能配置及要求</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1、麻醉机（双挥发罐位）5台</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2、七氟醚挥发罐5个</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3、钠石灰罐5个</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4、加药器5支</w:t>
      </w:r>
      <w:r/>
    </w:p>
    <w:p>
      <w:pPr>
        <w:ind w:firstLine="480"/>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技术参数</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1、彩色触摸显示屏≥12英寸，内置蓄电池续航≥45分钟。</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2、呼吸模式≥7种，至少包括手动模式、自主呼吸模式、容量控制模式、压力控制模式、容控同步间歇指令通气模式、压控同步间歇指令通气模式、心脏体外循环模式等。</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3、数据监测：潮气量、呼吸频率、分钟通气量、峰压、平均压、平台压、PEEP等。</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4、呼气末正压PEEP（非0/OFF值）：下限≤4cmH</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O、上限≥20cmH</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O</w:t>
      </w:r>
      <w:r>
        <w:rPr>
          <w:rFonts w:hint="eastAsia" w:ascii="宋体" w:hAnsi="宋体" w:cs="宋体"/>
          <w:sz w:val="24"/>
          <w:szCs w:val="24"/>
          <w:lang w:val="en-US" w:eastAsia="zh-CN"/>
        </w:rPr>
        <w:t xml:space="preserve">，</w:t>
      </w:r>
      <w:r>
        <w:rPr>
          <w:rFonts w:hint="eastAsia" w:ascii="宋体" w:hAnsi="宋体" w:eastAsia="宋体" w:cs="宋体"/>
          <w:b/>
          <w:bCs/>
          <w:sz w:val="24"/>
          <w:szCs w:val="24"/>
          <w:lang w:val="en-US" w:eastAsia="zh-CN"/>
        </w:rPr>
        <w:t xml:space="preserve">提供实物照片。</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5、容量控制模式下最小潮气量≤</w:t>
      </w:r>
      <w:r>
        <w:rPr>
          <w:rFonts w:hint="default" w:ascii="宋体" w:hAnsi="宋体" w:eastAsia="宋体" w:cs="宋体"/>
          <w:sz w:val="24"/>
          <w:szCs w:val="24"/>
          <w:lang w:val="en-US" w:eastAsia="zh-CN"/>
        </w:rPr>
        <w:t xml:space="preserve">20</w:t>
      </w:r>
      <w:r>
        <w:rPr>
          <w:rFonts w:hint="eastAsia" w:ascii="宋体" w:hAnsi="宋体" w:eastAsia="宋体" w:cs="宋体"/>
          <w:sz w:val="24"/>
          <w:szCs w:val="24"/>
          <w:lang w:val="en-US" w:eastAsia="zh-CN"/>
        </w:rPr>
        <w:t xml:space="preserve">mL。</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6、氧浓度监测采用顺磁氧技术。</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7、提供主动式麻醉废气排放装置。</w:t>
      </w:r>
      <w:r/>
    </w:p>
    <w:p>
      <w:pPr>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、内置双流量传感器。若为铂金丝式流量传感器，需配≥10个/台。</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14:textFill>
            <w14:solidFill>
              <w14:schemeClr w14:val="tx1"/>
            </w14:solidFill>
          </w14:textFill>
        </w:rPr>
        <w:t xml:space="preserve">、商务需求</w:t>
      </w:r>
      <w:r/>
    </w:p>
    <w:p>
      <w:pPr>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sz w:val="24"/>
          <w:szCs w:val="24"/>
        </w:rPr>
        <w:t xml:space="preserve">1、售后服务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1.2整机厂家全保保修期为≥三年。</w:t>
      </w:r>
      <w:r>
        <w:rPr>
          <w:rFonts w:hint="eastAsia" w:ascii="宋体" w:hAnsi="宋体" w:eastAsia="宋体" w:cs="宋体"/>
          <w:sz w:val="24"/>
          <w:szCs w:val="24"/>
          <w:highlight w:val="none"/>
        </w:rPr>
        <w:t xml:space="preserve">保</w:t>
      </w:r>
      <w:r>
        <w:rPr>
          <w:rFonts w:hint="eastAsia" w:ascii="宋体" w:hAnsi="宋体" w:eastAsia="宋体" w:cs="宋体"/>
          <w:sz w:val="24"/>
          <w:szCs w:val="24"/>
        </w:rPr>
        <w:t xml:space="preserve">修期内每年厂家提供定期预防性维护保养次数≥4次，并提供维修工单及保养报告。卖方须保证提供终身的优质服务，出保后人工费为零，配件≤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折。年度保修合同价不高于设备总价的4%。</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1.4如设备出现故障，报修响应时间≤2小时，工程人员到场时间≤12小时。不可抗因素除外。主要耗材及零配件应能确保库存</w:t>
      </w:r>
      <w:r>
        <w:rPr>
          <w:rFonts w:hint="eastAsia" w:ascii="宋体" w:hAnsi="宋体" w:cs="宋体"/>
          <w:sz w:val="24"/>
          <w:szCs w:val="24"/>
          <w:lang w:val="en-US" w:eastAsia="zh-CN"/>
        </w:rPr>
        <w:t xml:space="preserve">且为原厂全新</w:t>
      </w:r>
      <w:r>
        <w:rPr>
          <w:rFonts w:hint="eastAsia" w:ascii="宋体" w:hAnsi="宋体" w:eastAsia="宋体" w:cs="宋体"/>
          <w:sz w:val="24"/>
          <w:szCs w:val="24"/>
        </w:rPr>
        <w:t xml:space="preserve">，及时供应（须列出全部专机专用耗材及主要零配件的清单及优惠价格）。保修期满后，若买方自行进行故障维修，卖方需要提供相关技术支持，包括提供相关机器密码。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售后服务所有条款提供承诺书（格式可自拟），并加盖投标人</w:t>
      </w:r>
      <w:r>
        <w:rPr>
          <w:rFonts w:hint="eastAsia" w:ascii="宋体" w:hAnsi="宋体" w:eastAsia="宋体" w:cs="宋体"/>
          <w:b w:val="0"/>
          <w:bCs w:val="0"/>
          <w:sz w:val="24"/>
          <w:szCs w:val="24"/>
          <w:lang w:val="en-US" w:eastAsia="zh-CN"/>
        </w:rPr>
        <w:t xml:space="preserve">和厂家</w:t>
      </w:r>
      <w:r>
        <w:rPr>
          <w:rFonts w:hint="eastAsia" w:ascii="宋体" w:hAnsi="宋体" w:eastAsia="宋体" w:cs="宋体"/>
          <w:b w:val="0"/>
          <w:bCs w:val="0"/>
          <w:sz w:val="24"/>
          <w:szCs w:val="24"/>
        </w:rPr>
        <w:t xml:space="preserve">公章</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如供应商调整，厂家负责落实相关责任。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2、验收标准：供方提供的商品必须符合我国最新颁布</w:t>
      </w:r>
      <w:r>
        <w:rPr>
          <w:rFonts w:hint="eastAsia" w:ascii="宋体" w:hAnsi="宋体" w:eastAsia="宋体" w:cs="宋体"/>
          <w:sz w:val="24"/>
          <w:szCs w:val="24"/>
          <w:lang w:eastAsia="zh-CN"/>
        </w:rPr>
        <w:t xml:space="preserve">地与之</w:t>
      </w:r>
      <w:r>
        <w:rPr>
          <w:rFonts w:hint="eastAsia" w:ascii="宋体" w:hAnsi="宋体" w:eastAsia="宋体" w:cs="宋体"/>
          <w:sz w:val="24"/>
          <w:szCs w:val="24"/>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4、交货条件：产品交货时，包装完整无破损，还必须提供以下材料：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（1）装箱单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（3）供方需要提供进口商品检验检疫证明（进口产品适用）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5、运输及到货地点：由供方负责办理运输及装卸，直接送至需方所在地，所有费用由供方承担。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6、付款方式：合同生效之后预付合同总价30%；设备安装验收合格正常使用三个月并开具全额发票</w:t>
      </w:r>
      <w:r>
        <w:rPr>
          <w:rFonts w:hint="eastAsia" w:ascii="宋体" w:hAnsi="宋体" w:eastAsia="宋体" w:cs="宋体"/>
          <w:sz w:val="24"/>
          <w:szCs w:val="24"/>
          <w:lang w:eastAsia="zh-CN"/>
        </w:rPr>
        <w:t xml:space="preserve">后支</w:t>
      </w:r>
      <w:r>
        <w:rPr>
          <w:rFonts w:hint="eastAsia" w:ascii="宋体" w:hAnsi="宋体" w:eastAsia="宋体" w:cs="宋体"/>
          <w:sz w:val="24"/>
          <w:szCs w:val="24"/>
        </w:rPr>
        <w:t xml:space="preserve">付合同总价的40%；正常使用一年后付款30%。</w:t>
      </w:r>
      <w:r>
        <w:rPr>
          <w:rFonts w:hint="default" w:ascii="宋体" w:hAnsi="宋体" w:eastAsia="宋体" w:cs="宋体"/>
          <w:sz w:val="24"/>
          <w:szCs w:val="24"/>
        </w:rPr>
        <w:t xml:space="preserve">如果中标人为中小企业，按《保障中小企业款项支付条例》</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国令第 802号</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相关要求执行。</w:t>
      </w:r>
      <w:r>
        <w:rPr>
          <w:rFonts w:hint="eastAsia" w:ascii="宋体" w:hAnsi="宋体" w:eastAsia="宋体" w:cs="宋体"/>
          <w:sz w:val="24"/>
          <w:szCs w:val="24"/>
        </w:rPr>
        <w:t xml:space="preserve">（因供方延迟开具发票及相关资料等，需方有权延迟付款）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w:t>
      </w:r>
      <w:r>
        <w:rPr>
          <w:rFonts w:hint="eastAsia" w:ascii="宋体" w:hAnsi="宋体" w:eastAsia="宋体" w:cs="宋体"/>
          <w:sz w:val="24"/>
          <w:szCs w:val="24"/>
          <w:highlight w:val="none"/>
        </w:rPr>
        <w:t xml:space="preserve">、具备数字化接口的设备应承诺免费开放该接口，由供应商配合与医院系统相连接并承担相关费用</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9、具有汉字字库、中文支持的系统及中文文档的设备应承诺免费提供该系统，暂不具备的应承诺如日后具备此系统后免费向用户提供</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10、设备使用年限内，</w:t>
      </w:r>
      <w:r>
        <w:rPr>
          <w:rFonts w:hint="eastAsia" w:ascii="宋体" w:hAnsi="宋体" w:eastAsia="宋体" w:cs="宋体"/>
          <w:b/>
          <w:bCs/>
          <w:sz w:val="24"/>
          <w:szCs w:val="24"/>
        </w:rPr>
        <w:t xml:space="preserve">生产厂家</w:t>
      </w:r>
      <w:r>
        <w:rPr>
          <w:rFonts w:hint="eastAsia" w:ascii="宋体" w:hAnsi="宋体" w:eastAsia="宋体" w:cs="宋体"/>
          <w:sz w:val="24"/>
          <w:szCs w:val="24"/>
        </w:rPr>
        <w:t xml:space="preserve">应承诺保证配件、耗材的供应；若因设备升级等原因导致配件、耗材价格提高，或已无法正常供应配件、耗材时，采购人有权要求生产厂家按折旧后的价格将设备回购</w:t>
      </w:r>
      <w:r>
        <w:rPr>
          <w:rFonts w:hint="eastAsia" w:ascii="宋体" w:hAnsi="宋体" w:eastAsia="宋体" w:cs="宋体"/>
          <w:b w:val="0"/>
          <w:bCs w:val="0"/>
          <w:sz w:val="24"/>
          <w:szCs w:val="24"/>
          <w:highlight w:val="none"/>
        </w:rPr>
        <w:t xml:space="preserve">（提供《关于所投设备的配件、耗材供应情况的承诺函》参考格式）</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31"/>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3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7"/>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976"/>
        <w:gridCol w:w="784"/>
        <w:gridCol w:w="743"/>
      </w:tblGrid>
      <w:tr>
        <w:trPr>
          <w:trHeight w:val="62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22"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32"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最小触发流量</w:t>
            </w:r>
            <w:r>
              <w:rPr>
                <w:rFonts w:hint="eastAsia" w:ascii="宋体" w:hAnsi="宋体" w:eastAsia="宋体" w:cs="宋体"/>
                <w:i w:val="0"/>
                <w:iCs w:val="0"/>
                <w:color w:val="000000"/>
                <w:sz w:val="24"/>
                <w:szCs w:val="24"/>
                <w:highlight w:val="none"/>
                <w:u w:val="none"/>
                <w:lang w:val="en-US" w:eastAsia="zh-CN" w:bidi="ar"/>
              </w:rPr>
              <w:t xml:space="preserve">（L/min）：≤0.1得3分，0.1＜流量≤0.2得2分，</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得1分，其他不得分</w:t>
            </w:r>
            <w:r/>
          </w:p>
        </w:tc>
        <w:tc>
          <w:tcPr>
            <w:shd w:val="clear" w:color="auto" w:fill="auto"/>
            <w:tcBorders>
              <w:top w:val="single" w:color="000000" w:sz="4" w:space="0"/>
              <w:left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95"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peep设置值可从0开始连续不间断连续调节得3分（步长为1cmH</w:t>
            </w:r>
            <w:r>
              <w:rPr>
                <w:rFonts w:hint="eastAsia" w:ascii="宋体" w:hAnsi="宋体" w:eastAsia="宋体" w:cs="宋体"/>
                <w:i w:val="0"/>
                <w:iCs w:val="0"/>
                <w:color w:val="000000"/>
                <w:sz w:val="24"/>
                <w:szCs w:val="24"/>
                <w:u w:val="none"/>
                <w:vertAlign w:val="subscript"/>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O），</w:t>
            </w:r>
            <w:r>
              <w:rPr>
                <w:rFonts w:hint="eastAsia" w:ascii="宋体" w:hAnsi="宋体" w:eastAsia="宋体" w:cs="宋体"/>
                <w:i w:val="0"/>
                <w:iCs w:val="0"/>
                <w:color w:val="000000"/>
                <w:sz w:val="24"/>
                <w:szCs w:val="24"/>
                <w:highlight w:val="none"/>
                <w:u w:val="none"/>
                <w:lang w:val="en-US" w:eastAsia="zh-CN" w:bidi="ar"/>
              </w:rPr>
              <w:t xml:space="preserve">其他得1分</w:t>
            </w:r>
            <w:r>
              <w:rPr>
                <w:rFonts w:hint="eastAsia" w:ascii="宋体" w:hAnsi="宋体" w:eastAsia="宋体" w:cs="宋体"/>
                <w:i w:val="0"/>
                <w:iCs w:val="0"/>
                <w:color w:val="000000"/>
                <w:sz w:val="24"/>
                <w:szCs w:val="24"/>
                <w:u w:val="none"/>
                <w:lang w:val="en-US" w:eastAsia="zh-CN" w:bidi="ar"/>
              </w:rPr>
              <w:t xml:space="preserve">（需提供实物照片）</w:t>
            </w:r>
            <w:r/>
          </w:p>
        </w:tc>
        <w:tc>
          <w:tcPr>
            <w:shd w:val="clear" w:color="auto" w:fill="auto"/>
            <w:tcBorders>
              <w:top w:val="single" w:color="000000" w:sz="4" w:space="0"/>
              <w:left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06"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同屏幕≥3道波形得3分，其他不得分（需提供实物照片）</w:t>
            </w:r>
            <w:r/>
          </w:p>
        </w:tc>
        <w:tc>
          <w:tcPr>
            <w:shd w:val="clear" w:color="auto" w:fill="auto"/>
            <w:tcBorders>
              <w:top w:val="single" w:color="000000" w:sz="4" w:space="0"/>
              <w:left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05"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具有根据病人理想体重预设通气参数功能得3分，其他不得分</w:t>
            </w:r>
            <w:r/>
          </w:p>
        </w:tc>
        <w:tc>
          <w:tcPr>
            <w:shd w:val="clear" w:color="auto" w:fill="auto"/>
            <w:tcBorders>
              <w:top w:val="single" w:color="000000" w:sz="4" w:space="0"/>
              <w:left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40"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电动电控呼吸机得2分，气动电控呼吸机得1分，其他不得分</w:t>
            </w:r>
            <w:r/>
          </w:p>
        </w:tc>
        <w:tc>
          <w:tcPr>
            <w:shd w:val="clear" w:color="auto" w:fill="auto"/>
            <w:tcBorders>
              <w:top w:val="single" w:color="000000" w:sz="4" w:space="0"/>
              <w:left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690"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全金属麻醉呼吸回路得2分，</w:t>
            </w:r>
            <w:r>
              <w:rPr>
                <w:rFonts w:hint="eastAsia" w:ascii="宋体" w:hAnsi="宋体" w:eastAsia="宋体" w:cs="宋体"/>
                <w:i w:val="0"/>
                <w:iCs w:val="0"/>
                <w:color w:val="000000"/>
                <w:sz w:val="24"/>
                <w:szCs w:val="24"/>
                <w:highlight w:val="none"/>
                <w:u w:val="none"/>
                <w:lang w:val="en-US" w:eastAsia="zh-CN" w:bidi="ar"/>
              </w:rPr>
              <w:t xml:space="preserve">其他得1分</w:t>
            </w:r>
            <w:r/>
          </w:p>
        </w:tc>
        <w:tc>
          <w:tcPr>
            <w:shd w:val="clear" w:color="auto" w:fill="auto"/>
            <w:tcBorders>
              <w:top w:val="single" w:color="000000" w:sz="4" w:space="0"/>
              <w:left w:val="single" w:color="000000"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686"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潮气量设定值上限（mL）:1300＜上限≤1500得1.5分，＞1500得3分，其他不得分（需提供实物照片）</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11"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具有潮气量动态补偿功能得3分，其他不得分</w:t>
            </w:r>
            <w:r/>
          </w:p>
        </w:tc>
        <w:tc>
          <w:tcPr>
            <w:shd w:val="clear" w:color="auto" w:fill="auto"/>
            <w:tcBorders>
              <w:top w:val="single" w:color="auto" w:sz="4" w:space="0"/>
              <w:left w:val="single" w:color="000000"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59"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具有新鲜气体隔离阀功能得3分，其他不得分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27"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后备电池持续供电时间（min)：45＜时间＜60得1.5分，时间≥60得3分，其他不得分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69"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电子流量计得2分，机械式流量计不得分</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37"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钠石灰罐容积（L）：容积≤1.5得2分，1.5＜容积＜2得1分，其他不得分</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65"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both"/>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热丝式流量传感器得1分，压差式流量传感器得2分</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35"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具有动态顺应性监测功能得3分，其他不得分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90" w:hRule="exact"/>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W w:w="37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麻醉机物品存放抽屉数≥3个得2分</w:t>
            </w:r>
            <w:r/>
          </w:p>
        </w:tc>
        <w:tc>
          <w:tcPr>
            <w:shd w:val="clear" w:color="auto" w:fill="auto"/>
            <w:tcBorders>
              <w:top w:val="single" w:color="auto" w:sz="4" w:space="0"/>
              <w:left w:val="single" w:color="auto" w:sz="4" w:space="0"/>
              <w:bottom w:val="single" w:color="auto"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3.1质保期（3分）：以招标文件要求为基准，每</w:t>
      </w:r>
      <w:r>
        <w:rPr>
          <w:rFonts w:hint="eastAsia" w:ascii="宋体" w:hAnsi="宋体" w:cs="宋体"/>
          <w:color w:val="auto"/>
          <w:sz w:val="24"/>
          <w:szCs w:val="24"/>
          <w:highlight w:val="white"/>
          <w:lang w:val="en-US" w:eastAsia="zh-CN"/>
        </w:rPr>
        <w:t xml:space="preserve">多一年加1分，不超过3分</w:t>
      </w:r>
      <w:r>
        <w:rPr>
          <w:rFonts w:hint="eastAsia" w:ascii="宋体" w:hAnsi="宋体" w:cs="宋体"/>
          <w:b w:val="0"/>
          <w:bCs w:val="0"/>
          <w:color w:val="auto"/>
          <w:sz w:val="24"/>
          <w:szCs w:val="24"/>
          <w:highlight w:val="white"/>
          <w:lang w:val="en-US" w:eastAsia="zh-CN"/>
        </w:rPr>
        <w:t xml:space="preserve">（提供生产厂家出具的《质量保证及售后服务承诺书》（给定格式），所投产品若为进口产品由国内总代理出具）。</w:t>
      </w:r>
      <w:r/>
    </w:p>
    <w:p>
      <w:pPr>
        <w:ind w:firstLine="480"/>
        <w:keepLines w:val="0"/>
        <w:keepNext w:val="0"/>
        <w:pageBreakBefore w:val="0"/>
        <w:spacing w:line="360" w:lineRule="auto"/>
        <w:widowControl w:val="off"/>
        <w:tabs>
          <w:tab w:val="left" w:pos="1155"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auto"/>
          <w:sz w:val="24"/>
          <w:szCs w:val="24"/>
          <w:highlight w:val="none"/>
          <w:lang w:val="en-US" w:eastAsia="zh-CN"/>
        </w:rPr>
        <w:t xml:space="preserve">3.2</w:t>
      </w:r>
      <w:r>
        <w:rPr>
          <w:rFonts w:hint="eastAsia" w:ascii="宋体" w:hAnsi="宋体"/>
          <w:bCs/>
          <w:color w:val="000000" w:themeColor="text1"/>
          <w:sz w:val="24"/>
          <w:szCs w:val="24"/>
          <w14:textFill>
            <w14:solidFill>
              <w14:schemeClr w14:val="tx1"/>
            </w14:solidFill>
          </w14:textFill>
        </w:rPr>
        <w:t xml:space="preserve">备用机（2分）：若设备出现故障，24小时内无法解决的，承诺提供备用机得2分，不提供不得分。（提供备用机承诺书并加盖投标人电子公章）</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3.3服务方案体系（5分）：投标人保障采购项目能够达到招标文件设定的使用和运行状态而提供的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color w:val="auto"/>
          <w:sz w:val="24"/>
          <w:szCs w:val="24"/>
          <w:highlight w:val="none"/>
          <w:lang w:val="en-US" w:eastAsia="zh-CN"/>
        </w:rPr>
        <w:t xml:space="preserve">配送、安装、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cs="宋体"/>
          <w:color w:val="auto"/>
          <w:sz w:val="24"/>
          <w:szCs w:val="24"/>
          <w:highlight w:val="none"/>
          <w:lang w:val="en-US" w:eastAsia="zh-CN"/>
        </w:rPr>
        <w:t xml:space="preserve">调试、培训、</w:t>
      </w:r>
      <w:r>
        <w:rPr>
          <w:rFonts w:hint="eastAsia" w:ascii="宋体" w:hAnsi="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color w:val="auto"/>
          <w:sz w:val="24"/>
          <w:szCs w:val="24"/>
          <w:highlight w:val="none"/>
          <w:lang w:val="en-US" w:eastAsia="zh-CN"/>
        </w:rPr>
        <w:t xml:space="preserve">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cs="宋体"/>
          <w:color w:val="auto"/>
          <w:sz w:val="24"/>
          <w:szCs w:val="24"/>
          <w:highlight w:val="none"/>
          <w:lang w:val="en-US" w:eastAsia="zh-CN"/>
        </w:rPr>
        <w:t xml:space="preserve">咨询（技术支持）、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cs="宋体"/>
          <w:color w:val="auto"/>
          <w:sz w:val="24"/>
          <w:szCs w:val="24"/>
          <w:highlight w:val="none"/>
          <w:lang w:val="en-US" w:eastAsia="zh-CN"/>
        </w:rPr>
        <w:t xml:space="preserve">维修以及应急保障措施等一系列服务方案。</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内容不存在瑕疵、漏项，有针对性解决说明得5分；以上内容存在1处瑕疵、漏项，有针对性解决说明，得3分；以上内容存在2-3处瑕疵、漏项，有针对性解决说明，得2分；以上内容存在4-5处瑕疵、漏项，有针对性解决说明，得1分；未提供或不满足项目招标书需求或内容存在5处以上瑕疵、漏项，得0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服务保障体系（5分）：投标人保障服务方案的实施而设立的服务机构、配备的相应服务人员、设施装备（2分），以及相应的服务细则和规范的管理制度（2分），确保兑现服务承诺、保证服务质量的措施（1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以上5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tabs>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综合因素（</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w:t>
      </w:r>
      <w:r>
        <w:rPr>
          <w:rFonts w:hint="eastAsia" w:ascii="宋体" w:hAnsi="宋体" w:cs="宋体"/>
          <w:color w:val="auto"/>
          <w:sz w:val="24"/>
          <w:szCs w:val="24"/>
          <w:highlight w:val="none"/>
          <w:lang w:val="en-US" w:eastAsia="zh-CN"/>
        </w:rPr>
        <w:t xml:space="preserve">自2023年7月以来</w:t>
      </w:r>
      <w:r>
        <w:rPr>
          <w:rFonts w:hint="eastAsia" w:ascii="宋体" w:hAnsi="宋体" w:cs="宋体"/>
          <w:color w:val="auto"/>
          <w:sz w:val="24"/>
          <w:szCs w:val="24"/>
          <w:highlight w:val="none"/>
        </w:rPr>
        <w:t xml:space="preserve">主要业绩</w:t>
      </w:r>
      <w:r>
        <w:rPr>
          <w:rFonts w:hint="eastAsia" w:ascii="宋体" w:hAnsi="宋体" w:cs="宋体"/>
          <w:color w:val="auto"/>
          <w:sz w:val="24"/>
          <w:szCs w:val="24"/>
          <w:highlight w:val="none"/>
          <w:lang w:val="en-US" w:eastAsia="zh-CN"/>
        </w:rPr>
        <w:t xml:space="preserve">情况</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分）（提供投标人与终端用户签订的与本次招标采购项目</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产品的完整</w:t>
      </w:r>
      <w:r>
        <w:rPr>
          <w:rFonts w:hint="eastAsia" w:ascii="宋体" w:hAnsi="宋体" w:cs="宋体"/>
          <w:color w:val="auto"/>
          <w:sz w:val="24"/>
          <w:szCs w:val="24"/>
          <w:highlight w:val="none"/>
        </w:rPr>
        <w:t xml:space="preserve">销售合同复印件。有一例得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复印件要求加盖投标单位电子公章）。</w:t>
      </w:r>
      <w:r>
        <w:rPr>
          <w:rFonts w:hint="eastAsia" w:ascii="宋体" w:hAnsi="宋体" w:cs="宋体"/>
          <w:color w:val="000000"/>
          <w:sz w:val="24"/>
          <w:szCs w:val="24"/>
          <w:highlight w:val="none"/>
        </w:rPr>
        <w:t xml:space="preserve">合同金额如在50万元以上（含50万元），还须提供合同公示页面截图进行佐证。截图内容含公示网站名称或地址、公示日期、完整公示内容。</w:t>
      </w:r>
      <w:r/>
    </w:p>
    <w:p>
      <w:pPr>
        <w:ind w:firstLine="482"/>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政策性因素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2分</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分（投标时须提供相应使用低VOCs含量的有效证明材料，否则不得分）</w:t>
      </w:r>
      <w:r>
        <w:rPr>
          <w:rFonts w:hint="eastAsia" w:ascii="宋体" w:hAnsi="宋体" w:cs="宋体"/>
          <w:color w:val="auto"/>
          <w:sz w:val="24"/>
          <w:szCs w:val="24"/>
          <w:highlight w:val="none"/>
          <w:lang w:eastAsia="zh-CN"/>
        </w:rPr>
        <w:t xml:space="preserve">。</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bookmarkEnd w:id="185"/>
      <w:r/>
      <w:bookmarkEnd w:id="186"/>
      <w:r/>
      <w:bookmarkEnd w:id="187"/>
      <w:r/>
      <w:bookmarkEnd w:id="188"/>
      <w:r/>
      <w:bookmarkEnd w:id="189"/>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1"/>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120614282"/>
      <w:r/>
      <w:bookmarkStart w:id="193" w:name="_Toc26554094"/>
      <w:r/>
      <w:bookmarkStart w:id="19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3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JSZC-320200-XWJC-G2025-0084</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无锡市第二人民医院麻醉机（二）项目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JSZC-320200-XWJC-G2025-0084</w:t>
      </w:r>
      <w:r>
        <w:rPr>
          <w:rFonts w:hint="eastAsia" w:ascii="宋体" w:hAnsi="宋体"/>
          <w:bCs/>
          <w:color w:val="000000" w:themeColor="text1"/>
          <w:sz w:val="24"/>
          <w:szCs w:val="24"/>
          <w14:textFill>
            <w14:solidFill>
              <w14:schemeClr w14:val="tx1"/>
            </w14:solidFill>
          </w14:textFill>
        </w:rPr>
        <w:t xml:space="preserve">项目，兹授权：</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2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2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29"/>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2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JSZC-320200-XWJC-G2025-0084</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作</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JSZC-320200-XWJC-G2025-0084</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8"/>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JSZC-320200-XWJC-G2025-0084</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w:t>
      </w:r>
      <w:r>
        <w:rPr>
          <w:rFonts w:hint="eastAsia" w:ascii="宋体" w:hAnsi="宋体"/>
          <w:color w:val="000000" w:themeColor="text1"/>
          <w:sz w:val="24"/>
          <w:szCs w:val="24"/>
          <w:lang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JSZC-320200-XWJC-G2025-0084</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57"/>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57"/>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6"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JSZC-320200-XWJC-G2025-0084</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w:t>
      </w:r>
      <w:r>
        <w:rPr>
          <w:rFonts w:hint="eastAsia" w:ascii="黑体" w:eastAsia="黑体"/>
          <w:bCs/>
          <w:color w:val="000000" w:themeColor="text1"/>
          <w:sz w:val="24"/>
          <w:szCs w:val="24"/>
          <w:lang w:val="en-US" w:eastAsia="zh-CN"/>
          <w14:textFill>
            <w14:solidFill>
              <w14:schemeClr w14:val="tx1"/>
            </w14:solidFill>
          </w14:textFill>
        </w:rPr>
        <w:t xml:space="preserve">084</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6"/>
      <w:r/>
      <w:bookmarkStart w:id="197" w:name="_Hlt26609389"/>
      <w:r/>
      <w:bookmarkEnd w:id="197"/>
      <w:r/>
      <w:bookmarkStart w:id="198" w:name="_格式2__法定代表人授权书"/>
      <w:r/>
      <w:bookmarkEnd w:id="198"/>
      <w:r/>
      <w:bookmarkStart w:id="199" w:name="_Hlt26671374"/>
      <w:r/>
      <w:bookmarkEnd w:id="199"/>
      <w:r/>
      <w:bookmarkStart w:id="200" w:name="_Hlt26955066"/>
      <w:r/>
      <w:bookmarkEnd w:id="200"/>
      <w:r/>
      <w:r/>
    </w:p>
    <w:p>
      <w:pPr>
        <w:ind w:firstLine="96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w:t>
      </w:r>
      <w:bookmarkStart w:id="201" w:name="_GoBack"/>
      <w:r/>
      <w:bookmarkEnd w:id="201"/>
      <w:r>
        <w:rPr>
          <w:rFonts w:hint="eastAsia" w:ascii="宋体" w:hAnsi="宋体"/>
          <w:bCs/>
          <w:color w:val="000000" w:themeColor="text1"/>
          <w:sz w:val="24"/>
          <w:szCs w:val="24"/>
          <w14:textFill>
            <w14:solidFill>
              <w14:schemeClr w14:val="tx1"/>
            </w14:solidFill>
          </w14:textFill>
        </w:rPr>
        <w:t xml:space="preserve">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JSZC-320200-XWJC-G2025-0084</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无锡市第二人民医院麻醉机系统项目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JSZC-320200-XWJC-G2025-0084</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38"/>
        <w:keepLines w:val="0"/>
        <w:keepNext w:val="0"/>
        <w:pageBreakBefore w:val="0"/>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t xml:space="preserve">26</w:t>
    </w:r>
    <w:r>
      <w:fldChar w:fldCharType="end"/>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9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0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0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0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0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6"/>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6"/>
    <w:uiPriority w:val="0"/>
    <w:unhideWhenUsed/>
    <w:qFormat/>
    <w:pPr>
      <w:spacing w:after="120"/>
    </w:pPr>
    <w:rPr>
      <w:rFonts w:ascii="Calibri" w:hAnsi="Calibri"/>
      <w:szCs w:val="22"/>
    </w:rPr>
  </w:style>
  <w:style w:type="paragraph" w:styleId="731">
    <w:name w:val="Body Text Indent"/>
    <w:basedOn w:val="716"/>
    <w:uiPriority w:val="99"/>
    <w:qFormat/>
    <w:pPr>
      <w:ind w:firstLine="576"/>
    </w:pPr>
    <w:rPr>
      <w:sz w:val="20"/>
      <w:szCs w:val="20"/>
    </w:r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unhideWhenUsed/>
    <w:qFormat/>
    <w:pPr>
      <w:ind w:left="567"/>
      <w:spacing w:after="57"/>
    </w:pPr>
  </w:style>
  <w:style w:type="paragraph" w:styleId="734">
    <w:name w:val="Plain Text"/>
    <w:basedOn w:val="716"/>
    <w:uiPriority w:val="0"/>
    <w:qFormat/>
    <w:rPr>
      <w:rFonts w:ascii="宋体" w:hAnsi="Courier New" w:cs="Courier New"/>
    </w:rPr>
  </w:style>
  <w:style w:type="paragraph" w:styleId="735">
    <w:name w:val="toc 8"/>
    <w:basedOn w:val="716"/>
    <w:next w:val="716"/>
    <w:uiPriority w:val="39"/>
    <w:unhideWhenUsed/>
    <w:qFormat/>
    <w:pPr>
      <w:ind w:left="1984"/>
      <w:spacing w:after="57"/>
    </w:pPr>
  </w:style>
  <w:style w:type="paragraph" w:styleId="736">
    <w:name w:val="endnote text"/>
    <w:basedOn w:val="716"/>
    <w:link w:val="944"/>
    <w:uiPriority w:val="99"/>
    <w:semiHidden/>
    <w:unhideWhenUsed/>
    <w:qFormat/>
    <w:rPr>
      <w:sz w:val="20"/>
    </w:rPr>
  </w:style>
  <w:style w:type="paragraph" w:styleId="737">
    <w:name w:val="Footer"/>
    <w:basedOn w:val="716"/>
    <w:link w:val="817"/>
    <w:uiPriority w:val="99"/>
    <w:unhideWhenUsed/>
    <w:qFormat/>
    <w:pPr>
      <w:tabs>
        <w:tab w:val="center" w:pos="7143" w:leader="none"/>
        <w:tab w:val="right" w:pos="14287" w:leader="none"/>
      </w:tabs>
    </w:pPr>
  </w:style>
  <w:style w:type="paragraph" w:styleId="738">
    <w:name w:val="envelope return"/>
    <w:basedOn w:val="716"/>
    <w:uiPriority w:val="0"/>
    <w:qFormat/>
    <w:rPr>
      <w:rFonts w:ascii="Arial" w:hAnsi="Arial" w:eastAsia="楷体_GB2312"/>
      <w:sz w:val="26"/>
      <w:szCs w:val="20"/>
    </w:rPr>
  </w:style>
  <w:style w:type="paragraph" w:styleId="739">
    <w:name w:val="Header"/>
    <w:basedOn w:val="716"/>
    <w:link w:val="815"/>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link w:val="810"/>
    <w:uiPriority w:val="11"/>
    <w:qFormat/>
    <w:pPr>
      <w:spacing w:before="200" w:after="200"/>
    </w:pPr>
    <w:rPr>
      <w:sz w:val="24"/>
      <w:szCs w:val="24"/>
    </w:rPr>
  </w:style>
  <w:style w:type="paragraph" w:styleId="743">
    <w:name w:val="footnote text"/>
    <w:basedOn w:val="716"/>
    <w:link w:val="943"/>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49">
    <w:name w:val="Title"/>
    <w:basedOn w:val="716"/>
    <w:next w:val="716"/>
    <w:link w:val="809"/>
    <w:uiPriority w:val="10"/>
    <w:qFormat/>
    <w:pPr>
      <w:contextualSpacing/>
      <w:spacing w:before="300" w:after="200"/>
    </w:pPr>
    <w:rPr>
      <w:sz w:val="48"/>
      <w:szCs w:val="48"/>
    </w:rPr>
  </w:style>
  <w:style w:type="paragraph" w:styleId="750">
    <w:name w:val="Body Text First Indent"/>
    <w:basedOn w:val="730"/>
    <w:uiPriority w:val="0"/>
    <w:qFormat/>
    <w:pPr>
      <w:ind w:firstLine="420"/>
      <w:spacing w:line="360" w:lineRule="auto"/>
    </w:pPr>
    <w:rPr>
      <w:rFonts w:ascii="Times New Roman" w:hAnsi="Times New Roman"/>
      <w:szCs w:val="21"/>
    </w:rPr>
  </w:style>
  <w:style w:type="table" w:styleId="7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table" w:styleId="75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TOC 标题113"/>
    <w:uiPriority w:val="39"/>
    <w:unhideWhenUsed/>
    <w:qFormat/>
    <w:rPr>
      <w:rFonts w:hint="default" w:ascii="Times New Roman" w:hAnsi="Times New Roman" w:eastAsia="宋体" w:cs="Times New Roman"/>
      <w:lang w:val="en-US" w:eastAsia="zh-CN" w:bidi="ar-SA"/>
    </w:rPr>
  </w:style>
  <w:style w:type="paragraph" w:styleId="777" w:customStyle="1">
    <w:name w:val="TOC 标题112"/>
    <w:uiPriority w:val="39"/>
    <w:unhideWhenUsed/>
    <w:qFormat/>
    <w:rPr>
      <w:rFonts w:hint="default" w:ascii="Times New Roman" w:hAnsi="Times New Roman" w:eastAsia="宋体" w:cs="Times New Roman"/>
      <w:lang w:val="en-US" w:eastAsia="zh-CN" w:bidi="ar-SA"/>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11"/>
    <w:uiPriority w:val="39"/>
    <w:unhideWhenUsed/>
    <w:qFormat/>
    <w:rPr>
      <w:rFonts w:hint="default" w:ascii="Times New Roman" w:hAnsi="Times New Roman" w:eastAsia="宋体" w:cs="Times New Roman"/>
      <w:lang w:val="en-US" w:eastAsia="zh-CN" w:bidi="ar-SA"/>
    </w:rPr>
  </w:style>
  <w:style w:type="paragraph" w:styleId="796" w:customStyle="1">
    <w:name w:val="正文文本缩进1"/>
    <w:basedOn w:val="716"/>
    <w:link w:val="978"/>
    <w:uiPriority w:val="0"/>
    <w:qFormat/>
    <w:pPr>
      <w:ind w:firstLine="645"/>
    </w:pPr>
    <w:rPr>
      <w:rFonts w:ascii="楷体_GB2312" w:eastAsia="楷体_GB2312"/>
      <w:sz w:val="32"/>
      <w:szCs w:val="32"/>
      <w:lang w:eastAsia="en-US"/>
    </w:rPr>
  </w:style>
  <w:style w:type="paragraph" w:styleId="7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8" w:customStyle="1">
    <w:name w:val="标题 1 字符"/>
    <w:link w:val="717"/>
    <w:uiPriority w:val="9"/>
    <w:qFormat/>
    <w:rPr>
      <w:rFonts w:ascii="Arial" w:hAnsi="Arial" w:eastAsia="Arial" w:cs="Arial"/>
      <w:sz w:val="40"/>
      <w:szCs w:val="40"/>
    </w:rPr>
  </w:style>
  <w:style w:type="character" w:styleId="799" w:customStyle="1">
    <w:name w:val="标题 2 字符"/>
    <w:link w:val="718"/>
    <w:uiPriority w:val="9"/>
    <w:qFormat/>
    <w:rPr>
      <w:rFonts w:ascii="Arial" w:hAnsi="Arial" w:eastAsia="Arial" w:cs="Arial"/>
      <w:sz w:val="34"/>
    </w:rPr>
  </w:style>
  <w:style w:type="character" w:styleId="800" w:customStyle="1">
    <w:name w:val="标题 3 字符"/>
    <w:link w:val="719"/>
    <w:uiPriority w:val="9"/>
    <w:qFormat/>
    <w:rPr>
      <w:rFonts w:ascii="Arial" w:hAnsi="Arial" w:eastAsia="Arial" w:cs="Arial"/>
      <w:sz w:val="30"/>
      <w:szCs w:val="30"/>
    </w:rPr>
  </w:style>
  <w:style w:type="character" w:styleId="801" w:customStyle="1">
    <w:name w:val="标题 4 字符"/>
    <w:link w:val="720"/>
    <w:uiPriority w:val="9"/>
    <w:qFormat/>
    <w:rPr>
      <w:rFonts w:ascii="Arial" w:hAnsi="Arial" w:eastAsia="Arial" w:cs="Arial"/>
      <w:b/>
      <w:bCs/>
      <w:sz w:val="26"/>
      <w:szCs w:val="26"/>
    </w:rPr>
  </w:style>
  <w:style w:type="character" w:styleId="802" w:customStyle="1">
    <w:name w:val="标题 5 字符"/>
    <w:link w:val="721"/>
    <w:uiPriority w:val="9"/>
    <w:qFormat/>
    <w:rPr>
      <w:rFonts w:ascii="Arial" w:hAnsi="Arial" w:eastAsia="Arial" w:cs="Arial"/>
      <w:b/>
      <w:bCs/>
      <w:sz w:val="24"/>
      <w:szCs w:val="24"/>
    </w:rPr>
  </w:style>
  <w:style w:type="character" w:styleId="803" w:customStyle="1">
    <w:name w:val="标题 6 字符"/>
    <w:link w:val="722"/>
    <w:uiPriority w:val="9"/>
    <w:qFormat/>
    <w:rPr>
      <w:rFonts w:ascii="Arial" w:hAnsi="Arial" w:eastAsia="Arial" w:cs="Arial"/>
      <w:b/>
      <w:bCs/>
      <w:sz w:val="22"/>
      <w:szCs w:val="22"/>
    </w:rPr>
  </w:style>
  <w:style w:type="character" w:styleId="804" w:customStyle="1">
    <w:name w:val="标题 7 字符"/>
    <w:link w:val="723"/>
    <w:uiPriority w:val="9"/>
    <w:qFormat/>
    <w:rPr>
      <w:rFonts w:ascii="Arial" w:hAnsi="Arial" w:eastAsia="Arial" w:cs="Arial"/>
      <w:b/>
      <w:bCs/>
      <w:i/>
      <w:iCs/>
      <w:sz w:val="22"/>
      <w:szCs w:val="22"/>
    </w:rPr>
  </w:style>
  <w:style w:type="character" w:styleId="805" w:customStyle="1">
    <w:name w:val="标题 8 字符"/>
    <w:link w:val="724"/>
    <w:uiPriority w:val="9"/>
    <w:qFormat/>
    <w:rPr>
      <w:rFonts w:ascii="Arial" w:hAnsi="Arial" w:eastAsia="Arial" w:cs="Arial"/>
      <w:i/>
      <w:iCs/>
      <w:sz w:val="22"/>
      <w:szCs w:val="22"/>
    </w:rPr>
  </w:style>
  <w:style w:type="character" w:styleId="806" w:customStyle="1">
    <w:name w:val="标题 9 字符"/>
    <w:link w:val="725"/>
    <w:uiPriority w:val="9"/>
    <w:qFormat/>
    <w:rPr>
      <w:rFonts w:ascii="Arial" w:hAnsi="Arial" w:eastAsia="Arial" w:cs="Arial"/>
      <w:i/>
      <w:iCs/>
      <w:sz w:val="21"/>
      <w:szCs w:val="21"/>
    </w:rPr>
  </w:style>
  <w:style w:type="paragraph" w:styleId="807">
    <w:name w:val="List Paragraph"/>
    <w:basedOn w:val="716"/>
    <w:uiPriority w:val="34"/>
    <w:qFormat/>
    <w:pPr>
      <w:contextualSpacing/>
      <w:ind w:left="720"/>
    </w:pPr>
  </w:style>
  <w:style w:type="paragraph" w:styleId="808">
    <w:name w:val="No Spacing"/>
    <w:uiPriority w:val="1"/>
    <w:qFormat/>
    <w:rPr>
      <w:rFonts w:hint="default" w:ascii="Calibri" w:hAnsi="Calibri" w:eastAsia="宋体" w:cs="Times New Roman"/>
      <w:lang w:val="en-US" w:eastAsia="zh-CN" w:bidi="ar-SA"/>
    </w:rPr>
  </w:style>
  <w:style w:type="character" w:styleId="809" w:customStyle="1">
    <w:name w:val="标题 字符"/>
    <w:link w:val="749"/>
    <w:uiPriority w:val="10"/>
    <w:qFormat/>
    <w:rPr>
      <w:sz w:val="48"/>
      <w:szCs w:val="48"/>
    </w:rPr>
  </w:style>
  <w:style w:type="character" w:styleId="810" w:customStyle="1">
    <w:name w:val="副标题 字符"/>
    <w:link w:val="742"/>
    <w:uiPriority w:val="11"/>
    <w:qFormat/>
    <w:rPr>
      <w:sz w:val="24"/>
      <w:szCs w:val="24"/>
    </w:rPr>
  </w:style>
  <w:style w:type="paragraph" w:styleId="811">
    <w:name w:val="Quote"/>
    <w:basedOn w:val="716"/>
    <w:next w:val="71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6"/>
    <w:next w:val="71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39"/>
    <w:uiPriority w:val="99"/>
    <w:qFormat/>
  </w:style>
  <w:style w:type="character" w:styleId="816" w:customStyle="1">
    <w:name w:val="Footer Char"/>
    <w:uiPriority w:val="99"/>
    <w:qFormat/>
  </w:style>
  <w:style w:type="character" w:styleId="817" w:customStyle="1">
    <w:name w:val="页脚 字符"/>
    <w:link w:val="737"/>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3"/>
    <w:uiPriority w:val="99"/>
    <w:qFormat/>
    <w:rPr>
      <w:sz w:val="18"/>
    </w:rPr>
  </w:style>
  <w:style w:type="character" w:styleId="944" w:customStyle="1">
    <w:name w:val="尾注文本 字符"/>
    <w:link w:val="736"/>
    <w:uiPriority w:val="99"/>
    <w:qFormat/>
    <w:rPr>
      <w:sz w:val="20"/>
    </w:rPr>
  </w:style>
  <w:style w:type="paragraph" w:styleId="945" w:customStyle="1">
    <w:name w:val="TOC 标题11"/>
    <w:uiPriority w:val="39"/>
    <w:unhideWhenUsed/>
    <w:qFormat/>
    <w:rPr>
      <w:rFonts w:hint="default" w:ascii="Calibri" w:hAnsi="Calibri" w:eastAsia="宋体" w:cs="Times New Roman"/>
      <w:lang w:val="en-US" w:eastAsia="zh-CN" w:bidi="ar-SA"/>
    </w:rPr>
  </w:style>
  <w:style w:type="paragraph" w:styleId="946" w:customStyle="1">
    <w:name w:val="标题 11"/>
    <w:basedOn w:val="716"/>
    <w:next w:val="716"/>
    <w:link w:val="958"/>
    <w:uiPriority w:val="0"/>
    <w:qFormat/>
    <w:pPr>
      <w:jc w:val="center"/>
      <w:keepNext/>
      <w:outlineLvl w:val="0"/>
    </w:pPr>
    <w:rPr>
      <w:rFonts w:ascii="楷体_GB2312" w:eastAsia="楷体_GB2312"/>
      <w:sz w:val="28"/>
      <w:szCs w:val="28"/>
      <w:lang w:eastAsia="en-US"/>
    </w:rPr>
  </w:style>
  <w:style w:type="paragraph" w:styleId="947" w:customStyle="1">
    <w:name w:val="标题 21"/>
    <w:basedOn w:val="716"/>
    <w:next w:val="948"/>
    <w:link w:val="95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8" w:customStyle="1">
    <w:name w:val="正文缩进1"/>
    <w:basedOn w:val="716"/>
    <w:link w:val="960"/>
    <w:uiPriority w:val="0"/>
    <w:qFormat/>
    <w:pPr>
      <w:ind w:firstLine="420"/>
    </w:pPr>
    <w:rPr>
      <w:sz w:val="20"/>
      <w:lang w:eastAsia="en-US"/>
    </w:rPr>
  </w:style>
  <w:style w:type="paragraph" w:styleId="949" w:customStyle="1">
    <w:name w:val="标题 31"/>
    <w:basedOn w:val="716"/>
    <w:next w:val="948"/>
    <w:link w:val="961"/>
    <w:uiPriority w:val="0"/>
    <w:qFormat/>
    <w:pPr>
      <w:keepLines/>
      <w:keepNext/>
      <w:spacing w:before="260" w:after="260" w:line="416" w:lineRule="auto"/>
      <w:outlineLvl w:val="2"/>
    </w:pPr>
    <w:rPr>
      <w:b/>
      <w:bCs/>
      <w:sz w:val="32"/>
      <w:szCs w:val="32"/>
      <w:lang w:eastAsia="en-US"/>
    </w:rPr>
  </w:style>
  <w:style w:type="paragraph" w:styleId="950" w:customStyle="1">
    <w:name w:val="标题 41"/>
    <w:basedOn w:val="716"/>
    <w:next w:val="948"/>
    <w:link w:val="962"/>
    <w:uiPriority w:val="0"/>
    <w:qFormat/>
    <w:pPr>
      <w:keepLines/>
      <w:keepNext/>
      <w:spacing w:before="280" w:after="290" w:line="376" w:lineRule="auto"/>
      <w:outlineLvl w:val="3"/>
    </w:pPr>
    <w:rPr>
      <w:rFonts w:ascii="Arial" w:hAnsi="Arial" w:eastAsia="黑体"/>
      <w:b/>
      <w:bCs/>
      <w:sz w:val="28"/>
      <w:szCs w:val="28"/>
      <w:lang w:eastAsia="en-US"/>
    </w:rPr>
  </w:style>
  <w:style w:type="paragraph" w:styleId="951" w:customStyle="1">
    <w:name w:val="标题 51"/>
    <w:basedOn w:val="716"/>
    <w:next w:val="948"/>
    <w:link w:val="963"/>
    <w:uiPriority w:val="0"/>
    <w:qFormat/>
    <w:pPr>
      <w:keepNext/>
      <w:outlineLvl w:val="4"/>
    </w:pPr>
    <w:rPr>
      <w:rFonts w:ascii="宋体"/>
      <w:color w:val="000000"/>
      <w:sz w:val="28"/>
      <w:szCs w:val="28"/>
      <w:lang w:eastAsia="en-US"/>
    </w:rPr>
  </w:style>
  <w:style w:type="paragraph" w:styleId="952" w:customStyle="1">
    <w:name w:val="标题 61"/>
    <w:basedOn w:val="716"/>
    <w:next w:val="716"/>
    <w:link w:val="96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3" w:customStyle="1">
    <w:name w:val="标题 71"/>
    <w:basedOn w:val="716"/>
    <w:next w:val="716"/>
    <w:link w:val="965"/>
    <w:uiPriority w:val="0"/>
    <w:qFormat/>
    <w:pPr>
      <w:numPr>
        <w:ilvl w:val="6"/>
        <w:numId w:val="1"/>
      </w:numPr>
      <w:keepLines/>
      <w:keepNext/>
      <w:spacing w:before="240" w:after="64" w:line="320" w:lineRule="auto"/>
      <w:outlineLvl w:val="6"/>
    </w:pPr>
    <w:rPr>
      <w:b/>
      <w:bCs/>
      <w:sz w:val="24"/>
      <w:szCs w:val="24"/>
      <w:lang w:eastAsia="en-US"/>
    </w:rPr>
  </w:style>
  <w:style w:type="paragraph" w:styleId="954" w:customStyle="1">
    <w:name w:val="标题 81"/>
    <w:basedOn w:val="716"/>
    <w:next w:val="716"/>
    <w:link w:val="96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5" w:customStyle="1">
    <w:name w:val="标题 91"/>
    <w:basedOn w:val="716"/>
    <w:next w:val="716"/>
    <w:link w:val="96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1 Char"/>
    <w:link w:val="946"/>
    <w:uiPriority w:val="0"/>
    <w:qFormat/>
    <w:rPr>
      <w:rFonts w:ascii="楷体_GB2312" w:hAnsi="Times New Roman" w:eastAsia="楷体_GB2312" w:cs="Times New Roman"/>
      <w:sz w:val="28"/>
      <w:szCs w:val="28"/>
    </w:rPr>
  </w:style>
  <w:style w:type="character" w:styleId="959" w:customStyle="1">
    <w:name w:val="标题 2 Char"/>
    <w:link w:val="947"/>
    <w:uiPriority w:val="0"/>
    <w:qFormat/>
    <w:rPr>
      <w:rFonts w:ascii="Arial" w:hAnsi="Arial" w:eastAsia="幼圆" w:cs="Arial"/>
      <w:b/>
      <w:bCs/>
      <w:sz w:val="44"/>
      <w:szCs w:val="44"/>
    </w:rPr>
  </w:style>
  <w:style w:type="character" w:styleId="960" w:customStyle="1">
    <w:name w:val="正文缩进 Char"/>
    <w:link w:val="948"/>
    <w:uiPriority w:val="0"/>
    <w:qFormat/>
    <w:rPr>
      <w:rFonts w:ascii="Times New Roman" w:hAnsi="Times New Roman" w:eastAsia="宋体" w:cs="Times New Roman"/>
      <w:szCs w:val="21"/>
    </w:rPr>
  </w:style>
  <w:style w:type="character" w:styleId="961" w:customStyle="1">
    <w:name w:val="标题 3 Char"/>
    <w:link w:val="949"/>
    <w:uiPriority w:val="0"/>
    <w:qFormat/>
    <w:rPr>
      <w:rFonts w:ascii="Times New Roman" w:hAnsi="Times New Roman" w:eastAsia="宋体" w:cs="Times New Roman"/>
      <w:b/>
      <w:bCs/>
      <w:sz w:val="32"/>
      <w:szCs w:val="32"/>
    </w:rPr>
  </w:style>
  <w:style w:type="character" w:styleId="962" w:customStyle="1">
    <w:name w:val="标题 4 Char"/>
    <w:link w:val="950"/>
    <w:uiPriority w:val="0"/>
    <w:qFormat/>
    <w:rPr>
      <w:rFonts w:ascii="Arial" w:hAnsi="Arial" w:eastAsia="黑体" w:cs="Arial"/>
      <w:b/>
      <w:bCs/>
      <w:sz w:val="28"/>
      <w:szCs w:val="28"/>
    </w:rPr>
  </w:style>
  <w:style w:type="character" w:styleId="963" w:customStyle="1">
    <w:name w:val="标题 5 Char"/>
    <w:link w:val="951"/>
    <w:uiPriority w:val="0"/>
    <w:qFormat/>
    <w:rPr>
      <w:rFonts w:ascii="宋体" w:hAnsi="Times New Roman" w:eastAsia="宋体" w:cs="Times New Roman"/>
      <w:color w:val="000000"/>
      <w:sz w:val="28"/>
      <w:szCs w:val="28"/>
    </w:rPr>
  </w:style>
  <w:style w:type="character" w:styleId="964" w:customStyle="1">
    <w:name w:val="标题 6 Char"/>
    <w:link w:val="952"/>
    <w:uiPriority w:val="0"/>
    <w:qFormat/>
    <w:rPr>
      <w:rFonts w:ascii="Arial" w:hAnsi="Arial" w:eastAsia="黑体" w:cs="Times New Roman"/>
      <w:b/>
      <w:bCs/>
      <w:sz w:val="24"/>
      <w:szCs w:val="24"/>
    </w:rPr>
  </w:style>
  <w:style w:type="character" w:styleId="965" w:customStyle="1">
    <w:name w:val="标题 7 Char"/>
    <w:link w:val="953"/>
    <w:uiPriority w:val="0"/>
    <w:qFormat/>
    <w:rPr>
      <w:rFonts w:ascii="Times New Roman" w:hAnsi="Times New Roman" w:eastAsia="宋体" w:cs="Times New Roman"/>
      <w:b/>
      <w:bCs/>
      <w:sz w:val="24"/>
      <w:szCs w:val="24"/>
    </w:rPr>
  </w:style>
  <w:style w:type="character" w:styleId="966" w:customStyle="1">
    <w:name w:val="标题 8 Char"/>
    <w:link w:val="954"/>
    <w:uiPriority w:val="0"/>
    <w:qFormat/>
    <w:rPr>
      <w:rFonts w:ascii="Arial" w:hAnsi="Arial" w:eastAsia="黑体" w:cs="Times New Roman"/>
      <w:sz w:val="24"/>
      <w:szCs w:val="24"/>
    </w:rPr>
  </w:style>
  <w:style w:type="character" w:styleId="967" w:customStyle="1">
    <w:name w:val="标题 9 Char"/>
    <w:link w:val="955"/>
    <w:uiPriority w:val="0"/>
    <w:qFormat/>
    <w:rPr>
      <w:rFonts w:ascii="Arial" w:hAnsi="Arial" w:eastAsia="黑体" w:cs="Times New Roman"/>
      <w:szCs w:val="21"/>
    </w:rPr>
  </w:style>
  <w:style w:type="paragraph" w:styleId="968" w:customStyle="1">
    <w:name w:val="列表 31"/>
    <w:basedOn w:val="716"/>
    <w:uiPriority w:val="0"/>
    <w:qFormat/>
    <w:pPr>
      <w:ind w:left="100" w:hanging="200"/>
    </w:pPr>
  </w:style>
  <w:style w:type="paragraph" w:styleId="969" w:customStyle="1">
    <w:name w:val="目录 71"/>
    <w:basedOn w:val="716"/>
    <w:next w:val="716"/>
    <w:uiPriority w:val="0"/>
    <w:semiHidden/>
    <w:qFormat/>
    <w:pPr>
      <w:ind w:left="1260"/>
      <w:jc w:val="left"/>
    </w:pPr>
  </w:style>
  <w:style w:type="paragraph" w:styleId="970" w:customStyle="1">
    <w:name w:val="文档结构图1"/>
    <w:basedOn w:val="716"/>
    <w:link w:val="971"/>
    <w:uiPriority w:val="0"/>
    <w:semiHidden/>
    <w:qFormat/>
    <w:pPr>
      <w:shd w:val="clear" w:color="auto" w:fill="000080"/>
    </w:pPr>
    <w:rPr>
      <w:sz w:val="20"/>
      <w:lang w:eastAsia="en-US"/>
    </w:rPr>
  </w:style>
  <w:style w:type="character" w:styleId="971" w:customStyle="1">
    <w:name w:val="文档结构图 Char"/>
    <w:link w:val="970"/>
    <w:uiPriority w:val="0"/>
    <w:semiHidden/>
    <w:qFormat/>
    <w:rPr>
      <w:rFonts w:ascii="Times New Roman" w:hAnsi="Times New Roman" w:eastAsia="宋体" w:cs="Times New Roman"/>
      <w:szCs w:val="21"/>
      <w:shd w:val="clear" w:color="auto" w:fill="000080"/>
    </w:rPr>
  </w:style>
  <w:style w:type="paragraph" w:styleId="972" w:customStyle="1">
    <w:name w:val="批注文字1"/>
    <w:basedOn w:val="716"/>
    <w:link w:val="973"/>
    <w:uiPriority w:val="0"/>
    <w:semiHidden/>
    <w:qFormat/>
    <w:pPr>
      <w:jc w:val="left"/>
    </w:pPr>
    <w:rPr>
      <w:sz w:val="20"/>
      <w:lang w:eastAsia="en-US"/>
    </w:rPr>
  </w:style>
  <w:style w:type="character" w:styleId="973" w:customStyle="1">
    <w:name w:val="批注文字 Char"/>
    <w:link w:val="972"/>
    <w:uiPriority w:val="0"/>
    <w:semiHidden/>
    <w:qFormat/>
    <w:rPr>
      <w:rFonts w:ascii="Times New Roman" w:hAnsi="Times New Roman" w:eastAsia="宋体" w:cs="Times New Roman"/>
      <w:szCs w:val="21"/>
    </w:rPr>
  </w:style>
  <w:style w:type="paragraph" w:styleId="974" w:customStyle="1">
    <w:name w:val="正文文本 31"/>
    <w:basedOn w:val="716"/>
    <w:link w:val="975"/>
    <w:uiPriority w:val="0"/>
    <w:qFormat/>
    <w:rPr>
      <w:rFonts w:ascii="仿宋_GB2312" w:hAnsi="Arial" w:eastAsia="仿宋_GB2312"/>
      <w:sz w:val="32"/>
      <w:szCs w:val="32"/>
      <w:lang w:eastAsia="en-US"/>
    </w:rPr>
  </w:style>
  <w:style w:type="character" w:styleId="975" w:customStyle="1">
    <w:name w:val="正文文本 3 Char"/>
    <w:link w:val="974"/>
    <w:uiPriority w:val="0"/>
    <w:qFormat/>
    <w:rPr>
      <w:rFonts w:ascii="仿宋_GB2312" w:hAnsi="Arial" w:eastAsia="仿宋_GB2312" w:cs="Times New Roman"/>
      <w:sz w:val="32"/>
      <w:szCs w:val="32"/>
    </w:rPr>
  </w:style>
  <w:style w:type="paragraph" w:styleId="976" w:customStyle="1">
    <w:name w:val="正文文本1"/>
    <w:basedOn w:val="716"/>
    <w:link w:val="977"/>
    <w:uiPriority w:val="0"/>
    <w:qFormat/>
    <w:rPr>
      <w:rFonts w:ascii="楷体_GB2312" w:hAnsi="Arial" w:eastAsia="楷体_GB2312"/>
      <w:sz w:val="28"/>
      <w:szCs w:val="28"/>
      <w:lang w:eastAsia="en-US"/>
    </w:rPr>
  </w:style>
  <w:style w:type="character" w:styleId="977" w:customStyle="1">
    <w:name w:val="正文文本 Char"/>
    <w:link w:val="976"/>
    <w:uiPriority w:val="0"/>
    <w:qFormat/>
    <w:rPr>
      <w:rFonts w:ascii="楷体_GB2312" w:hAnsi="Arial" w:eastAsia="楷体_GB2312" w:cs="Times New Roman"/>
      <w:sz w:val="28"/>
      <w:szCs w:val="28"/>
    </w:rPr>
  </w:style>
  <w:style w:type="character" w:styleId="978" w:customStyle="1">
    <w:name w:val="正文文本缩进 Char"/>
    <w:link w:val="796"/>
    <w:uiPriority w:val="0"/>
    <w:qFormat/>
    <w:rPr>
      <w:rFonts w:ascii="楷体_GB2312" w:hAnsi="Times New Roman" w:eastAsia="楷体_GB2312" w:cs="Times New Roman"/>
      <w:sz w:val="32"/>
      <w:szCs w:val="32"/>
    </w:rPr>
  </w:style>
  <w:style w:type="paragraph" w:styleId="979" w:customStyle="1">
    <w:name w:val="列表 21"/>
    <w:basedOn w:val="716"/>
    <w:uiPriority w:val="0"/>
    <w:qFormat/>
    <w:pPr>
      <w:ind w:left="100" w:hanging="200"/>
    </w:pPr>
  </w:style>
  <w:style w:type="paragraph" w:styleId="980" w:customStyle="1">
    <w:name w:val="目录 51"/>
    <w:basedOn w:val="716"/>
    <w:next w:val="716"/>
    <w:uiPriority w:val="0"/>
    <w:semiHidden/>
    <w:qFormat/>
    <w:pPr>
      <w:ind w:left="840"/>
      <w:jc w:val="left"/>
    </w:pPr>
  </w:style>
  <w:style w:type="paragraph" w:styleId="981" w:customStyle="1">
    <w:name w:val="目录 31"/>
    <w:basedOn w:val="716"/>
    <w:next w:val="716"/>
    <w:uiPriority w:val="0"/>
    <w:semiHidden/>
    <w:qFormat/>
    <w:pPr>
      <w:ind w:left="420"/>
      <w:jc w:val="left"/>
    </w:pPr>
    <w:rPr>
      <w:i/>
      <w:iCs/>
      <w:szCs w:val="24"/>
    </w:rPr>
  </w:style>
  <w:style w:type="paragraph" w:styleId="982" w:customStyle="1">
    <w:name w:val="纯文本1"/>
    <w:basedOn w:val="716"/>
    <w:link w:val="983"/>
    <w:uiPriority w:val="0"/>
    <w:qFormat/>
    <w:rPr>
      <w:rFonts w:ascii="宋体" w:hAnsi="Courier New"/>
      <w:sz w:val="20"/>
      <w:lang w:eastAsia="en-US"/>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16"/>
    <w:next w:val="716"/>
    <w:uiPriority w:val="0"/>
    <w:semiHidden/>
    <w:qFormat/>
    <w:pPr>
      <w:ind w:left="1470"/>
      <w:jc w:val="left"/>
    </w:pPr>
  </w:style>
  <w:style w:type="paragraph" w:styleId="985" w:customStyle="1">
    <w:name w:val="日期1"/>
    <w:basedOn w:val="716"/>
    <w:next w:val="716"/>
    <w:link w:val="986"/>
    <w:uiPriority w:val="0"/>
    <w:qFormat/>
    <w:rPr>
      <w:sz w:val="24"/>
      <w:szCs w:val="24"/>
      <w:lang w:eastAsia="en-US"/>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16"/>
    <w:link w:val="988"/>
    <w:uiPriority w:val="0"/>
    <w:qFormat/>
    <w:pPr>
      <w:ind w:left="630" w:firstLine="645"/>
    </w:pPr>
    <w:rPr>
      <w:rFonts w:ascii="Arial" w:hAnsi="Arial" w:eastAsia="仿宋_GB2312"/>
      <w:sz w:val="32"/>
      <w:szCs w:val="32"/>
      <w:lang w:eastAsia="en-US"/>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16"/>
    <w:link w:val="990"/>
    <w:uiPriority w:val="0"/>
    <w:qFormat/>
    <w:rPr>
      <w:sz w:val="18"/>
      <w:szCs w:val="18"/>
      <w:lang w:eastAsia="en-US"/>
    </w:rPr>
  </w:style>
  <w:style w:type="character" w:styleId="990" w:customStyle="1">
    <w:name w:val="批注框文本 Char"/>
    <w:link w:val="989"/>
    <w:uiPriority w:val="0"/>
    <w:qFormat/>
    <w:rPr>
      <w:rFonts w:ascii="Times New Roman" w:hAnsi="Times New Roman" w:eastAsia="宋体" w:cs="Times New Roman"/>
      <w:sz w:val="18"/>
      <w:szCs w:val="18"/>
    </w:rPr>
  </w:style>
  <w:style w:type="paragraph" w:styleId="991" w:customStyle="1">
    <w:name w:val="页脚1"/>
    <w:basedOn w:val="716"/>
    <w:link w:val="992"/>
    <w:uiPriority w:val="0"/>
    <w:qFormat/>
    <w:pPr>
      <w:jc w:val="left"/>
      <w:tabs>
        <w:tab w:val="center" w:pos="4153" w:leader="none"/>
        <w:tab w:val="right" w:pos="8306" w:leader="none"/>
      </w:tabs>
    </w:pPr>
    <w:rPr>
      <w:sz w:val="18"/>
      <w:szCs w:val="18"/>
      <w:lang w:eastAsia="en-US"/>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16"/>
    <w:link w:val="99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16"/>
    <w:next w:val="716"/>
    <w:uiPriority w:val="0"/>
    <w:semiHidden/>
    <w:qFormat/>
    <w:pPr>
      <w:ind w:left="630"/>
      <w:jc w:val="left"/>
    </w:pPr>
  </w:style>
  <w:style w:type="paragraph" w:styleId="997" w:customStyle="1">
    <w:name w:val="列表1"/>
    <w:basedOn w:val="716"/>
    <w:uiPriority w:val="0"/>
    <w:qFormat/>
    <w:pPr>
      <w:ind w:left="200" w:hanging="200"/>
    </w:pPr>
  </w:style>
  <w:style w:type="paragraph" w:styleId="998" w:customStyle="1">
    <w:name w:val="目录 61"/>
    <w:basedOn w:val="716"/>
    <w:next w:val="716"/>
    <w:uiPriority w:val="0"/>
    <w:semiHidden/>
    <w:qFormat/>
    <w:pPr>
      <w:ind w:left="1050"/>
      <w:jc w:val="left"/>
    </w:pPr>
  </w:style>
  <w:style w:type="paragraph" w:styleId="999" w:customStyle="1">
    <w:name w:val="正文文本缩进 31"/>
    <w:basedOn w:val="716"/>
    <w:link w:val="1000"/>
    <w:uiPriority w:val="0"/>
    <w:qFormat/>
    <w:pPr>
      <w:ind w:left="645" w:firstLine="645"/>
    </w:pPr>
    <w:rPr>
      <w:rFonts w:ascii="Arial" w:hAnsi="Arial" w:eastAsia="仿宋_GB2312"/>
      <w:color w:val="ffff00"/>
      <w:sz w:val="32"/>
      <w:szCs w:val="32"/>
      <w:lang w:eastAsia="en-US"/>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16"/>
    <w:next w:val="716"/>
    <w:uiPriority w:val="0"/>
    <w:semiHidden/>
    <w:qFormat/>
    <w:pPr>
      <w:ind w:left="840" w:hanging="420"/>
    </w:pPr>
  </w:style>
  <w:style w:type="paragraph" w:styleId="1002" w:customStyle="1">
    <w:name w:val="目录 21"/>
    <w:basedOn w:val="716"/>
    <w:next w:val="716"/>
    <w:uiPriority w:val="0"/>
    <w:semiHidden/>
    <w:qFormat/>
    <w:pPr>
      <w:ind w:left="210"/>
      <w:jc w:val="left"/>
    </w:pPr>
    <w:rPr>
      <w:smallCaps/>
      <w:szCs w:val="24"/>
    </w:rPr>
  </w:style>
  <w:style w:type="paragraph" w:styleId="1003" w:customStyle="1">
    <w:name w:val="目录 91"/>
    <w:basedOn w:val="716"/>
    <w:next w:val="716"/>
    <w:uiPriority w:val="0"/>
    <w:semiHidden/>
    <w:qFormat/>
    <w:pPr>
      <w:ind w:left="1680"/>
      <w:jc w:val="left"/>
    </w:pPr>
  </w:style>
  <w:style w:type="paragraph" w:styleId="1004" w:customStyle="1">
    <w:name w:val="正文文本 21"/>
    <w:basedOn w:val="716"/>
    <w:link w:val="1005"/>
    <w:uiPriority w:val="0"/>
    <w:qFormat/>
    <w:pPr>
      <w:jc w:val="center"/>
      <w:widowControl/>
    </w:pPr>
    <w:rPr>
      <w:rFonts w:ascii="楷体_GB2312" w:eastAsia="楷体_GB2312"/>
      <w:sz w:val="28"/>
      <w:szCs w:val="28"/>
      <w:lang w:eastAsia="en-US"/>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16"/>
    <w:next w:val="716"/>
    <w:uiPriority w:val="0"/>
    <w:semiHidden/>
    <w:qFormat/>
    <w:pPr>
      <w:spacing w:line="240" w:lineRule="atLeast"/>
    </w:pPr>
    <w:rPr>
      <w:b/>
      <w:bCs/>
    </w:rPr>
  </w:style>
  <w:style w:type="paragraph" w:styleId="1008" w:customStyle="1">
    <w:name w:val="批注主题1"/>
    <w:basedOn w:val="972"/>
    <w:next w:val="972"/>
    <w:link w:val="1009"/>
    <w:uiPriority w:val="0"/>
    <w:semiHidden/>
    <w:qFormat/>
    <w:rPr>
      <w:b/>
      <w:bC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
    <w:basedOn w:val="976"/>
    <w:link w:val="1011"/>
    <w:uiPriority w:val="0"/>
    <w:qFormat/>
    <w:pPr>
      <w:ind w:firstLine="200"/>
      <w:spacing w:line="360" w:lineRule="auto"/>
    </w:pPr>
    <w:rPr>
      <w:rFonts w:ascii="仿宋_GB2312" w:eastAsia="仿宋_GB2312"/>
      <w:sz w:val="30"/>
      <w:szCs w:val="30"/>
      <w:lang w:eastAsia="en-US"/>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796"/>
    <w:link w:val="1013"/>
    <w:uiPriority w:val="0"/>
    <w:qFormat/>
    <w:pPr>
      <w:ind w:firstLine="420"/>
      <w:spacing w:line="360" w:lineRule="auto"/>
    </w:pPr>
    <w:rPr>
      <w:rFonts w:ascii="宋体" w:hAnsi="宋体" w:eastAsia="宋体"/>
      <w:szCs w:val="20"/>
    </w:rPr>
  </w:style>
  <w:style w:type="character" w:styleId="1013" w:customStyle="1">
    <w:name w:val="正文首行缩进 2 Char"/>
    <w:link w:val="1012"/>
    <w:uiPriority w:val="0"/>
    <w:qFormat/>
    <w:rPr>
      <w:rFonts w:ascii="宋体" w:hAnsi="宋体" w:eastAsia="宋体" w:cs="Times New Roman"/>
      <w:sz w:val="32"/>
      <w:szCs w:val="20"/>
    </w:rPr>
  </w:style>
  <w:style w:type="table" w:styleId="1014" w:customStyle="1">
    <w:name w:val="网格型1"/>
    <w:basedOn w:val="957"/>
    <w:uiPriority w:val="0"/>
    <w:qFormat/>
    <w:pPr>
      <w:jc w:val="both"/>
      <w:widowControl w:val="off"/>
    </w:pPr>
    <w:tblPr/>
  </w:style>
  <w:style w:type="character" w:styleId="1015" w:customStyle="1">
    <w:name w:val="要点1"/>
    <w:uiPriority w:val="0"/>
    <w:qFormat/>
    <w:rPr>
      <w:b/>
      <w:bCs/>
    </w:rPr>
  </w:style>
  <w:style w:type="character" w:styleId="1016" w:customStyle="1">
    <w:name w:val="页码1"/>
    <w:uiPriority w:val="0"/>
    <w:qFormat/>
  </w:style>
  <w:style w:type="character" w:styleId="1017" w:customStyle="1">
    <w:name w:val="已访问的超链接1"/>
    <w:uiPriority w:val="0"/>
    <w:qFormat/>
    <w:rPr>
      <w:color w:val="800080"/>
      <w:u w:val="single"/>
    </w:rPr>
  </w:style>
  <w:style w:type="character" w:styleId="1018" w:customStyle="1">
    <w:name w:val="HTML 打字机1"/>
    <w:uiPriority w:val="99"/>
    <w:qFormat/>
    <w:rPr>
      <w:rFonts w:ascii="宋体" w:hAnsi="宋体" w:eastAsia="宋体" w:cs="宋体"/>
      <w:sz w:val="24"/>
      <w:szCs w:val="24"/>
    </w:rPr>
  </w:style>
  <w:style w:type="character" w:styleId="1019" w:customStyle="1">
    <w:name w:val="超链接1"/>
    <w:uiPriority w:val="0"/>
    <w:qFormat/>
    <w:rPr>
      <w:color w:val="0000ff"/>
      <w:u w:val="single"/>
    </w:rPr>
  </w:style>
  <w:style w:type="character" w:styleId="1020" w:customStyle="1">
    <w:name w:val="批注引用1"/>
    <w:uiPriority w:val="0"/>
    <w:semiHidden/>
    <w:qFormat/>
    <w:rPr>
      <w:sz w:val="21"/>
      <w:szCs w:val="21"/>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rFonts w:ascii="Calibri" w:hAnsi="Calibri"/>
      <w:b/>
      <w:sz w:val="30"/>
      <w:szCs w:val="28"/>
    </w:rPr>
  </w:style>
  <w:style w:type="paragraph" w:styleId="1023" w:customStyle="1">
    <w:name w:val="二级目录"/>
    <w:next w:val="716"/>
    <w:link w:val="102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16"/>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16"/>
    <w:next w:val="976"/>
    <w:uiPriority w:val="0"/>
    <w:qFormat/>
    <w:pPr>
      <w:spacing w:after="120"/>
    </w:pPr>
    <w:rPr>
      <w:rFonts w:ascii="宋体" w:hAnsi="Arial"/>
      <w:bCs/>
      <w:iCs/>
      <w:szCs w:val="24"/>
    </w:rPr>
  </w:style>
  <w:style w:type="paragraph" w:styleId="1027"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16"/>
    <w:uiPriority w:val="0"/>
    <w:qFormat/>
    <w:pPr>
      <w:ind w:firstLine="200"/>
      <w:tabs>
        <w:tab w:val="left" w:pos="360" w:leader="none"/>
      </w:tabs>
    </w:pPr>
    <w:rPr>
      <w:sz w:val="28"/>
      <w:szCs w:val="30"/>
    </w:rPr>
  </w:style>
  <w:style w:type="paragraph" w:styleId="1030" w:customStyle="1">
    <w:name w:val="Char1"/>
    <w:basedOn w:val="970"/>
    <w:uiPriority w:val="0"/>
    <w:qFormat/>
    <w:rPr>
      <w:rFonts w:ascii="Tahoma" w:hAnsi="Tahoma"/>
      <w:sz w:val="24"/>
      <w:szCs w:val="24"/>
    </w:rPr>
  </w:style>
  <w:style w:type="paragraph" w:styleId="103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16"/>
    <w:uiPriority w:val="0"/>
    <w:qFormat/>
    <w:pPr>
      <w:jc w:val="left"/>
      <w:widowControl/>
    </w:pPr>
    <w:rPr>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70"/>
    <w:uiPriority w:val="0"/>
    <w:qFormat/>
    <w:pPr>
      <w:spacing w:line="360" w:lineRule="auto"/>
    </w:pPr>
    <w:rPr>
      <w:rFonts w:ascii="Tahoma" w:hAnsi="Tahoma"/>
      <w:sz w:val="24"/>
      <w:szCs w:val="24"/>
    </w:rPr>
  </w:style>
  <w:style w:type="paragraph" w:styleId="1036"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37" w:customStyle="1">
    <w:name w:val="4"/>
    <w:basedOn w:val="716"/>
    <w:next w:val="999"/>
    <w:uiPriority w:val="0"/>
    <w:qFormat/>
    <w:pPr>
      <w:ind w:firstLine="420"/>
      <w:spacing w:line="360" w:lineRule="auto"/>
    </w:pPr>
    <w:rPr>
      <w:color w:val="ff0000"/>
      <w:sz w:val="24"/>
      <w:szCs w:val="24"/>
    </w:rPr>
  </w:style>
  <w:style w:type="paragraph" w:styleId="103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16"/>
    <w:uiPriority w:val="0"/>
    <w:qFormat/>
    <w:pPr>
      <w:spacing w:line="360" w:lineRule="auto"/>
    </w:pPr>
    <w:rPr>
      <w:sz w:val="24"/>
      <w:szCs w:val="20"/>
    </w:rPr>
  </w:style>
  <w:style w:type="paragraph" w:styleId="1040" w:customStyle="1">
    <w:name w:val="样式1"/>
    <w:basedOn w:val="716"/>
    <w:uiPriority w:val="0"/>
    <w:qFormat/>
    <w:pPr>
      <w:numPr>
        <w:ilvl w:val="0"/>
        <w:numId w:val="3"/>
      </w:numPr>
    </w:pPr>
    <w:rPr>
      <w:rFonts w:ascii="宋体" w:hAnsi="宋体"/>
    </w:rPr>
  </w:style>
  <w:style w:type="paragraph" w:styleId="104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45"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70"/>
    <w:uiPriority w:val="0"/>
    <w:qFormat/>
    <w:pPr>
      <w:spacing w:line="360" w:lineRule="auto"/>
    </w:pPr>
    <w:rPr>
      <w:rFonts w:ascii="Tahoma" w:hAnsi="Tahoma"/>
      <w:sz w:val="24"/>
      <w:szCs w:val="24"/>
    </w:rPr>
  </w:style>
  <w:style w:type="paragraph" w:styleId="1052" w:customStyle="1">
    <w:name w:val="table_1stline"/>
    <w:basedOn w:val="716"/>
    <w:uiPriority w:val="0"/>
    <w:qFormat/>
    <w:pPr>
      <w:jc w:val="left"/>
      <w:spacing w:before="120"/>
      <w:widowControl/>
    </w:pPr>
    <w:rPr>
      <w:bCs/>
      <w:sz w:val="20"/>
      <w:szCs w:val="20"/>
      <w:lang w:val="de-DE" w:eastAsia="de-DE"/>
    </w:rPr>
  </w:style>
  <w:style w:type="paragraph" w:styleId="105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普通文字"/>
    <w:basedOn w:val="716"/>
    <w:next w:val="716"/>
    <w:uiPriority w:val="99"/>
    <w:qFormat/>
    <w:rPr>
      <w:rFonts w:ascii="宋体"/>
      <w:sz w:val="24"/>
      <w:szCs w:val="20"/>
    </w:rPr>
  </w:style>
  <w:style w:type="paragraph" w:styleId="1058" w:customStyle="1">
    <w:name w:val="目录 111"/>
    <w:basedOn w:val="716"/>
    <w:next w:val="716"/>
    <w:uiPriority w:val="39"/>
    <w:unhideWhenUsed/>
    <w:qFormat/>
    <w:pPr>
      <w:jc w:val="left"/>
      <w:spacing w:after="100" w:line="259" w:lineRule="auto"/>
      <w:widowControl/>
    </w:pPr>
    <w:rPr>
      <w:rFonts w:ascii="Calibri" w:hAnsi="Calibri"/>
      <w:sz w:val="22"/>
      <w:szCs w:val="22"/>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2025-09-19T01:29:43Z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