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0F0BE4">
      <w:pPr>
        <w:widowControl/>
        <w:jc w:val="center"/>
        <w:rPr>
          <w:rFonts w:ascii="仿宋" w:hAnsi="仿宋" w:eastAsia="仿宋"/>
          <w:b/>
          <w:color w:val="auto"/>
          <w:w w:val="90"/>
          <w:sz w:val="48"/>
          <w:szCs w:val="48"/>
          <w:highlight w:val="none"/>
          <w:u w:val="single"/>
        </w:rPr>
      </w:pPr>
    </w:p>
    <w:p w14:paraId="7C89B63F">
      <w:pPr>
        <w:widowControl/>
        <w:jc w:val="center"/>
        <w:rPr>
          <w:rFonts w:ascii="仿宋" w:hAnsi="仿宋" w:eastAsia="仿宋"/>
          <w:b/>
          <w:color w:val="auto"/>
          <w:w w:val="90"/>
          <w:sz w:val="48"/>
          <w:szCs w:val="48"/>
          <w:highlight w:val="none"/>
          <w:u w:val="single"/>
        </w:rPr>
      </w:pPr>
    </w:p>
    <w:p w14:paraId="27D4A809">
      <w:pPr>
        <w:pStyle w:val="2"/>
        <w:rPr>
          <w:color w:val="auto"/>
          <w:highlight w:val="none"/>
        </w:rPr>
      </w:pPr>
    </w:p>
    <w:p w14:paraId="38CA35F4">
      <w:pPr>
        <w:snapToGrid w:val="0"/>
        <w:spacing w:line="360" w:lineRule="auto"/>
        <w:jc w:val="center"/>
        <w:rPr>
          <w:rFonts w:ascii="仿宋" w:hAnsi="仿宋" w:eastAsia="仿宋"/>
          <w:b/>
          <w:color w:val="auto"/>
          <w:w w:val="90"/>
          <w:sz w:val="36"/>
          <w:szCs w:val="36"/>
          <w:highlight w:val="none"/>
        </w:rPr>
      </w:pPr>
    </w:p>
    <w:p w14:paraId="273DE5EA">
      <w:pPr>
        <w:snapToGrid w:val="0"/>
        <w:spacing w:line="360" w:lineRule="auto"/>
        <w:jc w:val="center"/>
        <w:rPr>
          <w:rFonts w:ascii="仿宋" w:hAnsi="仿宋" w:eastAsia="仿宋"/>
          <w:b/>
          <w:color w:val="auto"/>
          <w:w w:val="90"/>
          <w:sz w:val="36"/>
          <w:szCs w:val="36"/>
          <w:highlight w:val="none"/>
        </w:rPr>
      </w:pPr>
      <w:r>
        <w:rPr>
          <w:rFonts w:hint="eastAsia" w:ascii="仿宋" w:hAnsi="仿宋" w:eastAsia="仿宋"/>
          <w:b/>
          <w:color w:val="auto"/>
          <w:w w:val="90"/>
          <w:sz w:val="36"/>
          <w:szCs w:val="36"/>
          <w:highlight w:val="none"/>
        </w:rPr>
        <w:t>江苏省地质调查研究院</w:t>
      </w:r>
    </w:p>
    <w:p w14:paraId="06FD6777">
      <w:pPr>
        <w:snapToGrid w:val="0"/>
        <w:spacing w:line="360" w:lineRule="auto"/>
        <w:jc w:val="center"/>
        <w:rPr>
          <w:rFonts w:hint="eastAsia" w:ascii="仿宋" w:hAnsi="仿宋" w:eastAsia="仿宋"/>
          <w:b/>
          <w:color w:val="auto"/>
          <w:w w:val="90"/>
          <w:sz w:val="36"/>
          <w:szCs w:val="36"/>
          <w:highlight w:val="none"/>
          <w:lang w:eastAsia="zh-CN"/>
        </w:rPr>
      </w:pPr>
      <w:bookmarkStart w:id="0" w:name="_Hlk132963650"/>
      <w:r>
        <w:rPr>
          <w:rFonts w:hint="eastAsia" w:ascii="仿宋" w:hAnsi="仿宋" w:eastAsia="仿宋"/>
          <w:b/>
          <w:color w:val="auto"/>
          <w:w w:val="90"/>
          <w:sz w:val="36"/>
          <w:szCs w:val="36"/>
          <w:highlight w:val="none"/>
          <w:lang w:eastAsia="zh-CN"/>
        </w:rPr>
        <w:t>数字赋能与智慧监管2024年商业光学卫星影像补充</w:t>
      </w:r>
    </w:p>
    <w:p w14:paraId="390891C3">
      <w:pPr>
        <w:snapToGrid w:val="0"/>
        <w:spacing w:line="360" w:lineRule="auto"/>
        <w:jc w:val="center"/>
        <w:rPr>
          <w:rFonts w:ascii="仿宋" w:hAnsi="仿宋" w:eastAsia="仿宋"/>
          <w:b/>
          <w:color w:val="auto"/>
          <w:w w:val="90"/>
          <w:sz w:val="36"/>
          <w:szCs w:val="36"/>
          <w:highlight w:val="none"/>
        </w:rPr>
      </w:pPr>
      <w:r>
        <w:rPr>
          <w:rFonts w:hint="eastAsia" w:ascii="仿宋" w:hAnsi="仿宋" w:eastAsia="仿宋"/>
          <w:b/>
          <w:color w:val="auto"/>
          <w:w w:val="90"/>
          <w:sz w:val="36"/>
          <w:szCs w:val="36"/>
          <w:highlight w:val="none"/>
        </w:rPr>
        <w:t>招标文件</w:t>
      </w:r>
    </w:p>
    <w:bookmarkEnd w:id="0"/>
    <w:p w14:paraId="223ABD67">
      <w:pPr>
        <w:widowControl/>
        <w:jc w:val="center"/>
        <w:rPr>
          <w:rFonts w:ascii="仿宋" w:hAnsi="仿宋" w:eastAsia="仿宋"/>
          <w:b/>
          <w:color w:val="auto"/>
          <w:w w:val="90"/>
          <w:sz w:val="32"/>
          <w:szCs w:val="32"/>
          <w:highlight w:val="none"/>
        </w:rPr>
      </w:pPr>
    </w:p>
    <w:p w14:paraId="39C7F134">
      <w:pPr>
        <w:widowControl/>
        <w:ind w:firstLine="1866" w:firstLineChars="645"/>
        <w:rPr>
          <w:rFonts w:ascii="仿宋" w:hAnsi="仿宋" w:eastAsia="仿宋"/>
          <w:b/>
          <w:color w:val="auto"/>
          <w:w w:val="90"/>
          <w:sz w:val="32"/>
          <w:szCs w:val="32"/>
          <w:highlight w:val="none"/>
        </w:rPr>
      </w:pPr>
    </w:p>
    <w:p w14:paraId="56E1DD40">
      <w:pPr>
        <w:widowControl/>
        <w:rPr>
          <w:rFonts w:ascii="仿宋" w:hAnsi="仿宋" w:eastAsia="仿宋"/>
          <w:b/>
          <w:color w:val="auto"/>
          <w:w w:val="90"/>
          <w:sz w:val="28"/>
          <w:szCs w:val="32"/>
          <w:highlight w:val="none"/>
        </w:rPr>
      </w:pPr>
    </w:p>
    <w:p w14:paraId="1D777781">
      <w:pPr>
        <w:widowControl/>
        <w:ind w:firstLine="1632" w:firstLineChars="645"/>
        <w:rPr>
          <w:rFonts w:ascii="仿宋" w:hAnsi="仿宋" w:eastAsia="仿宋"/>
          <w:b/>
          <w:color w:val="auto"/>
          <w:w w:val="90"/>
          <w:sz w:val="28"/>
          <w:szCs w:val="32"/>
          <w:highlight w:val="none"/>
        </w:rPr>
      </w:pPr>
    </w:p>
    <w:p w14:paraId="7B0B3FD3">
      <w:pPr>
        <w:pStyle w:val="2"/>
        <w:rPr>
          <w:color w:val="auto"/>
          <w:highlight w:val="none"/>
        </w:rPr>
      </w:pPr>
    </w:p>
    <w:p w14:paraId="6D5161ED">
      <w:pPr>
        <w:widowControl/>
        <w:ind w:firstLine="1632" w:firstLineChars="645"/>
        <w:rPr>
          <w:rFonts w:ascii="仿宋" w:hAnsi="仿宋" w:eastAsia="仿宋"/>
          <w:b/>
          <w:color w:val="auto"/>
          <w:w w:val="90"/>
          <w:sz w:val="28"/>
          <w:szCs w:val="32"/>
          <w:highlight w:val="none"/>
        </w:rPr>
      </w:pPr>
    </w:p>
    <w:p w14:paraId="193FADF8">
      <w:pPr>
        <w:widowControl/>
        <w:ind w:firstLine="1632" w:firstLineChars="645"/>
        <w:rPr>
          <w:rFonts w:ascii="仿宋" w:hAnsi="仿宋" w:eastAsia="仿宋"/>
          <w:b/>
          <w:color w:val="auto"/>
          <w:w w:val="90"/>
          <w:sz w:val="28"/>
          <w:szCs w:val="32"/>
          <w:highlight w:val="none"/>
        </w:rPr>
      </w:pPr>
    </w:p>
    <w:p w14:paraId="3AC0947C">
      <w:pPr>
        <w:widowControl/>
        <w:ind w:firstLine="1632" w:firstLineChars="645"/>
        <w:rPr>
          <w:rFonts w:ascii="仿宋" w:hAnsi="仿宋" w:eastAsia="仿宋"/>
          <w:b/>
          <w:color w:val="auto"/>
          <w:w w:val="90"/>
          <w:sz w:val="28"/>
          <w:szCs w:val="32"/>
          <w:highlight w:val="none"/>
        </w:rPr>
      </w:pPr>
    </w:p>
    <w:p w14:paraId="03088D47">
      <w:pPr>
        <w:widowControl/>
        <w:ind w:firstLine="1632" w:firstLineChars="645"/>
        <w:rPr>
          <w:rFonts w:ascii="仿宋" w:hAnsi="仿宋" w:eastAsia="仿宋"/>
          <w:b/>
          <w:color w:val="auto"/>
          <w:w w:val="90"/>
          <w:sz w:val="28"/>
          <w:szCs w:val="32"/>
          <w:highlight w:val="none"/>
        </w:rPr>
      </w:pPr>
    </w:p>
    <w:p w14:paraId="61EBDC7A">
      <w:pPr>
        <w:widowControl/>
        <w:spacing w:line="360" w:lineRule="auto"/>
        <w:ind w:left="2000" w:leftChars="1000" w:right="2000" w:rightChars="1000"/>
        <w:jc w:val="distribute"/>
        <w:rPr>
          <w:rFonts w:ascii="仿宋" w:hAnsi="仿宋" w:eastAsia="仿宋"/>
          <w:b/>
          <w:color w:val="auto"/>
          <w:w w:val="90"/>
          <w:sz w:val="24"/>
          <w:szCs w:val="32"/>
          <w:highlight w:val="none"/>
        </w:rPr>
      </w:pPr>
      <w:r>
        <w:rPr>
          <w:rFonts w:hint="eastAsia" w:ascii="仿宋" w:hAnsi="仿宋" w:eastAsia="仿宋"/>
          <w:b/>
          <w:color w:val="auto"/>
          <w:w w:val="90"/>
          <w:sz w:val="24"/>
          <w:szCs w:val="32"/>
          <w:highlight w:val="none"/>
        </w:rPr>
        <w:t>项目编号:</w:t>
      </w:r>
      <w:r>
        <w:rPr>
          <w:rFonts w:hint="eastAsia" w:ascii="黑体" w:hAnsi="宋体" w:eastAsia="黑体"/>
          <w:b/>
          <w:color w:val="auto"/>
          <w:w w:val="90"/>
          <w:sz w:val="24"/>
          <w:szCs w:val="32"/>
          <w:highlight w:val="none"/>
          <w:lang w:eastAsia="zh-CN"/>
        </w:rPr>
        <w:t>JSTCC2400216482</w:t>
      </w:r>
      <w:r>
        <w:rPr>
          <w:rFonts w:hint="eastAsia" w:ascii="黑体" w:hAnsi="宋体" w:eastAsia="黑体"/>
          <w:b/>
          <w:color w:val="auto"/>
          <w:w w:val="90"/>
          <w:sz w:val="24"/>
          <w:szCs w:val="32"/>
          <w:highlight w:val="none"/>
        </w:rPr>
        <w:t>（</w:t>
      </w:r>
      <w:r>
        <w:rPr>
          <w:rFonts w:hint="eastAsia" w:ascii="黑体" w:hAnsi="宋体" w:eastAsia="黑体"/>
          <w:b/>
          <w:color w:val="auto"/>
          <w:w w:val="90"/>
          <w:sz w:val="24"/>
          <w:szCs w:val="32"/>
          <w:highlight w:val="none"/>
          <w:lang w:eastAsia="zh-CN"/>
        </w:rPr>
        <w:t>JSZC-320000-JITC-G2024-0322</w:t>
      </w:r>
      <w:r>
        <w:rPr>
          <w:rFonts w:hint="eastAsia" w:ascii="黑体" w:hAnsi="宋体" w:eastAsia="黑体"/>
          <w:b/>
          <w:color w:val="auto"/>
          <w:w w:val="90"/>
          <w:sz w:val="24"/>
          <w:szCs w:val="32"/>
          <w:highlight w:val="none"/>
        </w:rPr>
        <w:t>）</w:t>
      </w:r>
    </w:p>
    <w:p w14:paraId="05D8091F">
      <w:pPr>
        <w:widowControl/>
        <w:spacing w:line="360" w:lineRule="auto"/>
        <w:ind w:left="2000" w:leftChars="1000" w:right="2000" w:rightChars="1000"/>
        <w:jc w:val="distribute"/>
        <w:rPr>
          <w:rFonts w:ascii="仿宋" w:hAnsi="仿宋" w:eastAsia="仿宋"/>
          <w:b/>
          <w:color w:val="auto"/>
          <w:w w:val="90"/>
          <w:sz w:val="24"/>
          <w:szCs w:val="32"/>
          <w:highlight w:val="none"/>
        </w:rPr>
      </w:pPr>
      <w:r>
        <w:rPr>
          <w:rFonts w:hint="eastAsia" w:ascii="仿宋" w:hAnsi="仿宋" w:eastAsia="仿宋"/>
          <w:b/>
          <w:color w:val="auto"/>
          <w:w w:val="90"/>
          <w:sz w:val="24"/>
          <w:szCs w:val="32"/>
          <w:highlight w:val="none"/>
        </w:rPr>
        <w:t>采购人：江苏省地质调查研究院</w:t>
      </w:r>
    </w:p>
    <w:p w14:paraId="4438BAB8">
      <w:pPr>
        <w:widowControl/>
        <w:spacing w:line="360" w:lineRule="auto"/>
        <w:ind w:left="2000" w:leftChars="1000" w:right="2000" w:rightChars="1000"/>
        <w:jc w:val="distribute"/>
        <w:rPr>
          <w:rFonts w:ascii="仿宋" w:hAnsi="仿宋" w:eastAsia="仿宋"/>
          <w:b/>
          <w:color w:val="auto"/>
          <w:w w:val="90"/>
          <w:sz w:val="24"/>
          <w:szCs w:val="32"/>
          <w:highlight w:val="none"/>
        </w:rPr>
      </w:pPr>
      <w:r>
        <w:rPr>
          <w:rFonts w:hint="eastAsia" w:ascii="仿宋" w:hAnsi="仿宋" w:eastAsia="仿宋"/>
          <w:b/>
          <w:color w:val="auto"/>
          <w:w w:val="90"/>
          <w:sz w:val="24"/>
          <w:szCs w:val="32"/>
          <w:highlight w:val="none"/>
        </w:rPr>
        <w:t>采购代理机构：江苏省招标中心有限公司</w:t>
      </w:r>
    </w:p>
    <w:p w14:paraId="5D1BA60B">
      <w:pPr>
        <w:widowControl/>
        <w:ind w:firstLine="1721" w:firstLineChars="595"/>
        <w:rPr>
          <w:rFonts w:ascii="仿宋" w:hAnsi="仿宋" w:eastAsia="仿宋"/>
          <w:b/>
          <w:color w:val="auto"/>
          <w:w w:val="90"/>
          <w:sz w:val="32"/>
          <w:szCs w:val="32"/>
          <w:highlight w:val="none"/>
        </w:rPr>
      </w:pPr>
    </w:p>
    <w:p w14:paraId="775D87B2">
      <w:pPr>
        <w:spacing w:before="312" w:beforeLines="100" w:after="312" w:afterLines="100"/>
        <w:jc w:val="center"/>
        <w:rPr>
          <w:rFonts w:ascii="仿宋" w:hAnsi="仿宋" w:eastAsia="仿宋"/>
          <w:b/>
          <w:bCs/>
          <w:color w:val="auto"/>
          <w:sz w:val="24"/>
          <w:szCs w:val="24"/>
          <w:highlight w:val="none"/>
        </w:rPr>
      </w:pPr>
      <w:r>
        <w:rPr>
          <w:rFonts w:ascii="仿宋" w:hAnsi="仿宋" w:eastAsia="仿宋"/>
          <w:b/>
          <w:color w:val="auto"/>
          <w:w w:val="90"/>
          <w:sz w:val="32"/>
          <w:szCs w:val="32"/>
          <w:highlight w:val="none"/>
        </w:rPr>
        <w:t>20</w:t>
      </w:r>
      <w:r>
        <w:rPr>
          <w:rFonts w:hint="eastAsia" w:ascii="仿宋" w:hAnsi="仿宋" w:eastAsia="仿宋"/>
          <w:b/>
          <w:color w:val="auto"/>
          <w:w w:val="90"/>
          <w:sz w:val="32"/>
          <w:szCs w:val="32"/>
          <w:highlight w:val="none"/>
        </w:rPr>
        <w:t>24</w:t>
      </w:r>
      <w:r>
        <w:rPr>
          <w:rFonts w:ascii="仿宋" w:hAnsi="仿宋" w:eastAsia="仿宋"/>
          <w:b/>
          <w:color w:val="auto"/>
          <w:w w:val="90"/>
          <w:sz w:val="32"/>
          <w:szCs w:val="32"/>
          <w:highlight w:val="none"/>
        </w:rPr>
        <w:t>年</w:t>
      </w:r>
      <w:r>
        <w:rPr>
          <w:rFonts w:hint="eastAsia" w:ascii="仿宋" w:hAnsi="仿宋" w:eastAsia="仿宋"/>
          <w:b/>
          <w:color w:val="auto"/>
          <w:w w:val="90"/>
          <w:sz w:val="32"/>
          <w:szCs w:val="32"/>
          <w:highlight w:val="none"/>
        </w:rPr>
        <w:t>1</w:t>
      </w:r>
      <w:r>
        <w:rPr>
          <w:rFonts w:hint="eastAsia" w:ascii="仿宋" w:hAnsi="仿宋" w:eastAsia="仿宋"/>
          <w:b/>
          <w:color w:val="auto"/>
          <w:w w:val="90"/>
          <w:sz w:val="32"/>
          <w:szCs w:val="32"/>
          <w:highlight w:val="none"/>
          <w:lang w:val="en-US" w:eastAsia="zh-CN"/>
        </w:rPr>
        <w:t>1</w:t>
      </w:r>
      <w:r>
        <w:rPr>
          <w:rFonts w:hint="eastAsia" w:ascii="仿宋" w:hAnsi="仿宋" w:eastAsia="仿宋"/>
          <w:b/>
          <w:color w:val="auto"/>
          <w:w w:val="90"/>
          <w:sz w:val="32"/>
          <w:szCs w:val="32"/>
          <w:highlight w:val="none"/>
        </w:rPr>
        <w:t>月</w:t>
      </w:r>
    </w:p>
    <w:p w14:paraId="33A63781">
      <w:pPr>
        <w:widowControl/>
        <w:autoSpaceDE/>
        <w:autoSpaceDN/>
        <w:adjustRightInd/>
        <w:rPr>
          <w:rFonts w:ascii="仿宋" w:hAnsi="仿宋" w:eastAsia="仿宋"/>
          <w:b/>
          <w:bCs/>
          <w:color w:val="auto"/>
          <w:sz w:val="28"/>
          <w:szCs w:val="28"/>
          <w:highlight w:val="none"/>
          <w:lang w:val="zh-CN"/>
        </w:rPr>
      </w:pPr>
      <w:r>
        <w:rPr>
          <w:rFonts w:ascii="仿宋" w:hAnsi="仿宋" w:eastAsia="仿宋"/>
          <w:color w:val="auto"/>
          <w:highlight w:val="none"/>
          <w:lang w:val="zh-CN"/>
        </w:rPr>
        <w:br w:type="page"/>
      </w:r>
    </w:p>
    <w:p w14:paraId="280B1BA1">
      <w:pPr>
        <w:pStyle w:val="118"/>
        <w:spacing w:before="240"/>
        <w:jc w:val="center"/>
        <w:rPr>
          <w:rFonts w:ascii="仿宋" w:hAnsi="仿宋" w:eastAsia="仿宋"/>
          <w:color w:val="auto"/>
          <w:highlight w:val="none"/>
        </w:rPr>
      </w:pPr>
      <w:r>
        <w:rPr>
          <w:rFonts w:ascii="仿宋" w:hAnsi="仿宋" w:eastAsia="仿宋"/>
          <w:color w:val="auto"/>
          <w:highlight w:val="none"/>
          <w:lang w:val="zh-CN"/>
        </w:rPr>
        <w:t>目   录</w:t>
      </w:r>
    </w:p>
    <w:p w14:paraId="7E568BA0">
      <w:pPr>
        <w:pStyle w:val="30"/>
        <w:tabs>
          <w:tab w:val="right" w:leader="dot" w:pos="9638"/>
        </w:tabs>
        <w:rPr>
          <w:color w:val="auto"/>
          <w:highlight w:val="none"/>
        </w:rPr>
      </w:pPr>
      <w:r>
        <w:rPr>
          <w:rFonts w:ascii="仿宋" w:hAnsi="仿宋" w:eastAsia="仿宋"/>
          <w:bCs w:val="0"/>
          <w:caps w:val="0"/>
          <w:color w:val="auto"/>
          <w:sz w:val="22"/>
          <w:szCs w:val="22"/>
          <w:highlight w:val="none"/>
        </w:rPr>
        <w:fldChar w:fldCharType="begin"/>
      </w:r>
      <w:r>
        <w:rPr>
          <w:rFonts w:ascii="仿宋" w:hAnsi="仿宋" w:eastAsia="仿宋"/>
          <w:bCs w:val="0"/>
          <w:caps w:val="0"/>
          <w:color w:val="auto"/>
          <w:sz w:val="22"/>
          <w:szCs w:val="22"/>
          <w:highlight w:val="none"/>
        </w:rPr>
        <w:instrText xml:space="preserve"> TOC \o "1-3" \h \z \u </w:instrText>
      </w:r>
      <w:r>
        <w:rPr>
          <w:rFonts w:ascii="仿宋" w:hAnsi="仿宋" w:eastAsia="仿宋"/>
          <w:bCs w:val="0"/>
          <w:caps w:val="0"/>
          <w:color w:val="auto"/>
          <w:sz w:val="22"/>
          <w:szCs w:val="22"/>
          <w:highlight w:val="none"/>
        </w:rPr>
        <w:fldChar w:fldCharType="separate"/>
      </w:r>
      <w:r>
        <w:rPr>
          <w:color w:val="auto"/>
          <w:highlight w:val="none"/>
        </w:rPr>
        <w:fldChar w:fldCharType="begin"/>
      </w:r>
      <w:r>
        <w:rPr>
          <w:color w:val="auto"/>
          <w:highlight w:val="none"/>
        </w:rPr>
        <w:instrText xml:space="preserve"> HYPERLINK \l "_Toc491" </w:instrText>
      </w:r>
      <w:r>
        <w:rPr>
          <w:color w:val="auto"/>
          <w:highlight w:val="none"/>
        </w:rPr>
        <w:fldChar w:fldCharType="separate"/>
      </w:r>
      <w:r>
        <w:rPr>
          <w:rFonts w:hint="eastAsia" w:ascii="仿宋" w:hAnsi="仿宋" w:eastAsia="仿宋"/>
          <w:color w:val="auto"/>
          <w:szCs w:val="36"/>
          <w:highlight w:val="none"/>
        </w:rPr>
        <w:t>第一章    供应商须知</w:t>
      </w:r>
      <w:r>
        <w:rPr>
          <w:color w:val="auto"/>
          <w:highlight w:val="none"/>
        </w:rPr>
        <w:tab/>
      </w:r>
      <w:r>
        <w:rPr>
          <w:color w:val="auto"/>
          <w:highlight w:val="none"/>
        </w:rPr>
        <w:fldChar w:fldCharType="begin"/>
      </w:r>
      <w:r>
        <w:rPr>
          <w:color w:val="auto"/>
          <w:highlight w:val="none"/>
        </w:rPr>
        <w:instrText xml:space="preserve"> PAGEREF _Toc491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09339BDF">
      <w:pPr>
        <w:pStyle w:val="36"/>
        <w:tabs>
          <w:tab w:val="right" w:leader="dot" w:pos="9638"/>
        </w:tabs>
        <w:rPr>
          <w:color w:val="auto"/>
          <w:highlight w:val="none"/>
        </w:rPr>
      </w:pPr>
      <w:r>
        <w:rPr>
          <w:color w:val="auto"/>
          <w:highlight w:val="none"/>
        </w:rPr>
        <w:fldChar w:fldCharType="begin"/>
      </w:r>
      <w:r>
        <w:rPr>
          <w:color w:val="auto"/>
          <w:highlight w:val="none"/>
        </w:rPr>
        <w:instrText xml:space="preserve"> HYPERLINK \l "_Toc8702" </w:instrText>
      </w:r>
      <w:r>
        <w:rPr>
          <w:color w:val="auto"/>
          <w:highlight w:val="none"/>
        </w:rPr>
        <w:fldChar w:fldCharType="separate"/>
      </w:r>
      <w:r>
        <w:rPr>
          <w:rFonts w:hint="eastAsia" w:ascii="仿宋" w:hAnsi="仿宋" w:eastAsia="仿宋"/>
          <w:color w:val="auto"/>
          <w:szCs w:val="24"/>
          <w:highlight w:val="none"/>
        </w:rPr>
        <w:t>一、总则</w:t>
      </w:r>
      <w:r>
        <w:rPr>
          <w:color w:val="auto"/>
          <w:highlight w:val="none"/>
        </w:rPr>
        <w:tab/>
      </w:r>
      <w:r>
        <w:rPr>
          <w:color w:val="auto"/>
          <w:highlight w:val="none"/>
        </w:rPr>
        <w:fldChar w:fldCharType="begin"/>
      </w:r>
      <w:r>
        <w:rPr>
          <w:color w:val="auto"/>
          <w:highlight w:val="none"/>
        </w:rPr>
        <w:instrText xml:space="preserve"> PAGEREF _Toc8702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196C2D2C">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"_Toc26069" </w:instrText>
      </w:r>
      <w:r>
        <w:rPr>
          <w:color w:val="auto"/>
          <w:highlight w:val="none"/>
        </w:rPr>
        <w:fldChar w:fldCharType="separate"/>
      </w:r>
      <w:r>
        <w:rPr>
          <w:rFonts w:hint="eastAsia" w:ascii="仿宋" w:hAnsi="仿宋" w:eastAsia="仿宋"/>
          <w:color w:val="auto"/>
          <w:szCs w:val="24"/>
          <w:highlight w:val="none"/>
        </w:rPr>
        <w:t>1．适用范围</w:t>
      </w:r>
      <w:r>
        <w:rPr>
          <w:color w:val="auto"/>
          <w:highlight w:val="none"/>
        </w:rPr>
        <w:tab/>
      </w:r>
      <w:r>
        <w:rPr>
          <w:color w:val="auto"/>
          <w:highlight w:val="none"/>
        </w:rPr>
        <w:fldChar w:fldCharType="begin"/>
      </w:r>
      <w:r>
        <w:rPr>
          <w:color w:val="auto"/>
          <w:highlight w:val="none"/>
        </w:rPr>
        <w:instrText xml:space="preserve"> PAGEREF _Toc26069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46276C75">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"_Toc2126" </w:instrText>
      </w:r>
      <w:r>
        <w:rPr>
          <w:color w:val="auto"/>
          <w:highlight w:val="none"/>
        </w:rPr>
        <w:fldChar w:fldCharType="separate"/>
      </w:r>
      <w:r>
        <w:rPr>
          <w:rFonts w:hint="eastAsia" w:ascii="仿宋" w:hAnsi="仿宋" w:eastAsia="仿宋"/>
          <w:color w:val="auto"/>
          <w:szCs w:val="24"/>
          <w:highlight w:val="none"/>
        </w:rPr>
        <w:t>2．合格的供应商</w:t>
      </w:r>
      <w:r>
        <w:rPr>
          <w:color w:val="auto"/>
          <w:highlight w:val="none"/>
        </w:rPr>
        <w:tab/>
      </w:r>
      <w:r>
        <w:rPr>
          <w:color w:val="auto"/>
          <w:highlight w:val="none"/>
        </w:rPr>
        <w:fldChar w:fldCharType="begin"/>
      </w:r>
      <w:r>
        <w:rPr>
          <w:color w:val="auto"/>
          <w:highlight w:val="none"/>
        </w:rPr>
        <w:instrText xml:space="preserve"> PAGEREF _Toc2126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768D5301">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"_Toc2137" </w:instrText>
      </w:r>
      <w:r>
        <w:rPr>
          <w:color w:val="auto"/>
          <w:highlight w:val="none"/>
        </w:rPr>
        <w:fldChar w:fldCharType="separate"/>
      </w:r>
      <w:r>
        <w:rPr>
          <w:rFonts w:hint="eastAsia" w:ascii="仿宋" w:hAnsi="仿宋" w:eastAsia="仿宋"/>
          <w:color w:val="auto"/>
          <w:szCs w:val="24"/>
          <w:highlight w:val="none"/>
        </w:rPr>
        <w:t>3．投标费用</w:t>
      </w:r>
      <w:r>
        <w:rPr>
          <w:color w:val="auto"/>
          <w:highlight w:val="none"/>
        </w:rPr>
        <w:tab/>
      </w:r>
      <w:r>
        <w:rPr>
          <w:color w:val="auto"/>
          <w:highlight w:val="none"/>
        </w:rPr>
        <w:fldChar w:fldCharType="begin"/>
      </w:r>
      <w:r>
        <w:rPr>
          <w:color w:val="auto"/>
          <w:highlight w:val="none"/>
        </w:rPr>
        <w:instrText xml:space="preserve"> PAGEREF _Toc2137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3078E6CE">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"_Toc32129" </w:instrText>
      </w:r>
      <w:r>
        <w:rPr>
          <w:color w:val="auto"/>
          <w:highlight w:val="none"/>
        </w:rPr>
        <w:fldChar w:fldCharType="separate"/>
      </w:r>
      <w:r>
        <w:rPr>
          <w:rFonts w:hint="eastAsia" w:ascii="仿宋" w:hAnsi="仿宋" w:eastAsia="仿宋"/>
          <w:color w:val="auto"/>
          <w:szCs w:val="24"/>
          <w:highlight w:val="none"/>
        </w:rPr>
        <w:t>4．法律适用</w:t>
      </w:r>
      <w:r>
        <w:rPr>
          <w:color w:val="auto"/>
          <w:highlight w:val="none"/>
        </w:rPr>
        <w:tab/>
      </w:r>
      <w:r>
        <w:rPr>
          <w:color w:val="auto"/>
          <w:highlight w:val="none"/>
        </w:rPr>
        <w:fldChar w:fldCharType="begin"/>
      </w:r>
      <w:r>
        <w:rPr>
          <w:color w:val="auto"/>
          <w:highlight w:val="none"/>
        </w:rPr>
        <w:instrText xml:space="preserve"> PAGEREF _Toc32129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28862E68">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"_Toc31514" </w:instrText>
      </w:r>
      <w:r>
        <w:rPr>
          <w:color w:val="auto"/>
          <w:highlight w:val="none"/>
        </w:rPr>
        <w:fldChar w:fldCharType="separate"/>
      </w:r>
      <w:r>
        <w:rPr>
          <w:rFonts w:hint="eastAsia" w:ascii="仿宋" w:hAnsi="仿宋" w:eastAsia="仿宋"/>
          <w:color w:val="auto"/>
          <w:szCs w:val="24"/>
          <w:highlight w:val="none"/>
        </w:rPr>
        <w:t>5．招标文件的约束力</w:t>
      </w:r>
      <w:r>
        <w:rPr>
          <w:color w:val="auto"/>
          <w:highlight w:val="none"/>
        </w:rPr>
        <w:tab/>
      </w:r>
      <w:r>
        <w:rPr>
          <w:color w:val="auto"/>
          <w:highlight w:val="none"/>
        </w:rPr>
        <w:fldChar w:fldCharType="begin"/>
      </w:r>
      <w:r>
        <w:rPr>
          <w:color w:val="auto"/>
          <w:highlight w:val="none"/>
        </w:rPr>
        <w:instrText xml:space="preserve"> PAGEREF _Toc31514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22DCB3A5">
      <w:pPr>
        <w:pStyle w:val="36"/>
        <w:tabs>
          <w:tab w:val="right" w:leader="dot" w:pos="9638"/>
        </w:tabs>
        <w:rPr>
          <w:color w:val="auto"/>
          <w:highlight w:val="none"/>
        </w:rPr>
      </w:pPr>
      <w:r>
        <w:rPr>
          <w:color w:val="auto"/>
          <w:highlight w:val="none"/>
        </w:rPr>
        <w:fldChar w:fldCharType="begin"/>
      </w:r>
      <w:r>
        <w:rPr>
          <w:color w:val="auto"/>
          <w:highlight w:val="none"/>
        </w:rPr>
        <w:instrText xml:space="preserve"> HYPERLINK \l "_Toc29775" </w:instrText>
      </w:r>
      <w:r>
        <w:rPr>
          <w:color w:val="auto"/>
          <w:highlight w:val="none"/>
        </w:rPr>
        <w:fldChar w:fldCharType="separate"/>
      </w:r>
      <w:r>
        <w:rPr>
          <w:rFonts w:hint="eastAsia" w:ascii="仿宋" w:hAnsi="仿宋" w:eastAsia="仿宋"/>
          <w:color w:val="auto"/>
          <w:szCs w:val="24"/>
          <w:highlight w:val="none"/>
        </w:rPr>
        <w:t>二、招标文件</w:t>
      </w:r>
      <w:r>
        <w:rPr>
          <w:color w:val="auto"/>
          <w:highlight w:val="none"/>
        </w:rPr>
        <w:tab/>
      </w:r>
      <w:r>
        <w:rPr>
          <w:color w:val="auto"/>
          <w:highlight w:val="none"/>
        </w:rPr>
        <w:fldChar w:fldCharType="begin"/>
      </w:r>
      <w:r>
        <w:rPr>
          <w:color w:val="auto"/>
          <w:highlight w:val="none"/>
        </w:rPr>
        <w:instrText xml:space="preserve"> PAGEREF _Toc29775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3F3EB4AB">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"_Toc22308" </w:instrText>
      </w:r>
      <w:r>
        <w:rPr>
          <w:color w:val="auto"/>
          <w:highlight w:val="none"/>
        </w:rPr>
        <w:fldChar w:fldCharType="separate"/>
      </w:r>
      <w:r>
        <w:rPr>
          <w:rFonts w:hint="eastAsia" w:ascii="仿宋" w:hAnsi="仿宋" w:eastAsia="仿宋"/>
          <w:color w:val="auto"/>
          <w:szCs w:val="24"/>
          <w:highlight w:val="none"/>
        </w:rPr>
        <w:t>6．招标文件的组成</w:t>
      </w:r>
      <w:r>
        <w:rPr>
          <w:color w:val="auto"/>
          <w:highlight w:val="none"/>
        </w:rPr>
        <w:tab/>
      </w:r>
      <w:r>
        <w:rPr>
          <w:color w:val="auto"/>
          <w:highlight w:val="none"/>
        </w:rPr>
        <w:fldChar w:fldCharType="begin"/>
      </w:r>
      <w:r>
        <w:rPr>
          <w:color w:val="auto"/>
          <w:highlight w:val="none"/>
        </w:rPr>
        <w:instrText xml:space="preserve"> PAGEREF _Toc22308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7A6BD1DB">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"_Toc5623" </w:instrText>
      </w:r>
      <w:r>
        <w:rPr>
          <w:color w:val="auto"/>
          <w:highlight w:val="none"/>
        </w:rPr>
        <w:fldChar w:fldCharType="separate"/>
      </w:r>
      <w:r>
        <w:rPr>
          <w:rFonts w:hint="eastAsia" w:ascii="仿宋" w:hAnsi="仿宋" w:eastAsia="仿宋"/>
          <w:color w:val="auto"/>
          <w:szCs w:val="24"/>
          <w:highlight w:val="none"/>
        </w:rPr>
        <w:t>7．招标文件的澄清或修改</w:t>
      </w:r>
      <w:r>
        <w:rPr>
          <w:color w:val="auto"/>
          <w:highlight w:val="none"/>
        </w:rPr>
        <w:tab/>
      </w:r>
      <w:r>
        <w:rPr>
          <w:color w:val="auto"/>
          <w:highlight w:val="none"/>
        </w:rPr>
        <w:fldChar w:fldCharType="begin"/>
      </w:r>
      <w:r>
        <w:rPr>
          <w:color w:val="auto"/>
          <w:highlight w:val="none"/>
        </w:rPr>
        <w:instrText xml:space="preserve"> PAGEREF _Toc5623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4010803B">
      <w:pPr>
        <w:pStyle w:val="36"/>
        <w:tabs>
          <w:tab w:val="right" w:leader="dot" w:pos="9638"/>
        </w:tabs>
        <w:rPr>
          <w:color w:val="auto"/>
          <w:highlight w:val="none"/>
        </w:rPr>
      </w:pPr>
      <w:r>
        <w:rPr>
          <w:color w:val="auto"/>
          <w:highlight w:val="none"/>
        </w:rPr>
        <w:fldChar w:fldCharType="begin"/>
      </w:r>
      <w:r>
        <w:rPr>
          <w:color w:val="auto"/>
          <w:highlight w:val="none"/>
        </w:rPr>
        <w:instrText xml:space="preserve"> HYPERLINK \l "_Toc27515" </w:instrText>
      </w:r>
      <w:r>
        <w:rPr>
          <w:color w:val="auto"/>
          <w:highlight w:val="none"/>
        </w:rPr>
        <w:fldChar w:fldCharType="separate"/>
      </w:r>
      <w:r>
        <w:rPr>
          <w:rFonts w:hint="eastAsia" w:ascii="仿宋" w:hAnsi="仿宋" w:eastAsia="仿宋"/>
          <w:color w:val="auto"/>
          <w:szCs w:val="24"/>
          <w:highlight w:val="none"/>
        </w:rPr>
        <w:t>三、投标文件</w:t>
      </w:r>
      <w:r>
        <w:rPr>
          <w:color w:val="auto"/>
          <w:highlight w:val="none"/>
        </w:rPr>
        <w:tab/>
      </w:r>
      <w:r>
        <w:rPr>
          <w:color w:val="auto"/>
          <w:highlight w:val="none"/>
        </w:rPr>
        <w:fldChar w:fldCharType="begin"/>
      </w:r>
      <w:r>
        <w:rPr>
          <w:color w:val="auto"/>
          <w:highlight w:val="none"/>
        </w:rPr>
        <w:instrText xml:space="preserve"> PAGEREF _Toc27515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615A5066">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"_Toc7466" </w:instrText>
      </w:r>
      <w:r>
        <w:rPr>
          <w:color w:val="auto"/>
          <w:highlight w:val="none"/>
        </w:rPr>
        <w:fldChar w:fldCharType="separate"/>
      </w:r>
      <w:r>
        <w:rPr>
          <w:rFonts w:hint="eastAsia" w:ascii="仿宋" w:hAnsi="仿宋" w:eastAsia="仿宋"/>
          <w:color w:val="auto"/>
          <w:szCs w:val="24"/>
          <w:highlight w:val="none"/>
        </w:rPr>
        <w:t>8．投标文件的语言及度量衡</w:t>
      </w:r>
      <w:r>
        <w:rPr>
          <w:color w:val="auto"/>
          <w:highlight w:val="none"/>
        </w:rPr>
        <w:tab/>
      </w:r>
      <w:r>
        <w:rPr>
          <w:color w:val="auto"/>
          <w:highlight w:val="none"/>
        </w:rPr>
        <w:fldChar w:fldCharType="begin"/>
      </w:r>
      <w:r>
        <w:rPr>
          <w:color w:val="auto"/>
          <w:highlight w:val="none"/>
        </w:rPr>
        <w:instrText xml:space="preserve"> PAGEREF _Toc7466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5DB2DF78">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"_Toc30937" </w:instrText>
      </w:r>
      <w:r>
        <w:rPr>
          <w:color w:val="auto"/>
          <w:highlight w:val="none"/>
        </w:rPr>
        <w:fldChar w:fldCharType="separate"/>
      </w:r>
      <w:r>
        <w:rPr>
          <w:rFonts w:hint="eastAsia" w:ascii="仿宋" w:hAnsi="仿宋" w:eastAsia="仿宋"/>
          <w:color w:val="auto"/>
          <w:szCs w:val="24"/>
          <w:highlight w:val="none"/>
        </w:rPr>
        <w:t>9．投标文件的组成</w:t>
      </w:r>
      <w:r>
        <w:rPr>
          <w:color w:val="auto"/>
          <w:highlight w:val="none"/>
        </w:rPr>
        <w:tab/>
      </w:r>
      <w:r>
        <w:rPr>
          <w:color w:val="auto"/>
          <w:highlight w:val="none"/>
        </w:rPr>
        <w:fldChar w:fldCharType="begin"/>
      </w:r>
      <w:r>
        <w:rPr>
          <w:color w:val="auto"/>
          <w:highlight w:val="none"/>
        </w:rPr>
        <w:instrText xml:space="preserve"> PAGEREF _Toc30937 \h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14:paraId="206692C1">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"_Toc15681" </w:instrText>
      </w:r>
      <w:r>
        <w:rPr>
          <w:color w:val="auto"/>
          <w:highlight w:val="none"/>
        </w:rPr>
        <w:fldChar w:fldCharType="separate"/>
      </w:r>
      <w:r>
        <w:rPr>
          <w:rFonts w:hint="eastAsia" w:ascii="仿宋" w:hAnsi="仿宋" w:eastAsia="仿宋"/>
          <w:color w:val="auto"/>
          <w:szCs w:val="24"/>
          <w:highlight w:val="none"/>
        </w:rPr>
        <w:t>10．投标报价</w:t>
      </w:r>
      <w:r>
        <w:rPr>
          <w:color w:val="auto"/>
          <w:highlight w:val="none"/>
        </w:rPr>
        <w:tab/>
      </w:r>
      <w:r>
        <w:rPr>
          <w:color w:val="auto"/>
          <w:highlight w:val="none"/>
        </w:rPr>
        <w:fldChar w:fldCharType="begin"/>
      </w:r>
      <w:r>
        <w:rPr>
          <w:color w:val="auto"/>
          <w:highlight w:val="none"/>
        </w:rPr>
        <w:instrText xml:space="preserve"> PAGEREF _Toc15681 \h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14:paraId="2D884237">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"_Toc11423" </w:instrText>
      </w:r>
      <w:r>
        <w:rPr>
          <w:color w:val="auto"/>
          <w:highlight w:val="none"/>
        </w:rPr>
        <w:fldChar w:fldCharType="separate"/>
      </w:r>
      <w:r>
        <w:rPr>
          <w:rFonts w:hint="eastAsia" w:ascii="仿宋" w:hAnsi="仿宋" w:eastAsia="仿宋"/>
          <w:color w:val="auto"/>
          <w:szCs w:val="24"/>
          <w:highlight w:val="none"/>
        </w:rPr>
        <w:t>11. 投标货币</w:t>
      </w:r>
      <w:r>
        <w:rPr>
          <w:color w:val="auto"/>
          <w:highlight w:val="none"/>
        </w:rPr>
        <w:tab/>
      </w:r>
      <w:r>
        <w:rPr>
          <w:color w:val="auto"/>
          <w:highlight w:val="none"/>
        </w:rPr>
        <w:fldChar w:fldCharType="begin"/>
      </w:r>
      <w:r>
        <w:rPr>
          <w:color w:val="auto"/>
          <w:highlight w:val="none"/>
        </w:rPr>
        <w:instrText xml:space="preserve"> PAGEREF _Toc11423 \h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14:paraId="75CB62CB">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"_Toc8183" </w:instrText>
      </w:r>
      <w:r>
        <w:rPr>
          <w:color w:val="auto"/>
          <w:highlight w:val="none"/>
        </w:rPr>
        <w:fldChar w:fldCharType="separate"/>
      </w:r>
      <w:r>
        <w:rPr>
          <w:rFonts w:hint="eastAsia" w:ascii="仿宋" w:hAnsi="仿宋" w:eastAsia="仿宋"/>
          <w:color w:val="auto"/>
          <w:szCs w:val="24"/>
          <w:highlight w:val="none"/>
        </w:rPr>
        <w:t>12．投标保证金</w:t>
      </w:r>
      <w:r>
        <w:rPr>
          <w:color w:val="auto"/>
          <w:highlight w:val="none"/>
        </w:rPr>
        <w:tab/>
      </w:r>
      <w:r>
        <w:rPr>
          <w:color w:val="auto"/>
          <w:highlight w:val="none"/>
        </w:rPr>
        <w:fldChar w:fldCharType="begin"/>
      </w:r>
      <w:r>
        <w:rPr>
          <w:color w:val="auto"/>
          <w:highlight w:val="none"/>
        </w:rPr>
        <w:instrText xml:space="preserve"> PAGEREF _Toc8183 \h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14:paraId="0566EEAF">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"_Toc23556" </w:instrText>
      </w:r>
      <w:r>
        <w:rPr>
          <w:color w:val="auto"/>
          <w:highlight w:val="none"/>
        </w:rPr>
        <w:fldChar w:fldCharType="separate"/>
      </w:r>
      <w:r>
        <w:rPr>
          <w:rFonts w:hint="eastAsia" w:ascii="仿宋" w:hAnsi="仿宋" w:eastAsia="仿宋"/>
          <w:color w:val="auto"/>
          <w:szCs w:val="24"/>
          <w:highlight w:val="none"/>
        </w:rPr>
        <w:t>13．投标有效期</w:t>
      </w:r>
      <w:r>
        <w:rPr>
          <w:color w:val="auto"/>
          <w:highlight w:val="none"/>
        </w:rPr>
        <w:tab/>
      </w:r>
      <w:r>
        <w:rPr>
          <w:color w:val="auto"/>
          <w:highlight w:val="none"/>
        </w:rPr>
        <w:fldChar w:fldCharType="begin"/>
      </w:r>
      <w:r>
        <w:rPr>
          <w:color w:val="auto"/>
          <w:highlight w:val="none"/>
        </w:rPr>
        <w:instrText xml:space="preserve"> PAGEREF _Toc23556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50831620">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"_Toc5711" </w:instrText>
      </w:r>
      <w:r>
        <w:rPr>
          <w:color w:val="auto"/>
          <w:highlight w:val="none"/>
        </w:rPr>
        <w:fldChar w:fldCharType="separate"/>
      </w:r>
      <w:r>
        <w:rPr>
          <w:rFonts w:hint="eastAsia" w:ascii="仿宋" w:hAnsi="仿宋" w:eastAsia="仿宋"/>
          <w:color w:val="auto"/>
          <w:szCs w:val="24"/>
          <w:highlight w:val="none"/>
        </w:rPr>
        <w:t>14．投标文件的签署、形式及装订</w:t>
      </w:r>
      <w:r>
        <w:rPr>
          <w:color w:val="auto"/>
          <w:highlight w:val="none"/>
        </w:rPr>
        <w:tab/>
      </w:r>
      <w:r>
        <w:rPr>
          <w:color w:val="auto"/>
          <w:highlight w:val="none"/>
        </w:rPr>
        <w:fldChar w:fldCharType="begin"/>
      </w:r>
      <w:r>
        <w:rPr>
          <w:color w:val="auto"/>
          <w:highlight w:val="none"/>
        </w:rPr>
        <w:instrText xml:space="preserve"> PAGEREF _Toc5711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3B9BFC26">
      <w:pPr>
        <w:pStyle w:val="36"/>
        <w:tabs>
          <w:tab w:val="right" w:leader="dot" w:pos="9638"/>
        </w:tabs>
        <w:rPr>
          <w:color w:val="auto"/>
          <w:highlight w:val="none"/>
        </w:rPr>
      </w:pPr>
      <w:r>
        <w:rPr>
          <w:color w:val="auto"/>
          <w:highlight w:val="none"/>
        </w:rPr>
        <w:fldChar w:fldCharType="begin"/>
      </w:r>
      <w:r>
        <w:rPr>
          <w:color w:val="auto"/>
          <w:highlight w:val="none"/>
        </w:rPr>
        <w:instrText xml:space="preserve"> HYPERLINK \l "_Toc18949" </w:instrText>
      </w:r>
      <w:r>
        <w:rPr>
          <w:color w:val="auto"/>
          <w:highlight w:val="none"/>
        </w:rPr>
        <w:fldChar w:fldCharType="separate"/>
      </w:r>
      <w:r>
        <w:rPr>
          <w:rFonts w:hint="eastAsia" w:ascii="仿宋" w:hAnsi="仿宋" w:eastAsia="仿宋"/>
          <w:color w:val="auto"/>
          <w:szCs w:val="24"/>
          <w:highlight w:val="none"/>
        </w:rPr>
        <w:t>四、投标文件的递交</w:t>
      </w:r>
      <w:r>
        <w:rPr>
          <w:color w:val="auto"/>
          <w:highlight w:val="none"/>
        </w:rPr>
        <w:tab/>
      </w:r>
      <w:r>
        <w:rPr>
          <w:color w:val="auto"/>
          <w:highlight w:val="none"/>
        </w:rPr>
        <w:fldChar w:fldCharType="begin"/>
      </w:r>
      <w:r>
        <w:rPr>
          <w:color w:val="auto"/>
          <w:highlight w:val="none"/>
        </w:rPr>
        <w:instrText xml:space="preserve"> PAGEREF _Toc18949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14:paraId="1BD81E12">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"_Toc15692" </w:instrText>
      </w:r>
      <w:r>
        <w:rPr>
          <w:color w:val="auto"/>
          <w:highlight w:val="none"/>
        </w:rPr>
        <w:fldChar w:fldCharType="separate"/>
      </w:r>
      <w:r>
        <w:rPr>
          <w:rFonts w:hint="eastAsia" w:ascii="仿宋" w:hAnsi="仿宋" w:eastAsia="仿宋"/>
          <w:color w:val="auto"/>
          <w:szCs w:val="24"/>
          <w:highlight w:val="none"/>
        </w:rPr>
        <w:t>15．投标文件的密封及标记</w:t>
      </w:r>
      <w:r>
        <w:rPr>
          <w:color w:val="auto"/>
          <w:highlight w:val="none"/>
        </w:rPr>
        <w:tab/>
      </w:r>
      <w:r>
        <w:rPr>
          <w:color w:val="auto"/>
          <w:highlight w:val="none"/>
        </w:rPr>
        <w:fldChar w:fldCharType="begin"/>
      </w:r>
      <w:r>
        <w:rPr>
          <w:color w:val="auto"/>
          <w:highlight w:val="none"/>
        </w:rPr>
        <w:instrText xml:space="preserve"> PAGEREF _Toc15692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14:paraId="685A6133">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"_Toc21934" </w:instrText>
      </w:r>
      <w:r>
        <w:rPr>
          <w:color w:val="auto"/>
          <w:highlight w:val="none"/>
        </w:rPr>
        <w:fldChar w:fldCharType="separate"/>
      </w:r>
      <w:r>
        <w:rPr>
          <w:rFonts w:hint="eastAsia" w:ascii="仿宋" w:hAnsi="仿宋" w:eastAsia="仿宋"/>
          <w:color w:val="auto"/>
          <w:szCs w:val="24"/>
          <w:highlight w:val="none"/>
        </w:rPr>
        <w:t>16．投标截止时间</w:t>
      </w:r>
      <w:r>
        <w:rPr>
          <w:color w:val="auto"/>
          <w:highlight w:val="none"/>
        </w:rPr>
        <w:tab/>
      </w:r>
      <w:r>
        <w:rPr>
          <w:color w:val="auto"/>
          <w:highlight w:val="none"/>
        </w:rPr>
        <w:fldChar w:fldCharType="begin"/>
      </w:r>
      <w:r>
        <w:rPr>
          <w:color w:val="auto"/>
          <w:highlight w:val="none"/>
        </w:rPr>
        <w:instrText xml:space="preserve"> PAGEREF _Toc21934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14:paraId="6A0749A6">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"_Toc7575" </w:instrText>
      </w:r>
      <w:r>
        <w:rPr>
          <w:color w:val="auto"/>
          <w:highlight w:val="none"/>
        </w:rPr>
        <w:fldChar w:fldCharType="separate"/>
      </w:r>
      <w:r>
        <w:rPr>
          <w:rFonts w:hint="eastAsia" w:ascii="仿宋" w:hAnsi="仿宋" w:eastAsia="仿宋"/>
          <w:color w:val="auto"/>
          <w:szCs w:val="24"/>
          <w:highlight w:val="none"/>
        </w:rPr>
        <w:t>17．迟交的投标文件</w:t>
      </w:r>
      <w:r>
        <w:rPr>
          <w:color w:val="auto"/>
          <w:highlight w:val="none"/>
        </w:rPr>
        <w:tab/>
      </w:r>
      <w:r>
        <w:rPr>
          <w:color w:val="auto"/>
          <w:highlight w:val="none"/>
        </w:rPr>
        <w:fldChar w:fldCharType="begin"/>
      </w:r>
      <w:r>
        <w:rPr>
          <w:color w:val="auto"/>
          <w:highlight w:val="none"/>
        </w:rPr>
        <w:instrText xml:space="preserve"> PAGEREF _Toc7575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14:paraId="56AC3E4B">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"_Toc7076" </w:instrText>
      </w:r>
      <w:r>
        <w:rPr>
          <w:color w:val="auto"/>
          <w:highlight w:val="none"/>
        </w:rPr>
        <w:fldChar w:fldCharType="separate"/>
      </w:r>
      <w:r>
        <w:rPr>
          <w:rFonts w:hint="eastAsia" w:ascii="仿宋" w:hAnsi="仿宋" w:eastAsia="仿宋"/>
          <w:color w:val="auto"/>
          <w:szCs w:val="24"/>
          <w:highlight w:val="none"/>
        </w:rPr>
        <w:t>18．投标文件的修改和撤回</w:t>
      </w:r>
      <w:r>
        <w:rPr>
          <w:color w:val="auto"/>
          <w:highlight w:val="none"/>
        </w:rPr>
        <w:tab/>
      </w:r>
      <w:r>
        <w:rPr>
          <w:color w:val="auto"/>
          <w:highlight w:val="none"/>
        </w:rPr>
        <w:fldChar w:fldCharType="begin"/>
      </w:r>
      <w:r>
        <w:rPr>
          <w:color w:val="auto"/>
          <w:highlight w:val="none"/>
        </w:rPr>
        <w:instrText xml:space="preserve"> PAGEREF _Toc7076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14:paraId="6A4063D4">
      <w:pPr>
        <w:pStyle w:val="36"/>
        <w:tabs>
          <w:tab w:val="right" w:leader="dot" w:pos="9638"/>
        </w:tabs>
        <w:rPr>
          <w:color w:val="auto"/>
          <w:highlight w:val="none"/>
        </w:rPr>
      </w:pPr>
      <w:r>
        <w:rPr>
          <w:color w:val="auto"/>
          <w:highlight w:val="none"/>
        </w:rPr>
        <w:fldChar w:fldCharType="begin"/>
      </w:r>
      <w:r>
        <w:rPr>
          <w:color w:val="auto"/>
          <w:highlight w:val="none"/>
        </w:rPr>
        <w:instrText xml:space="preserve"> HYPERLINK \l "_Toc17750" </w:instrText>
      </w:r>
      <w:r>
        <w:rPr>
          <w:color w:val="auto"/>
          <w:highlight w:val="none"/>
        </w:rPr>
        <w:fldChar w:fldCharType="separate"/>
      </w:r>
      <w:r>
        <w:rPr>
          <w:rFonts w:hint="eastAsia" w:ascii="仿宋" w:hAnsi="仿宋" w:eastAsia="仿宋"/>
          <w:color w:val="auto"/>
          <w:szCs w:val="24"/>
          <w:highlight w:val="none"/>
        </w:rPr>
        <w:t>五、开标及评标</w:t>
      </w:r>
      <w:r>
        <w:rPr>
          <w:color w:val="auto"/>
          <w:highlight w:val="none"/>
        </w:rPr>
        <w:tab/>
      </w:r>
      <w:r>
        <w:rPr>
          <w:color w:val="auto"/>
          <w:highlight w:val="none"/>
        </w:rPr>
        <w:fldChar w:fldCharType="begin"/>
      </w:r>
      <w:r>
        <w:rPr>
          <w:color w:val="auto"/>
          <w:highlight w:val="none"/>
        </w:rPr>
        <w:instrText xml:space="preserve"> PAGEREF _Toc17750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14:paraId="2F554F8C">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"_Toc11555" </w:instrText>
      </w:r>
      <w:r>
        <w:rPr>
          <w:color w:val="auto"/>
          <w:highlight w:val="none"/>
        </w:rPr>
        <w:fldChar w:fldCharType="separate"/>
      </w:r>
      <w:r>
        <w:rPr>
          <w:rFonts w:hint="eastAsia" w:ascii="仿宋" w:hAnsi="仿宋" w:eastAsia="仿宋"/>
          <w:color w:val="auto"/>
          <w:szCs w:val="24"/>
          <w:highlight w:val="none"/>
        </w:rPr>
        <w:t>19．开标</w:t>
      </w:r>
      <w:r>
        <w:rPr>
          <w:color w:val="auto"/>
          <w:highlight w:val="none"/>
        </w:rPr>
        <w:tab/>
      </w:r>
      <w:r>
        <w:rPr>
          <w:color w:val="auto"/>
          <w:highlight w:val="none"/>
        </w:rPr>
        <w:fldChar w:fldCharType="begin"/>
      </w:r>
      <w:r>
        <w:rPr>
          <w:color w:val="auto"/>
          <w:highlight w:val="none"/>
        </w:rPr>
        <w:instrText xml:space="preserve"> PAGEREF _Toc11555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14:paraId="4E8711AB">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"_Toc5567" </w:instrText>
      </w:r>
      <w:r>
        <w:rPr>
          <w:color w:val="auto"/>
          <w:highlight w:val="none"/>
        </w:rPr>
        <w:fldChar w:fldCharType="separate"/>
      </w:r>
      <w:r>
        <w:rPr>
          <w:rFonts w:hint="eastAsia" w:ascii="仿宋" w:hAnsi="仿宋" w:eastAsia="仿宋"/>
          <w:color w:val="auto"/>
          <w:szCs w:val="24"/>
          <w:highlight w:val="none"/>
        </w:rPr>
        <w:t>20．评标委员会</w:t>
      </w:r>
      <w:r>
        <w:rPr>
          <w:color w:val="auto"/>
          <w:highlight w:val="none"/>
        </w:rPr>
        <w:tab/>
      </w:r>
      <w:r>
        <w:rPr>
          <w:color w:val="auto"/>
          <w:highlight w:val="none"/>
        </w:rPr>
        <w:fldChar w:fldCharType="begin"/>
      </w:r>
      <w:r>
        <w:rPr>
          <w:color w:val="auto"/>
          <w:highlight w:val="none"/>
        </w:rPr>
        <w:instrText xml:space="preserve"> PAGEREF _Toc5567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14:paraId="7CDEB240">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"_Toc20430" </w:instrText>
      </w:r>
      <w:r>
        <w:rPr>
          <w:color w:val="auto"/>
          <w:highlight w:val="none"/>
        </w:rPr>
        <w:fldChar w:fldCharType="separate"/>
      </w:r>
      <w:r>
        <w:rPr>
          <w:rFonts w:hint="eastAsia" w:ascii="仿宋" w:hAnsi="仿宋" w:eastAsia="仿宋"/>
          <w:color w:val="auto"/>
          <w:szCs w:val="24"/>
          <w:highlight w:val="none"/>
        </w:rPr>
        <w:t>21．对投标文件的资格性审查和符合性审查</w:t>
      </w:r>
      <w:r>
        <w:rPr>
          <w:color w:val="auto"/>
          <w:highlight w:val="none"/>
        </w:rPr>
        <w:tab/>
      </w:r>
      <w:r>
        <w:rPr>
          <w:color w:val="auto"/>
          <w:highlight w:val="none"/>
        </w:rPr>
        <w:fldChar w:fldCharType="begin"/>
      </w:r>
      <w:r>
        <w:rPr>
          <w:color w:val="auto"/>
          <w:highlight w:val="none"/>
        </w:rPr>
        <w:instrText xml:space="preserve"> PAGEREF _Toc20430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14:paraId="7B48ACF1">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"_Toc2600" </w:instrText>
      </w:r>
      <w:r>
        <w:rPr>
          <w:color w:val="auto"/>
          <w:highlight w:val="none"/>
        </w:rPr>
        <w:fldChar w:fldCharType="separate"/>
      </w:r>
      <w:r>
        <w:rPr>
          <w:rFonts w:hint="eastAsia" w:ascii="仿宋" w:hAnsi="仿宋" w:eastAsia="仿宋"/>
          <w:color w:val="auto"/>
          <w:szCs w:val="24"/>
          <w:highlight w:val="none"/>
        </w:rPr>
        <w:t>22．投标文件的澄清</w:t>
      </w:r>
      <w:r>
        <w:rPr>
          <w:color w:val="auto"/>
          <w:highlight w:val="none"/>
        </w:rPr>
        <w:tab/>
      </w:r>
      <w:r>
        <w:rPr>
          <w:color w:val="auto"/>
          <w:highlight w:val="none"/>
        </w:rPr>
        <w:fldChar w:fldCharType="begin"/>
      </w:r>
      <w:r>
        <w:rPr>
          <w:color w:val="auto"/>
          <w:highlight w:val="none"/>
        </w:rPr>
        <w:instrText xml:space="preserve"> PAGEREF _Toc2600 \h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14:paraId="5BE6E22C">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"_Toc5369" </w:instrText>
      </w:r>
      <w:r>
        <w:rPr>
          <w:color w:val="auto"/>
          <w:highlight w:val="none"/>
        </w:rPr>
        <w:fldChar w:fldCharType="separate"/>
      </w:r>
      <w:r>
        <w:rPr>
          <w:rFonts w:hint="eastAsia" w:ascii="仿宋" w:hAnsi="仿宋" w:eastAsia="仿宋"/>
          <w:color w:val="auto"/>
          <w:szCs w:val="24"/>
          <w:highlight w:val="none"/>
        </w:rPr>
        <w:t>23．评标及定标</w:t>
      </w:r>
      <w:r>
        <w:rPr>
          <w:color w:val="auto"/>
          <w:highlight w:val="none"/>
        </w:rPr>
        <w:tab/>
      </w:r>
      <w:r>
        <w:rPr>
          <w:color w:val="auto"/>
          <w:highlight w:val="none"/>
        </w:rPr>
        <w:fldChar w:fldCharType="begin"/>
      </w:r>
      <w:r>
        <w:rPr>
          <w:color w:val="auto"/>
          <w:highlight w:val="none"/>
        </w:rPr>
        <w:instrText xml:space="preserve"> PAGEREF _Toc5369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14:paraId="318CB6EA">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"_Toc11421" </w:instrText>
      </w:r>
      <w:r>
        <w:rPr>
          <w:color w:val="auto"/>
          <w:highlight w:val="none"/>
        </w:rPr>
        <w:fldChar w:fldCharType="separate"/>
      </w:r>
      <w:r>
        <w:rPr>
          <w:rFonts w:hint="eastAsia" w:ascii="仿宋" w:hAnsi="仿宋" w:eastAsia="仿宋"/>
          <w:color w:val="auto"/>
          <w:szCs w:val="24"/>
          <w:highlight w:val="none"/>
        </w:rPr>
        <w:t>24．评标过程保密</w:t>
      </w:r>
      <w:r>
        <w:rPr>
          <w:color w:val="auto"/>
          <w:highlight w:val="none"/>
        </w:rPr>
        <w:tab/>
      </w:r>
      <w:r>
        <w:rPr>
          <w:color w:val="auto"/>
          <w:highlight w:val="none"/>
        </w:rPr>
        <w:fldChar w:fldCharType="begin"/>
      </w:r>
      <w:r>
        <w:rPr>
          <w:color w:val="auto"/>
          <w:highlight w:val="none"/>
        </w:rPr>
        <w:instrText xml:space="preserve"> PAGEREF _Toc11421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14:paraId="284B4574">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"_Toc19546" </w:instrText>
      </w:r>
      <w:r>
        <w:rPr>
          <w:color w:val="auto"/>
          <w:highlight w:val="none"/>
        </w:rPr>
        <w:fldChar w:fldCharType="separate"/>
      </w:r>
      <w:r>
        <w:rPr>
          <w:rFonts w:hint="eastAsia" w:ascii="仿宋" w:hAnsi="仿宋" w:eastAsia="仿宋"/>
          <w:color w:val="auto"/>
          <w:szCs w:val="24"/>
          <w:highlight w:val="none"/>
        </w:rPr>
        <w:t>25. 投标截止时间结束后参加投标的供应商不足三家的处理</w:t>
      </w:r>
      <w:r>
        <w:rPr>
          <w:color w:val="auto"/>
          <w:highlight w:val="none"/>
        </w:rPr>
        <w:tab/>
      </w:r>
      <w:r>
        <w:rPr>
          <w:color w:val="auto"/>
          <w:highlight w:val="none"/>
        </w:rPr>
        <w:fldChar w:fldCharType="begin"/>
      </w:r>
      <w:r>
        <w:rPr>
          <w:color w:val="auto"/>
          <w:highlight w:val="none"/>
        </w:rPr>
        <w:instrText xml:space="preserve"> PAGEREF _Toc19546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14:paraId="780D273A">
      <w:pPr>
        <w:pStyle w:val="36"/>
        <w:tabs>
          <w:tab w:val="right" w:leader="dot" w:pos="9638"/>
        </w:tabs>
        <w:rPr>
          <w:color w:val="auto"/>
          <w:highlight w:val="none"/>
        </w:rPr>
      </w:pPr>
      <w:r>
        <w:rPr>
          <w:color w:val="auto"/>
          <w:highlight w:val="none"/>
        </w:rPr>
        <w:fldChar w:fldCharType="begin"/>
      </w:r>
      <w:r>
        <w:rPr>
          <w:color w:val="auto"/>
          <w:highlight w:val="none"/>
        </w:rPr>
        <w:instrText xml:space="preserve"> HYPERLINK \l "_Toc19538" </w:instrText>
      </w:r>
      <w:r>
        <w:rPr>
          <w:color w:val="auto"/>
          <w:highlight w:val="none"/>
        </w:rPr>
        <w:fldChar w:fldCharType="separate"/>
      </w:r>
      <w:r>
        <w:rPr>
          <w:rFonts w:hint="eastAsia" w:ascii="仿宋" w:hAnsi="仿宋" w:eastAsia="仿宋"/>
          <w:color w:val="auto"/>
          <w:szCs w:val="24"/>
          <w:highlight w:val="none"/>
        </w:rPr>
        <w:t>六、授标及签约</w:t>
      </w:r>
      <w:r>
        <w:rPr>
          <w:color w:val="auto"/>
          <w:highlight w:val="none"/>
        </w:rPr>
        <w:tab/>
      </w:r>
      <w:r>
        <w:rPr>
          <w:color w:val="auto"/>
          <w:highlight w:val="none"/>
        </w:rPr>
        <w:fldChar w:fldCharType="begin"/>
      </w:r>
      <w:r>
        <w:rPr>
          <w:color w:val="auto"/>
          <w:highlight w:val="none"/>
        </w:rPr>
        <w:instrText xml:space="preserve"> PAGEREF _Toc19538 \h </w:instrText>
      </w:r>
      <w:r>
        <w:rPr>
          <w:color w:val="auto"/>
          <w:highlight w:val="none"/>
        </w:rPr>
        <w:fldChar w:fldCharType="separate"/>
      </w:r>
      <w:r>
        <w:rPr>
          <w:color w:val="auto"/>
          <w:highlight w:val="none"/>
        </w:rPr>
        <w:t>11</w:t>
      </w:r>
      <w:r>
        <w:rPr>
          <w:color w:val="auto"/>
          <w:highlight w:val="none"/>
        </w:rPr>
        <w:fldChar w:fldCharType="end"/>
      </w:r>
      <w:r>
        <w:rPr>
          <w:color w:val="auto"/>
          <w:highlight w:val="none"/>
        </w:rPr>
        <w:fldChar w:fldCharType="end"/>
      </w:r>
    </w:p>
    <w:p w14:paraId="29421881">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"_Toc13645" </w:instrText>
      </w:r>
      <w:r>
        <w:rPr>
          <w:color w:val="auto"/>
          <w:highlight w:val="none"/>
        </w:rPr>
        <w:fldChar w:fldCharType="separate"/>
      </w:r>
      <w:r>
        <w:rPr>
          <w:rFonts w:hint="eastAsia" w:ascii="仿宋" w:hAnsi="仿宋" w:eastAsia="仿宋"/>
          <w:color w:val="auto"/>
          <w:szCs w:val="24"/>
          <w:highlight w:val="none"/>
        </w:rPr>
        <w:t>26．定标原则</w:t>
      </w:r>
      <w:r>
        <w:rPr>
          <w:color w:val="auto"/>
          <w:highlight w:val="none"/>
        </w:rPr>
        <w:tab/>
      </w:r>
      <w:r>
        <w:rPr>
          <w:color w:val="auto"/>
          <w:highlight w:val="none"/>
        </w:rPr>
        <w:fldChar w:fldCharType="begin"/>
      </w:r>
      <w:r>
        <w:rPr>
          <w:color w:val="auto"/>
          <w:highlight w:val="none"/>
        </w:rPr>
        <w:instrText xml:space="preserve"> PAGEREF _Toc13645 \h </w:instrText>
      </w:r>
      <w:r>
        <w:rPr>
          <w:color w:val="auto"/>
          <w:highlight w:val="none"/>
        </w:rPr>
        <w:fldChar w:fldCharType="separate"/>
      </w:r>
      <w:r>
        <w:rPr>
          <w:color w:val="auto"/>
          <w:highlight w:val="none"/>
        </w:rPr>
        <w:t>11</w:t>
      </w:r>
      <w:r>
        <w:rPr>
          <w:color w:val="auto"/>
          <w:highlight w:val="none"/>
        </w:rPr>
        <w:fldChar w:fldCharType="end"/>
      </w:r>
      <w:r>
        <w:rPr>
          <w:color w:val="auto"/>
          <w:highlight w:val="none"/>
        </w:rPr>
        <w:fldChar w:fldCharType="end"/>
      </w:r>
    </w:p>
    <w:p w14:paraId="072F3FF2">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"_Toc27746" </w:instrText>
      </w:r>
      <w:r>
        <w:rPr>
          <w:color w:val="auto"/>
          <w:highlight w:val="none"/>
        </w:rPr>
        <w:fldChar w:fldCharType="separate"/>
      </w:r>
      <w:r>
        <w:rPr>
          <w:rFonts w:hint="eastAsia" w:ascii="仿宋" w:hAnsi="仿宋" w:eastAsia="仿宋"/>
          <w:color w:val="auto"/>
          <w:szCs w:val="24"/>
          <w:highlight w:val="none"/>
        </w:rPr>
        <w:t>27. 质疑处理</w:t>
      </w:r>
      <w:r>
        <w:rPr>
          <w:color w:val="auto"/>
          <w:highlight w:val="none"/>
        </w:rPr>
        <w:tab/>
      </w:r>
      <w:r>
        <w:rPr>
          <w:color w:val="auto"/>
          <w:highlight w:val="none"/>
        </w:rPr>
        <w:fldChar w:fldCharType="begin"/>
      </w:r>
      <w:r>
        <w:rPr>
          <w:color w:val="auto"/>
          <w:highlight w:val="none"/>
        </w:rPr>
        <w:instrText xml:space="preserve"> PAGEREF _Toc27746 \h </w:instrText>
      </w:r>
      <w:r>
        <w:rPr>
          <w:color w:val="auto"/>
          <w:highlight w:val="none"/>
        </w:rPr>
        <w:fldChar w:fldCharType="separate"/>
      </w:r>
      <w:r>
        <w:rPr>
          <w:color w:val="auto"/>
          <w:highlight w:val="none"/>
        </w:rPr>
        <w:t>11</w:t>
      </w:r>
      <w:r>
        <w:rPr>
          <w:color w:val="auto"/>
          <w:highlight w:val="none"/>
        </w:rPr>
        <w:fldChar w:fldCharType="end"/>
      </w:r>
      <w:r>
        <w:rPr>
          <w:color w:val="auto"/>
          <w:highlight w:val="none"/>
        </w:rPr>
        <w:fldChar w:fldCharType="end"/>
      </w:r>
    </w:p>
    <w:p w14:paraId="4DF5F9D5">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"_Toc11010" </w:instrText>
      </w:r>
      <w:r>
        <w:rPr>
          <w:color w:val="auto"/>
          <w:highlight w:val="none"/>
        </w:rPr>
        <w:fldChar w:fldCharType="separate"/>
      </w:r>
      <w:r>
        <w:rPr>
          <w:rFonts w:hint="eastAsia" w:ascii="仿宋" w:hAnsi="仿宋" w:eastAsia="仿宋"/>
          <w:color w:val="auto"/>
          <w:szCs w:val="24"/>
          <w:highlight w:val="none"/>
        </w:rPr>
        <w:t>28．中标通知</w:t>
      </w:r>
      <w:r>
        <w:rPr>
          <w:color w:val="auto"/>
          <w:highlight w:val="none"/>
        </w:rPr>
        <w:tab/>
      </w:r>
      <w:r>
        <w:rPr>
          <w:color w:val="auto"/>
          <w:highlight w:val="none"/>
        </w:rPr>
        <w:fldChar w:fldCharType="begin"/>
      </w:r>
      <w:r>
        <w:rPr>
          <w:color w:val="auto"/>
          <w:highlight w:val="none"/>
        </w:rPr>
        <w:instrText xml:space="preserve"> PAGEREF _Toc11010 \h </w:instrText>
      </w:r>
      <w:r>
        <w:rPr>
          <w:color w:val="auto"/>
          <w:highlight w:val="none"/>
        </w:rPr>
        <w:fldChar w:fldCharType="separate"/>
      </w:r>
      <w:r>
        <w:rPr>
          <w:color w:val="auto"/>
          <w:highlight w:val="none"/>
        </w:rPr>
        <w:t>11</w:t>
      </w:r>
      <w:r>
        <w:rPr>
          <w:color w:val="auto"/>
          <w:highlight w:val="none"/>
        </w:rPr>
        <w:fldChar w:fldCharType="end"/>
      </w:r>
      <w:r>
        <w:rPr>
          <w:color w:val="auto"/>
          <w:highlight w:val="none"/>
        </w:rPr>
        <w:fldChar w:fldCharType="end"/>
      </w:r>
    </w:p>
    <w:p w14:paraId="066BEE56">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"_Toc21942" </w:instrText>
      </w:r>
      <w:r>
        <w:rPr>
          <w:color w:val="auto"/>
          <w:highlight w:val="none"/>
        </w:rPr>
        <w:fldChar w:fldCharType="separate"/>
      </w:r>
      <w:r>
        <w:rPr>
          <w:rFonts w:hint="eastAsia" w:ascii="仿宋" w:hAnsi="仿宋" w:eastAsia="仿宋"/>
          <w:color w:val="auto"/>
          <w:szCs w:val="24"/>
          <w:highlight w:val="none"/>
        </w:rPr>
        <w:t>29．签订合同</w:t>
      </w:r>
      <w:r>
        <w:rPr>
          <w:color w:val="auto"/>
          <w:highlight w:val="none"/>
        </w:rPr>
        <w:tab/>
      </w:r>
      <w:r>
        <w:rPr>
          <w:color w:val="auto"/>
          <w:highlight w:val="none"/>
        </w:rPr>
        <w:fldChar w:fldCharType="begin"/>
      </w:r>
      <w:r>
        <w:rPr>
          <w:color w:val="auto"/>
          <w:highlight w:val="none"/>
        </w:rPr>
        <w:instrText xml:space="preserve"> PAGEREF _Toc21942 \h </w:instrText>
      </w:r>
      <w:r>
        <w:rPr>
          <w:color w:val="auto"/>
          <w:highlight w:val="none"/>
        </w:rPr>
        <w:fldChar w:fldCharType="separate"/>
      </w:r>
      <w:r>
        <w:rPr>
          <w:color w:val="auto"/>
          <w:highlight w:val="none"/>
        </w:rPr>
        <w:t>11</w:t>
      </w:r>
      <w:r>
        <w:rPr>
          <w:color w:val="auto"/>
          <w:highlight w:val="none"/>
        </w:rPr>
        <w:fldChar w:fldCharType="end"/>
      </w:r>
      <w:r>
        <w:rPr>
          <w:color w:val="auto"/>
          <w:highlight w:val="none"/>
        </w:rPr>
        <w:fldChar w:fldCharType="end"/>
      </w:r>
    </w:p>
    <w:p w14:paraId="69BDF6A0">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"_Toc11088" </w:instrText>
      </w:r>
      <w:r>
        <w:rPr>
          <w:color w:val="auto"/>
          <w:highlight w:val="none"/>
        </w:rPr>
        <w:fldChar w:fldCharType="separate"/>
      </w:r>
      <w:r>
        <w:rPr>
          <w:rFonts w:hint="eastAsia" w:ascii="仿宋" w:hAnsi="仿宋" w:eastAsia="仿宋"/>
          <w:color w:val="auto"/>
          <w:szCs w:val="24"/>
          <w:highlight w:val="none"/>
        </w:rPr>
        <w:t>30．招标代理服务费</w:t>
      </w:r>
      <w:r>
        <w:rPr>
          <w:color w:val="auto"/>
          <w:highlight w:val="none"/>
        </w:rPr>
        <w:tab/>
      </w:r>
      <w:r>
        <w:rPr>
          <w:color w:val="auto"/>
          <w:highlight w:val="none"/>
        </w:rPr>
        <w:fldChar w:fldCharType="begin"/>
      </w:r>
      <w:r>
        <w:rPr>
          <w:color w:val="auto"/>
          <w:highlight w:val="none"/>
        </w:rPr>
        <w:instrText xml:space="preserve"> PAGEREF _Toc11088 \h </w:instrText>
      </w:r>
      <w:r>
        <w:rPr>
          <w:color w:val="auto"/>
          <w:highlight w:val="none"/>
        </w:rPr>
        <w:fldChar w:fldCharType="separate"/>
      </w:r>
      <w:r>
        <w:rPr>
          <w:color w:val="auto"/>
          <w:highlight w:val="none"/>
        </w:rPr>
        <w:t>12</w:t>
      </w:r>
      <w:r>
        <w:rPr>
          <w:color w:val="auto"/>
          <w:highlight w:val="none"/>
        </w:rPr>
        <w:fldChar w:fldCharType="end"/>
      </w:r>
      <w:r>
        <w:rPr>
          <w:color w:val="auto"/>
          <w:highlight w:val="none"/>
        </w:rPr>
        <w:fldChar w:fldCharType="end"/>
      </w:r>
    </w:p>
    <w:p w14:paraId="177DD803">
      <w:pPr>
        <w:pStyle w:val="30"/>
        <w:tabs>
          <w:tab w:val="right" w:leader="dot" w:pos="9638"/>
        </w:tabs>
        <w:rPr>
          <w:color w:val="auto"/>
          <w:highlight w:val="none"/>
        </w:rPr>
      </w:pPr>
      <w:r>
        <w:rPr>
          <w:color w:val="auto"/>
          <w:highlight w:val="none"/>
        </w:rPr>
        <w:fldChar w:fldCharType="begin"/>
      </w:r>
      <w:r>
        <w:rPr>
          <w:color w:val="auto"/>
          <w:highlight w:val="none"/>
        </w:rPr>
        <w:instrText xml:space="preserve"> HYPERLINK \l "_Toc19730" </w:instrText>
      </w:r>
      <w:r>
        <w:rPr>
          <w:color w:val="auto"/>
          <w:highlight w:val="none"/>
        </w:rPr>
        <w:fldChar w:fldCharType="separate"/>
      </w:r>
      <w:r>
        <w:rPr>
          <w:rFonts w:hint="eastAsia" w:ascii="仿宋" w:hAnsi="仿宋" w:eastAsia="仿宋"/>
          <w:color w:val="auto"/>
          <w:szCs w:val="36"/>
          <w:highlight w:val="none"/>
        </w:rPr>
        <w:t>第二章  合同条款及格式</w:t>
      </w:r>
      <w:r>
        <w:rPr>
          <w:color w:val="auto"/>
          <w:highlight w:val="none"/>
        </w:rPr>
        <w:tab/>
      </w:r>
      <w:r>
        <w:rPr>
          <w:color w:val="auto"/>
          <w:highlight w:val="none"/>
        </w:rPr>
        <w:fldChar w:fldCharType="begin"/>
      </w:r>
      <w:r>
        <w:rPr>
          <w:color w:val="auto"/>
          <w:highlight w:val="none"/>
        </w:rPr>
        <w:instrText xml:space="preserve"> PAGEREF _Toc19730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14:paraId="3310CE06">
      <w:pPr>
        <w:pStyle w:val="30"/>
        <w:tabs>
          <w:tab w:val="right" w:leader="dot" w:pos="9638"/>
        </w:tabs>
        <w:rPr>
          <w:color w:val="auto"/>
          <w:highlight w:val="none"/>
        </w:rPr>
      </w:pPr>
      <w:r>
        <w:rPr>
          <w:color w:val="auto"/>
          <w:highlight w:val="none"/>
        </w:rPr>
        <w:fldChar w:fldCharType="begin"/>
      </w:r>
      <w:r>
        <w:rPr>
          <w:color w:val="auto"/>
          <w:highlight w:val="none"/>
        </w:rPr>
        <w:instrText xml:space="preserve"> HYPERLINK \l "_Toc21770" </w:instrText>
      </w:r>
      <w:r>
        <w:rPr>
          <w:color w:val="auto"/>
          <w:highlight w:val="none"/>
        </w:rPr>
        <w:fldChar w:fldCharType="separate"/>
      </w:r>
      <w:r>
        <w:rPr>
          <w:rFonts w:hint="eastAsia" w:ascii="仿宋" w:hAnsi="仿宋" w:eastAsia="仿宋"/>
          <w:color w:val="auto"/>
          <w:szCs w:val="36"/>
          <w:highlight w:val="none"/>
        </w:rPr>
        <w:t>第三章  投标邀请</w:t>
      </w:r>
      <w:r>
        <w:rPr>
          <w:color w:val="auto"/>
          <w:highlight w:val="none"/>
        </w:rPr>
        <w:tab/>
      </w:r>
      <w:r>
        <w:rPr>
          <w:color w:val="auto"/>
          <w:highlight w:val="none"/>
        </w:rPr>
        <w:fldChar w:fldCharType="begin"/>
      </w:r>
      <w:r>
        <w:rPr>
          <w:color w:val="auto"/>
          <w:highlight w:val="none"/>
        </w:rPr>
        <w:instrText xml:space="preserve"> PAGEREF _Toc21770 \h </w:instrText>
      </w:r>
      <w:r>
        <w:rPr>
          <w:color w:val="auto"/>
          <w:highlight w:val="none"/>
        </w:rPr>
        <w:fldChar w:fldCharType="separate"/>
      </w:r>
      <w:r>
        <w:rPr>
          <w:color w:val="auto"/>
          <w:highlight w:val="none"/>
        </w:rPr>
        <w:t>18</w:t>
      </w:r>
      <w:r>
        <w:rPr>
          <w:color w:val="auto"/>
          <w:highlight w:val="none"/>
        </w:rPr>
        <w:fldChar w:fldCharType="end"/>
      </w:r>
      <w:r>
        <w:rPr>
          <w:color w:val="auto"/>
          <w:highlight w:val="none"/>
        </w:rPr>
        <w:fldChar w:fldCharType="end"/>
      </w:r>
    </w:p>
    <w:p w14:paraId="35F65617">
      <w:pPr>
        <w:pStyle w:val="36"/>
        <w:tabs>
          <w:tab w:val="right" w:leader="dot" w:pos="9638"/>
        </w:tabs>
        <w:rPr>
          <w:color w:val="auto"/>
          <w:highlight w:val="none"/>
        </w:rPr>
      </w:pPr>
      <w:r>
        <w:rPr>
          <w:color w:val="auto"/>
          <w:highlight w:val="none"/>
        </w:rPr>
        <w:fldChar w:fldCharType="begin"/>
      </w:r>
      <w:r>
        <w:rPr>
          <w:color w:val="auto"/>
          <w:highlight w:val="none"/>
        </w:rPr>
        <w:instrText xml:space="preserve"> HYPERLINK \l "_Toc13975" </w:instrText>
      </w:r>
      <w:r>
        <w:rPr>
          <w:color w:val="auto"/>
          <w:highlight w:val="none"/>
        </w:rPr>
        <w:fldChar w:fldCharType="separate"/>
      </w:r>
      <w:r>
        <w:rPr>
          <w:rFonts w:hint="eastAsia" w:ascii="仿宋" w:hAnsi="仿宋" w:eastAsia="仿宋"/>
          <w:color w:val="auto"/>
          <w:szCs w:val="24"/>
          <w:highlight w:val="none"/>
        </w:rPr>
        <w:t>一、招标主要内容</w:t>
      </w:r>
      <w:r>
        <w:rPr>
          <w:color w:val="auto"/>
          <w:highlight w:val="none"/>
        </w:rPr>
        <w:tab/>
      </w:r>
      <w:r>
        <w:rPr>
          <w:color w:val="auto"/>
          <w:highlight w:val="none"/>
        </w:rPr>
        <w:fldChar w:fldCharType="begin"/>
      </w:r>
      <w:r>
        <w:rPr>
          <w:color w:val="auto"/>
          <w:highlight w:val="none"/>
        </w:rPr>
        <w:instrText xml:space="preserve"> PAGEREF _Toc13975 \h </w:instrText>
      </w:r>
      <w:r>
        <w:rPr>
          <w:color w:val="auto"/>
          <w:highlight w:val="none"/>
        </w:rPr>
        <w:fldChar w:fldCharType="separate"/>
      </w:r>
      <w:r>
        <w:rPr>
          <w:color w:val="auto"/>
          <w:highlight w:val="none"/>
        </w:rPr>
        <w:t>18</w:t>
      </w:r>
      <w:r>
        <w:rPr>
          <w:color w:val="auto"/>
          <w:highlight w:val="none"/>
        </w:rPr>
        <w:fldChar w:fldCharType="end"/>
      </w:r>
      <w:r>
        <w:rPr>
          <w:color w:val="auto"/>
          <w:highlight w:val="none"/>
        </w:rPr>
        <w:fldChar w:fldCharType="end"/>
      </w:r>
    </w:p>
    <w:p w14:paraId="341BFE0B">
      <w:pPr>
        <w:pStyle w:val="36"/>
        <w:tabs>
          <w:tab w:val="right" w:leader="dot" w:pos="9638"/>
        </w:tabs>
        <w:rPr>
          <w:color w:val="auto"/>
          <w:highlight w:val="none"/>
        </w:rPr>
      </w:pPr>
      <w:r>
        <w:rPr>
          <w:color w:val="auto"/>
          <w:highlight w:val="none"/>
        </w:rPr>
        <w:fldChar w:fldCharType="begin"/>
      </w:r>
      <w:r>
        <w:rPr>
          <w:color w:val="auto"/>
          <w:highlight w:val="none"/>
        </w:rPr>
        <w:instrText xml:space="preserve"> HYPERLINK \l "_Toc8707" </w:instrText>
      </w:r>
      <w:r>
        <w:rPr>
          <w:color w:val="auto"/>
          <w:highlight w:val="none"/>
        </w:rPr>
        <w:fldChar w:fldCharType="separate"/>
      </w:r>
      <w:r>
        <w:rPr>
          <w:rFonts w:hint="eastAsia" w:ascii="仿宋" w:hAnsi="仿宋" w:eastAsia="仿宋"/>
          <w:color w:val="auto"/>
          <w:szCs w:val="24"/>
          <w:highlight w:val="none"/>
        </w:rPr>
        <w:t>二、合格供应商的基本资格要求（本项目为资格后审）</w:t>
      </w:r>
      <w:r>
        <w:rPr>
          <w:color w:val="auto"/>
          <w:highlight w:val="none"/>
        </w:rPr>
        <w:tab/>
      </w:r>
      <w:r>
        <w:rPr>
          <w:color w:val="auto"/>
          <w:highlight w:val="none"/>
        </w:rPr>
        <w:fldChar w:fldCharType="begin"/>
      </w:r>
      <w:r>
        <w:rPr>
          <w:color w:val="auto"/>
          <w:highlight w:val="none"/>
        </w:rPr>
        <w:instrText xml:space="preserve"> PAGEREF _Toc8707 \h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14:paraId="314DFFE0">
      <w:pPr>
        <w:pStyle w:val="36"/>
        <w:tabs>
          <w:tab w:val="right" w:leader="dot" w:pos="9638"/>
        </w:tabs>
        <w:rPr>
          <w:color w:val="auto"/>
          <w:highlight w:val="none"/>
        </w:rPr>
      </w:pPr>
      <w:r>
        <w:rPr>
          <w:color w:val="auto"/>
          <w:highlight w:val="none"/>
        </w:rPr>
        <w:fldChar w:fldCharType="begin"/>
      </w:r>
      <w:r>
        <w:rPr>
          <w:color w:val="auto"/>
          <w:highlight w:val="none"/>
        </w:rPr>
        <w:instrText xml:space="preserve"> HYPERLINK \l "_Toc31288" </w:instrText>
      </w:r>
      <w:r>
        <w:rPr>
          <w:color w:val="auto"/>
          <w:highlight w:val="none"/>
        </w:rPr>
        <w:fldChar w:fldCharType="separate"/>
      </w:r>
      <w:r>
        <w:rPr>
          <w:rFonts w:hint="eastAsia" w:ascii="仿宋" w:hAnsi="仿宋" w:eastAsia="仿宋"/>
          <w:color w:val="auto"/>
          <w:szCs w:val="24"/>
          <w:highlight w:val="none"/>
        </w:rPr>
        <w:t>三、评标办法</w:t>
      </w:r>
      <w:r>
        <w:rPr>
          <w:color w:val="auto"/>
          <w:highlight w:val="none"/>
        </w:rPr>
        <w:tab/>
      </w:r>
      <w:r>
        <w:rPr>
          <w:color w:val="auto"/>
          <w:highlight w:val="none"/>
        </w:rPr>
        <w:fldChar w:fldCharType="begin"/>
      </w:r>
      <w:r>
        <w:rPr>
          <w:color w:val="auto"/>
          <w:highlight w:val="none"/>
        </w:rPr>
        <w:instrText xml:space="preserve"> PAGEREF _Toc31288 \h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14:paraId="2901BB28">
      <w:pPr>
        <w:pStyle w:val="36"/>
        <w:tabs>
          <w:tab w:val="right" w:leader="dot" w:pos="9638"/>
        </w:tabs>
        <w:rPr>
          <w:color w:val="auto"/>
          <w:highlight w:val="none"/>
        </w:rPr>
      </w:pPr>
      <w:r>
        <w:rPr>
          <w:color w:val="auto"/>
          <w:highlight w:val="none"/>
        </w:rPr>
        <w:fldChar w:fldCharType="begin"/>
      </w:r>
      <w:r>
        <w:rPr>
          <w:color w:val="auto"/>
          <w:highlight w:val="none"/>
        </w:rPr>
        <w:instrText xml:space="preserve"> HYPERLINK \l "_Toc547" </w:instrText>
      </w:r>
      <w:r>
        <w:rPr>
          <w:color w:val="auto"/>
          <w:highlight w:val="none"/>
        </w:rPr>
        <w:fldChar w:fldCharType="separate"/>
      </w:r>
      <w:r>
        <w:rPr>
          <w:rFonts w:hint="eastAsia" w:ascii="仿宋" w:hAnsi="仿宋" w:eastAsia="仿宋"/>
          <w:color w:val="auto"/>
          <w:szCs w:val="24"/>
          <w:highlight w:val="none"/>
        </w:rPr>
        <w:t>四、样品</w:t>
      </w:r>
      <w:r>
        <w:rPr>
          <w:color w:val="auto"/>
          <w:highlight w:val="none"/>
        </w:rPr>
        <w:tab/>
      </w:r>
      <w:r>
        <w:rPr>
          <w:color w:val="auto"/>
          <w:highlight w:val="none"/>
        </w:rPr>
        <w:fldChar w:fldCharType="begin"/>
      </w:r>
      <w:r>
        <w:rPr>
          <w:color w:val="auto"/>
          <w:highlight w:val="none"/>
        </w:rPr>
        <w:instrText xml:space="preserve"> PAGEREF _Toc547 \h </w:instrText>
      </w:r>
      <w:r>
        <w:rPr>
          <w:color w:val="auto"/>
          <w:highlight w:val="none"/>
        </w:rPr>
        <w:fldChar w:fldCharType="separate"/>
      </w:r>
      <w:r>
        <w:rPr>
          <w:color w:val="auto"/>
          <w:highlight w:val="none"/>
        </w:rPr>
        <w:t>25</w:t>
      </w:r>
      <w:r>
        <w:rPr>
          <w:color w:val="auto"/>
          <w:highlight w:val="none"/>
        </w:rPr>
        <w:fldChar w:fldCharType="end"/>
      </w:r>
      <w:r>
        <w:rPr>
          <w:color w:val="auto"/>
          <w:highlight w:val="none"/>
        </w:rPr>
        <w:fldChar w:fldCharType="end"/>
      </w:r>
    </w:p>
    <w:p w14:paraId="0C0C1F43">
      <w:pPr>
        <w:pStyle w:val="36"/>
        <w:tabs>
          <w:tab w:val="right" w:leader="dot" w:pos="9638"/>
        </w:tabs>
        <w:rPr>
          <w:color w:val="auto"/>
          <w:highlight w:val="none"/>
        </w:rPr>
      </w:pPr>
      <w:r>
        <w:rPr>
          <w:color w:val="auto"/>
          <w:highlight w:val="none"/>
        </w:rPr>
        <w:fldChar w:fldCharType="begin"/>
      </w:r>
      <w:r>
        <w:rPr>
          <w:color w:val="auto"/>
          <w:highlight w:val="none"/>
        </w:rPr>
        <w:instrText xml:space="preserve"> HYPERLINK \l "_Toc22771" </w:instrText>
      </w:r>
      <w:r>
        <w:rPr>
          <w:color w:val="auto"/>
          <w:highlight w:val="none"/>
        </w:rPr>
        <w:fldChar w:fldCharType="separate"/>
      </w:r>
      <w:r>
        <w:rPr>
          <w:rFonts w:hint="eastAsia" w:ascii="仿宋" w:hAnsi="仿宋" w:eastAsia="仿宋"/>
          <w:color w:val="auto"/>
          <w:szCs w:val="24"/>
          <w:highlight w:val="none"/>
        </w:rPr>
        <w:t>五、有关招投标的事务和本项目的更正通知</w:t>
      </w:r>
      <w:r>
        <w:rPr>
          <w:color w:val="auto"/>
          <w:highlight w:val="none"/>
        </w:rPr>
        <w:tab/>
      </w:r>
      <w:r>
        <w:rPr>
          <w:color w:val="auto"/>
          <w:highlight w:val="none"/>
        </w:rPr>
        <w:fldChar w:fldCharType="begin"/>
      </w:r>
      <w:r>
        <w:rPr>
          <w:color w:val="auto"/>
          <w:highlight w:val="none"/>
        </w:rPr>
        <w:instrText xml:space="preserve"> PAGEREF _Toc22771 \h </w:instrText>
      </w:r>
      <w:r>
        <w:rPr>
          <w:color w:val="auto"/>
          <w:highlight w:val="none"/>
        </w:rPr>
        <w:fldChar w:fldCharType="separate"/>
      </w:r>
      <w:r>
        <w:rPr>
          <w:color w:val="auto"/>
          <w:highlight w:val="none"/>
        </w:rPr>
        <w:t>25</w:t>
      </w:r>
      <w:r>
        <w:rPr>
          <w:color w:val="auto"/>
          <w:highlight w:val="none"/>
        </w:rPr>
        <w:fldChar w:fldCharType="end"/>
      </w:r>
      <w:r>
        <w:rPr>
          <w:color w:val="auto"/>
          <w:highlight w:val="none"/>
        </w:rPr>
        <w:fldChar w:fldCharType="end"/>
      </w:r>
    </w:p>
    <w:p w14:paraId="56834E69">
      <w:pPr>
        <w:pStyle w:val="30"/>
        <w:tabs>
          <w:tab w:val="right" w:leader="dot" w:pos="9638"/>
        </w:tabs>
        <w:rPr>
          <w:color w:val="auto"/>
          <w:highlight w:val="none"/>
        </w:rPr>
      </w:pPr>
      <w:r>
        <w:rPr>
          <w:color w:val="auto"/>
          <w:highlight w:val="none"/>
        </w:rPr>
        <w:fldChar w:fldCharType="begin"/>
      </w:r>
      <w:r>
        <w:rPr>
          <w:color w:val="auto"/>
          <w:highlight w:val="none"/>
        </w:rPr>
        <w:instrText xml:space="preserve"> HYPERLINK \l "_Toc26686" </w:instrText>
      </w:r>
      <w:r>
        <w:rPr>
          <w:color w:val="auto"/>
          <w:highlight w:val="none"/>
        </w:rPr>
        <w:fldChar w:fldCharType="separate"/>
      </w:r>
      <w:r>
        <w:rPr>
          <w:rFonts w:hint="eastAsia" w:ascii="仿宋" w:hAnsi="仿宋" w:eastAsia="仿宋"/>
          <w:color w:val="auto"/>
          <w:highlight w:val="none"/>
        </w:rPr>
        <w:t>第四章  招标技术规格及要求</w:t>
      </w:r>
      <w:r>
        <w:rPr>
          <w:color w:val="auto"/>
          <w:highlight w:val="none"/>
        </w:rPr>
        <w:tab/>
      </w:r>
      <w:r>
        <w:rPr>
          <w:color w:val="auto"/>
          <w:highlight w:val="none"/>
        </w:rPr>
        <w:fldChar w:fldCharType="begin"/>
      </w:r>
      <w:r>
        <w:rPr>
          <w:color w:val="auto"/>
          <w:highlight w:val="none"/>
        </w:rPr>
        <w:instrText xml:space="preserve"> PAGEREF _Toc26686 \h </w:instrText>
      </w:r>
      <w:r>
        <w:rPr>
          <w:color w:val="auto"/>
          <w:highlight w:val="none"/>
        </w:rPr>
        <w:fldChar w:fldCharType="separate"/>
      </w:r>
      <w:r>
        <w:rPr>
          <w:color w:val="auto"/>
          <w:highlight w:val="none"/>
        </w:rPr>
        <w:t>26</w:t>
      </w:r>
      <w:r>
        <w:rPr>
          <w:color w:val="auto"/>
          <w:highlight w:val="none"/>
        </w:rPr>
        <w:fldChar w:fldCharType="end"/>
      </w:r>
      <w:r>
        <w:rPr>
          <w:color w:val="auto"/>
          <w:highlight w:val="none"/>
        </w:rPr>
        <w:fldChar w:fldCharType="end"/>
      </w:r>
    </w:p>
    <w:p w14:paraId="7F17CFEC">
      <w:pPr>
        <w:pStyle w:val="36"/>
        <w:tabs>
          <w:tab w:val="right" w:leader="dot" w:pos="9638"/>
        </w:tabs>
        <w:rPr>
          <w:color w:val="auto"/>
          <w:highlight w:val="none"/>
        </w:rPr>
      </w:pPr>
      <w:r>
        <w:rPr>
          <w:color w:val="auto"/>
          <w:highlight w:val="none"/>
        </w:rPr>
        <w:fldChar w:fldCharType="begin"/>
      </w:r>
      <w:r>
        <w:rPr>
          <w:color w:val="auto"/>
          <w:highlight w:val="none"/>
        </w:rPr>
        <w:instrText xml:space="preserve"> HYPERLINK \l "_Toc8407" </w:instrText>
      </w:r>
      <w:r>
        <w:rPr>
          <w:color w:val="auto"/>
          <w:highlight w:val="none"/>
        </w:rPr>
        <w:fldChar w:fldCharType="separate"/>
      </w:r>
      <w:r>
        <w:rPr>
          <w:rFonts w:hint="eastAsia" w:ascii="仿宋" w:hAnsi="仿宋" w:eastAsia="仿宋"/>
          <w:bCs/>
          <w:color w:val="auto"/>
          <w:szCs w:val="24"/>
          <w:highlight w:val="none"/>
        </w:rPr>
        <w:t>一、采购需求</w:t>
      </w:r>
      <w:r>
        <w:rPr>
          <w:color w:val="auto"/>
          <w:highlight w:val="none"/>
        </w:rPr>
        <w:tab/>
      </w:r>
      <w:r>
        <w:rPr>
          <w:color w:val="auto"/>
          <w:highlight w:val="none"/>
        </w:rPr>
        <w:fldChar w:fldCharType="begin"/>
      </w:r>
      <w:r>
        <w:rPr>
          <w:color w:val="auto"/>
          <w:highlight w:val="none"/>
        </w:rPr>
        <w:instrText xml:space="preserve"> PAGEREF _Toc8407 \h </w:instrText>
      </w:r>
      <w:r>
        <w:rPr>
          <w:color w:val="auto"/>
          <w:highlight w:val="none"/>
        </w:rPr>
        <w:fldChar w:fldCharType="separate"/>
      </w:r>
      <w:r>
        <w:rPr>
          <w:color w:val="auto"/>
          <w:highlight w:val="none"/>
        </w:rPr>
        <w:t>26</w:t>
      </w:r>
      <w:r>
        <w:rPr>
          <w:color w:val="auto"/>
          <w:highlight w:val="none"/>
        </w:rPr>
        <w:fldChar w:fldCharType="end"/>
      </w:r>
      <w:r>
        <w:rPr>
          <w:color w:val="auto"/>
          <w:highlight w:val="none"/>
        </w:rPr>
        <w:fldChar w:fldCharType="end"/>
      </w:r>
    </w:p>
    <w:p w14:paraId="16642FF3">
      <w:pPr>
        <w:pStyle w:val="36"/>
        <w:tabs>
          <w:tab w:val="right" w:leader="dot" w:pos="9638"/>
        </w:tabs>
        <w:rPr>
          <w:color w:val="auto"/>
          <w:highlight w:val="none"/>
        </w:rPr>
      </w:pPr>
      <w:r>
        <w:rPr>
          <w:color w:val="auto"/>
          <w:highlight w:val="none"/>
        </w:rPr>
        <w:fldChar w:fldCharType="begin"/>
      </w:r>
      <w:r>
        <w:rPr>
          <w:color w:val="auto"/>
          <w:highlight w:val="none"/>
        </w:rPr>
        <w:instrText xml:space="preserve"> HYPERLINK \l "_Toc7822" </w:instrText>
      </w:r>
      <w:r>
        <w:rPr>
          <w:color w:val="auto"/>
          <w:highlight w:val="none"/>
        </w:rPr>
        <w:fldChar w:fldCharType="separate"/>
      </w:r>
      <w:r>
        <w:rPr>
          <w:rFonts w:hint="eastAsia" w:ascii="仿宋" w:hAnsi="仿宋" w:eastAsia="仿宋"/>
          <w:bCs/>
          <w:color w:val="auto"/>
          <w:szCs w:val="24"/>
          <w:highlight w:val="none"/>
        </w:rPr>
        <w:t>二</w:t>
      </w:r>
      <w:r>
        <w:rPr>
          <w:rFonts w:ascii="仿宋" w:hAnsi="仿宋" w:eastAsia="仿宋"/>
          <w:bCs/>
          <w:color w:val="auto"/>
          <w:szCs w:val="24"/>
          <w:highlight w:val="none"/>
        </w:rPr>
        <w:t>、预期提交成果</w:t>
      </w:r>
      <w:r>
        <w:rPr>
          <w:color w:val="auto"/>
          <w:highlight w:val="none"/>
        </w:rPr>
        <w:tab/>
      </w:r>
      <w:r>
        <w:rPr>
          <w:color w:val="auto"/>
          <w:highlight w:val="none"/>
        </w:rPr>
        <w:fldChar w:fldCharType="begin"/>
      </w:r>
      <w:r>
        <w:rPr>
          <w:color w:val="auto"/>
          <w:highlight w:val="none"/>
        </w:rPr>
        <w:instrText xml:space="preserve"> PAGEREF _Toc7822 \h </w:instrText>
      </w:r>
      <w:r>
        <w:rPr>
          <w:color w:val="auto"/>
          <w:highlight w:val="none"/>
        </w:rPr>
        <w:fldChar w:fldCharType="separate"/>
      </w:r>
      <w:r>
        <w:rPr>
          <w:color w:val="auto"/>
          <w:highlight w:val="none"/>
        </w:rPr>
        <w:t>26</w:t>
      </w:r>
      <w:r>
        <w:rPr>
          <w:color w:val="auto"/>
          <w:highlight w:val="none"/>
        </w:rPr>
        <w:fldChar w:fldCharType="end"/>
      </w:r>
      <w:r>
        <w:rPr>
          <w:color w:val="auto"/>
          <w:highlight w:val="none"/>
        </w:rPr>
        <w:fldChar w:fldCharType="end"/>
      </w:r>
    </w:p>
    <w:p w14:paraId="252B5589">
      <w:pPr>
        <w:pStyle w:val="36"/>
        <w:tabs>
          <w:tab w:val="right" w:leader="dot" w:pos="9638"/>
        </w:tabs>
        <w:rPr>
          <w:color w:val="auto"/>
          <w:highlight w:val="none"/>
        </w:rPr>
      </w:pPr>
      <w:r>
        <w:rPr>
          <w:color w:val="auto"/>
          <w:highlight w:val="none"/>
        </w:rPr>
        <w:fldChar w:fldCharType="begin"/>
      </w:r>
      <w:r>
        <w:rPr>
          <w:color w:val="auto"/>
          <w:highlight w:val="none"/>
        </w:rPr>
        <w:instrText xml:space="preserve"> HYPERLINK \l "_Toc24083" </w:instrText>
      </w:r>
      <w:r>
        <w:rPr>
          <w:color w:val="auto"/>
          <w:highlight w:val="none"/>
        </w:rPr>
        <w:fldChar w:fldCharType="separate"/>
      </w:r>
      <w:r>
        <w:rPr>
          <w:rFonts w:hint="eastAsia" w:ascii="仿宋" w:hAnsi="仿宋" w:eastAsia="仿宋"/>
          <w:bCs/>
          <w:color w:val="auto"/>
          <w:szCs w:val="24"/>
          <w:highlight w:val="none"/>
        </w:rPr>
        <w:t>三</w:t>
      </w:r>
      <w:r>
        <w:rPr>
          <w:rFonts w:ascii="仿宋" w:hAnsi="仿宋" w:eastAsia="仿宋"/>
          <w:bCs/>
          <w:color w:val="auto"/>
          <w:szCs w:val="24"/>
          <w:highlight w:val="none"/>
        </w:rPr>
        <w:t>、</w:t>
      </w:r>
      <w:r>
        <w:rPr>
          <w:rFonts w:hint="eastAsia" w:ascii="仿宋" w:hAnsi="仿宋" w:eastAsia="仿宋"/>
          <w:bCs/>
          <w:color w:val="auto"/>
          <w:szCs w:val="24"/>
          <w:highlight w:val="none"/>
        </w:rPr>
        <w:t>技术</w:t>
      </w:r>
      <w:r>
        <w:rPr>
          <w:rFonts w:ascii="仿宋" w:hAnsi="仿宋" w:eastAsia="仿宋"/>
          <w:bCs/>
          <w:color w:val="auto"/>
          <w:szCs w:val="24"/>
          <w:highlight w:val="none"/>
        </w:rPr>
        <w:t>要求</w:t>
      </w:r>
      <w:r>
        <w:rPr>
          <w:color w:val="auto"/>
          <w:highlight w:val="none"/>
        </w:rPr>
        <w:tab/>
      </w:r>
      <w:r>
        <w:rPr>
          <w:color w:val="auto"/>
          <w:highlight w:val="none"/>
        </w:rPr>
        <w:fldChar w:fldCharType="begin"/>
      </w:r>
      <w:r>
        <w:rPr>
          <w:color w:val="auto"/>
          <w:highlight w:val="none"/>
        </w:rPr>
        <w:instrText xml:space="preserve"> PAGEREF _Toc24083 \h </w:instrText>
      </w:r>
      <w:r>
        <w:rPr>
          <w:color w:val="auto"/>
          <w:highlight w:val="none"/>
        </w:rPr>
        <w:fldChar w:fldCharType="separate"/>
      </w:r>
      <w:r>
        <w:rPr>
          <w:color w:val="auto"/>
          <w:highlight w:val="none"/>
        </w:rPr>
        <w:t>26</w:t>
      </w:r>
      <w:r>
        <w:rPr>
          <w:color w:val="auto"/>
          <w:highlight w:val="none"/>
        </w:rPr>
        <w:fldChar w:fldCharType="end"/>
      </w:r>
      <w:r>
        <w:rPr>
          <w:color w:val="auto"/>
          <w:highlight w:val="none"/>
        </w:rPr>
        <w:fldChar w:fldCharType="end"/>
      </w:r>
    </w:p>
    <w:p w14:paraId="707D1793">
      <w:pPr>
        <w:pStyle w:val="36"/>
        <w:tabs>
          <w:tab w:val="right" w:leader="dot" w:pos="9638"/>
        </w:tabs>
        <w:rPr>
          <w:color w:val="auto"/>
          <w:highlight w:val="none"/>
        </w:rPr>
      </w:pPr>
      <w:r>
        <w:rPr>
          <w:color w:val="auto"/>
          <w:highlight w:val="none"/>
        </w:rPr>
        <w:fldChar w:fldCharType="begin"/>
      </w:r>
      <w:r>
        <w:rPr>
          <w:color w:val="auto"/>
          <w:highlight w:val="none"/>
        </w:rPr>
        <w:instrText xml:space="preserve"> HYPERLINK \l "_Toc10231" </w:instrText>
      </w:r>
      <w:r>
        <w:rPr>
          <w:color w:val="auto"/>
          <w:highlight w:val="none"/>
        </w:rPr>
        <w:fldChar w:fldCharType="separate"/>
      </w:r>
      <w:r>
        <w:rPr>
          <w:rFonts w:hint="eastAsia" w:ascii="仿宋" w:hAnsi="仿宋" w:eastAsia="仿宋"/>
          <w:bCs/>
          <w:color w:val="auto"/>
          <w:szCs w:val="24"/>
          <w:highlight w:val="none"/>
        </w:rPr>
        <w:t>四、交付时间</w:t>
      </w:r>
      <w:r>
        <w:rPr>
          <w:color w:val="auto"/>
          <w:highlight w:val="none"/>
        </w:rPr>
        <w:tab/>
      </w:r>
      <w:r>
        <w:rPr>
          <w:color w:val="auto"/>
          <w:highlight w:val="none"/>
        </w:rPr>
        <w:fldChar w:fldCharType="begin"/>
      </w:r>
      <w:r>
        <w:rPr>
          <w:color w:val="auto"/>
          <w:highlight w:val="none"/>
        </w:rPr>
        <w:instrText xml:space="preserve"> PAGEREF _Toc10231 \h </w:instrText>
      </w:r>
      <w:r>
        <w:rPr>
          <w:color w:val="auto"/>
          <w:highlight w:val="none"/>
        </w:rPr>
        <w:fldChar w:fldCharType="separate"/>
      </w:r>
      <w:r>
        <w:rPr>
          <w:color w:val="auto"/>
          <w:highlight w:val="none"/>
        </w:rPr>
        <w:t>27</w:t>
      </w:r>
      <w:r>
        <w:rPr>
          <w:color w:val="auto"/>
          <w:highlight w:val="none"/>
        </w:rPr>
        <w:fldChar w:fldCharType="end"/>
      </w:r>
      <w:r>
        <w:rPr>
          <w:color w:val="auto"/>
          <w:highlight w:val="none"/>
        </w:rPr>
        <w:fldChar w:fldCharType="end"/>
      </w:r>
    </w:p>
    <w:p w14:paraId="728FEDEE">
      <w:pPr>
        <w:pStyle w:val="30"/>
        <w:tabs>
          <w:tab w:val="right" w:leader="dot" w:pos="9638"/>
        </w:tabs>
        <w:rPr>
          <w:color w:val="auto"/>
          <w:highlight w:val="none"/>
        </w:rPr>
      </w:pPr>
      <w:r>
        <w:rPr>
          <w:color w:val="auto"/>
          <w:highlight w:val="none"/>
        </w:rPr>
        <w:fldChar w:fldCharType="begin"/>
      </w:r>
      <w:r>
        <w:rPr>
          <w:color w:val="auto"/>
          <w:highlight w:val="none"/>
        </w:rPr>
        <w:instrText xml:space="preserve"> HYPERLINK \l "_Toc22947" </w:instrText>
      </w:r>
      <w:r>
        <w:rPr>
          <w:color w:val="auto"/>
          <w:highlight w:val="none"/>
        </w:rPr>
        <w:fldChar w:fldCharType="separate"/>
      </w:r>
      <w:r>
        <w:rPr>
          <w:rFonts w:hint="eastAsia" w:ascii="仿宋" w:hAnsi="仿宋" w:eastAsia="仿宋"/>
          <w:color w:val="auto"/>
          <w:highlight w:val="none"/>
        </w:rPr>
        <w:t>第五章  投标文件格式</w:t>
      </w:r>
      <w:r>
        <w:rPr>
          <w:color w:val="auto"/>
          <w:highlight w:val="none"/>
        </w:rPr>
        <w:tab/>
      </w:r>
      <w:r>
        <w:rPr>
          <w:color w:val="auto"/>
          <w:highlight w:val="none"/>
        </w:rPr>
        <w:fldChar w:fldCharType="begin"/>
      </w:r>
      <w:r>
        <w:rPr>
          <w:color w:val="auto"/>
          <w:highlight w:val="none"/>
        </w:rPr>
        <w:instrText xml:space="preserve"> PAGEREF _Toc22947 \h </w:instrText>
      </w:r>
      <w:r>
        <w:rPr>
          <w:color w:val="auto"/>
          <w:highlight w:val="none"/>
        </w:rPr>
        <w:fldChar w:fldCharType="separate"/>
      </w:r>
      <w:r>
        <w:rPr>
          <w:color w:val="auto"/>
          <w:highlight w:val="none"/>
        </w:rPr>
        <w:t>28</w:t>
      </w:r>
      <w:r>
        <w:rPr>
          <w:color w:val="auto"/>
          <w:highlight w:val="none"/>
        </w:rPr>
        <w:fldChar w:fldCharType="end"/>
      </w:r>
      <w:r>
        <w:rPr>
          <w:color w:val="auto"/>
          <w:highlight w:val="none"/>
        </w:rPr>
        <w:fldChar w:fldCharType="end"/>
      </w:r>
    </w:p>
    <w:p w14:paraId="55FF03D9">
      <w:pPr>
        <w:pStyle w:val="36"/>
        <w:tabs>
          <w:tab w:val="right" w:leader="dot" w:pos="9638"/>
        </w:tabs>
        <w:rPr>
          <w:color w:val="auto"/>
          <w:highlight w:val="none"/>
        </w:rPr>
      </w:pPr>
      <w:r>
        <w:rPr>
          <w:color w:val="auto"/>
          <w:highlight w:val="none"/>
        </w:rPr>
        <w:fldChar w:fldCharType="begin"/>
      </w:r>
      <w:r>
        <w:rPr>
          <w:color w:val="auto"/>
          <w:highlight w:val="none"/>
        </w:rPr>
        <w:instrText xml:space="preserve"> HYPERLINK \l "_Toc23684" </w:instrText>
      </w:r>
      <w:r>
        <w:rPr>
          <w:color w:val="auto"/>
          <w:highlight w:val="none"/>
        </w:rPr>
        <w:fldChar w:fldCharType="separate"/>
      </w:r>
      <w:r>
        <w:rPr>
          <w:rFonts w:hint="eastAsia" w:ascii="仿宋" w:hAnsi="仿宋" w:eastAsia="仿宋"/>
          <w:color w:val="auto"/>
          <w:szCs w:val="24"/>
          <w:highlight w:val="none"/>
        </w:rPr>
        <w:t>一、投标函、投标报价及项目相关文件</w:t>
      </w:r>
      <w:r>
        <w:rPr>
          <w:color w:val="auto"/>
          <w:highlight w:val="none"/>
        </w:rPr>
        <w:tab/>
      </w:r>
      <w:r>
        <w:rPr>
          <w:color w:val="auto"/>
          <w:highlight w:val="none"/>
        </w:rPr>
        <w:fldChar w:fldCharType="begin"/>
      </w:r>
      <w:r>
        <w:rPr>
          <w:color w:val="auto"/>
          <w:highlight w:val="none"/>
        </w:rPr>
        <w:instrText xml:space="preserve"> PAGEREF _Toc23684 \h </w:instrText>
      </w:r>
      <w:r>
        <w:rPr>
          <w:color w:val="auto"/>
          <w:highlight w:val="none"/>
        </w:rPr>
        <w:fldChar w:fldCharType="separate"/>
      </w:r>
      <w:r>
        <w:rPr>
          <w:color w:val="auto"/>
          <w:highlight w:val="none"/>
        </w:rPr>
        <w:t>29</w:t>
      </w:r>
      <w:r>
        <w:rPr>
          <w:color w:val="auto"/>
          <w:highlight w:val="none"/>
        </w:rPr>
        <w:fldChar w:fldCharType="end"/>
      </w:r>
      <w:r>
        <w:rPr>
          <w:color w:val="auto"/>
          <w:highlight w:val="none"/>
        </w:rPr>
        <w:fldChar w:fldCharType="end"/>
      </w:r>
    </w:p>
    <w:p w14:paraId="5C7D8E14">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"_Toc31328" </w:instrText>
      </w:r>
      <w:r>
        <w:rPr>
          <w:color w:val="auto"/>
          <w:highlight w:val="none"/>
        </w:rPr>
        <w:fldChar w:fldCharType="separate"/>
      </w:r>
      <w:r>
        <w:rPr>
          <w:rFonts w:hint="eastAsia" w:ascii="仿宋" w:hAnsi="仿宋" w:eastAsia="仿宋"/>
          <w:color w:val="auto"/>
          <w:szCs w:val="24"/>
          <w:highlight w:val="none"/>
        </w:rPr>
        <w:t>1.投标函</w:t>
      </w:r>
      <w:r>
        <w:rPr>
          <w:color w:val="auto"/>
          <w:highlight w:val="none"/>
        </w:rPr>
        <w:tab/>
      </w:r>
      <w:r>
        <w:rPr>
          <w:color w:val="auto"/>
          <w:highlight w:val="none"/>
        </w:rPr>
        <w:fldChar w:fldCharType="begin"/>
      </w:r>
      <w:r>
        <w:rPr>
          <w:color w:val="auto"/>
          <w:highlight w:val="none"/>
        </w:rPr>
        <w:instrText xml:space="preserve"> PAGEREF _Toc31328 \h </w:instrText>
      </w:r>
      <w:r>
        <w:rPr>
          <w:color w:val="auto"/>
          <w:highlight w:val="none"/>
        </w:rPr>
        <w:fldChar w:fldCharType="separate"/>
      </w:r>
      <w:r>
        <w:rPr>
          <w:color w:val="auto"/>
          <w:highlight w:val="none"/>
        </w:rPr>
        <w:t>29</w:t>
      </w:r>
      <w:r>
        <w:rPr>
          <w:color w:val="auto"/>
          <w:highlight w:val="none"/>
        </w:rPr>
        <w:fldChar w:fldCharType="end"/>
      </w:r>
      <w:r>
        <w:rPr>
          <w:color w:val="auto"/>
          <w:highlight w:val="none"/>
        </w:rPr>
        <w:fldChar w:fldCharType="end"/>
      </w:r>
    </w:p>
    <w:p w14:paraId="4A346A01">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"_Toc8897" </w:instrText>
      </w:r>
      <w:r>
        <w:rPr>
          <w:color w:val="auto"/>
          <w:highlight w:val="none"/>
        </w:rPr>
        <w:fldChar w:fldCharType="separate"/>
      </w:r>
      <w:r>
        <w:rPr>
          <w:rFonts w:hint="eastAsia" w:ascii="仿宋" w:hAnsi="仿宋" w:eastAsia="仿宋"/>
          <w:color w:val="auto"/>
          <w:szCs w:val="24"/>
          <w:highlight w:val="none"/>
        </w:rPr>
        <w:t>2.开标一览表</w:t>
      </w:r>
      <w:r>
        <w:rPr>
          <w:color w:val="auto"/>
          <w:highlight w:val="none"/>
        </w:rPr>
        <w:tab/>
      </w:r>
      <w:r>
        <w:rPr>
          <w:color w:val="auto"/>
          <w:highlight w:val="none"/>
        </w:rPr>
        <w:fldChar w:fldCharType="begin"/>
      </w:r>
      <w:r>
        <w:rPr>
          <w:color w:val="auto"/>
          <w:highlight w:val="none"/>
        </w:rPr>
        <w:instrText xml:space="preserve"> PAGEREF _Toc8897 \h </w:instrText>
      </w:r>
      <w:r>
        <w:rPr>
          <w:color w:val="auto"/>
          <w:highlight w:val="none"/>
        </w:rPr>
        <w:fldChar w:fldCharType="separate"/>
      </w:r>
      <w:r>
        <w:rPr>
          <w:color w:val="auto"/>
          <w:highlight w:val="none"/>
        </w:rPr>
        <w:t>30</w:t>
      </w:r>
      <w:r>
        <w:rPr>
          <w:color w:val="auto"/>
          <w:highlight w:val="none"/>
        </w:rPr>
        <w:fldChar w:fldCharType="end"/>
      </w:r>
      <w:r>
        <w:rPr>
          <w:color w:val="auto"/>
          <w:highlight w:val="none"/>
        </w:rPr>
        <w:fldChar w:fldCharType="end"/>
      </w:r>
    </w:p>
    <w:p w14:paraId="7DE87D7B">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"_Toc881" </w:instrText>
      </w:r>
      <w:r>
        <w:rPr>
          <w:color w:val="auto"/>
          <w:highlight w:val="none"/>
        </w:rPr>
        <w:fldChar w:fldCharType="separate"/>
      </w:r>
      <w:r>
        <w:rPr>
          <w:rFonts w:hint="eastAsia" w:ascii="仿宋" w:hAnsi="仿宋" w:eastAsia="仿宋"/>
          <w:color w:val="auto"/>
          <w:szCs w:val="24"/>
          <w:highlight w:val="none"/>
        </w:rPr>
        <w:t>3.报价明细表</w:t>
      </w:r>
      <w:r>
        <w:rPr>
          <w:color w:val="auto"/>
          <w:highlight w:val="none"/>
        </w:rPr>
        <w:tab/>
      </w:r>
      <w:r>
        <w:rPr>
          <w:color w:val="auto"/>
          <w:highlight w:val="none"/>
        </w:rPr>
        <w:fldChar w:fldCharType="begin"/>
      </w:r>
      <w:r>
        <w:rPr>
          <w:color w:val="auto"/>
          <w:highlight w:val="none"/>
        </w:rPr>
        <w:instrText xml:space="preserve"> PAGEREF _Toc881 \h </w:instrText>
      </w:r>
      <w:r>
        <w:rPr>
          <w:color w:val="auto"/>
          <w:highlight w:val="none"/>
        </w:rPr>
        <w:fldChar w:fldCharType="separate"/>
      </w:r>
      <w:r>
        <w:rPr>
          <w:color w:val="auto"/>
          <w:highlight w:val="none"/>
        </w:rPr>
        <w:t>31</w:t>
      </w:r>
      <w:r>
        <w:rPr>
          <w:color w:val="auto"/>
          <w:highlight w:val="none"/>
        </w:rPr>
        <w:fldChar w:fldCharType="end"/>
      </w:r>
      <w:r>
        <w:rPr>
          <w:color w:val="auto"/>
          <w:highlight w:val="none"/>
        </w:rPr>
        <w:fldChar w:fldCharType="end"/>
      </w:r>
    </w:p>
    <w:p w14:paraId="44AB8FDD">
      <w:pPr>
        <w:pStyle w:val="36"/>
        <w:tabs>
          <w:tab w:val="right" w:leader="dot" w:pos="9638"/>
        </w:tabs>
        <w:rPr>
          <w:color w:val="auto"/>
          <w:highlight w:val="none"/>
        </w:rPr>
      </w:pPr>
      <w:r>
        <w:rPr>
          <w:color w:val="auto"/>
          <w:highlight w:val="none"/>
        </w:rPr>
        <w:fldChar w:fldCharType="begin"/>
      </w:r>
      <w:r>
        <w:rPr>
          <w:color w:val="auto"/>
          <w:highlight w:val="none"/>
        </w:rPr>
        <w:instrText xml:space="preserve"> HYPERLINK \l "_Toc17272" </w:instrText>
      </w:r>
      <w:r>
        <w:rPr>
          <w:color w:val="auto"/>
          <w:highlight w:val="none"/>
        </w:rPr>
        <w:fldChar w:fldCharType="separate"/>
      </w:r>
      <w:r>
        <w:rPr>
          <w:rFonts w:hint="eastAsia" w:ascii="仿宋" w:hAnsi="仿宋" w:eastAsia="仿宋"/>
          <w:color w:val="auto"/>
          <w:szCs w:val="24"/>
          <w:highlight w:val="none"/>
        </w:rPr>
        <w:t>二、资格证明文件</w:t>
      </w:r>
      <w:r>
        <w:rPr>
          <w:color w:val="auto"/>
          <w:highlight w:val="none"/>
        </w:rPr>
        <w:tab/>
      </w:r>
      <w:r>
        <w:rPr>
          <w:color w:val="auto"/>
          <w:highlight w:val="none"/>
        </w:rPr>
        <w:fldChar w:fldCharType="begin"/>
      </w:r>
      <w:r>
        <w:rPr>
          <w:color w:val="auto"/>
          <w:highlight w:val="none"/>
        </w:rPr>
        <w:instrText xml:space="preserve"> PAGEREF _Toc17272 \h </w:instrText>
      </w:r>
      <w:r>
        <w:rPr>
          <w:color w:val="auto"/>
          <w:highlight w:val="none"/>
        </w:rPr>
        <w:fldChar w:fldCharType="separate"/>
      </w:r>
      <w:r>
        <w:rPr>
          <w:color w:val="auto"/>
          <w:highlight w:val="none"/>
        </w:rPr>
        <w:t>32</w:t>
      </w:r>
      <w:r>
        <w:rPr>
          <w:color w:val="auto"/>
          <w:highlight w:val="none"/>
        </w:rPr>
        <w:fldChar w:fldCharType="end"/>
      </w:r>
      <w:r>
        <w:rPr>
          <w:color w:val="auto"/>
          <w:highlight w:val="none"/>
        </w:rPr>
        <w:fldChar w:fldCharType="end"/>
      </w:r>
    </w:p>
    <w:p w14:paraId="05F66D94">
      <w:pPr>
        <w:pStyle w:val="36"/>
        <w:tabs>
          <w:tab w:val="right" w:leader="dot" w:pos="9638"/>
        </w:tabs>
        <w:rPr>
          <w:color w:val="auto"/>
          <w:highlight w:val="none"/>
        </w:rPr>
      </w:pPr>
      <w:r>
        <w:rPr>
          <w:color w:val="auto"/>
          <w:highlight w:val="none"/>
        </w:rPr>
        <w:fldChar w:fldCharType="begin"/>
      </w:r>
      <w:r>
        <w:rPr>
          <w:color w:val="auto"/>
          <w:highlight w:val="none"/>
        </w:rPr>
        <w:instrText xml:space="preserve"> HYPERLINK \l "_Toc6035" </w:instrText>
      </w:r>
      <w:r>
        <w:rPr>
          <w:color w:val="auto"/>
          <w:highlight w:val="none"/>
        </w:rPr>
        <w:fldChar w:fldCharType="separate"/>
      </w:r>
      <w:r>
        <w:rPr>
          <w:rFonts w:hint="eastAsia" w:ascii="仿宋" w:hAnsi="仿宋" w:eastAsia="仿宋"/>
          <w:color w:val="auto"/>
          <w:szCs w:val="24"/>
          <w:highlight w:val="none"/>
        </w:rPr>
        <w:t>三、法人授权委托书</w:t>
      </w:r>
      <w:r>
        <w:rPr>
          <w:color w:val="auto"/>
          <w:highlight w:val="none"/>
        </w:rPr>
        <w:tab/>
      </w:r>
      <w:r>
        <w:rPr>
          <w:color w:val="auto"/>
          <w:highlight w:val="none"/>
        </w:rPr>
        <w:fldChar w:fldCharType="begin"/>
      </w:r>
      <w:r>
        <w:rPr>
          <w:color w:val="auto"/>
          <w:highlight w:val="none"/>
        </w:rPr>
        <w:instrText xml:space="preserve"> PAGEREF _Toc6035 \h </w:instrText>
      </w:r>
      <w:r>
        <w:rPr>
          <w:color w:val="auto"/>
          <w:highlight w:val="none"/>
        </w:rPr>
        <w:fldChar w:fldCharType="separate"/>
      </w:r>
      <w:r>
        <w:rPr>
          <w:color w:val="auto"/>
          <w:highlight w:val="none"/>
        </w:rPr>
        <w:t>33</w:t>
      </w:r>
      <w:r>
        <w:rPr>
          <w:color w:val="auto"/>
          <w:highlight w:val="none"/>
        </w:rPr>
        <w:fldChar w:fldCharType="end"/>
      </w:r>
      <w:r>
        <w:rPr>
          <w:color w:val="auto"/>
          <w:highlight w:val="none"/>
        </w:rPr>
        <w:fldChar w:fldCharType="end"/>
      </w:r>
    </w:p>
    <w:p w14:paraId="0130CE5E">
      <w:pPr>
        <w:pStyle w:val="36"/>
        <w:tabs>
          <w:tab w:val="right" w:leader="dot" w:pos="9638"/>
        </w:tabs>
        <w:rPr>
          <w:color w:val="auto"/>
          <w:highlight w:val="none"/>
        </w:rPr>
      </w:pPr>
      <w:r>
        <w:rPr>
          <w:color w:val="auto"/>
          <w:highlight w:val="none"/>
        </w:rPr>
        <w:fldChar w:fldCharType="begin"/>
      </w:r>
      <w:r>
        <w:rPr>
          <w:color w:val="auto"/>
          <w:highlight w:val="none"/>
        </w:rPr>
        <w:instrText xml:space="preserve"> HYPERLINK \l "_Toc8685" </w:instrText>
      </w:r>
      <w:r>
        <w:rPr>
          <w:color w:val="auto"/>
          <w:highlight w:val="none"/>
        </w:rPr>
        <w:fldChar w:fldCharType="separate"/>
      </w:r>
      <w:r>
        <w:rPr>
          <w:rFonts w:hint="eastAsia" w:ascii="仿宋" w:hAnsi="仿宋" w:eastAsia="仿宋"/>
          <w:color w:val="auto"/>
          <w:szCs w:val="24"/>
          <w:highlight w:val="none"/>
        </w:rPr>
        <w:t>四、证明服务的合格性和符合招标文件规定的文件的实施方案</w:t>
      </w:r>
      <w:r>
        <w:rPr>
          <w:color w:val="auto"/>
          <w:highlight w:val="none"/>
        </w:rPr>
        <w:tab/>
      </w:r>
      <w:r>
        <w:rPr>
          <w:color w:val="auto"/>
          <w:highlight w:val="none"/>
        </w:rPr>
        <w:fldChar w:fldCharType="begin"/>
      </w:r>
      <w:r>
        <w:rPr>
          <w:color w:val="auto"/>
          <w:highlight w:val="none"/>
        </w:rPr>
        <w:instrText xml:space="preserve"> PAGEREF _Toc8685 \h </w:instrText>
      </w:r>
      <w:r>
        <w:rPr>
          <w:color w:val="auto"/>
          <w:highlight w:val="none"/>
        </w:rPr>
        <w:fldChar w:fldCharType="separate"/>
      </w:r>
      <w:r>
        <w:rPr>
          <w:color w:val="auto"/>
          <w:highlight w:val="none"/>
        </w:rPr>
        <w:t>34</w:t>
      </w:r>
      <w:r>
        <w:rPr>
          <w:color w:val="auto"/>
          <w:highlight w:val="none"/>
        </w:rPr>
        <w:fldChar w:fldCharType="end"/>
      </w:r>
      <w:r>
        <w:rPr>
          <w:color w:val="auto"/>
          <w:highlight w:val="none"/>
        </w:rPr>
        <w:fldChar w:fldCharType="end"/>
      </w:r>
    </w:p>
    <w:p w14:paraId="2EF046A8">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"_Toc23249" </w:instrText>
      </w:r>
      <w:r>
        <w:rPr>
          <w:color w:val="auto"/>
          <w:highlight w:val="none"/>
        </w:rPr>
        <w:fldChar w:fldCharType="separate"/>
      </w:r>
      <w:r>
        <w:rPr>
          <w:rFonts w:eastAsia="仿宋"/>
          <w:color w:val="auto"/>
          <w:szCs w:val="24"/>
          <w:highlight w:val="none"/>
        </w:rPr>
        <w:t>1</w:t>
      </w:r>
      <w:r>
        <w:rPr>
          <w:rFonts w:hint="eastAsia" w:eastAsia="仿宋"/>
          <w:color w:val="auto"/>
          <w:szCs w:val="24"/>
          <w:highlight w:val="none"/>
        </w:rPr>
        <w:t>.</w:t>
      </w:r>
      <w:r>
        <w:rPr>
          <w:rFonts w:eastAsia="仿宋"/>
          <w:color w:val="auto"/>
          <w:szCs w:val="24"/>
          <w:highlight w:val="none"/>
        </w:rPr>
        <w:t>商务条款偏离表</w:t>
      </w:r>
      <w:r>
        <w:rPr>
          <w:color w:val="auto"/>
          <w:highlight w:val="none"/>
        </w:rPr>
        <w:tab/>
      </w:r>
      <w:r>
        <w:rPr>
          <w:color w:val="auto"/>
          <w:highlight w:val="none"/>
        </w:rPr>
        <w:fldChar w:fldCharType="begin"/>
      </w:r>
      <w:r>
        <w:rPr>
          <w:color w:val="auto"/>
          <w:highlight w:val="none"/>
        </w:rPr>
        <w:instrText xml:space="preserve"> PAGEREF _Toc23249 \h </w:instrText>
      </w:r>
      <w:r>
        <w:rPr>
          <w:color w:val="auto"/>
          <w:highlight w:val="none"/>
        </w:rPr>
        <w:fldChar w:fldCharType="separate"/>
      </w:r>
      <w:r>
        <w:rPr>
          <w:color w:val="auto"/>
          <w:highlight w:val="none"/>
        </w:rPr>
        <w:t>34</w:t>
      </w:r>
      <w:r>
        <w:rPr>
          <w:color w:val="auto"/>
          <w:highlight w:val="none"/>
        </w:rPr>
        <w:fldChar w:fldCharType="end"/>
      </w:r>
      <w:r>
        <w:rPr>
          <w:color w:val="auto"/>
          <w:highlight w:val="none"/>
        </w:rPr>
        <w:fldChar w:fldCharType="end"/>
      </w:r>
    </w:p>
    <w:p w14:paraId="418CE66A">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"_Toc9345" </w:instrText>
      </w:r>
      <w:r>
        <w:rPr>
          <w:color w:val="auto"/>
          <w:highlight w:val="none"/>
        </w:rPr>
        <w:fldChar w:fldCharType="separate"/>
      </w:r>
      <w:r>
        <w:rPr>
          <w:rFonts w:eastAsia="仿宋"/>
          <w:color w:val="auto"/>
          <w:szCs w:val="24"/>
          <w:highlight w:val="none"/>
        </w:rPr>
        <w:t>2</w:t>
      </w:r>
      <w:r>
        <w:rPr>
          <w:rFonts w:hint="eastAsia" w:eastAsia="仿宋"/>
          <w:color w:val="auto"/>
          <w:szCs w:val="24"/>
          <w:highlight w:val="none"/>
        </w:rPr>
        <w:t>.</w:t>
      </w:r>
      <w:r>
        <w:rPr>
          <w:rFonts w:eastAsia="仿宋"/>
          <w:color w:val="auto"/>
          <w:szCs w:val="24"/>
          <w:highlight w:val="none"/>
        </w:rPr>
        <w:t>技术要求响应/偏离表</w:t>
      </w:r>
      <w:r>
        <w:rPr>
          <w:color w:val="auto"/>
          <w:highlight w:val="none"/>
        </w:rPr>
        <w:tab/>
      </w:r>
      <w:r>
        <w:rPr>
          <w:color w:val="auto"/>
          <w:highlight w:val="none"/>
        </w:rPr>
        <w:fldChar w:fldCharType="begin"/>
      </w:r>
      <w:r>
        <w:rPr>
          <w:color w:val="auto"/>
          <w:highlight w:val="none"/>
        </w:rPr>
        <w:instrText xml:space="preserve"> PAGEREF _Toc9345 \h </w:instrText>
      </w:r>
      <w:r>
        <w:rPr>
          <w:color w:val="auto"/>
          <w:highlight w:val="none"/>
        </w:rPr>
        <w:fldChar w:fldCharType="separate"/>
      </w:r>
      <w:r>
        <w:rPr>
          <w:color w:val="auto"/>
          <w:highlight w:val="none"/>
        </w:rPr>
        <w:t>35</w:t>
      </w:r>
      <w:r>
        <w:rPr>
          <w:color w:val="auto"/>
          <w:highlight w:val="none"/>
        </w:rPr>
        <w:fldChar w:fldCharType="end"/>
      </w:r>
      <w:r>
        <w:rPr>
          <w:color w:val="auto"/>
          <w:highlight w:val="none"/>
        </w:rPr>
        <w:fldChar w:fldCharType="end"/>
      </w:r>
    </w:p>
    <w:p w14:paraId="412DC84D">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"_Toc13771" </w:instrText>
      </w:r>
      <w:r>
        <w:rPr>
          <w:color w:val="auto"/>
          <w:highlight w:val="none"/>
        </w:rPr>
        <w:fldChar w:fldCharType="separate"/>
      </w:r>
      <w:r>
        <w:rPr>
          <w:rFonts w:eastAsia="仿宋"/>
          <w:color w:val="auto"/>
          <w:szCs w:val="24"/>
          <w:highlight w:val="none"/>
        </w:rPr>
        <w:t>3</w:t>
      </w:r>
      <w:r>
        <w:rPr>
          <w:rFonts w:hint="eastAsia" w:eastAsia="仿宋"/>
          <w:color w:val="auto"/>
          <w:szCs w:val="24"/>
          <w:highlight w:val="none"/>
        </w:rPr>
        <w:t>.</w:t>
      </w:r>
      <w:r>
        <w:rPr>
          <w:rFonts w:hint="eastAsia"/>
          <w:color w:val="auto"/>
          <w:highlight w:val="none"/>
        </w:rPr>
        <w:t xml:space="preserve"> </w:t>
      </w:r>
      <w:r>
        <w:rPr>
          <w:rFonts w:hint="eastAsia" w:eastAsia="仿宋"/>
          <w:color w:val="auto"/>
          <w:szCs w:val="24"/>
          <w:highlight w:val="none"/>
        </w:rPr>
        <w:t>商务部分</w:t>
      </w:r>
      <w:r>
        <w:rPr>
          <w:color w:val="auto"/>
          <w:highlight w:val="none"/>
        </w:rPr>
        <w:tab/>
      </w:r>
      <w:r>
        <w:rPr>
          <w:color w:val="auto"/>
          <w:highlight w:val="none"/>
        </w:rPr>
        <w:fldChar w:fldCharType="begin"/>
      </w:r>
      <w:r>
        <w:rPr>
          <w:color w:val="auto"/>
          <w:highlight w:val="none"/>
        </w:rPr>
        <w:instrText xml:space="preserve"> PAGEREF _Toc13771 \h </w:instrText>
      </w:r>
      <w:r>
        <w:rPr>
          <w:color w:val="auto"/>
          <w:highlight w:val="none"/>
        </w:rPr>
        <w:fldChar w:fldCharType="separate"/>
      </w:r>
      <w:r>
        <w:rPr>
          <w:color w:val="auto"/>
          <w:highlight w:val="none"/>
        </w:rPr>
        <w:t>36</w:t>
      </w:r>
      <w:r>
        <w:rPr>
          <w:color w:val="auto"/>
          <w:highlight w:val="none"/>
        </w:rPr>
        <w:fldChar w:fldCharType="end"/>
      </w:r>
      <w:r>
        <w:rPr>
          <w:color w:val="auto"/>
          <w:highlight w:val="none"/>
        </w:rPr>
        <w:fldChar w:fldCharType="end"/>
      </w:r>
    </w:p>
    <w:p w14:paraId="4517012D">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"_Toc5259" </w:instrText>
      </w:r>
      <w:r>
        <w:rPr>
          <w:color w:val="auto"/>
          <w:highlight w:val="none"/>
        </w:rPr>
        <w:fldChar w:fldCharType="separate"/>
      </w:r>
      <w:r>
        <w:rPr>
          <w:rFonts w:eastAsia="仿宋"/>
          <w:color w:val="auto"/>
          <w:szCs w:val="24"/>
          <w:highlight w:val="none"/>
        </w:rPr>
        <w:t>4</w:t>
      </w:r>
      <w:r>
        <w:rPr>
          <w:rFonts w:hint="eastAsia" w:eastAsia="仿宋"/>
          <w:color w:val="auto"/>
          <w:szCs w:val="24"/>
          <w:highlight w:val="none"/>
        </w:rPr>
        <w:t>.</w:t>
      </w:r>
      <w:r>
        <w:rPr>
          <w:rFonts w:hint="eastAsia"/>
          <w:color w:val="auto"/>
          <w:highlight w:val="none"/>
        </w:rPr>
        <w:t xml:space="preserve"> </w:t>
      </w:r>
      <w:r>
        <w:rPr>
          <w:rFonts w:hint="eastAsia" w:eastAsia="仿宋"/>
          <w:color w:val="auto"/>
          <w:szCs w:val="24"/>
          <w:highlight w:val="none"/>
        </w:rPr>
        <w:t>技术部分</w:t>
      </w:r>
      <w:r>
        <w:rPr>
          <w:color w:val="auto"/>
          <w:highlight w:val="none"/>
        </w:rPr>
        <w:tab/>
      </w:r>
      <w:r>
        <w:rPr>
          <w:color w:val="auto"/>
          <w:highlight w:val="none"/>
        </w:rPr>
        <w:fldChar w:fldCharType="begin"/>
      </w:r>
      <w:r>
        <w:rPr>
          <w:color w:val="auto"/>
          <w:highlight w:val="none"/>
        </w:rPr>
        <w:instrText xml:space="preserve"> PAGEREF _Toc5259 \h </w:instrText>
      </w:r>
      <w:r>
        <w:rPr>
          <w:color w:val="auto"/>
          <w:highlight w:val="none"/>
        </w:rPr>
        <w:fldChar w:fldCharType="separate"/>
      </w:r>
      <w:r>
        <w:rPr>
          <w:color w:val="auto"/>
          <w:highlight w:val="none"/>
        </w:rPr>
        <w:t>36</w:t>
      </w:r>
      <w:r>
        <w:rPr>
          <w:color w:val="auto"/>
          <w:highlight w:val="none"/>
        </w:rPr>
        <w:fldChar w:fldCharType="end"/>
      </w:r>
      <w:r>
        <w:rPr>
          <w:color w:val="auto"/>
          <w:highlight w:val="none"/>
        </w:rPr>
        <w:fldChar w:fldCharType="end"/>
      </w:r>
    </w:p>
    <w:p w14:paraId="10FBC90D">
      <w:pPr>
        <w:pStyle w:val="36"/>
        <w:tabs>
          <w:tab w:val="right" w:leader="dot" w:pos="9638"/>
        </w:tabs>
        <w:rPr>
          <w:color w:val="auto"/>
          <w:highlight w:val="none"/>
        </w:rPr>
      </w:pPr>
      <w:r>
        <w:rPr>
          <w:color w:val="auto"/>
          <w:highlight w:val="none"/>
        </w:rPr>
        <w:fldChar w:fldCharType="begin"/>
      </w:r>
      <w:r>
        <w:rPr>
          <w:color w:val="auto"/>
          <w:highlight w:val="none"/>
        </w:rPr>
        <w:instrText xml:space="preserve"> HYPERLINK \l "_Toc26468" </w:instrText>
      </w:r>
      <w:r>
        <w:rPr>
          <w:color w:val="auto"/>
          <w:highlight w:val="none"/>
        </w:rPr>
        <w:fldChar w:fldCharType="separate"/>
      </w:r>
      <w:r>
        <w:rPr>
          <w:rFonts w:ascii="仿宋" w:hAnsi="仿宋" w:eastAsia="仿宋"/>
          <w:color w:val="auto"/>
          <w:szCs w:val="24"/>
          <w:highlight w:val="none"/>
        </w:rPr>
        <w:t>五</w:t>
      </w:r>
      <w:r>
        <w:rPr>
          <w:rFonts w:hint="eastAsia" w:ascii="仿宋" w:hAnsi="仿宋" w:eastAsia="仿宋"/>
          <w:color w:val="auto"/>
          <w:szCs w:val="24"/>
          <w:highlight w:val="none"/>
        </w:rPr>
        <w:t>、其他针对“第三章  投标邀请”中“评标办法”的相关内容</w:t>
      </w:r>
      <w:r>
        <w:rPr>
          <w:color w:val="auto"/>
          <w:highlight w:val="none"/>
        </w:rPr>
        <w:tab/>
      </w:r>
      <w:r>
        <w:rPr>
          <w:color w:val="auto"/>
          <w:highlight w:val="none"/>
        </w:rPr>
        <w:fldChar w:fldCharType="begin"/>
      </w:r>
      <w:r>
        <w:rPr>
          <w:color w:val="auto"/>
          <w:highlight w:val="none"/>
        </w:rPr>
        <w:instrText xml:space="preserve"> PAGEREF _Toc26468 \h </w:instrText>
      </w:r>
      <w:r>
        <w:rPr>
          <w:color w:val="auto"/>
          <w:highlight w:val="none"/>
        </w:rPr>
        <w:fldChar w:fldCharType="separate"/>
      </w:r>
      <w:r>
        <w:rPr>
          <w:color w:val="auto"/>
          <w:highlight w:val="none"/>
        </w:rPr>
        <w:t>36</w:t>
      </w:r>
      <w:r>
        <w:rPr>
          <w:color w:val="auto"/>
          <w:highlight w:val="none"/>
        </w:rPr>
        <w:fldChar w:fldCharType="end"/>
      </w:r>
      <w:r>
        <w:rPr>
          <w:color w:val="auto"/>
          <w:highlight w:val="none"/>
        </w:rPr>
        <w:fldChar w:fldCharType="end"/>
      </w:r>
    </w:p>
    <w:p w14:paraId="13F85AFB">
      <w:pPr>
        <w:pStyle w:val="36"/>
        <w:tabs>
          <w:tab w:val="right" w:leader="dot" w:pos="9638"/>
        </w:tabs>
        <w:rPr>
          <w:color w:val="auto"/>
          <w:highlight w:val="none"/>
        </w:rPr>
      </w:pPr>
      <w:r>
        <w:rPr>
          <w:color w:val="auto"/>
          <w:highlight w:val="none"/>
        </w:rPr>
        <w:fldChar w:fldCharType="begin"/>
      </w:r>
      <w:r>
        <w:rPr>
          <w:color w:val="auto"/>
          <w:highlight w:val="none"/>
        </w:rPr>
        <w:instrText xml:space="preserve"> HYPERLINK \l "_Toc27838" </w:instrText>
      </w:r>
      <w:r>
        <w:rPr>
          <w:color w:val="auto"/>
          <w:highlight w:val="none"/>
        </w:rPr>
        <w:fldChar w:fldCharType="separate"/>
      </w:r>
      <w:r>
        <w:rPr>
          <w:rFonts w:hint="eastAsia" w:ascii="仿宋" w:hAnsi="仿宋" w:eastAsia="仿宋"/>
          <w:color w:val="auto"/>
          <w:szCs w:val="24"/>
          <w:highlight w:val="none"/>
        </w:rPr>
        <w:t>六、政府采购政策</w:t>
      </w:r>
      <w:r>
        <w:rPr>
          <w:color w:val="auto"/>
          <w:highlight w:val="none"/>
        </w:rPr>
        <w:tab/>
      </w:r>
      <w:r>
        <w:rPr>
          <w:color w:val="auto"/>
          <w:highlight w:val="none"/>
        </w:rPr>
        <w:fldChar w:fldCharType="begin"/>
      </w:r>
      <w:r>
        <w:rPr>
          <w:color w:val="auto"/>
          <w:highlight w:val="none"/>
        </w:rPr>
        <w:instrText xml:space="preserve"> PAGEREF _Toc27838 \h </w:instrText>
      </w:r>
      <w:r>
        <w:rPr>
          <w:color w:val="auto"/>
          <w:highlight w:val="none"/>
        </w:rPr>
        <w:fldChar w:fldCharType="separate"/>
      </w:r>
      <w:r>
        <w:rPr>
          <w:color w:val="auto"/>
          <w:highlight w:val="none"/>
        </w:rPr>
        <w:t>37</w:t>
      </w:r>
      <w:r>
        <w:rPr>
          <w:color w:val="auto"/>
          <w:highlight w:val="none"/>
        </w:rPr>
        <w:fldChar w:fldCharType="end"/>
      </w:r>
      <w:r>
        <w:rPr>
          <w:color w:val="auto"/>
          <w:highlight w:val="none"/>
        </w:rPr>
        <w:fldChar w:fldCharType="end"/>
      </w:r>
    </w:p>
    <w:p w14:paraId="697455E9">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"_Toc16754" </w:instrText>
      </w:r>
      <w:r>
        <w:rPr>
          <w:color w:val="auto"/>
          <w:highlight w:val="none"/>
        </w:rPr>
        <w:fldChar w:fldCharType="separate"/>
      </w:r>
      <w:r>
        <w:rPr>
          <w:rFonts w:ascii="仿宋" w:hAnsi="仿宋" w:eastAsia="仿宋"/>
          <w:bCs/>
          <w:color w:val="auto"/>
          <w:szCs w:val="24"/>
          <w:highlight w:val="none"/>
        </w:rPr>
        <w:t>（一）政府采购促进中小企业发展政策</w:t>
      </w:r>
      <w:r>
        <w:rPr>
          <w:color w:val="auto"/>
          <w:highlight w:val="none"/>
        </w:rPr>
        <w:tab/>
      </w:r>
      <w:r>
        <w:rPr>
          <w:color w:val="auto"/>
          <w:highlight w:val="none"/>
        </w:rPr>
        <w:fldChar w:fldCharType="begin"/>
      </w:r>
      <w:r>
        <w:rPr>
          <w:color w:val="auto"/>
          <w:highlight w:val="none"/>
        </w:rPr>
        <w:instrText xml:space="preserve"> PAGEREF _Toc16754 \h </w:instrText>
      </w:r>
      <w:r>
        <w:rPr>
          <w:color w:val="auto"/>
          <w:highlight w:val="none"/>
        </w:rPr>
        <w:fldChar w:fldCharType="separate"/>
      </w:r>
      <w:r>
        <w:rPr>
          <w:color w:val="auto"/>
          <w:highlight w:val="none"/>
        </w:rPr>
        <w:t>37</w:t>
      </w:r>
      <w:r>
        <w:rPr>
          <w:color w:val="auto"/>
          <w:highlight w:val="none"/>
        </w:rPr>
        <w:fldChar w:fldCharType="end"/>
      </w:r>
      <w:r>
        <w:rPr>
          <w:color w:val="auto"/>
          <w:highlight w:val="none"/>
        </w:rPr>
        <w:fldChar w:fldCharType="end"/>
      </w:r>
    </w:p>
    <w:p w14:paraId="0C3C1364">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"_Toc14784" </w:instrText>
      </w:r>
      <w:r>
        <w:rPr>
          <w:color w:val="auto"/>
          <w:highlight w:val="none"/>
        </w:rPr>
        <w:fldChar w:fldCharType="separate"/>
      </w:r>
      <w:r>
        <w:rPr>
          <w:rFonts w:ascii="仿宋" w:hAnsi="仿宋" w:eastAsia="仿宋"/>
          <w:bCs/>
          <w:color w:val="auto"/>
          <w:szCs w:val="24"/>
          <w:highlight w:val="none"/>
        </w:rPr>
        <w:t>（二）政府采购节能产品政策</w:t>
      </w:r>
      <w:r>
        <w:rPr>
          <w:color w:val="auto"/>
          <w:highlight w:val="none"/>
        </w:rPr>
        <w:tab/>
      </w:r>
      <w:r>
        <w:rPr>
          <w:color w:val="auto"/>
          <w:highlight w:val="none"/>
        </w:rPr>
        <w:fldChar w:fldCharType="begin"/>
      </w:r>
      <w:r>
        <w:rPr>
          <w:color w:val="auto"/>
          <w:highlight w:val="none"/>
        </w:rPr>
        <w:instrText xml:space="preserve"> PAGEREF _Toc14784 \h </w:instrText>
      </w:r>
      <w:r>
        <w:rPr>
          <w:color w:val="auto"/>
          <w:highlight w:val="none"/>
        </w:rPr>
        <w:fldChar w:fldCharType="separate"/>
      </w:r>
      <w:r>
        <w:rPr>
          <w:color w:val="auto"/>
          <w:highlight w:val="none"/>
        </w:rPr>
        <w:t>41</w:t>
      </w:r>
      <w:r>
        <w:rPr>
          <w:color w:val="auto"/>
          <w:highlight w:val="none"/>
        </w:rPr>
        <w:fldChar w:fldCharType="end"/>
      </w:r>
      <w:r>
        <w:rPr>
          <w:color w:val="auto"/>
          <w:highlight w:val="none"/>
        </w:rPr>
        <w:fldChar w:fldCharType="end"/>
      </w:r>
    </w:p>
    <w:p w14:paraId="7265E4B7">
      <w:pPr>
        <w:pStyle w:val="22"/>
        <w:tabs>
          <w:tab w:val="right" w:leader="dot" w:pos="9638"/>
        </w:tabs>
        <w:rPr>
          <w:color w:val="auto"/>
          <w:highlight w:val="none"/>
        </w:rPr>
      </w:pPr>
      <w:r>
        <w:rPr>
          <w:color w:val="auto"/>
          <w:highlight w:val="none"/>
        </w:rPr>
        <w:fldChar w:fldCharType="begin"/>
      </w:r>
      <w:r>
        <w:rPr>
          <w:color w:val="auto"/>
          <w:highlight w:val="none"/>
        </w:rPr>
        <w:instrText xml:space="preserve"> HYPERLINK \l "_Toc16261" </w:instrText>
      </w:r>
      <w:r>
        <w:rPr>
          <w:color w:val="auto"/>
          <w:highlight w:val="none"/>
        </w:rPr>
        <w:fldChar w:fldCharType="separate"/>
      </w:r>
      <w:r>
        <w:rPr>
          <w:rFonts w:ascii="仿宋" w:hAnsi="仿宋" w:eastAsia="仿宋"/>
          <w:bCs/>
          <w:color w:val="auto"/>
          <w:szCs w:val="24"/>
          <w:highlight w:val="none"/>
        </w:rPr>
        <w:t>（三）政府采购环境标志产品政策</w:t>
      </w:r>
      <w:r>
        <w:rPr>
          <w:color w:val="auto"/>
          <w:highlight w:val="none"/>
        </w:rPr>
        <w:tab/>
      </w:r>
      <w:r>
        <w:rPr>
          <w:color w:val="auto"/>
          <w:highlight w:val="none"/>
        </w:rPr>
        <w:fldChar w:fldCharType="begin"/>
      </w:r>
      <w:r>
        <w:rPr>
          <w:color w:val="auto"/>
          <w:highlight w:val="none"/>
        </w:rPr>
        <w:instrText xml:space="preserve"> PAGEREF _Toc16261 \h </w:instrText>
      </w:r>
      <w:r>
        <w:rPr>
          <w:color w:val="auto"/>
          <w:highlight w:val="none"/>
        </w:rPr>
        <w:fldChar w:fldCharType="separate"/>
      </w:r>
      <w:r>
        <w:rPr>
          <w:color w:val="auto"/>
          <w:highlight w:val="none"/>
        </w:rPr>
        <w:t>42</w:t>
      </w:r>
      <w:r>
        <w:rPr>
          <w:color w:val="auto"/>
          <w:highlight w:val="none"/>
        </w:rPr>
        <w:fldChar w:fldCharType="end"/>
      </w:r>
      <w:r>
        <w:rPr>
          <w:color w:val="auto"/>
          <w:highlight w:val="none"/>
        </w:rPr>
        <w:fldChar w:fldCharType="end"/>
      </w:r>
    </w:p>
    <w:p w14:paraId="45439A7E">
      <w:pPr>
        <w:pStyle w:val="22"/>
        <w:tabs>
          <w:tab w:val="right" w:leader="dot" w:pos="9060"/>
        </w:tabs>
        <w:ind w:left="0"/>
        <w:rPr>
          <w:rFonts w:ascii="仿宋" w:hAnsi="仿宋" w:eastAsia="仿宋"/>
          <w:bCs/>
          <w:caps/>
          <w:color w:val="auto"/>
          <w:sz w:val="22"/>
          <w:szCs w:val="22"/>
          <w:highlight w:val="none"/>
        </w:rPr>
      </w:pPr>
      <w:r>
        <w:rPr>
          <w:rFonts w:ascii="仿宋" w:hAnsi="仿宋" w:eastAsia="仿宋"/>
          <w:bCs/>
          <w:caps/>
          <w:color w:val="auto"/>
          <w:szCs w:val="22"/>
          <w:highlight w:val="none"/>
        </w:rPr>
        <w:fldChar w:fldCharType="end"/>
      </w:r>
    </w:p>
    <w:p w14:paraId="7397290D">
      <w:pPr>
        <w:widowControl/>
        <w:autoSpaceDE/>
        <w:autoSpaceDN/>
        <w:adjustRightInd/>
        <w:rPr>
          <w:rFonts w:ascii="仿宋" w:hAnsi="仿宋" w:eastAsia="仿宋"/>
          <w:bCs/>
          <w:iCs/>
          <w:caps/>
          <w:color w:val="auto"/>
          <w:sz w:val="22"/>
          <w:szCs w:val="22"/>
          <w:highlight w:val="none"/>
        </w:rPr>
      </w:pPr>
      <w:r>
        <w:rPr>
          <w:rFonts w:ascii="仿宋" w:hAnsi="仿宋" w:eastAsia="仿宋"/>
          <w:bCs/>
          <w:caps/>
          <w:color w:val="auto"/>
          <w:sz w:val="22"/>
          <w:szCs w:val="22"/>
          <w:highlight w:val="none"/>
        </w:rPr>
        <w:br w:type="page"/>
      </w:r>
    </w:p>
    <w:p w14:paraId="2801AD2A">
      <w:pPr>
        <w:pStyle w:val="3"/>
        <w:snapToGrid w:val="0"/>
        <w:spacing w:line="240" w:lineRule="auto"/>
        <w:jc w:val="center"/>
        <w:rPr>
          <w:rFonts w:ascii="仿宋" w:hAnsi="仿宋" w:eastAsia="仿宋"/>
          <w:color w:val="auto"/>
          <w:sz w:val="36"/>
          <w:szCs w:val="36"/>
          <w:highlight w:val="none"/>
        </w:rPr>
      </w:pPr>
      <w:bookmarkStart w:id="1" w:name="_Toc420657340"/>
      <w:bookmarkStart w:id="2" w:name="_Toc491"/>
      <w:bookmarkStart w:id="3" w:name="_Toc420487845"/>
      <w:bookmarkStart w:id="4" w:name="OLE_LINK1"/>
      <w:r>
        <w:rPr>
          <w:rFonts w:hint="eastAsia" w:ascii="仿宋" w:hAnsi="仿宋" w:eastAsia="仿宋"/>
          <w:color w:val="auto"/>
          <w:sz w:val="36"/>
          <w:szCs w:val="36"/>
          <w:highlight w:val="none"/>
        </w:rPr>
        <w:t>第一章    供应商须知</w:t>
      </w:r>
      <w:bookmarkEnd w:id="1"/>
      <w:bookmarkEnd w:id="2"/>
      <w:bookmarkEnd w:id="3"/>
    </w:p>
    <w:p w14:paraId="04A031C0">
      <w:pPr>
        <w:pStyle w:val="4"/>
        <w:snapToGrid w:val="0"/>
        <w:spacing w:line="240" w:lineRule="auto"/>
        <w:jc w:val="center"/>
        <w:rPr>
          <w:rFonts w:ascii="仿宋" w:hAnsi="仿宋" w:eastAsia="仿宋"/>
          <w:color w:val="auto"/>
          <w:sz w:val="24"/>
          <w:szCs w:val="24"/>
          <w:highlight w:val="none"/>
        </w:rPr>
      </w:pPr>
      <w:bookmarkStart w:id="5" w:name="_Toc524622066"/>
      <w:bookmarkStart w:id="6" w:name="_Toc8702"/>
      <w:r>
        <w:rPr>
          <w:rFonts w:hint="eastAsia" w:ascii="仿宋" w:hAnsi="仿宋" w:eastAsia="仿宋"/>
          <w:color w:val="auto"/>
          <w:sz w:val="24"/>
          <w:szCs w:val="24"/>
          <w:highlight w:val="none"/>
        </w:rPr>
        <w:t>一、总则</w:t>
      </w:r>
      <w:bookmarkEnd w:id="5"/>
      <w:bookmarkEnd w:id="6"/>
    </w:p>
    <w:p w14:paraId="152C517B">
      <w:pPr>
        <w:pStyle w:val="5"/>
        <w:snapToGrid w:val="0"/>
        <w:spacing w:line="500" w:lineRule="exact"/>
        <w:rPr>
          <w:rFonts w:ascii="仿宋" w:hAnsi="仿宋" w:eastAsia="仿宋"/>
          <w:color w:val="auto"/>
          <w:sz w:val="24"/>
          <w:szCs w:val="24"/>
          <w:highlight w:val="none"/>
        </w:rPr>
      </w:pPr>
      <w:bookmarkStart w:id="7" w:name="_Toc496721227"/>
      <w:bookmarkStart w:id="8" w:name="_Toc524622067"/>
      <w:bookmarkStart w:id="9" w:name="_Toc26069"/>
      <w:r>
        <w:rPr>
          <w:rFonts w:hint="eastAsia" w:ascii="仿宋" w:hAnsi="仿宋" w:eastAsia="仿宋"/>
          <w:color w:val="auto"/>
          <w:sz w:val="24"/>
          <w:szCs w:val="24"/>
          <w:highlight w:val="none"/>
        </w:rPr>
        <w:t>1．适用范围</w:t>
      </w:r>
      <w:bookmarkEnd w:id="7"/>
      <w:bookmarkEnd w:id="8"/>
      <w:bookmarkEnd w:id="9"/>
    </w:p>
    <w:p w14:paraId="53DAD794">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1.l 本招标文件仅适用于江苏省招标中心有限公司（以下简称采购代理机构）组织的招标活动。</w:t>
      </w:r>
    </w:p>
    <w:p w14:paraId="27736276">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1.2采购人指江苏省地质调查研究院。</w:t>
      </w:r>
    </w:p>
    <w:p w14:paraId="155B37E2">
      <w:pPr>
        <w:pStyle w:val="5"/>
        <w:snapToGrid w:val="0"/>
        <w:spacing w:line="500" w:lineRule="exact"/>
        <w:rPr>
          <w:rFonts w:ascii="仿宋" w:hAnsi="仿宋" w:eastAsia="仿宋"/>
          <w:color w:val="auto"/>
          <w:sz w:val="24"/>
          <w:szCs w:val="24"/>
          <w:highlight w:val="none"/>
        </w:rPr>
      </w:pPr>
      <w:bookmarkStart w:id="10" w:name="_Toc496721228"/>
      <w:bookmarkStart w:id="11" w:name="_Toc420487848"/>
      <w:bookmarkStart w:id="12" w:name="_Toc2126"/>
      <w:bookmarkStart w:id="13" w:name="_Toc420657343"/>
      <w:bookmarkStart w:id="14" w:name="_Toc493863202"/>
      <w:bookmarkStart w:id="15" w:name="_Toc524622068"/>
      <w:r>
        <w:rPr>
          <w:rFonts w:hint="eastAsia" w:ascii="仿宋" w:hAnsi="仿宋" w:eastAsia="仿宋"/>
          <w:color w:val="auto"/>
          <w:sz w:val="24"/>
          <w:szCs w:val="24"/>
          <w:highlight w:val="none"/>
        </w:rPr>
        <w:t>2．合格的供应商</w:t>
      </w:r>
      <w:bookmarkEnd w:id="10"/>
      <w:bookmarkEnd w:id="11"/>
      <w:bookmarkEnd w:id="12"/>
      <w:bookmarkEnd w:id="13"/>
      <w:bookmarkEnd w:id="14"/>
      <w:bookmarkEnd w:id="15"/>
    </w:p>
    <w:p w14:paraId="395C4D40">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2.l 凡有能力按照本招标文件规定的要求交付货物、工程和服务，并符合招标文件第三章“合格供应商的基本资格要求”的投标单位均为合格的供应商。</w:t>
      </w:r>
    </w:p>
    <w:p w14:paraId="16A56493">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2.2 供应商参加本次招标活动应当符合《中华人民共和国政府采购法》的规定并符合此招标文件的规定。</w:t>
      </w:r>
    </w:p>
    <w:p w14:paraId="7DA6BC08">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2.3 供应商应遵守《中华人民共和国政府采购法》、《民法典》和《反不正当竞争法》等有关法律、法规，如有违反，将视为不合格供应商，其投标文件无效。</w:t>
      </w:r>
    </w:p>
    <w:p w14:paraId="12191EFB">
      <w:pPr>
        <w:pStyle w:val="5"/>
        <w:snapToGrid w:val="0"/>
        <w:spacing w:line="500" w:lineRule="exact"/>
        <w:rPr>
          <w:rFonts w:ascii="仿宋" w:hAnsi="仿宋" w:eastAsia="仿宋"/>
          <w:color w:val="auto"/>
          <w:sz w:val="24"/>
          <w:szCs w:val="24"/>
          <w:highlight w:val="none"/>
        </w:rPr>
      </w:pPr>
      <w:bookmarkStart w:id="16" w:name="_Toc524622069"/>
      <w:bookmarkStart w:id="17" w:name="_Toc2137"/>
      <w:bookmarkStart w:id="18" w:name="_Toc420487849"/>
      <w:bookmarkStart w:id="19" w:name="_Toc496721229"/>
      <w:bookmarkStart w:id="20" w:name="_Toc420657344"/>
      <w:bookmarkStart w:id="21" w:name="_Toc493863203"/>
      <w:r>
        <w:rPr>
          <w:rFonts w:hint="eastAsia" w:ascii="仿宋" w:hAnsi="仿宋" w:eastAsia="仿宋"/>
          <w:color w:val="auto"/>
          <w:sz w:val="24"/>
          <w:szCs w:val="24"/>
          <w:highlight w:val="none"/>
        </w:rPr>
        <w:t>3．投标费用</w:t>
      </w:r>
      <w:bookmarkEnd w:id="16"/>
      <w:bookmarkEnd w:id="17"/>
      <w:bookmarkEnd w:id="18"/>
      <w:bookmarkEnd w:id="19"/>
      <w:bookmarkEnd w:id="20"/>
      <w:bookmarkEnd w:id="21"/>
    </w:p>
    <w:p w14:paraId="4E9B50E8">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无论招标投标过程中的做法和结果如何，供应商自行承担与参加投标有关的全部费用。</w:t>
      </w:r>
    </w:p>
    <w:p w14:paraId="7010E81E">
      <w:pPr>
        <w:pStyle w:val="5"/>
        <w:snapToGrid w:val="0"/>
        <w:spacing w:line="500" w:lineRule="exact"/>
        <w:rPr>
          <w:rFonts w:ascii="仿宋" w:hAnsi="仿宋" w:eastAsia="仿宋"/>
          <w:color w:val="auto"/>
          <w:sz w:val="24"/>
          <w:szCs w:val="24"/>
          <w:highlight w:val="none"/>
        </w:rPr>
      </w:pPr>
      <w:bookmarkStart w:id="22" w:name="_Toc493863204"/>
      <w:bookmarkStart w:id="23" w:name="_Toc420657345"/>
      <w:bookmarkStart w:id="24" w:name="_Toc32129"/>
      <w:bookmarkStart w:id="25" w:name="_Toc524622070"/>
      <w:bookmarkStart w:id="26" w:name="_Toc496721230"/>
      <w:bookmarkStart w:id="27" w:name="_Toc420487850"/>
      <w:r>
        <w:rPr>
          <w:rFonts w:hint="eastAsia" w:ascii="仿宋" w:hAnsi="仿宋" w:eastAsia="仿宋"/>
          <w:color w:val="auto"/>
          <w:sz w:val="24"/>
          <w:szCs w:val="24"/>
          <w:highlight w:val="none"/>
        </w:rPr>
        <w:t>4．法律适用</w:t>
      </w:r>
      <w:bookmarkEnd w:id="22"/>
      <w:bookmarkEnd w:id="23"/>
      <w:bookmarkEnd w:id="24"/>
      <w:bookmarkEnd w:id="25"/>
      <w:bookmarkEnd w:id="26"/>
      <w:bookmarkEnd w:id="27"/>
    </w:p>
    <w:p w14:paraId="74A3D36A">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本次招标活动及由本次招标产生的合同受中华人民共和国的法律制约和保护。</w:t>
      </w:r>
    </w:p>
    <w:p w14:paraId="38E34A4B">
      <w:pPr>
        <w:pStyle w:val="5"/>
        <w:snapToGrid w:val="0"/>
        <w:spacing w:line="500" w:lineRule="exact"/>
        <w:rPr>
          <w:rFonts w:ascii="仿宋" w:hAnsi="仿宋" w:eastAsia="仿宋"/>
          <w:color w:val="auto"/>
          <w:sz w:val="24"/>
          <w:szCs w:val="24"/>
          <w:highlight w:val="none"/>
        </w:rPr>
      </w:pPr>
      <w:bookmarkStart w:id="28" w:name="_Toc493863205"/>
      <w:bookmarkStart w:id="29" w:name="_Toc524622071"/>
      <w:bookmarkStart w:id="30" w:name="_Toc31514"/>
      <w:bookmarkStart w:id="31" w:name="_Toc420657346"/>
      <w:bookmarkStart w:id="32" w:name="_Toc420487851"/>
      <w:bookmarkStart w:id="33" w:name="_Toc496721231"/>
      <w:r>
        <w:rPr>
          <w:rFonts w:hint="eastAsia" w:ascii="仿宋" w:hAnsi="仿宋" w:eastAsia="仿宋"/>
          <w:color w:val="auto"/>
          <w:sz w:val="24"/>
          <w:szCs w:val="24"/>
          <w:highlight w:val="none"/>
        </w:rPr>
        <w:t>5．招标文件的约束力</w:t>
      </w:r>
      <w:bookmarkEnd w:id="28"/>
      <w:bookmarkEnd w:id="29"/>
      <w:bookmarkEnd w:id="30"/>
      <w:bookmarkEnd w:id="31"/>
      <w:bookmarkEnd w:id="32"/>
      <w:bookmarkEnd w:id="33"/>
    </w:p>
    <w:p w14:paraId="74BEBDC8">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5.l 供应商一旦参加投标，即被认为接受了本招标文件中的所有条款和规定。</w:t>
      </w:r>
    </w:p>
    <w:p w14:paraId="427A7E8A">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5.2 本招标文件由采购代理机构负责解释。</w:t>
      </w:r>
    </w:p>
    <w:p w14:paraId="152BF658">
      <w:pPr>
        <w:snapToGrid w:val="0"/>
        <w:spacing w:line="500" w:lineRule="exact"/>
        <w:rPr>
          <w:rFonts w:ascii="仿宋" w:hAnsi="仿宋" w:eastAsia="仿宋"/>
          <w:color w:val="auto"/>
          <w:sz w:val="24"/>
          <w:szCs w:val="24"/>
          <w:highlight w:val="none"/>
        </w:rPr>
      </w:pPr>
    </w:p>
    <w:p w14:paraId="6027228E">
      <w:pPr>
        <w:pStyle w:val="4"/>
        <w:snapToGrid w:val="0"/>
        <w:spacing w:line="500" w:lineRule="exact"/>
        <w:jc w:val="center"/>
        <w:rPr>
          <w:rFonts w:ascii="仿宋" w:hAnsi="仿宋" w:eastAsia="仿宋"/>
          <w:color w:val="auto"/>
          <w:sz w:val="24"/>
          <w:szCs w:val="24"/>
          <w:highlight w:val="none"/>
        </w:rPr>
      </w:pPr>
      <w:bookmarkStart w:id="34" w:name="_Toc420487852"/>
      <w:bookmarkStart w:id="35" w:name="_Toc420657347"/>
      <w:bookmarkStart w:id="36" w:name="_Toc493863206"/>
      <w:bookmarkStart w:id="37" w:name="_Toc496721232"/>
      <w:bookmarkStart w:id="38" w:name="_Toc524622072"/>
      <w:bookmarkStart w:id="39" w:name="_Toc29775"/>
      <w:r>
        <w:rPr>
          <w:rFonts w:hint="eastAsia" w:ascii="仿宋" w:hAnsi="仿宋" w:eastAsia="仿宋"/>
          <w:color w:val="auto"/>
          <w:sz w:val="24"/>
          <w:szCs w:val="24"/>
          <w:highlight w:val="none"/>
        </w:rPr>
        <w:t>二、招标文件</w:t>
      </w:r>
      <w:bookmarkEnd w:id="34"/>
      <w:bookmarkEnd w:id="35"/>
      <w:bookmarkEnd w:id="36"/>
      <w:bookmarkEnd w:id="37"/>
      <w:bookmarkEnd w:id="38"/>
      <w:bookmarkEnd w:id="39"/>
    </w:p>
    <w:p w14:paraId="799A62FA">
      <w:pPr>
        <w:pStyle w:val="5"/>
        <w:snapToGrid w:val="0"/>
        <w:spacing w:line="500" w:lineRule="exact"/>
        <w:rPr>
          <w:rFonts w:ascii="仿宋" w:hAnsi="仿宋" w:eastAsia="仿宋"/>
          <w:color w:val="auto"/>
          <w:sz w:val="24"/>
          <w:szCs w:val="24"/>
          <w:highlight w:val="none"/>
        </w:rPr>
      </w:pPr>
      <w:bookmarkStart w:id="40" w:name="_Toc22308"/>
      <w:bookmarkStart w:id="41" w:name="_Toc420487853"/>
      <w:bookmarkStart w:id="42" w:name="_Toc420657348"/>
      <w:bookmarkStart w:id="43" w:name="_Toc493863207"/>
      <w:bookmarkStart w:id="44" w:name="_Toc496721233"/>
      <w:bookmarkStart w:id="45" w:name="_Toc524622073"/>
      <w:r>
        <w:rPr>
          <w:rFonts w:hint="eastAsia" w:ascii="仿宋" w:hAnsi="仿宋" w:eastAsia="仿宋"/>
          <w:color w:val="auto"/>
          <w:sz w:val="24"/>
          <w:szCs w:val="24"/>
          <w:highlight w:val="none"/>
        </w:rPr>
        <w:t>6．招标文件的组成</w:t>
      </w:r>
      <w:bookmarkEnd w:id="40"/>
      <w:bookmarkEnd w:id="41"/>
      <w:bookmarkEnd w:id="42"/>
      <w:bookmarkEnd w:id="43"/>
      <w:bookmarkEnd w:id="44"/>
      <w:bookmarkEnd w:id="45"/>
    </w:p>
    <w:p w14:paraId="32FD3F4B">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6.l 招标文件由以下部分组成，包括：</w:t>
      </w:r>
    </w:p>
    <w:p w14:paraId="29098C85">
      <w:pPr>
        <w:snapToGrid w:val="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第一章  供应商须知</w:t>
      </w:r>
    </w:p>
    <w:p w14:paraId="6FA2859D">
      <w:pPr>
        <w:snapToGrid w:val="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第二章  合同条款及格式</w:t>
      </w:r>
    </w:p>
    <w:p w14:paraId="73942E57">
      <w:pPr>
        <w:snapToGrid w:val="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第三章  投标邀请</w:t>
      </w:r>
    </w:p>
    <w:p w14:paraId="4E23F7DA">
      <w:pPr>
        <w:snapToGrid w:val="0"/>
        <w:spacing w:line="500" w:lineRule="exact"/>
        <w:ind w:firstLine="1920" w:firstLineChars="800"/>
        <w:rPr>
          <w:rFonts w:ascii="仿宋" w:hAnsi="仿宋" w:eastAsia="仿宋"/>
          <w:color w:val="auto"/>
          <w:sz w:val="24"/>
          <w:szCs w:val="24"/>
          <w:highlight w:val="none"/>
        </w:rPr>
      </w:pPr>
      <w:r>
        <w:rPr>
          <w:rFonts w:hint="eastAsia" w:ascii="仿宋" w:hAnsi="仿宋" w:eastAsia="仿宋"/>
          <w:color w:val="auto"/>
          <w:sz w:val="24"/>
          <w:szCs w:val="24"/>
          <w:highlight w:val="none"/>
        </w:rPr>
        <w:t>第四章  招标技术规格及要求</w:t>
      </w:r>
    </w:p>
    <w:p w14:paraId="3CEAE891">
      <w:pPr>
        <w:snapToGrid w:val="0"/>
        <w:spacing w:line="500" w:lineRule="exact"/>
        <w:ind w:firstLine="1920" w:firstLineChars="800"/>
        <w:rPr>
          <w:rFonts w:ascii="仿宋" w:hAnsi="仿宋" w:eastAsia="仿宋"/>
          <w:color w:val="auto"/>
          <w:sz w:val="24"/>
          <w:szCs w:val="24"/>
          <w:highlight w:val="none"/>
        </w:rPr>
      </w:pPr>
      <w:r>
        <w:rPr>
          <w:rFonts w:hint="eastAsia" w:ascii="仿宋" w:hAnsi="仿宋" w:eastAsia="仿宋"/>
          <w:color w:val="auto"/>
          <w:sz w:val="24"/>
          <w:szCs w:val="24"/>
          <w:highlight w:val="none"/>
        </w:rPr>
        <w:t>第五章  投标文件格式</w:t>
      </w:r>
    </w:p>
    <w:p w14:paraId="764B35C7">
      <w:pPr>
        <w:snapToGrid w:val="0"/>
        <w:spacing w:line="500" w:lineRule="exact"/>
        <w:ind w:left="425"/>
        <w:rPr>
          <w:rFonts w:ascii="仿宋" w:hAnsi="仿宋" w:eastAsia="仿宋"/>
          <w:color w:val="auto"/>
          <w:sz w:val="24"/>
          <w:szCs w:val="24"/>
          <w:highlight w:val="none"/>
        </w:rPr>
      </w:pPr>
      <w:r>
        <w:rPr>
          <w:rFonts w:hint="eastAsia" w:ascii="仿宋" w:hAnsi="仿宋" w:eastAsia="仿宋"/>
          <w:color w:val="auto"/>
          <w:sz w:val="24"/>
          <w:szCs w:val="24"/>
          <w:highlight w:val="none"/>
        </w:rPr>
        <w:t>请仔细检查招标文件是否齐全，如有缺漏，请立即与采购代理机构联系解决。</w:t>
      </w:r>
    </w:p>
    <w:p w14:paraId="640929CC">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6.2 供应商被视为充分熟悉本招标项目所在地的与履行合同有关的各种情况，包括自然环境、气候条件、劳动力及公用设施等，本招标文件不再对上述情况进行描述。</w:t>
      </w:r>
    </w:p>
    <w:p w14:paraId="20BDCFC9">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6.3 供应商必须详阅招标文件的所有条款、文件及表格格式等。供应商若未按招标文件的要求和规范编制、提交投标文件，将有可能导致投标文件被拒绝接受或被视为无效。</w:t>
      </w:r>
    </w:p>
    <w:p w14:paraId="528EE322">
      <w:pPr>
        <w:pStyle w:val="5"/>
        <w:snapToGrid w:val="0"/>
        <w:spacing w:line="500" w:lineRule="exact"/>
        <w:rPr>
          <w:rFonts w:ascii="仿宋" w:hAnsi="仿宋" w:eastAsia="仿宋"/>
          <w:color w:val="auto"/>
          <w:sz w:val="24"/>
          <w:szCs w:val="24"/>
          <w:highlight w:val="none"/>
        </w:rPr>
      </w:pPr>
      <w:bookmarkStart w:id="46" w:name="_Toc420487854"/>
      <w:bookmarkStart w:id="47" w:name="_Toc420657349"/>
      <w:bookmarkStart w:id="48" w:name="_Toc493863208"/>
      <w:bookmarkStart w:id="49" w:name="_Toc5623"/>
      <w:bookmarkStart w:id="50" w:name="_Toc496721234"/>
      <w:bookmarkStart w:id="51" w:name="_Toc524622074"/>
      <w:r>
        <w:rPr>
          <w:rFonts w:hint="eastAsia" w:ascii="仿宋" w:hAnsi="仿宋" w:eastAsia="仿宋"/>
          <w:color w:val="auto"/>
          <w:sz w:val="24"/>
          <w:szCs w:val="24"/>
          <w:highlight w:val="none"/>
        </w:rPr>
        <w:t>7．招标文件的澄清</w:t>
      </w:r>
      <w:bookmarkEnd w:id="46"/>
      <w:bookmarkEnd w:id="47"/>
      <w:r>
        <w:rPr>
          <w:rFonts w:hint="eastAsia" w:ascii="仿宋" w:hAnsi="仿宋" w:eastAsia="仿宋"/>
          <w:color w:val="auto"/>
          <w:sz w:val="24"/>
          <w:szCs w:val="24"/>
          <w:highlight w:val="none"/>
        </w:rPr>
        <w:t>或修改</w:t>
      </w:r>
      <w:bookmarkEnd w:id="48"/>
      <w:bookmarkEnd w:id="49"/>
      <w:bookmarkEnd w:id="50"/>
      <w:bookmarkEnd w:id="51"/>
    </w:p>
    <w:p w14:paraId="6DF3F3BF">
      <w:pPr>
        <w:snapToGrid w:val="0"/>
        <w:spacing w:line="500" w:lineRule="exact"/>
        <w:ind w:firstLine="480" w:firstLineChars="200"/>
        <w:rPr>
          <w:rFonts w:ascii="仿宋" w:hAnsi="仿宋" w:eastAsia="仿宋"/>
          <w:color w:val="auto"/>
          <w:sz w:val="24"/>
          <w:szCs w:val="24"/>
          <w:highlight w:val="none"/>
        </w:rPr>
      </w:pPr>
      <w:bookmarkStart w:id="52" w:name="_Toc420657350"/>
      <w:bookmarkStart w:id="53" w:name="_Toc420487855"/>
      <w:r>
        <w:rPr>
          <w:rFonts w:hint="eastAsia" w:ascii="仿宋" w:hAnsi="仿宋" w:eastAsia="仿宋"/>
          <w:color w:val="auto"/>
          <w:sz w:val="24"/>
          <w:szCs w:val="24"/>
          <w:highlight w:val="none"/>
        </w:rPr>
        <w:t>7.l 在投标截止时间前，采购代理机构可对招标文件用更正公告的方式进行必要的澄清或修改，并以书面通知的方式通知所有招标文件收受人。</w:t>
      </w:r>
    </w:p>
    <w:p w14:paraId="6C890C14">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7.2该澄清或修改的内容公告将作为招标文件的组成部分，对所有供应商有约束力。</w:t>
      </w:r>
    </w:p>
    <w:p w14:paraId="5D6FE383">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7.3 当招标文件与以上澄清或修改公告的内容相互矛盾时，以采购代理机构最后发出的最后的澄清或修改为准。</w:t>
      </w:r>
    </w:p>
    <w:p w14:paraId="7083856F">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7.4 为使供应商有足够的时间按招标文件的澄清或修改要求修正投标文件，采购代理机构有权决定推迟投标截止日期和开标时间，并按7.1条规定的方式将具体变更情况通知供应商。</w:t>
      </w:r>
    </w:p>
    <w:bookmarkEnd w:id="52"/>
    <w:bookmarkEnd w:id="53"/>
    <w:p w14:paraId="22715750">
      <w:pPr>
        <w:pStyle w:val="4"/>
        <w:snapToGrid w:val="0"/>
        <w:spacing w:line="500" w:lineRule="exact"/>
        <w:jc w:val="center"/>
        <w:rPr>
          <w:rFonts w:ascii="仿宋" w:hAnsi="仿宋" w:eastAsia="仿宋"/>
          <w:color w:val="auto"/>
          <w:sz w:val="24"/>
          <w:szCs w:val="24"/>
          <w:highlight w:val="none"/>
        </w:rPr>
      </w:pPr>
      <w:bookmarkStart w:id="54" w:name="_Toc496721235"/>
      <w:bookmarkStart w:id="55" w:name="_Toc27515"/>
      <w:bookmarkStart w:id="56" w:name="_Toc420487856"/>
      <w:bookmarkStart w:id="57" w:name="_Toc524622075"/>
      <w:bookmarkStart w:id="58" w:name="_Toc493863209"/>
      <w:bookmarkStart w:id="59" w:name="_Toc420657351"/>
      <w:r>
        <w:rPr>
          <w:rFonts w:hint="eastAsia" w:ascii="仿宋" w:hAnsi="仿宋" w:eastAsia="仿宋"/>
          <w:color w:val="auto"/>
          <w:sz w:val="24"/>
          <w:szCs w:val="24"/>
          <w:highlight w:val="none"/>
        </w:rPr>
        <w:t>三、投标文件</w:t>
      </w:r>
      <w:bookmarkEnd w:id="54"/>
      <w:bookmarkEnd w:id="55"/>
      <w:bookmarkEnd w:id="56"/>
      <w:bookmarkEnd w:id="57"/>
      <w:bookmarkEnd w:id="58"/>
      <w:bookmarkEnd w:id="59"/>
    </w:p>
    <w:p w14:paraId="154B0A31">
      <w:pPr>
        <w:pStyle w:val="5"/>
        <w:snapToGrid w:val="0"/>
        <w:spacing w:line="500" w:lineRule="exact"/>
        <w:rPr>
          <w:rFonts w:ascii="仿宋" w:hAnsi="仿宋" w:eastAsia="仿宋"/>
          <w:color w:val="auto"/>
          <w:sz w:val="24"/>
          <w:szCs w:val="24"/>
          <w:highlight w:val="none"/>
        </w:rPr>
      </w:pPr>
      <w:bookmarkStart w:id="60" w:name="_Toc493863210"/>
      <w:bookmarkStart w:id="61" w:name="_Toc524622076"/>
      <w:bookmarkStart w:id="62" w:name="_Toc420487857"/>
      <w:bookmarkStart w:id="63" w:name="_Toc496721236"/>
      <w:bookmarkStart w:id="64" w:name="_Toc7466"/>
      <w:bookmarkStart w:id="65" w:name="_Toc420657352"/>
      <w:r>
        <w:rPr>
          <w:rFonts w:hint="eastAsia" w:ascii="仿宋" w:hAnsi="仿宋" w:eastAsia="仿宋"/>
          <w:color w:val="auto"/>
          <w:sz w:val="24"/>
          <w:szCs w:val="24"/>
          <w:highlight w:val="none"/>
        </w:rPr>
        <w:t>8．投标文件的语言及度量衡</w:t>
      </w:r>
      <w:bookmarkEnd w:id="60"/>
      <w:bookmarkEnd w:id="61"/>
      <w:bookmarkEnd w:id="62"/>
      <w:bookmarkEnd w:id="63"/>
      <w:bookmarkEnd w:id="64"/>
      <w:bookmarkEnd w:id="65"/>
    </w:p>
    <w:p w14:paraId="2BC447FE">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8.l 投标文件以及供应商与采购代理机构之间的所有书面往来都应用简体中文书写。</w:t>
      </w:r>
    </w:p>
    <w:p w14:paraId="4E4FCA6B">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8.2 供应商已印刷好的资料如产品样本、说明书等可以用其他语言，但其中要点应附有中文译文。在解释投标文件时，以译文为准。</w:t>
      </w:r>
    </w:p>
    <w:p w14:paraId="4EFCF707">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8.3 除在招标文件第五章中另有规定外，度量衡单位应使用国际单位制。</w:t>
      </w:r>
    </w:p>
    <w:p w14:paraId="5C24A602">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8.4 本招标文件所表述的时间均为北京时间。</w:t>
      </w:r>
    </w:p>
    <w:p w14:paraId="3A0EDA31">
      <w:pPr>
        <w:pStyle w:val="5"/>
        <w:snapToGrid w:val="0"/>
        <w:spacing w:line="500" w:lineRule="exact"/>
        <w:rPr>
          <w:rFonts w:ascii="仿宋" w:hAnsi="仿宋" w:eastAsia="仿宋"/>
          <w:color w:val="auto"/>
          <w:sz w:val="24"/>
          <w:szCs w:val="24"/>
          <w:highlight w:val="none"/>
        </w:rPr>
      </w:pPr>
      <w:bookmarkStart w:id="66" w:name="_Toc30937"/>
      <w:bookmarkStart w:id="67" w:name="_Toc420487858"/>
      <w:bookmarkStart w:id="68" w:name="_Toc420657353"/>
      <w:bookmarkStart w:id="69" w:name="_Toc496721237"/>
      <w:bookmarkStart w:id="70" w:name="_Toc493863211"/>
      <w:bookmarkStart w:id="71" w:name="_Toc524622077"/>
      <w:r>
        <w:rPr>
          <w:rFonts w:hint="eastAsia" w:ascii="仿宋" w:hAnsi="仿宋" w:eastAsia="仿宋"/>
          <w:color w:val="auto"/>
          <w:sz w:val="24"/>
          <w:szCs w:val="24"/>
          <w:highlight w:val="none"/>
        </w:rPr>
        <w:t>9．投标文件的组成</w:t>
      </w:r>
      <w:bookmarkEnd w:id="66"/>
      <w:bookmarkEnd w:id="67"/>
      <w:bookmarkEnd w:id="68"/>
      <w:bookmarkEnd w:id="69"/>
      <w:bookmarkEnd w:id="70"/>
      <w:bookmarkEnd w:id="71"/>
    </w:p>
    <w:p w14:paraId="0B16246B">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9.l 投标文件应包括下列部分（目录及有关格式按招标文件第五章“投标文件格式”要求）：</w:t>
      </w:r>
    </w:p>
    <w:p w14:paraId="5D09A396">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9.1.l 投标函、投标报价及相关证明文件。</w:t>
      </w:r>
    </w:p>
    <w:p w14:paraId="33EFC62F">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9.1.2 供应商资格证明文件。</w:t>
      </w:r>
    </w:p>
    <w:p w14:paraId="2ECCD8D0">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9.2 招标文件第四章中指出的工艺、材料和设备的标准，以及商标、牌号或其目录编号，仅起说明作用并非进行限制。</w:t>
      </w:r>
    </w:p>
    <w:p w14:paraId="00071955">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9.3 若供应商未按招标文件的要求提供资料，或未对招标文件做出实质性响应，将导致投标文件被视为无效。</w:t>
      </w:r>
    </w:p>
    <w:p w14:paraId="1D3F51DD">
      <w:pPr>
        <w:pStyle w:val="5"/>
        <w:snapToGrid w:val="0"/>
        <w:spacing w:line="500" w:lineRule="exact"/>
        <w:rPr>
          <w:rFonts w:ascii="仿宋" w:hAnsi="仿宋" w:eastAsia="仿宋"/>
          <w:color w:val="auto"/>
          <w:sz w:val="24"/>
          <w:szCs w:val="24"/>
          <w:highlight w:val="none"/>
        </w:rPr>
      </w:pPr>
      <w:bookmarkStart w:id="72" w:name="_Toc524622078"/>
      <w:bookmarkStart w:id="73" w:name="_Toc496721238"/>
      <w:bookmarkStart w:id="74" w:name="_Toc493863212"/>
      <w:bookmarkStart w:id="75" w:name="_Toc420487859"/>
      <w:bookmarkStart w:id="76" w:name="_Toc420657354"/>
      <w:bookmarkStart w:id="77" w:name="_Toc15681"/>
      <w:r>
        <w:rPr>
          <w:rFonts w:hint="eastAsia" w:ascii="仿宋" w:hAnsi="仿宋" w:eastAsia="仿宋"/>
          <w:color w:val="auto"/>
          <w:sz w:val="24"/>
          <w:szCs w:val="24"/>
          <w:highlight w:val="none"/>
        </w:rPr>
        <w:t>10．投标报价</w:t>
      </w:r>
      <w:bookmarkEnd w:id="72"/>
      <w:bookmarkEnd w:id="73"/>
      <w:bookmarkEnd w:id="74"/>
      <w:bookmarkEnd w:id="75"/>
      <w:bookmarkEnd w:id="76"/>
      <w:bookmarkEnd w:id="77"/>
    </w:p>
    <w:p w14:paraId="6F725F63">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10.1 本次采购采用总承包方式，因此供应商的报价应包括全部货物、工程和服务的价格及相关税费、运输到指定地点的装运费用、安装调试、培训、售后服务等其他有关的所有费用。</w:t>
      </w:r>
    </w:p>
    <w:p w14:paraId="14BF32A1">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10.2 采购代理机构不接受备选的投标方案或有选择的报价。</w:t>
      </w:r>
    </w:p>
    <w:p w14:paraId="4CB8E89D">
      <w:pPr>
        <w:pStyle w:val="5"/>
        <w:snapToGrid w:val="0"/>
        <w:spacing w:line="500" w:lineRule="exact"/>
        <w:rPr>
          <w:rFonts w:ascii="仿宋" w:hAnsi="仿宋" w:eastAsia="仿宋"/>
          <w:color w:val="auto"/>
          <w:sz w:val="24"/>
          <w:szCs w:val="24"/>
          <w:highlight w:val="none"/>
        </w:rPr>
      </w:pPr>
      <w:bookmarkStart w:id="78" w:name="_Toc11423"/>
      <w:bookmarkStart w:id="79" w:name="_Toc496721239"/>
      <w:bookmarkStart w:id="80" w:name="_Toc524622079"/>
      <w:bookmarkStart w:id="81" w:name="_Toc420657355"/>
      <w:bookmarkStart w:id="82" w:name="_Toc420487860"/>
      <w:bookmarkStart w:id="83" w:name="_Toc493863213"/>
      <w:r>
        <w:rPr>
          <w:rFonts w:hint="eastAsia" w:ascii="仿宋" w:hAnsi="仿宋" w:eastAsia="仿宋"/>
          <w:color w:val="auto"/>
          <w:sz w:val="24"/>
          <w:szCs w:val="24"/>
          <w:highlight w:val="none"/>
        </w:rPr>
        <w:t>11. 投标货币</w:t>
      </w:r>
      <w:bookmarkEnd w:id="78"/>
      <w:bookmarkEnd w:id="79"/>
      <w:bookmarkEnd w:id="80"/>
      <w:bookmarkEnd w:id="81"/>
      <w:bookmarkEnd w:id="82"/>
      <w:bookmarkEnd w:id="83"/>
    </w:p>
    <w:p w14:paraId="1F6825B8">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投标报价均须以人民币为计算单位。招标文件另有规定的，从其规定。</w:t>
      </w:r>
    </w:p>
    <w:p w14:paraId="7DAE4AED">
      <w:pPr>
        <w:pStyle w:val="5"/>
        <w:snapToGrid w:val="0"/>
        <w:spacing w:line="500" w:lineRule="exact"/>
        <w:rPr>
          <w:rFonts w:ascii="仿宋" w:hAnsi="仿宋" w:eastAsia="仿宋"/>
          <w:color w:val="auto"/>
          <w:sz w:val="24"/>
          <w:szCs w:val="24"/>
          <w:highlight w:val="none"/>
        </w:rPr>
      </w:pPr>
      <w:bookmarkStart w:id="84" w:name="_Toc524622080"/>
      <w:bookmarkStart w:id="85" w:name="_Toc420487861"/>
      <w:bookmarkStart w:id="86" w:name="_Toc496721240"/>
      <w:bookmarkStart w:id="87" w:name="_Toc493863214"/>
      <w:bookmarkStart w:id="88" w:name="_Toc8183"/>
      <w:bookmarkStart w:id="89" w:name="_Toc420657356"/>
      <w:r>
        <w:rPr>
          <w:rFonts w:hint="eastAsia" w:ascii="仿宋" w:hAnsi="仿宋" w:eastAsia="仿宋"/>
          <w:color w:val="auto"/>
          <w:sz w:val="24"/>
          <w:szCs w:val="24"/>
          <w:highlight w:val="none"/>
        </w:rPr>
        <w:t>12．投标保证金</w:t>
      </w:r>
      <w:bookmarkEnd w:id="84"/>
      <w:bookmarkEnd w:id="85"/>
      <w:bookmarkEnd w:id="86"/>
      <w:bookmarkEnd w:id="87"/>
      <w:bookmarkEnd w:id="88"/>
      <w:bookmarkEnd w:id="89"/>
    </w:p>
    <w:p w14:paraId="192183B1">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12.1 投标保证金是参加本项目投标的必要条件，金额按招标文件第三章要求执行。</w:t>
      </w:r>
    </w:p>
    <w:p w14:paraId="3E711043">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12.2 投标保证金必须在现场签名报到之前交纳。</w:t>
      </w:r>
    </w:p>
    <w:p w14:paraId="727AA7C6">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12.3 投标保证金的交纳形式招标文件第三章要求执行</w:t>
      </w:r>
      <w:r>
        <w:rPr>
          <w:rFonts w:hint="eastAsia" w:ascii="仿宋" w:hAnsi="仿宋" w:eastAsia="仿宋"/>
          <w:b/>
          <w:color w:val="auto"/>
          <w:sz w:val="24"/>
          <w:szCs w:val="24"/>
          <w:highlight w:val="none"/>
        </w:rPr>
        <w:t>。</w:t>
      </w:r>
    </w:p>
    <w:p w14:paraId="1B8E62D9">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12.4 若供应商不按第 12.l、12.2和12.3条的规定提交投标保证金，其投标文件将被拒绝接受。</w:t>
      </w:r>
    </w:p>
    <w:p w14:paraId="49ACD8A2">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12.5 投标保证金的退还</w:t>
      </w:r>
    </w:p>
    <w:p w14:paraId="4E3B0905">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12.5.l 中标供应商的投标保证金在其支付招标代理服务费后退回。</w:t>
      </w:r>
    </w:p>
    <w:p w14:paraId="20A9A8B9">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12.5.2 落标的供应商在采购代理机构发出中标通知书后5个工作日内无息退还。</w:t>
      </w:r>
    </w:p>
    <w:p w14:paraId="0B45C55A">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12.6 发生下列情况之一，投标保证金将不予退还：</w:t>
      </w:r>
    </w:p>
    <w:p w14:paraId="038A9B90">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（1）供应商在投标有效期内放弃或撤回投标；</w:t>
      </w:r>
    </w:p>
    <w:p w14:paraId="1754BA1B">
      <w:pPr>
        <w:snapToGrid w:val="0"/>
        <w:spacing w:line="500" w:lineRule="exact"/>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（2）中标供应商不按第29条规定签订合同；</w:t>
      </w:r>
    </w:p>
    <w:p w14:paraId="54C9B137">
      <w:pPr>
        <w:snapToGrid w:val="0"/>
        <w:spacing w:line="500" w:lineRule="exact"/>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（3）供应商提供虚假材料谋取中标、成交的；</w:t>
      </w:r>
    </w:p>
    <w:p w14:paraId="40F94D65">
      <w:pPr>
        <w:snapToGrid w:val="0"/>
        <w:spacing w:line="500" w:lineRule="exact"/>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（4）采取不正当手段诋毁、排挤其他供应商的；</w:t>
      </w:r>
    </w:p>
    <w:p w14:paraId="30F6045D">
      <w:pPr>
        <w:snapToGrid w:val="0"/>
        <w:spacing w:line="500" w:lineRule="exact"/>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（5）与采购人、采购代理机构或者其他供应商恶意串通的；</w:t>
      </w:r>
    </w:p>
    <w:p w14:paraId="220148E0">
      <w:pPr>
        <w:snapToGrid w:val="0"/>
        <w:spacing w:line="500" w:lineRule="exact"/>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（6）向采购人、采购代理机构行贿或者提供其他不正当利益的；</w:t>
      </w:r>
    </w:p>
    <w:p w14:paraId="7732F664">
      <w:pPr>
        <w:pStyle w:val="5"/>
        <w:snapToGrid w:val="0"/>
        <w:spacing w:line="500" w:lineRule="exact"/>
        <w:rPr>
          <w:rFonts w:ascii="仿宋" w:hAnsi="仿宋" w:eastAsia="仿宋"/>
          <w:color w:val="auto"/>
          <w:sz w:val="24"/>
          <w:szCs w:val="24"/>
          <w:highlight w:val="none"/>
        </w:rPr>
      </w:pPr>
      <w:bookmarkStart w:id="90" w:name="_Toc496721241"/>
      <w:bookmarkStart w:id="91" w:name="_Toc23556"/>
      <w:bookmarkStart w:id="92" w:name="_Toc420487862"/>
      <w:bookmarkStart w:id="93" w:name="_Toc524622081"/>
      <w:bookmarkStart w:id="94" w:name="_Toc493863215"/>
      <w:bookmarkStart w:id="95" w:name="_Toc420657357"/>
      <w:r>
        <w:rPr>
          <w:rFonts w:hint="eastAsia" w:ascii="仿宋" w:hAnsi="仿宋" w:eastAsia="仿宋"/>
          <w:color w:val="auto"/>
          <w:sz w:val="24"/>
          <w:szCs w:val="24"/>
          <w:highlight w:val="none"/>
        </w:rPr>
        <w:t>13．投标有效期</w:t>
      </w:r>
      <w:bookmarkEnd w:id="90"/>
      <w:bookmarkEnd w:id="91"/>
      <w:bookmarkEnd w:id="92"/>
      <w:bookmarkEnd w:id="93"/>
      <w:bookmarkEnd w:id="94"/>
      <w:bookmarkEnd w:id="95"/>
    </w:p>
    <w:p w14:paraId="35F9B846">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13.l 投标有效期为从开标之日起计算的</w:t>
      </w:r>
      <w:r>
        <w:rPr>
          <w:rFonts w:hint="eastAsia" w:ascii="仿宋" w:hAnsi="仿宋" w:eastAsia="仿宋"/>
          <w:b/>
          <w:color w:val="auto"/>
          <w:sz w:val="24"/>
          <w:szCs w:val="24"/>
          <w:highlight w:val="none"/>
          <w:u w:val="single"/>
        </w:rPr>
        <w:t>九十天</w:t>
      </w:r>
      <w:r>
        <w:rPr>
          <w:rFonts w:hint="eastAsia" w:ascii="仿宋" w:hAnsi="仿宋" w:eastAsia="仿宋"/>
          <w:color w:val="auto"/>
          <w:sz w:val="24"/>
          <w:szCs w:val="24"/>
          <w:highlight w:val="none"/>
        </w:rPr>
        <w:t>，有效期短于此规定的投标文件将被视为无效。</w:t>
      </w:r>
    </w:p>
    <w:p w14:paraId="7A022CFA">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13.2 在特殊情况下，采购代理机构可于投标有效期满之前，征得供应商同意延长投标有效期，要求与答复均应以书面形式进行。供应商可以拒绝接受这一要求而放弃投标，投标保证金将尽快无息退还。同意这一要求的供应商，无需也不允许修改其投标文件，但须相应延长投标保证金的有效期。受投标有效期制约的所有权利和义务均应延长至新的有效期。</w:t>
      </w:r>
    </w:p>
    <w:p w14:paraId="28CB94E5">
      <w:pPr>
        <w:pStyle w:val="5"/>
        <w:snapToGrid w:val="0"/>
        <w:spacing w:line="500" w:lineRule="exact"/>
        <w:rPr>
          <w:rFonts w:ascii="仿宋" w:hAnsi="仿宋" w:eastAsia="仿宋"/>
          <w:color w:val="auto"/>
          <w:sz w:val="24"/>
          <w:szCs w:val="24"/>
          <w:highlight w:val="none"/>
        </w:rPr>
      </w:pPr>
      <w:bookmarkStart w:id="96" w:name="_Toc420657358"/>
      <w:bookmarkStart w:id="97" w:name="_Toc496721242"/>
      <w:bookmarkStart w:id="98" w:name="_Toc5711"/>
      <w:bookmarkStart w:id="99" w:name="_Toc493863216"/>
      <w:bookmarkStart w:id="100" w:name="_Toc524622082"/>
      <w:bookmarkStart w:id="101" w:name="_Toc420487863"/>
      <w:r>
        <w:rPr>
          <w:rFonts w:hint="eastAsia" w:ascii="仿宋" w:hAnsi="仿宋" w:eastAsia="仿宋"/>
          <w:color w:val="auto"/>
          <w:sz w:val="24"/>
          <w:szCs w:val="24"/>
          <w:highlight w:val="none"/>
        </w:rPr>
        <w:t>14．投标文件的签署、形式及装订</w:t>
      </w:r>
      <w:bookmarkEnd w:id="96"/>
      <w:bookmarkEnd w:id="97"/>
      <w:bookmarkEnd w:id="98"/>
      <w:bookmarkEnd w:id="99"/>
      <w:bookmarkEnd w:id="100"/>
      <w:bookmarkEnd w:id="101"/>
    </w:p>
    <w:p w14:paraId="0C92B844">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14.l 投标文件按招标文件第三章要求执行，每份投标书均须在封面上清楚标明“正本”或“副本”字样，“正本”和“副本”之间如有差异，以正本为准。</w:t>
      </w:r>
    </w:p>
    <w:p w14:paraId="2C7F4BAF">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14.2 投标文件正本中，除招标文件第五章规定的可提交复印件外，其他文件均须提交原件，文字材料需打印或用不褪色墨水书写。投标文件的正本须经法人代表或授权代表签署和加盖供应商公章。</w:t>
      </w:r>
    </w:p>
    <w:p w14:paraId="03399BF9">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14.3 投标文件如有错误必须修改时，修改处须由法人代表或授权代表签名或加盖公章。</w:t>
      </w:r>
    </w:p>
    <w:p w14:paraId="084B3BAF">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14.4 投标文件须固定装订成册。</w:t>
      </w:r>
    </w:p>
    <w:p w14:paraId="1B80A33A">
      <w:pPr>
        <w:snapToGrid w:val="0"/>
        <w:spacing w:line="500" w:lineRule="exact"/>
        <w:rPr>
          <w:rFonts w:ascii="仿宋" w:hAnsi="仿宋" w:eastAsia="仿宋"/>
          <w:color w:val="auto"/>
          <w:sz w:val="24"/>
          <w:szCs w:val="24"/>
          <w:highlight w:val="none"/>
        </w:rPr>
      </w:pPr>
    </w:p>
    <w:p w14:paraId="4E6C6084">
      <w:pPr>
        <w:pStyle w:val="4"/>
        <w:snapToGrid w:val="0"/>
        <w:spacing w:line="500" w:lineRule="exact"/>
        <w:jc w:val="center"/>
        <w:rPr>
          <w:rFonts w:ascii="仿宋" w:hAnsi="仿宋" w:eastAsia="仿宋"/>
          <w:color w:val="auto"/>
          <w:sz w:val="24"/>
          <w:szCs w:val="24"/>
          <w:highlight w:val="none"/>
        </w:rPr>
      </w:pPr>
      <w:bookmarkStart w:id="102" w:name="_Toc18949"/>
      <w:bookmarkStart w:id="103" w:name="_Toc524622083"/>
      <w:bookmarkStart w:id="104" w:name="_Toc493863217"/>
      <w:bookmarkStart w:id="105" w:name="_Toc420487864"/>
      <w:bookmarkStart w:id="106" w:name="_Toc496721243"/>
      <w:bookmarkStart w:id="107" w:name="_Toc420657359"/>
      <w:r>
        <w:rPr>
          <w:rFonts w:hint="eastAsia" w:ascii="仿宋" w:hAnsi="仿宋" w:eastAsia="仿宋"/>
          <w:color w:val="auto"/>
          <w:sz w:val="24"/>
          <w:szCs w:val="24"/>
          <w:highlight w:val="none"/>
        </w:rPr>
        <w:t>四、投标文件的递交</w:t>
      </w:r>
      <w:bookmarkEnd w:id="102"/>
      <w:bookmarkEnd w:id="103"/>
      <w:bookmarkEnd w:id="104"/>
      <w:bookmarkEnd w:id="105"/>
      <w:bookmarkEnd w:id="106"/>
      <w:bookmarkEnd w:id="107"/>
    </w:p>
    <w:p w14:paraId="527FEDE7">
      <w:pPr>
        <w:pStyle w:val="5"/>
        <w:snapToGrid w:val="0"/>
        <w:spacing w:line="500" w:lineRule="exact"/>
        <w:rPr>
          <w:rFonts w:ascii="仿宋" w:hAnsi="仿宋" w:eastAsia="仿宋"/>
          <w:color w:val="auto"/>
          <w:sz w:val="24"/>
          <w:szCs w:val="24"/>
          <w:highlight w:val="none"/>
        </w:rPr>
      </w:pPr>
      <w:bookmarkStart w:id="108" w:name="_Toc15692"/>
      <w:bookmarkStart w:id="109" w:name="_Toc493863218"/>
      <w:bookmarkStart w:id="110" w:name="_Toc496721244"/>
      <w:bookmarkStart w:id="111" w:name="_Toc420657360"/>
      <w:bookmarkStart w:id="112" w:name="_Toc420487865"/>
      <w:bookmarkStart w:id="113" w:name="_Toc524622084"/>
      <w:r>
        <w:rPr>
          <w:rFonts w:hint="eastAsia" w:ascii="仿宋" w:hAnsi="仿宋" w:eastAsia="仿宋"/>
          <w:color w:val="auto"/>
          <w:sz w:val="24"/>
          <w:szCs w:val="24"/>
          <w:highlight w:val="none"/>
        </w:rPr>
        <w:t>15．投标文件的密封及标记</w:t>
      </w:r>
      <w:bookmarkEnd w:id="108"/>
      <w:bookmarkEnd w:id="109"/>
      <w:bookmarkEnd w:id="110"/>
      <w:bookmarkEnd w:id="111"/>
      <w:bookmarkEnd w:id="112"/>
      <w:bookmarkEnd w:id="113"/>
    </w:p>
    <w:p w14:paraId="31164561">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15.l 供应商应将投标文件正本和所有副本分别密封在两个投标专用袋（箱）中（正本一包，副本一包），并在投标专用袋（箱）上标明“正本”、“副本”字样，封口处应加盖骑缝章或授权代表签字。</w:t>
      </w:r>
    </w:p>
    <w:p w14:paraId="5DA480EC">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15.2 投标专用袋（箱）上须按采购代理机构提供的格式注明：</w:t>
      </w:r>
    </w:p>
    <w:p w14:paraId="503DD7BA">
      <w:pPr>
        <w:snapToGrid w:val="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（l）项目编号及项目名称：</w:t>
      </w:r>
    </w:p>
    <w:p w14:paraId="077AAA8E">
      <w:pPr>
        <w:snapToGrid w:val="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（2）分包号（如有）：</w:t>
      </w:r>
    </w:p>
    <w:p w14:paraId="06DFCF95">
      <w:pPr>
        <w:snapToGrid w:val="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（3）供应商的名称、地址、联系人、电话和传真：</w:t>
      </w:r>
    </w:p>
    <w:p w14:paraId="57BB2E86">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15.3 投标文件未按第 15.l和 15.2条规定书写标记和密封者，采购代理机构不对投标文件被错放或先期启封负责。</w:t>
      </w:r>
    </w:p>
    <w:p w14:paraId="7D48C5BF">
      <w:pPr>
        <w:pStyle w:val="5"/>
        <w:snapToGrid w:val="0"/>
        <w:spacing w:line="500" w:lineRule="exact"/>
        <w:rPr>
          <w:rFonts w:ascii="仿宋" w:hAnsi="仿宋" w:eastAsia="仿宋"/>
          <w:color w:val="auto"/>
          <w:sz w:val="24"/>
          <w:szCs w:val="24"/>
          <w:highlight w:val="none"/>
        </w:rPr>
      </w:pPr>
      <w:bookmarkStart w:id="114" w:name="_Toc496721245"/>
      <w:bookmarkStart w:id="115" w:name="_Toc21934"/>
      <w:bookmarkStart w:id="116" w:name="_Toc420487866"/>
      <w:bookmarkStart w:id="117" w:name="_Toc420657361"/>
      <w:bookmarkStart w:id="118" w:name="_Toc493863219"/>
      <w:bookmarkStart w:id="119" w:name="_Toc524622085"/>
      <w:r>
        <w:rPr>
          <w:rFonts w:hint="eastAsia" w:ascii="仿宋" w:hAnsi="仿宋" w:eastAsia="仿宋"/>
          <w:color w:val="auto"/>
          <w:sz w:val="24"/>
          <w:szCs w:val="24"/>
          <w:highlight w:val="none"/>
        </w:rPr>
        <w:t>16．投标截止时间</w:t>
      </w:r>
      <w:bookmarkEnd w:id="114"/>
      <w:bookmarkEnd w:id="115"/>
      <w:bookmarkEnd w:id="116"/>
      <w:bookmarkEnd w:id="117"/>
      <w:bookmarkEnd w:id="118"/>
      <w:bookmarkEnd w:id="119"/>
    </w:p>
    <w:p w14:paraId="22D8AE19">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16.l 供应商须在招标文件第三章“投标邀请”规定的投标截止时间前将投标文件送达采购代理机构规定的投标地点。</w:t>
      </w:r>
    </w:p>
    <w:p w14:paraId="5BD5F751">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16.2 若采购代理机构按7.4条规定推迟了投标截止时间，采购代理机构和供应商受投标截止时间制约的所有权利和义务均应以新的截止时间为准。</w:t>
      </w:r>
    </w:p>
    <w:p w14:paraId="36AF0F48">
      <w:pPr>
        <w:pStyle w:val="5"/>
        <w:snapToGrid w:val="0"/>
        <w:spacing w:line="500" w:lineRule="exact"/>
        <w:rPr>
          <w:rFonts w:ascii="仿宋" w:hAnsi="仿宋" w:eastAsia="仿宋"/>
          <w:color w:val="auto"/>
          <w:sz w:val="24"/>
          <w:szCs w:val="24"/>
          <w:highlight w:val="none"/>
        </w:rPr>
      </w:pPr>
      <w:bookmarkStart w:id="120" w:name="_Toc524622086"/>
      <w:bookmarkStart w:id="121" w:name="_Toc420657362"/>
      <w:bookmarkStart w:id="122" w:name="_Toc493863220"/>
      <w:bookmarkStart w:id="123" w:name="_Toc420487867"/>
      <w:bookmarkStart w:id="124" w:name="_Toc7575"/>
      <w:bookmarkStart w:id="125" w:name="_Toc496721246"/>
      <w:r>
        <w:rPr>
          <w:rFonts w:hint="eastAsia" w:ascii="仿宋" w:hAnsi="仿宋" w:eastAsia="仿宋"/>
          <w:color w:val="auto"/>
          <w:sz w:val="24"/>
          <w:szCs w:val="24"/>
          <w:highlight w:val="none"/>
        </w:rPr>
        <w:t>17．迟交的投标文件</w:t>
      </w:r>
      <w:bookmarkEnd w:id="120"/>
      <w:bookmarkEnd w:id="121"/>
      <w:bookmarkEnd w:id="122"/>
      <w:bookmarkEnd w:id="123"/>
      <w:bookmarkEnd w:id="124"/>
      <w:bookmarkEnd w:id="125"/>
    </w:p>
    <w:p w14:paraId="4E0BA212">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在投标截止时间后递交的投标文件，采购代理机构将拒绝接受。</w:t>
      </w:r>
    </w:p>
    <w:p w14:paraId="33935F7F">
      <w:pPr>
        <w:pStyle w:val="5"/>
        <w:snapToGrid w:val="0"/>
        <w:spacing w:line="500" w:lineRule="exact"/>
        <w:rPr>
          <w:rFonts w:ascii="仿宋" w:hAnsi="仿宋" w:eastAsia="仿宋"/>
          <w:color w:val="auto"/>
          <w:sz w:val="24"/>
          <w:szCs w:val="24"/>
          <w:highlight w:val="none"/>
        </w:rPr>
      </w:pPr>
      <w:bookmarkStart w:id="126" w:name="_Toc7076"/>
      <w:bookmarkStart w:id="127" w:name="_Toc420657363"/>
      <w:bookmarkStart w:id="128" w:name="_Toc493863221"/>
      <w:bookmarkStart w:id="129" w:name="_Toc420487868"/>
      <w:bookmarkStart w:id="130" w:name="_Toc496721247"/>
      <w:bookmarkStart w:id="131" w:name="_Toc524622087"/>
      <w:r>
        <w:rPr>
          <w:rFonts w:hint="eastAsia" w:ascii="仿宋" w:hAnsi="仿宋" w:eastAsia="仿宋"/>
          <w:color w:val="auto"/>
          <w:sz w:val="24"/>
          <w:szCs w:val="24"/>
          <w:highlight w:val="none"/>
        </w:rPr>
        <w:t>18．投标文件的修改和撤回</w:t>
      </w:r>
      <w:bookmarkEnd w:id="126"/>
      <w:bookmarkEnd w:id="127"/>
      <w:bookmarkEnd w:id="128"/>
      <w:bookmarkEnd w:id="129"/>
      <w:bookmarkEnd w:id="130"/>
      <w:bookmarkEnd w:id="131"/>
    </w:p>
    <w:p w14:paraId="0F0F2C82">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18.l 供应商在提交投标文件后可对其进行修改或撤回，但必须使采购代理机构在投标截止时间前收到该修改的书面内容或撤回的书面通知，该书面文件须由法人代表或其授权代表签署。</w:t>
      </w:r>
    </w:p>
    <w:p w14:paraId="4A8A6142">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18.2 投标文件的修改文件应按第15条规定签署，正、副本分别密封，并按第 15.2条规定标记，还须注明“修改投标文件”和“开标前不得启封”字样。修改文件须在投标截止时间前送达采购代理机构规定的投标地点。上述补充或修改若涉及投标报价，必须注明“最终唯一报价”字样，否则将视为有选择的报价。</w:t>
      </w:r>
    </w:p>
    <w:p w14:paraId="0E345397">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18.3 供应商不得在投标截止时间以后修改投标文件。</w:t>
      </w:r>
    </w:p>
    <w:p w14:paraId="735CE957">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18.4 供应商不得在投标截止时间起至投标有效期满前撤回投标文件，否则投标保证金将被没收。该供应商的投标文件不予退还。</w:t>
      </w:r>
    </w:p>
    <w:p w14:paraId="3CE869A4">
      <w:pPr>
        <w:snapToGrid w:val="0"/>
        <w:spacing w:line="500" w:lineRule="exact"/>
        <w:rPr>
          <w:rFonts w:ascii="仿宋" w:hAnsi="仿宋" w:eastAsia="仿宋"/>
          <w:color w:val="auto"/>
          <w:sz w:val="24"/>
          <w:szCs w:val="24"/>
          <w:highlight w:val="none"/>
        </w:rPr>
      </w:pPr>
    </w:p>
    <w:p w14:paraId="6B2D0CEA">
      <w:pPr>
        <w:pStyle w:val="4"/>
        <w:snapToGrid w:val="0"/>
        <w:spacing w:line="500" w:lineRule="exact"/>
        <w:jc w:val="center"/>
        <w:rPr>
          <w:rFonts w:ascii="仿宋" w:hAnsi="仿宋" w:eastAsia="仿宋"/>
          <w:color w:val="auto"/>
          <w:sz w:val="24"/>
          <w:szCs w:val="24"/>
          <w:highlight w:val="none"/>
        </w:rPr>
      </w:pPr>
      <w:bookmarkStart w:id="132" w:name="_Toc493863222"/>
      <w:bookmarkStart w:id="133" w:name="_Toc496721248"/>
      <w:bookmarkStart w:id="134" w:name="_Toc420657364"/>
      <w:bookmarkStart w:id="135" w:name="_Toc524622088"/>
      <w:bookmarkStart w:id="136" w:name="_Toc17750"/>
      <w:bookmarkStart w:id="137" w:name="_Toc420487869"/>
      <w:r>
        <w:rPr>
          <w:rFonts w:hint="eastAsia" w:ascii="仿宋" w:hAnsi="仿宋" w:eastAsia="仿宋"/>
          <w:color w:val="auto"/>
          <w:sz w:val="24"/>
          <w:szCs w:val="24"/>
          <w:highlight w:val="none"/>
        </w:rPr>
        <w:t>五、开标及评标</w:t>
      </w:r>
      <w:bookmarkEnd w:id="132"/>
      <w:bookmarkEnd w:id="133"/>
      <w:bookmarkEnd w:id="134"/>
      <w:bookmarkEnd w:id="135"/>
      <w:bookmarkEnd w:id="136"/>
      <w:bookmarkEnd w:id="137"/>
    </w:p>
    <w:p w14:paraId="12A589AB">
      <w:pPr>
        <w:pStyle w:val="5"/>
        <w:snapToGrid w:val="0"/>
        <w:spacing w:line="500" w:lineRule="exact"/>
        <w:rPr>
          <w:rFonts w:ascii="仿宋" w:hAnsi="仿宋" w:eastAsia="仿宋"/>
          <w:color w:val="auto"/>
          <w:sz w:val="24"/>
          <w:szCs w:val="24"/>
          <w:highlight w:val="none"/>
        </w:rPr>
      </w:pPr>
      <w:bookmarkStart w:id="138" w:name="_Toc496721249"/>
      <w:bookmarkStart w:id="139" w:name="_Toc524622089"/>
      <w:bookmarkStart w:id="140" w:name="_Toc11555"/>
      <w:bookmarkStart w:id="141" w:name="_Toc420657365"/>
      <w:bookmarkStart w:id="142" w:name="_Toc493863223"/>
      <w:bookmarkStart w:id="143" w:name="_Toc420487870"/>
      <w:r>
        <w:rPr>
          <w:rFonts w:hint="eastAsia" w:ascii="仿宋" w:hAnsi="仿宋" w:eastAsia="仿宋"/>
          <w:color w:val="auto"/>
          <w:sz w:val="24"/>
          <w:szCs w:val="24"/>
          <w:highlight w:val="none"/>
        </w:rPr>
        <w:t>19．开标</w:t>
      </w:r>
      <w:bookmarkEnd w:id="138"/>
      <w:bookmarkEnd w:id="139"/>
      <w:bookmarkEnd w:id="140"/>
      <w:bookmarkEnd w:id="141"/>
      <w:bookmarkEnd w:id="142"/>
      <w:bookmarkEnd w:id="143"/>
    </w:p>
    <w:p w14:paraId="0E8ADEA2">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19.l 采购人、采购代理机构按招标文件第三章“投标邀请”规定的时间和地点开标。</w:t>
      </w:r>
    </w:p>
    <w:p w14:paraId="2943555A">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19.2 供应商应委派授权代表参加开标活动，办理交纳保证金、签名报到和递交投标文件等事宜</w:t>
      </w:r>
      <w:r>
        <w:rPr>
          <w:rFonts w:hint="eastAsia" w:ascii="仿宋" w:hAnsi="仿宋" w:eastAsia="仿宋"/>
          <w:b/>
          <w:color w:val="auto"/>
          <w:sz w:val="24"/>
          <w:szCs w:val="24"/>
          <w:highlight w:val="none"/>
        </w:rPr>
        <w:t>。</w:t>
      </w:r>
    </w:p>
    <w:p w14:paraId="5E0EA994">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19.3 供应商必须在投标截止时间前办理完毕交纳保证金、签名报到、递交投标文件以及其它招标文件所规定的应在投标截止时间前完成的事项（如样品递交等）。</w:t>
      </w:r>
    </w:p>
    <w:p w14:paraId="17995C84">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19.4 开标时，供应商或供应商推选的代表将查验投标文件密封情况，确认无误后采购代理机构拆封唱标，公布每份投标文件中“开标一览表”的内容，以及采购代理机构认为合适的其他内容，采购代理机构将作开标记录。</w:t>
      </w:r>
    </w:p>
    <w:p w14:paraId="148841EE">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19.5 若投标文件未密封，或供应商未提交投标保证金（包括投标保证金不符合第12条规定），采购代理机构将拒绝接受该供应商的投标文件。</w:t>
      </w:r>
    </w:p>
    <w:p w14:paraId="7B22A0C4">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19.6 按照第18条规定，同意撤回的投标文件将不予拆封。</w:t>
      </w:r>
    </w:p>
    <w:p w14:paraId="745F4D0A">
      <w:pPr>
        <w:pStyle w:val="5"/>
        <w:snapToGrid w:val="0"/>
        <w:spacing w:line="500" w:lineRule="exact"/>
        <w:rPr>
          <w:rFonts w:ascii="仿宋" w:hAnsi="仿宋" w:eastAsia="仿宋"/>
          <w:color w:val="auto"/>
          <w:sz w:val="24"/>
          <w:szCs w:val="24"/>
          <w:highlight w:val="none"/>
        </w:rPr>
      </w:pPr>
      <w:bookmarkStart w:id="144" w:name="_Toc496721250"/>
      <w:bookmarkStart w:id="145" w:name="_Toc420657366"/>
      <w:bookmarkStart w:id="146" w:name="_Toc524622090"/>
      <w:bookmarkStart w:id="147" w:name="_Toc5567"/>
      <w:bookmarkStart w:id="148" w:name="_Toc420487871"/>
      <w:bookmarkStart w:id="149" w:name="_Toc493863224"/>
      <w:r>
        <w:rPr>
          <w:rFonts w:hint="eastAsia" w:ascii="仿宋" w:hAnsi="仿宋" w:eastAsia="仿宋"/>
          <w:color w:val="auto"/>
          <w:sz w:val="24"/>
          <w:szCs w:val="24"/>
          <w:highlight w:val="none"/>
        </w:rPr>
        <w:t>20．评标委员会</w:t>
      </w:r>
      <w:bookmarkEnd w:id="144"/>
      <w:bookmarkEnd w:id="145"/>
      <w:bookmarkEnd w:id="146"/>
      <w:bookmarkEnd w:id="147"/>
      <w:bookmarkEnd w:id="148"/>
      <w:bookmarkEnd w:id="149"/>
    </w:p>
    <w:p w14:paraId="4F16E9DC">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评标委员会由采购人代表和有关技术、经济等方面的专家组成，该委员会独立工作，负责评审所有投标文件并确定中标侯选供应商。</w:t>
      </w:r>
    </w:p>
    <w:p w14:paraId="655C2F43">
      <w:pPr>
        <w:pStyle w:val="5"/>
        <w:snapToGrid w:val="0"/>
        <w:spacing w:line="500" w:lineRule="exact"/>
        <w:rPr>
          <w:rFonts w:ascii="仿宋" w:hAnsi="仿宋" w:eastAsia="仿宋"/>
          <w:color w:val="auto"/>
          <w:sz w:val="24"/>
          <w:szCs w:val="24"/>
          <w:highlight w:val="none"/>
        </w:rPr>
      </w:pPr>
      <w:bookmarkStart w:id="150" w:name="_Toc493863225"/>
      <w:bookmarkStart w:id="151" w:name="_Toc420657367"/>
      <w:bookmarkStart w:id="152" w:name="_Toc420487872"/>
      <w:bookmarkStart w:id="153" w:name="_Toc496721251"/>
      <w:bookmarkStart w:id="154" w:name="_Toc524622091"/>
      <w:bookmarkStart w:id="155" w:name="_Toc20430"/>
      <w:r>
        <w:rPr>
          <w:rFonts w:hint="eastAsia" w:ascii="仿宋" w:hAnsi="仿宋" w:eastAsia="仿宋"/>
          <w:color w:val="auto"/>
          <w:sz w:val="24"/>
          <w:szCs w:val="24"/>
          <w:highlight w:val="none"/>
        </w:rPr>
        <w:t>21．对投标文件的资格性审查和符合性审查</w:t>
      </w:r>
      <w:bookmarkEnd w:id="150"/>
      <w:bookmarkEnd w:id="151"/>
      <w:bookmarkEnd w:id="152"/>
      <w:bookmarkEnd w:id="153"/>
      <w:bookmarkEnd w:id="154"/>
      <w:bookmarkEnd w:id="155"/>
    </w:p>
    <w:p w14:paraId="05E73388">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21.l 资格性审查的内容包括：</w:t>
      </w:r>
    </w:p>
    <w:p w14:paraId="430C10B8">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（1）资格证明；</w:t>
      </w:r>
    </w:p>
    <w:p w14:paraId="7CB8B134">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（2）投标保证金；</w:t>
      </w:r>
    </w:p>
    <w:p w14:paraId="03815844">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21.2 符合性审查的内容包括：</w:t>
      </w:r>
    </w:p>
    <w:p w14:paraId="4A0471E6">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（1）投标文件的有效性(签署情况等)；</w:t>
      </w:r>
    </w:p>
    <w:p w14:paraId="76163B89">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（2）投标文件的完整性(正本和副本数量、内容等)；</w:t>
      </w:r>
    </w:p>
    <w:p w14:paraId="550ADFE9">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（3）对招标文件的响应程度（是否存在重大负偏离等）。</w:t>
      </w:r>
    </w:p>
    <w:p w14:paraId="490B0D4F">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21.3 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p>
    <w:p w14:paraId="13E3C3F0">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21.4 评标委员会在初审中，对算术错误的修正原则如下:</w:t>
      </w:r>
    </w:p>
    <w:p w14:paraId="1920C775">
      <w:pPr>
        <w:snapToGrid w:val="0"/>
        <w:spacing w:line="500" w:lineRule="exact"/>
        <w:ind w:firstLine="480" w:firstLineChars="200"/>
        <w:rPr>
          <w:rFonts w:ascii="仿宋" w:hAnsi="仿宋" w:eastAsia="仿宋" w:cs="Calibri"/>
          <w:color w:val="auto"/>
          <w:sz w:val="24"/>
          <w:szCs w:val="24"/>
          <w:highlight w:val="none"/>
        </w:rPr>
      </w:pPr>
      <w:bookmarkStart w:id="156" w:name="_Toc420487873"/>
      <w:bookmarkStart w:id="157" w:name="_Toc420657368"/>
      <w:bookmarkStart w:id="158" w:name="_Toc496721252"/>
      <w:bookmarkStart w:id="159" w:name="_Toc493863226"/>
      <w:bookmarkStart w:id="160" w:name="_Toc524622092"/>
      <w:r>
        <w:rPr>
          <w:rFonts w:hint="eastAsia" w:ascii="仿宋" w:hAnsi="仿宋" w:eastAsia="仿宋" w:cs="Calibri"/>
          <w:color w:val="auto"/>
          <w:sz w:val="24"/>
          <w:szCs w:val="24"/>
          <w:highlight w:val="none"/>
        </w:rPr>
        <w:t>21.4.l投标文件中开标一览表（报价表）内容与投标文件中相应内容不一致的，以开标一览表（报价表）为准；</w:t>
      </w:r>
    </w:p>
    <w:p w14:paraId="288C44FC">
      <w:pPr>
        <w:snapToGrid w:val="0"/>
        <w:spacing w:line="500" w:lineRule="exact"/>
        <w:ind w:firstLine="480" w:firstLineChars="200"/>
        <w:rPr>
          <w:rFonts w:ascii="仿宋" w:hAnsi="仿宋" w:eastAsia="仿宋" w:cs="Calibri"/>
          <w:color w:val="auto"/>
          <w:sz w:val="24"/>
          <w:szCs w:val="24"/>
          <w:highlight w:val="none"/>
        </w:rPr>
      </w:pPr>
      <w:r>
        <w:rPr>
          <w:rFonts w:hint="eastAsia" w:ascii="仿宋" w:hAnsi="仿宋" w:eastAsia="仿宋" w:cs="Calibri"/>
          <w:color w:val="auto"/>
          <w:sz w:val="24"/>
          <w:szCs w:val="24"/>
          <w:highlight w:val="none"/>
        </w:rPr>
        <w:t>21.4.2大写金额和小写金额不一致的，以大写金额为准；</w:t>
      </w:r>
    </w:p>
    <w:p w14:paraId="69F8955F">
      <w:pPr>
        <w:snapToGrid w:val="0"/>
        <w:spacing w:line="500" w:lineRule="exact"/>
        <w:ind w:firstLine="480" w:firstLineChars="200"/>
        <w:rPr>
          <w:rFonts w:ascii="仿宋" w:hAnsi="仿宋" w:eastAsia="仿宋" w:cs="Calibri"/>
          <w:color w:val="auto"/>
          <w:sz w:val="24"/>
          <w:szCs w:val="24"/>
          <w:highlight w:val="none"/>
        </w:rPr>
      </w:pPr>
      <w:r>
        <w:rPr>
          <w:rFonts w:hint="eastAsia" w:ascii="仿宋" w:hAnsi="仿宋" w:eastAsia="仿宋" w:cs="Calibri"/>
          <w:color w:val="auto"/>
          <w:sz w:val="24"/>
          <w:szCs w:val="24"/>
          <w:highlight w:val="none"/>
        </w:rPr>
        <w:t>21.4.3单价金额小数点或者百分比有明显错位的，以开标一览表的总价为准，并修改单价准；</w:t>
      </w:r>
    </w:p>
    <w:p w14:paraId="220CCB7D">
      <w:pPr>
        <w:snapToGrid w:val="0"/>
        <w:spacing w:line="500" w:lineRule="exact"/>
        <w:ind w:firstLine="480" w:firstLineChars="200"/>
        <w:rPr>
          <w:rFonts w:ascii="仿宋" w:hAnsi="仿宋" w:eastAsia="仿宋" w:cs="Calibri"/>
          <w:color w:val="auto"/>
          <w:sz w:val="24"/>
          <w:szCs w:val="24"/>
          <w:highlight w:val="none"/>
        </w:rPr>
      </w:pPr>
      <w:r>
        <w:rPr>
          <w:rFonts w:hint="eastAsia" w:ascii="仿宋" w:hAnsi="仿宋" w:eastAsia="仿宋" w:cs="Calibri"/>
          <w:color w:val="auto"/>
          <w:sz w:val="24"/>
          <w:szCs w:val="24"/>
          <w:highlight w:val="none"/>
        </w:rPr>
        <w:t>21.4.4总价金额与按单价汇总金额不一致的，以单价金额计算结果为准；</w:t>
      </w:r>
    </w:p>
    <w:p w14:paraId="446309D7">
      <w:pPr>
        <w:snapToGrid w:val="0"/>
        <w:spacing w:line="500" w:lineRule="exact"/>
        <w:ind w:firstLine="480" w:firstLineChars="200"/>
        <w:rPr>
          <w:rFonts w:ascii="仿宋" w:hAnsi="仿宋" w:eastAsia="仿宋" w:cs="Calibri"/>
          <w:color w:val="auto"/>
          <w:sz w:val="24"/>
          <w:szCs w:val="24"/>
          <w:highlight w:val="none"/>
        </w:rPr>
      </w:pPr>
      <w:r>
        <w:rPr>
          <w:rFonts w:hint="eastAsia" w:ascii="仿宋" w:hAnsi="仿宋" w:eastAsia="仿宋" w:cs="Calibri"/>
          <w:color w:val="auto"/>
          <w:sz w:val="24"/>
          <w:szCs w:val="24"/>
          <w:highlight w:val="none"/>
        </w:rPr>
        <w:t>21.4.5同时出现两种以上不一致的，按照前款规定的顺序修正。修正后的报价经投标人确认后产生约束力，投标人不确认的，其投标无效。</w:t>
      </w:r>
    </w:p>
    <w:p w14:paraId="75709FA1">
      <w:pPr>
        <w:pStyle w:val="5"/>
        <w:snapToGrid w:val="0"/>
        <w:spacing w:line="500" w:lineRule="exact"/>
        <w:rPr>
          <w:rFonts w:ascii="仿宋" w:hAnsi="仿宋" w:eastAsia="仿宋"/>
          <w:color w:val="auto"/>
          <w:sz w:val="24"/>
          <w:szCs w:val="24"/>
          <w:highlight w:val="none"/>
        </w:rPr>
      </w:pPr>
      <w:bookmarkStart w:id="161" w:name="_Toc2600"/>
      <w:r>
        <w:rPr>
          <w:rFonts w:hint="eastAsia" w:ascii="仿宋" w:hAnsi="仿宋" w:eastAsia="仿宋"/>
          <w:color w:val="auto"/>
          <w:sz w:val="24"/>
          <w:szCs w:val="24"/>
          <w:highlight w:val="none"/>
        </w:rPr>
        <w:t>22．投标文件的澄清</w:t>
      </w:r>
      <w:bookmarkEnd w:id="156"/>
      <w:bookmarkEnd w:id="157"/>
      <w:bookmarkEnd w:id="158"/>
      <w:bookmarkEnd w:id="159"/>
      <w:bookmarkEnd w:id="160"/>
      <w:bookmarkEnd w:id="161"/>
    </w:p>
    <w:p w14:paraId="5E88470C">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22.1 在评标期间，评标委员会有权要求供应商对其投标文件中含义不明确、同类问题表述不一致或者有明显文字和计算错误的内容进行澄清。供应商应派授权代表和技术人员按评标委员会通知的时间和地点接受询标。</w:t>
      </w:r>
    </w:p>
    <w:p w14:paraId="796E6473">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22.2 评标委员会认为有必要，可要求供应商对某些问题作出必要的澄清、说明和纠正。供应商的澄清、说明或者补正应当采用书面形式，由其授权的代表签字，并不得超出投标文件的范围或者改变投标文件的实质性内容。供应商的书面澄清材料作为投标文件的补充。</w:t>
      </w:r>
    </w:p>
    <w:p w14:paraId="52AB68E8">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22.3供应商不按评标委员会规定的时间和地点作书面澄清，将视为放弃该权利。</w:t>
      </w:r>
    </w:p>
    <w:p w14:paraId="0152A813">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22.4 并非每个供应商都将被询标。</w:t>
      </w:r>
    </w:p>
    <w:p w14:paraId="384B5EA4">
      <w:pPr>
        <w:pStyle w:val="5"/>
        <w:snapToGrid w:val="0"/>
        <w:spacing w:line="500" w:lineRule="exact"/>
        <w:rPr>
          <w:rFonts w:ascii="仿宋" w:hAnsi="仿宋" w:eastAsia="仿宋"/>
          <w:color w:val="auto"/>
          <w:sz w:val="24"/>
          <w:szCs w:val="24"/>
          <w:highlight w:val="none"/>
        </w:rPr>
      </w:pPr>
      <w:bookmarkStart w:id="162" w:name="_Toc493863227"/>
      <w:bookmarkStart w:id="163" w:name="_Toc524622093"/>
      <w:bookmarkStart w:id="164" w:name="_Toc496721253"/>
      <w:bookmarkStart w:id="165" w:name="_Toc420657369"/>
      <w:bookmarkStart w:id="166" w:name="_Toc420487874"/>
      <w:bookmarkStart w:id="167" w:name="_Toc5369"/>
      <w:r>
        <w:rPr>
          <w:rFonts w:hint="eastAsia" w:ascii="仿宋" w:hAnsi="仿宋" w:eastAsia="仿宋"/>
          <w:color w:val="auto"/>
          <w:sz w:val="24"/>
          <w:szCs w:val="24"/>
          <w:highlight w:val="none"/>
        </w:rPr>
        <w:t>23．评标及定标</w:t>
      </w:r>
      <w:bookmarkEnd w:id="162"/>
      <w:bookmarkEnd w:id="163"/>
      <w:bookmarkEnd w:id="164"/>
      <w:bookmarkEnd w:id="165"/>
      <w:bookmarkEnd w:id="166"/>
      <w:bookmarkEnd w:id="167"/>
    </w:p>
    <w:p w14:paraId="4E67C5F6">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23.1 评标委员会将对通过资格性审查和符合性审查的投标文件进行评价和比较。</w:t>
      </w:r>
    </w:p>
    <w:p w14:paraId="79FC364A">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23．2 评标委员会按招标文件第三章中公布的评标办法对每份投标文件进行评审，确定中标候选供应商。最低投标价等任何单项因素的最优不能作为中标的保证。</w:t>
      </w:r>
    </w:p>
    <w:p w14:paraId="5C26DEF6">
      <w:pPr>
        <w:pStyle w:val="5"/>
        <w:snapToGrid w:val="0"/>
        <w:spacing w:line="500" w:lineRule="exact"/>
        <w:rPr>
          <w:rFonts w:ascii="仿宋" w:hAnsi="仿宋" w:eastAsia="仿宋"/>
          <w:color w:val="auto"/>
          <w:sz w:val="24"/>
          <w:szCs w:val="24"/>
          <w:highlight w:val="none"/>
        </w:rPr>
      </w:pPr>
      <w:bookmarkStart w:id="168" w:name="_Toc496721254"/>
      <w:bookmarkStart w:id="169" w:name="_Toc11421"/>
      <w:bookmarkStart w:id="170" w:name="_Toc420487875"/>
      <w:bookmarkStart w:id="171" w:name="_Toc420657370"/>
      <w:bookmarkStart w:id="172" w:name="_Toc493863228"/>
      <w:bookmarkStart w:id="173" w:name="_Toc524622094"/>
      <w:r>
        <w:rPr>
          <w:rFonts w:hint="eastAsia" w:ascii="仿宋" w:hAnsi="仿宋" w:eastAsia="仿宋"/>
          <w:color w:val="auto"/>
          <w:sz w:val="24"/>
          <w:szCs w:val="24"/>
          <w:highlight w:val="none"/>
        </w:rPr>
        <w:t>24．评标过程保密</w:t>
      </w:r>
      <w:bookmarkEnd w:id="168"/>
      <w:bookmarkEnd w:id="169"/>
      <w:bookmarkEnd w:id="170"/>
      <w:bookmarkEnd w:id="171"/>
      <w:bookmarkEnd w:id="172"/>
      <w:bookmarkEnd w:id="173"/>
    </w:p>
    <w:p w14:paraId="775488AA">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24.l 在宣布中标结果之前，凡属于审查、澄清、评价、比较投标文件和中标意向等有关信息，相关当事人均不得泄露给任何供应商或与评标工作无关的人员。</w:t>
      </w:r>
    </w:p>
    <w:p w14:paraId="5EED2644">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24.2 供应商不得探听上述信息，不得以任何行为影响评标过程，否则其投标文件将被作为无效投标文件。</w:t>
      </w:r>
    </w:p>
    <w:p w14:paraId="610BA5D9">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24.3 在评标期间，采购代理机构将有专门人员与供应商进行联络。</w:t>
      </w:r>
    </w:p>
    <w:p w14:paraId="24EB2B7D">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24.4 采购人、采购代理机构和评标委员会不向落标的供应商解释落标原因，也不对评标过程中的细节问题进行公布。</w:t>
      </w:r>
    </w:p>
    <w:p w14:paraId="44F40333">
      <w:pPr>
        <w:pStyle w:val="5"/>
        <w:snapToGrid w:val="0"/>
        <w:spacing w:line="500" w:lineRule="exact"/>
        <w:rPr>
          <w:rFonts w:ascii="仿宋" w:hAnsi="仿宋" w:eastAsia="仿宋"/>
          <w:color w:val="auto"/>
          <w:sz w:val="24"/>
          <w:szCs w:val="24"/>
          <w:highlight w:val="none"/>
        </w:rPr>
      </w:pPr>
      <w:bookmarkStart w:id="174" w:name="_Toc420657371"/>
      <w:bookmarkStart w:id="175" w:name="_Toc420487876"/>
      <w:bookmarkStart w:id="176" w:name="_Toc524622095"/>
      <w:bookmarkStart w:id="177" w:name="_Toc19546"/>
      <w:bookmarkStart w:id="178" w:name="_Toc493863229"/>
      <w:bookmarkStart w:id="179" w:name="_Toc496721255"/>
      <w:r>
        <w:rPr>
          <w:rFonts w:hint="eastAsia" w:ascii="仿宋" w:hAnsi="仿宋" w:eastAsia="仿宋"/>
          <w:color w:val="auto"/>
          <w:sz w:val="24"/>
          <w:szCs w:val="24"/>
          <w:highlight w:val="none"/>
        </w:rPr>
        <w:t>25. 投标截止时间结束后参加投标的供应商不足三家的处理</w:t>
      </w:r>
      <w:bookmarkEnd w:id="174"/>
      <w:bookmarkEnd w:id="175"/>
      <w:bookmarkEnd w:id="176"/>
      <w:bookmarkEnd w:id="177"/>
      <w:bookmarkEnd w:id="178"/>
      <w:bookmarkEnd w:id="179"/>
    </w:p>
    <w:p w14:paraId="50240622">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25.1 如出现投标截止时间结束后参加投标的供应商不足三家的情况，不得开标。此采购项目应予以废标。废标后，</w:t>
      </w:r>
      <w:r>
        <w:rPr>
          <w:rFonts w:ascii="仿宋" w:hAnsi="仿宋" w:eastAsia="仿宋"/>
          <w:color w:val="auto"/>
          <w:sz w:val="24"/>
          <w:szCs w:val="24"/>
          <w:highlight w:val="none"/>
        </w:rPr>
        <w:t>除采购任务取消情形外，</w:t>
      </w:r>
      <w:r>
        <w:rPr>
          <w:rFonts w:hint="eastAsia" w:ascii="仿宋" w:hAnsi="仿宋" w:eastAsia="仿宋"/>
          <w:color w:val="auto"/>
          <w:sz w:val="24"/>
          <w:szCs w:val="24"/>
          <w:highlight w:val="none"/>
        </w:rPr>
        <w:t>应当重新组织招标；如果需要采用其他方式采购，根据需要，</w:t>
      </w:r>
      <w:r>
        <w:rPr>
          <w:rFonts w:ascii="仿宋" w:hAnsi="仿宋" w:eastAsia="仿宋"/>
          <w:color w:val="auto"/>
          <w:sz w:val="24"/>
          <w:szCs w:val="24"/>
          <w:highlight w:val="none"/>
        </w:rPr>
        <w:t>应当在采购活动开始前获得设区的市、自治州以上人民政府采购监督管理部门或者政府有关部门批准（不需要获得批准的除外）</w:t>
      </w:r>
      <w:r>
        <w:rPr>
          <w:rFonts w:hint="eastAsia" w:ascii="仿宋" w:hAnsi="仿宋" w:eastAsia="仿宋"/>
          <w:color w:val="auto"/>
          <w:sz w:val="24"/>
          <w:szCs w:val="24"/>
          <w:highlight w:val="none"/>
        </w:rPr>
        <w:t>。</w:t>
      </w:r>
    </w:p>
    <w:p w14:paraId="1E1F54F3">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25.2 在评标期间，出现符合专业条件的供应商或者对招标文件做出实质响应的供应商不足三家情形的，此采购项目</w:t>
      </w:r>
      <w:r>
        <w:rPr>
          <w:rFonts w:ascii="仿宋" w:hAnsi="仿宋" w:eastAsia="仿宋"/>
          <w:color w:val="auto"/>
          <w:sz w:val="24"/>
          <w:szCs w:val="24"/>
          <w:highlight w:val="none"/>
        </w:rPr>
        <w:t>应予废标</w:t>
      </w:r>
      <w:r>
        <w:rPr>
          <w:rFonts w:hint="eastAsia" w:ascii="仿宋" w:hAnsi="仿宋" w:eastAsia="仿宋"/>
          <w:color w:val="auto"/>
          <w:sz w:val="24"/>
          <w:szCs w:val="24"/>
          <w:highlight w:val="none"/>
        </w:rPr>
        <w:t>。</w:t>
      </w:r>
      <w:r>
        <w:rPr>
          <w:rFonts w:ascii="仿宋" w:hAnsi="仿宋" w:eastAsia="仿宋"/>
          <w:color w:val="auto"/>
          <w:sz w:val="24"/>
          <w:szCs w:val="24"/>
          <w:highlight w:val="none"/>
        </w:rPr>
        <w:t>废标后，除采购任务取消情形外，应当重新组织招标；</w:t>
      </w:r>
      <w:r>
        <w:rPr>
          <w:rFonts w:hint="eastAsia" w:ascii="仿宋" w:hAnsi="仿宋" w:eastAsia="仿宋"/>
          <w:color w:val="auto"/>
          <w:sz w:val="24"/>
          <w:szCs w:val="24"/>
          <w:highlight w:val="none"/>
        </w:rPr>
        <w:t>如果</w:t>
      </w:r>
      <w:r>
        <w:rPr>
          <w:rFonts w:ascii="仿宋" w:hAnsi="仿宋" w:eastAsia="仿宋"/>
          <w:color w:val="auto"/>
          <w:sz w:val="24"/>
          <w:szCs w:val="24"/>
          <w:highlight w:val="none"/>
        </w:rPr>
        <w:t>需要采取其他方式采购的，</w:t>
      </w:r>
      <w:r>
        <w:rPr>
          <w:rFonts w:hint="eastAsia" w:ascii="仿宋" w:hAnsi="仿宋" w:eastAsia="仿宋"/>
          <w:color w:val="auto"/>
          <w:sz w:val="24"/>
          <w:szCs w:val="24"/>
          <w:highlight w:val="none"/>
        </w:rPr>
        <w:t>根据需要，</w:t>
      </w:r>
      <w:r>
        <w:rPr>
          <w:rFonts w:ascii="仿宋" w:hAnsi="仿宋" w:eastAsia="仿宋"/>
          <w:color w:val="auto"/>
          <w:sz w:val="24"/>
          <w:szCs w:val="24"/>
          <w:highlight w:val="none"/>
        </w:rPr>
        <w:t>应当在采购活动开始前获得设区的市、自治州以上人民政府采购监督管理部门或者政府有关部门批准（不需要获得批准的除外）。</w:t>
      </w:r>
    </w:p>
    <w:p w14:paraId="5A6F92FC">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25.3 供应商若不接受采购方式的改变，应在规定的时间内书面向评标委员会说明，未在规定时间内提交书面说明的视为接受采购方式的改变。</w:t>
      </w:r>
    </w:p>
    <w:p w14:paraId="10230283">
      <w:pPr>
        <w:snapToGrid w:val="0"/>
        <w:spacing w:line="500" w:lineRule="exact"/>
        <w:ind w:firstLine="480" w:firstLineChars="200"/>
        <w:rPr>
          <w:rFonts w:ascii="仿宋" w:hAnsi="仿宋" w:eastAsia="仿宋"/>
          <w:color w:val="auto"/>
          <w:sz w:val="24"/>
          <w:szCs w:val="24"/>
          <w:highlight w:val="none"/>
        </w:rPr>
      </w:pPr>
    </w:p>
    <w:p w14:paraId="7553EC65">
      <w:pPr>
        <w:pStyle w:val="4"/>
        <w:snapToGrid w:val="0"/>
        <w:spacing w:line="500" w:lineRule="exact"/>
        <w:jc w:val="center"/>
        <w:rPr>
          <w:rFonts w:ascii="仿宋" w:hAnsi="仿宋" w:eastAsia="仿宋"/>
          <w:color w:val="auto"/>
          <w:sz w:val="24"/>
          <w:szCs w:val="24"/>
          <w:highlight w:val="none"/>
        </w:rPr>
      </w:pPr>
      <w:bookmarkStart w:id="180" w:name="_Toc420487877"/>
      <w:bookmarkStart w:id="181" w:name="_Toc420657372"/>
      <w:bookmarkStart w:id="182" w:name="_Toc19538"/>
      <w:bookmarkStart w:id="183" w:name="_Toc493863230"/>
      <w:bookmarkStart w:id="184" w:name="_Toc496721256"/>
      <w:bookmarkStart w:id="185" w:name="_Toc524622096"/>
      <w:r>
        <w:rPr>
          <w:rFonts w:hint="eastAsia" w:ascii="仿宋" w:hAnsi="仿宋" w:eastAsia="仿宋"/>
          <w:color w:val="auto"/>
          <w:sz w:val="24"/>
          <w:szCs w:val="24"/>
          <w:highlight w:val="none"/>
        </w:rPr>
        <w:t>六、授标及签约</w:t>
      </w:r>
      <w:bookmarkEnd w:id="180"/>
      <w:bookmarkEnd w:id="181"/>
      <w:bookmarkEnd w:id="182"/>
      <w:bookmarkEnd w:id="183"/>
      <w:bookmarkEnd w:id="184"/>
      <w:bookmarkEnd w:id="185"/>
    </w:p>
    <w:p w14:paraId="2CF60D9F">
      <w:pPr>
        <w:pStyle w:val="5"/>
        <w:snapToGrid w:val="0"/>
        <w:spacing w:line="500" w:lineRule="exact"/>
        <w:rPr>
          <w:rFonts w:ascii="仿宋" w:hAnsi="仿宋" w:eastAsia="仿宋"/>
          <w:color w:val="auto"/>
          <w:sz w:val="24"/>
          <w:szCs w:val="24"/>
          <w:highlight w:val="none"/>
        </w:rPr>
      </w:pPr>
      <w:bookmarkStart w:id="186" w:name="_Toc524622097"/>
      <w:bookmarkStart w:id="187" w:name="_Toc420657373"/>
      <w:bookmarkStart w:id="188" w:name="_Toc496721257"/>
      <w:bookmarkStart w:id="189" w:name="_Toc493863231"/>
      <w:bookmarkStart w:id="190" w:name="_Toc13645"/>
      <w:bookmarkStart w:id="191" w:name="_Toc420487878"/>
      <w:r>
        <w:rPr>
          <w:rFonts w:hint="eastAsia" w:ascii="仿宋" w:hAnsi="仿宋" w:eastAsia="仿宋"/>
          <w:color w:val="auto"/>
          <w:sz w:val="24"/>
          <w:szCs w:val="24"/>
          <w:highlight w:val="none"/>
        </w:rPr>
        <w:t>26．定标原则</w:t>
      </w:r>
      <w:bookmarkEnd w:id="186"/>
      <w:bookmarkEnd w:id="187"/>
      <w:bookmarkEnd w:id="188"/>
      <w:bookmarkEnd w:id="189"/>
      <w:bookmarkEnd w:id="190"/>
      <w:bookmarkEnd w:id="191"/>
    </w:p>
    <w:p w14:paraId="0DF1F4F3">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26.l 评标委员会将严格按照招标文件的要求和条件进行比较,根据评标办法推荐出中标候选供应商。</w:t>
      </w:r>
    </w:p>
    <w:p w14:paraId="101FE78F">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26.2 评标结束后，可由采购人，必要时可邀请采购代理机构对评标委员会推荐的中标候选供应商进行考察，若无其他情况按照评标报告中推荐的中标候选供应商顺序确定中标供应商。</w:t>
      </w:r>
    </w:p>
    <w:p w14:paraId="2F5E5095">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26.3 供应商出现下列情况之一的，将被取消中标候选供应商资格：</w:t>
      </w:r>
    </w:p>
    <w:p w14:paraId="253B5253">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（1）提供虚假材料谋取中标、成交的；</w:t>
      </w:r>
    </w:p>
    <w:p w14:paraId="5BBFDC53">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（2）采取不正当手段诋毁、排挤其他供应商的；</w:t>
      </w:r>
    </w:p>
    <w:p w14:paraId="16C7EBBD">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（3）与采购人、采购代理机构或者其他供应商恶意串通的；</w:t>
      </w:r>
    </w:p>
    <w:p w14:paraId="38804BFB">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（4）向采购人、采购代理机构行贿或者提供其他不正当利益的；</w:t>
      </w:r>
    </w:p>
    <w:p w14:paraId="0F9DA399">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（5）不符合法律、法规的规定。</w:t>
      </w:r>
    </w:p>
    <w:p w14:paraId="1D014575">
      <w:pPr>
        <w:pStyle w:val="5"/>
        <w:snapToGrid w:val="0"/>
        <w:spacing w:line="500" w:lineRule="exact"/>
        <w:rPr>
          <w:rFonts w:ascii="仿宋" w:hAnsi="仿宋" w:eastAsia="仿宋"/>
          <w:color w:val="auto"/>
          <w:sz w:val="24"/>
          <w:szCs w:val="24"/>
          <w:highlight w:val="none"/>
        </w:rPr>
      </w:pPr>
      <w:bookmarkStart w:id="192" w:name="_Toc420657374"/>
      <w:bookmarkStart w:id="193" w:name="_Toc27746"/>
      <w:bookmarkStart w:id="194" w:name="_Toc493863232"/>
      <w:bookmarkStart w:id="195" w:name="_Toc496721258"/>
      <w:bookmarkStart w:id="196" w:name="_Toc524622098"/>
      <w:bookmarkStart w:id="197" w:name="_Toc420487879"/>
      <w:r>
        <w:rPr>
          <w:rFonts w:hint="eastAsia" w:ascii="仿宋" w:hAnsi="仿宋" w:eastAsia="仿宋"/>
          <w:color w:val="auto"/>
          <w:sz w:val="24"/>
          <w:szCs w:val="24"/>
          <w:highlight w:val="none"/>
        </w:rPr>
        <w:t>27. 质疑处理</w:t>
      </w:r>
      <w:bookmarkEnd w:id="192"/>
      <w:bookmarkEnd w:id="193"/>
      <w:bookmarkEnd w:id="194"/>
      <w:bookmarkEnd w:id="195"/>
      <w:bookmarkEnd w:id="196"/>
      <w:bookmarkEnd w:id="197"/>
    </w:p>
    <w:p w14:paraId="559BAF27">
      <w:pPr>
        <w:snapToGrid w:val="0"/>
        <w:spacing w:line="360" w:lineRule="auto"/>
        <w:ind w:firstLine="480" w:firstLineChars="200"/>
        <w:rPr>
          <w:rFonts w:ascii="仿宋" w:hAnsi="仿宋" w:eastAsia="仿宋"/>
          <w:color w:val="auto"/>
          <w:sz w:val="24"/>
          <w:szCs w:val="24"/>
          <w:highlight w:val="none"/>
        </w:rPr>
      </w:pPr>
      <w:bookmarkStart w:id="198" w:name="_Toc420657375"/>
      <w:bookmarkStart w:id="199" w:name="_Toc496721259"/>
      <w:bookmarkStart w:id="200" w:name="_Toc493863233"/>
      <w:bookmarkStart w:id="201" w:name="_Toc420487880"/>
      <w:bookmarkStart w:id="202" w:name="_Toc524622099"/>
      <w:r>
        <w:rPr>
          <w:rFonts w:hint="eastAsia" w:ascii="仿宋" w:hAnsi="仿宋" w:eastAsia="仿宋"/>
          <w:color w:val="auto"/>
          <w:sz w:val="24"/>
          <w:szCs w:val="24"/>
          <w:highlight w:val="none"/>
        </w:rPr>
        <w:t>供应商认为招标文件、招标过程和中标结果使自己的权益受到损害的，可以在知道或者应知其权益受到损害之日起的规定时间内，以书面形式向采购代理机构提出质疑。供应商针对同一采购程序环节的质疑，必须在规定时间内一次性提出。非书面形式、规定时间之外以及匿名的质疑将不予受理。</w:t>
      </w:r>
    </w:p>
    <w:p w14:paraId="533FA723">
      <w:pPr>
        <w:pStyle w:val="5"/>
        <w:snapToGrid w:val="0"/>
        <w:spacing w:line="500" w:lineRule="exact"/>
        <w:rPr>
          <w:rFonts w:ascii="仿宋" w:hAnsi="仿宋" w:eastAsia="仿宋"/>
          <w:color w:val="auto"/>
          <w:sz w:val="24"/>
          <w:szCs w:val="24"/>
          <w:highlight w:val="none"/>
        </w:rPr>
      </w:pPr>
      <w:bookmarkStart w:id="203" w:name="_Toc11010"/>
      <w:r>
        <w:rPr>
          <w:rFonts w:hint="eastAsia" w:ascii="仿宋" w:hAnsi="仿宋" w:eastAsia="仿宋"/>
          <w:color w:val="auto"/>
          <w:sz w:val="24"/>
          <w:szCs w:val="24"/>
          <w:highlight w:val="none"/>
        </w:rPr>
        <w:t>28．中标通知</w:t>
      </w:r>
      <w:bookmarkEnd w:id="198"/>
      <w:bookmarkEnd w:id="199"/>
      <w:bookmarkEnd w:id="200"/>
      <w:bookmarkEnd w:id="201"/>
      <w:bookmarkEnd w:id="202"/>
      <w:bookmarkEnd w:id="203"/>
    </w:p>
    <w:p w14:paraId="32E106EE">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28.l 定标后,采购代理机构应将定标结果通知所有的供应商，并向中标供应商发出中标通知。</w:t>
      </w:r>
    </w:p>
    <w:p w14:paraId="3410F5F2">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28.2  中标通知书将是合同的一个组成部分。</w:t>
      </w:r>
    </w:p>
    <w:p w14:paraId="3F73AF09">
      <w:pPr>
        <w:pStyle w:val="5"/>
        <w:snapToGrid w:val="0"/>
        <w:spacing w:line="500" w:lineRule="exact"/>
        <w:rPr>
          <w:rFonts w:ascii="仿宋" w:hAnsi="仿宋" w:eastAsia="仿宋"/>
          <w:color w:val="auto"/>
          <w:sz w:val="24"/>
          <w:szCs w:val="24"/>
          <w:highlight w:val="none"/>
        </w:rPr>
      </w:pPr>
      <w:bookmarkStart w:id="204" w:name="_Toc420487881"/>
      <w:bookmarkStart w:id="205" w:name="_Toc496721260"/>
      <w:bookmarkStart w:id="206" w:name="_Toc524622100"/>
      <w:bookmarkStart w:id="207" w:name="_Toc21942"/>
      <w:bookmarkStart w:id="208" w:name="_Toc493863234"/>
      <w:bookmarkStart w:id="209" w:name="_Toc420657376"/>
      <w:r>
        <w:rPr>
          <w:rFonts w:hint="eastAsia" w:ascii="仿宋" w:hAnsi="仿宋" w:eastAsia="仿宋"/>
          <w:color w:val="auto"/>
          <w:sz w:val="24"/>
          <w:szCs w:val="24"/>
          <w:highlight w:val="none"/>
        </w:rPr>
        <w:t>29．签订合同</w:t>
      </w:r>
      <w:bookmarkEnd w:id="204"/>
      <w:bookmarkEnd w:id="205"/>
      <w:bookmarkEnd w:id="206"/>
      <w:bookmarkEnd w:id="207"/>
      <w:bookmarkEnd w:id="208"/>
      <w:bookmarkEnd w:id="209"/>
    </w:p>
    <w:p w14:paraId="7B0738D3">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29.l 中标供应商应按中标通知书规定的时间、地点与采购人签订中标合同,否则投标保证金将不予退还，给采购人和采购代理机构造成损失的，供应商还应承担赔偿责任。</w:t>
      </w:r>
    </w:p>
    <w:p w14:paraId="125433C2">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29.2 招标文件、中标供应商的投标文件及评标过程中有关澄清文件均应作为合同附件。</w:t>
      </w:r>
    </w:p>
    <w:p w14:paraId="4415468B">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29.3 签订合同后，中标供应商不得将货物、工程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p>
    <w:p w14:paraId="08249AA4">
      <w:pPr>
        <w:pStyle w:val="5"/>
        <w:snapToGrid w:val="0"/>
        <w:spacing w:line="500" w:lineRule="exact"/>
        <w:rPr>
          <w:rFonts w:ascii="仿宋" w:hAnsi="仿宋" w:eastAsia="仿宋"/>
          <w:color w:val="auto"/>
          <w:sz w:val="24"/>
          <w:szCs w:val="24"/>
          <w:highlight w:val="none"/>
        </w:rPr>
      </w:pPr>
      <w:bookmarkStart w:id="210" w:name="_Toc420657377"/>
      <w:bookmarkStart w:id="211" w:name="_Toc496721261"/>
      <w:bookmarkStart w:id="212" w:name="_Toc524622101"/>
      <w:bookmarkStart w:id="213" w:name="_Toc493863235"/>
      <w:bookmarkStart w:id="214" w:name="_Toc420487882"/>
      <w:bookmarkStart w:id="215" w:name="_Toc11088"/>
      <w:r>
        <w:rPr>
          <w:rFonts w:hint="eastAsia" w:ascii="仿宋" w:hAnsi="仿宋" w:eastAsia="仿宋"/>
          <w:color w:val="auto"/>
          <w:sz w:val="24"/>
          <w:szCs w:val="24"/>
          <w:highlight w:val="none"/>
        </w:rPr>
        <w:t>30．招标代理服务费</w:t>
      </w:r>
      <w:bookmarkEnd w:id="210"/>
      <w:bookmarkEnd w:id="211"/>
      <w:bookmarkEnd w:id="212"/>
      <w:bookmarkEnd w:id="213"/>
      <w:bookmarkEnd w:id="214"/>
      <w:bookmarkEnd w:id="215"/>
    </w:p>
    <w:p w14:paraId="73E18A0A">
      <w:pPr>
        <w:snapToGrid w:val="0"/>
        <w:spacing w:line="360" w:lineRule="auto"/>
        <w:ind w:firstLine="480" w:firstLineChars="200"/>
        <w:rPr>
          <w:rFonts w:ascii="仿宋" w:hAnsi="仿宋" w:eastAsia="仿宋"/>
          <w:color w:val="auto"/>
          <w:sz w:val="24"/>
          <w:szCs w:val="24"/>
          <w:highlight w:val="none"/>
        </w:rPr>
      </w:pPr>
      <w:r>
        <w:rPr>
          <w:rFonts w:ascii="仿宋" w:hAnsi="仿宋" w:eastAsia="仿宋"/>
          <w:color w:val="auto"/>
          <w:sz w:val="24"/>
          <w:szCs w:val="24"/>
          <w:highlight w:val="none"/>
        </w:rPr>
        <w:t>中标供应商在领取中标通知书时需按《招标代理服务收费管理暂行办法》（国家发展计划委员会计价格[2002]1980号）招标收费基准费率标准（</w:t>
      </w:r>
      <w:r>
        <w:rPr>
          <w:rFonts w:hint="eastAsia" w:ascii="仿宋" w:hAnsi="仿宋" w:eastAsia="仿宋"/>
          <w:color w:val="auto"/>
          <w:sz w:val="24"/>
          <w:szCs w:val="24"/>
          <w:highlight w:val="none"/>
        </w:rPr>
        <w:t>服务</w:t>
      </w:r>
      <w:r>
        <w:rPr>
          <w:rFonts w:ascii="仿宋" w:hAnsi="仿宋" w:eastAsia="仿宋"/>
          <w:color w:val="auto"/>
          <w:sz w:val="24"/>
          <w:szCs w:val="24"/>
          <w:highlight w:val="none"/>
        </w:rPr>
        <w:t>类）向招标代理机构支付招标代理服务费，</w:t>
      </w:r>
      <w:r>
        <w:rPr>
          <w:rFonts w:hint="eastAsia" w:ascii="仿宋" w:hAnsi="仿宋" w:eastAsia="仿宋"/>
          <w:color w:val="auto"/>
          <w:sz w:val="24"/>
          <w:szCs w:val="24"/>
          <w:highlight w:val="none"/>
        </w:rPr>
        <w:t>不少于1万元，</w:t>
      </w:r>
      <w:r>
        <w:rPr>
          <w:rFonts w:ascii="仿宋" w:hAnsi="仿宋" w:eastAsia="仿宋"/>
          <w:color w:val="auto"/>
          <w:sz w:val="24"/>
          <w:szCs w:val="24"/>
          <w:highlight w:val="none"/>
        </w:rPr>
        <w:t>费用一次付清</w:t>
      </w:r>
      <w:r>
        <w:rPr>
          <w:rFonts w:hint="eastAsia" w:ascii="仿宋" w:hAnsi="仿宋" w:eastAsia="仿宋"/>
          <w:color w:val="auto"/>
          <w:sz w:val="24"/>
          <w:szCs w:val="24"/>
          <w:highlight w:val="none"/>
        </w:rPr>
        <w:t>。</w:t>
      </w:r>
    </w:p>
    <w:p w14:paraId="232F37C0">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br w:type="page"/>
      </w:r>
    </w:p>
    <w:bookmarkEnd w:id="4"/>
    <w:p w14:paraId="6A4F94E5">
      <w:pPr>
        <w:pStyle w:val="3"/>
        <w:snapToGrid w:val="0"/>
        <w:spacing w:line="240" w:lineRule="auto"/>
        <w:jc w:val="center"/>
        <w:rPr>
          <w:rFonts w:ascii="仿宋" w:hAnsi="仿宋" w:eastAsia="仿宋"/>
          <w:color w:val="auto"/>
          <w:sz w:val="36"/>
          <w:szCs w:val="36"/>
          <w:highlight w:val="none"/>
        </w:rPr>
      </w:pPr>
      <w:bookmarkStart w:id="216" w:name="_Toc420487883"/>
      <w:bookmarkStart w:id="217" w:name="_Toc420657378"/>
      <w:bookmarkStart w:id="218" w:name="_Toc19730"/>
      <w:r>
        <w:rPr>
          <w:rFonts w:hint="eastAsia" w:ascii="仿宋" w:hAnsi="仿宋" w:eastAsia="仿宋"/>
          <w:color w:val="auto"/>
          <w:sz w:val="36"/>
          <w:szCs w:val="36"/>
          <w:highlight w:val="none"/>
        </w:rPr>
        <w:t>第二章  合同条款</w:t>
      </w:r>
      <w:bookmarkEnd w:id="216"/>
      <w:bookmarkEnd w:id="217"/>
      <w:r>
        <w:rPr>
          <w:rFonts w:hint="eastAsia" w:ascii="仿宋" w:hAnsi="仿宋" w:eastAsia="仿宋"/>
          <w:color w:val="auto"/>
          <w:sz w:val="36"/>
          <w:szCs w:val="36"/>
          <w:highlight w:val="none"/>
        </w:rPr>
        <w:t>及格式</w:t>
      </w:r>
      <w:bookmarkEnd w:id="218"/>
    </w:p>
    <w:p w14:paraId="583E82D8">
      <w:pPr>
        <w:spacing w:line="360" w:lineRule="auto"/>
        <w:jc w:val="center"/>
        <w:rPr>
          <w:rFonts w:ascii="仿宋" w:hAnsi="仿宋" w:eastAsia="仿宋"/>
          <w:b/>
          <w:color w:val="auto"/>
          <w:sz w:val="24"/>
          <w:szCs w:val="24"/>
          <w:highlight w:val="none"/>
        </w:rPr>
      </w:pPr>
      <w:bookmarkStart w:id="219" w:name="_Hlk84833811"/>
      <w:bookmarkStart w:id="220" w:name="_Hlk84960822"/>
      <w:bookmarkStart w:id="221" w:name="_Toc420487909"/>
      <w:bookmarkStart w:id="222" w:name="_Toc420657404"/>
      <w:bookmarkStart w:id="223" w:name="_Toc289873204"/>
      <w:r>
        <w:rPr>
          <w:rFonts w:hint="eastAsia" w:ascii="仿宋" w:hAnsi="仿宋" w:eastAsia="仿宋"/>
          <w:b/>
          <w:color w:val="auto"/>
          <w:sz w:val="24"/>
          <w:szCs w:val="24"/>
          <w:highlight w:val="none"/>
        </w:rPr>
        <w:t>（说明：本工作协议内容条款在正式签署前可具体补充细化，仅作参考）</w:t>
      </w:r>
    </w:p>
    <w:p w14:paraId="712E8377">
      <w:pPr>
        <w:snapToGrid w:val="0"/>
        <w:spacing w:line="360" w:lineRule="auto"/>
        <w:jc w:val="center"/>
        <w:rPr>
          <w:rFonts w:hint="eastAsia" w:ascii="仿宋" w:hAnsi="仿宋" w:eastAsia="仿宋"/>
          <w:b/>
          <w:color w:val="auto"/>
          <w:szCs w:val="24"/>
          <w:highlight w:val="none"/>
          <w:lang w:eastAsia="zh-CN"/>
        </w:rPr>
      </w:pPr>
      <w:r>
        <w:rPr>
          <w:rFonts w:hint="eastAsia" w:ascii="仿宋" w:hAnsi="仿宋" w:eastAsia="仿宋"/>
          <w:b/>
          <w:color w:val="auto"/>
          <w:szCs w:val="24"/>
          <w:highlight w:val="none"/>
          <w:lang w:eastAsia="zh-CN"/>
        </w:rPr>
        <w:t>数字赋能与智慧监管2024年商业光学卫星影像补充</w:t>
      </w:r>
    </w:p>
    <w:p w14:paraId="207654C2">
      <w:pPr>
        <w:pStyle w:val="2"/>
        <w:jc w:val="center"/>
        <w:rPr>
          <w:rFonts w:eastAsia="仿宋"/>
          <w:color w:val="auto"/>
          <w:highlight w:val="none"/>
        </w:rPr>
      </w:pPr>
      <w:r>
        <w:rPr>
          <w:rFonts w:hint="eastAsia" w:ascii="仿宋" w:hAnsi="仿宋" w:eastAsia="仿宋"/>
          <w:b/>
          <w:color w:val="auto"/>
          <w:szCs w:val="24"/>
          <w:highlight w:val="none"/>
        </w:rPr>
        <w:t>服务合同</w:t>
      </w:r>
    </w:p>
    <w:p w14:paraId="769E58EF">
      <w:pPr>
        <w:snapToGrid w:val="0"/>
        <w:spacing w:line="360" w:lineRule="auto"/>
        <w:jc w:val="center"/>
        <w:rPr>
          <w:rFonts w:ascii="Times New Roman" w:eastAsia="仿宋"/>
          <w:b/>
          <w:color w:val="auto"/>
          <w:w w:val="90"/>
          <w:sz w:val="36"/>
          <w:szCs w:val="36"/>
          <w:highlight w:val="none"/>
        </w:rPr>
      </w:pPr>
    </w:p>
    <w:p w14:paraId="33C6CD73">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委托方（甲方）：江苏省地质调查研究院</w:t>
      </w:r>
    </w:p>
    <w:p w14:paraId="6CC47BBB">
      <w:pPr>
        <w:tabs>
          <w:tab w:val="left" w:pos="4140"/>
        </w:tabs>
        <w:snapToGrid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受托方（乙方）：</w:t>
      </w:r>
    </w:p>
    <w:p w14:paraId="48CBB5A9">
      <w:pPr>
        <w:pStyle w:val="20"/>
        <w:spacing w:line="360" w:lineRule="auto"/>
        <w:ind w:left="0" w:leftChars="0"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委托方通过</w:t>
      </w:r>
      <w:r>
        <w:rPr>
          <w:rFonts w:hint="eastAsia" w:ascii="仿宋" w:hAnsi="仿宋" w:eastAsia="仿宋"/>
          <w:color w:val="auto"/>
          <w:sz w:val="24"/>
          <w:szCs w:val="24"/>
          <w:highlight w:val="none"/>
          <w:u w:val="single"/>
        </w:rPr>
        <w:t>招标</w:t>
      </w:r>
      <w:r>
        <w:rPr>
          <w:rFonts w:hint="eastAsia" w:ascii="仿宋" w:hAnsi="仿宋" w:eastAsia="仿宋"/>
          <w:color w:val="auto"/>
          <w:sz w:val="24"/>
          <w:szCs w:val="24"/>
          <w:highlight w:val="none"/>
        </w:rPr>
        <w:t>方式（委托/招标/竞争性谈判），确定受托方承担</w:t>
      </w:r>
      <w:r>
        <w:rPr>
          <w:rFonts w:hint="eastAsia" w:ascii="仿宋" w:hAnsi="仿宋" w:eastAsia="仿宋"/>
          <w:color w:val="auto"/>
          <w:sz w:val="24"/>
          <w:szCs w:val="24"/>
          <w:highlight w:val="none"/>
          <w:lang w:eastAsia="zh-CN"/>
        </w:rPr>
        <w:t>数字赋能与智慧监管2024年商业光学卫星影像补充</w:t>
      </w:r>
      <w:r>
        <w:rPr>
          <w:rFonts w:hint="eastAsia" w:ascii="仿宋" w:hAnsi="仿宋" w:eastAsia="仿宋"/>
          <w:color w:val="auto"/>
          <w:sz w:val="24"/>
          <w:szCs w:val="24"/>
          <w:highlight w:val="none"/>
        </w:rPr>
        <w:t>工作。双方遵循平等、自愿、公平和诚实信用的原则，就开展此工作及有关事项协商一致，共同达成如下协议：</w:t>
      </w:r>
    </w:p>
    <w:p w14:paraId="4A04F0A2">
      <w:pPr>
        <w:spacing w:line="360" w:lineRule="auto"/>
        <w:jc w:val="both"/>
        <w:rPr>
          <w:rFonts w:ascii="仿宋" w:hAnsi="仿宋" w:eastAsia="仿宋"/>
          <w:color w:val="auto"/>
          <w:sz w:val="24"/>
          <w:szCs w:val="24"/>
          <w:highlight w:val="none"/>
        </w:rPr>
      </w:pPr>
      <w:r>
        <w:rPr>
          <w:rFonts w:ascii="仿宋" w:hAnsi="仿宋" w:eastAsia="仿宋"/>
          <w:color w:val="auto"/>
          <w:sz w:val="24"/>
          <w:szCs w:val="24"/>
          <w:highlight w:val="none"/>
        </w:rPr>
        <w:t>1.目标任务及要求：</w:t>
      </w:r>
    </w:p>
    <w:p w14:paraId="3A904155">
      <w:pPr>
        <w:spacing w:line="360" w:lineRule="auto"/>
        <w:ind w:firstLine="480" w:firstLineChars="200"/>
        <w:jc w:val="both"/>
        <w:rPr>
          <w:rFonts w:ascii="仿宋" w:hAnsi="仿宋" w:eastAsia="仿宋"/>
          <w:color w:val="auto"/>
          <w:sz w:val="24"/>
          <w:szCs w:val="24"/>
          <w:highlight w:val="none"/>
        </w:rPr>
      </w:pPr>
      <w:r>
        <w:rPr>
          <w:rFonts w:ascii="仿宋" w:hAnsi="仿宋" w:eastAsia="仿宋"/>
          <w:color w:val="auto"/>
          <w:sz w:val="24"/>
          <w:szCs w:val="24"/>
          <w:highlight w:val="none"/>
        </w:rPr>
        <w:t>1.1 项目目标</w:t>
      </w:r>
    </w:p>
    <w:p w14:paraId="4B27227C">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提供</w:t>
      </w:r>
      <w:r>
        <w:rPr>
          <w:rFonts w:hint="eastAsia" w:ascii="仿宋" w:hAnsi="仿宋" w:eastAsia="仿宋"/>
          <w:color w:val="auto"/>
          <w:sz w:val="24"/>
          <w:szCs w:val="24"/>
          <w:highlight w:val="none"/>
          <w:lang w:eastAsia="zh-CN"/>
        </w:rPr>
        <w:t>数字赋能与智慧监管2024年商业光学卫星影像补充</w:t>
      </w:r>
      <w:r>
        <w:rPr>
          <w:rFonts w:hint="eastAsia" w:ascii="仿宋" w:hAnsi="仿宋" w:eastAsia="仿宋"/>
          <w:color w:val="auto"/>
          <w:sz w:val="24"/>
          <w:szCs w:val="24"/>
          <w:highlight w:val="none"/>
        </w:rPr>
        <w:t>工作所需的商业卫星数据及相关数据处理工作</w:t>
      </w:r>
      <w:r>
        <w:rPr>
          <w:rFonts w:ascii="仿宋" w:hAnsi="仿宋" w:eastAsia="仿宋"/>
          <w:color w:val="auto"/>
          <w:sz w:val="24"/>
          <w:szCs w:val="24"/>
          <w:highlight w:val="none"/>
        </w:rPr>
        <w:t>。</w:t>
      </w:r>
    </w:p>
    <w:p w14:paraId="3762C943">
      <w:pPr>
        <w:spacing w:line="360" w:lineRule="auto"/>
        <w:ind w:firstLine="480" w:firstLineChars="200"/>
        <w:jc w:val="both"/>
        <w:rPr>
          <w:rFonts w:ascii="仿宋" w:hAnsi="仿宋" w:eastAsia="仿宋"/>
          <w:color w:val="auto"/>
          <w:sz w:val="24"/>
          <w:szCs w:val="24"/>
          <w:highlight w:val="none"/>
        </w:rPr>
      </w:pPr>
      <w:r>
        <w:rPr>
          <w:rFonts w:ascii="仿宋" w:hAnsi="仿宋" w:eastAsia="仿宋"/>
          <w:color w:val="auto"/>
          <w:sz w:val="24"/>
          <w:szCs w:val="24"/>
          <w:highlight w:val="none"/>
        </w:rPr>
        <w:t>1.2 项目任务</w:t>
      </w:r>
    </w:p>
    <w:p w14:paraId="3870EF8F">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根据“江苏南水北调东线湖网地区山水林田湖草沙一体化保护和修复工程”子项目”数字赋能与智慧监管项目”工作部署，需开展工程实施相关区域的自然资源和生态状况变化监测工作。由于现有国产公益光学卫星影像无法满足高频次、高分辨率遥感监测工作需求，经对公益光学卫星影像覆盖范围和拍摄频次、监测需求进行充分评估，需要补充采购0.5米分辨率光学卫星影像164,000</w:t>
      </w:r>
      <w:r>
        <w:rPr>
          <w:rFonts w:hint="eastAsia" w:ascii="仿宋" w:hAnsi="仿宋" w:eastAsia="仿宋" w:cs="仿宋"/>
          <w:color w:val="auto"/>
          <w:sz w:val="24"/>
          <w:szCs w:val="24"/>
          <w:highlight w:val="none"/>
        </w:rPr>
        <w:t>km</w:t>
      </w:r>
      <w:r>
        <w:rPr>
          <w:rFonts w:hint="eastAsia" w:ascii="仿宋" w:hAnsi="仿宋" w:eastAsia="仿宋" w:cs="仿宋"/>
          <w:color w:val="auto"/>
          <w:sz w:val="24"/>
          <w:szCs w:val="24"/>
          <w:highlight w:val="none"/>
          <w:vertAlign w:val="superscript"/>
        </w:rPr>
        <w:t>2</w:t>
      </w:r>
      <w:r>
        <w:rPr>
          <w:rFonts w:hint="eastAsia" w:ascii="仿宋" w:hAnsi="仿宋" w:eastAsia="仿宋"/>
          <w:color w:val="auto"/>
          <w:sz w:val="24"/>
          <w:szCs w:val="24"/>
          <w:highlight w:val="none"/>
        </w:rPr>
        <w:t>和优于3米8波段商业光学卫星影像219,000</w:t>
      </w:r>
      <w:r>
        <w:rPr>
          <w:rFonts w:hint="eastAsia" w:ascii="仿宋" w:hAnsi="仿宋" w:eastAsia="仿宋" w:cs="仿宋"/>
          <w:color w:val="auto"/>
          <w:sz w:val="24"/>
          <w:szCs w:val="24"/>
          <w:highlight w:val="none"/>
        </w:rPr>
        <w:t>km</w:t>
      </w:r>
      <w:r>
        <w:rPr>
          <w:rFonts w:hint="eastAsia" w:ascii="仿宋" w:hAnsi="仿宋" w:eastAsia="仿宋" w:cs="仿宋"/>
          <w:color w:val="auto"/>
          <w:sz w:val="24"/>
          <w:szCs w:val="24"/>
          <w:highlight w:val="none"/>
          <w:vertAlign w:val="superscript"/>
        </w:rPr>
        <w:t>2</w:t>
      </w:r>
      <w:r>
        <w:rPr>
          <w:rFonts w:hint="eastAsia" w:ascii="仿宋" w:hAnsi="仿宋" w:eastAsia="仿宋" w:cs="仿宋"/>
          <w:color w:val="auto"/>
          <w:sz w:val="24"/>
          <w:szCs w:val="24"/>
          <w:highlight w:val="none"/>
        </w:rPr>
        <w:t>，并对</w:t>
      </w:r>
      <w:r>
        <w:rPr>
          <w:rFonts w:hint="eastAsia" w:ascii="仿宋" w:hAnsi="仿宋" w:eastAsia="仿宋"/>
          <w:color w:val="auto"/>
          <w:sz w:val="24"/>
          <w:szCs w:val="24"/>
          <w:highlight w:val="none"/>
        </w:rPr>
        <w:t>上述卫星影像进行辐射校正、融合、正射校正、拼接镶嵌、图像增强及匀色</w:t>
      </w:r>
      <w:r>
        <w:rPr>
          <w:rFonts w:ascii="仿宋" w:hAnsi="仿宋" w:eastAsia="仿宋"/>
          <w:color w:val="auto"/>
          <w:sz w:val="24"/>
          <w:szCs w:val="24"/>
          <w:highlight w:val="none"/>
        </w:rPr>
        <w:t>处理</w:t>
      </w:r>
      <w:r>
        <w:rPr>
          <w:rFonts w:hint="eastAsia" w:ascii="仿宋" w:hAnsi="仿宋" w:eastAsia="仿宋"/>
          <w:color w:val="auto"/>
          <w:sz w:val="24"/>
          <w:szCs w:val="24"/>
          <w:highlight w:val="none"/>
        </w:rPr>
        <w:t>。具体工作量如下：</w:t>
      </w:r>
    </w:p>
    <w:p w14:paraId="5FA3110C">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（1）根据”数字赋能与智慧监管项目”所涉区域自然资源变化监测需求，按季度获取扬州、准安、宿迁、徐州4市0.5米分辨率光学卫星影像，用于自然资源精细化识别，共补充4期。</w:t>
      </w:r>
    </w:p>
    <w:p w14:paraId="0DD1D9DF">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（2）根据”数字赋能与智慧监管项目”所涉区域工业企业污染物排放监测需求，按双月度获取扬州、淮安、宿迁、徐州4市3米8波段多光谱光学卫星影像，共补充6期。</w:t>
      </w:r>
    </w:p>
    <w:p w14:paraId="469FF1B0">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（3）根据”数字赋能与智慧监管项目”对各子项目实施进展的监测需求，按月度获取30个有地面工程的子子项目所在区域0.5米分辨率光学卫星影像，共补充8期。</w:t>
      </w:r>
    </w:p>
    <w:p w14:paraId="0107D731">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（4）根据”数字赋能与智慧监管项目”对海岸带重点区域的监测需求，按双月度获取23条大、中型河流入海口区域0.5米分辨率光学卫星影像，共补充6期。</w:t>
      </w:r>
    </w:p>
    <w:p w14:paraId="24D715A5">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（5）对上述卫星影像完成技术处理工作（包含辐射校正、融合、正射校正、拼接镶嵌、图像增强及匀色）。</w:t>
      </w:r>
    </w:p>
    <w:p w14:paraId="6A66202D">
      <w:pPr>
        <w:spacing w:line="360" w:lineRule="auto"/>
        <w:ind w:firstLine="480" w:firstLineChars="200"/>
        <w:jc w:val="both"/>
        <w:rPr>
          <w:rFonts w:ascii="仿宋" w:hAnsi="仿宋" w:eastAsia="仿宋"/>
          <w:color w:val="auto"/>
          <w:sz w:val="24"/>
          <w:szCs w:val="24"/>
          <w:highlight w:val="none"/>
        </w:rPr>
      </w:pPr>
      <w:r>
        <w:rPr>
          <w:rFonts w:ascii="仿宋" w:hAnsi="仿宋" w:eastAsia="仿宋"/>
          <w:color w:val="auto"/>
          <w:sz w:val="24"/>
          <w:szCs w:val="24"/>
          <w:highlight w:val="none"/>
        </w:rPr>
        <w:t xml:space="preserve">1.3 </w:t>
      </w:r>
      <w:r>
        <w:rPr>
          <w:rFonts w:hint="eastAsia" w:ascii="仿宋" w:hAnsi="仿宋" w:eastAsia="仿宋"/>
          <w:color w:val="auto"/>
          <w:sz w:val="24"/>
          <w:szCs w:val="24"/>
          <w:highlight w:val="none"/>
        </w:rPr>
        <w:t>卫星影像质量要求</w:t>
      </w:r>
    </w:p>
    <w:p w14:paraId="6AED3D64">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（1）分辨率要求：分辨率满足采购需求；</w:t>
      </w:r>
    </w:p>
    <w:p w14:paraId="2A592229">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（2）影像质量：影像清晰，色彩、反差适中，无明显噪声。数据不应有影响地物判读的掉线、大范围的光谱溢出、波段不匹配等质量问题。</w:t>
      </w:r>
    </w:p>
    <w:p w14:paraId="38804A0C">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（3）边界覆盖：影像范围保证覆盖摄区，相邻数据有不小于10％的重叠区，任务区边界数据须向外延伸不少于500米。</w:t>
      </w:r>
    </w:p>
    <w:p w14:paraId="2CA58F51">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4）云、雪和雾规定：每景数据云、雪覆盖面积小于10％。云、雪超标或落在重点区域，以及雾覆盖下的地物无法判别时乙方应免费更换该区域数据。应急补充阶段，单景云、雪覆盖量可适当放宽，需保证漏洞区域内无遮挡。</w:t>
      </w:r>
    </w:p>
    <w:p w14:paraId="6677F1E9">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（5）频次要求：0.5米分辨率数据采集的卫星要求同一地区拍摄重访能力优于3天；优于3米8波段的影像采用搭载相同传感器的多颗卫星联合拍摄，对同一地区拍摄重访能力优于1天（含）。</w:t>
      </w:r>
    </w:p>
    <w:p w14:paraId="22886F88">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1.4 卫星影像获取时间要求</w:t>
      </w:r>
    </w:p>
    <w:p w14:paraId="672B7FDB">
      <w:pPr>
        <w:spacing w:line="360" w:lineRule="auto"/>
        <w:ind w:left="480" w:leftChars="240"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202</w:t>
      </w:r>
      <w:r>
        <w:rPr>
          <w:rFonts w:ascii="仿宋" w:hAnsi="仿宋" w:eastAsia="仿宋"/>
          <w:color w:val="auto"/>
          <w:sz w:val="24"/>
          <w:szCs w:val="24"/>
          <w:highlight w:val="none"/>
        </w:rPr>
        <w:t>4</w:t>
      </w:r>
      <w:r>
        <w:rPr>
          <w:rFonts w:hint="eastAsia" w:ascii="仿宋" w:hAnsi="仿宋" w:eastAsia="仿宋"/>
          <w:color w:val="auto"/>
          <w:sz w:val="24"/>
          <w:szCs w:val="24"/>
          <w:highlight w:val="none"/>
        </w:rPr>
        <w:t>年6月至202</w:t>
      </w:r>
      <w:r>
        <w:rPr>
          <w:rFonts w:ascii="仿宋" w:hAnsi="仿宋" w:eastAsia="仿宋"/>
          <w:color w:val="auto"/>
          <w:sz w:val="24"/>
          <w:szCs w:val="24"/>
          <w:highlight w:val="none"/>
        </w:rPr>
        <w:t>5</w:t>
      </w:r>
      <w:r>
        <w:rPr>
          <w:rFonts w:hint="eastAsia" w:ascii="仿宋" w:hAnsi="仿宋" w:eastAsia="仿宋"/>
          <w:color w:val="auto"/>
          <w:sz w:val="24"/>
          <w:szCs w:val="24"/>
          <w:highlight w:val="none"/>
        </w:rPr>
        <w:t>年</w:t>
      </w:r>
      <w:r>
        <w:rPr>
          <w:rFonts w:hint="eastAsia" w:ascii="仿宋" w:hAnsi="仿宋" w:eastAsia="仿宋"/>
          <w:color w:val="auto"/>
          <w:sz w:val="24"/>
          <w:szCs w:val="24"/>
          <w:highlight w:val="none"/>
          <w:lang w:val="en-US" w:eastAsia="zh-CN"/>
        </w:rPr>
        <w:t>6</w:t>
      </w:r>
      <w:r>
        <w:rPr>
          <w:rFonts w:hint="eastAsia" w:ascii="仿宋" w:hAnsi="仿宋" w:eastAsia="仿宋"/>
          <w:color w:val="auto"/>
          <w:sz w:val="24"/>
          <w:szCs w:val="24"/>
          <w:highlight w:val="none"/>
        </w:rPr>
        <w:t>月。</w:t>
      </w:r>
    </w:p>
    <w:p w14:paraId="0AD4F165">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1.5 卫星影像技术处理要求</w:t>
      </w:r>
    </w:p>
    <w:p w14:paraId="263D5455">
      <w:pPr>
        <w:spacing w:line="360" w:lineRule="auto"/>
        <w:ind w:firstLine="480" w:firstLineChars="200"/>
        <w:jc w:val="both"/>
        <w:rPr>
          <w:rFonts w:ascii="仿宋" w:hAnsi="仿宋" w:eastAsia="仿宋"/>
          <w:color w:val="auto"/>
          <w:sz w:val="24"/>
          <w:szCs w:val="24"/>
          <w:highlight w:val="none"/>
        </w:rPr>
      </w:pPr>
      <w:bookmarkStart w:id="224" w:name="_Hlk178421857"/>
      <w:r>
        <w:rPr>
          <w:rFonts w:hint="eastAsia" w:ascii="仿宋" w:hAnsi="仿宋" w:eastAsia="仿宋"/>
          <w:color w:val="auto"/>
          <w:sz w:val="24"/>
          <w:szCs w:val="24"/>
          <w:highlight w:val="none"/>
        </w:rPr>
        <w:t>（1）</w:t>
      </w:r>
      <w:bookmarkEnd w:id="224"/>
      <w:r>
        <w:rPr>
          <w:rFonts w:hint="eastAsia" w:ascii="仿宋" w:hAnsi="仿宋" w:eastAsia="仿宋"/>
          <w:color w:val="auto"/>
          <w:sz w:val="24"/>
          <w:szCs w:val="24"/>
          <w:highlight w:val="none"/>
        </w:rPr>
        <w:t>卫星遥感影像辐射校正后，因辐射误差而引起的影像畸变现象得到明显改善，使得相对稳定的同名地物的辐射值在不同时相遥感图像上较为相近。</w:t>
      </w:r>
    </w:p>
    <w:p w14:paraId="19D913E7">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（2）影像融合处理后，要求不存在地物错位、重影、模糊、光谱明显变异现象。</w:t>
      </w:r>
    </w:p>
    <w:p w14:paraId="37DD4249">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（3）卫星遥感影像正射校正处理后，地物无扭曲、变形，平面定位精度要求为：0.5米分辨率数据校正后优于1.5米；优于3米8波段数据校正后优于5米。</w:t>
      </w:r>
    </w:p>
    <w:p w14:paraId="3E44BB4B">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（4）镶嵌拼接后影像应保持整体色调的过渡均匀连贯，同时检查融合影像纹理及色彩信息是否丰富，有无细节损失，层次深度是否足够。</w:t>
      </w:r>
    </w:p>
    <w:p w14:paraId="6DD1FEBD">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（5）图像增强处理后的影像要达到灰阶分布具有较大动态范围，纹理清晰、色调均匀、反差适中，色彩接近自然真彩色，可以清晰判别各种地类类型。</w:t>
      </w:r>
    </w:p>
    <w:p w14:paraId="2C269857">
      <w:pPr>
        <w:spacing w:line="360" w:lineRule="auto"/>
        <w:ind w:firstLine="480"/>
        <w:jc w:val="both"/>
        <w:rPr>
          <w:rFonts w:ascii="仿宋" w:hAnsi="仿宋" w:eastAsia="仿宋"/>
          <w:color w:val="auto"/>
          <w:sz w:val="24"/>
          <w:szCs w:val="24"/>
          <w:highlight w:val="none"/>
        </w:rPr>
      </w:pPr>
      <w:r>
        <w:rPr>
          <w:rFonts w:hint="eastAsia" w:ascii="仿宋" w:hAnsi="仿宋" w:eastAsia="仿宋"/>
          <w:color w:val="auto"/>
          <w:sz w:val="24"/>
          <w:szCs w:val="24"/>
          <w:highlight w:val="none"/>
        </w:rPr>
        <w:t>（6）图像匀色处理后，要求整体亮度要适中、地物细节清晰可辨，且小范围内同种地物应具有接近一致的色调，需保持一致性。</w:t>
      </w:r>
    </w:p>
    <w:p w14:paraId="5FAF08DC">
      <w:pPr>
        <w:spacing w:line="360" w:lineRule="auto"/>
        <w:ind w:firstLine="480" w:firstLineChars="200"/>
        <w:jc w:val="both"/>
        <w:rPr>
          <w:rFonts w:ascii="仿宋" w:hAnsi="仿宋" w:eastAsia="仿宋"/>
          <w:color w:val="auto"/>
          <w:sz w:val="24"/>
          <w:szCs w:val="24"/>
          <w:highlight w:val="none"/>
        </w:rPr>
      </w:pPr>
      <w:r>
        <w:rPr>
          <w:rFonts w:ascii="仿宋" w:hAnsi="仿宋" w:eastAsia="仿宋"/>
          <w:color w:val="auto"/>
          <w:sz w:val="24"/>
          <w:szCs w:val="24"/>
          <w:highlight w:val="none"/>
        </w:rPr>
        <w:t>2.过程控制</w:t>
      </w:r>
    </w:p>
    <w:p w14:paraId="58F3D628">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甲方实行跟踪质量管理，乙方在项目实施过程中，甲方组织人员对乙方各个工作环节进行质量检查，对于对每次交付影像质量等进行中期检查，乙方完成所有项目任务之后，甲方组织专家进行项目成果验收并进行质量评价，总体要求达到优良级。</w:t>
      </w:r>
    </w:p>
    <w:p w14:paraId="1D6BAE80">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2.1 乙方必须严格执行由甲方项目组提出的多项技术和时间要求。</w:t>
      </w:r>
    </w:p>
    <w:p w14:paraId="4712228A">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2.2 在项目实施过程中，乙方必需严格执行有关安全操作规范，不得出现任何违法、违章现象，一旦出现，所有责任均由中标单位承担。</w:t>
      </w:r>
    </w:p>
    <w:p w14:paraId="1DC3F142">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2.3 乙方需协助甲方做好甲方项目组跟踪检查、项目中期检查以及项目成果验收工作。</w:t>
      </w:r>
    </w:p>
    <w:p w14:paraId="010B44C0">
      <w:pPr>
        <w:spacing w:line="360" w:lineRule="auto"/>
        <w:ind w:firstLine="482" w:firstLineChars="200"/>
        <w:jc w:val="both"/>
        <w:rPr>
          <w:rFonts w:ascii="仿宋" w:hAnsi="仿宋" w:eastAsia="仿宋"/>
          <w:b/>
          <w:color w:val="auto"/>
          <w:sz w:val="24"/>
          <w:szCs w:val="24"/>
          <w:highlight w:val="none"/>
        </w:rPr>
      </w:pPr>
      <w:r>
        <w:rPr>
          <w:rFonts w:ascii="仿宋" w:hAnsi="仿宋" w:eastAsia="仿宋"/>
          <w:b/>
          <w:color w:val="auto"/>
          <w:sz w:val="24"/>
          <w:szCs w:val="24"/>
          <w:highlight w:val="none"/>
        </w:rPr>
        <w:t>3.成果要求及提交</w:t>
      </w:r>
    </w:p>
    <w:p w14:paraId="28593013">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3.1 影像成果数据：0.5米分辨率光学卫星正射影像不少于164,000</w:t>
      </w:r>
      <w:r>
        <w:rPr>
          <w:rFonts w:hint="eastAsia" w:ascii="仿宋" w:hAnsi="仿宋" w:eastAsia="仿宋" w:cs="仿宋"/>
          <w:color w:val="auto"/>
          <w:sz w:val="24"/>
          <w:szCs w:val="24"/>
          <w:highlight w:val="none"/>
        </w:rPr>
        <w:t>km</w:t>
      </w:r>
      <w:r>
        <w:rPr>
          <w:rFonts w:hint="eastAsia" w:ascii="仿宋" w:hAnsi="仿宋" w:eastAsia="仿宋" w:cs="仿宋"/>
          <w:color w:val="auto"/>
          <w:sz w:val="24"/>
          <w:szCs w:val="24"/>
          <w:highlight w:val="none"/>
          <w:vertAlign w:val="superscript"/>
        </w:rPr>
        <w:t>2</w:t>
      </w:r>
      <w:r>
        <w:rPr>
          <w:rFonts w:hint="eastAsia" w:ascii="仿宋" w:hAnsi="仿宋" w:eastAsia="仿宋"/>
          <w:color w:val="auto"/>
          <w:sz w:val="24"/>
          <w:szCs w:val="24"/>
          <w:highlight w:val="none"/>
        </w:rPr>
        <w:t>；优于3米8波段的光学卫星正射影像不少于219,000</w:t>
      </w:r>
      <w:r>
        <w:rPr>
          <w:rFonts w:hint="eastAsia" w:ascii="仿宋" w:hAnsi="仿宋" w:eastAsia="仿宋" w:cs="仿宋"/>
          <w:color w:val="auto"/>
          <w:sz w:val="24"/>
          <w:szCs w:val="24"/>
          <w:highlight w:val="none"/>
        </w:rPr>
        <w:t>km</w:t>
      </w:r>
      <w:r>
        <w:rPr>
          <w:rFonts w:hint="eastAsia" w:ascii="仿宋" w:hAnsi="仿宋" w:eastAsia="仿宋" w:cs="仿宋"/>
          <w:color w:val="auto"/>
          <w:sz w:val="24"/>
          <w:szCs w:val="24"/>
          <w:highlight w:val="none"/>
          <w:vertAlign w:val="superscript"/>
        </w:rPr>
        <w:t>2</w:t>
      </w:r>
      <w:r>
        <w:rPr>
          <w:rFonts w:hint="eastAsia" w:ascii="仿宋" w:hAnsi="仿宋" w:eastAsia="仿宋"/>
          <w:color w:val="auto"/>
          <w:sz w:val="24"/>
          <w:szCs w:val="24"/>
          <w:highlight w:val="none"/>
        </w:rPr>
        <w:t>；</w:t>
      </w:r>
    </w:p>
    <w:p w14:paraId="009616D5">
      <w:pPr>
        <w:spacing w:line="360" w:lineRule="auto"/>
        <w:ind w:firstLine="480" w:firstLineChars="200"/>
        <w:jc w:val="both"/>
        <w:rPr>
          <w:rFonts w:eastAsia="仿宋"/>
          <w:color w:val="auto"/>
          <w:sz w:val="24"/>
          <w:szCs w:val="24"/>
          <w:highlight w:val="none"/>
        </w:rPr>
      </w:pPr>
      <w:r>
        <w:rPr>
          <w:rFonts w:hint="eastAsia" w:ascii="仿宋" w:hAnsi="仿宋" w:eastAsia="仿宋"/>
          <w:color w:val="auto"/>
          <w:sz w:val="24"/>
          <w:szCs w:val="24"/>
          <w:highlight w:val="none"/>
        </w:rPr>
        <w:t>3.2 影像格式：TIF等通用标准格式；</w:t>
      </w:r>
    </w:p>
    <w:p w14:paraId="18F6A4C3">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3.3 提供质量检查报告等纸质资料。</w:t>
      </w:r>
    </w:p>
    <w:p w14:paraId="491B9196">
      <w:pPr>
        <w:spacing w:line="360" w:lineRule="auto"/>
        <w:ind w:firstLine="480" w:firstLineChars="200"/>
        <w:jc w:val="both"/>
        <w:rPr>
          <w:rFonts w:ascii="仿宋" w:hAnsi="仿宋" w:eastAsia="仿宋"/>
          <w:color w:val="auto"/>
          <w:sz w:val="24"/>
          <w:szCs w:val="24"/>
          <w:highlight w:val="none"/>
        </w:rPr>
      </w:pPr>
      <w:r>
        <w:rPr>
          <w:rFonts w:ascii="仿宋" w:hAnsi="仿宋" w:eastAsia="仿宋"/>
          <w:color w:val="auto"/>
          <w:sz w:val="24"/>
          <w:szCs w:val="24"/>
          <w:highlight w:val="none"/>
        </w:rPr>
        <w:t>3.4</w:t>
      </w:r>
      <w:r>
        <w:rPr>
          <w:rFonts w:hint="eastAsia" w:ascii="仿宋" w:hAnsi="仿宋" w:eastAsia="仿宋"/>
          <w:color w:val="auto"/>
          <w:sz w:val="24"/>
          <w:szCs w:val="24"/>
          <w:highlight w:val="none"/>
        </w:rPr>
        <w:t xml:space="preserve"> </w:t>
      </w:r>
      <w:r>
        <w:rPr>
          <w:rFonts w:ascii="仿宋" w:hAnsi="仿宋" w:eastAsia="仿宋"/>
          <w:color w:val="auto"/>
          <w:sz w:val="24"/>
          <w:szCs w:val="24"/>
          <w:highlight w:val="none"/>
        </w:rPr>
        <w:t>交付时间</w:t>
      </w:r>
    </w:p>
    <w:p w14:paraId="6D757174">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甲方将根据监测需求分批次提交指定区域范围及指定监测时间，所需影像应在提交需求以后7个工作日</w:t>
      </w:r>
      <w:r>
        <w:rPr>
          <w:rFonts w:hint="eastAsia" w:ascii="仿宋" w:hAnsi="仿宋" w:eastAsia="仿宋"/>
          <w:color w:val="auto"/>
          <w:sz w:val="24"/>
          <w:szCs w:val="24"/>
          <w:highlight w:val="none"/>
          <w:lang w:val="en-US" w:eastAsia="zh-CN"/>
        </w:rPr>
        <w:t>开始</w:t>
      </w:r>
      <w:r>
        <w:rPr>
          <w:rFonts w:hint="eastAsia" w:ascii="仿宋" w:hAnsi="仿宋" w:eastAsia="仿宋"/>
          <w:color w:val="auto"/>
          <w:sz w:val="24"/>
          <w:szCs w:val="24"/>
          <w:highlight w:val="none"/>
        </w:rPr>
        <w:t>交付，全部影像交付不晚于2025年7月底。</w:t>
      </w:r>
    </w:p>
    <w:p w14:paraId="27B6AD6B">
      <w:pPr>
        <w:spacing w:line="360" w:lineRule="auto"/>
        <w:ind w:firstLine="482" w:firstLineChars="200"/>
        <w:jc w:val="both"/>
        <w:rPr>
          <w:rFonts w:ascii="仿宋" w:hAnsi="仿宋" w:eastAsia="仿宋"/>
          <w:b/>
          <w:color w:val="auto"/>
          <w:sz w:val="24"/>
          <w:szCs w:val="24"/>
          <w:highlight w:val="none"/>
        </w:rPr>
      </w:pPr>
      <w:r>
        <w:rPr>
          <w:rFonts w:ascii="仿宋" w:hAnsi="仿宋" w:eastAsia="仿宋"/>
          <w:b/>
          <w:color w:val="auto"/>
          <w:sz w:val="24"/>
          <w:szCs w:val="24"/>
          <w:highlight w:val="none"/>
        </w:rPr>
        <w:t>4.双方责任</w:t>
      </w:r>
    </w:p>
    <w:p w14:paraId="2627BA23">
      <w:pPr>
        <w:spacing w:line="360" w:lineRule="auto"/>
        <w:ind w:firstLine="480" w:firstLineChars="200"/>
        <w:jc w:val="both"/>
        <w:rPr>
          <w:rFonts w:ascii="仿宋" w:hAnsi="仿宋" w:eastAsia="仿宋"/>
          <w:color w:val="auto"/>
          <w:sz w:val="24"/>
          <w:szCs w:val="24"/>
          <w:highlight w:val="none"/>
        </w:rPr>
      </w:pPr>
      <w:bookmarkStart w:id="225" w:name="_Hlk178423228"/>
      <w:r>
        <w:rPr>
          <w:rFonts w:hint="eastAsia" w:ascii="仿宋" w:hAnsi="仿宋" w:eastAsia="仿宋"/>
          <w:color w:val="auto"/>
          <w:sz w:val="24"/>
          <w:szCs w:val="24"/>
          <w:highlight w:val="none"/>
        </w:rPr>
        <w:t>4.1乙方责任主要包括以下方面：</w:t>
      </w:r>
    </w:p>
    <w:p w14:paraId="3CE64550">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（1）按照第1、2、3条要求，完成相关工作任务、确保工作质量、按时提交成果,配合完成甲方提出的合理范围内的其它相关协作工作。</w:t>
      </w:r>
    </w:p>
    <w:p w14:paraId="5D1CA981">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（2）协助甲方做好“数字赋能与智慧监管项目”相关的跟踪检查、中期检查、成果验收及项目审计等工作，项目验收时提供第三方审计报告。</w:t>
      </w:r>
    </w:p>
    <w:p w14:paraId="2F9F9D12">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4.2甲方责任主要包括以下方面：</w:t>
      </w:r>
    </w:p>
    <w:p w14:paraId="195981E6">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（1）及时提供乙方需要的并且是甲方掌握的与项目工作相关的资料。</w:t>
      </w:r>
    </w:p>
    <w:p w14:paraId="19D91D8A">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（2）组织确认、审查、验收乙方提交的成果。</w:t>
      </w:r>
    </w:p>
    <w:p w14:paraId="394EE776">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（3）按照合同要求及时向乙方支付合同款。</w:t>
      </w:r>
      <w:bookmarkEnd w:id="225"/>
    </w:p>
    <w:p w14:paraId="231279C7">
      <w:pPr>
        <w:spacing w:line="360" w:lineRule="auto"/>
        <w:ind w:firstLine="482" w:firstLineChars="200"/>
        <w:jc w:val="both"/>
        <w:rPr>
          <w:rFonts w:ascii="仿宋" w:hAnsi="仿宋" w:eastAsia="仿宋"/>
          <w:b/>
          <w:color w:val="auto"/>
          <w:sz w:val="24"/>
          <w:szCs w:val="24"/>
          <w:highlight w:val="none"/>
        </w:rPr>
      </w:pPr>
      <w:r>
        <w:rPr>
          <w:rFonts w:ascii="仿宋" w:hAnsi="仿宋" w:eastAsia="仿宋"/>
          <w:b/>
          <w:color w:val="auto"/>
          <w:sz w:val="24"/>
          <w:szCs w:val="24"/>
          <w:highlight w:val="none"/>
        </w:rPr>
        <w:t>5.合同价格：</w:t>
      </w:r>
    </w:p>
    <w:p w14:paraId="16D68DF4">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工作经费</w:t>
      </w:r>
      <w:r>
        <w:rPr>
          <w:rFonts w:ascii="仿宋" w:hAnsi="仿宋" w:eastAsia="仿宋"/>
          <w:color w:val="auto"/>
          <w:sz w:val="24"/>
          <w:szCs w:val="24"/>
          <w:highlight w:val="none"/>
        </w:rPr>
        <w:t>实行总承包，根据</w:t>
      </w:r>
      <w:r>
        <w:rPr>
          <w:rFonts w:hint="eastAsia" w:ascii="仿宋" w:hAnsi="仿宋" w:eastAsia="仿宋"/>
          <w:color w:val="auto"/>
          <w:sz w:val="24"/>
          <w:szCs w:val="24"/>
          <w:highlight w:val="none"/>
        </w:rPr>
        <w:t>《数字赋能与智慧监管项目（国家山水工程）202</w:t>
      </w:r>
      <w:r>
        <w:rPr>
          <w:rFonts w:ascii="仿宋" w:hAnsi="仿宋" w:eastAsia="仿宋"/>
          <w:color w:val="auto"/>
          <w:sz w:val="24"/>
          <w:szCs w:val="24"/>
          <w:highlight w:val="none"/>
        </w:rPr>
        <w:t>4</w:t>
      </w:r>
      <w:r>
        <w:rPr>
          <w:rFonts w:hint="eastAsia" w:ascii="仿宋" w:hAnsi="仿宋" w:eastAsia="仿宋"/>
          <w:color w:val="auto"/>
          <w:sz w:val="24"/>
          <w:szCs w:val="24"/>
          <w:highlight w:val="none"/>
        </w:rPr>
        <w:t>年商业光学卫星影像补充》项目设计预算，各项任务总</w:t>
      </w:r>
      <w:r>
        <w:rPr>
          <w:rFonts w:ascii="仿宋" w:hAnsi="仿宋" w:eastAsia="仿宋"/>
          <w:color w:val="auto"/>
          <w:sz w:val="24"/>
          <w:szCs w:val="24"/>
          <w:highlight w:val="none"/>
        </w:rPr>
        <w:t>费用</w:t>
      </w:r>
      <w:r>
        <w:rPr>
          <w:rFonts w:hint="eastAsia" w:ascii="仿宋" w:hAnsi="仿宋" w:eastAsia="仿宋"/>
          <w:color w:val="auto"/>
          <w:sz w:val="24"/>
          <w:szCs w:val="24"/>
          <w:highlight w:val="none"/>
        </w:rPr>
        <w:t>*****元整（￥***万元）。</w:t>
      </w:r>
    </w:p>
    <w:p w14:paraId="40108822">
      <w:pPr>
        <w:spacing w:line="360" w:lineRule="auto"/>
        <w:ind w:firstLine="482" w:firstLineChars="200"/>
        <w:jc w:val="both"/>
        <w:rPr>
          <w:rFonts w:ascii="仿宋" w:hAnsi="仿宋" w:eastAsia="仿宋"/>
          <w:b/>
          <w:color w:val="auto"/>
          <w:sz w:val="24"/>
          <w:szCs w:val="24"/>
          <w:highlight w:val="none"/>
        </w:rPr>
      </w:pPr>
      <w:r>
        <w:rPr>
          <w:rFonts w:ascii="仿宋" w:hAnsi="仿宋" w:eastAsia="仿宋"/>
          <w:b/>
          <w:color w:val="auto"/>
          <w:sz w:val="24"/>
          <w:szCs w:val="24"/>
          <w:highlight w:val="none"/>
        </w:rPr>
        <w:t>6.支付条款：</w:t>
      </w:r>
    </w:p>
    <w:p w14:paraId="5543468F">
      <w:pPr>
        <w:tabs>
          <w:tab w:val="left" w:pos="1080"/>
        </w:tabs>
        <w:spacing w:line="360" w:lineRule="auto"/>
        <w:ind w:firstLine="480"/>
        <w:jc w:val="both"/>
        <w:rPr>
          <w:rFonts w:ascii="仿宋" w:hAnsi="仿宋" w:eastAsia="仿宋"/>
          <w:color w:val="auto"/>
          <w:sz w:val="24"/>
          <w:szCs w:val="24"/>
          <w:highlight w:val="none"/>
        </w:rPr>
      </w:pPr>
      <w:bookmarkStart w:id="226" w:name="_Hlk178421937"/>
      <w:r>
        <w:rPr>
          <w:rFonts w:hint="eastAsia" w:ascii="仿宋" w:hAnsi="仿宋" w:eastAsia="仿宋"/>
          <w:color w:val="auto"/>
          <w:sz w:val="24"/>
          <w:szCs w:val="24"/>
          <w:highlight w:val="none"/>
        </w:rPr>
        <w:t>甲乙双方签订合同后，乙方按照工作总经费的</w:t>
      </w:r>
      <w:r>
        <w:rPr>
          <w:rFonts w:ascii="仿宋" w:hAnsi="仿宋" w:eastAsia="仿宋"/>
          <w:color w:val="auto"/>
          <w:sz w:val="24"/>
          <w:szCs w:val="24"/>
          <w:highlight w:val="none"/>
        </w:rPr>
        <w:t>10%</w:t>
      </w:r>
      <w:r>
        <w:rPr>
          <w:rFonts w:hint="eastAsia" w:ascii="仿宋" w:hAnsi="仿宋" w:eastAsia="仿宋"/>
          <w:color w:val="auto"/>
          <w:sz w:val="24"/>
          <w:szCs w:val="24"/>
          <w:highlight w:val="none"/>
        </w:rPr>
        <w:t>作为履约保证金支付给甲方。</w:t>
      </w:r>
    </w:p>
    <w:bookmarkEnd w:id="226"/>
    <w:p w14:paraId="10F6BD5C">
      <w:pPr>
        <w:tabs>
          <w:tab w:val="left" w:pos="1080"/>
        </w:tabs>
        <w:spacing w:line="360" w:lineRule="auto"/>
        <w:ind w:firstLine="480"/>
        <w:jc w:val="both"/>
        <w:rPr>
          <w:rFonts w:ascii="仿宋" w:hAnsi="仿宋" w:eastAsia="仿宋"/>
          <w:color w:val="auto"/>
          <w:sz w:val="24"/>
          <w:szCs w:val="24"/>
          <w:highlight w:val="none"/>
        </w:rPr>
      </w:pPr>
      <w:r>
        <w:rPr>
          <w:rFonts w:hint="eastAsia" w:ascii="仿宋" w:hAnsi="仿宋" w:eastAsia="仿宋"/>
          <w:color w:val="auto"/>
          <w:sz w:val="24"/>
          <w:szCs w:val="24"/>
          <w:highlight w:val="none"/>
        </w:rPr>
        <w:t>甲方对乙方的支付分为2次：</w:t>
      </w:r>
    </w:p>
    <w:p w14:paraId="64CB2AFE">
      <w:pPr>
        <w:tabs>
          <w:tab w:val="left" w:pos="1080"/>
        </w:tabs>
        <w:spacing w:line="360" w:lineRule="auto"/>
        <w:ind w:firstLine="480"/>
        <w:jc w:val="both"/>
        <w:rPr>
          <w:rFonts w:ascii="仿宋" w:hAnsi="仿宋" w:eastAsia="仿宋"/>
          <w:color w:val="auto"/>
          <w:sz w:val="24"/>
          <w:szCs w:val="24"/>
          <w:highlight w:val="none"/>
        </w:rPr>
      </w:pPr>
      <w:r>
        <w:rPr>
          <w:rFonts w:ascii="仿宋" w:hAnsi="仿宋" w:eastAsia="仿宋"/>
          <w:color w:val="auto"/>
          <w:sz w:val="24"/>
          <w:szCs w:val="24"/>
          <w:highlight w:val="none"/>
        </w:rPr>
        <w:t>6.1</w:t>
      </w:r>
      <w:r>
        <w:rPr>
          <w:rFonts w:hint="eastAsia" w:ascii="仿宋" w:hAnsi="仿宋" w:eastAsia="仿宋"/>
          <w:color w:val="auto"/>
          <w:sz w:val="24"/>
          <w:szCs w:val="24"/>
          <w:highlight w:val="none"/>
        </w:rPr>
        <w:t>第一次支付：合同签订后一周内，甲方支付合同总价的</w:t>
      </w:r>
      <w:r>
        <w:rPr>
          <w:rFonts w:ascii="仿宋" w:hAnsi="仿宋" w:eastAsia="仿宋"/>
          <w:color w:val="auto"/>
          <w:sz w:val="24"/>
          <w:szCs w:val="24"/>
          <w:highlight w:val="none"/>
        </w:rPr>
        <w:t>60%</w:t>
      </w:r>
      <w:r>
        <w:rPr>
          <w:rFonts w:hint="eastAsia" w:ascii="仿宋" w:hAnsi="仿宋" w:eastAsia="仿宋"/>
          <w:color w:val="auto"/>
          <w:sz w:val="24"/>
          <w:szCs w:val="24"/>
          <w:highlight w:val="none"/>
        </w:rPr>
        <w:t>。</w:t>
      </w:r>
    </w:p>
    <w:p w14:paraId="613D316E">
      <w:pPr>
        <w:tabs>
          <w:tab w:val="left" w:pos="1080"/>
        </w:tabs>
        <w:spacing w:line="360" w:lineRule="auto"/>
        <w:ind w:firstLine="480"/>
        <w:jc w:val="both"/>
        <w:rPr>
          <w:rFonts w:ascii="仿宋" w:hAnsi="仿宋" w:eastAsia="仿宋"/>
          <w:color w:val="auto"/>
          <w:sz w:val="24"/>
          <w:szCs w:val="24"/>
          <w:highlight w:val="none"/>
        </w:rPr>
      </w:pPr>
      <w:r>
        <w:rPr>
          <w:rFonts w:ascii="仿宋" w:hAnsi="仿宋" w:eastAsia="仿宋"/>
          <w:color w:val="auto"/>
          <w:sz w:val="24"/>
          <w:szCs w:val="24"/>
          <w:highlight w:val="none"/>
        </w:rPr>
        <w:t>6.</w:t>
      </w:r>
      <w:r>
        <w:rPr>
          <w:rFonts w:hint="eastAsia" w:ascii="仿宋" w:hAnsi="仿宋" w:eastAsia="仿宋"/>
          <w:color w:val="auto"/>
          <w:sz w:val="24"/>
          <w:szCs w:val="24"/>
          <w:highlight w:val="none"/>
        </w:rPr>
        <w:t>2第二次支付：总工作量完成，通过甲方质量验收后，甲乙双方核算实际总工作经费，结清总工作的余款及履约保证金。</w:t>
      </w:r>
    </w:p>
    <w:p w14:paraId="039E3D07">
      <w:pPr>
        <w:tabs>
          <w:tab w:val="left" w:pos="1080"/>
        </w:tabs>
        <w:spacing w:line="360" w:lineRule="auto"/>
        <w:ind w:firstLine="480"/>
        <w:jc w:val="both"/>
        <w:rPr>
          <w:rFonts w:ascii="仿宋" w:hAnsi="仿宋" w:eastAsia="仿宋"/>
          <w:color w:val="auto"/>
          <w:sz w:val="24"/>
          <w:szCs w:val="24"/>
          <w:highlight w:val="none"/>
        </w:rPr>
      </w:pPr>
      <w:r>
        <w:rPr>
          <w:rFonts w:ascii="仿宋" w:hAnsi="仿宋" w:eastAsia="仿宋"/>
          <w:color w:val="auto"/>
          <w:sz w:val="24"/>
          <w:szCs w:val="24"/>
          <w:highlight w:val="none"/>
        </w:rPr>
        <w:t>6.</w:t>
      </w:r>
      <w:r>
        <w:rPr>
          <w:rFonts w:hint="eastAsia" w:ascii="仿宋" w:hAnsi="仿宋" w:eastAsia="仿宋"/>
          <w:color w:val="auto"/>
          <w:sz w:val="24"/>
          <w:szCs w:val="24"/>
          <w:highlight w:val="none"/>
        </w:rPr>
        <w:t>3在每次支付前，乙方应向甲方提交支付申请、税务发票。经甲方审核无误并办理验收证明后，在</w:t>
      </w:r>
      <w:r>
        <w:rPr>
          <w:rFonts w:ascii="仿宋" w:hAnsi="仿宋" w:eastAsia="仿宋"/>
          <w:color w:val="auto"/>
          <w:sz w:val="24"/>
          <w:szCs w:val="24"/>
          <w:highlight w:val="none"/>
        </w:rPr>
        <w:t>15</w:t>
      </w:r>
      <w:r>
        <w:rPr>
          <w:rFonts w:hint="eastAsia" w:ascii="仿宋" w:hAnsi="仿宋" w:eastAsia="仿宋"/>
          <w:color w:val="auto"/>
          <w:sz w:val="24"/>
          <w:szCs w:val="24"/>
          <w:highlight w:val="none"/>
        </w:rPr>
        <w:t>日内支付相应的款项。</w:t>
      </w:r>
    </w:p>
    <w:p w14:paraId="6897F6E1">
      <w:pPr>
        <w:tabs>
          <w:tab w:val="left" w:pos="1080"/>
        </w:tabs>
        <w:spacing w:line="360" w:lineRule="auto"/>
        <w:ind w:firstLine="480"/>
        <w:jc w:val="both"/>
        <w:rPr>
          <w:rFonts w:ascii="仿宋" w:hAnsi="仿宋" w:eastAsia="仿宋"/>
          <w:color w:val="auto"/>
          <w:sz w:val="24"/>
          <w:szCs w:val="24"/>
          <w:highlight w:val="none"/>
        </w:rPr>
      </w:pPr>
      <w:r>
        <w:rPr>
          <w:rFonts w:ascii="仿宋" w:hAnsi="仿宋" w:eastAsia="仿宋"/>
          <w:color w:val="auto"/>
          <w:sz w:val="24"/>
          <w:szCs w:val="24"/>
          <w:highlight w:val="none"/>
        </w:rPr>
        <w:t>6.</w:t>
      </w:r>
      <w:r>
        <w:rPr>
          <w:rFonts w:hint="eastAsia" w:ascii="仿宋" w:hAnsi="仿宋" w:eastAsia="仿宋"/>
          <w:color w:val="auto"/>
          <w:sz w:val="24"/>
          <w:szCs w:val="24"/>
          <w:highlight w:val="none"/>
        </w:rPr>
        <w:t>4上述合同价款将通过银行汇款按下列账号及地址支付：</w:t>
      </w:r>
    </w:p>
    <w:p w14:paraId="28E6FE91">
      <w:pPr>
        <w:tabs>
          <w:tab w:val="left" w:pos="1080"/>
        </w:tabs>
        <w:spacing w:line="360" w:lineRule="auto"/>
        <w:ind w:firstLine="480"/>
        <w:jc w:val="both"/>
        <w:rPr>
          <w:rFonts w:ascii="仿宋" w:hAnsi="仿宋" w:eastAsia="仿宋"/>
          <w:color w:val="auto"/>
          <w:sz w:val="24"/>
          <w:szCs w:val="24"/>
          <w:highlight w:val="none"/>
        </w:rPr>
      </w:pPr>
      <w:r>
        <w:rPr>
          <w:rFonts w:hint="eastAsia" w:ascii="仿宋" w:hAnsi="仿宋" w:eastAsia="仿宋"/>
          <w:color w:val="auto"/>
          <w:sz w:val="24"/>
          <w:szCs w:val="24"/>
          <w:highlight w:val="none"/>
        </w:rPr>
        <w:t>开户名称：</w:t>
      </w:r>
    </w:p>
    <w:p w14:paraId="40C0B893">
      <w:pPr>
        <w:tabs>
          <w:tab w:val="left" w:pos="1080"/>
        </w:tabs>
        <w:spacing w:line="360" w:lineRule="auto"/>
        <w:ind w:firstLine="480"/>
        <w:jc w:val="both"/>
        <w:rPr>
          <w:rFonts w:ascii="仿宋" w:hAnsi="仿宋" w:eastAsia="仿宋"/>
          <w:color w:val="auto"/>
          <w:sz w:val="24"/>
          <w:szCs w:val="24"/>
          <w:highlight w:val="none"/>
        </w:rPr>
      </w:pPr>
      <w:r>
        <w:rPr>
          <w:rFonts w:hint="eastAsia" w:ascii="仿宋" w:hAnsi="仿宋" w:eastAsia="仿宋"/>
          <w:color w:val="auto"/>
          <w:sz w:val="24"/>
          <w:szCs w:val="24"/>
          <w:highlight w:val="none"/>
        </w:rPr>
        <w:t>开户银行：</w:t>
      </w:r>
    </w:p>
    <w:p w14:paraId="3C75A636">
      <w:pPr>
        <w:tabs>
          <w:tab w:val="left" w:pos="1080"/>
        </w:tabs>
        <w:spacing w:line="360" w:lineRule="auto"/>
        <w:ind w:firstLine="480"/>
        <w:jc w:val="both"/>
        <w:rPr>
          <w:rFonts w:ascii="仿宋" w:hAnsi="仿宋" w:eastAsia="仿宋"/>
          <w:color w:val="auto"/>
          <w:sz w:val="24"/>
          <w:szCs w:val="24"/>
          <w:highlight w:val="none"/>
        </w:rPr>
      </w:pPr>
      <w:r>
        <w:rPr>
          <w:rFonts w:hint="eastAsia" w:ascii="仿宋" w:hAnsi="仿宋" w:eastAsia="仿宋"/>
          <w:color w:val="auto"/>
          <w:sz w:val="24"/>
          <w:szCs w:val="24"/>
          <w:highlight w:val="none"/>
        </w:rPr>
        <w:t>账号：</w:t>
      </w:r>
    </w:p>
    <w:p w14:paraId="0876320C">
      <w:pPr>
        <w:spacing w:line="360" w:lineRule="auto"/>
        <w:ind w:firstLine="482" w:firstLineChars="200"/>
        <w:jc w:val="both"/>
        <w:rPr>
          <w:rFonts w:ascii="仿宋" w:hAnsi="仿宋" w:eastAsia="仿宋"/>
          <w:b/>
          <w:color w:val="auto"/>
          <w:sz w:val="24"/>
          <w:szCs w:val="24"/>
          <w:highlight w:val="none"/>
        </w:rPr>
      </w:pPr>
      <w:r>
        <w:rPr>
          <w:rFonts w:ascii="仿宋" w:hAnsi="仿宋" w:eastAsia="仿宋"/>
          <w:b/>
          <w:color w:val="auto"/>
          <w:sz w:val="24"/>
          <w:szCs w:val="24"/>
          <w:highlight w:val="none"/>
        </w:rPr>
        <w:t>7.合同的变更、解除及终止</w:t>
      </w:r>
    </w:p>
    <w:p w14:paraId="396AB453">
      <w:pPr>
        <w:tabs>
          <w:tab w:val="left" w:pos="1080"/>
        </w:tabs>
        <w:spacing w:line="360" w:lineRule="auto"/>
        <w:ind w:firstLine="480"/>
        <w:jc w:val="both"/>
        <w:rPr>
          <w:rFonts w:ascii="仿宋" w:hAnsi="仿宋" w:eastAsia="仿宋"/>
          <w:color w:val="auto"/>
          <w:sz w:val="24"/>
          <w:szCs w:val="24"/>
          <w:highlight w:val="none"/>
        </w:rPr>
      </w:pPr>
      <w:r>
        <w:rPr>
          <w:rFonts w:ascii="仿宋" w:hAnsi="仿宋" w:eastAsia="仿宋"/>
          <w:color w:val="auto"/>
          <w:sz w:val="24"/>
          <w:szCs w:val="24"/>
          <w:highlight w:val="none"/>
        </w:rPr>
        <w:t>7.1若非项目必须，甲乙方不得改变本合同中的任何任务。</w:t>
      </w:r>
    </w:p>
    <w:p w14:paraId="4D94B64F">
      <w:pPr>
        <w:tabs>
          <w:tab w:val="left" w:pos="1080"/>
        </w:tabs>
        <w:spacing w:line="360" w:lineRule="auto"/>
        <w:ind w:firstLine="480"/>
        <w:jc w:val="both"/>
        <w:rPr>
          <w:rFonts w:ascii="仿宋" w:hAnsi="仿宋" w:eastAsia="仿宋"/>
          <w:color w:val="auto"/>
          <w:sz w:val="24"/>
          <w:szCs w:val="24"/>
          <w:highlight w:val="none"/>
        </w:rPr>
      </w:pPr>
      <w:r>
        <w:rPr>
          <w:rFonts w:ascii="仿宋" w:hAnsi="仿宋" w:eastAsia="仿宋"/>
          <w:color w:val="auto"/>
          <w:sz w:val="24"/>
          <w:szCs w:val="24"/>
          <w:highlight w:val="none"/>
        </w:rPr>
        <w:t>7.2如果因乙方原因如毁约、破产等而使本合同工作无法继续执行时，甲方在事先书面通知乙方的情况下有权终止执行本合同。在这种情况下，乙方应采取一切合理的步骤把乙方在本合同项下的权益全部转给甲方。</w:t>
      </w:r>
    </w:p>
    <w:p w14:paraId="5D22CC97">
      <w:pPr>
        <w:tabs>
          <w:tab w:val="left" w:pos="1080"/>
        </w:tabs>
        <w:spacing w:line="360" w:lineRule="auto"/>
        <w:ind w:firstLine="480"/>
        <w:jc w:val="both"/>
        <w:rPr>
          <w:rFonts w:ascii="仿宋" w:hAnsi="仿宋" w:eastAsia="仿宋"/>
          <w:color w:val="auto"/>
          <w:sz w:val="24"/>
          <w:szCs w:val="24"/>
          <w:highlight w:val="none"/>
        </w:rPr>
      </w:pPr>
      <w:r>
        <w:rPr>
          <w:rFonts w:ascii="仿宋" w:hAnsi="仿宋" w:eastAsia="仿宋"/>
          <w:color w:val="auto"/>
          <w:sz w:val="24"/>
          <w:szCs w:val="24"/>
          <w:highlight w:val="none"/>
        </w:rPr>
        <w:t>7.3如果因甲方原因如破产、无力偿还或清盘等而使本合同工作无法继续执行时，乙方有权终止执行本合同。甲方应尽最大努力补偿乙方至终止日之前已经完成的那部分工作的费用。</w:t>
      </w:r>
    </w:p>
    <w:p w14:paraId="1B0F992B">
      <w:pPr>
        <w:spacing w:line="360" w:lineRule="auto"/>
        <w:ind w:firstLine="482" w:firstLineChars="200"/>
        <w:jc w:val="both"/>
        <w:rPr>
          <w:rFonts w:ascii="仿宋" w:hAnsi="仿宋" w:eastAsia="仿宋"/>
          <w:b/>
          <w:color w:val="auto"/>
          <w:sz w:val="24"/>
          <w:szCs w:val="24"/>
          <w:highlight w:val="none"/>
        </w:rPr>
      </w:pPr>
      <w:r>
        <w:rPr>
          <w:rFonts w:ascii="仿宋" w:hAnsi="仿宋" w:eastAsia="仿宋"/>
          <w:b/>
          <w:color w:val="auto"/>
          <w:sz w:val="24"/>
          <w:szCs w:val="24"/>
          <w:highlight w:val="none"/>
        </w:rPr>
        <w:t>8.版权与保密</w:t>
      </w:r>
    </w:p>
    <w:p w14:paraId="4073D812">
      <w:pPr>
        <w:tabs>
          <w:tab w:val="left" w:pos="1080"/>
        </w:tabs>
        <w:spacing w:line="360" w:lineRule="auto"/>
        <w:ind w:firstLine="480"/>
        <w:jc w:val="both"/>
        <w:rPr>
          <w:rFonts w:ascii="仿宋" w:hAnsi="仿宋" w:eastAsia="仿宋"/>
          <w:color w:val="auto"/>
          <w:sz w:val="24"/>
          <w:szCs w:val="24"/>
          <w:highlight w:val="none"/>
        </w:rPr>
      </w:pPr>
      <w:r>
        <w:rPr>
          <w:rFonts w:ascii="仿宋" w:hAnsi="仿宋" w:eastAsia="仿宋"/>
          <w:color w:val="auto"/>
          <w:sz w:val="24"/>
          <w:szCs w:val="24"/>
          <w:highlight w:val="none"/>
        </w:rPr>
        <w:t>8.1甲方向乙方提供的</w:t>
      </w:r>
      <w:r>
        <w:rPr>
          <w:rFonts w:hint="eastAsia" w:ascii="仿宋" w:hAnsi="仿宋" w:eastAsia="仿宋"/>
          <w:color w:val="auto"/>
          <w:sz w:val="24"/>
          <w:szCs w:val="24"/>
          <w:highlight w:val="none"/>
        </w:rPr>
        <w:t>数字赋能与智慧监管项目（国家山水工程）202</w:t>
      </w:r>
      <w:r>
        <w:rPr>
          <w:rFonts w:ascii="仿宋" w:hAnsi="仿宋" w:eastAsia="仿宋"/>
          <w:color w:val="auto"/>
          <w:sz w:val="24"/>
          <w:szCs w:val="24"/>
          <w:highlight w:val="none"/>
        </w:rPr>
        <w:t>4</w:t>
      </w:r>
      <w:r>
        <w:rPr>
          <w:rFonts w:hint="eastAsia" w:ascii="仿宋" w:hAnsi="仿宋" w:eastAsia="仿宋"/>
          <w:color w:val="auto"/>
          <w:sz w:val="24"/>
          <w:szCs w:val="24"/>
          <w:highlight w:val="none"/>
        </w:rPr>
        <w:t>年商业光学卫星影像补充项目商业卫星数据</w:t>
      </w:r>
      <w:r>
        <w:rPr>
          <w:rFonts w:ascii="仿宋" w:hAnsi="仿宋" w:eastAsia="仿宋"/>
          <w:color w:val="auto"/>
          <w:sz w:val="24"/>
          <w:szCs w:val="24"/>
          <w:highlight w:val="none"/>
        </w:rPr>
        <w:t>所有权属甲方所有。</w:t>
      </w:r>
    </w:p>
    <w:p w14:paraId="3734EF06">
      <w:pPr>
        <w:tabs>
          <w:tab w:val="left" w:pos="1080"/>
        </w:tabs>
        <w:spacing w:line="360" w:lineRule="auto"/>
        <w:ind w:firstLine="480"/>
        <w:jc w:val="both"/>
        <w:rPr>
          <w:rFonts w:ascii="仿宋" w:hAnsi="仿宋" w:eastAsia="仿宋"/>
          <w:color w:val="auto"/>
          <w:sz w:val="24"/>
          <w:szCs w:val="24"/>
          <w:highlight w:val="none"/>
        </w:rPr>
      </w:pPr>
      <w:r>
        <w:rPr>
          <w:rFonts w:ascii="仿宋" w:hAnsi="仿宋" w:eastAsia="仿宋"/>
          <w:color w:val="auto"/>
          <w:sz w:val="24"/>
          <w:szCs w:val="24"/>
          <w:highlight w:val="none"/>
        </w:rPr>
        <w:t>8.2对于乙方按合同规定提供给甲方的所有图纸、设计、研究报告、数据资料（以下统称“资料”）等，其版权属双方所有。</w:t>
      </w:r>
    </w:p>
    <w:p w14:paraId="04C293C6">
      <w:pPr>
        <w:tabs>
          <w:tab w:val="left" w:pos="1080"/>
        </w:tabs>
        <w:spacing w:line="360" w:lineRule="auto"/>
        <w:ind w:firstLine="480"/>
        <w:jc w:val="both"/>
        <w:rPr>
          <w:rFonts w:ascii="仿宋" w:hAnsi="仿宋" w:eastAsia="仿宋"/>
          <w:color w:val="auto"/>
          <w:sz w:val="24"/>
          <w:szCs w:val="24"/>
          <w:highlight w:val="none"/>
        </w:rPr>
      </w:pPr>
      <w:r>
        <w:rPr>
          <w:rFonts w:ascii="仿宋" w:hAnsi="仿宋" w:eastAsia="仿宋"/>
          <w:color w:val="auto"/>
          <w:sz w:val="24"/>
          <w:szCs w:val="24"/>
          <w:highlight w:val="none"/>
        </w:rPr>
        <w:t>8.3 未经甲方允许，乙方不得全部或部分地公开或泄露上述第8.1、8.2条规定的任何资料。</w:t>
      </w:r>
    </w:p>
    <w:p w14:paraId="37ABB732">
      <w:pPr>
        <w:tabs>
          <w:tab w:val="left" w:pos="1080"/>
        </w:tabs>
        <w:spacing w:line="360" w:lineRule="auto"/>
        <w:ind w:firstLine="480"/>
        <w:jc w:val="both"/>
        <w:rPr>
          <w:rFonts w:ascii="仿宋" w:hAnsi="仿宋" w:eastAsia="仿宋"/>
          <w:color w:val="auto"/>
          <w:sz w:val="24"/>
          <w:szCs w:val="24"/>
          <w:highlight w:val="none"/>
        </w:rPr>
      </w:pPr>
      <w:r>
        <w:rPr>
          <w:rFonts w:ascii="仿宋" w:hAnsi="仿宋" w:eastAsia="仿宋"/>
          <w:color w:val="auto"/>
          <w:sz w:val="24"/>
          <w:szCs w:val="24"/>
          <w:highlight w:val="none"/>
        </w:rPr>
        <w:t>8.4乙方不得将甲方提供的资料提供给第三方，如因本合同工作需要须征得甲方的许可，并应从第三方获得书面的保密承诺，以便对按本条款规定提供给他的任何资料实行严格保密。</w:t>
      </w:r>
    </w:p>
    <w:p w14:paraId="519FCFB5">
      <w:pPr>
        <w:tabs>
          <w:tab w:val="left" w:pos="1080"/>
        </w:tabs>
        <w:spacing w:line="360" w:lineRule="auto"/>
        <w:ind w:firstLine="480"/>
        <w:jc w:val="both"/>
        <w:rPr>
          <w:rFonts w:ascii="仿宋" w:hAnsi="仿宋" w:eastAsia="仿宋"/>
          <w:color w:val="auto"/>
          <w:sz w:val="24"/>
          <w:szCs w:val="24"/>
          <w:highlight w:val="none"/>
        </w:rPr>
      </w:pPr>
      <w:r>
        <w:rPr>
          <w:rFonts w:ascii="仿宋" w:hAnsi="仿宋" w:eastAsia="仿宋"/>
          <w:color w:val="auto"/>
          <w:sz w:val="24"/>
          <w:szCs w:val="24"/>
          <w:highlight w:val="none"/>
        </w:rPr>
        <w:t>8.5在执行本合同过程中，乙方保证使甲方不侵犯第三方的专利、版权等知识产权。由于乙方的侵权行为而产生第三方对甲方进行侵权索赔或诉讼，乙方应负责所有谈判以及所有这类索赔或诉讼的解决。</w:t>
      </w:r>
    </w:p>
    <w:p w14:paraId="7AF024B9">
      <w:pPr>
        <w:tabs>
          <w:tab w:val="left" w:pos="1080"/>
        </w:tabs>
        <w:spacing w:line="360" w:lineRule="auto"/>
        <w:ind w:firstLine="480"/>
        <w:jc w:val="both"/>
        <w:rPr>
          <w:rFonts w:ascii="仿宋" w:hAnsi="仿宋" w:eastAsia="仿宋"/>
          <w:color w:val="auto"/>
          <w:sz w:val="24"/>
          <w:szCs w:val="24"/>
          <w:highlight w:val="none"/>
        </w:rPr>
      </w:pPr>
      <w:r>
        <w:rPr>
          <w:rFonts w:ascii="仿宋" w:hAnsi="仿宋" w:eastAsia="仿宋"/>
          <w:color w:val="auto"/>
          <w:sz w:val="24"/>
          <w:szCs w:val="24"/>
          <w:highlight w:val="none"/>
        </w:rPr>
        <w:t>8.6甲方保证向乙方提供的有关资料不侵犯第三方的专利、版权等知识产权，由于甲方的侵权行为而产生第三方对乙方进行侵权索赔或诉讼，甲方应负责所有谈判以及所有这类索赔或诉讼的解决。</w:t>
      </w:r>
    </w:p>
    <w:p w14:paraId="69BDC278">
      <w:pPr>
        <w:tabs>
          <w:tab w:val="left" w:pos="1080"/>
        </w:tabs>
        <w:spacing w:line="360" w:lineRule="auto"/>
        <w:ind w:firstLine="480"/>
        <w:jc w:val="both"/>
        <w:rPr>
          <w:rFonts w:ascii="仿宋" w:hAnsi="仿宋" w:eastAsia="仿宋"/>
          <w:b/>
          <w:color w:val="auto"/>
          <w:sz w:val="24"/>
          <w:szCs w:val="24"/>
          <w:highlight w:val="none"/>
        </w:rPr>
      </w:pPr>
      <w:r>
        <w:rPr>
          <w:rFonts w:ascii="仿宋" w:hAnsi="仿宋" w:eastAsia="仿宋"/>
          <w:b/>
          <w:color w:val="auto"/>
          <w:sz w:val="24"/>
          <w:szCs w:val="24"/>
          <w:highlight w:val="none"/>
        </w:rPr>
        <w:t>9.保证、补救、违约责任</w:t>
      </w:r>
    </w:p>
    <w:p w14:paraId="2FDA59C6">
      <w:pPr>
        <w:spacing w:line="360" w:lineRule="auto"/>
        <w:ind w:firstLine="480" w:firstLineChars="200"/>
        <w:jc w:val="both"/>
        <w:rPr>
          <w:rFonts w:ascii="仿宋" w:hAnsi="仿宋" w:eastAsia="仿宋"/>
          <w:color w:val="auto"/>
          <w:sz w:val="24"/>
          <w:szCs w:val="24"/>
          <w:highlight w:val="none"/>
        </w:rPr>
      </w:pPr>
      <w:r>
        <w:rPr>
          <w:rFonts w:ascii="仿宋" w:hAnsi="仿宋" w:eastAsia="仿宋"/>
          <w:color w:val="auto"/>
          <w:sz w:val="24"/>
          <w:szCs w:val="24"/>
          <w:highlight w:val="none"/>
        </w:rPr>
        <w:t>9.1乙方应保证本合同下的工作按合同规定的时间完成。如果非甲方原因或不可抗拒因素，乙方没有按合同规定提供所需的服务及工作时，在不限制甲方终止合同权利的情况下，乙方应自费进行有关的补救工作，如：加班加点，增加人力等措施。</w:t>
      </w:r>
    </w:p>
    <w:p w14:paraId="66B2D526">
      <w:pPr>
        <w:spacing w:line="360" w:lineRule="auto"/>
        <w:ind w:firstLine="480" w:firstLineChars="200"/>
        <w:jc w:val="both"/>
        <w:rPr>
          <w:rFonts w:ascii="仿宋" w:hAnsi="仿宋" w:eastAsia="仿宋"/>
          <w:color w:val="auto"/>
          <w:sz w:val="24"/>
          <w:szCs w:val="24"/>
          <w:highlight w:val="none"/>
        </w:rPr>
      </w:pPr>
      <w:r>
        <w:rPr>
          <w:rFonts w:ascii="仿宋" w:hAnsi="仿宋" w:eastAsia="仿宋"/>
          <w:color w:val="auto"/>
          <w:sz w:val="24"/>
          <w:szCs w:val="24"/>
          <w:highlight w:val="none"/>
        </w:rPr>
        <w:t>9.2乙方应保证所提交的技术成果的完整性及准确性并具有足够说服力，以通过甲方组织的评审。由于乙方的疏忽失误、失责等原因造成的返工、修正，乙方应自费进行处理</w:t>
      </w:r>
      <w:r>
        <w:rPr>
          <w:rFonts w:hint="eastAsia" w:ascii="仿宋" w:hAnsi="仿宋" w:eastAsia="仿宋"/>
          <w:color w:val="auto"/>
          <w:sz w:val="24"/>
          <w:szCs w:val="24"/>
          <w:highlight w:val="none"/>
        </w:rPr>
        <w:t>。</w:t>
      </w:r>
    </w:p>
    <w:p w14:paraId="75A7F2EF">
      <w:pPr>
        <w:spacing w:line="360" w:lineRule="auto"/>
        <w:ind w:firstLine="482" w:firstLineChars="200"/>
        <w:jc w:val="both"/>
        <w:rPr>
          <w:rFonts w:ascii="仿宋" w:hAnsi="仿宋" w:eastAsia="仿宋"/>
          <w:b/>
          <w:color w:val="auto"/>
          <w:sz w:val="24"/>
          <w:szCs w:val="24"/>
          <w:highlight w:val="none"/>
        </w:rPr>
      </w:pPr>
      <w:r>
        <w:rPr>
          <w:rFonts w:ascii="仿宋" w:hAnsi="仿宋" w:eastAsia="仿宋"/>
          <w:b/>
          <w:color w:val="auto"/>
          <w:sz w:val="24"/>
          <w:szCs w:val="24"/>
          <w:highlight w:val="none"/>
        </w:rPr>
        <w:t>10.纠纷处理</w:t>
      </w:r>
    </w:p>
    <w:p w14:paraId="471FBCC0">
      <w:pPr>
        <w:spacing w:line="360" w:lineRule="auto"/>
        <w:ind w:firstLine="480" w:firstLineChars="200"/>
        <w:jc w:val="both"/>
        <w:rPr>
          <w:rFonts w:ascii="仿宋" w:hAnsi="仿宋" w:eastAsia="仿宋"/>
          <w:color w:val="auto"/>
          <w:sz w:val="24"/>
          <w:szCs w:val="24"/>
          <w:highlight w:val="none"/>
        </w:rPr>
      </w:pPr>
      <w:r>
        <w:rPr>
          <w:rFonts w:ascii="仿宋" w:hAnsi="仿宋" w:eastAsia="仿宋"/>
          <w:color w:val="auto"/>
          <w:sz w:val="24"/>
          <w:szCs w:val="24"/>
          <w:highlight w:val="none"/>
        </w:rPr>
        <w:t>如双方因本合同发生纠纷时,双方本着平等互利、协商一致的原则协商解决，若协商不成，可依法诉讼。</w:t>
      </w:r>
    </w:p>
    <w:p w14:paraId="2798EA64">
      <w:pPr>
        <w:spacing w:line="360" w:lineRule="auto"/>
        <w:ind w:firstLine="482" w:firstLineChars="200"/>
        <w:jc w:val="both"/>
        <w:rPr>
          <w:rFonts w:ascii="仿宋" w:hAnsi="仿宋" w:eastAsia="仿宋"/>
          <w:b/>
          <w:color w:val="auto"/>
          <w:sz w:val="24"/>
          <w:szCs w:val="24"/>
          <w:highlight w:val="none"/>
        </w:rPr>
      </w:pPr>
      <w:r>
        <w:rPr>
          <w:rFonts w:ascii="仿宋" w:hAnsi="仿宋" w:eastAsia="仿宋"/>
          <w:b/>
          <w:color w:val="auto"/>
          <w:sz w:val="24"/>
          <w:szCs w:val="24"/>
          <w:highlight w:val="none"/>
        </w:rPr>
        <w:t>11.质量控制</w:t>
      </w:r>
    </w:p>
    <w:p w14:paraId="3064D399">
      <w:pPr>
        <w:tabs>
          <w:tab w:val="left" w:pos="540"/>
        </w:tabs>
        <w:spacing w:line="360" w:lineRule="auto"/>
        <w:ind w:firstLine="480" w:firstLineChars="200"/>
        <w:jc w:val="both"/>
        <w:rPr>
          <w:rFonts w:ascii="仿宋" w:hAnsi="仿宋" w:eastAsia="仿宋"/>
          <w:color w:val="auto"/>
          <w:sz w:val="24"/>
          <w:szCs w:val="24"/>
          <w:highlight w:val="none"/>
        </w:rPr>
      </w:pPr>
      <w:r>
        <w:rPr>
          <w:rFonts w:ascii="仿宋" w:hAnsi="仿宋" w:eastAsia="仿宋"/>
          <w:color w:val="auto"/>
          <w:sz w:val="24"/>
          <w:szCs w:val="24"/>
          <w:highlight w:val="none"/>
        </w:rPr>
        <w:t>11.1乙方必须采取有效的质量监控措施，确保分析数据的准确性，保证数据分析计算平台、数据处理软件等符合分析精度要求。</w:t>
      </w:r>
    </w:p>
    <w:p w14:paraId="2716632F">
      <w:pPr>
        <w:tabs>
          <w:tab w:val="left" w:pos="540"/>
        </w:tabs>
        <w:spacing w:line="360" w:lineRule="auto"/>
        <w:ind w:firstLine="480" w:firstLineChars="200"/>
        <w:jc w:val="both"/>
        <w:rPr>
          <w:rFonts w:ascii="仿宋" w:hAnsi="仿宋" w:eastAsia="仿宋"/>
          <w:color w:val="auto"/>
          <w:sz w:val="24"/>
          <w:szCs w:val="24"/>
          <w:highlight w:val="none"/>
        </w:rPr>
      </w:pPr>
      <w:r>
        <w:rPr>
          <w:rFonts w:ascii="仿宋" w:hAnsi="仿宋" w:eastAsia="仿宋"/>
          <w:color w:val="auto"/>
          <w:sz w:val="24"/>
          <w:szCs w:val="24"/>
          <w:highlight w:val="none"/>
        </w:rPr>
        <w:t>11.2乙方必须对过程进行控制，并对所提交记录的有效性负责。</w:t>
      </w:r>
    </w:p>
    <w:p w14:paraId="20E7CA4F">
      <w:pPr>
        <w:tabs>
          <w:tab w:val="left" w:pos="540"/>
        </w:tabs>
        <w:spacing w:line="360" w:lineRule="auto"/>
        <w:ind w:firstLine="480" w:firstLineChars="200"/>
        <w:jc w:val="both"/>
        <w:rPr>
          <w:rFonts w:ascii="仿宋" w:hAnsi="仿宋" w:eastAsia="仿宋"/>
          <w:color w:val="auto"/>
          <w:sz w:val="24"/>
          <w:szCs w:val="24"/>
          <w:highlight w:val="none"/>
        </w:rPr>
      </w:pPr>
      <w:r>
        <w:rPr>
          <w:rFonts w:ascii="仿宋" w:hAnsi="仿宋" w:eastAsia="仿宋"/>
          <w:color w:val="auto"/>
          <w:sz w:val="24"/>
          <w:szCs w:val="24"/>
          <w:highlight w:val="none"/>
        </w:rPr>
        <w:t>11.3甲方有权在合适的时间对乙方工作场所进行合同范围内质量监督活动，乙方应提供必要的工作条件和支持。</w:t>
      </w:r>
    </w:p>
    <w:p w14:paraId="7748F011">
      <w:pPr>
        <w:tabs>
          <w:tab w:val="left" w:pos="540"/>
        </w:tabs>
        <w:spacing w:line="360" w:lineRule="auto"/>
        <w:ind w:firstLine="480" w:firstLineChars="200"/>
        <w:jc w:val="both"/>
        <w:rPr>
          <w:rFonts w:ascii="仿宋" w:hAnsi="仿宋" w:eastAsia="仿宋"/>
          <w:color w:val="auto"/>
          <w:sz w:val="24"/>
          <w:szCs w:val="24"/>
          <w:highlight w:val="none"/>
        </w:rPr>
      </w:pPr>
      <w:r>
        <w:rPr>
          <w:rFonts w:ascii="仿宋" w:hAnsi="仿宋" w:eastAsia="仿宋"/>
          <w:color w:val="auto"/>
          <w:sz w:val="24"/>
          <w:szCs w:val="24"/>
          <w:highlight w:val="none"/>
        </w:rPr>
        <w:t>11.4甲方对乙方所进行的一切质量监督活动，不减轻或免除乙方执行合同的各项义务和责任。</w:t>
      </w:r>
    </w:p>
    <w:p w14:paraId="442EC54B">
      <w:pPr>
        <w:spacing w:line="360" w:lineRule="auto"/>
        <w:ind w:firstLine="482" w:firstLineChars="200"/>
        <w:jc w:val="both"/>
        <w:rPr>
          <w:rFonts w:ascii="仿宋" w:hAnsi="仿宋" w:eastAsia="仿宋"/>
          <w:b/>
          <w:color w:val="auto"/>
          <w:sz w:val="24"/>
          <w:szCs w:val="24"/>
          <w:highlight w:val="none"/>
        </w:rPr>
      </w:pPr>
      <w:r>
        <w:rPr>
          <w:rFonts w:ascii="仿宋" w:hAnsi="仿宋" w:eastAsia="仿宋"/>
          <w:b/>
          <w:color w:val="auto"/>
          <w:sz w:val="24"/>
          <w:szCs w:val="24"/>
          <w:highlight w:val="none"/>
        </w:rPr>
        <w:t>12.合同生效及其他</w:t>
      </w:r>
    </w:p>
    <w:p w14:paraId="5153B7AB">
      <w:pPr>
        <w:spacing w:line="360" w:lineRule="auto"/>
        <w:ind w:firstLine="480" w:firstLineChars="200"/>
        <w:jc w:val="both"/>
        <w:rPr>
          <w:rFonts w:ascii="仿宋" w:hAnsi="仿宋" w:eastAsia="仿宋"/>
          <w:color w:val="auto"/>
          <w:sz w:val="24"/>
          <w:szCs w:val="24"/>
          <w:highlight w:val="none"/>
        </w:rPr>
      </w:pPr>
      <w:r>
        <w:rPr>
          <w:rFonts w:ascii="仿宋" w:hAnsi="仿宋" w:eastAsia="仿宋"/>
          <w:color w:val="auto"/>
          <w:sz w:val="24"/>
          <w:szCs w:val="24"/>
          <w:highlight w:val="none"/>
        </w:rPr>
        <w:t>12.1本合同中相同的词及词组具有相同的含义，合同标题不是合同的全部条件和要求。</w:t>
      </w:r>
    </w:p>
    <w:p w14:paraId="13BA0AC4">
      <w:pPr>
        <w:spacing w:line="360" w:lineRule="auto"/>
        <w:ind w:firstLine="480" w:firstLineChars="200"/>
        <w:jc w:val="both"/>
        <w:rPr>
          <w:rFonts w:ascii="仿宋" w:hAnsi="仿宋" w:eastAsia="仿宋"/>
          <w:color w:val="auto"/>
          <w:sz w:val="24"/>
          <w:szCs w:val="24"/>
          <w:highlight w:val="none"/>
        </w:rPr>
      </w:pPr>
      <w:r>
        <w:rPr>
          <w:rFonts w:ascii="仿宋" w:hAnsi="仿宋" w:eastAsia="仿宋"/>
          <w:color w:val="auto"/>
          <w:sz w:val="24"/>
          <w:szCs w:val="24"/>
          <w:highlight w:val="none"/>
        </w:rPr>
        <w:t>12.2本合同将取代双方在此以前的所有书面或口头与本合同有关的谈判文件、表述，对本合同条件的任何修改、变更或修正只有通过书面形式并经双方授权代表签字后，才具有法律效力。</w:t>
      </w:r>
    </w:p>
    <w:p w14:paraId="633BCD67">
      <w:pPr>
        <w:spacing w:line="360" w:lineRule="auto"/>
        <w:ind w:firstLine="480" w:firstLineChars="200"/>
        <w:jc w:val="both"/>
        <w:rPr>
          <w:rFonts w:ascii="仿宋" w:hAnsi="仿宋" w:eastAsia="仿宋"/>
          <w:color w:val="auto"/>
          <w:sz w:val="24"/>
          <w:szCs w:val="24"/>
          <w:highlight w:val="none"/>
        </w:rPr>
      </w:pPr>
      <w:r>
        <w:rPr>
          <w:rFonts w:ascii="仿宋" w:hAnsi="仿宋" w:eastAsia="仿宋"/>
          <w:color w:val="auto"/>
          <w:sz w:val="24"/>
          <w:szCs w:val="24"/>
          <w:highlight w:val="none"/>
        </w:rPr>
        <w:t>12.3本合同一式</w:t>
      </w:r>
      <w:r>
        <w:rPr>
          <w:rFonts w:hint="eastAsia" w:ascii="仿宋" w:hAnsi="仿宋" w:eastAsia="仿宋"/>
          <w:color w:val="auto"/>
          <w:sz w:val="24"/>
          <w:szCs w:val="24"/>
          <w:highlight w:val="none"/>
        </w:rPr>
        <w:t>陆</w:t>
      </w:r>
      <w:r>
        <w:rPr>
          <w:rFonts w:ascii="仿宋" w:hAnsi="仿宋" w:eastAsia="仿宋"/>
          <w:color w:val="auto"/>
          <w:sz w:val="24"/>
          <w:szCs w:val="24"/>
          <w:highlight w:val="none"/>
        </w:rPr>
        <w:t>份，双方各执</w:t>
      </w:r>
      <w:r>
        <w:rPr>
          <w:rFonts w:hint="eastAsia" w:ascii="仿宋" w:hAnsi="仿宋" w:eastAsia="仿宋"/>
          <w:color w:val="auto"/>
          <w:sz w:val="24"/>
          <w:szCs w:val="24"/>
          <w:highlight w:val="none"/>
        </w:rPr>
        <w:t>叁</w:t>
      </w:r>
      <w:r>
        <w:rPr>
          <w:rFonts w:ascii="仿宋" w:hAnsi="仿宋" w:eastAsia="仿宋"/>
          <w:color w:val="auto"/>
          <w:sz w:val="24"/>
          <w:szCs w:val="24"/>
          <w:highlight w:val="none"/>
        </w:rPr>
        <w:t>份，具有同等法律效力，自签订之日起生效。</w:t>
      </w:r>
    </w:p>
    <w:p w14:paraId="0843DE35">
      <w:pPr>
        <w:spacing w:line="360" w:lineRule="auto"/>
        <w:ind w:firstLine="562" w:firstLineChars="200"/>
        <w:jc w:val="both"/>
        <w:rPr>
          <w:rFonts w:ascii="黑体" w:hAnsi="Calibri" w:eastAsia="黑体"/>
          <w:b/>
          <w:color w:val="auto"/>
          <w:sz w:val="28"/>
          <w:szCs w:val="28"/>
          <w:highlight w:val="none"/>
        </w:rPr>
      </w:pPr>
    </w:p>
    <w:p w14:paraId="5FD53708">
      <w:pPr>
        <w:pStyle w:val="2"/>
        <w:rPr>
          <w:color w:val="auto"/>
          <w:highlight w:val="none"/>
        </w:rPr>
      </w:pPr>
    </w:p>
    <w:p w14:paraId="2EB05F69">
      <w:pPr>
        <w:spacing w:line="36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甲方：江苏省地质调查研究院  </w:t>
      </w:r>
      <w:r>
        <w:rPr>
          <w:rFonts w:ascii="仿宋" w:hAnsi="仿宋" w:eastAsia="仿宋"/>
          <w:b/>
          <w:color w:val="auto"/>
          <w:sz w:val="24"/>
          <w:szCs w:val="24"/>
          <w:highlight w:val="none"/>
        </w:rPr>
        <w:t xml:space="preserve">  </w:t>
      </w:r>
      <w:r>
        <w:rPr>
          <w:rFonts w:hint="eastAsia" w:ascii="仿宋" w:hAnsi="仿宋" w:eastAsia="仿宋"/>
          <w:b/>
          <w:color w:val="auto"/>
          <w:sz w:val="24"/>
          <w:szCs w:val="24"/>
          <w:highlight w:val="none"/>
        </w:rPr>
        <w:t xml:space="preserve">     </w:t>
      </w:r>
      <w:r>
        <w:rPr>
          <w:rFonts w:ascii="仿宋" w:hAnsi="仿宋" w:eastAsia="仿宋"/>
          <w:b/>
          <w:color w:val="auto"/>
          <w:sz w:val="24"/>
          <w:szCs w:val="24"/>
          <w:highlight w:val="none"/>
        </w:rPr>
        <w:t xml:space="preserve">   </w:t>
      </w:r>
      <w:r>
        <w:rPr>
          <w:rFonts w:hint="eastAsia" w:ascii="仿宋" w:hAnsi="仿宋" w:eastAsia="仿宋"/>
          <w:b/>
          <w:color w:val="auto"/>
          <w:sz w:val="24"/>
          <w:szCs w:val="24"/>
          <w:highlight w:val="none"/>
        </w:rPr>
        <w:t>乙方：</w:t>
      </w:r>
    </w:p>
    <w:p w14:paraId="3F4915E9">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代表签字：</w:t>
      </w:r>
      <w:r>
        <w:rPr>
          <w:rFonts w:hint="eastAsia" w:ascii="仿宋" w:hAnsi="仿宋" w:eastAsia="仿宋"/>
          <w:color w:val="auto"/>
          <w:sz w:val="24"/>
          <w:szCs w:val="24"/>
          <w:highlight w:val="none"/>
        </w:rPr>
        <w:tab/>
      </w:r>
      <w:r>
        <w:rPr>
          <w:rFonts w:hint="eastAsia" w:ascii="仿宋" w:hAnsi="仿宋" w:eastAsia="仿宋"/>
          <w:color w:val="auto"/>
          <w:sz w:val="24"/>
          <w:szCs w:val="24"/>
          <w:highlight w:val="none"/>
        </w:rPr>
        <w:t xml:space="preserve">                           代表签字：</w:t>
      </w:r>
    </w:p>
    <w:p w14:paraId="71DA7285">
      <w:pPr>
        <w:tabs>
          <w:tab w:val="left" w:pos="4620"/>
        </w:tabs>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签字日期：20</w:t>
      </w:r>
      <w:r>
        <w:rPr>
          <w:rFonts w:ascii="仿宋" w:hAnsi="仿宋" w:eastAsia="仿宋"/>
          <w:color w:val="auto"/>
          <w:sz w:val="24"/>
          <w:szCs w:val="24"/>
          <w:highlight w:val="none"/>
        </w:rPr>
        <w:t>24</w:t>
      </w:r>
      <w:r>
        <w:rPr>
          <w:rFonts w:hint="eastAsia" w:ascii="仿宋" w:hAnsi="仿宋" w:eastAsia="仿宋"/>
          <w:color w:val="auto"/>
          <w:sz w:val="24"/>
          <w:szCs w:val="24"/>
          <w:highlight w:val="none"/>
        </w:rPr>
        <w:t>年  月  日              签字日期：2</w:t>
      </w:r>
      <w:r>
        <w:rPr>
          <w:rFonts w:ascii="仿宋" w:hAnsi="仿宋" w:eastAsia="仿宋"/>
          <w:color w:val="auto"/>
          <w:sz w:val="24"/>
          <w:szCs w:val="24"/>
          <w:highlight w:val="none"/>
        </w:rPr>
        <w:t>024</w:t>
      </w:r>
      <w:r>
        <w:rPr>
          <w:rFonts w:hint="eastAsia" w:ascii="仿宋" w:hAnsi="仿宋" w:eastAsia="仿宋"/>
          <w:color w:val="auto"/>
          <w:sz w:val="24"/>
          <w:szCs w:val="24"/>
          <w:highlight w:val="none"/>
        </w:rPr>
        <w:t>年  月  日</w:t>
      </w:r>
    </w:p>
    <w:p w14:paraId="64684137">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地    址：南京市珠江路700号           地址：</w:t>
      </w:r>
    </w:p>
    <w:p w14:paraId="0E9AC036">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邮政编码：210018                      邮政编码：</w:t>
      </w:r>
    </w:p>
    <w:p w14:paraId="61CC9A4D">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联系人员：宋珂               </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   </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联系人员：</w:t>
      </w:r>
    </w:p>
    <w:p w14:paraId="01486F24">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电    话：025-</w:t>
      </w:r>
      <w:r>
        <w:rPr>
          <w:rFonts w:ascii="仿宋" w:hAnsi="仿宋" w:eastAsia="仿宋"/>
          <w:color w:val="auto"/>
          <w:sz w:val="24"/>
          <w:szCs w:val="24"/>
          <w:highlight w:val="none"/>
        </w:rPr>
        <w:t>51816</w:t>
      </w:r>
      <w:r>
        <w:rPr>
          <w:rFonts w:hint="eastAsia" w:ascii="仿宋" w:hAnsi="仿宋" w:eastAsia="仿宋"/>
          <w:color w:val="auto"/>
          <w:sz w:val="24"/>
          <w:szCs w:val="24"/>
          <w:highlight w:val="none"/>
        </w:rPr>
        <w:t xml:space="preserve">559       </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   </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电话：</w:t>
      </w:r>
    </w:p>
    <w:p w14:paraId="06DDBA73">
      <w:pPr>
        <w:widowControl/>
        <w:spacing w:line="360" w:lineRule="auto"/>
        <w:rPr>
          <w:rFonts w:ascii="Calibri" w:hAnsi="Calibri"/>
          <w:color w:val="auto"/>
          <w:sz w:val="24"/>
          <w:szCs w:val="21"/>
          <w:highlight w:val="none"/>
        </w:rPr>
      </w:pPr>
      <w:r>
        <w:rPr>
          <w:rFonts w:ascii="仿宋" w:hAnsi="仿宋" w:eastAsia="仿宋"/>
          <w:color w:val="auto"/>
          <w:sz w:val="24"/>
          <w:szCs w:val="24"/>
          <w:highlight w:val="none"/>
        </w:rPr>
        <w:t>（在不改变合同主要条款的前提下，采购人、供应商可以另行商议合同具体格式）</w:t>
      </w:r>
      <w:r>
        <w:rPr>
          <w:color w:val="auto"/>
          <w:highlight w:val="none"/>
        </w:rPr>
        <w:br w:type="page"/>
      </w:r>
    </w:p>
    <w:bookmarkEnd w:id="219"/>
    <w:bookmarkEnd w:id="220"/>
    <w:p w14:paraId="275C0217">
      <w:pPr>
        <w:pStyle w:val="3"/>
        <w:jc w:val="center"/>
        <w:rPr>
          <w:rFonts w:ascii="仿宋" w:hAnsi="仿宋" w:eastAsia="仿宋"/>
          <w:color w:val="auto"/>
          <w:sz w:val="36"/>
          <w:szCs w:val="36"/>
          <w:highlight w:val="none"/>
        </w:rPr>
      </w:pPr>
      <w:bookmarkStart w:id="227" w:name="_Toc21770"/>
      <w:r>
        <w:rPr>
          <w:rFonts w:hint="eastAsia" w:ascii="仿宋" w:hAnsi="仿宋" w:eastAsia="仿宋"/>
          <w:color w:val="auto"/>
          <w:sz w:val="36"/>
          <w:szCs w:val="36"/>
          <w:highlight w:val="none"/>
        </w:rPr>
        <w:t>第三章  投标邀请</w:t>
      </w:r>
      <w:bookmarkEnd w:id="221"/>
      <w:bookmarkEnd w:id="222"/>
      <w:bookmarkEnd w:id="223"/>
      <w:bookmarkEnd w:id="227"/>
    </w:p>
    <w:p w14:paraId="393D7AF4">
      <w:pPr>
        <w:pStyle w:val="170"/>
        <w:rPr>
          <w:rFonts w:ascii="仿宋" w:hAnsi="仿宋" w:eastAsia="仿宋"/>
          <w:color w:val="auto"/>
          <w:szCs w:val="24"/>
          <w:highlight w:val="none"/>
        </w:rPr>
      </w:pPr>
      <w:r>
        <w:rPr>
          <w:rFonts w:hint="eastAsia" w:ascii="仿宋" w:hAnsi="仿宋" w:eastAsia="仿宋"/>
          <w:color w:val="auto"/>
          <w:szCs w:val="24"/>
          <w:highlight w:val="none"/>
        </w:rPr>
        <w:t>江苏省招标中心有限公司受</w:t>
      </w:r>
      <w:r>
        <w:rPr>
          <w:rFonts w:hint="eastAsia" w:ascii="仿宋" w:hAnsi="仿宋" w:eastAsia="仿宋"/>
          <w:color w:val="auto"/>
          <w:szCs w:val="24"/>
          <w:highlight w:val="none"/>
          <w:u w:val="single"/>
        </w:rPr>
        <w:t>江苏省地质调查研究院</w:t>
      </w:r>
      <w:r>
        <w:rPr>
          <w:rFonts w:hint="eastAsia" w:ascii="仿宋" w:hAnsi="仿宋" w:eastAsia="仿宋"/>
          <w:color w:val="auto"/>
          <w:szCs w:val="24"/>
          <w:highlight w:val="none"/>
        </w:rPr>
        <w:t>的委托，拟对</w:t>
      </w:r>
      <w:r>
        <w:rPr>
          <w:rFonts w:hint="eastAsia" w:ascii="仿宋" w:hAnsi="仿宋" w:eastAsia="仿宋"/>
          <w:b/>
          <w:color w:val="auto"/>
          <w:szCs w:val="24"/>
          <w:highlight w:val="none"/>
          <w:lang w:eastAsia="zh-CN"/>
        </w:rPr>
        <w:t>数字赋能与智慧监管2024年商业光学卫星影像补充</w:t>
      </w:r>
      <w:r>
        <w:rPr>
          <w:rFonts w:hint="eastAsia" w:ascii="仿宋" w:hAnsi="仿宋" w:eastAsia="仿宋"/>
          <w:color w:val="auto"/>
          <w:szCs w:val="24"/>
          <w:highlight w:val="none"/>
        </w:rPr>
        <w:t>，进行公开招标采购，并提请</w:t>
      </w:r>
      <w:r>
        <w:rPr>
          <w:rFonts w:hint="eastAsia" w:ascii="仿宋" w:hAnsi="仿宋" w:eastAsia="仿宋"/>
          <w:bCs w:val="0"/>
          <w:color w:val="auto"/>
          <w:szCs w:val="24"/>
          <w:highlight w:val="none"/>
        </w:rPr>
        <w:t>注意</w:t>
      </w:r>
      <w:r>
        <w:rPr>
          <w:rFonts w:hint="eastAsia" w:ascii="仿宋" w:hAnsi="仿宋" w:eastAsia="仿宋"/>
          <w:color w:val="auto"/>
          <w:szCs w:val="24"/>
          <w:highlight w:val="none"/>
        </w:rPr>
        <w:t>以下事项：</w:t>
      </w:r>
    </w:p>
    <w:p w14:paraId="31A160E2">
      <w:pPr>
        <w:pStyle w:val="4"/>
        <w:rPr>
          <w:rFonts w:ascii="仿宋" w:hAnsi="仿宋" w:eastAsia="仿宋"/>
          <w:color w:val="auto"/>
          <w:sz w:val="24"/>
          <w:szCs w:val="24"/>
          <w:highlight w:val="none"/>
        </w:rPr>
      </w:pPr>
      <w:bookmarkStart w:id="228" w:name="_Toc420487910"/>
      <w:bookmarkStart w:id="229" w:name="_Toc13975"/>
      <w:bookmarkStart w:id="230" w:name="_Toc420657405"/>
      <w:bookmarkStart w:id="231" w:name="_Toc289873205"/>
      <w:r>
        <w:rPr>
          <w:rFonts w:hint="eastAsia" w:ascii="仿宋" w:hAnsi="仿宋" w:eastAsia="仿宋"/>
          <w:color w:val="auto"/>
          <w:sz w:val="24"/>
          <w:szCs w:val="24"/>
          <w:highlight w:val="none"/>
        </w:rPr>
        <w:t>一、招标主要内容</w:t>
      </w:r>
      <w:bookmarkEnd w:id="228"/>
      <w:bookmarkEnd w:id="229"/>
      <w:bookmarkEnd w:id="230"/>
      <w:bookmarkEnd w:id="231"/>
    </w:p>
    <w:tbl>
      <w:tblPr>
        <w:tblStyle w:val="4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0"/>
        <w:gridCol w:w="2270"/>
        <w:gridCol w:w="6268"/>
      </w:tblGrid>
      <w:tr w14:paraId="4A72B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blHeader/>
        </w:trPr>
        <w:tc>
          <w:tcPr>
            <w:tcW w:w="1090" w:type="dxa"/>
            <w:vAlign w:val="center"/>
          </w:tcPr>
          <w:p w14:paraId="37F41294">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序号</w:t>
            </w:r>
          </w:p>
        </w:tc>
        <w:tc>
          <w:tcPr>
            <w:tcW w:w="2270" w:type="dxa"/>
            <w:vAlign w:val="center"/>
          </w:tcPr>
          <w:p w14:paraId="35D1F5E8">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项目</w:t>
            </w:r>
          </w:p>
        </w:tc>
        <w:tc>
          <w:tcPr>
            <w:tcW w:w="6268" w:type="dxa"/>
            <w:vAlign w:val="center"/>
          </w:tcPr>
          <w:p w14:paraId="0B5E4F5C">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具 体 内  容</w:t>
            </w:r>
          </w:p>
        </w:tc>
      </w:tr>
      <w:tr w14:paraId="04C1F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1090" w:type="dxa"/>
            <w:vAlign w:val="center"/>
          </w:tcPr>
          <w:p w14:paraId="01CE5687">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1</w:t>
            </w:r>
          </w:p>
        </w:tc>
        <w:tc>
          <w:tcPr>
            <w:tcW w:w="2270" w:type="dxa"/>
            <w:vAlign w:val="center"/>
          </w:tcPr>
          <w:p w14:paraId="1C961877">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采购人</w:t>
            </w:r>
          </w:p>
        </w:tc>
        <w:tc>
          <w:tcPr>
            <w:tcW w:w="6268" w:type="dxa"/>
            <w:vAlign w:val="center"/>
          </w:tcPr>
          <w:p w14:paraId="5EE626D5">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江苏省地质调查研究院</w:t>
            </w:r>
          </w:p>
          <w:p w14:paraId="26175429">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项目负责人：宋珂</w:t>
            </w:r>
          </w:p>
          <w:p w14:paraId="04A0F656">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电话：025-51816559</w:t>
            </w:r>
          </w:p>
        </w:tc>
      </w:tr>
      <w:tr w14:paraId="09D84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1090" w:type="dxa"/>
            <w:vAlign w:val="center"/>
          </w:tcPr>
          <w:p w14:paraId="12751AE1">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2</w:t>
            </w:r>
          </w:p>
        </w:tc>
        <w:tc>
          <w:tcPr>
            <w:tcW w:w="2270" w:type="dxa"/>
            <w:vAlign w:val="center"/>
          </w:tcPr>
          <w:p w14:paraId="4A6AF70E">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项目名称</w:t>
            </w:r>
          </w:p>
        </w:tc>
        <w:tc>
          <w:tcPr>
            <w:tcW w:w="6268" w:type="dxa"/>
            <w:vAlign w:val="center"/>
          </w:tcPr>
          <w:p w14:paraId="67970948">
            <w:pPr>
              <w:spacing w:line="360" w:lineRule="auto"/>
              <w:rPr>
                <w:rFonts w:hint="eastAsia" w:ascii="仿宋" w:hAnsi="仿宋" w:eastAsia="仿宋"/>
                <w:bCs/>
                <w:color w:val="auto"/>
                <w:sz w:val="24"/>
                <w:szCs w:val="24"/>
                <w:highlight w:val="none"/>
                <w:lang w:eastAsia="zh-CN"/>
              </w:rPr>
            </w:pPr>
            <w:r>
              <w:rPr>
                <w:rFonts w:hint="eastAsia" w:ascii="仿宋" w:hAnsi="仿宋" w:eastAsia="仿宋"/>
                <w:bCs/>
                <w:color w:val="auto"/>
                <w:sz w:val="24"/>
                <w:szCs w:val="24"/>
                <w:highlight w:val="none"/>
                <w:lang w:eastAsia="zh-CN"/>
              </w:rPr>
              <w:t>数字赋能与智慧监管2024年商业光学卫星影像补充</w:t>
            </w:r>
          </w:p>
        </w:tc>
      </w:tr>
      <w:tr w14:paraId="63A05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1090" w:type="dxa"/>
            <w:vAlign w:val="center"/>
          </w:tcPr>
          <w:p w14:paraId="2EB63199">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3</w:t>
            </w:r>
          </w:p>
        </w:tc>
        <w:tc>
          <w:tcPr>
            <w:tcW w:w="2270" w:type="dxa"/>
            <w:vAlign w:val="center"/>
          </w:tcPr>
          <w:p w14:paraId="6038518F">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采购方式</w:t>
            </w:r>
          </w:p>
        </w:tc>
        <w:tc>
          <w:tcPr>
            <w:tcW w:w="6268" w:type="dxa"/>
            <w:vAlign w:val="center"/>
          </w:tcPr>
          <w:p w14:paraId="713C5879">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公开招标</w:t>
            </w:r>
          </w:p>
        </w:tc>
      </w:tr>
      <w:tr w14:paraId="0E7B8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1090" w:type="dxa"/>
            <w:vAlign w:val="center"/>
          </w:tcPr>
          <w:p w14:paraId="5EEE76AE">
            <w:pPr>
              <w:snapToGrid w:val="0"/>
              <w:spacing w:line="360" w:lineRule="auto"/>
              <w:ind w:right="102"/>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4</w:t>
            </w:r>
          </w:p>
        </w:tc>
        <w:tc>
          <w:tcPr>
            <w:tcW w:w="2270" w:type="dxa"/>
            <w:vAlign w:val="center"/>
          </w:tcPr>
          <w:p w14:paraId="6DAA6640">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项目编号</w:t>
            </w:r>
          </w:p>
        </w:tc>
        <w:tc>
          <w:tcPr>
            <w:tcW w:w="6268" w:type="dxa"/>
            <w:vAlign w:val="center"/>
          </w:tcPr>
          <w:p w14:paraId="2D507460">
            <w:pPr>
              <w:snapToGrid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lang w:eastAsia="zh-CN"/>
              </w:rPr>
              <w:t>JSTCC2400216482</w:t>
            </w:r>
            <w:r>
              <w:rPr>
                <w:rFonts w:hint="eastAsia" w:ascii="仿宋" w:hAnsi="仿宋" w:eastAsia="仿宋"/>
                <w:color w:val="auto"/>
                <w:sz w:val="24"/>
                <w:szCs w:val="24"/>
                <w:highlight w:val="none"/>
              </w:rPr>
              <w:t>（</w:t>
            </w:r>
            <w:r>
              <w:rPr>
                <w:rFonts w:hint="eastAsia" w:ascii="仿宋" w:hAnsi="仿宋" w:eastAsia="仿宋"/>
                <w:color w:val="auto"/>
                <w:sz w:val="24"/>
                <w:szCs w:val="24"/>
                <w:highlight w:val="none"/>
                <w:lang w:eastAsia="zh-CN"/>
              </w:rPr>
              <w:t>JSZC-320000-JITC-G2024-0322</w:t>
            </w:r>
            <w:bookmarkStart w:id="424" w:name="_GoBack"/>
            <w:bookmarkEnd w:id="424"/>
            <w:r>
              <w:rPr>
                <w:rFonts w:hint="eastAsia" w:ascii="仿宋" w:hAnsi="仿宋" w:eastAsia="仿宋"/>
                <w:color w:val="auto"/>
                <w:sz w:val="24"/>
                <w:szCs w:val="24"/>
                <w:highlight w:val="none"/>
              </w:rPr>
              <w:t>）</w:t>
            </w:r>
          </w:p>
        </w:tc>
      </w:tr>
      <w:tr w14:paraId="5D1E0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trPr>
        <w:tc>
          <w:tcPr>
            <w:tcW w:w="1090" w:type="dxa"/>
            <w:vAlign w:val="center"/>
          </w:tcPr>
          <w:p w14:paraId="2E3F69A0">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5</w:t>
            </w:r>
          </w:p>
        </w:tc>
        <w:tc>
          <w:tcPr>
            <w:tcW w:w="2270" w:type="dxa"/>
            <w:vAlign w:val="center"/>
          </w:tcPr>
          <w:p w14:paraId="3DD8CFD0">
            <w:pPr>
              <w:snapToGrid w:val="0"/>
              <w:spacing w:line="360" w:lineRule="auto"/>
              <w:ind w:right="102"/>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采购项目预算</w:t>
            </w:r>
          </w:p>
        </w:tc>
        <w:tc>
          <w:tcPr>
            <w:tcW w:w="6268" w:type="dxa"/>
            <w:vAlign w:val="center"/>
          </w:tcPr>
          <w:p w14:paraId="5EA0D6D7">
            <w:pPr>
              <w:spacing w:line="36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869.40万元人民币</w:t>
            </w:r>
          </w:p>
        </w:tc>
      </w:tr>
      <w:tr w14:paraId="5D818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1090" w:type="dxa"/>
            <w:vAlign w:val="center"/>
          </w:tcPr>
          <w:p w14:paraId="76794B1E">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6</w:t>
            </w:r>
          </w:p>
        </w:tc>
        <w:tc>
          <w:tcPr>
            <w:tcW w:w="2270" w:type="dxa"/>
            <w:vAlign w:val="center"/>
          </w:tcPr>
          <w:p w14:paraId="13DE2AAA">
            <w:pPr>
              <w:snapToGrid w:val="0"/>
              <w:spacing w:line="360" w:lineRule="auto"/>
              <w:ind w:right="102"/>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采购代理机构</w:t>
            </w:r>
          </w:p>
        </w:tc>
        <w:tc>
          <w:tcPr>
            <w:tcW w:w="6268" w:type="dxa"/>
            <w:vAlign w:val="center"/>
          </w:tcPr>
          <w:p w14:paraId="54BF4ED7">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江苏省招标中心有限公司</w:t>
            </w:r>
          </w:p>
          <w:p w14:paraId="401A9FAE">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项目负责人：于瀚博</w:t>
            </w:r>
          </w:p>
          <w:p w14:paraId="038AA7F8">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电话：</w:t>
            </w:r>
            <w:r>
              <w:rPr>
                <w:rFonts w:ascii="仿宋" w:hAnsi="仿宋" w:eastAsia="仿宋"/>
                <w:color w:val="auto"/>
                <w:sz w:val="24"/>
                <w:szCs w:val="24"/>
                <w:highlight w:val="none"/>
              </w:rPr>
              <w:t>025-</w:t>
            </w:r>
            <w:r>
              <w:rPr>
                <w:rFonts w:hint="eastAsia" w:ascii="仿宋" w:hAnsi="仿宋" w:eastAsia="仿宋"/>
                <w:color w:val="auto"/>
                <w:sz w:val="24"/>
                <w:szCs w:val="24"/>
                <w:highlight w:val="none"/>
              </w:rPr>
              <w:t>82281974</w:t>
            </w:r>
          </w:p>
        </w:tc>
      </w:tr>
      <w:tr w14:paraId="44AA3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1090" w:type="dxa"/>
            <w:vAlign w:val="center"/>
          </w:tcPr>
          <w:p w14:paraId="39A57229">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7</w:t>
            </w:r>
          </w:p>
        </w:tc>
        <w:tc>
          <w:tcPr>
            <w:tcW w:w="2270" w:type="dxa"/>
            <w:vAlign w:val="center"/>
          </w:tcPr>
          <w:p w14:paraId="796D9EC2">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供应商</w:t>
            </w:r>
          </w:p>
          <w:p w14:paraId="7738F00E">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（文件中也称投标人）</w:t>
            </w:r>
          </w:p>
        </w:tc>
        <w:tc>
          <w:tcPr>
            <w:tcW w:w="6268" w:type="dxa"/>
            <w:vAlign w:val="center"/>
          </w:tcPr>
          <w:p w14:paraId="700F4330">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响应招标、参加投标竞争的法人或其他组织（本项目不接受联合体投标）</w:t>
            </w:r>
          </w:p>
        </w:tc>
      </w:tr>
      <w:tr w14:paraId="34311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1090" w:type="dxa"/>
            <w:vAlign w:val="center"/>
          </w:tcPr>
          <w:p w14:paraId="185EB387">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8</w:t>
            </w:r>
          </w:p>
        </w:tc>
        <w:tc>
          <w:tcPr>
            <w:tcW w:w="2270" w:type="dxa"/>
            <w:vAlign w:val="center"/>
          </w:tcPr>
          <w:p w14:paraId="7F859A7B">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投标保证金</w:t>
            </w:r>
          </w:p>
        </w:tc>
        <w:tc>
          <w:tcPr>
            <w:tcW w:w="6268" w:type="dxa"/>
            <w:vAlign w:val="center"/>
          </w:tcPr>
          <w:p w14:paraId="7BA79413">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无</w:t>
            </w:r>
          </w:p>
        </w:tc>
      </w:tr>
      <w:tr w14:paraId="02B6B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1090" w:type="dxa"/>
            <w:vAlign w:val="center"/>
          </w:tcPr>
          <w:p w14:paraId="1FAE003A">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9</w:t>
            </w:r>
          </w:p>
        </w:tc>
        <w:tc>
          <w:tcPr>
            <w:tcW w:w="2270" w:type="dxa"/>
            <w:vAlign w:val="center"/>
          </w:tcPr>
          <w:p w14:paraId="2FA1F05B">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投标保证金递交方式</w:t>
            </w:r>
          </w:p>
        </w:tc>
        <w:tc>
          <w:tcPr>
            <w:tcW w:w="6268" w:type="dxa"/>
            <w:vAlign w:val="center"/>
          </w:tcPr>
          <w:p w14:paraId="20CD9EFF">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无</w:t>
            </w:r>
          </w:p>
        </w:tc>
      </w:tr>
      <w:tr w14:paraId="2B0CD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1090" w:type="dxa"/>
            <w:vAlign w:val="center"/>
          </w:tcPr>
          <w:p w14:paraId="62E67F7F">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10</w:t>
            </w:r>
          </w:p>
        </w:tc>
        <w:tc>
          <w:tcPr>
            <w:tcW w:w="2270" w:type="dxa"/>
            <w:vAlign w:val="center"/>
          </w:tcPr>
          <w:p w14:paraId="5C1C647A">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招标文件发售时间、地点及售价</w:t>
            </w:r>
          </w:p>
        </w:tc>
        <w:tc>
          <w:tcPr>
            <w:tcW w:w="6268" w:type="dxa"/>
            <w:vAlign w:val="center"/>
          </w:tcPr>
          <w:p w14:paraId="240FAC21">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时间：2024年</w:t>
            </w:r>
            <w:r>
              <w:rPr>
                <w:rFonts w:hint="eastAsia" w:ascii="仿宋" w:hAnsi="仿宋" w:eastAsia="仿宋"/>
                <w:color w:val="auto"/>
                <w:sz w:val="24"/>
                <w:szCs w:val="24"/>
                <w:highlight w:val="none"/>
                <w:lang w:val="en-US" w:eastAsia="zh-CN"/>
              </w:rPr>
              <w:t>11</w:t>
            </w:r>
            <w:r>
              <w:rPr>
                <w:rFonts w:ascii="仿宋" w:hAnsi="仿宋" w:eastAsia="仿宋"/>
                <w:color w:val="auto"/>
                <w:sz w:val="24"/>
                <w:szCs w:val="24"/>
                <w:highlight w:val="none"/>
              </w:rPr>
              <w:t>月</w:t>
            </w:r>
            <w:r>
              <w:rPr>
                <w:rFonts w:hint="eastAsia" w:ascii="仿宋" w:hAnsi="仿宋" w:eastAsia="仿宋"/>
                <w:color w:val="auto"/>
                <w:sz w:val="24"/>
                <w:szCs w:val="24"/>
                <w:highlight w:val="none"/>
                <w:lang w:val="en-US" w:eastAsia="zh-CN"/>
              </w:rPr>
              <w:t>18</w:t>
            </w:r>
            <w:r>
              <w:rPr>
                <w:rFonts w:hint="eastAsia" w:ascii="仿宋" w:hAnsi="仿宋" w:eastAsia="仿宋"/>
                <w:color w:val="auto"/>
                <w:sz w:val="24"/>
                <w:szCs w:val="24"/>
                <w:highlight w:val="none"/>
              </w:rPr>
              <w:t>日～2024年</w:t>
            </w:r>
            <w:r>
              <w:rPr>
                <w:rFonts w:hint="eastAsia" w:ascii="仿宋" w:hAnsi="仿宋" w:eastAsia="仿宋"/>
                <w:color w:val="auto"/>
                <w:sz w:val="24"/>
                <w:szCs w:val="24"/>
                <w:highlight w:val="none"/>
                <w:lang w:val="en-US" w:eastAsia="zh-CN"/>
              </w:rPr>
              <w:t>11</w:t>
            </w:r>
            <w:r>
              <w:rPr>
                <w:rFonts w:ascii="仿宋" w:hAnsi="仿宋" w:eastAsia="仿宋"/>
                <w:color w:val="auto"/>
                <w:sz w:val="24"/>
                <w:szCs w:val="24"/>
                <w:highlight w:val="none"/>
              </w:rPr>
              <w:t>月</w:t>
            </w:r>
            <w:r>
              <w:rPr>
                <w:rFonts w:hint="eastAsia" w:ascii="仿宋" w:hAnsi="仿宋" w:eastAsia="仿宋"/>
                <w:color w:val="auto"/>
                <w:sz w:val="24"/>
                <w:szCs w:val="24"/>
                <w:highlight w:val="none"/>
                <w:lang w:val="en-US" w:eastAsia="zh-CN"/>
              </w:rPr>
              <w:t>25</w:t>
            </w:r>
            <w:r>
              <w:rPr>
                <w:rFonts w:hint="eastAsia" w:ascii="仿宋" w:hAnsi="仿宋" w:eastAsia="仿宋"/>
                <w:color w:val="auto"/>
                <w:sz w:val="24"/>
                <w:szCs w:val="24"/>
                <w:highlight w:val="none"/>
              </w:rPr>
              <w:t>日（节假日除外）上午8：30-11：30，下午2：00-5：00（北京时间）；</w:t>
            </w:r>
          </w:p>
          <w:p w14:paraId="1AE790E4">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地点；邮购，江苏省南京市鼓楼区郑和中路118号D座16楼1612室（https://www.jstcc.cn/）</w:t>
            </w:r>
          </w:p>
          <w:p w14:paraId="64CD6E37">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售价：500.00元人民币，售后不退。</w:t>
            </w:r>
          </w:p>
        </w:tc>
      </w:tr>
      <w:tr w14:paraId="28AA6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1090" w:type="dxa"/>
            <w:vAlign w:val="center"/>
          </w:tcPr>
          <w:p w14:paraId="5308D93F">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11</w:t>
            </w:r>
          </w:p>
        </w:tc>
        <w:tc>
          <w:tcPr>
            <w:tcW w:w="2270" w:type="dxa"/>
            <w:vAlign w:val="center"/>
          </w:tcPr>
          <w:p w14:paraId="1007E924">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投标文件递交</w:t>
            </w:r>
          </w:p>
        </w:tc>
        <w:tc>
          <w:tcPr>
            <w:tcW w:w="6268" w:type="dxa"/>
            <w:vAlign w:val="center"/>
          </w:tcPr>
          <w:p w14:paraId="2E1FC94F">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截止时间：2024年</w:t>
            </w:r>
            <w:r>
              <w:rPr>
                <w:rFonts w:hint="eastAsia" w:ascii="仿宋" w:hAnsi="仿宋" w:eastAsia="仿宋"/>
                <w:color w:val="auto"/>
                <w:sz w:val="24"/>
                <w:szCs w:val="24"/>
                <w:highlight w:val="none"/>
                <w:lang w:val="en-US" w:eastAsia="zh-CN"/>
              </w:rPr>
              <w:t>12</w:t>
            </w:r>
            <w:r>
              <w:rPr>
                <w:rFonts w:hint="eastAsia" w:ascii="仿宋" w:hAnsi="仿宋" w:eastAsia="仿宋"/>
                <w:color w:val="auto"/>
                <w:sz w:val="24"/>
                <w:szCs w:val="24"/>
                <w:highlight w:val="none"/>
              </w:rPr>
              <w:t>月</w:t>
            </w:r>
            <w:r>
              <w:rPr>
                <w:rFonts w:hint="eastAsia" w:ascii="仿宋" w:hAnsi="仿宋" w:eastAsia="仿宋"/>
                <w:color w:val="auto"/>
                <w:sz w:val="24"/>
                <w:szCs w:val="24"/>
                <w:highlight w:val="none"/>
                <w:lang w:val="en-US" w:eastAsia="zh-CN"/>
              </w:rPr>
              <w:t>9</w:t>
            </w:r>
            <w:r>
              <w:rPr>
                <w:rFonts w:hint="eastAsia" w:ascii="仿宋" w:hAnsi="仿宋" w:eastAsia="仿宋"/>
                <w:color w:val="auto"/>
                <w:sz w:val="24"/>
                <w:szCs w:val="24"/>
                <w:highlight w:val="none"/>
              </w:rPr>
              <w:t>日</w:t>
            </w:r>
            <w:r>
              <w:rPr>
                <w:rFonts w:hint="eastAsia" w:ascii="仿宋" w:hAnsi="仿宋" w:eastAsia="仿宋"/>
                <w:color w:val="auto"/>
                <w:sz w:val="24"/>
                <w:szCs w:val="24"/>
                <w:highlight w:val="none"/>
                <w:lang w:val="en-US" w:eastAsia="zh-CN"/>
              </w:rPr>
              <w:t>14</w:t>
            </w:r>
            <w:r>
              <w:rPr>
                <w:rFonts w:hint="eastAsia" w:ascii="仿宋" w:hAnsi="仿宋" w:eastAsia="仿宋"/>
                <w:color w:val="auto"/>
                <w:sz w:val="24"/>
                <w:szCs w:val="24"/>
                <w:highlight w:val="none"/>
              </w:rPr>
              <w:t>时00分（北京时间）</w:t>
            </w:r>
          </w:p>
          <w:p w14:paraId="7500462C">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地点：江苏省南京市鼓楼区郑和中路118号D座16楼1612室</w:t>
            </w:r>
          </w:p>
          <w:p w14:paraId="6CFD361A">
            <w:pPr>
              <w:spacing w:line="360" w:lineRule="auto"/>
              <w:rPr>
                <w:rFonts w:ascii="仿宋" w:hAnsi="仿宋" w:eastAsia="仿宋"/>
                <w:b/>
                <w:color w:val="auto"/>
                <w:sz w:val="24"/>
                <w:highlight w:val="none"/>
              </w:rPr>
            </w:pPr>
            <w:r>
              <w:rPr>
                <w:rFonts w:hint="eastAsia" w:ascii="仿宋" w:hAnsi="仿宋" w:eastAsia="仿宋"/>
                <w:b/>
                <w:color w:val="auto"/>
                <w:sz w:val="24"/>
                <w:highlight w:val="none"/>
              </w:rPr>
              <w:t>建议各供应商将投标文件通过顺丰或其它可靠方式，在提交响应文件截止时间前，寄送到以上地址，收件人：金海涛，联系电话：15951380804，文件寄出后，请发送短信到以上号码告知：供应商名称+所投标项目编号+快递公司名称+快递单号</w:t>
            </w:r>
          </w:p>
          <w:p w14:paraId="62FE3355">
            <w:pPr>
              <w:snapToGrid w:val="0"/>
              <w:spacing w:line="360" w:lineRule="auto"/>
              <w:jc w:val="both"/>
              <w:rPr>
                <w:rFonts w:ascii="仿宋" w:hAnsi="仿宋" w:eastAsia="仿宋"/>
                <w:color w:val="auto"/>
                <w:sz w:val="24"/>
                <w:szCs w:val="24"/>
                <w:highlight w:val="none"/>
              </w:rPr>
            </w:pPr>
            <w:r>
              <w:rPr>
                <w:rFonts w:hint="eastAsia" w:ascii="仿宋" w:hAnsi="仿宋" w:eastAsia="仿宋"/>
                <w:b/>
                <w:color w:val="auto"/>
                <w:sz w:val="24"/>
                <w:highlight w:val="none"/>
              </w:rPr>
              <w:t>请考虑文件在途时间，投标文件必须在提交投标文件递交截止时间前寄送到。</w:t>
            </w:r>
          </w:p>
        </w:tc>
      </w:tr>
      <w:tr w14:paraId="36FFE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90" w:type="dxa"/>
            <w:vAlign w:val="center"/>
          </w:tcPr>
          <w:p w14:paraId="17F55C0E">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12</w:t>
            </w:r>
          </w:p>
        </w:tc>
        <w:tc>
          <w:tcPr>
            <w:tcW w:w="2270" w:type="dxa"/>
            <w:vAlign w:val="center"/>
          </w:tcPr>
          <w:p w14:paraId="4517D24A">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投标文件数量</w:t>
            </w:r>
          </w:p>
        </w:tc>
        <w:tc>
          <w:tcPr>
            <w:tcW w:w="6268" w:type="dxa"/>
            <w:vAlign w:val="center"/>
          </w:tcPr>
          <w:p w14:paraId="7D641DFA">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正本份数：壹份</w:t>
            </w:r>
          </w:p>
          <w:p w14:paraId="170659DF">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副本份数：伍份</w:t>
            </w:r>
          </w:p>
        </w:tc>
      </w:tr>
      <w:tr w14:paraId="0119A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1090" w:type="dxa"/>
            <w:vAlign w:val="center"/>
          </w:tcPr>
          <w:p w14:paraId="5C4F65B5">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13</w:t>
            </w:r>
          </w:p>
        </w:tc>
        <w:tc>
          <w:tcPr>
            <w:tcW w:w="2270" w:type="dxa"/>
            <w:vAlign w:val="center"/>
          </w:tcPr>
          <w:p w14:paraId="600AEC47">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开标</w:t>
            </w:r>
          </w:p>
        </w:tc>
        <w:tc>
          <w:tcPr>
            <w:tcW w:w="6268" w:type="dxa"/>
            <w:vAlign w:val="center"/>
          </w:tcPr>
          <w:p w14:paraId="2CD52C6B">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时间：同投标文件递交截止时间</w:t>
            </w:r>
          </w:p>
          <w:p w14:paraId="6BB2890F">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地点：江苏省南京市鼓楼区郑和中路118号D座</w:t>
            </w:r>
            <w:r>
              <w:rPr>
                <w:rFonts w:ascii="仿宋" w:hAnsi="仿宋" w:eastAsia="仿宋"/>
                <w:color w:val="auto"/>
                <w:sz w:val="24"/>
                <w:szCs w:val="24"/>
                <w:highlight w:val="none"/>
              </w:rPr>
              <w:t>15</w:t>
            </w:r>
            <w:r>
              <w:rPr>
                <w:rFonts w:hint="eastAsia" w:ascii="仿宋" w:hAnsi="仿宋" w:eastAsia="仿宋"/>
                <w:color w:val="auto"/>
                <w:sz w:val="24"/>
                <w:szCs w:val="24"/>
                <w:highlight w:val="none"/>
              </w:rPr>
              <w:t>楼</w:t>
            </w:r>
            <w:r>
              <w:rPr>
                <w:rFonts w:hint="eastAsia" w:ascii="仿宋" w:hAnsi="仿宋" w:eastAsia="仿宋"/>
                <w:color w:val="auto"/>
                <w:sz w:val="24"/>
                <w:szCs w:val="24"/>
                <w:highlight w:val="none"/>
                <w:lang w:val="en-US" w:eastAsia="zh-CN"/>
              </w:rPr>
              <w:t>1509</w:t>
            </w:r>
            <w:r>
              <w:rPr>
                <w:rFonts w:hint="eastAsia" w:ascii="仿宋" w:hAnsi="仿宋" w:eastAsia="仿宋"/>
                <w:color w:val="auto"/>
                <w:sz w:val="24"/>
                <w:szCs w:val="24"/>
                <w:highlight w:val="none"/>
              </w:rPr>
              <w:t>室</w:t>
            </w:r>
          </w:p>
          <w:p w14:paraId="38490F57">
            <w:pPr>
              <w:pStyle w:val="2"/>
              <w:spacing w:line="460" w:lineRule="exact"/>
              <w:ind w:firstLine="0"/>
              <w:rPr>
                <w:rFonts w:ascii="仿宋" w:hAnsi="仿宋" w:eastAsia="仿宋"/>
                <w:b/>
                <w:color w:val="auto"/>
                <w:kern w:val="10"/>
                <w:sz w:val="24"/>
                <w:szCs w:val="24"/>
                <w:highlight w:val="none"/>
              </w:rPr>
            </w:pPr>
            <w:r>
              <w:rPr>
                <w:rFonts w:hint="eastAsia" w:ascii="仿宋" w:hAnsi="仿宋" w:eastAsia="仿宋"/>
                <w:b/>
                <w:color w:val="auto"/>
                <w:kern w:val="10"/>
                <w:sz w:val="24"/>
                <w:szCs w:val="24"/>
                <w:highlight w:val="none"/>
              </w:rPr>
              <w:t>本项目采取不见面开标模式，供应商授权代表不现场参加项目开标，可在以上时间通过腾讯会议方式参加开标活动。</w:t>
            </w:r>
          </w:p>
          <w:p w14:paraId="62142F17">
            <w:pPr>
              <w:pStyle w:val="2"/>
              <w:spacing w:line="460" w:lineRule="exact"/>
              <w:ind w:firstLine="0"/>
              <w:jc w:val="left"/>
              <w:rPr>
                <w:rFonts w:ascii="仿宋" w:hAnsi="仿宋" w:eastAsia="仿宋"/>
                <w:b/>
                <w:color w:val="auto"/>
                <w:kern w:val="10"/>
                <w:sz w:val="24"/>
                <w:szCs w:val="24"/>
                <w:highlight w:val="none"/>
              </w:rPr>
            </w:pPr>
            <w:r>
              <w:rPr>
                <w:rFonts w:hint="eastAsia" w:ascii="仿宋" w:hAnsi="仿宋" w:eastAsia="仿宋"/>
                <w:b/>
                <w:color w:val="auto"/>
                <w:kern w:val="10"/>
                <w:sz w:val="24"/>
                <w:szCs w:val="24"/>
                <w:highlight w:val="none"/>
              </w:rPr>
              <w:t>（1）腾讯会议链接：</w:t>
            </w:r>
            <w:r>
              <w:rPr>
                <w:rFonts w:hint="eastAsia" w:ascii="仿宋" w:hAnsi="仿宋" w:eastAsia="仿宋"/>
                <w:b/>
                <w:color w:val="auto"/>
                <w:kern w:val="10"/>
                <w:sz w:val="24"/>
                <w:szCs w:val="24"/>
                <w:highlight w:val="none"/>
                <w:lang w:val="en-US" w:eastAsia="zh-CN"/>
              </w:rPr>
              <w:t>https://meeting.tencent.com/dm/lBPfWEwwyci8</w:t>
            </w:r>
            <w:r>
              <w:rPr>
                <w:rFonts w:hint="eastAsia" w:ascii="仿宋" w:hAnsi="仿宋" w:eastAsia="仿宋"/>
                <w:b/>
                <w:color w:val="auto"/>
                <w:kern w:val="10"/>
                <w:sz w:val="24"/>
                <w:szCs w:val="24"/>
                <w:highlight w:val="none"/>
              </w:rPr>
              <w:t>；</w:t>
            </w:r>
          </w:p>
          <w:p w14:paraId="6745720C">
            <w:pPr>
              <w:pStyle w:val="2"/>
              <w:spacing w:line="460" w:lineRule="exact"/>
              <w:ind w:firstLine="0"/>
              <w:jc w:val="left"/>
              <w:rPr>
                <w:rFonts w:ascii="仿宋" w:hAnsi="仿宋" w:eastAsia="仿宋"/>
                <w:b/>
                <w:color w:val="auto"/>
                <w:kern w:val="10"/>
                <w:sz w:val="24"/>
                <w:szCs w:val="24"/>
                <w:highlight w:val="none"/>
              </w:rPr>
            </w:pPr>
            <w:r>
              <w:rPr>
                <w:rFonts w:hint="eastAsia" w:ascii="仿宋" w:hAnsi="仿宋" w:eastAsia="仿宋"/>
                <w:b/>
                <w:color w:val="auto"/>
                <w:kern w:val="10"/>
                <w:sz w:val="24"/>
                <w:szCs w:val="24"/>
                <w:highlight w:val="none"/>
              </w:rPr>
              <w:t>腾讯会议号：</w:t>
            </w:r>
            <w:r>
              <w:rPr>
                <w:rFonts w:hint="eastAsia" w:ascii="仿宋" w:hAnsi="仿宋" w:eastAsia="仿宋"/>
                <w:b/>
                <w:color w:val="auto"/>
                <w:kern w:val="10"/>
                <w:sz w:val="24"/>
                <w:szCs w:val="24"/>
                <w:highlight w:val="none"/>
                <w:lang w:val="en-US" w:eastAsia="zh-CN"/>
              </w:rPr>
              <w:t>630-126-994</w:t>
            </w:r>
            <w:r>
              <w:rPr>
                <w:rFonts w:hint="eastAsia" w:ascii="仿宋" w:hAnsi="仿宋" w:eastAsia="仿宋"/>
                <w:b/>
                <w:color w:val="auto"/>
                <w:kern w:val="10"/>
                <w:sz w:val="24"/>
                <w:szCs w:val="24"/>
                <w:highlight w:val="none"/>
              </w:rPr>
              <w:t>；</w:t>
            </w:r>
          </w:p>
          <w:p w14:paraId="029F0604">
            <w:pPr>
              <w:pStyle w:val="2"/>
              <w:spacing w:line="460" w:lineRule="exact"/>
              <w:ind w:firstLine="0"/>
              <w:rPr>
                <w:rFonts w:ascii="仿宋" w:hAnsi="仿宋" w:eastAsia="仿宋"/>
                <w:b/>
                <w:color w:val="auto"/>
                <w:kern w:val="10"/>
                <w:sz w:val="24"/>
                <w:szCs w:val="24"/>
                <w:highlight w:val="none"/>
              </w:rPr>
            </w:pPr>
            <w:r>
              <w:rPr>
                <w:rFonts w:hint="eastAsia" w:ascii="仿宋" w:hAnsi="仿宋" w:eastAsia="仿宋"/>
                <w:b/>
                <w:color w:val="auto"/>
                <w:kern w:val="10"/>
                <w:sz w:val="24"/>
                <w:szCs w:val="24"/>
                <w:highlight w:val="none"/>
              </w:rPr>
              <w:t>（2）供应商授权代表应当至少提前一日安装测试好腾讯会议，确保语音、视频情况清晰良好；</w:t>
            </w:r>
          </w:p>
          <w:p w14:paraId="729A5EB3">
            <w:pPr>
              <w:snapToGrid w:val="0"/>
              <w:spacing w:line="360" w:lineRule="auto"/>
              <w:jc w:val="both"/>
              <w:rPr>
                <w:rFonts w:ascii="仿宋" w:hAnsi="仿宋" w:eastAsia="仿宋"/>
                <w:color w:val="auto"/>
                <w:sz w:val="24"/>
                <w:szCs w:val="24"/>
                <w:highlight w:val="none"/>
                <w:u w:val="single"/>
              </w:rPr>
            </w:pPr>
            <w:r>
              <w:rPr>
                <w:rFonts w:hint="eastAsia" w:ascii="仿宋" w:hAnsi="仿宋" w:eastAsia="仿宋"/>
                <w:b/>
                <w:color w:val="auto"/>
                <w:kern w:val="10"/>
                <w:sz w:val="24"/>
                <w:szCs w:val="24"/>
                <w:highlight w:val="none"/>
              </w:rPr>
              <w:t>（3）供应商授权代表进入腾讯会议后，请修改昵称为“供应商名称+授权代表名称”。</w:t>
            </w:r>
          </w:p>
        </w:tc>
      </w:tr>
      <w:tr w14:paraId="2C455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1090" w:type="dxa"/>
            <w:vAlign w:val="center"/>
          </w:tcPr>
          <w:p w14:paraId="62F7AA01">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14</w:t>
            </w:r>
          </w:p>
        </w:tc>
        <w:tc>
          <w:tcPr>
            <w:tcW w:w="2270" w:type="dxa"/>
            <w:vAlign w:val="center"/>
          </w:tcPr>
          <w:p w14:paraId="6256E0B8">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投标文件有效期</w:t>
            </w:r>
          </w:p>
        </w:tc>
        <w:tc>
          <w:tcPr>
            <w:tcW w:w="6268" w:type="dxa"/>
            <w:vAlign w:val="center"/>
          </w:tcPr>
          <w:p w14:paraId="6295CBD3">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从开标之日起计算的九十天</w:t>
            </w:r>
          </w:p>
        </w:tc>
      </w:tr>
      <w:tr w14:paraId="764BF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1090" w:type="dxa"/>
            <w:vAlign w:val="center"/>
          </w:tcPr>
          <w:p w14:paraId="3E1660C2">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15</w:t>
            </w:r>
          </w:p>
        </w:tc>
        <w:tc>
          <w:tcPr>
            <w:tcW w:w="2270" w:type="dxa"/>
            <w:vAlign w:val="center"/>
          </w:tcPr>
          <w:p w14:paraId="648A1B75">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投标货币</w:t>
            </w:r>
          </w:p>
        </w:tc>
        <w:tc>
          <w:tcPr>
            <w:tcW w:w="6268" w:type="dxa"/>
            <w:vAlign w:val="center"/>
          </w:tcPr>
          <w:p w14:paraId="3C7F4EB2">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人民币</w:t>
            </w:r>
          </w:p>
        </w:tc>
      </w:tr>
      <w:tr w14:paraId="22E85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1090" w:type="dxa"/>
            <w:vAlign w:val="center"/>
          </w:tcPr>
          <w:p w14:paraId="4E413BD0">
            <w:pPr>
              <w:snapToGrid w:val="0"/>
              <w:spacing w:line="360" w:lineRule="auto"/>
              <w:jc w:val="center"/>
              <w:rPr>
                <w:rFonts w:ascii="仿宋" w:hAnsi="仿宋" w:eastAsia="仿宋"/>
                <w:color w:val="auto"/>
                <w:sz w:val="24"/>
                <w:szCs w:val="24"/>
                <w:highlight w:val="none"/>
              </w:rPr>
            </w:pPr>
            <w:r>
              <w:rPr>
                <w:rFonts w:ascii="仿宋" w:hAnsi="仿宋" w:eastAsia="仿宋"/>
                <w:color w:val="auto"/>
                <w:sz w:val="24"/>
                <w:szCs w:val="24"/>
                <w:highlight w:val="none"/>
              </w:rPr>
              <w:t>16</w:t>
            </w:r>
          </w:p>
        </w:tc>
        <w:tc>
          <w:tcPr>
            <w:tcW w:w="2270" w:type="dxa"/>
            <w:vAlign w:val="center"/>
          </w:tcPr>
          <w:p w14:paraId="513D3845">
            <w:pPr>
              <w:snapToGrid w:val="0"/>
              <w:spacing w:line="360" w:lineRule="auto"/>
              <w:jc w:val="center"/>
              <w:rPr>
                <w:rFonts w:ascii="仿宋" w:hAnsi="仿宋" w:eastAsia="仿宋"/>
                <w:color w:val="auto"/>
                <w:sz w:val="24"/>
                <w:szCs w:val="24"/>
                <w:highlight w:val="none"/>
              </w:rPr>
            </w:pPr>
            <w:r>
              <w:rPr>
                <w:rFonts w:ascii="仿宋" w:hAnsi="仿宋" w:eastAsia="仿宋"/>
                <w:color w:val="auto"/>
                <w:sz w:val="24"/>
                <w:szCs w:val="24"/>
                <w:highlight w:val="none"/>
              </w:rPr>
              <w:t>采购项目</w:t>
            </w:r>
            <w:r>
              <w:rPr>
                <w:rFonts w:hint="eastAsia" w:ascii="仿宋" w:hAnsi="仿宋" w:eastAsia="仿宋"/>
                <w:color w:val="auto"/>
                <w:sz w:val="24"/>
                <w:szCs w:val="24"/>
                <w:highlight w:val="none"/>
              </w:rPr>
              <w:t>类型</w:t>
            </w:r>
          </w:p>
        </w:tc>
        <w:tc>
          <w:tcPr>
            <w:tcW w:w="6268" w:type="dxa"/>
            <w:vAlign w:val="center"/>
          </w:tcPr>
          <w:p w14:paraId="5AA7A524">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服务</w:t>
            </w:r>
            <w:r>
              <w:rPr>
                <w:rFonts w:ascii="仿宋" w:hAnsi="仿宋" w:eastAsia="仿宋"/>
                <w:color w:val="auto"/>
                <w:sz w:val="24"/>
                <w:szCs w:val="24"/>
                <w:highlight w:val="none"/>
              </w:rPr>
              <w:t>采购项目</w:t>
            </w:r>
          </w:p>
        </w:tc>
      </w:tr>
      <w:tr w14:paraId="30284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1090" w:type="dxa"/>
            <w:vAlign w:val="center"/>
          </w:tcPr>
          <w:p w14:paraId="78537214">
            <w:pPr>
              <w:snapToGrid w:val="0"/>
              <w:spacing w:line="360" w:lineRule="auto"/>
              <w:jc w:val="center"/>
              <w:rPr>
                <w:rFonts w:ascii="仿宋" w:hAnsi="仿宋" w:eastAsia="仿宋"/>
                <w:color w:val="auto"/>
                <w:sz w:val="24"/>
                <w:szCs w:val="24"/>
                <w:highlight w:val="none"/>
              </w:rPr>
            </w:pPr>
            <w:r>
              <w:rPr>
                <w:rFonts w:ascii="仿宋" w:hAnsi="仿宋" w:eastAsia="仿宋"/>
                <w:color w:val="auto"/>
                <w:sz w:val="24"/>
                <w:szCs w:val="24"/>
                <w:highlight w:val="none"/>
              </w:rPr>
              <w:t>17</w:t>
            </w:r>
          </w:p>
        </w:tc>
        <w:tc>
          <w:tcPr>
            <w:tcW w:w="2270" w:type="dxa"/>
            <w:vAlign w:val="center"/>
          </w:tcPr>
          <w:p w14:paraId="3B7B274A">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采购标的对应的中小企业划分标准所属行业</w:t>
            </w:r>
          </w:p>
        </w:tc>
        <w:tc>
          <w:tcPr>
            <w:tcW w:w="6268" w:type="dxa"/>
            <w:vAlign w:val="center"/>
          </w:tcPr>
          <w:p w14:paraId="7DDEE97C">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其他未列明行业（包括科学研究和技术服务业，水利、环境和公共设施管理业，居民服务、修理和其他服务业，社会工作，文化、体育和娱乐业等）</w:t>
            </w:r>
          </w:p>
        </w:tc>
      </w:tr>
      <w:tr w14:paraId="59218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1090" w:type="dxa"/>
            <w:vAlign w:val="center"/>
          </w:tcPr>
          <w:p w14:paraId="7B46F17A">
            <w:pPr>
              <w:snapToGrid w:val="0"/>
              <w:spacing w:line="360" w:lineRule="auto"/>
              <w:jc w:val="center"/>
              <w:rPr>
                <w:rFonts w:ascii="仿宋" w:hAnsi="仿宋" w:eastAsia="仿宋"/>
                <w:color w:val="auto"/>
                <w:sz w:val="24"/>
                <w:szCs w:val="24"/>
                <w:highlight w:val="none"/>
              </w:rPr>
            </w:pPr>
            <w:r>
              <w:rPr>
                <w:rFonts w:ascii="仿宋" w:hAnsi="仿宋" w:eastAsia="仿宋"/>
                <w:color w:val="auto"/>
                <w:sz w:val="24"/>
                <w:szCs w:val="24"/>
                <w:highlight w:val="none"/>
              </w:rPr>
              <w:t>18</w:t>
            </w:r>
          </w:p>
        </w:tc>
        <w:tc>
          <w:tcPr>
            <w:tcW w:w="2270" w:type="dxa"/>
            <w:vAlign w:val="center"/>
          </w:tcPr>
          <w:p w14:paraId="4AD485C1">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其他规定</w:t>
            </w:r>
          </w:p>
        </w:tc>
        <w:tc>
          <w:tcPr>
            <w:tcW w:w="6268" w:type="dxa"/>
            <w:vAlign w:val="center"/>
          </w:tcPr>
          <w:p w14:paraId="47A395F3">
            <w:pPr>
              <w:snapToGrid w:val="0"/>
              <w:spacing w:line="360" w:lineRule="auto"/>
              <w:jc w:val="both"/>
              <w:rPr>
                <w:rFonts w:ascii="仿宋" w:hAnsi="仿宋" w:eastAsia="仿宋"/>
                <w:color w:val="auto"/>
                <w:sz w:val="24"/>
                <w:szCs w:val="24"/>
                <w:highlight w:val="none"/>
              </w:rPr>
            </w:pPr>
            <w:r>
              <w:rPr>
                <w:rFonts w:ascii="仿宋" w:hAnsi="仿宋" w:eastAsia="仿宋"/>
                <w:color w:val="auto"/>
                <w:sz w:val="24"/>
                <w:szCs w:val="24"/>
                <w:highlight w:val="none"/>
              </w:rPr>
              <w:t>依据</w:t>
            </w:r>
            <w:r>
              <w:rPr>
                <w:rFonts w:hint="eastAsia" w:ascii="仿宋" w:hAnsi="仿宋" w:eastAsia="仿宋"/>
                <w:color w:val="auto"/>
                <w:sz w:val="24"/>
                <w:szCs w:val="24"/>
                <w:highlight w:val="none"/>
              </w:rPr>
              <w:t>《政府采购促进中小企业发展管理办法》</w:t>
            </w:r>
            <w:r>
              <w:rPr>
                <w:rFonts w:ascii="仿宋" w:hAnsi="仿宋" w:eastAsia="仿宋"/>
                <w:color w:val="auto"/>
                <w:sz w:val="24"/>
                <w:szCs w:val="24"/>
                <w:highlight w:val="none"/>
              </w:rPr>
              <w:t>规定享受扶持政策获得政府采购合同的，小微企业不得将合同分包给大中型企业，中型企业不得将合同分包给大型企业。</w:t>
            </w:r>
          </w:p>
        </w:tc>
      </w:tr>
    </w:tbl>
    <w:p w14:paraId="187AF91A">
      <w:pPr>
        <w:rPr>
          <w:rFonts w:ascii="仿宋" w:hAnsi="仿宋" w:eastAsia="仿宋"/>
          <w:color w:val="auto"/>
          <w:sz w:val="24"/>
          <w:szCs w:val="24"/>
          <w:highlight w:val="none"/>
        </w:rPr>
      </w:pPr>
    </w:p>
    <w:p w14:paraId="6E5A51D9">
      <w:pPr>
        <w:pStyle w:val="4"/>
        <w:rPr>
          <w:rFonts w:ascii="仿宋" w:hAnsi="仿宋" w:eastAsia="仿宋"/>
          <w:color w:val="auto"/>
          <w:sz w:val="24"/>
          <w:szCs w:val="24"/>
          <w:highlight w:val="none"/>
        </w:rPr>
      </w:pPr>
      <w:bookmarkStart w:id="232" w:name="_Toc8707"/>
      <w:bookmarkStart w:id="233" w:name="_Toc420487911"/>
      <w:bookmarkStart w:id="234" w:name="_Toc420657406"/>
      <w:bookmarkStart w:id="235" w:name="_Toc289873206"/>
      <w:r>
        <w:rPr>
          <w:rFonts w:hint="eastAsia" w:ascii="仿宋" w:hAnsi="仿宋" w:eastAsia="仿宋"/>
          <w:color w:val="auto"/>
          <w:sz w:val="24"/>
          <w:szCs w:val="24"/>
          <w:highlight w:val="none"/>
        </w:rPr>
        <w:t>二、合格供应商的基本资格要求（本项目为资格后审）</w:t>
      </w:r>
      <w:bookmarkEnd w:id="232"/>
    </w:p>
    <w:p w14:paraId="52240FE6">
      <w:pPr>
        <w:spacing w:line="360" w:lineRule="auto"/>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1.满足《中华人民共和国政府采购法》第二十二条规定，具体为：</w:t>
      </w:r>
    </w:p>
    <w:p w14:paraId="272580CE">
      <w:pPr>
        <w:spacing w:line="360" w:lineRule="auto"/>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（1）具有独立承担民事责任的能力，提供法人或其他组织的营业执照等证明文件复印件；</w:t>
      </w:r>
    </w:p>
    <w:p w14:paraId="1883230C">
      <w:pPr>
        <w:spacing w:line="360" w:lineRule="auto"/>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（2）具有良好的商业信誉和健全的财务会计制度，提供开标时间前的财务报表复印件（法人或者其他组织成立未满六个月的可以不提供）；</w:t>
      </w:r>
    </w:p>
    <w:p w14:paraId="684BFC39">
      <w:pPr>
        <w:spacing w:line="360" w:lineRule="auto"/>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（3）具有履行合同所必需的设备和专业技术能力，提供</w:t>
      </w:r>
      <w:r>
        <w:rPr>
          <w:rFonts w:ascii="仿宋" w:hAnsi="仿宋" w:eastAsia="仿宋" w:cs="宋体"/>
          <w:color w:val="auto"/>
          <w:sz w:val="24"/>
          <w:szCs w:val="24"/>
          <w:highlight w:val="none"/>
        </w:rPr>
        <w:t>证明材料或</w:t>
      </w:r>
      <w:r>
        <w:rPr>
          <w:rFonts w:hint="eastAsia" w:ascii="仿宋" w:hAnsi="仿宋" w:eastAsia="仿宋" w:cs="宋体"/>
          <w:color w:val="auto"/>
          <w:sz w:val="24"/>
          <w:szCs w:val="24"/>
          <w:highlight w:val="none"/>
        </w:rPr>
        <w:t>承诺函（自行编写）；</w:t>
      </w:r>
    </w:p>
    <w:p w14:paraId="0F26B3AF">
      <w:pPr>
        <w:spacing w:line="360" w:lineRule="auto"/>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4）有依法缴纳税收和社会保障资金的良好记录，提供纳税凭据复印件（依法免税的应提供相应文件说明）、依法缴纳社会保障资金的凭据复印件（凭据可以是缴费的银行单据、专用收据、社会保险缴纳清单或者所在社保机构开具的证明等，依法不需要缴纳社会保障资金的应提供相应文件说明）；</w:t>
      </w:r>
    </w:p>
    <w:p w14:paraId="402A3FF2">
      <w:pPr>
        <w:spacing w:line="360" w:lineRule="auto"/>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5）参加政府采购活动前三年内（成立时间不足三年的、自成立时间起），在经营活动中没有重大违法记录，提供声明函原件（自行编写，重大违法记录是指供应商因违法经营受到刑事处罚或责令停产停业、吊销许可证或者执照、较大数额罚款等行政处罚。）。</w:t>
      </w:r>
    </w:p>
    <w:p w14:paraId="4F5B882E">
      <w:pPr>
        <w:spacing w:line="360" w:lineRule="auto"/>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2.落实政府采购政策需满足的资格要求：</w:t>
      </w:r>
    </w:p>
    <w:p w14:paraId="5F3556D8">
      <w:pPr>
        <w:spacing w:line="360" w:lineRule="auto"/>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无（本项目不属于专门面向中小企业采购的项目）</w:t>
      </w:r>
    </w:p>
    <w:p w14:paraId="21C544FA">
      <w:pPr>
        <w:spacing w:line="360" w:lineRule="auto"/>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3.本项目的特定资格要求：</w:t>
      </w:r>
    </w:p>
    <w:p w14:paraId="455B2F17">
      <w:pPr>
        <w:spacing w:line="360" w:lineRule="auto"/>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（1）供应商具有“测绘资质证书（摄影测量与遥感乙级或以上）”，提供有效期内的证书复印件；</w:t>
      </w:r>
    </w:p>
    <w:p w14:paraId="5A151F7F">
      <w:pPr>
        <w:spacing w:line="360" w:lineRule="auto"/>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w:t>
      </w:r>
      <w:r>
        <w:rPr>
          <w:rFonts w:ascii="仿宋" w:hAnsi="仿宋" w:eastAsia="仿宋" w:cs="宋体"/>
          <w:color w:val="auto"/>
          <w:sz w:val="24"/>
          <w:szCs w:val="24"/>
          <w:highlight w:val="none"/>
        </w:rPr>
        <w:t>2</w:t>
      </w:r>
      <w:r>
        <w:rPr>
          <w:rFonts w:hint="eastAsia" w:ascii="仿宋" w:hAnsi="仿宋" w:eastAsia="仿宋" w:cs="宋体"/>
          <w:color w:val="auto"/>
          <w:sz w:val="24"/>
          <w:szCs w:val="24"/>
          <w:highlight w:val="none"/>
        </w:rPr>
        <w:t>）本项目不接受进口产品投标（注：指产品自身，而非构成产品的零部件；本文件所称进口产品是指通过中国海关报关验放进入中国境内且产自关境外的产品）；</w:t>
      </w:r>
    </w:p>
    <w:p w14:paraId="26CDA258">
      <w:pPr>
        <w:spacing w:line="360" w:lineRule="auto"/>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w:t>
      </w:r>
      <w:r>
        <w:rPr>
          <w:rFonts w:ascii="仿宋" w:hAnsi="仿宋" w:eastAsia="仿宋" w:cs="宋体"/>
          <w:color w:val="auto"/>
          <w:sz w:val="24"/>
          <w:szCs w:val="24"/>
          <w:highlight w:val="none"/>
        </w:rPr>
        <w:t>3</w:t>
      </w:r>
      <w:r>
        <w:rPr>
          <w:rFonts w:hint="eastAsia" w:ascii="仿宋" w:hAnsi="仿宋" w:eastAsia="仿宋" w:cs="宋体"/>
          <w:color w:val="auto"/>
          <w:sz w:val="24"/>
          <w:szCs w:val="24"/>
          <w:highlight w:val="none"/>
        </w:rPr>
        <w:t>）采购代理机构将通过“信用中国”网站（http://www.creditchina.gov.cn）、中国政府采购网(www.ccgp.gov.cn )查询供应商在采购公告发布之日前的信用记录并保存，通过以上查询渠道，供应商不得有被列入失信被执行人、重大税收违法案件当事人名单、政府采购严重违法失信行为记录；</w:t>
      </w:r>
    </w:p>
    <w:p w14:paraId="7D85285F">
      <w:pPr>
        <w:spacing w:line="360" w:lineRule="auto"/>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w:t>
      </w:r>
      <w:r>
        <w:rPr>
          <w:rFonts w:ascii="仿宋" w:hAnsi="仿宋" w:eastAsia="仿宋" w:cs="宋体"/>
          <w:color w:val="auto"/>
          <w:sz w:val="24"/>
          <w:szCs w:val="24"/>
          <w:highlight w:val="none"/>
        </w:rPr>
        <w:t>4</w:t>
      </w:r>
      <w:r>
        <w:rPr>
          <w:rFonts w:hint="eastAsia" w:ascii="仿宋" w:hAnsi="仿宋" w:eastAsia="仿宋" w:cs="宋体"/>
          <w:color w:val="auto"/>
          <w:sz w:val="24"/>
          <w:szCs w:val="24"/>
          <w:highlight w:val="none"/>
        </w:rPr>
        <w:t>）单位负责人为同一人或者存在直接控股、管理关系的不同供应商，不得参加同一合同项下的政府采购活动；</w:t>
      </w:r>
    </w:p>
    <w:p w14:paraId="45CA6556">
      <w:pPr>
        <w:spacing w:line="360" w:lineRule="auto"/>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w:t>
      </w:r>
      <w:r>
        <w:rPr>
          <w:rFonts w:ascii="仿宋" w:hAnsi="仿宋" w:eastAsia="仿宋" w:cs="宋体"/>
          <w:color w:val="auto"/>
          <w:sz w:val="24"/>
          <w:szCs w:val="24"/>
          <w:highlight w:val="none"/>
        </w:rPr>
        <w:t>5</w:t>
      </w:r>
      <w:r>
        <w:rPr>
          <w:rFonts w:hint="eastAsia" w:ascii="仿宋" w:hAnsi="仿宋" w:eastAsia="仿宋" w:cs="宋体"/>
          <w:color w:val="auto"/>
          <w:sz w:val="24"/>
          <w:szCs w:val="24"/>
          <w:highlight w:val="none"/>
        </w:rPr>
        <w:t>）为采购项目提供整体设计、规范编制或者项目管理、监理、检测等服务的供应商，不得再参加该采购项目的其他采购活动；</w:t>
      </w:r>
    </w:p>
    <w:p w14:paraId="00A3F2E2">
      <w:pPr>
        <w:spacing w:line="360" w:lineRule="auto"/>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w:t>
      </w:r>
      <w:r>
        <w:rPr>
          <w:rFonts w:ascii="仿宋" w:hAnsi="仿宋" w:eastAsia="仿宋" w:cs="宋体"/>
          <w:color w:val="auto"/>
          <w:sz w:val="24"/>
          <w:szCs w:val="24"/>
          <w:highlight w:val="none"/>
        </w:rPr>
        <w:t>6</w:t>
      </w:r>
      <w:r>
        <w:rPr>
          <w:rFonts w:hint="eastAsia" w:ascii="仿宋" w:hAnsi="仿宋" w:eastAsia="仿宋" w:cs="宋体"/>
          <w:color w:val="auto"/>
          <w:sz w:val="24"/>
          <w:szCs w:val="24"/>
          <w:highlight w:val="none"/>
        </w:rPr>
        <w:t>）本项目不接受联合体投标。</w:t>
      </w:r>
    </w:p>
    <w:p w14:paraId="77407B80">
      <w:pPr>
        <w:pStyle w:val="4"/>
        <w:rPr>
          <w:rFonts w:ascii="仿宋" w:hAnsi="仿宋" w:eastAsia="仿宋"/>
          <w:color w:val="auto"/>
          <w:sz w:val="24"/>
          <w:szCs w:val="24"/>
          <w:highlight w:val="none"/>
        </w:rPr>
      </w:pPr>
      <w:bookmarkStart w:id="236" w:name="_Toc31288"/>
      <w:r>
        <w:rPr>
          <w:rFonts w:hint="eastAsia" w:ascii="仿宋" w:hAnsi="仿宋" w:eastAsia="仿宋"/>
          <w:color w:val="auto"/>
          <w:sz w:val="24"/>
          <w:szCs w:val="24"/>
          <w:highlight w:val="none"/>
        </w:rPr>
        <w:t>三、评标办法</w:t>
      </w:r>
      <w:bookmarkEnd w:id="236"/>
    </w:p>
    <w:p w14:paraId="6E6D860E">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（一）本项目按照综合评分法评标。</w:t>
      </w:r>
    </w:p>
    <w:p w14:paraId="30D79DFE">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（二）供应商的投标文件如被发现下列情况之一的，其投标文件将被做无效投标处理:</w:t>
      </w:r>
    </w:p>
    <w:p w14:paraId="5331BAD8">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1）不满足招标文件对合格供应商的基本资格要求的；</w:t>
      </w:r>
    </w:p>
    <w:p w14:paraId="1DE4C7C2">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2）供应商未提交投标保证金或金额不足、投标保证金形式不符合招标文件要求的；</w:t>
      </w:r>
    </w:p>
    <w:p w14:paraId="573F2794">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3）供应商在投标文件中提供的货物及/或服务对于招标文件“第四章 招标技术规格及要求”的标注“★”技术指标的任何负偏离的； </w:t>
      </w:r>
    </w:p>
    <w:p w14:paraId="10A61BA0">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4）供应商在投标文件中对于《合同条款及格式》的任何重大负偏离；</w:t>
      </w:r>
    </w:p>
    <w:p w14:paraId="5A18E289">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5）资格证明文件不全、失效或不符合招标文件要求的；</w:t>
      </w:r>
    </w:p>
    <w:p w14:paraId="55224878">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6）投标文件无法定代表人签字，或签字人无法定代表人有效授权的；</w:t>
      </w:r>
    </w:p>
    <w:p w14:paraId="199CA6E7">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7）投标文件或投标有效期不足的；</w:t>
      </w:r>
    </w:p>
    <w:p w14:paraId="792967D9">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8）投标文件中提供虚假或失实资料的；</w:t>
      </w:r>
    </w:p>
    <w:p w14:paraId="79D7D1F3">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9）未按照招标文件规定的方式购买招标文件的；</w:t>
      </w:r>
    </w:p>
    <w:p w14:paraId="6B70354E">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10</w:t>
      </w:r>
      <w:r>
        <w:rPr>
          <w:rFonts w:ascii="仿宋" w:hAnsi="仿宋" w:eastAsia="仿宋"/>
          <w:color w:val="auto"/>
          <w:sz w:val="24"/>
          <w:szCs w:val="24"/>
          <w:highlight w:val="none"/>
        </w:rPr>
        <w:t>）投标报价超过项目预算</w:t>
      </w:r>
      <w:r>
        <w:rPr>
          <w:rFonts w:hint="eastAsia" w:ascii="仿宋" w:hAnsi="仿宋" w:eastAsia="仿宋"/>
          <w:color w:val="auto"/>
          <w:sz w:val="24"/>
          <w:szCs w:val="24"/>
          <w:highlight w:val="none"/>
        </w:rPr>
        <w:t>或最高限价</w:t>
      </w:r>
      <w:r>
        <w:rPr>
          <w:rFonts w:ascii="仿宋" w:hAnsi="仿宋" w:eastAsia="仿宋"/>
          <w:color w:val="auto"/>
          <w:sz w:val="24"/>
          <w:szCs w:val="24"/>
          <w:highlight w:val="none"/>
        </w:rPr>
        <w:t>的；</w:t>
      </w:r>
    </w:p>
    <w:p w14:paraId="60FB72CA">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11）评标委员会认为不能实质上满足招标文件其它要求的。</w:t>
      </w:r>
    </w:p>
    <w:p w14:paraId="4089A279">
      <w:pPr>
        <w:ind w:firstLine="480"/>
        <w:rPr>
          <w:rFonts w:ascii="仿宋" w:hAnsi="仿宋" w:eastAsia="仿宋"/>
          <w:color w:val="auto"/>
          <w:sz w:val="24"/>
          <w:szCs w:val="24"/>
          <w:highlight w:val="none"/>
        </w:rPr>
      </w:pPr>
    </w:p>
    <w:p w14:paraId="0F81EEB7">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三）本项目采用综合打分法，总分为100分，按评审后得分由高到低顺序排列，得分相同的，按投标报价由低到高顺序排列，得分且投标报价相同的，按技术指标优劣顺序排列，由评标委员会依次推荐三家中标候选供应商。</w:t>
      </w:r>
      <w:bookmarkEnd w:id="233"/>
      <w:bookmarkEnd w:id="234"/>
      <w:bookmarkEnd w:id="235"/>
      <w:bookmarkStart w:id="237" w:name="_Toc420657408"/>
      <w:bookmarkStart w:id="238" w:name="_Toc420487913"/>
      <w:bookmarkStart w:id="239" w:name="_Toc289873209"/>
    </w:p>
    <w:tbl>
      <w:tblPr>
        <w:tblStyle w:val="41"/>
        <w:tblW w:w="95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215"/>
        <w:gridCol w:w="1375"/>
        <w:gridCol w:w="5480"/>
        <w:gridCol w:w="729"/>
      </w:tblGrid>
      <w:tr w14:paraId="4CFE6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vAlign w:val="center"/>
          </w:tcPr>
          <w:p w14:paraId="60D8AF09">
            <w:pPr>
              <w:snapToGrid w:val="0"/>
              <w:spacing w:line="40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序号</w:t>
            </w:r>
          </w:p>
        </w:tc>
        <w:tc>
          <w:tcPr>
            <w:tcW w:w="2590" w:type="dxa"/>
            <w:gridSpan w:val="2"/>
            <w:tcBorders>
              <w:top w:val="single" w:color="auto" w:sz="4" w:space="0"/>
              <w:left w:val="single" w:color="auto" w:sz="4" w:space="0"/>
              <w:bottom w:val="single" w:color="auto" w:sz="4" w:space="0"/>
              <w:right w:val="single" w:color="auto" w:sz="4" w:space="0"/>
            </w:tcBorders>
            <w:vAlign w:val="center"/>
          </w:tcPr>
          <w:p w14:paraId="73BFE4D4">
            <w:pPr>
              <w:snapToGrid w:val="0"/>
              <w:spacing w:line="40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评审因素</w:t>
            </w:r>
          </w:p>
        </w:tc>
        <w:tc>
          <w:tcPr>
            <w:tcW w:w="5480" w:type="dxa"/>
            <w:tcBorders>
              <w:top w:val="single" w:color="auto" w:sz="4" w:space="0"/>
              <w:left w:val="single" w:color="auto" w:sz="4" w:space="0"/>
              <w:bottom w:val="single" w:color="auto" w:sz="4" w:space="0"/>
              <w:right w:val="single" w:color="auto" w:sz="4" w:space="0"/>
            </w:tcBorders>
            <w:vAlign w:val="center"/>
          </w:tcPr>
          <w:p w14:paraId="23BA7CD2">
            <w:pPr>
              <w:snapToGrid w:val="0"/>
              <w:spacing w:line="40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评分标准</w:t>
            </w:r>
          </w:p>
        </w:tc>
        <w:tc>
          <w:tcPr>
            <w:tcW w:w="729" w:type="dxa"/>
            <w:tcBorders>
              <w:top w:val="single" w:color="auto" w:sz="4" w:space="0"/>
              <w:left w:val="single" w:color="auto" w:sz="4" w:space="0"/>
              <w:bottom w:val="single" w:color="auto" w:sz="4" w:space="0"/>
              <w:right w:val="single" w:color="auto" w:sz="4" w:space="0"/>
            </w:tcBorders>
          </w:tcPr>
          <w:p w14:paraId="44535C08">
            <w:pPr>
              <w:snapToGrid w:val="0"/>
              <w:spacing w:line="40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分值</w:t>
            </w:r>
          </w:p>
        </w:tc>
      </w:tr>
      <w:tr w14:paraId="529C2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vAlign w:val="center"/>
          </w:tcPr>
          <w:p w14:paraId="57B33CD8">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1</w:t>
            </w:r>
          </w:p>
        </w:tc>
        <w:tc>
          <w:tcPr>
            <w:tcW w:w="2590" w:type="dxa"/>
            <w:gridSpan w:val="2"/>
            <w:tcBorders>
              <w:top w:val="single" w:color="auto" w:sz="4" w:space="0"/>
              <w:left w:val="single" w:color="auto" w:sz="4" w:space="0"/>
              <w:bottom w:val="single" w:color="auto" w:sz="4" w:space="0"/>
              <w:right w:val="single" w:color="auto" w:sz="4" w:space="0"/>
            </w:tcBorders>
            <w:vAlign w:val="center"/>
          </w:tcPr>
          <w:p w14:paraId="12321492">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价格部分(</w:t>
            </w:r>
            <w:r>
              <w:rPr>
                <w:rFonts w:ascii="仿宋" w:hAnsi="仿宋" w:eastAsia="仿宋"/>
                <w:color w:val="auto"/>
                <w:sz w:val="24"/>
                <w:szCs w:val="24"/>
                <w:highlight w:val="none"/>
              </w:rPr>
              <w:t>1</w:t>
            </w:r>
            <w:r>
              <w:rPr>
                <w:rFonts w:hint="eastAsia" w:ascii="仿宋" w:hAnsi="仿宋" w:eastAsia="仿宋"/>
                <w:color w:val="auto"/>
                <w:sz w:val="24"/>
                <w:szCs w:val="24"/>
                <w:highlight w:val="none"/>
              </w:rPr>
              <w:t>0分)</w:t>
            </w:r>
          </w:p>
        </w:tc>
        <w:tc>
          <w:tcPr>
            <w:tcW w:w="5480" w:type="dxa"/>
            <w:tcBorders>
              <w:top w:val="single" w:color="auto" w:sz="4" w:space="0"/>
              <w:left w:val="single" w:color="auto" w:sz="4" w:space="0"/>
              <w:bottom w:val="single" w:color="auto" w:sz="4" w:space="0"/>
              <w:right w:val="single" w:color="auto" w:sz="4" w:space="0"/>
            </w:tcBorders>
            <w:vAlign w:val="center"/>
          </w:tcPr>
          <w:p w14:paraId="264BE04F">
            <w:pPr>
              <w:rPr>
                <w:rFonts w:ascii="仿宋" w:hAnsi="仿宋" w:eastAsia="仿宋"/>
                <w:color w:val="auto"/>
                <w:sz w:val="24"/>
                <w:szCs w:val="24"/>
                <w:highlight w:val="none"/>
              </w:rPr>
            </w:pPr>
            <w:r>
              <w:rPr>
                <w:rFonts w:hint="eastAsia" w:ascii="仿宋" w:hAnsi="仿宋" w:eastAsia="仿宋"/>
                <w:color w:val="auto"/>
                <w:sz w:val="24"/>
                <w:szCs w:val="24"/>
                <w:highlight w:val="none"/>
              </w:rPr>
              <w:t>满足招标文件要求且投标价格最低的投标报价为评标基准价，其价格为满分。</w:t>
            </w:r>
          </w:p>
          <w:p w14:paraId="47E9042D">
            <w:pPr>
              <w:rPr>
                <w:rFonts w:ascii="仿宋" w:hAnsi="仿宋" w:eastAsia="仿宋"/>
                <w:color w:val="auto"/>
                <w:sz w:val="24"/>
                <w:szCs w:val="24"/>
                <w:highlight w:val="none"/>
              </w:rPr>
            </w:pPr>
            <w:r>
              <w:rPr>
                <w:rFonts w:hint="eastAsia" w:ascii="仿宋" w:hAnsi="仿宋" w:eastAsia="仿宋"/>
                <w:color w:val="auto"/>
                <w:sz w:val="24"/>
                <w:szCs w:val="24"/>
                <w:highlight w:val="none"/>
              </w:rPr>
              <w:t>投标人报价得分=（所有评标价中的最低价/ 投标人评标价）×</w:t>
            </w:r>
            <w:r>
              <w:rPr>
                <w:rFonts w:ascii="仿宋" w:hAnsi="仿宋" w:eastAsia="仿宋"/>
                <w:color w:val="auto"/>
                <w:sz w:val="24"/>
                <w:szCs w:val="24"/>
                <w:highlight w:val="none"/>
              </w:rPr>
              <w:t>1</w:t>
            </w:r>
            <w:r>
              <w:rPr>
                <w:rFonts w:hint="eastAsia" w:ascii="仿宋" w:hAnsi="仿宋" w:eastAsia="仿宋"/>
                <w:color w:val="auto"/>
                <w:sz w:val="24"/>
                <w:szCs w:val="24"/>
                <w:highlight w:val="none"/>
              </w:rPr>
              <w:t>0。（小数点后四舍五入保留2位）</w:t>
            </w:r>
          </w:p>
        </w:tc>
        <w:tc>
          <w:tcPr>
            <w:tcW w:w="729" w:type="dxa"/>
            <w:tcBorders>
              <w:top w:val="single" w:color="auto" w:sz="4" w:space="0"/>
              <w:left w:val="single" w:color="auto" w:sz="4" w:space="0"/>
              <w:bottom w:val="single" w:color="auto" w:sz="4" w:space="0"/>
              <w:right w:val="single" w:color="auto" w:sz="4" w:space="0"/>
            </w:tcBorders>
            <w:vAlign w:val="center"/>
          </w:tcPr>
          <w:p w14:paraId="51520525">
            <w:pPr>
              <w:snapToGrid w:val="0"/>
              <w:spacing w:line="40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1</w:t>
            </w:r>
            <w:r>
              <w:rPr>
                <w:rFonts w:hint="eastAsia" w:ascii="仿宋" w:hAnsi="仿宋" w:eastAsia="仿宋"/>
                <w:color w:val="auto"/>
                <w:sz w:val="24"/>
                <w:szCs w:val="24"/>
                <w:highlight w:val="none"/>
              </w:rPr>
              <w:t>0</w:t>
            </w:r>
          </w:p>
        </w:tc>
      </w:tr>
      <w:tr w14:paraId="49C5B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restart"/>
            <w:tcBorders>
              <w:top w:val="single" w:color="auto" w:sz="4" w:space="0"/>
              <w:left w:val="single" w:color="auto" w:sz="4" w:space="0"/>
              <w:right w:val="single" w:color="auto" w:sz="4" w:space="0"/>
            </w:tcBorders>
            <w:vAlign w:val="center"/>
          </w:tcPr>
          <w:p w14:paraId="4C34ACD7">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2</w:t>
            </w:r>
          </w:p>
        </w:tc>
        <w:tc>
          <w:tcPr>
            <w:tcW w:w="1215" w:type="dxa"/>
            <w:vMerge w:val="restart"/>
            <w:tcBorders>
              <w:top w:val="single" w:color="auto" w:sz="4" w:space="0"/>
              <w:left w:val="single" w:color="auto" w:sz="4" w:space="0"/>
              <w:right w:val="single" w:color="auto" w:sz="4" w:space="0"/>
            </w:tcBorders>
            <w:vAlign w:val="center"/>
          </w:tcPr>
          <w:p w14:paraId="1BD7857B">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商务部分</w:t>
            </w:r>
          </w:p>
          <w:p w14:paraId="36287D33">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（4</w:t>
            </w:r>
            <w:r>
              <w:rPr>
                <w:rFonts w:ascii="仿宋" w:hAnsi="仿宋" w:eastAsia="仿宋"/>
                <w:color w:val="auto"/>
                <w:sz w:val="24"/>
                <w:szCs w:val="24"/>
                <w:highlight w:val="none"/>
              </w:rPr>
              <w:t>5</w:t>
            </w:r>
            <w:r>
              <w:rPr>
                <w:rFonts w:hint="eastAsia" w:ascii="仿宋" w:hAnsi="仿宋" w:eastAsia="仿宋"/>
                <w:color w:val="auto"/>
                <w:sz w:val="24"/>
                <w:szCs w:val="24"/>
                <w:highlight w:val="none"/>
              </w:rPr>
              <w:t>分）</w:t>
            </w:r>
          </w:p>
        </w:tc>
        <w:tc>
          <w:tcPr>
            <w:tcW w:w="1375" w:type="dxa"/>
            <w:tcBorders>
              <w:top w:val="single" w:color="auto" w:sz="4" w:space="0"/>
              <w:left w:val="single" w:color="auto" w:sz="4" w:space="0"/>
              <w:bottom w:val="single" w:color="auto" w:sz="4" w:space="0"/>
              <w:right w:val="single" w:color="auto" w:sz="4" w:space="0"/>
            </w:tcBorders>
            <w:vAlign w:val="center"/>
          </w:tcPr>
          <w:p w14:paraId="4A57EC3D">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类似业绩</w:t>
            </w:r>
          </w:p>
        </w:tc>
        <w:tc>
          <w:tcPr>
            <w:tcW w:w="5480" w:type="dxa"/>
            <w:tcBorders>
              <w:top w:val="single" w:color="auto" w:sz="4" w:space="0"/>
              <w:left w:val="single" w:color="auto" w:sz="4" w:space="0"/>
              <w:bottom w:val="single" w:color="auto" w:sz="4" w:space="0"/>
              <w:right w:val="single" w:color="auto" w:sz="4" w:space="0"/>
            </w:tcBorders>
            <w:vAlign w:val="center"/>
          </w:tcPr>
          <w:p w14:paraId="2A0EAA6A">
            <w:pPr>
              <w:rPr>
                <w:rFonts w:ascii="仿宋" w:hAnsi="仿宋" w:eastAsia="仿宋"/>
                <w:color w:val="auto"/>
                <w:sz w:val="24"/>
                <w:szCs w:val="24"/>
                <w:highlight w:val="none"/>
              </w:rPr>
            </w:pPr>
            <w:r>
              <w:rPr>
                <w:rFonts w:hint="eastAsia" w:ascii="仿宋" w:hAnsi="仿宋" w:eastAsia="仿宋"/>
                <w:color w:val="auto"/>
                <w:sz w:val="24"/>
                <w:szCs w:val="24"/>
                <w:highlight w:val="none"/>
              </w:rPr>
              <w:t>投标人202</w:t>
            </w:r>
            <w:r>
              <w:rPr>
                <w:rFonts w:ascii="仿宋" w:hAnsi="仿宋" w:eastAsia="仿宋"/>
                <w:color w:val="auto"/>
                <w:sz w:val="24"/>
                <w:szCs w:val="24"/>
                <w:highlight w:val="none"/>
              </w:rPr>
              <w:t>1</w:t>
            </w:r>
            <w:r>
              <w:rPr>
                <w:rFonts w:hint="eastAsia" w:ascii="仿宋" w:hAnsi="仿宋" w:eastAsia="仿宋"/>
                <w:color w:val="auto"/>
                <w:sz w:val="24"/>
                <w:szCs w:val="24"/>
                <w:highlight w:val="none"/>
              </w:rPr>
              <w:t>年10月1日（含）以来（以相关证明有效日期为准）具有提供过卫星影像服务项目业绩(提供合同或中标通知书或最终验收报告等证明材料复印件并加盖公章)。</w:t>
            </w:r>
          </w:p>
          <w:p w14:paraId="0FAC7E93">
            <w:pPr>
              <w:rPr>
                <w:rFonts w:ascii="仿宋" w:hAnsi="仿宋" w:eastAsia="仿宋"/>
                <w:color w:val="auto"/>
                <w:sz w:val="24"/>
                <w:szCs w:val="24"/>
                <w:highlight w:val="none"/>
              </w:rPr>
            </w:pPr>
            <w:r>
              <w:rPr>
                <w:rFonts w:hint="eastAsia" w:ascii="仿宋" w:hAnsi="仿宋" w:eastAsia="仿宋"/>
                <w:color w:val="auto"/>
                <w:sz w:val="24"/>
                <w:szCs w:val="24"/>
                <w:highlight w:val="none"/>
              </w:rPr>
              <w:t>每提供一个有效业绩得1分；最多不超过5分。</w:t>
            </w:r>
          </w:p>
        </w:tc>
        <w:tc>
          <w:tcPr>
            <w:tcW w:w="729" w:type="dxa"/>
            <w:tcBorders>
              <w:top w:val="single" w:color="auto" w:sz="4" w:space="0"/>
              <w:left w:val="single" w:color="auto" w:sz="4" w:space="0"/>
              <w:bottom w:val="single" w:color="auto" w:sz="4" w:space="0"/>
              <w:right w:val="single" w:color="auto" w:sz="4" w:space="0"/>
            </w:tcBorders>
            <w:vAlign w:val="center"/>
          </w:tcPr>
          <w:p w14:paraId="67808D9D">
            <w:pPr>
              <w:snapToGrid w:val="0"/>
              <w:spacing w:line="40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5</w:t>
            </w:r>
          </w:p>
        </w:tc>
      </w:tr>
      <w:tr w14:paraId="51290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tcBorders>
              <w:left w:val="single" w:color="auto" w:sz="4" w:space="0"/>
              <w:right w:val="single" w:color="auto" w:sz="4" w:space="0"/>
            </w:tcBorders>
            <w:vAlign w:val="center"/>
          </w:tcPr>
          <w:p w14:paraId="40812BF2">
            <w:pPr>
              <w:jc w:val="center"/>
              <w:rPr>
                <w:rFonts w:ascii="仿宋" w:hAnsi="仿宋" w:eastAsia="仿宋"/>
                <w:color w:val="auto"/>
                <w:sz w:val="24"/>
                <w:szCs w:val="24"/>
                <w:highlight w:val="none"/>
              </w:rPr>
            </w:pPr>
          </w:p>
        </w:tc>
        <w:tc>
          <w:tcPr>
            <w:tcW w:w="1215" w:type="dxa"/>
            <w:vMerge w:val="continue"/>
            <w:tcBorders>
              <w:left w:val="single" w:color="auto" w:sz="4" w:space="0"/>
              <w:right w:val="single" w:color="auto" w:sz="4" w:space="0"/>
            </w:tcBorders>
            <w:vAlign w:val="center"/>
          </w:tcPr>
          <w:p w14:paraId="367FCA77">
            <w:pPr>
              <w:jc w:val="center"/>
              <w:rPr>
                <w:rFonts w:ascii="仿宋" w:hAnsi="仿宋" w:eastAsia="仿宋"/>
                <w:color w:val="auto"/>
                <w:sz w:val="24"/>
                <w:szCs w:val="24"/>
                <w:highlight w:val="none"/>
              </w:rPr>
            </w:pPr>
          </w:p>
        </w:tc>
        <w:tc>
          <w:tcPr>
            <w:tcW w:w="1375" w:type="dxa"/>
            <w:tcBorders>
              <w:top w:val="single" w:color="auto" w:sz="4" w:space="0"/>
              <w:left w:val="single" w:color="auto" w:sz="4" w:space="0"/>
              <w:bottom w:val="single" w:color="auto" w:sz="4" w:space="0"/>
              <w:right w:val="single" w:color="auto" w:sz="4" w:space="0"/>
            </w:tcBorders>
            <w:vAlign w:val="center"/>
          </w:tcPr>
          <w:p w14:paraId="5F87121E">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资质认证</w:t>
            </w:r>
          </w:p>
        </w:tc>
        <w:tc>
          <w:tcPr>
            <w:tcW w:w="5480" w:type="dxa"/>
            <w:tcBorders>
              <w:top w:val="single" w:color="auto" w:sz="4" w:space="0"/>
              <w:left w:val="single" w:color="auto" w:sz="4" w:space="0"/>
              <w:bottom w:val="single" w:color="auto" w:sz="4" w:space="0"/>
              <w:right w:val="single" w:color="auto" w:sz="4" w:space="0"/>
            </w:tcBorders>
            <w:vAlign w:val="center"/>
          </w:tcPr>
          <w:p w14:paraId="5BCEEF66">
            <w:pPr>
              <w:rPr>
                <w:rFonts w:ascii="仿宋" w:hAnsi="仿宋" w:eastAsia="仿宋"/>
                <w:color w:val="auto"/>
                <w:sz w:val="24"/>
                <w:szCs w:val="24"/>
                <w:highlight w:val="none"/>
              </w:rPr>
            </w:pPr>
            <w:r>
              <w:rPr>
                <w:rFonts w:ascii="仿宋" w:hAnsi="仿宋" w:eastAsia="仿宋"/>
                <w:color w:val="auto"/>
                <w:sz w:val="24"/>
                <w:szCs w:val="24"/>
                <w:highlight w:val="none"/>
              </w:rPr>
              <w:t>投标人取得以下证书：（1）质量管理体系认证证书；（2）环境管理体系认证证书；（3）职业健康安全管理体系认证证书；（4）信息技术服务管理体系认证证书；（5）信息安全管理体系认证证书。每</w:t>
            </w:r>
            <w:r>
              <w:rPr>
                <w:rFonts w:hint="eastAsia" w:ascii="仿宋" w:hAnsi="仿宋" w:eastAsia="仿宋"/>
                <w:color w:val="auto"/>
                <w:sz w:val="24"/>
                <w:szCs w:val="24"/>
                <w:highlight w:val="none"/>
              </w:rPr>
              <w:t>具有一项</w:t>
            </w:r>
            <w:r>
              <w:rPr>
                <w:rFonts w:ascii="仿宋" w:hAnsi="仿宋" w:eastAsia="仿宋"/>
                <w:color w:val="auto"/>
                <w:sz w:val="24"/>
                <w:szCs w:val="24"/>
                <w:highlight w:val="none"/>
              </w:rPr>
              <w:t>得1分，最高得5分</w:t>
            </w:r>
            <w:r>
              <w:rPr>
                <w:rFonts w:hint="eastAsia" w:ascii="仿宋" w:hAnsi="仿宋" w:eastAsia="仿宋"/>
                <w:color w:val="auto"/>
                <w:sz w:val="24"/>
                <w:szCs w:val="24"/>
                <w:highlight w:val="none"/>
              </w:rPr>
              <w:t>，提供有效的证书复印件</w:t>
            </w:r>
            <w:r>
              <w:rPr>
                <w:rFonts w:ascii="仿宋" w:hAnsi="仿宋" w:eastAsia="仿宋"/>
                <w:color w:val="auto"/>
                <w:sz w:val="24"/>
                <w:szCs w:val="24"/>
                <w:highlight w:val="none"/>
              </w:rPr>
              <w:t>，未提供的本项不得分。</w:t>
            </w:r>
          </w:p>
        </w:tc>
        <w:tc>
          <w:tcPr>
            <w:tcW w:w="729" w:type="dxa"/>
            <w:tcBorders>
              <w:top w:val="single" w:color="auto" w:sz="4" w:space="0"/>
              <w:left w:val="single" w:color="auto" w:sz="4" w:space="0"/>
              <w:bottom w:val="single" w:color="auto" w:sz="4" w:space="0"/>
              <w:right w:val="single" w:color="auto" w:sz="4" w:space="0"/>
            </w:tcBorders>
            <w:vAlign w:val="center"/>
          </w:tcPr>
          <w:p w14:paraId="2CC3087A">
            <w:pPr>
              <w:snapToGrid w:val="0"/>
              <w:spacing w:line="40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5</w:t>
            </w:r>
          </w:p>
        </w:tc>
      </w:tr>
      <w:tr w14:paraId="067F8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tcBorders>
              <w:left w:val="single" w:color="auto" w:sz="4" w:space="0"/>
              <w:right w:val="single" w:color="auto" w:sz="4" w:space="0"/>
            </w:tcBorders>
            <w:vAlign w:val="center"/>
          </w:tcPr>
          <w:p w14:paraId="2D83438F">
            <w:pPr>
              <w:jc w:val="center"/>
              <w:rPr>
                <w:rFonts w:ascii="仿宋" w:hAnsi="仿宋" w:eastAsia="仿宋"/>
                <w:color w:val="auto"/>
                <w:sz w:val="24"/>
                <w:szCs w:val="24"/>
                <w:highlight w:val="none"/>
              </w:rPr>
            </w:pPr>
          </w:p>
        </w:tc>
        <w:tc>
          <w:tcPr>
            <w:tcW w:w="1215" w:type="dxa"/>
            <w:vMerge w:val="continue"/>
            <w:tcBorders>
              <w:left w:val="single" w:color="auto" w:sz="4" w:space="0"/>
              <w:right w:val="single" w:color="auto" w:sz="4" w:space="0"/>
            </w:tcBorders>
            <w:vAlign w:val="center"/>
          </w:tcPr>
          <w:p w14:paraId="1FC3A35C">
            <w:pPr>
              <w:jc w:val="center"/>
              <w:rPr>
                <w:rFonts w:ascii="仿宋" w:hAnsi="仿宋" w:eastAsia="仿宋"/>
                <w:color w:val="auto"/>
                <w:sz w:val="24"/>
                <w:szCs w:val="24"/>
                <w:highlight w:val="none"/>
              </w:rPr>
            </w:pPr>
          </w:p>
        </w:tc>
        <w:tc>
          <w:tcPr>
            <w:tcW w:w="1375" w:type="dxa"/>
            <w:tcBorders>
              <w:top w:val="single" w:color="auto" w:sz="4" w:space="0"/>
              <w:left w:val="single" w:color="auto" w:sz="4" w:space="0"/>
              <w:bottom w:val="single" w:color="auto" w:sz="4" w:space="0"/>
              <w:right w:val="single" w:color="auto" w:sz="4" w:space="0"/>
            </w:tcBorders>
            <w:vAlign w:val="center"/>
          </w:tcPr>
          <w:p w14:paraId="2F5ED52B">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技术</w:t>
            </w:r>
            <w:r>
              <w:rPr>
                <w:rFonts w:ascii="仿宋" w:hAnsi="仿宋" w:eastAsia="仿宋"/>
                <w:color w:val="auto"/>
                <w:sz w:val="24"/>
                <w:szCs w:val="24"/>
                <w:highlight w:val="none"/>
              </w:rPr>
              <w:t>能力</w:t>
            </w:r>
          </w:p>
        </w:tc>
        <w:tc>
          <w:tcPr>
            <w:tcW w:w="5480" w:type="dxa"/>
            <w:tcBorders>
              <w:top w:val="single" w:color="auto" w:sz="4" w:space="0"/>
              <w:left w:val="single" w:color="auto" w:sz="4" w:space="0"/>
              <w:bottom w:val="single" w:color="auto" w:sz="4" w:space="0"/>
              <w:right w:val="single" w:color="auto" w:sz="4" w:space="0"/>
            </w:tcBorders>
            <w:vAlign w:val="center"/>
          </w:tcPr>
          <w:p w14:paraId="642496CE">
            <w:pPr>
              <w:rPr>
                <w:rFonts w:ascii="仿宋" w:hAnsi="仿宋" w:eastAsia="仿宋"/>
                <w:color w:val="auto"/>
                <w:sz w:val="24"/>
                <w:szCs w:val="24"/>
                <w:highlight w:val="none"/>
              </w:rPr>
            </w:pPr>
            <w:r>
              <w:rPr>
                <w:rFonts w:ascii="仿宋" w:hAnsi="仿宋" w:eastAsia="仿宋"/>
                <w:color w:val="auto"/>
                <w:sz w:val="24"/>
                <w:szCs w:val="24"/>
                <w:highlight w:val="none"/>
              </w:rPr>
              <w:t>投标人具有自主研发的遥感数据处理软件、影像管理软件、影像浏览软件、动态监测软件、智能检测分析平台。每</w:t>
            </w:r>
            <w:r>
              <w:rPr>
                <w:rFonts w:hint="eastAsia" w:ascii="仿宋" w:hAnsi="仿宋" w:eastAsia="仿宋"/>
                <w:color w:val="auto"/>
                <w:sz w:val="24"/>
                <w:szCs w:val="24"/>
                <w:highlight w:val="none"/>
              </w:rPr>
              <w:t>具有</w:t>
            </w:r>
            <w:r>
              <w:rPr>
                <w:rFonts w:ascii="仿宋" w:hAnsi="仿宋" w:eastAsia="仿宋"/>
                <w:color w:val="auto"/>
                <w:sz w:val="24"/>
                <w:szCs w:val="24"/>
                <w:highlight w:val="none"/>
              </w:rPr>
              <w:t>一</w:t>
            </w:r>
            <w:r>
              <w:rPr>
                <w:rFonts w:hint="eastAsia" w:ascii="仿宋" w:hAnsi="仿宋" w:eastAsia="仿宋"/>
                <w:color w:val="auto"/>
                <w:sz w:val="24"/>
                <w:szCs w:val="24"/>
                <w:highlight w:val="none"/>
              </w:rPr>
              <w:t>项</w:t>
            </w:r>
            <w:r>
              <w:rPr>
                <w:rFonts w:ascii="仿宋" w:hAnsi="仿宋" w:eastAsia="仿宋"/>
                <w:color w:val="auto"/>
                <w:sz w:val="24"/>
                <w:szCs w:val="24"/>
                <w:highlight w:val="none"/>
              </w:rPr>
              <w:t>得1分，最高</w:t>
            </w:r>
            <w:r>
              <w:rPr>
                <w:rFonts w:hint="eastAsia" w:ascii="仿宋" w:hAnsi="仿宋" w:eastAsia="仿宋"/>
                <w:color w:val="auto"/>
                <w:sz w:val="24"/>
                <w:szCs w:val="24"/>
                <w:highlight w:val="none"/>
              </w:rPr>
              <w:t>得</w:t>
            </w:r>
            <w:r>
              <w:rPr>
                <w:rFonts w:ascii="仿宋" w:hAnsi="仿宋" w:eastAsia="仿宋"/>
                <w:color w:val="auto"/>
                <w:sz w:val="24"/>
                <w:szCs w:val="24"/>
                <w:highlight w:val="none"/>
              </w:rPr>
              <w:t>5</w:t>
            </w:r>
            <w:r>
              <w:rPr>
                <w:rFonts w:hint="eastAsia" w:ascii="仿宋" w:hAnsi="仿宋" w:eastAsia="仿宋"/>
                <w:color w:val="auto"/>
                <w:sz w:val="24"/>
                <w:szCs w:val="24"/>
                <w:highlight w:val="none"/>
              </w:rPr>
              <w:t>分，提供计算机</w:t>
            </w:r>
            <w:r>
              <w:rPr>
                <w:rFonts w:ascii="仿宋" w:hAnsi="仿宋" w:eastAsia="仿宋"/>
                <w:color w:val="auto"/>
                <w:sz w:val="24"/>
                <w:szCs w:val="24"/>
                <w:highlight w:val="none"/>
              </w:rPr>
              <w:t>软件著作权</w:t>
            </w:r>
            <w:r>
              <w:rPr>
                <w:rFonts w:hint="eastAsia" w:ascii="仿宋" w:hAnsi="仿宋" w:eastAsia="仿宋"/>
                <w:color w:val="auto"/>
                <w:sz w:val="24"/>
                <w:szCs w:val="24"/>
                <w:highlight w:val="none"/>
              </w:rPr>
              <w:t>登记</w:t>
            </w:r>
            <w:r>
              <w:rPr>
                <w:rFonts w:ascii="仿宋" w:hAnsi="仿宋" w:eastAsia="仿宋"/>
                <w:color w:val="auto"/>
                <w:sz w:val="24"/>
                <w:szCs w:val="24"/>
                <w:highlight w:val="none"/>
              </w:rPr>
              <w:t>证书复印件，未提供的本项不得分。</w:t>
            </w:r>
          </w:p>
        </w:tc>
        <w:tc>
          <w:tcPr>
            <w:tcW w:w="729" w:type="dxa"/>
            <w:tcBorders>
              <w:top w:val="single" w:color="auto" w:sz="4" w:space="0"/>
              <w:left w:val="single" w:color="auto" w:sz="4" w:space="0"/>
              <w:bottom w:val="single" w:color="auto" w:sz="4" w:space="0"/>
              <w:right w:val="single" w:color="auto" w:sz="4" w:space="0"/>
            </w:tcBorders>
            <w:vAlign w:val="center"/>
          </w:tcPr>
          <w:p w14:paraId="6ABA41E9">
            <w:pPr>
              <w:snapToGrid w:val="0"/>
              <w:spacing w:line="400" w:lineRule="exact"/>
              <w:jc w:val="center"/>
              <w:rPr>
                <w:rFonts w:ascii="仿宋" w:hAnsi="仿宋" w:eastAsia="仿宋"/>
                <w:color w:val="auto"/>
                <w:kern w:val="2"/>
                <w:sz w:val="24"/>
                <w:szCs w:val="24"/>
                <w:highlight w:val="none"/>
              </w:rPr>
            </w:pPr>
            <w:r>
              <w:rPr>
                <w:rFonts w:ascii="仿宋" w:hAnsi="仿宋" w:eastAsia="仿宋"/>
                <w:color w:val="auto"/>
                <w:sz w:val="24"/>
                <w:szCs w:val="24"/>
                <w:highlight w:val="none"/>
              </w:rPr>
              <w:t>5</w:t>
            </w:r>
          </w:p>
        </w:tc>
      </w:tr>
      <w:tr w14:paraId="1C3AB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tcBorders>
              <w:left w:val="single" w:color="auto" w:sz="4" w:space="0"/>
              <w:right w:val="single" w:color="auto" w:sz="4" w:space="0"/>
            </w:tcBorders>
            <w:vAlign w:val="center"/>
          </w:tcPr>
          <w:p w14:paraId="65BC3F4E">
            <w:pPr>
              <w:jc w:val="center"/>
              <w:rPr>
                <w:rFonts w:ascii="仿宋" w:hAnsi="仿宋" w:eastAsia="仿宋"/>
                <w:color w:val="auto"/>
                <w:sz w:val="24"/>
                <w:szCs w:val="24"/>
                <w:highlight w:val="none"/>
              </w:rPr>
            </w:pPr>
          </w:p>
        </w:tc>
        <w:tc>
          <w:tcPr>
            <w:tcW w:w="1215" w:type="dxa"/>
            <w:vMerge w:val="continue"/>
            <w:tcBorders>
              <w:left w:val="single" w:color="auto" w:sz="4" w:space="0"/>
              <w:right w:val="single" w:color="auto" w:sz="4" w:space="0"/>
            </w:tcBorders>
            <w:vAlign w:val="center"/>
          </w:tcPr>
          <w:p w14:paraId="01D57366">
            <w:pPr>
              <w:jc w:val="center"/>
              <w:rPr>
                <w:rFonts w:ascii="仿宋" w:hAnsi="仿宋" w:eastAsia="仿宋"/>
                <w:color w:val="auto"/>
                <w:sz w:val="24"/>
                <w:szCs w:val="24"/>
                <w:highlight w:val="none"/>
              </w:rPr>
            </w:pPr>
          </w:p>
        </w:tc>
        <w:tc>
          <w:tcPr>
            <w:tcW w:w="1375" w:type="dxa"/>
            <w:tcBorders>
              <w:top w:val="single" w:color="auto" w:sz="4" w:space="0"/>
              <w:left w:val="single" w:color="auto" w:sz="4" w:space="0"/>
              <w:right w:val="single" w:color="auto" w:sz="4" w:space="0"/>
            </w:tcBorders>
            <w:vAlign w:val="center"/>
          </w:tcPr>
          <w:p w14:paraId="74B8BE48">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资质信誉</w:t>
            </w:r>
          </w:p>
        </w:tc>
        <w:tc>
          <w:tcPr>
            <w:tcW w:w="5480" w:type="dxa"/>
            <w:tcBorders>
              <w:top w:val="single" w:color="auto" w:sz="4" w:space="0"/>
              <w:left w:val="single" w:color="auto" w:sz="4" w:space="0"/>
              <w:right w:val="single" w:color="auto" w:sz="4" w:space="0"/>
            </w:tcBorders>
            <w:vAlign w:val="center"/>
          </w:tcPr>
          <w:p w14:paraId="6E68D321">
            <w:pPr>
              <w:rPr>
                <w:rFonts w:ascii="仿宋" w:hAnsi="仿宋" w:eastAsia="仿宋"/>
                <w:color w:val="auto"/>
                <w:sz w:val="24"/>
                <w:szCs w:val="24"/>
                <w:highlight w:val="none"/>
              </w:rPr>
            </w:pPr>
            <w:r>
              <w:rPr>
                <w:rFonts w:hint="eastAsia" w:ascii="仿宋" w:hAnsi="仿宋" w:eastAsia="仿宋"/>
                <w:color w:val="auto"/>
                <w:sz w:val="24"/>
                <w:szCs w:val="24"/>
                <w:highlight w:val="none"/>
              </w:rPr>
              <w:t>2</w:t>
            </w:r>
            <w:r>
              <w:rPr>
                <w:rFonts w:ascii="仿宋" w:hAnsi="仿宋" w:eastAsia="仿宋"/>
                <w:color w:val="auto"/>
                <w:sz w:val="24"/>
                <w:szCs w:val="24"/>
                <w:highlight w:val="none"/>
              </w:rPr>
              <w:t>019</w:t>
            </w:r>
            <w:r>
              <w:rPr>
                <w:rFonts w:hint="eastAsia" w:ascii="仿宋" w:hAnsi="仿宋" w:eastAsia="仿宋"/>
                <w:color w:val="auto"/>
                <w:sz w:val="24"/>
                <w:szCs w:val="24"/>
                <w:highlight w:val="none"/>
              </w:rPr>
              <w:t>年1月1日以来（以证书日期为准）投标人获得过国家机关所颁发的省部级及以上科技类奖项的，每具有一个得1分，最高得</w:t>
            </w:r>
            <w:r>
              <w:rPr>
                <w:rFonts w:ascii="仿宋" w:hAnsi="仿宋" w:eastAsia="仿宋"/>
                <w:color w:val="auto"/>
                <w:sz w:val="24"/>
                <w:szCs w:val="24"/>
                <w:highlight w:val="none"/>
              </w:rPr>
              <w:t>5</w:t>
            </w:r>
            <w:r>
              <w:rPr>
                <w:rFonts w:hint="eastAsia" w:ascii="仿宋" w:hAnsi="仿宋" w:eastAsia="仿宋"/>
                <w:color w:val="auto"/>
                <w:sz w:val="24"/>
                <w:szCs w:val="24"/>
                <w:highlight w:val="none"/>
              </w:rPr>
              <w:t>分，提供证书复印件</w:t>
            </w:r>
            <w:r>
              <w:rPr>
                <w:rFonts w:ascii="仿宋" w:hAnsi="仿宋" w:eastAsia="仿宋"/>
                <w:color w:val="auto"/>
                <w:sz w:val="24"/>
                <w:szCs w:val="24"/>
                <w:highlight w:val="none"/>
              </w:rPr>
              <w:t>，未提供的本项不得分。</w:t>
            </w:r>
          </w:p>
        </w:tc>
        <w:tc>
          <w:tcPr>
            <w:tcW w:w="729" w:type="dxa"/>
            <w:tcBorders>
              <w:top w:val="single" w:color="auto" w:sz="4" w:space="0"/>
              <w:left w:val="single" w:color="auto" w:sz="4" w:space="0"/>
              <w:right w:val="single" w:color="auto" w:sz="4" w:space="0"/>
            </w:tcBorders>
            <w:vAlign w:val="center"/>
          </w:tcPr>
          <w:p w14:paraId="46789D63">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5</w:t>
            </w:r>
          </w:p>
        </w:tc>
      </w:tr>
      <w:tr w14:paraId="3FD5C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tcBorders>
              <w:left w:val="single" w:color="auto" w:sz="4" w:space="0"/>
              <w:right w:val="single" w:color="auto" w:sz="4" w:space="0"/>
            </w:tcBorders>
            <w:vAlign w:val="center"/>
          </w:tcPr>
          <w:p w14:paraId="13970B19">
            <w:pPr>
              <w:jc w:val="center"/>
              <w:rPr>
                <w:rFonts w:ascii="仿宋" w:hAnsi="仿宋" w:eastAsia="仿宋"/>
                <w:color w:val="auto"/>
                <w:sz w:val="24"/>
                <w:szCs w:val="24"/>
                <w:highlight w:val="none"/>
              </w:rPr>
            </w:pPr>
          </w:p>
        </w:tc>
        <w:tc>
          <w:tcPr>
            <w:tcW w:w="1215" w:type="dxa"/>
            <w:vMerge w:val="continue"/>
            <w:tcBorders>
              <w:left w:val="single" w:color="auto" w:sz="4" w:space="0"/>
              <w:right w:val="single" w:color="auto" w:sz="4" w:space="0"/>
            </w:tcBorders>
            <w:vAlign w:val="center"/>
          </w:tcPr>
          <w:p w14:paraId="249176CE">
            <w:pPr>
              <w:jc w:val="center"/>
              <w:rPr>
                <w:rFonts w:ascii="仿宋" w:hAnsi="仿宋" w:eastAsia="仿宋"/>
                <w:color w:val="auto"/>
                <w:sz w:val="24"/>
                <w:szCs w:val="24"/>
                <w:highlight w:val="none"/>
              </w:rPr>
            </w:pPr>
          </w:p>
        </w:tc>
        <w:tc>
          <w:tcPr>
            <w:tcW w:w="1375" w:type="dxa"/>
            <w:tcBorders>
              <w:top w:val="single" w:color="auto" w:sz="4" w:space="0"/>
              <w:left w:val="single" w:color="auto" w:sz="4" w:space="0"/>
              <w:bottom w:val="single" w:color="auto" w:sz="4" w:space="0"/>
              <w:right w:val="single" w:color="auto" w:sz="4" w:space="0"/>
            </w:tcBorders>
            <w:vAlign w:val="center"/>
          </w:tcPr>
          <w:p w14:paraId="7B878391">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卫星接收能力</w:t>
            </w:r>
          </w:p>
        </w:tc>
        <w:tc>
          <w:tcPr>
            <w:tcW w:w="5480" w:type="dxa"/>
            <w:tcBorders>
              <w:top w:val="single" w:color="auto" w:sz="4" w:space="0"/>
              <w:left w:val="single" w:color="auto" w:sz="4" w:space="0"/>
              <w:bottom w:val="single" w:color="auto" w:sz="4" w:space="0"/>
              <w:right w:val="single" w:color="auto" w:sz="4" w:space="0"/>
            </w:tcBorders>
            <w:vAlign w:val="center"/>
          </w:tcPr>
          <w:p w14:paraId="18CF3D80">
            <w:pPr>
              <w:rPr>
                <w:rFonts w:ascii="仿宋" w:hAnsi="仿宋" w:eastAsia="仿宋"/>
                <w:color w:val="auto"/>
                <w:sz w:val="24"/>
                <w:szCs w:val="24"/>
                <w:highlight w:val="none"/>
              </w:rPr>
            </w:pPr>
            <w:r>
              <w:rPr>
                <w:rFonts w:hint="eastAsia" w:ascii="仿宋" w:hAnsi="仿宋" w:eastAsia="仿宋"/>
                <w:color w:val="auto"/>
                <w:sz w:val="24"/>
                <w:szCs w:val="24"/>
                <w:highlight w:val="none"/>
              </w:rPr>
              <w:t>投标人拥有遥感卫星地面接收站运控经验得5分，没有不得分。</w:t>
            </w:r>
          </w:p>
          <w:p w14:paraId="617719A9">
            <w:pPr>
              <w:rPr>
                <w:rFonts w:ascii="仿宋" w:hAnsi="仿宋" w:eastAsia="仿宋"/>
                <w:color w:val="auto"/>
                <w:sz w:val="24"/>
                <w:szCs w:val="24"/>
                <w:highlight w:val="none"/>
              </w:rPr>
            </w:pPr>
            <w:r>
              <w:rPr>
                <w:rFonts w:hint="eastAsia" w:ascii="仿宋" w:hAnsi="仿宋" w:eastAsia="仿宋"/>
                <w:color w:val="auto"/>
                <w:sz w:val="24"/>
                <w:szCs w:val="24"/>
                <w:highlight w:val="none"/>
              </w:rPr>
              <w:t>提供有效证明文件，复印件加盖公章。</w:t>
            </w:r>
          </w:p>
        </w:tc>
        <w:tc>
          <w:tcPr>
            <w:tcW w:w="729" w:type="dxa"/>
            <w:tcBorders>
              <w:top w:val="single" w:color="auto" w:sz="4" w:space="0"/>
              <w:left w:val="single" w:color="auto" w:sz="4" w:space="0"/>
              <w:bottom w:val="single" w:color="auto" w:sz="4" w:space="0"/>
              <w:right w:val="single" w:color="auto" w:sz="4" w:space="0"/>
            </w:tcBorders>
            <w:vAlign w:val="center"/>
          </w:tcPr>
          <w:p w14:paraId="31205125">
            <w:pPr>
              <w:snapToGrid w:val="0"/>
              <w:spacing w:line="40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5</w:t>
            </w:r>
          </w:p>
        </w:tc>
      </w:tr>
      <w:tr w14:paraId="4CE24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tcBorders>
              <w:left w:val="single" w:color="auto" w:sz="4" w:space="0"/>
              <w:right w:val="single" w:color="auto" w:sz="4" w:space="0"/>
            </w:tcBorders>
            <w:vAlign w:val="center"/>
          </w:tcPr>
          <w:p w14:paraId="088F2A3B">
            <w:pPr>
              <w:jc w:val="center"/>
              <w:rPr>
                <w:rFonts w:ascii="仿宋" w:hAnsi="仿宋" w:eastAsia="仿宋"/>
                <w:color w:val="auto"/>
                <w:sz w:val="24"/>
                <w:szCs w:val="24"/>
                <w:highlight w:val="none"/>
              </w:rPr>
            </w:pPr>
          </w:p>
        </w:tc>
        <w:tc>
          <w:tcPr>
            <w:tcW w:w="1215" w:type="dxa"/>
            <w:vMerge w:val="continue"/>
            <w:tcBorders>
              <w:left w:val="single" w:color="auto" w:sz="4" w:space="0"/>
              <w:right w:val="single" w:color="auto" w:sz="4" w:space="0"/>
            </w:tcBorders>
            <w:vAlign w:val="center"/>
          </w:tcPr>
          <w:p w14:paraId="7753BF1F">
            <w:pPr>
              <w:jc w:val="center"/>
              <w:rPr>
                <w:rFonts w:ascii="仿宋" w:hAnsi="仿宋" w:eastAsia="仿宋"/>
                <w:color w:val="auto"/>
                <w:sz w:val="24"/>
                <w:szCs w:val="24"/>
                <w:highlight w:val="none"/>
              </w:rPr>
            </w:pPr>
          </w:p>
        </w:tc>
        <w:tc>
          <w:tcPr>
            <w:tcW w:w="1375" w:type="dxa"/>
            <w:vMerge w:val="restart"/>
            <w:tcBorders>
              <w:top w:val="single" w:color="auto" w:sz="4" w:space="0"/>
              <w:left w:val="single" w:color="auto" w:sz="4" w:space="0"/>
              <w:right w:val="single" w:color="auto" w:sz="4" w:space="0"/>
            </w:tcBorders>
            <w:vAlign w:val="center"/>
          </w:tcPr>
          <w:p w14:paraId="62D7F01C">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卫星授权</w:t>
            </w:r>
          </w:p>
        </w:tc>
        <w:tc>
          <w:tcPr>
            <w:tcW w:w="5480" w:type="dxa"/>
            <w:tcBorders>
              <w:top w:val="single" w:color="auto" w:sz="4" w:space="0"/>
              <w:left w:val="single" w:color="auto" w:sz="4" w:space="0"/>
              <w:bottom w:val="single" w:color="auto" w:sz="4" w:space="0"/>
              <w:right w:val="single" w:color="auto" w:sz="4" w:space="0"/>
            </w:tcBorders>
            <w:vAlign w:val="center"/>
          </w:tcPr>
          <w:p w14:paraId="11235916">
            <w:pPr>
              <w:rPr>
                <w:rFonts w:ascii="仿宋" w:hAnsi="仿宋" w:eastAsia="仿宋"/>
                <w:color w:val="auto"/>
                <w:sz w:val="24"/>
                <w:szCs w:val="24"/>
                <w:highlight w:val="none"/>
              </w:rPr>
            </w:pPr>
            <w:r>
              <w:rPr>
                <w:rFonts w:hint="eastAsia" w:ascii="仿宋" w:hAnsi="仿宋" w:eastAsia="仿宋"/>
                <w:color w:val="auto"/>
                <w:sz w:val="24"/>
                <w:szCs w:val="24"/>
                <w:highlight w:val="none"/>
              </w:rPr>
              <w:t>投标人提供合法有效的0.5米卫星影像授权（代理）文件得5分，不提供不得分。</w:t>
            </w:r>
          </w:p>
          <w:p w14:paraId="141D5E96">
            <w:pPr>
              <w:rPr>
                <w:rFonts w:ascii="仿宋" w:hAnsi="仿宋" w:eastAsia="仿宋"/>
                <w:color w:val="auto"/>
                <w:sz w:val="24"/>
                <w:szCs w:val="24"/>
                <w:highlight w:val="none"/>
              </w:rPr>
            </w:pPr>
            <w:r>
              <w:rPr>
                <w:rFonts w:hint="eastAsia" w:ascii="仿宋" w:hAnsi="仿宋" w:eastAsia="仿宋"/>
                <w:color w:val="auto"/>
                <w:sz w:val="24"/>
                <w:szCs w:val="24"/>
                <w:highlight w:val="none"/>
              </w:rPr>
              <w:t>提供证书复印件并加盖公章。</w:t>
            </w:r>
          </w:p>
        </w:tc>
        <w:tc>
          <w:tcPr>
            <w:tcW w:w="729" w:type="dxa"/>
            <w:tcBorders>
              <w:top w:val="single" w:color="auto" w:sz="4" w:space="0"/>
              <w:left w:val="single" w:color="auto" w:sz="4" w:space="0"/>
              <w:bottom w:val="single" w:color="auto" w:sz="4" w:space="0"/>
              <w:right w:val="single" w:color="auto" w:sz="4" w:space="0"/>
            </w:tcBorders>
            <w:vAlign w:val="center"/>
          </w:tcPr>
          <w:p w14:paraId="45C25FCE">
            <w:pPr>
              <w:snapToGrid w:val="0"/>
              <w:spacing w:line="40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5</w:t>
            </w:r>
          </w:p>
        </w:tc>
      </w:tr>
      <w:tr w14:paraId="06A8A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09" w:type="dxa"/>
            <w:vMerge w:val="continue"/>
            <w:tcBorders>
              <w:left w:val="single" w:color="auto" w:sz="4" w:space="0"/>
              <w:right w:val="single" w:color="auto" w:sz="4" w:space="0"/>
            </w:tcBorders>
            <w:vAlign w:val="center"/>
          </w:tcPr>
          <w:p w14:paraId="20E3ED52">
            <w:pPr>
              <w:jc w:val="center"/>
              <w:rPr>
                <w:rFonts w:ascii="仿宋" w:hAnsi="仿宋" w:eastAsia="仿宋"/>
                <w:color w:val="auto"/>
                <w:sz w:val="24"/>
                <w:szCs w:val="24"/>
                <w:highlight w:val="none"/>
              </w:rPr>
            </w:pPr>
          </w:p>
        </w:tc>
        <w:tc>
          <w:tcPr>
            <w:tcW w:w="1215" w:type="dxa"/>
            <w:vMerge w:val="continue"/>
            <w:tcBorders>
              <w:left w:val="single" w:color="auto" w:sz="4" w:space="0"/>
              <w:right w:val="single" w:color="auto" w:sz="4" w:space="0"/>
            </w:tcBorders>
            <w:vAlign w:val="center"/>
          </w:tcPr>
          <w:p w14:paraId="63141F7B">
            <w:pPr>
              <w:jc w:val="center"/>
              <w:rPr>
                <w:rFonts w:ascii="仿宋" w:hAnsi="仿宋" w:eastAsia="仿宋"/>
                <w:color w:val="auto"/>
                <w:sz w:val="24"/>
                <w:szCs w:val="24"/>
                <w:highlight w:val="none"/>
              </w:rPr>
            </w:pPr>
          </w:p>
        </w:tc>
        <w:tc>
          <w:tcPr>
            <w:tcW w:w="1375" w:type="dxa"/>
            <w:vMerge w:val="continue"/>
            <w:tcBorders>
              <w:left w:val="single" w:color="auto" w:sz="4" w:space="0"/>
              <w:bottom w:val="single" w:color="auto" w:sz="4" w:space="0"/>
              <w:right w:val="single" w:color="auto" w:sz="4" w:space="0"/>
            </w:tcBorders>
            <w:vAlign w:val="center"/>
          </w:tcPr>
          <w:p w14:paraId="16089079">
            <w:pPr>
              <w:jc w:val="center"/>
              <w:rPr>
                <w:rFonts w:ascii="仿宋" w:hAnsi="仿宋" w:eastAsia="仿宋"/>
                <w:color w:val="auto"/>
                <w:sz w:val="24"/>
                <w:szCs w:val="24"/>
                <w:highlight w:val="none"/>
              </w:rPr>
            </w:pPr>
          </w:p>
        </w:tc>
        <w:tc>
          <w:tcPr>
            <w:tcW w:w="5480" w:type="dxa"/>
            <w:tcBorders>
              <w:top w:val="single" w:color="auto" w:sz="4" w:space="0"/>
              <w:left w:val="single" w:color="auto" w:sz="4" w:space="0"/>
              <w:bottom w:val="single" w:color="auto" w:sz="4" w:space="0"/>
              <w:right w:val="single" w:color="auto" w:sz="4" w:space="0"/>
            </w:tcBorders>
            <w:vAlign w:val="center"/>
          </w:tcPr>
          <w:p w14:paraId="619B1CD0">
            <w:pPr>
              <w:rPr>
                <w:rFonts w:ascii="仿宋" w:hAnsi="仿宋" w:eastAsia="仿宋"/>
                <w:color w:val="auto"/>
                <w:sz w:val="24"/>
                <w:szCs w:val="24"/>
                <w:highlight w:val="none"/>
              </w:rPr>
            </w:pPr>
            <w:r>
              <w:rPr>
                <w:rFonts w:hint="eastAsia" w:ascii="仿宋" w:hAnsi="仿宋" w:eastAsia="仿宋"/>
                <w:color w:val="auto"/>
                <w:sz w:val="24"/>
                <w:szCs w:val="24"/>
                <w:highlight w:val="none"/>
              </w:rPr>
              <w:t>投标人提供合法有效的优于3米8波段卫星影像授权（代理）文件得5分，不提供不得分。</w:t>
            </w:r>
          </w:p>
          <w:p w14:paraId="16AD53DF">
            <w:pPr>
              <w:rPr>
                <w:rFonts w:ascii="仿宋" w:hAnsi="仿宋" w:eastAsia="仿宋"/>
                <w:color w:val="auto"/>
                <w:sz w:val="24"/>
                <w:szCs w:val="24"/>
                <w:highlight w:val="none"/>
              </w:rPr>
            </w:pPr>
            <w:r>
              <w:rPr>
                <w:rFonts w:hint="eastAsia" w:ascii="仿宋" w:hAnsi="仿宋" w:eastAsia="仿宋"/>
                <w:color w:val="auto"/>
                <w:sz w:val="24"/>
                <w:szCs w:val="24"/>
                <w:highlight w:val="none"/>
              </w:rPr>
              <w:t>提供证书复印件并加盖公章。</w:t>
            </w:r>
          </w:p>
        </w:tc>
        <w:tc>
          <w:tcPr>
            <w:tcW w:w="729" w:type="dxa"/>
            <w:tcBorders>
              <w:top w:val="single" w:color="auto" w:sz="4" w:space="0"/>
              <w:left w:val="single" w:color="auto" w:sz="4" w:space="0"/>
              <w:bottom w:val="single" w:color="auto" w:sz="4" w:space="0"/>
              <w:right w:val="single" w:color="auto" w:sz="4" w:space="0"/>
            </w:tcBorders>
            <w:vAlign w:val="center"/>
          </w:tcPr>
          <w:p w14:paraId="1277529A">
            <w:pPr>
              <w:snapToGrid w:val="0"/>
              <w:spacing w:line="40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5</w:t>
            </w:r>
          </w:p>
        </w:tc>
      </w:tr>
      <w:tr w14:paraId="4E474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tcBorders>
              <w:left w:val="single" w:color="auto" w:sz="4" w:space="0"/>
              <w:right w:val="single" w:color="auto" w:sz="4" w:space="0"/>
            </w:tcBorders>
            <w:vAlign w:val="center"/>
          </w:tcPr>
          <w:p w14:paraId="0F2CC7E3">
            <w:pPr>
              <w:jc w:val="center"/>
              <w:rPr>
                <w:rFonts w:ascii="仿宋" w:hAnsi="仿宋" w:eastAsia="仿宋"/>
                <w:color w:val="auto"/>
                <w:sz w:val="24"/>
                <w:szCs w:val="24"/>
                <w:highlight w:val="none"/>
              </w:rPr>
            </w:pPr>
          </w:p>
        </w:tc>
        <w:tc>
          <w:tcPr>
            <w:tcW w:w="1215" w:type="dxa"/>
            <w:vMerge w:val="continue"/>
            <w:tcBorders>
              <w:left w:val="single" w:color="auto" w:sz="4" w:space="0"/>
              <w:right w:val="single" w:color="auto" w:sz="4" w:space="0"/>
            </w:tcBorders>
            <w:vAlign w:val="center"/>
          </w:tcPr>
          <w:p w14:paraId="43FD1287">
            <w:pPr>
              <w:jc w:val="center"/>
              <w:rPr>
                <w:rFonts w:ascii="仿宋" w:hAnsi="仿宋" w:eastAsia="仿宋"/>
                <w:color w:val="auto"/>
                <w:sz w:val="24"/>
                <w:szCs w:val="24"/>
                <w:highlight w:val="none"/>
              </w:rPr>
            </w:pPr>
          </w:p>
        </w:tc>
        <w:tc>
          <w:tcPr>
            <w:tcW w:w="1375" w:type="dxa"/>
            <w:tcBorders>
              <w:left w:val="single" w:color="auto" w:sz="4" w:space="0"/>
              <w:bottom w:val="single" w:color="auto" w:sz="4" w:space="0"/>
              <w:right w:val="single" w:color="auto" w:sz="4" w:space="0"/>
            </w:tcBorders>
            <w:vAlign w:val="center"/>
          </w:tcPr>
          <w:p w14:paraId="5EBC8E52">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卫星影像采集能力</w:t>
            </w:r>
          </w:p>
        </w:tc>
        <w:tc>
          <w:tcPr>
            <w:tcW w:w="5480" w:type="dxa"/>
            <w:tcBorders>
              <w:top w:val="single" w:color="auto" w:sz="4" w:space="0"/>
              <w:left w:val="single" w:color="auto" w:sz="4" w:space="0"/>
              <w:bottom w:val="single" w:color="auto" w:sz="4" w:space="0"/>
              <w:right w:val="single" w:color="auto" w:sz="4" w:space="0"/>
            </w:tcBorders>
            <w:vAlign w:val="center"/>
          </w:tcPr>
          <w:p w14:paraId="02ACD25C">
            <w:pPr>
              <w:rPr>
                <w:rFonts w:ascii="仿宋" w:hAnsi="仿宋" w:eastAsia="仿宋"/>
                <w:color w:val="auto"/>
                <w:sz w:val="24"/>
                <w:szCs w:val="24"/>
                <w:highlight w:val="none"/>
              </w:rPr>
            </w:pPr>
            <w:r>
              <w:rPr>
                <w:rFonts w:hint="eastAsia" w:ascii="仿宋" w:hAnsi="仿宋" w:eastAsia="仿宋"/>
                <w:color w:val="auto"/>
                <w:sz w:val="24"/>
                <w:szCs w:val="24"/>
                <w:highlight w:val="none"/>
              </w:rPr>
              <w:t>投标人采用的遥感卫星采集能力强，采用同种</w:t>
            </w:r>
            <w:r>
              <w:rPr>
                <w:rFonts w:ascii="仿宋" w:hAnsi="仿宋" w:eastAsia="仿宋"/>
                <w:color w:val="auto"/>
                <w:sz w:val="24"/>
                <w:szCs w:val="24"/>
                <w:highlight w:val="none"/>
              </w:rPr>
              <w:t>分辨率</w:t>
            </w:r>
            <w:r>
              <w:rPr>
                <w:rFonts w:hint="eastAsia" w:ascii="仿宋" w:hAnsi="仿宋" w:eastAsia="仿宋"/>
                <w:color w:val="auto"/>
                <w:sz w:val="24"/>
                <w:szCs w:val="24"/>
                <w:highlight w:val="none"/>
              </w:rPr>
              <w:t>卫星、多颗联合拍摄：</w:t>
            </w:r>
          </w:p>
          <w:p w14:paraId="3B0EBC7C">
            <w:pPr>
              <w:rPr>
                <w:rFonts w:ascii="仿宋" w:hAnsi="仿宋" w:eastAsia="仿宋"/>
                <w:color w:val="auto"/>
                <w:sz w:val="24"/>
                <w:szCs w:val="24"/>
                <w:highlight w:val="none"/>
              </w:rPr>
            </w:pPr>
            <w:r>
              <w:rPr>
                <w:rFonts w:hint="eastAsia" w:ascii="仿宋" w:hAnsi="仿宋" w:eastAsia="仿宋"/>
                <w:color w:val="auto"/>
                <w:sz w:val="24"/>
                <w:szCs w:val="24"/>
                <w:highlight w:val="none"/>
              </w:rPr>
              <w:t>对于优于3米8波段影像，卫星数量≥150颗的得</w:t>
            </w:r>
            <w:r>
              <w:rPr>
                <w:rFonts w:ascii="仿宋" w:hAnsi="仿宋" w:eastAsia="仿宋"/>
                <w:color w:val="auto"/>
                <w:sz w:val="24"/>
                <w:szCs w:val="24"/>
                <w:highlight w:val="none"/>
              </w:rPr>
              <w:t>5</w:t>
            </w:r>
            <w:r>
              <w:rPr>
                <w:rFonts w:hint="eastAsia" w:ascii="仿宋" w:hAnsi="仿宋" w:eastAsia="仿宋"/>
                <w:color w:val="auto"/>
                <w:sz w:val="24"/>
                <w:szCs w:val="24"/>
                <w:highlight w:val="none"/>
              </w:rPr>
              <w:t>分；150＞卫星数量≥100颗的得</w:t>
            </w:r>
            <w:r>
              <w:rPr>
                <w:rFonts w:ascii="仿宋" w:hAnsi="仿宋" w:eastAsia="仿宋"/>
                <w:color w:val="auto"/>
                <w:sz w:val="24"/>
                <w:szCs w:val="24"/>
                <w:highlight w:val="none"/>
              </w:rPr>
              <w:t>3</w:t>
            </w:r>
            <w:r>
              <w:rPr>
                <w:rFonts w:hint="eastAsia" w:ascii="仿宋" w:hAnsi="仿宋" w:eastAsia="仿宋"/>
                <w:color w:val="auto"/>
                <w:sz w:val="24"/>
                <w:szCs w:val="24"/>
                <w:highlight w:val="none"/>
              </w:rPr>
              <w:t>分；100＞卫星数量≥1颗的得1分。</w:t>
            </w:r>
          </w:p>
          <w:p w14:paraId="3F61A935">
            <w:pPr>
              <w:rPr>
                <w:rFonts w:ascii="仿宋" w:hAnsi="仿宋" w:eastAsia="仿宋"/>
                <w:color w:val="auto"/>
                <w:sz w:val="24"/>
                <w:szCs w:val="24"/>
                <w:highlight w:val="none"/>
              </w:rPr>
            </w:pPr>
            <w:r>
              <w:rPr>
                <w:rFonts w:hint="eastAsia" w:ascii="仿宋" w:hAnsi="仿宋" w:eastAsia="仿宋"/>
                <w:color w:val="auto"/>
                <w:sz w:val="24"/>
                <w:szCs w:val="24"/>
                <w:highlight w:val="none"/>
              </w:rPr>
              <w:t>对于0.5米影像，卫星数量≥10颗的得</w:t>
            </w:r>
            <w:r>
              <w:rPr>
                <w:rFonts w:ascii="仿宋" w:hAnsi="仿宋" w:eastAsia="仿宋"/>
                <w:color w:val="auto"/>
                <w:sz w:val="24"/>
                <w:szCs w:val="24"/>
                <w:highlight w:val="none"/>
              </w:rPr>
              <w:t>5</w:t>
            </w:r>
            <w:r>
              <w:rPr>
                <w:rFonts w:hint="eastAsia" w:ascii="仿宋" w:hAnsi="仿宋" w:eastAsia="仿宋"/>
                <w:color w:val="auto"/>
                <w:sz w:val="24"/>
                <w:szCs w:val="24"/>
                <w:highlight w:val="none"/>
              </w:rPr>
              <w:t>分；10＞卫星数量≥5颗的得</w:t>
            </w:r>
            <w:r>
              <w:rPr>
                <w:rFonts w:ascii="仿宋" w:hAnsi="仿宋" w:eastAsia="仿宋"/>
                <w:color w:val="auto"/>
                <w:sz w:val="24"/>
                <w:szCs w:val="24"/>
                <w:highlight w:val="none"/>
              </w:rPr>
              <w:t>3</w:t>
            </w:r>
            <w:r>
              <w:rPr>
                <w:rFonts w:hint="eastAsia" w:ascii="仿宋" w:hAnsi="仿宋" w:eastAsia="仿宋"/>
                <w:color w:val="auto"/>
                <w:sz w:val="24"/>
                <w:szCs w:val="24"/>
                <w:highlight w:val="none"/>
              </w:rPr>
              <w:t>分；5＞卫星数量≥1颗的得1分。</w:t>
            </w:r>
          </w:p>
          <w:p w14:paraId="20A51DAA">
            <w:pPr>
              <w:rPr>
                <w:rFonts w:ascii="仿宋" w:hAnsi="仿宋" w:eastAsia="仿宋"/>
                <w:color w:val="auto"/>
                <w:sz w:val="24"/>
                <w:szCs w:val="24"/>
                <w:highlight w:val="none"/>
              </w:rPr>
            </w:pPr>
            <w:r>
              <w:rPr>
                <w:rFonts w:hint="eastAsia" w:ascii="仿宋" w:hAnsi="仿宋" w:eastAsia="仿宋"/>
                <w:color w:val="auto"/>
                <w:sz w:val="24"/>
                <w:szCs w:val="24"/>
                <w:highlight w:val="none"/>
              </w:rPr>
              <w:t>注：均需提供相关说明，数据来源合法证明材料及相关卫星参数、数量证明材料，不提供的不得分。</w:t>
            </w:r>
          </w:p>
        </w:tc>
        <w:tc>
          <w:tcPr>
            <w:tcW w:w="729" w:type="dxa"/>
            <w:tcBorders>
              <w:top w:val="single" w:color="auto" w:sz="4" w:space="0"/>
              <w:left w:val="single" w:color="auto" w:sz="4" w:space="0"/>
              <w:bottom w:val="single" w:color="auto" w:sz="4" w:space="0"/>
              <w:right w:val="single" w:color="auto" w:sz="4" w:space="0"/>
            </w:tcBorders>
            <w:vAlign w:val="center"/>
          </w:tcPr>
          <w:p w14:paraId="796FBA34">
            <w:pPr>
              <w:snapToGrid w:val="0"/>
              <w:spacing w:line="40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10</w:t>
            </w:r>
          </w:p>
        </w:tc>
      </w:tr>
      <w:tr w14:paraId="343E3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restart"/>
            <w:tcBorders>
              <w:top w:val="single" w:color="auto" w:sz="4" w:space="0"/>
              <w:left w:val="single" w:color="auto" w:sz="4" w:space="0"/>
              <w:right w:val="single" w:color="auto" w:sz="4" w:space="0"/>
            </w:tcBorders>
            <w:vAlign w:val="center"/>
          </w:tcPr>
          <w:p w14:paraId="1F6CDA44">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3</w:t>
            </w:r>
          </w:p>
        </w:tc>
        <w:tc>
          <w:tcPr>
            <w:tcW w:w="1215" w:type="dxa"/>
            <w:vMerge w:val="restart"/>
            <w:tcBorders>
              <w:top w:val="single" w:color="auto" w:sz="4" w:space="0"/>
              <w:left w:val="single" w:color="auto" w:sz="4" w:space="0"/>
              <w:right w:val="single" w:color="auto" w:sz="4" w:space="0"/>
            </w:tcBorders>
            <w:vAlign w:val="center"/>
          </w:tcPr>
          <w:p w14:paraId="2DFE2564">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技术部分</w:t>
            </w:r>
          </w:p>
          <w:p w14:paraId="09ED3A22">
            <w:pPr>
              <w:rPr>
                <w:rFonts w:ascii="仿宋" w:hAnsi="仿宋" w:eastAsia="仿宋"/>
                <w:color w:val="auto"/>
                <w:sz w:val="24"/>
                <w:szCs w:val="24"/>
                <w:highlight w:val="none"/>
              </w:rPr>
            </w:pPr>
            <w:r>
              <w:rPr>
                <w:rFonts w:hint="eastAsia" w:ascii="仿宋" w:hAnsi="仿宋" w:eastAsia="仿宋"/>
                <w:color w:val="auto"/>
                <w:sz w:val="24"/>
                <w:szCs w:val="24"/>
                <w:highlight w:val="none"/>
              </w:rPr>
              <w:t>（4</w:t>
            </w:r>
            <w:r>
              <w:rPr>
                <w:rFonts w:ascii="仿宋" w:hAnsi="仿宋" w:eastAsia="仿宋"/>
                <w:color w:val="auto"/>
                <w:sz w:val="24"/>
                <w:szCs w:val="24"/>
                <w:highlight w:val="none"/>
              </w:rPr>
              <w:t>5</w:t>
            </w:r>
            <w:r>
              <w:rPr>
                <w:rFonts w:hint="eastAsia" w:ascii="仿宋" w:hAnsi="仿宋" w:eastAsia="仿宋"/>
                <w:color w:val="auto"/>
                <w:sz w:val="24"/>
                <w:szCs w:val="24"/>
                <w:highlight w:val="none"/>
              </w:rPr>
              <w:t>分）</w:t>
            </w:r>
          </w:p>
        </w:tc>
        <w:tc>
          <w:tcPr>
            <w:tcW w:w="1375" w:type="dxa"/>
            <w:tcBorders>
              <w:top w:val="single" w:color="auto" w:sz="4" w:space="0"/>
              <w:left w:val="single" w:color="auto" w:sz="4" w:space="0"/>
              <w:right w:val="single" w:color="auto" w:sz="4" w:space="0"/>
            </w:tcBorders>
            <w:vAlign w:val="center"/>
          </w:tcPr>
          <w:p w14:paraId="6CDBE4CB">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需求理解</w:t>
            </w:r>
          </w:p>
        </w:tc>
        <w:tc>
          <w:tcPr>
            <w:tcW w:w="5480" w:type="dxa"/>
            <w:tcBorders>
              <w:top w:val="single" w:color="auto" w:sz="4" w:space="0"/>
              <w:left w:val="single" w:color="auto" w:sz="4" w:space="0"/>
              <w:right w:val="single" w:color="auto" w:sz="4" w:space="0"/>
            </w:tcBorders>
            <w:vAlign w:val="center"/>
          </w:tcPr>
          <w:p w14:paraId="4AE533A9">
            <w:pPr>
              <w:rPr>
                <w:rFonts w:ascii="仿宋" w:hAnsi="仿宋" w:eastAsia="仿宋"/>
                <w:color w:val="auto"/>
                <w:sz w:val="24"/>
                <w:szCs w:val="24"/>
                <w:highlight w:val="none"/>
              </w:rPr>
            </w:pPr>
            <w:r>
              <w:rPr>
                <w:rFonts w:hint="eastAsia" w:ascii="仿宋" w:hAnsi="仿宋" w:eastAsia="仿宋"/>
                <w:color w:val="auto"/>
                <w:sz w:val="24"/>
                <w:szCs w:val="24"/>
                <w:highlight w:val="none"/>
              </w:rPr>
              <w:t>投标人对于用户需求分析全面深入、论证充分完全满足项目需求的，得3分；需求分析较深入、论证较充分，基本满足项目需求、略有欠缺需要完善的，得2分；需求分析不深入，不能很好满足项目需求的，得1分；未描述或者分析不正确、不能满足项目需求的，得0分。</w:t>
            </w:r>
          </w:p>
        </w:tc>
        <w:tc>
          <w:tcPr>
            <w:tcW w:w="729" w:type="dxa"/>
            <w:tcBorders>
              <w:top w:val="single" w:color="auto" w:sz="4" w:space="0"/>
              <w:left w:val="single" w:color="auto" w:sz="4" w:space="0"/>
              <w:right w:val="single" w:color="auto" w:sz="4" w:space="0"/>
            </w:tcBorders>
            <w:vAlign w:val="center"/>
          </w:tcPr>
          <w:p w14:paraId="55FBB43C">
            <w:pPr>
              <w:snapToGrid w:val="0"/>
              <w:spacing w:line="40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3</w:t>
            </w:r>
          </w:p>
        </w:tc>
      </w:tr>
      <w:tr w14:paraId="4E347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tcBorders>
              <w:left w:val="single" w:color="auto" w:sz="4" w:space="0"/>
              <w:right w:val="single" w:color="auto" w:sz="4" w:space="0"/>
            </w:tcBorders>
            <w:vAlign w:val="center"/>
          </w:tcPr>
          <w:p w14:paraId="51495BFC">
            <w:pPr>
              <w:rPr>
                <w:rFonts w:ascii="仿宋" w:hAnsi="仿宋" w:eastAsia="仿宋"/>
                <w:color w:val="auto"/>
                <w:sz w:val="24"/>
                <w:szCs w:val="24"/>
                <w:highlight w:val="none"/>
              </w:rPr>
            </w:pPr>
          </w:p>
        </w:tc>
        <w:tc>
          <w:tcPr>
            <w:tcW w:w="1215" w:type="dxa"/>
            <w:vMerge w:val="continue"/>
            <w:tcBorders>
              <w:left w:val="single" w:color="auto" w:sz="4" w:space="0"/>
              <w:right w:val="single" w:color="auto" w:sz="4" w:space="0"/>
            </w:tcBorders>
            <w:vAlign w:val="center"/>
          </w:tcPr>
          <w:p w14:paraId="065AA0C7">
            <w:pPr>
              <w:rPr>
                <w:rFonts w:ascii="仿宋" w:hAnsi="仿宋" w:eastAsia="仿宋"/>
                <w:color w:val="auto"/>
                <w:sz w:val="24"/>
                <w:szCs w:val="24"/>
                <w:highlight w:val="none"/>
              </w:rPr>
            </w:pPr>
          </w:p>
        </w:tc>
        <w:tc>
          <w:tcPr>
            <w:tcW w:w="1375" w:type="dxa"/>
            <w:tcBorders>
              <w:top w:val="single" w:color="auto" w:sz="4" w:space="0"/>
              <w:left w:val="single" w:color="auto" w:sz="4" w:space="0"/>
              <w:right w:val="single" w:color="auto" w:sz="4" w:space="0"/>
            </w:tcBorders>
            <w:vAlign w:val="center"/>
          </w:tcPr>
          <w:p w14:paraId="5DD697AE">
            <w:pPr>
              <w:jc w:val="center"/>
              <w:rPr>
                <w:rFonts w:ascii="仿宋" w:hAnsi="仿宋" w:eastAsia="仿宋"/>
                <w:color w:val="auto"/>
                <w:kern w:val="2"/>
                <w:sz w:val="24"/>
                <w:szCs w:val="24"/>
                <w:highlight w:val="none"/>
              </w:rPr>
            </w:pPr>
            <w:r>
              <w:rPr>
                <w:rFonts w:hint="eastAsia" w:ascii="仿宋" w:hAnsi="仿宋" w:eastAsia="仿宋"/>
                <w:color w:val="auto"/>
                <w:sz w:val="24"/>
                <w:szCs w:val="24"/>
                <w:highlight w:val="none"/>
              </w:rPr>
              <w:t>实施方案</w:t>
            </w:r>
          </w:p>
        </w:tc>
        <w:tc>
          <w:tcPr>
            <w:tcW w:w="5480" w:type="dxa"/>
            <w:tcBorders>
              <w:top w:val="single" w:color="auto" w:sz="4" w:space="0"/>
              <w:left w:val="single" w:color="auto" w:sz="4" w:space="0"/>
              <w:right w:val="single" w:color="auto" w:sz="4" w:space="0"/>
            </w:tcBorders>
            <w:vAlign w:val="center"/>
          </w:tcPr>
          <w:p w14:paraId="0C85E08E">
            <w:pPr>
              <w:rPr>
                <w:rFonts w:ascii="仿宋" w:hAnsi="仿宋" w:eastAsia="仿宋"/>
                <w:color w:val="auto"/>
                <w:kern w:val="2"/>
                <w:sz w:val="24"/>
                <w:szCs w:val="24"/>
                <w:highlight w:val="none"/>
              </w:rPr>
            </w:pPr>
            <w:r>
              <w:rPr>
                <w:rFonts w:hint="eastAsia" w:ascii="仿宋" w:hAnsi="仿宋" w:eastAsia="仿宋"/>
                <w:color w:val="auto"/>
                <w:sz w:val="24"/>
                <w:szCs w:val="24"/>
                <w:highlight w:val="none"/>
              </w:rPr>
              <w:t>投标人提供的实施方案明确、思路清晰、技术路线合理，完全满足项目需求的，得</w:t>
            </w:r>
            <w:r>
              <w:rPr>
                <w:rFonts w:ascii="仿宋" w:hAnsi="仿宋" w:eastAsia="仿宋"/>
                <w:color w:val="auto"/>
                <w:sz w:val="24"/>
                <w:szCs w:val="24"/>
                <w:highlight w:val="none"/>
              </w:rPr>
              <w:t>8</w:t>
            </w:r>
            <w:r>
              <w:rPr>
                <w:rFonts w:hint="eastAsia" w:ascii="仿宋" w:hAnsi="仿宋" w:eastAsia="仿宋"/>
                <w:color w:val="auto"/>
                <w:sz w:val="24"/>
                <w:szCs w:val="24"/>
                <w:highlight w:val="none"/>
              </w:rPr>
              <w:t>分；基本明确可行，基本满足项目需求、略有欠缺需要完善的，得</w:t>
            </w:r>
            <w:r>
              <w:rPr>
                <w:rFonts w:ascii="仿宋" w:hAnsi="仿宋" w:eastAsia="仿宋"/>
                <w:color w:val="auto"/>
                <w:sz w:val="24"/>
                <w:szCs w:val="24"/>
                <w:highlight w:val="none"/>
              </w:rPr>
              <w:t>6</w:t>
            </w:r>
            <w:r>
              <w:rPr>
                <w:rFonts w:hint="eastAsia" w:ascii="仿宋" w:hAnsi="仿宋" w:eastAsia="仿宋"/>
                <w:color w:val="auto"/>
                <w:sz w:val="24"/>
                <w:szCs w:val="24"/>
                <w:highlight w:val="none"/>
              </w:rPr>
              <w:t>分；不够明确、可行性一般，不能较好满足项目需求的，得</w:t>
            </w:r>
            <w:r>
              <w:rPr>
                <w:rFonts w:ascii="仿宋" w:hAnsi="仿宋" w:eastAsia="仿宋"/>
                <w:color w:val="auto"/>
                <w:sz w:val="24"/>
                <w:szCs w:val="24"/>
                <w:highlight w:val="none"/>
              </w:rPr>
              <w:t>4</w:t>
            </w:r>
            <w:r>
              <w:rPr>
                <w:rFonts w:hint="eastAsia" w:ascii="仿宋" w:hAnsi="仿宋" w:eastAsia="仿宋"/>
                <w:color w:val="auto"/>
                <w:sz w:val="24"/>
                <w:szCs w:val="24"/>
                <w:highlight w:val="none"/>
              </w:rPr>
              <w:t>分；简单粗略、不明确、不可行，基本不能满足项目需求的，得</w:t>
            </w:r>
            <w:r>
              <w:rPr>
                <w:rFonts w:ascii="仿宋" w:hAnsi="仿宋" w:eastAsia="仿宋"/>
                <w:color w:val="auto"/>
                <w:sz w:val="24"/>
                <w:szCs w:val="24"/>
                <w:highlight w:val="none"/>
              </w:rPr>
              <w:t>2</w:t>
            </w:r>
            <w:r>
              <w:rPr>
                <w:rFonts w:hint="eastAsia" w:ascii="仿宋" w:hAnsi="仿宋" w:eastAsia="仿宋"/>
                <w:color w:val="auto"/>
                <w:sz w:val="24"/>
                <w:szCs w:val="24"/>
                <w:highlight w:val="none"/>
              </w:rPr>
              <w:t>分；未描述或者不能满足项目需求的，得0分。</w:t>
            </w:r>
          </w:p>
        </w:tc>
        <w:tc>
          <w:tcPr>
            <w:tcW w:w="729" w:type="dxa"/>
            <w:tcBorders>
              <w:top w:val="single" w:color="auto" w:sz="4" w:space="0"/>
              <w:left w:val="single" w:color="auto" w:sz="4" w:space="0"/>
              <w:right w:val="single" w:color="auto" w:sz="4" w:space="0"/>
            </w:tcBorders>
            <w:vAlign w:val="center"/>
          </w:tcPr>
          <w:p w14:paraId="0704621C">
            <w:pPr>
              <w:snapToGrid w:val="0"/>
              <w:spacing w:line="40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8</w:t>
            </w:r>
          </w:p>
        </w:tc>
      </w:tr>
      <w:tr w14:paraId="0F49E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tcBorders>
              <w:left w:val="single" w:color="auto" w:sz="4" w:space="0"/>
              <w:right w:val="single" w:color="auto" w:sz="4" w:space="0"/>
            </w:tcBorders>
            <w:vAlign w:val="center"/>
          </w:tcPr>
          <w:p w14:paraId="4E45BE28">
            <w:pPr>
              <w:rPr>
                <w:rFonts w:ascii="仿宋" w:hAnsi="仿宋" w:eastAsia="仿宋"/>
                <w:color w:val="auto"/>
                <w:sz w:val="24"/>
                <w:szCs w:val="24"/>
                <w:highlight w:val="none"/>
              </w:rPr>
            </w:pPr>
          </w:p>
        </w:tc>
        <w:tc>
          <w:tcPr>
            <w:tcW w:w="1215" w:type="dxa"/>
            <w:vMerge w:val="continue"/>
            <w:tcBorders>
              <w:left w:val="single" w:color="auto" w:sz="4" w:space="0"/>
              <w:right w:val="single" w:color="auto" w:sz="4" w:space="0"/>
            </w:tcBorders>
            <w:vAlign w:val="center"/>
          </w:tcPr>
          <w:p w14:paraId="649CF5F9">
            <w:pPr>
              <w:jc w:val="center"/>
              <w:rPr>
                <w:rFonts w:ascii="仿宋" w:hAnsi="仿宋" w:eastAsia="仿宋"/>
                <w:color w:val="auto"/>
                <w:sz w:val="24"/>
                <w:szCs w:val="24"/>
                <w:highlight w:val="none"/>
              </w:rPr>
            </w:pPr>
          </w:p>
        </w:tc>
        <w:tc>
          <w:tcPr>
            <w:tcW w:w="1375" w:type="dxa"/>
            <w:tcBorders>
              <w:top w:val="single" w:color="auto" w:sz="4" w:space="0"/>
              <w:left w:val="single" w:color="auto" w:sz="4" w:space="0"/>
              <w:bottom w:val="single" w:color="auto" w:sz="4" w:space="0"/>
              <w:right w:val="single" w:color="auto" w:sz="4" w:space="0"/>
            </w:tcBorders>
            <w:vAlign w:val="center"/>
          </w:tcPr>
          <w:p w14:paraId="74952B71">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服务要点分析及应对方案</w:t>
            </w:r>
          </w:p>
        </w:tc>
        <w:tc>
          <w:tcPr>
            <w:tcW w:w="5480" w:type="dxa"/>
            <w:tcBorders>
              <w:top w:val="single" w:color="auto" w:sz="4" w:space="0"/>
              <w:left w:val="single" w:color="auto" w:sz="4" w:space="0"/>
              <w:bottom w:val="single" w:color="auto" w:sz="4" w:space="0"/>
              <w:right w:val="single" w:color="auto" w:sz="4" w:space="0"/>
            </w:tcBorders>
            <w:vAlign w:val="center"/>
          </w:tcPr>
          <w:p w14:paraId="19B09406">
            <w:pPr>
              <w:rPr>
                <w:rFonts w:ascii="仿宋" w:hAnsi="仿宋" w:eastAsia="仿宋"/>
                <w:color w:val="auto"/>
                <w:sz w:val="24"/>
                <w:szCs w:val="24"/>
                <w:highlight w:val="none"/>
              </w:rPr>
            </w:pPr>
            <w:r>
              <w:rPr>
                <w:rFonts w:hint="eastAsia" w:ascii="仿宋" w:hAnsi="仿宋" w:eastAsia="仿宋"/>
                <w:color w:val="auto"/>
                <w:sz w:val="24"/>
                <w:szCs w:val="24"/>
                <w:highlight w:val="none"/>
              </w:rPr>
              <w:t>根据各投标人提供服务要点及应对方案进行评价。</w:t>
            </w:r>
          </w:p>
          <w:p w14:paraId="262B7B54">
            <w:pPr>
              <w:rPr>
                <w:rFonts w:ascii="仿宋" w:hAnsi="仿宋" w:eastAsia="仿宋"/>
                <w:color w:val="auto"/>
                <w:sz w:val="24"/>
                <w:szCs w:val="24"/>
                <w:highlight w:val="none"/>
              </w:rPr>
            </w:pPr>
            <w:r>
              <w:rPr>
                <w:rFonts w:hint="eastAsia" w:ascii="仿宋" w:hAnsi="仿宋" w:eastAsia="仿宋"/>
                <w:color w:val="auto"/>
                <w:sz w:val="24"/>
                <w:szCs w:val="24"/>
                <w:highlight w:val="none"/>
              </w:rPr>
              <w:t>方案完全明确可行，完全满足项目需求的，得3分；基本明确可行，基本满足项目需求、略有欠缺需要完善的，得2分；不够明确、可行性一般，不能较好满足项目需求的，得1分；未描述或者不能满足项目需求的，得0分。</w:t>
            </w:r>
          </w:p>
        </w:tc>
        <w:tc>
          <w:tcPr>
            <w:tcW w:w="729" w:type="dxa"/>
            <w:tcBorders>
              <w:top w:val="single" w:color="auto" w:sz="4" w:space="0"/>
              <w:left w:val="single" w:color="auto" w:sz="4" w:space="0"/>
              <w:bottom w:val="single" w:color="auto" w:sz="4" w:space="0"/>
              <w:right w:val="single" w:color="auto" w:sz="4" w:space="0"/>
            </w:tcBorders>
            <w:vAlign w:val="center"/>
          </w:tcPr>
          <w:p w14:paraId="6D27147D">
            <w:pPr>
              <w:snapToGrid w:val="0"/>
              <w:spacing w:line="40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3</w:t>
            </w:r>
          </w:p>
        </w:tc>
      </w:tr>
      <w:tr w14:paraId="65D82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tcBorders>
              <w:left w:val="single" w:color="auto" w:sz="4" w:space="0"/>
              <w:right w:val="single" w:color="auto" w:sz="4" w:space="0"/>
            </w:tcBorders>
            <w:vAlign w:val="center"/>
          </w:tcPr>
          <w:p w14:paraId="21B56041">
            <w:pPr>
              <w:rPr>
                <w:rFonts w:ascii="仿宋" w:hAnsi="仿宋" w:eastAsia="仿宋"/>
                <w:color w:val="auto"/>
                <w:sz w:val="24"/>
                <w:szCs w:val="24"/>
                <w:highlight w:val="none"/>
              </w:rPr>
            </w:pPr>
          </w:p>
        </w:tc>
        <w:tc>
          <w:tcPr>
            <w:tcW w:w="1215" w:type="dxa"/>
            <w:vMerge w:val="continue"/>
            <w:tcBorders>
              <w:left w:val="single" w:color="auto" w:sz="4" w:space="0"/>
              <w:right w:val="single" w:color="auto" w:sz="4" w:space="0"/>
            </w:tcBorders>
            <w:vAlign w:val="center"/>
          </w:tcPr>
          <w:p w14:paraId="463A62D9">
            <w:pPr>
              <w:jc w:val="center"/>
              <w:rPr>
                <w:rFonts w:ascii="仿宋" w:hAnsi="仿宋" w:eastAsia="仿宋"/>
                <w:color w:val="auto"/>
                <w:sz w:val="24"/>
                <w:szCs w:val="24"/>
                <w:highlight w:val="none"/>
              </w:rPr>
            </w:pPr>
          </w:p>
        </w:tc>
        <w:tc>
          <w:tcPr>
            <w:tcW w:w="1375" w:type="dxa"/>
            <w:tcBorders>
              <w:top w:val="single" w:color="auto" w:sz="4" w:space="0"/>
              <w:left w:val="single" w:color="auto" w:sz="4" w:space="0"/>
              <w:bottom w:val="single" w:color="auto" w:sz="4" w:space="0"/>
              <w:right w:val="single" w:color="auto" w:sz="4" w:space="0"/>
            </w:tcBorders>
            <w:vAlign w:val="center"/>
          </w:tcPr>
          <w:p w14:paraId="48EEF260">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保障经验</w:t>
            </w:r>
          </w:p>
        </w:tc>
        <w:tc>
          <w:tcPr>
            <w:tcW w:w="5480" w:type="dxa"/>
            <w:tcBorders>
              <w:top w:val="single" w:color="auto" w:sz="4" w:space="0"/>
              <w:left w:val="single" w:color="auto" w:sz="4" w:space="0"/>
              <w:bottom w:val="single" w:color="auto" w:sz="4" w:space="0"/>
              <w:right w:val="single" w:color="auto" w:sz="4" w:space="0"/>
            </w:tcBorders>
            <w:vAlign w:val="center"/>
          </w:tcPr>
          <w:p w14:paraId="11D53B06">
            <w:pPr>
              <w:rPr>
                <w:rFonts w:ascii="仿宋" w:hAnsi="仿宋" w:eastAsia="仿宋"/>
                <w:color w:val="auto"/>
                <w:sz w:val="24"/>
                <w:szCs w:val="24"/>
                <w:highlight w:val="none"/>
              </w:rPr>
            </w:pPr>
            <w:r>
              <w:rPr>
                <w:rFonts w:hint="eastAsia" w:ascii="仿宋" w:hAnsi="仿宋" w:eastAsia="仿宋"/>
                <w:color w:val="auto"/>
                <w:sz w:val="24"/>
                <w:szCs w:val="24"/>
                <w:highlight w:val="none"/>
              </w:rPr>
              <w:t>可提供202</w:t>
            </w:r>
            <w:r>
              <w:rPr>
                <w:rFonts w:ascii="仿宋" w:hAnsi="仿宋" w:eastAsia="仿宋"/>
                <w:color w:val="auto"/>
                <w:sz w:val="24"/>
                <w:szCs w:val="24"/>
                <w:highlight w:val="none"/>
              </w:rPr>
              <w:t>4</w:t>
            </w:r>
            <w:r>
              <w:rPr>
                <w:rFonts w:hint="eastAsia" w:ascii="仿宋" w:hAnsi="仿宋" w:eastAsia="仿宋"/>
                <w:color w:val="auto"/>
                <w:sz w:val="24"/>
                <w:szCs w:val="24"/>
                <w:highlight w:val="none"/>
              </w:rPr>
              <w:t>年</w:t>
            </w:r>
            <w:r>
              <w:rPr>
                <w:rFonts w:ascii="仿宋" w:hAnsi="仿宋" w:eastAsia="仿宋"/>
                <w:color w:val="auto"/>
                <w:sz w:val="24"/>
                <w:szCs w:val="24"/>
                <w:highlight w:val="none"/>
              </w:rPr>
              <w:t>6</w:t>
            </w:r>
            <w:r>
              <w:rPr>
                <w:rFonts w:hint="eastAsia" w:ascii="仿宋" w:hAnsi="仿宋" w:eastAsia="仿宋"/>
                <w:color w:val="auto"/>
                <w:sz w:val="24"/>
                <w:szCs w:val="24"/>
                <w:highlight w:val="none"/>
              </w:rPr>
              <w:t>月至202</w:t>
            </w:r>
            <w:r>
              <w:rPr>
                <w:rFonts w:hint="eastAsia" w:ascii="仿宋" w:hAnsi="仿宋" w:eastAsia="仿宋"/>
                <w:color w:val="auto"/>
                <w:sz w:val="24"/>
                <w:szCs w:val="24"/>
                <w:highlight w:val="none"/>
                <w:lang w:val="en-US" w:eastAsia="zh-CN"/>
              </w:rPr>
              <w:t>4</w:t>
            </w:r>
            <w:r>
              <w:rPr>
                <w:rFonts w:hint="eastAsia" w:ascii="仿宋" w:hAnsi="仿宋" w:eastAsia="仿宋"/>
                <w:color w:val="auto"/>
                <w:sz w:val="24"/>
                <w:szCs w:val="24"/>
                <w:highlight w:val="none"/>
              </w:rPr>
              <w:t>年</w:t>
            </w:r>
            <w:r>
              <w:rPr>
                <w:rFonts w:hint="eastAsia" w:ascii="仿宋" w:hAnsi="仿宋" w:eastAsia="仿宋"/>
                <w:color w:val="auto"/>
                <w:sz w:val="24"/>
                <w:szCs w:val="24"/>
                <w:highlight w:val="none"/>
                <w:lang w:val="en-US" w:eastAsia="zh-CN"/>
              </w:rPr>
              <w:t>11</w:t>
            </w:r>
            <w:r>
              <w:rPr>
                <w:rFonts w:hint="eastAsia" w:ascii="仿宋" w:hAnsi="仿宋" w:eastAsia="仿宋"/>
                <w:color w:val="auto"/>
                <w:sz w:val="24"/>
                <w:szCs w:val="24"/>
                <w:highlight w:val="none"/>
              </w:rPr>
              <w:t>月本项目区域（分辨率优于3米（含）、云量小于5%）月度一张图的，需提供存档查询结果及查询网址，符合合格影像覆盖的，得</w:t>
            </w:r>
            <w:r>
              <w:rPr>
                <w:rFonts w:hint="eastAsia" w:ascii="仿宋" w:hAnsi="仿宋" w:eastAsia="仿宋"/>
                <w:color w:val="auto"/>
                <w:sz w:val="24"/>
                <w:szCs w:val="24"/>
                <w:highlight w:val="none"/>
                <w:lang w:val="en-US" w:eastAsia="zh-CN"/>
              </w:rPr>
              <w:t>2</w:t>
            </w:r>
            <w:r>
              <w:rPr>
                <w:rFonts w:hint="eastAsia" w:ascii="仿宋" w:hAnsi="仿宋" w:eastAsia="仿宋"/>
                <w:color w:val="auto"/>
                <w:sz w:val="24"/>
                <w:szCs w:val="24"/>
                <w:highlight w:val="none"/>
              </w:rPr>
              <w:t>分/月，最高得12分。</w:t>
            </w:r>
          </w:p>
        </w:tc>
        <w:tc>
          <w:tcPr>
            <w:tcW w:w="729" w:type="dxa"/>
            <w:tcBorders>
              <w:top w:val="single" w:color="auto" w:sz="4" w:space="0"/>
              <w:left w:val="single" w:color="auto" w:sz="4" w:space="0"/>
              <w:bottom w:val="single" w:color="auto" w:sz="4" w:space="0"/>
              <w:right w:val="single" w:color="auto" w:sz="4" w:space="0"/>
            </w:tcBorders>
            <w:vAlign w:val="center"/>
          </w:tcPr>
          <w:p w14:paraId="3C46091B">
            <w:pPr>
              <w:snapToGrid w:val="0"/>
              <w:spacing w:line="40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12</w:t>
            </w:r>
          </w:p>
        </w:tc>
      </w:tr>
      <w:tr w14:paraId="66B8C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tcBorders>
              <w:left w:val="single" w:color="auto" w:sz="4" w:space="0"/>
              <w:right w:val="single" w:color="auto" w:sz="4" w:space="0"/>
            </w:tcBorders>
            <w:vAlign w:val="center"/>
          </w:tcPr>
          <w:p w14:paraId="3033DC20">
            <w:pPr>
              <w:rPr>
                <w:rFonts w:ascii="仿宋" w:hAnsi="仿宋" w:eastAsia="仿宋"/>
                <w:color w:val="auto"/>
                <w:sz w:val="24"/>
                <w:szCs w:val="24"/>
                <w:highlight w:val="none"/>
              </w:rPr>
            </w:pPr>
          </w:p>
        </w:tc>
        <w:tc>
          <w:tcPr>
            <w:tcW w:w="1215" w:type="dxa"/>
            <w:vMerge w:val="continue"/>
            <w:tcBorders>
              <w:left w:val="single" w:color="auto" w:sz="4" w:space="0"/>
              <w:right w:val="single" w:color="auto" w:sz="4" w:space="0"/>
            </w:tcBorders>
            <w:vAlign w:val="center"/>
          </w:tcPr>
          <w:p w14:paraId="50908819">
            <w:pPr>
              <w:jc w:val="center"/>
              <w:rPr>
                <w:rFonts w:ascii="仿宋" w:hAnsi="仿宋" w:eastAsia="仿宋"/>
                <w:color w:val="auto"/>
                <w:sz w:val="24"/>
                <w:szCs w:val="24"/>
                <w:highlight w:val="none"/>
              </w:rPr>
            </w:pPr>
          </w:p>
        </w:tc>
        <w:tc>
          <w:tcPr>
            <w:tcW w:w="1375" w:type="dxa"/>
            <w:tcBorders>
              <w:top w:val="single" w:color="auto" w:sz="4" w:space="0"/>
              <w:left w:val="single" w:color="auto" w:sz="4" w:space="0"/>
              <w:bottom w:val="single" w:color="auto" w:sz="4" w:space="0"/>
              <w:right w:val="single" w:color="auto" w:sz="4" w:space="0"/>
            </w:tcBorders>
            <w:vAlign w:val="center"/>
          </w:tcPr>
          <w:p w14:paraId="53C20411">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增值服务</w:t>
            </w:r>
          </w:p>
        </w:tc>
        <w:tc>
          <w:tcPr>
            <w:tcW w:w="5480" w:type="dxa"/>
            <w:tcBorders>
              <w:top w:val="single" w:color="auto" w:sz="4" w:space="0"/>
              <w:left w:val="single" w:color="auto" w:sz="4" w:space="0"/>
              <w:bottom w:val="single" w:color="auto" w:sz="4" w:space="0"/>
              <w:right w:val="single" w:color="auto" w:sz="4" w:space="0"/>
            </w:tcBorders>
            <w:vAlign w:val="center"/>
          </w:tcPr>
          <w:p w14:paraId="5522E9F9">
            <w:pPr>
              <w:rPr>
                <w:rFonts w:ascii="仿宋" w:hAnsi="仿宋" w:eastAsia="仿宋"/>
                <w:color w:val="auto"/>
                <w:sz w:val="24"/>
                <w:szCs w:val="24"/>
                <w:highlight w:val="none"/>
              </w:rPr>
            </w:pPr>
            <w:r>
              <w:rPr>
                <w:rFonts w:hint="eastAsia" w:ascii="仿宋" w:hAnsi="仿宋" w:eastAsia="仿宋"/>
                <w:color w:val="auto"/>
                <w:sz w:val="24"/>
                <w:szCs w:val="24"/>
                <w:highlight w:val="none"/>
              </w:rPr>
              <w:t>投标人承诺额外提供遥感影像增值服务，增值服务技术先进、效率高（采用云平台、并行计算、AI等新技术），得3分；增值服务技术采用传统方法、效率一般，得2分；增值服务技术方案差、效率低，得1分；未描述得0分。</w:t>
            </w:r>
          </w:p>
        </w:tc>
        <w:tc>
          <w:tcPr>
            <w:tcW w:w="729" w:type="dxa"/>
            <w:tcBorders>
              <w:top w:val="single" w:color="auto" w:sz="4" w:space="0"/>
              <w:left w:val="single" w:color="auto" w:sz="4" w:space="0"/>
              <w:bottom w:val="single" w:color="auto" w:sz="4" w:space="0"/>
              <w:right w:val="single" w:color="auto" w:sz="4" w:space="0"/>
            </w:tcBorders>
            <w:vAlign w:val="center"/>
          </w:tcPr>
          <w:p w14:paraId="3776E194">
            <w:pPr>
              <w:snapToGrid w:val="0"/>
              <w:spacing w:line="40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3</w:t>
            </w:r>
          </w:p>
        </w:tc>
      </w:tr>
      <w:tr w14:paraId="44619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tcBorders>
              <w:left w:val="single" w:color="auto" w:sz="4" w:space="0"/>
              <w:right w:val="single" w:color="auto" w:sz="4" w:space="0"/>
            </w:tcBorders>
            <w:vAlign w:val="center"/>
          </w:tcPr>
          <w:p w14:paraId="59F958DE">
            <w:pPr>
              <w:rPr>
                <w:rFonts w:ascii="仿宋" w:hAnsi="仿宋" w:eastAsia="仿宋"/>
                <w:color w:val="auto"/>
                <w:sz w:val="24"/>
                <w:szCs w:val="24"/>
                <w:highlight w:val="none"/>
              </w:rPr>
            </w:pPr>
          </w:p>
        </w:tc>
        <w:tc>
          <w:tcPr>
            <w:tcW w:w="1215" w:type="dxa"/>
            <w:vMerge w:val="continue"/>
            <w:tcBorders>
              <w:left w:val="single" w:color="auto" w:sz="4" w:space="0"/>
              <w:right w:val="single" w:color="auto" w:sz="4" w:space="0"/>
            </w:tcBorders>
            <w:vAlign w:val="center"/>
          </w:tcPr>
          <w:p w14:paraId="4DD3198F">
            <w:pPr>
              <w:jc w:val="center"/>
              <w:rPr>
                <w:rFonts w:ascii="仿宋" w:hAnsi="仿宋" w:eastAsia="仿宋"/>
                <w:color w:val="auto"/>
                <w:sz w:val="24"/>
                <w:szCs w:val="24"/>
                <w:highlight w:val="none"/>
              </w:rPr>
            </w:pPr>
          </w:p>
        </w:tc>
        <w:tc>
          <w:tcPr>
            <w:tcW w:w="1375" w:type="dxa"/>
            <w:tcBorders>
              <w:top w:val="single" w:color="auto" w:sz="4" w:space="0"/>
              <w:left w:val="single" w:color="auto" w:sz="4" w:space="0"/>
              <w:bottom w:val="single" w:color="auto" w:sz="4" w:space="0"/>
              <w:right w:val="single" w:color="auto" w:sz="4" w:space="0"/>
            </w:tcBorders>
            <w:vAlign w:val="center"/>
          </w:tcPr>
          <w:p w14:paraId="368865C8">
            <w:pPr>
              <w:jc w:val="center"/>
              <w:rPr>
                <w:rFonts w:ascii="仿宋" w:hAnsi="仿宋" w:eastAsia="仿宋"/>
                <w:color w:val="auto"/>
                <w:kern w:val="2"/>
                <w:sz w:val="24"/>
                <w:szCs w:val="24"/>
                <w:highlight w:val="none"/>
              </w:rPr>
            </w:pPr>
            <w:r>
              <w:rPr>
                <w:rFonts w:hint="eastAsia" w:ascii="仿宋" w:hAnsi="仿宋" w:eastAsia="仿宋"/>
                <w:color w:val="auto"/>
                <w:sz w:val="24"/>
                <w:szCs w:val="24"/>
                <w:highlight w:val="none"/>
              </w:rPr>
              <w:t>拟投入项目人员配备</w:t>
            </w:r>
          </w:p>
        </w:tc>
        <w:tc>
          <w:tcPr>
            <w:tcW w:w="5480" w:type="dxa"/>
            <w:tcBorders>
              <w:top w:val="single" w:color="auto" w:sz="4" w:space="0"/>
              <w:left w:val="single" w:color="auto" w:sz="4" w:space="0"/>
              <w:bottom w:val="single" w:color="auto" w:sz="4" w:space="0"/>
              <w:right w:val="single" w:color="auto" w:sz="4" w:space="0"/>
            </w:tcBorders>
            <w:vAlign w:val="center"/>
          </w:tcPr>
          <w:p w14:paraId="29B5738A">
            <w:pPr>
              <w:rPr>
                <w:rFonts w:ascii="仿宋" w:hAnsi="仿宋" w:eastAsia="仿宋"/>
                <w:color w:val="auto"/>
                <w:sz w:val="24"/>
                <w:szCs w:val="24"/>
                <w:highlight w:val="none"/>
              </w:rPr>
            </w:pPr>
            <w:r>
              <w:rPr>
                <w:rFonts w:hint="eastAsia" w:ascii="仿宋" w:hAnsi="仿宋" w:eastAsia="仿宋"/>
                <w:color w:val="auto"/>
                <w:sz w:val="24"/>
                <w:szCs w:val="24"/>
                <w:highlight w:val="none"/>
              </w:rPr>
              <w:t>1、</w:t>
            </w:r>
            <w:r>
              <w:rPr>
                <w:rFonts w:ascii="仿宋" w:hAnsi="仿宋" w:eastAsia="仿宋"/>
                <w:color w:val="auto"/>
                <w:sz w:val="24"/>
                <w:szCs w:val="24"/>
                <w:highlight w:val="none"/>
              </w:rPr>
              <w:t>拟派项目负责人</w:t>
            </w:r>
            <w:r>
              <w:rPr>
                <w:rFonts w:hint="eastAsia" w:ascii="仿宋" w:hAnsi="仿宋" w:eastAsia="仿宋"/>
                <w:color w:val="auto"/>
                <w:sz w:val="24"/>
                <w:szCs w:val="24"/>
                <w:highlight w:val="none"/>
              </w:rPr>
              <w:t>（限1人）具有</w:t>
            </w:r>
            <w:r>
              <w:rPr>
                <w:rFonts w:ascii="仿宋" w:hAnsi="仿宋" w:eastAsia="仿宋"/>
                <w:color w:val="auto"/>
                <w:sz w:val="24"/>
                <w:szCs w:val="24"/>
                <w:highlight w:val="none"/>
              </w:rPr>
              <w:t>遥感、地理信息、测绘类</w:t>
            </w:r>
            <w:r>
              <w:rPr>
                <w:rFonts w:hint="eastAsia" w:ascii="仿宋" w:hAnsi="仿宋" w:eastAsia="仿宋"/>
                <w:color w:val="auto"/>
                <w:sz w:val="24"/>
                <w:szCs w:val="24"/>
                <w:highlight w:val="none"/>
              </w:rPr>
              <w:t>正高级职称的得2分</w:t>
            </w:r>
            <w:r>
              <w:rPr>
                <w:rFonts w:ascii="仿宋" w:hAnsi="仿宋" w:eastAsia="仿宋"/>
                <w:color w:val="auto"/>
                <w:sz w:val="24"/>
                <w:szCs w:val="24"/>
                <w:highlight w:val="none"/>
              </w:rPr>
              <w:t>，</w:t>
            </w:r>
            <w:r>
              <w:rPr>
                <w:rFonts w:hint="eastAsia" w:ascii="仿宋" w:hAnsi="仿宋" w:eastAsia="仿宋"/>
                <w:color w:val="auto"/>
                <w:sz w:val="24"/>
                <w:szCs w:val="24"/>
                <w:highlight w:val="none"/>
              </w:rPr>
              <w:t>副高级职称的</w:t>
            </w:r>
            <w:r>
              <w:rPr>
                <w:rFonts w:ascii="仿宋" w:hAnsi="仿宋" w:eastAsia="仿宋"/>
                <w:color w:val="auto"/>
                <w:sz w:val="24"/>
                <w:szCs w:val="24"/>
                <w:highlight w:val="none"/>
              </w:rPr>
              <w:t>得1分</w:t>
            </w:r>
            <w:r>
              <w:rPr>
                <w:rFonts w:hint="eastAsia" w:ascii="仿宋" w:hAnsi="仿宋" w:eastAsia="仿宋"/>
                <w:color w:val="auto"/>
                <w:sz w:val="24"/>
                <w:szCs w:val="24"/>
                <w:highlight w:val="none"/>
              </w:rPr>
              <w:t>，其他得0分</w:t>
            </w:r>
            <w:r>
              <w:rPr>
                <w:rFonts w:ascii="仿宋" w:hAnsi="仿宋" w:eastAsia="仿宋"/>
                <w:color w:val="auto"/>
                <w:sz w:val="24"/>
                <w:szCs w:val="24"/>
                <w:highlight w:val="none"/>
              </w:rPr>
              <w:t>。</w:t>
            </w:r>
          </w:p>
          <w:p w14:paraId="311E2C5B">
            <w:pPr>
              <w:rPr>
                <w:rFonts w:ascii="仿宋" w:hAnsi="仿宋" w:eastAsia="仿宋"/>
                <w:color w:val="auto"/>
                <w:sz w:val="24"/>
                <w:szCs w:val="24"/>
                <w:highlight w:val="none"/>
              </w:rPr>
            </w:pPr>
            <w:r>
              <w:rPr>
                <w:rFonts w:hint="eastAsia" w:ascii="仿宋" w:hAnsi="仿宋" w:eastAsia="仿宋"/>
                <w:color w:val="auto"/>
                <w:sz w:val="24"/>
                <w:szCs w:val="24"/>
                <w:highlight w:val="none"/>
              </w:rPr>
              <w:t>获得过国家机关所颁发的省部级及以上科技类奖项的</w:t>
            </w:r>
            <w:r>
              <w:rPr>
                <w:rFonts w:ascii="仿宋" w:hAnsi="仿宋" w:eastAsia="仿宋"/>
                <w:color w:val="auto"/>
                <w:sz w:val="24"/>
                <w:szCs w:val="24"/>
                <w:highlight w:val="none"/>
              </w:rPr>
              <w:t>得1分。</w:t>
            </w:r>
          </w:p>
          <w:p w14:paraId="6D9873E0">
            <w:pPr>
              <w:rPr>
                <w:rFonts w:ascii="仿宋" w:hAnsi="仿宋" w:eastAsia="仿宋"/>
                <w:color w:val="auto"/>
                <w:sz w:val="24"/>
                <w:szCs w:val="24"/>
                <w:highlight w:val="none"/>
              </w:rPr>
            </w:pPr>
            <w:r>
              <w:rPr>
                <w:rFonts w:hint="eastAsia" w:ascii="仿宋" w:hAnsi="仿宋" w:eastAsia="仿宋"/>
                <w:color w:val="auto"/>
                <w:sz w:val="24"/>
                <w:szCs w:val="24"/>
                <w:highlight w:val="none"/>
              </w:rPr>
              <w:t>2、</w:t>
            </w:r>
            <w:r>
              <w:rPr>
                <w:rFonts w:ascii="仿宋" w:hAnsi="仿宋" w:eastAsia="仿宋"/>
                <w:color w:val="auto"/>
                <w:sz w:val="24"/>
                <w:szCs w:val="24"/>
                <w:highlight w:val="none"/>
              </w:rPr>
              <w:t>拟派技术负责人</w:t>
            </w:r>
            <w:r>
              <w:rPr>
                <w:rFonts w:hint="eastAsia" w:ascii="仿宋" w:hAnsi="仿宋" w:eastAsia="仿宋"/>
                <w:color w:val="auto"/>
                <w:sz w:val="24"/>
                <w:szCs w:val="24"/>
                <w:highlight w:val="none"/>
              </w:rPr>
              <w:t>（限1人）</w:t>
            </w:r>
            <w:r>
              <w:rPr>
                <w:rFonts w:ascii="仿宋" w:hAnsi="仿宋" w:eastAsia="仿宋"/>
                <w:color w:val="auto"/>
                <w:sz w:val="24"/>
                <w:szCs w:val="24"/>
                <w:highlight w:val="none"/>
              </w:rPr>
              <w:t>具有遥感、地理信息、测绘类</w:t>
            </w:r>
            <w:r>
              <w:rPr>
                <w:rFonts w:hint="eastAsia" w:ascii="仿宋" w:hAnsi="仿宋" w:eastAsia="仿宋"/>
                <w:color w:val="auto"/>
                <w:sz w:val="24"/>
                <w:szCs w:val="24"/>
                <w:highlight w:val="none"/>
              </w:rPr>
              <w:t>正高级职称的得2分</w:t>
            </w:r>
            <w:r>
              <w:rPr>
                <w:rFonts w:ascii="仿宋" w:hAnsi="仿宋" w:eastAsia="仿宋"/>
                <w:color w:val="auto"/>
                <w:sz w:val="24"/>
                <w:szCs w:val="24"/>
                <w:highlight w:val="none"/>
              </w:rPr>
              <w:t>，</w:t>
            </w:r>
            <w:r>
              <w:rPr>
                <w:rFonts w:hint="eastAsia" w:ascii="仿宋" w:hAnsi="仿宋" w:eastAsia="仿宋"/>
                <w:color w:val="auto"/>
                <w:sz w:val="24"/>
                <w:szCs w:val="24"/>
                <w:highlight w:val="none"/>
              </w:rPr>
              <w:t>副高级职称的</w:t>
            </w:r>
            <w:r>
              <w:rPr>
                <w:rFonts w:ascii="仿宋" w:hAnsi="仿宋" w:eastAsia="仿宋"/>
                <w:color w:val="auto"/>
                <w:sz w:val="24"/>
                <w:szCs w:val="24"/>
                <w:highlight w:val="none"/>
              </w:rPr>
              <w:t>得1分</w:t>
            </w:r>
            <w:r>
              <w:rPr>
                <w:rFonts w:hint="eastAsia" w:ascii="仿宋" w:hAnsi="仿宋" w:eastAsia="仿宋"/>
                <w:color w:val="auto"/>
                <w:sz w:val="24"/>
                <w:szCs w:val="24"/>
                <w:highlight w:val="none"/>
              </w:rPr>
              <w:t>，其他得0分</w:t>
            </w:r>
            <w:r>
              <w:rPr>
                <w:rFonts w:ascii="仿宋" w:hAnsi="仿宋" w:eastAsia="仿宋"/>
                <w:color w:val="auto"/>
                <w:sz w:val="24"/>
                <w:szCs w:val="24"/>
                <w:highlight w:val="none"/>
              </w:rPr>
              <w:t>。</w:t>
            </w:r>
          </w:p>
          <w:p w14:paraId="0CA249E5">
            <w:pPr>
              <w:rPr>
                <w:rFonts w:ascii="仿宋" w:hAnsi="仿宋" w:eastAsia="仿宋"/>
                <w:color w:val="auto"/>
                <w:sz w:val="24"/>
                <w:szCs w:val="24"/>
                <w:highlight w:val="none"/>
              </w:rPr>
            </w:pPr>
            <w:r>
              <w:rPr>
                <w:rFonts w:hint="eastAsia" w:ascii="仿宋" w:hAnsi="仿宋" w:eastAsia="仿宋"/>
                <w:color w:val="auto"/>
                <w:sz w:val="24"/>
                <w:szCs w:val="24"/>
                <w:highlight w:val="none"/>
              </w:rPr>
              <w:t>3、</w:t>
            </w:r>
            <w:r>
              <w:rPr>
                <w:rFonts w:ascii="仿宋" w:hAnsi="仿宋" w:eastAsia="仿宋"/>
                <w:color w:val="auto"/>
                <w:sz w:val="24"/>
                <w:szCs w:val="24"/>
                <w:highlight w:val="none"/>
              </w:rPr>
              <w:t>拟派其他技术人员（除</w:t>
            </w:r>
            <w:r>
              <w:rPr>
                <w:rFonts w:hint="eastAsia" w:ascii="仿宋" w:hAnsi="仿宋" w:eastAsia="仿宋"/>
                <w:color w:val="auto"/>
                <w:sz w:val="24"/>
                <w:szCs w:val="24"/>
                <w:highlight w:val="none"/>
              </w:rPr>
              <w:t>项目</w:t>
            </w:r>
            <w:r>
              <w:rPr>
                <w:rFonts w:ascii="仿宋" w:hAnsi="仿宋" w:eastAsia="仿宋"/>
                <w:color w:val="auto"/>
                <w:sz w:val="24"/>
                <w:szCs w:val="24"/>
                <w:highlight w:val="none"/>
              </w:rPr>
              <w:t>负责人</w:t>
            </w:r>
            <w:r>
              <w:rPr>
                <w:rFonts w:hint="eastAsia" w:ascii="仿宋" w:hAnsi="仿宋" w:eastAsia="仿宋"/>
                <w:color w:val="auto"/>
                <w:sz w:val="24"/>
                <w:szCs w:val="24"/>
                <w:highlight w:val="none"/>
              </w:rPr>
              <w:t>和技术负责人</w:t>
            </w:r>
            <w:r>
              <w:rPr>
                <w:rFonts w:ascii="仿宋" w:hAnsi="仿宋" w:eastAsia="仿宋"/>
                <w:color w:val="auto"/>
                <w:sz w:val="24"/>
                <w:szCs w:val="24"/>
                <w:highlight w:val="none"/>
              </w:rPr>
              <w:t>外）中，具有遥感、地理信息、测绘类相关专业</w:t>
            </w:r>
            <w:r>
              <w:rPr>
                <w:rFonts w:hint="eastAsia" w:ascii="仿宋" w:hAnsi="仿宋" w:eastAsia="仿宋"/>
                <w:color w:val="auto"/>
                <w:sz w:val="24"/>
                <w:szCs w:val="24"/>
                <w:highlight w:val="none"/>
              </w:rPr>
              <w:t>副高级职称及以上的</w:t>
            </w:r>
            <w:r>
              <w:rPr>
                <w:rFonts w:ascii="仿宋" w:hAnsi="仿宋" w:eastAsia="仿宋"/>
                <w:color w:val="auto"/>
                <w:sz w:val="24"/>
                <w:szCs w:val="24"/>
                <w:highlight w:val="none"/>
              </w:rPr>
              <w:t>，每人得0.</w:t>
            </w:r>
            <w:r>
              <w:rPr>
                <w:rFonts w:hint="eastAsia" w:ascii="仿宋" w:hAnsi="仿宋" w:eastAsia="仿宋"/>
                <w:color w:val="auto"/>
                <w:sz w:val="24"/>
                <w:szCs w:val="24"/>
                <w:highlight w:val="none"/>
              </w:rPr>
              <w:t>2</w:t>
            </w:r>
            <w:r>
              <w:rPr>
                <w:rFonts w:ascii="仿宋" w:hAnsi="仿宋" w:eastAsia="仿宋"/>
                <w:color w:val="auto"/>
                <w:sz w:val="24"/>
                <w:szCs w:val="24"/>
                <w:highlight w:val="none"/>
              </w:rPr>
              <w:t>分，最高</w:t>
            </w:r>
            <w:r>
              <w:rPr>
                <w:rFonts w:hint="eastAsia" w:ascii="仿宋" w:hAnsi="仿宋" w:eastAsia="仿宋"/>
                <w:color w:val="auto"/>
                <w:sz w:val="24"/>
                <w:szCs w:val="24"/>
                <w:highlight w:val="none"/>
              </w:rPr>
              <w:t>2</w:t>
            </w:r>
            <w:r>
              <w:rPr>
                <w:rFonts w:ascii="仿宋" w:hAnsi="仿宋" w:eastAsia="仿宋"/>
                <w:color w:val="auto"/>
                <w:sz w:val="24"/>
                <w:szCs w:val="24"/>
                <w:highlight w:val="none"/>
              </w:rPr>
              <w:t>分。</w:t>
            </w:r>
          </w:p>
          <w:p w14:paraId="48F990DC">
            <w:pPr>
              <w:rPr>
                <w:rFonts w:ascii="仿宋" w:hAnsi="仿宋" w:eastAsia="仿宋"/>
                <w:color w:val="auto"/>
                <w:kern w:val="2"/>
                <w:sz w:val="24"/>
                <w:szCs w:val="24"/>
                <w:highlight w:val="none"/>
              </w:rPr>
            </w:pPr>
            <w:r>
              <w:rPr>
                <w:rFonts w:ascii="仿宋" w:hAnsi="仿宋" w:eastAsia="仿宋"/>
                <w:color w:val="auto"/>
                <w:sz w:val="24"/>
                <w:szCs w:val="24"/>
                <w:highlight w:val="none"/>
              </w:rPr>
              <w:t>需提供相关</w:t>
            </w:r>
            <w:r>
              <w:rPr>
                <w:rFonts w:hint="eastAsia" w:ascii="仿宋" w:hAnsi="仿宋" w:eastAsia="仿宋"/>
                <w:color w:val="auto"/>
                <w:sz w:val="24"/>
                <w:szCs w:val="24"/>
                <w:highlight w:val="none"/>
              </w:rPr>
              <w:t>证书复印件</w:t>
            </w:r>
            <w:r>
              <w:rPr>
                <w:rFonts w:ascii="仿宋" w:hAnsi="仿宋" w:eastAsia="仿宋"/>
                <w:color w:val="auto"/>
                <w:sz w:val="24"/>
                <w:szCs w:val="24"/>
                <w:highlight w:val="none"/>
              </w:rPr>
              <w:t>及</w:t>
            </w:r>
            <w:r>
              <w:rPr>
                <w:rFonts w:hint="eastAsia" w:ascii="仿宋" w:hAnsi="仿宋" w:eastAsia="仿宋"/>
                <w:color w:val="auto"/>
                <w:sz w:val="24"/>
                <w:szCs w:val="24"/>
                <w:highlight w:val="none"/>
              </w:rPr>
              <w:t>投标人为其在距离投标文件提交截止时间前6个月内任意1个月缴纳社保的证明文件</w:t>
            </w:r>
            <w:r>
              <w:rPr>
                <w:rFonts w:ascii="仿宋" w:hAnsi="仿宋" w:eastAsia="仿宋"/>
                <w:color w:val="auto"/>
                <w:sz w:val="24"/>
                <w:szCs w:val="24"/>
                <w:highlight w:val="none"/>
              </w:rPr>
              <w:t>，不提供的不得分。</w:t>
            </w:r>
          </w:p>
        </w:tc>
        <w:tc>
          <w:tcPr>
            <w:tcW w:w="729" w:type="dxa"/>
            <w:tcBorders>
              <w:top w:val="single" w:color="auto" w:sz="4" w:space="0"/>
              <w:left w:val="single" w:color="auto" w:sz="4" w:space="0"/>
              <w:bottom w:val="single" w:color="auto" w:sz="4" w:space="0"/>
              <w:right w:val="single" w:color="auto" w:sz="4" w:space="0"/>
            </w:tcBorders>
            <w:vAlign w:val="center"/>
          </w:tcPr>
          <w:p w14:paraId="29372A61">
            <w:pPr>
              <w:snapToGrid w:val="0"/>
              <w:spacing w:line="400" w:lineRule="exact"/>
              <w:jc w:val="center"/>
              <w:rPr>
                <w:rFonts w:ascii="仿宋" w:hAnsi="仿宋" w:eastAsia="仿宋"/>
                <w:color w:val="auto"/>
                <w:kern w:val="2"/>
                <w:sz w:val="24"/>
                <w:szCs w:val="24"/>
                <w:highlight w:val="none"/>
              </w:rPr>
            </w:pPr>
            <w:r>
              <w:rPr>
                <w:rFonts w:hint="eastAsia" w:ascii="仿宋" w:hAnsi="仿宋" w:eastAsia="仿宋"/>
                <w:color w:val="auto"/>
                <w:sz w:val="24"/>
                <w:szCs w:val="24"/>
                <w:highlight w:val="none"/>
              </w:rPr>
              <w:t>7</w:t>
            </w:r>
          </w:p>
        </w:tc>
      </w:tr>
      <w:tr w14:paraId="16B81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tcBorders>
              <w:left w:val="single" w:color="auto" w:sz="4" w:space="0"/>
              <w:right w:val="single" w:color="auto" w:sz="4" w:space="0"/>
            </w:tcBorders>
            <w:vAlign w:val="center"/>
          </w:tcPr>
          <w:p w14:paraId="6F299767">
            <w:pPr>
              <w:rPr>
                <w:rFonts w:ascii="仿宋" w:hAnsi="仿宋" w:eastAsia="仿宋"/>
                <w:color w:val="auto"/>
                <w:sz w:val="24"/>
                <w:szCs w:val="24"/>
                <w:highlight w:val="none"/>
              </w:rPr>
            </w:pPr>
          </w:p>
        </w:tc>
        <w:tc>
          <w:tcPr>
            <w:tcW w:w="1215" w:type="dxa"/>
            <w:vMerge w:val="continue"/>
            <w:tcBorders>
              <w:left w:val="single" w:color="auto" w:sz="4" w:space="0"/>
              <w:right w:val="single" w:color="auto" w:sz="4" w:space="0"/>
            </w:tcBorders>
            <w:vAlign w:val="center"/>
          </w:tcPr>
          <w:p w14:paraId="29A243BB">
            <w:pPr>
              <w:jc w:val="center"/>
              <w:rPr>
                <w:rFonts w:ascii="仿宋" w:hAnsi="仿宋" w:eastAsia="仿宋"/>
                <w:color w:val="auto"/>
                <w:sz w:val="24"/>
                <w:szCs w:val="24"/>
                <w:highlight w:val="none"/>
              </w:rPr>
            </w:pPr>
          </w:p>
        </w:tc>
        <w:tc>
          <w:tcPr>
            <w:tcW w:w="1375" w:type="dxa"/>
            <w:tcBorders>
              <w:top w:val="single" w:color="auto" w:sz="4" w:space="0"/>
              <w:left w:val="single" w:color="auto" w:sz="4" w:space="0"/>
              <w:bottom w:val="single" w:color="auto" w:sz="4" w:space="0"/>
              <w:right w:val="single" w:color="auto" w:sz="4" w:space="0"/>
            </w:tcBorders>
            <w:vAlign w:val="center"/>
          </w:tcPr>
          <w:p w14:paraId="510D1368">
            <w:pPr>
              <w:jc w:val="center"/>
              <w:rPr>
                <w:rFonts w:ascii="仿宋" w:hAnsi="仿宋" w:eastAsia="仿宋"/>
                <w:color w:val="auto"/>
                <w:sz w:val="24"/>
                <w:szCs w:val="24"/>
                <w:highlight w:val="none"/>
              </w:rPr>
            </w:pPr>
            <w:r>
              <w:rPr>
                <w:rFonts w:ascii="仿宋" w:hAnsi="仿宋" w:eastAsia="仿宋"/>
                <w:color w:val="auto"/>
                <w:sz w:val="24"/>
                <w:szCs w:val="24"/>
                <w:highlight w:val="none"/>
              </w:rPr>
              <w:t>质量保障方案</w:t>
            </w:r>
          </w:p>
        </w:tc>
        <w:tc>
          <w:tcPr>
            <w:tcW w:w="5480" w:type="dxa"/>
            <w:tcBorders>
              <w:top w:val="single" w:color="auto" w:sz="4" w:space="0"/>
              <w:left w:val="single" w:color="auto" w:sz="4" w:space="0"/>
              <w:bottom w:val="single" w:color="auto" w:sz="4" w:space="0"/>
              <w:right w:val="single" w:color="auto" w:sz="4" w:space="0"/>
            </w:tcBorders>
            <w:vAlign w:val="center"/>
          </w:tcPr>
          <w:p w14:paraId="7DAE58A4">
            <w:pPr>
              <w:rPr>
                <w:color w:val="auto"/>
                <w:highlight w:val="none"/>
              </w:rPr>
            </w:pPr>
            <w:r>
              <w:rPr>
                <w:rFonts w:ascii="仿宋" w:hAnsi="仿宋" w:eastAsia="仿宋"/>
                <w:color w:val="auto"/>
                <w:sz w:val="24"/>
                <w:szCs w:val="24"/>
                <w:highlight w:val="none"/>
              </w:rPr>
              <w:t>根据投标人提供的质量保障方案</w:t>
            </w:r>
            <w:r>
              <w:rPr>
                <w:rFonts w:hint="eastAsia" w:ascii="仿宋" w:hAnsi="仿宋" w:eastAsia="仿宋"/>
                <w:color w:val="auto"/>
                <w:sz w:val="24"/>
                <w:szCs w:val="24"/>
                <w:highlight w:val="none"/>
              </w:rPr>
              <w:t>进行评价，方案完全明确可行，完全满足项目需求的，得3分；基本明确可行，基本满足项目需求、略有欠缺需要完善的，得2分；不够明确、可行性一般，不能较好满足项目需求的，得1分；未描述或者不能满足项目需求的，得0分。</w:t>
            </w:r>
          </w:p>
        </w:tc>
        <w:tc>
          <w:tcPr>
            <w:tcW w:w="729" w:type="dxa"/>
            <w:tcBorders>
              <w:top w:val="single" w:color="auto" w:sz="4" w:space="0"/>
              <w:left w:val="single" w:color="auto" w:sz="4" w:space="0"/>
              <w:bottom w:val="single" w:color="auto" w:sz="4" w:space="0"/>
              <w:right w:val="single" w:color="auto" w:sz="4" w:space="0"/>
            </w:tcBorders>
            <w:vAlign w:val="center"/>
          </w:tcPr>
          <w:p w14:paraId="248B7FF2">
            <w:pPr>
              <w:snapToGrid w:val="0"/>
              <w:spacing w:line="40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3</w:t>
            </w:r>
          </w:p>
        </w:tc>
      </w:tr>
      <w:tr w14:paraId="378FE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tcBorders>
              <w:left w:val="single" w:color="auto" w:sz="4" w:space="0"/>
              <w:right w:val="single" w:color="auto" w:sz="4" w:space="0"/>
            </w:tcBorders>
            <w:vAlign w:val="center"/>
          </w:tcPr>
          <w:p w14:paraId="305D7A0D">
            <w:pPr>
              <w:rPr>
                <w:rFonts w:ascii="仿宋" w:hAnsi="仿宋" w:eastAsia="仿宋"/>
                <w:color w:val="auto"/>
                <w:sz w:val="24"/>
                <w:szCs w:val="24"/>
                <w:highlight w:val="none"/>
              </w:rPr>
            </w:pPr>
          </w:p>
        </w:tc>
        <w:tc>
          <w:tcPr>
            <w:tcW w:w="1215" w:type="dxa"/>
            <w:vMerge w:val="continue"/>
            <w:tcBorders>
              <w:left w:val="single" w:color="auto" w:sz="4" w:space="0"/>
              <w:right w:val="single" w:color="auto" w:sz="4" w:space="0"/>
            </w:tcBorders>
            <w:vAlign w:val="center"/>
          </w:tcPr>
          <w:p w14:paraId="0D20205D">
            <w:pPr>
              <w:jc w:val="center"/>
              <w:rPr>
                <w:rFonts w:ascii="仿宋" w:hAnsi="仿宋" w:eastAsia="仿宋"/>
                <w:color w:val="auto"/>
                <w:sz w:val="24"/>
                <w:szCs w:val="24"/>
                <w:highlight w:val="none"/>
              </w:rPr>
            </w:pPr>
          </w:p>
        </w:tc>
        <w:tc>
          <w:tcPr>
            <w:tcW w:w="1375" w:type="dxa"/>
            <w:tcBorders>
              <w:top w:val="single" w:color="auto" w:sz="4" w:space="0"/>
              <w:left w:val="single" w:color="auto" w:sz="4" w:space="0"/>
              <w:bottom w:val="single" w:color="auto" w:sz="4" w:space="0"/>
              <w:right w:val="single" w:color="auto" w:sz="4" w:space="0"/>
            </w:tcBorders>
            <w:vAlign w:val="center"/>
          </w:tcPr>
          <w:p w14:paraId="248648E2">
            <w:pPr>
              <w:autoSpaceDE/>
              <w:autoSpaceDN/>
              <w:adjustRightInd/>
              <w:jc w:val="center"/>
              <w:rPr>
                <w:rFonts w:ascii="仿宋" w:hAnsi="仿宋" w:eastAsia="仿宋"/>
                <w:color w:val="auto"/>
                <w:kern w:val="2"/>
                <w:sz w:val="24"/>
                <w:szCs w:val="24"/>
                <w:highlight w:val="none"/>
              </w:rPr>
            </w:pPr>
            <w:r>
              <w:rPr>
                <w:rFonts w:hint="eastAsia" w:ascii="仿宋" w:hAnsi="仿宋" w:eastAsia="仿宋"/>
                <w:color w:val="auto"/>
                <w:sz w:val="24"/>
                <w:szCs w:val="24"/>
                <w:highlight w:val="none"/>
              </w:rPr>
              <w:t>进度管理</w:t>
            </w:r>
          </w:p>
        </w:tc>
        <w:tc>
          <w:tcPr>
            <w:tcW w:w="5480" w:type="dxa"/>
            <w:tcBorders>
              <w:top w:val="single" w:color="auto" w:sz="4" w:space="0"/>
              <w:left w:val="single" w:color="auto" w:sz="4" w:space="0"/>
              <w:bottom w:val="single" w:color="auto" w:sz="4" w:space="0"/>
              <w:right w:val="single" w:color="auto" w:sz="4" w:space="0"/>
            </w:tcBorders>
          </w:tcPr>
          <w:p w14:paraId="4EA6C950">
            <w:pPr>
              <w:autoSpaceDE/>
              <w:autoSpaceDN/>
              <w:adjustRightInd/>
              <w:jc w:val="both"/>
              <w:rPr>
                <w:rFonts w:ascii="仿宋" w:hAnsi="仿宋" w:eastAsia="仿宋"/>
                <w:color w:val="auto"/>
                <w:sz w:val="24"/>
                <w:szCs w:val="24"/>
                <w:highlight w:val="none"/>
              </w:rPr>
            </w:pPr>
            <w:r>
              <w:rPr>
                <w:rFonts w:ascii="仿宋" w:hAnsi="仿宋" w:eastAsia="仿宋"/>
                <w:color w:val="auto"/>
                <w:sz w:val="24"/>
                <w:szCs w:val="24"/>
                <w:highlight w:val="none"/>
              </w:rPr>
              <w:t>根据投标人的进度安排、保证工期的措施</w:t>
            </w:r>
            <w:r>
              <w:rPr>
                <w:rFonts w:hint="eastAsia" w:ascii="仿宋" w:hAnsi="仿宋" w:eastAsia="仿宋"/>
                <w:color w:val="auto"/>
                <w:sz w:val="24"/>
                <w:szCs w:val="24"/>
                <w:highlight w:val="none"/>
              </w:rPr>
              <w:t>评价</w:t>
            </w:r>
            <w:r>
              <w:rPr>
                <w:rFonts w:ascii="仿宋" w:hAnsi="仿宋" w:eastAsia="仿宋"/>
                <w:color w:val="auto"/>
                <w:sz w:val="24"/>
                <w:szCs w:val="24"/>
                <w:highlight w:val="none"/>
              </w:rPr>
              <w:t>。</w:t>
            </w:r>
          </w:p>
          <w:p w14:paraId="6F85D947">
            <w:pPr>
              <w:autoSpaceDE/>
              <w:autoSpaceDN/>
              <w:adjustRightInd/>
              <w:jc w:val="both"/>
              <w:rPr>
                <w:rFonts w:ascii="仿宋" w:hAnsi="仿宋" w:eastAsia="仿宋"/>
                <w:color w:val="auto"/>
                <w:sz w:val="24"/>
                <w:szCs w:val="24"/>
                <w:highlight w:val="none"/>
              </w:rPr>
            </w:pPr>
            <w:r>
              <w:rPr>
                <w:rFonts w:ascii="仿宋" w:hAnsi="仿宋" w:eastAsia="仿宋"/>
                <w:color w:val="auto"/>
                <w:sz w:val="24"/>
                <w:szCs w:val="24"/>
                <w:highlight w:val="none"/>
              </w:rPr>
              <w:t>管理方案科学合理、可行性强，各阶段进度安排及工期保证措施完善，</w:t>
            </w:r>
            <w:r>
              <w:rPr>
                <w:rFonts w:hint="eastAsia" w:ascii="仿宋" w:hAnsi="仿宋" w:eastAsia="仿宋" w:cs="Courier New"/>
                <w:color w:val="auto"/>
                <w:kern w:val="2"/>
                <w:sz w:val="24"/>
                <w:szCs w:val="24"/>
                <w:highlight w:val="none"/>
              </w:rPr>
              <w:t>完全满足项目需求的，</w:t>
            </w:r>
            <w:r>
              <w:rPr>
                <w:rFonts w:hint="eastAsia" w:ascii="仿宋" w:hAnsi="仿宋" w:eastAsia="仿宋"/>
                <w:color w:val="auto"/>
                <w:sz w:val="24"/>
                <w:szCs w:val="24"/>
                <w:highlight w:val="none"/>
              </w:rPr>
              <w:t>得3分；</w:t>
            </w:r>
          </w:p>
          <w:p w14:paraId="7CED631D">
            <w:pPr>
              <w:autoSpaceDE/>
              <w:autoSpaceDN/>
              <w:adjustRightInd/>
              <w:jc w:val="both"/>
              <w:rPr>
                <w:rFonts w:hAnsi="Courier New" w:eastAsia="仿宋_GB2312" w:cs="Courier New"/>
                <w:color w:val="auto"/>
                <w:kern w:val="2"/>
                <w:sz w:val="21"/>
                <w:szCs w:val="21"/>
                <w:highlight w:val="none"/>
              </w:rPr>
            </w:pPr>
            <w:r>
              <w:rPr>
                <w:rFonts w:ascii="仿宋" w:hAnsi="仿宋" w:eastAsia="仿宋"/>
                <w:color w:val="auto"/>
                <w:sz w:val="24"/>
                <w:szCs w:val="24"/>
                <w:highlight w:val="none"/>
              </w:rPr>
              <w:t>管理方案总体合理，各阶段进度安排及工期保证措施较完善，</w:t>
            </w:r>
            <w:r>
              <w:rPr>
                <w:rFonts w:hint="eastAsia" w:ascii="仿宋" w:hAnsi="仿宋" w:eastAsia="仿宋" w:cs="Courier New"/>
                <w:color w:val="auto"/>
                <w:kern w:val="2"/>
                <w:sz w:val="24"/>
                <w:szCs w:val="24"/>
                <w:highlight w:val="none"/>
              </w:rPr>
              <w:t>略有欠缺需要完善的，</w:t>
            </w:r>
            <w:r>
              <w:rPr>
                <w:rFonts w:hint="eastAsia" w:ascii="仿宋" w:hAnsi="仿宋" w:eastAsia="仿宋"/>
                <w:color w:val="auto"/>
                <w:sz w:val="24"/>
                <w:szCs w:val="24"/>
                <w:highlight w:val="none"/>
              </w:rPr>
              <w:t>得2分；</w:t>
            </w:r>
            <w:r>
              <w:rPr>
                <w:rFonts w:ascii="仿宋" w:hAnsi="仿宋" w:eastAsia="仿宋"/>
                <w:color w:val="auto"/>
                <w:sz w:val="24"/>
                <w:szCs w:val="24"/>
                <w:highlight w:val="none"/>
              </w:rPr>
              <w:t>管理方案较差，各阶段进度安排及保证措施不完善，</w:t>
            </w:r>
            <w:r>
              <w:rPr>
                <w:rFonts w:hint="eastAsia" w:ascii="仿宋" w:hAnsi="仿宋" w:eastAsia="仿宋" w:cs="Courier New"/>
                <w:color w:val="auto"/>
                <w:kern w:val="2"/>
                <w:sz w:val="24"/>
                <w:szCs w:val="24"/>
                <w:highlight w:val="none"/>
              </w:rPr>
              <w:t>不能</w:t>
            </w:r>
            <w:r>
              <w:rPr>
                <w:rFonts w:hint="eastAsia" w:ascii="仿宋" w:hAnsi="仿宋" w:eastAsia="仿宋"/>
                <w:color w:val="auto"/>
                <w:sz w:val="24"/>
                <w:szCs w:val="24"/>
                <w:highlight w:val="none"/>
              </w:rPr>
              <w:t>较好</w:t>
            </w:r>
            <w:r>
              <w:rPr>
                <w:rFonts w:hint="eastAsia" w:ascii="仿宋" w:hAnsi="仿宋" w:eastAsia="仿宋" w:cs="Courier New"/>
                <w:color w:val="auto"/>
                <w:kern w:val="2"/>
                <w:sz w:val="24"/>
                <w:szCs w:val="24"/>
                <w:highlight w:val="none"/>
              </w:rPr>
              <w:t>满足项目需求的，</w:t>
            </w:r>
            <w:r>
              <w:rPr>
                <w:rFonts w:hint="eastAsia" w:ascii="仿宋" w:hAnsi="仿宋" w:eastAsia="仿宋"/>
                <w:color w:val="auto"/>
                <w:sz w:val="24"/>
                <w:szCs w:val="24"/>
                <w:highlight w:val="none"/>
              </w:rPr>
              <w:t>得1分；</w:t>
            </w:r>
            <w:r>
              <w:rPr>
                <w:rFonts w:hint="eastAsia" w:ascii="仿宋" w:hAnsi="仿宋" w:eastAsia="仿宋" w:cs="Courier New"/>
                <w:color w:val="auto"/>
                <w:kern w:val="2"/>
                <w:sz w:val="24"/>
                <w:szCs w:val="24"/>
                <w:highlight w:val="none"/>
              </w:rPr>
              <w:t>未描述</w:t>
            </w:r>
            <w:r>
              <w:rPr>
                <w:rFonts w:hint="eastAsia" w:ascii="仿宋" w:hAnsi="仿宋" w:eastAsia="仿宋"/>
                <w:color w:val="auto"/>
                <w:sz w:val="24"/>
                <w:szCs w:val="24"/>
                <w:highlight w:val="none"/>
              </w:rPr>
              <w:t>或者不能满足项目需求的，</w:t>
            </w:r>
            <w:r>
              <w:rPr>
                <w:rFonts w:hint="eastAsia" w:ascii="仿宋" w:hAnsi="仿宋" w:eastAsia="仿宋" w:cs="Courier New"/>
                <w:color w:val="auto"/>
                <w:kern w:val="2"/>
                <w:sz w:val="24"/>
                <w:szCs w:val="24"/>
                <w:highlight w:val="none"/>
              </w:rPr>
              <w:t>得0分</w:t>
            </w:r>
            <w:r>
              <w:rPr>
                <w:rFonts w:ascii="仿宋" w:hAnsi="仿宋" w:eastAsia="仿宋"/>
                <w:color w:val="auto"/>
                <w:sz w:val="24"/>
                <w:szCs w:val="24"/>
                <w:highlight w:val="none"/>
              </w:rPr>
              <w:t>。</w:t>
            </w:r>
          </w:p>
        </w:tc>
        <w:tc>
          <w:tcPr>
            <w:tcW w:w="729" w:type="dxa"/>
            <w:tcBorders>
              <w:top w:val="single" w:color="auto" w:sz="4" w:space="0"/>
              <w:left w:val="single" w:color="auto" w:sz="4" w:space="0"/>
              <w:bottom w:val="single" w:color="auto" w:sz="4" w:space="0"/>
              <w:right w:val="single" w:color="auto" w:sz="4" w:space="0"/>
            </w:tcBorders>
            <w:vAlign w:val="center"/>
          </w:tcPr>
          <w:p w14:paraId="3A004626">
            <w:pPr>
              <w:snapToGrid w:val="0"/>
              <w:spacing w:line="40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3</w:t>
            </w:r>
          </w:p>
        </w:tc>
      </w:tr>
      <w:tr w14:paraId="4B505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tcBorders>
              <w:left w:val="single" w:color="auto" w:sz="4" w:space="0"/>
              <w:right w:val="single" w:color="auto" w:sz="4" w:space="0"/>
            </w:tcBorders>
            <w:vAlign w:val="center"/>
          </w:tcPr>
          <w:p w14:paraId="26C29F23">
            <w:pPr>
              <w:rPr>
                <w:rFonts w:ascii="仿宋" w:hAnsi="仿宋" w:eastAsia="仿宋"/>
                <w:color w:val="auto"/>
                <w:sz w:val="24"/>
                <w:szCs w:val="24"/>
                <w:highlight w:val="none"/>
              </w:rPr>
            </w:pPr>
          </w:p>
        </w:tc>
        <w:tc>
          <w:tcPr>
            <w:tcW w:w="1215" w:type="dxa"/>
            <w:vMerge w:val="continue"/>
            <w:tcBorders>
              <w:left w:val="single" w:color="auto" w:sz="4" w:space="0"/>
              <w:right w:val="single" w:color="auto" w:sz="4" w:space="0"/>
            </w:tcBorders>
            <w:vAlign w:val="center"/>
          </w:tcPr>
          <w:p w14:paraId="135FC23B">
            <w:pPr>
              <w:rPr>
                <w:rFonts w:ascii="仿宋" w:hAnsi="仿宋" w:eastAsia="仿宋"/>
                <w:color w:val="auto"/>
                <w:sz w:val="24"/>
                <w:szCs w:val="24"/>
                <w:highlight w:val="none"/>
              </w:rPr>
            </w:pPr>
          </w:p>
        </w:tc>
        <w:tc>
          <w:tcPr>
            <w:tcW w:w="1375" w:type="dxa"/>
            <w:tcBorders>
              <w:top w:val="single" w:color="auto" w:sz="4" w:space="0"/>
              <w:left w:val="single" w:color="auto" w:sz="4" w:space="0"/>
              <w:bottom w:val="single" w:color="auto" w:sz="4" w:space="0"/>
              <w:right w:val="single" w:color="auto" w:sz="4" w:space="0"/>
            </w:tcBorders>
            <w:vAlign w:val="center"/>
          </w:tcPr>
          <w:p w14:paraId="5BAB13F8">
            <w:pPr>
              <w:jc w:val="center"/>
              <w:rPr>
                <w:rFonts w:ascii="仿宋" w:hAnsi="仿宋" w:eastAsia="仿宋"/>
                <w:color w:val="auto"/>
                <w:sz w:val="24"/>
                <w:highlight w:val="none"/>
              </w:rPr>
            </w:pPr>
            <w:r>
              <w:rPr>
                <w:rFonts w:hint="eastAsia" w:ascii="仿宋" w:hAnsi="仿宋" w:eastAsia="仿宋"/>
                <w:color w:val="auto"/>
                <w:sz w:val="24"/>
                <w:szCs w:val="24"/>
                <w:highlight w:val="none"/>
              </w:rPr>
              <w:t>售后服务</w:t>
            </w:r>
          </w:p>
        </w:tc>
        <w:tc>
          <w:tcPr>
            <w:tcW w:w="5480" w:type="dxa"/>
            <w:tcBorders>
              <w:top w:val="single" w:color="auto" w:sz="4" w:space="0"/>
              <w:left w:val="single" w:color="auto" w:sz="4" w:space="0"/>
              <w:bottom w:val="single" w:color="auto" w:sz="4" w:space="0"/>
              <w:right w:val="single" w:color="auto" w:sz="4" w:space="0"/>
            </w:tcBorders>
            <w:vAlign w:val="center"/>
          </w:tcPr>
          <w:p w14:paraId="4D29F652">
            <w:pPr>
              <w:autoSpaceDE/>
              <w:autoSpaceDN/>
              <w:adjustRightInd/>
              <w:jc w:val="both"/>
              <w:rPr>
                <w:rFonts w:ascii="仿宋" w:hAnsi="仿宋" w:eastAsia="仿宋"/>
                <w:color w:val="auto"/>
                <w:sz w:val="24"/>
                <w:szCs w:val="24"/>
                <w:highlight w:val="none"/>
              </w:rPr>
            </w:pPr>
            <w:r>
              <w:rPr>
                <w:rFonts w:hint="eastAsia" w:ascii="仿宋" w:hAnsi="仿宋" w:eastAsia="仿宋"/>
                <w:color w:val="auto"/>
                <w:sz w:val="24"/>
                <w:szCs w:val="24"/>
                <w:highlight w:val="none"/>
              </w:rPr>
              <w:t>根据投标人所提供的质保及售后服务承诺评分。明确、具体、可行、针对性强</w:t>
            </w:r>
            <w:r>
              <w:rPr>
                <w:rFonts w:hint="eastAsia" w:ascii="仿宋" w:hAnsi="仿宋" w:eastAsia="仿宋"/>
                <w:color w:val="auto"/>
                <w:kern w:val="2"/>
                <w:sz w:val="24"/>
                <w:szCs w:val="24"/>
                <w:highlight w:val="none"/>
              </w:rPr>
              <w:t>，完全满足项目需求的，</w:t>
            </w:r>
            <w:r>
              <w:rPr>
                <w:rFonts w:hint="eastAsia" w:ascii="仿宋" w:hAnsi="仿宋" w:eastAsia="仿宋"/>
                <w:color w:val="auto"/>
                <w:sz w:val="24"/>
                <w:szCs w:val="24"/>
                <w:highlight w:val="none"/>
              </w:rPr>
              <w:t>得3分；基本明确可行，针对性欠缺</w:t>
            </w:r>
            <w:r>
              <w:rPr>
                <w:rFonts w:hint="eastAsia" w:ascii="仿宋" w:hAnsi="仿宋" w:eastAsia="仿宋"/>
                <w:color w:val="auto"/>
                <w:kern w:val="2"/>
                <w:sz w:val="24"/>
                <w:szCs w:val="24"/>
                <w:highlight w:val="none"/>
              </w:rPr>
              <w:t>需要完善的</w:t>
            </w:r>
            <w:r>
              <w:rPr>
                <w:rFonts w:hint="eastAsia" w:ascii="仿宋" w:hAnsi="仿宋" w:eastAsia="仿宋"/>
                <w:color w:val="auto"/>
                <w:sz w:val="24"/>
                <w:szCs w:val="24"/>
                <w:highlight w:val="none"/>
              </w:rPr>
              <w:t>得2分；承诺较差，</w:t>
            </w:r>
            <w:r>
              <w:rPr>
                <w:rFonts w:hint="eastAsia" w:ascii="仿宋" w:hAnsi="仿宋" w:eastAsia="仿宋"/>
                <w:color w:val="auto"/>
                <w:kern w:val="2"/>
                <w:sz w:val="24"/>
                <w:szCs w:val="24"/>
                <w:highlight w:val="none"/>
              </w:rPr>
              <w:t>不能较好满足项目需求的，</w:t>
            </w:r>
            <w:r>
              <w:rPr>
                <w:rFonts w:hint="eastAsia" w:ascii="仿宋" w:hAnsi="仿宋" w:eastAsia="仿宋"/>
                <w:color w:val="auto"/>
                <w:sz w:val="24"/>
                <w:szCs w:val="24"/>
                <w:highlight w:val="none"/>
              </w:rPr>
              <w:t>得1分；未描述或者不能满足项目需求的得0分。</w:t>
            </w:r>
          </w:p>
        </w:tc>
        <w:tc>
          <w:tcPr>
            <w:tcW w:w="729" w:type="dxa"/>
            <w:tcBorders>
              <w:top w:val="single" w:color="auto" w:sz="4" w:space="0"/>
              <w:left w:val="single" w:color="auto" w:sz="4" w:space="0"/>
              <w:bottom w:val="single" w:color="auto" w:sz="4" w:space="0"/>
              <w:right w:val="single" w:color="auto" w:sz="4" w:space="0"/>
            </w:tcBorders>
            <w:vAlign w:val="center"/>
          </w:tcPr>
          <w:p w14:paraId="5DDB90D6">
            <w:pPr>
              <w:snapToGrid w:val="0"/>
              <w:spacing w:line="40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3</w:t>
            </w:r>
          </w:p>
        </w:tc>
      </w:tr>
    </w:tbl>
    <w:p w14:paraId="3E1DCDA9">
      <w:pPr>
        <w:spacing w:line="360" w:lineRule="auto"/>
        <w:rPr>
          <w:rFonts w:ascii="仿宋" w:hAnsi="仿宋" w:eastAsia="仿宋"/>
          <w:color w:val="auto"/>
          <w:sz w:val="24"/>
          <w:szCs w:val="24"/>
          <w:highlight w:val="none"/>
        </w:rPr>
      </w:pPr>
    </w:p>
    <w:p w14:paraId="4EDEA382">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（四）国家政策导向</w:t>
      </w:r>
    </w:p>
    <w:p w14:paraId="490BDAD4">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1、促进中小企业发展政策</w:t>
      </w:r>
    </w:p>
    <w:p w14:paraId="564426B9">
      <w:pPr>
        <w:spacing w:line="360" w:lineRule="auto"/>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w:t>
      </w:r>
      <w:r>
        <w:rPr>
          <w:rFonts w:ascii="仿宋" w:hAnsi="仿宋" w:eastAsia="仿宋"/>
          <w:color w:val="auto"/>
          <w:sz w:val="24"/>
          <w:szCs w:val="24"/>
          <w:highlight w:val="none"/>
        </w:rPr>
        <w:t>《中小企业声明函》</w:t>
      </w:r>
      <w:r>
        <w:rPr>
          <w:rFonts w:hint="eastAsia" w:ascii="仿宋" w:hAnsi="仿宋" w:eastAsia="仿宋"/>
          <w:color w:val="auto"/>
          <w:sz w:val="24"/>
          <w:szCs w:val="24"/>
          <w:highlight w:val="none"/>
        </w:rPr>
        <w:t>，格式见投标文件格式部分）。</w:t>
      </w:r>
    </w:p>
    <w:p w14:paraId="460B06F4">
      <w:pPr>
        <w:spacing w:line="360" w:lineRule="auto"/>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108224F2">
      <w:pPr>
        <w:spacing w:line="360" w:lineRule="auto"/>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p>
    <w:p w14:paraId="1F53D240">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p>
    <w:p w14:paraId="2B0126F8">
      <w:pPr>
        <w:spacing w:line="360" w:lineRule="auto"/>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评标委员会根据供应商填制的《</w:t>
      </w:r>
      <w:r>
        <w:rPr>
          <w:rFonts w:ascii="仿宋" w:hAnsi="仿宋" w:eastAsia="仿宋"/>
          <w:color w:val="auto"/>
          <w:sz w:val="24"/>
          <w:szCs w:val="24"/>
          <w:highlight w:val="none"/>
        </w:rPr>
        <w:t>节能产品</w:t>
      </w:r>
      <w:r>
        <w:rPr>
          <w:rFonts w:hint="eastAsia" w:ascii="仿宋" w:hAnsi="仿宋" w:eastAsia="仿宋"/>
          <w:color w:val="auto"/>
          <w:sz w:val="24"/>
          <w:szCs w:val="24"/>
          <w:highlight w:val="none"/>
        </w:rPr>
        <w:t>报价表》，计算其所投</w:t>
      </w:r>
      <w:r>
        <w:rPr>
          <w:rFonts w:ascii="仿宋" w:hAnsi="仿宋" w:eastAsia="仿宋"/>
          <w:color w:val="auto"/>
          <w:sz w:val="24"/>
          <w:szCs w:val="24"/>
          <w:highlight w:val="none"/>
        </w:rPr>
        <w:t>节能产品</w:t>
      </w:r>
      <w:r>
        <w:rPr>
          <w:rFonts w:hint="eastAsia" w:ascii="仿宋" w:hAnsi="仿宋" w:eastAsia="仿宋"/>
          <w:color w:val="auto"/>
          <w:sz w:val="24"/>
          <w:szCs w:val="24"/>
          <w:highlight w:val="none"/>
        </w:rPr>
        <w:t>享受价格折扣部分的多少。</w:t>
      </w:r>
    </w:p>
    <w:p w14:paraId="554FCEA7">
      <w:pPr>
        <w:spacing w:line="360" w:lineRule="auto"/>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投标标的属于《节能产品政府采购品目清单》（最新一期）内的产品，供应商需提供国家确定的认证机构出具的、处于有效期之内的节能产品认证证书，并提供在投标文件中提供《</w:t>
      </w:r>
      <w:r>
        <w:rPr>
          <w:rFonts w:ascii="仿宋" w:hAnsi="仿宋" w:eastAsia="仿宋"/>
          <w:color w:val="auto"/>
          <w:sz w:val="24"/>
          <w:szCs w:val="24"/>
          <w:highlight w:val="none"/>
        </w:rPr>
        <w:t>节能产品</w:t>
      </w:r>
      <w:r>
        <w:rPr>
          <w:rFonts w:hint="eastAsia" w:ascii="仿宋" w:hAnsi="仿宋" w:eastAsia="仿宋"/>
          <w:color w:val="auto"/>
          <w:sz w:val="24"/>
          <w:szCs w:val="24"/>
          <w:highlight w:val="none"/>
        </w:rPr>
        <w:t>报价表》，如未提供，将不做价格扣除。</w:t>
      </w:r>
    </w:p>
    <w:p w14:paraId="7DEFFD1B">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p>
    <w:p w14:paraId="2DE86104">
      <w:pPr>
        <w:spacing w:line="360" w:lineRule="auto"/>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评标委员会根据供应商填制的《环境标志产品报价表》，计算其所投环境标志产品享受价格折扣部分的多少。</w:t>
      </w:r>
    </w:p>
    <w:p w14:paraId="48974BE9">
      <w:pPr>
        <w:spacing w:line="360" w:lineRule="auto"/>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p>
    <w:p w14:paraId="5C963A4D">
      <w:pPr>
        <w:pStyle w:val="4"/>
        <w:rPr>
          <w:rFonts w:ascii="仿宋" w:hAnsi="仿宋" w:eastAsia="仿宋"/>
          <w:b w:val="0"/>
          <w:color w:val="auto"/>
          <w:sz w:val="24"/>
          <w:szCs w:val="24"/>
          <w:highlight w:val="none"/>
        </w:rPr>
      </w:pPr>
      <w:bookmarkStart w:id="240" w:name="_Toc547"/>
      <w:r>
        <w:rPr>
          <w:rFonts w:hint="eastAsia" w:ascii="仿宋" w:hAnsi="仿宋" w:eastAsia="仿宋"/>
          <w:color w:val="auto"/>
          <w:sz w:val="24"/>
          <w:szCs w:val="24"/>
          <w:highlight w:val="none"/>
        </w:rPr>
        <w:t>四、样品</w:t>
      </w:r>
      <w:bookmarkEnd w:id="237"/>
      <w:bookmarkEnd w:id="238"/>
      <w:bookmarkEnd w:id="239"/>
      <w:bookmarkEnd w:id="240"/>
    </w:p>
    <w:p w14:paraId="534536ED">
      <w:pPr>
        <w:pStyle w:val="19"/>
        <w:spacing w:line="360" w:lineRule="auto"/>
        <w:ind w:firstLine="480" w:firstLineChars="200"/>
        <w:jc w:val="left"/>
        <w:rPr>
          <w:rFonts w:ascii="仿宋" w:hAnsi="仿宋" w:eastAsia="仿宋"/>
          <w:color w:val="auto"/>
          <w:sz w:val="24"/>
          <w:highlight w:val="none"/>
        </w:rPr>
      </w:pPr>
      <w:r>
        <w:rPr>
          <w:rFonts w:hint="eastAsia" w:ascii="仿宋" w:hAnsi="仿宋" w:eastAsia="仿宋"/>
          <w:color w:val="auto"/>
          <w:sz w:val="24"/>
          <w:highlight w:val="none"/>
        </w:rPr>
        <w:t>无。</w:t>
      </w:r>
    </w:p>
    <w:p w14:paraId="6FFA3608">
      <w:pPr>
        <w:pStyle w:val="4"/>
        <w:rPr>
          <w:rFonts w:ascii="仿宋" w:hAnsi="仿宋" w:eastAsia="仿宋"/>
          <w:color w:val="auto"/>
          <w:sz w:val="24"/>
          <w:szCs w:val="24"/>
          <w:highlight w:val="none"/>
        </w:rPr>
      </w:pPr>
      <w:bookmarkStart w:id="241" w:name="_Toc289873210"/>
      <w:bookmarkStart w:id="242" w:name="_Toc420487914"/>
      <w:bookmarkStart w:id="243" w:name="_Toc420657409"/>
      <w:bookmarkStart w:id="244" w:name="_Toc22771"/>
      <w:r>
        <w:rPr>
          <w:rFonts w:hint="eastAsia" w:ascii="仿宋" w:hAnsi="仿宋" w:eastAsia="仿宋"/>
          <w:color w:val="auto"/>
          <w:sz w:val="24"/>
          <w:szCs w:val="24"/>
          <w:highlight w:val="none"/>
        </w:rPr>
        <w:t>五、有关招投标的事务和本项目的更正</w:t>
      </w:r>
      <w:bookmarkEnd w:id="241"/>
      <w:r>
        <w:rPr>
          <w:rFonts w:hint="eastAsia" w:ascii="仿宋" w:hAnsi="仿宋" w:eastAsia="仿宋"/>
          <w:color w:val="auto"/>
          <w:sz w:val="24"/>
          <w:szCs w:val="24"/>
          <w:highlight w:val="none"/>
        </w:rPr>
        <w:t>通知</w:t>
      </w:r>
      <w:bookmarkEnd w:id="242"/>
      <w:bookmarkEnd w:id="243"/>
      <w:bookmarkEnd w:id="244"/>
    </w:p>
    <w:p w14:paraId="1571A351">
      <w:pPr>
        <w:pStyle w:val="19"/>
        <w:spacing w:line="360" w:lineRule="auto"/>
        <w:ind w:firstLine="480" w:firstLineChars="200"/>
        <w:jc w:val="left"/>
        <w:rPr>
          <w:rFonts w:ascii="仿宋" w:hAnsi="仿宋" w:eastAsia="仿宋"/>
          <w:color w:val="auto"/>
          <w:sz w:val="24"/>
          <w:highlight w:val="none"/>
        </w:rPr>
      </w:pPr>
      <w:bookmarkStart w:id="245" w:name="_Toc420487917"/>
      <w:bookmarkStart w:id="246" w:name="_Toc289873214"/>
      <w:bookmarkStart w:id="247" w:name="_Toc420657412"/>
      <w:r>
        <w:rPr>
          <w:rFonts w:hint="eastAsia" w:ascii="仿宋" w:hAnsi="仿宋" w:eastAsia="仿宋"/>
          <w:color w:val="auto"/>
          <w:sz w:val="24"/>
          <w:highlight w:val="none"/>
        </w:rPr>
        <w:t>有关招投标的事务可以与采购代理机构联系，联系部门：招标二处、联系电话：025-83249924，传真：025-83240902，通讯地址：江苏省南京市鼓楼区郑和中路118号D座16楼1612室。本项目的更正通知见本项目招标公告发布媒体。</w:t>
      </w:r>
    </w:p>
    <w:p w14:paraId="6E21C7CC">
      <w:pPr>
        <w:pStyle w:val="19"/>
        <w:snapToGrid w:val="0"/>
        <w:spacing w:line="360" w:lineRule="auto"/>
        <w:ind w:firstLine="480" w:firstLineChars="200"/>
        <w:jc w:val="left"/>
        <w:rPr>
          <w:rFonts w:ascii="仿宋" w:hAnsi="仿宋" w:eastAsia="仿宋"/>
          <w:color w:val="auto"/>
          <w:sz w:val="24"/>
          <w:highlight w:val="none"/>
        </w:rPr>
      </w:pPr>
      <w:r>
        <w:rPr>
          <w:rFonts w:hint="eastAsia" w:ascii="仿宋" w:hAnsi="仿宋" w:eastAsia="仿宋"/>
          <w:color w:val="auto"/>
          <w:sz w:val="24"/>
          <w:highlight w:val="none"/>
        </w:rPr>
        <w:t xml:space="preserve">  </w:t>
      </w:r>
      <w:bookmarkStart w:id="248" w:name="_Toc116135246"/>
    </w:p>
    <w:p w14:paraId="3157D65E">
      <w:pPr>
        <w:rPr>
          <w:rFonts w:ascii="仿宋" w:hAnsi="仿宋" w:eastAsia="仿宋"/>
          <w:color w:val="auto"/>
          <w:sz w:val="24"/>
          <w:highlight w:val="none"/>
        </w:rPr>
      </w:pPr>
      <w:r>
        <w:rPr>
          <w:rFonts w:hint="eastAsia" w:ascii="仿宋" w:hAnsi="仿宋" w:eastAsia="仿宋"/>
          <w:color w:val="auto"/>
          <w:sz w:val="24"/>
          <w:highlight w:val="none"/>
        </w:rPr>
        <w:br w:type="page"/>
      </w:r>
    </w:p>
    <w:bookmarkEnd w:id="248"/>
    <w:p w14:paraId="2734ED99">
      <w:pPr>
        <w:pStyle w:val="3"/>
        <w:jc w:val="center"/>
        <w:rPr>
          <w:rFonts w:ascii="仿宋" w:hAnsi="仿宋" w:eastAsia="仿宋"/>
          <w:color w:val="auto"/>
          <w:sz w:val="36"/>
          <w:highlight w:val="none"/>
        </w:rPr>
      </w:pPr>
      <w:bookmarkStart w:id="249" w:name="_Toc26686"/>
      <w:r>
        <w:rPr>
          <w:rFonts w:hint="eastAsia" w:ascii="仿宋" w:hAnsi="仿宋" w:eastAsia="仿宋"/>
          <w:color w:val="auto"/>
          <w:sz w:val="36"/>
          <w:highlight w:val="none"/>
        </w:rPr>
        <w:t>第四章  招标技术规格及要求</w:t>
      </w:r>
      <w:bookmarkEnd w:id="245"/>
      <w:bookmarkEnd w:id="246"/>
      <w:bookmarkEnd w:id="247"/>
      <w:bookmarkEnd w:id="249"/>
    </w:p>
    <w:p w14:paraId="18472A0C">
      <w:pPr>
        <w:keepNext/>
        <w:keepLines/>
        <w:spacing w:line="360" w:lineRule="auto"/>
        <w:ind w:firstLine="482" w:firstLineChars="200"/>
        <w:jc w:val="both"/>
        <w:outlineLvl w:val="1"/>
        <w:rPr>
          <w:rFonts w:ascii="仿宋" w:hAnsi="仿宋" w:eastAsia="仿宋"/>
          <w:b/>
          <w:bCs/>
          <w:color w:val="auto"/>
          <w:sz w:val="24"/>
          <w:szCs w:val="24"/>
          <w:highlight w:val="none"/>
        </w:rPr>
      </w:pPr>
      <w:bookmarkStart w:id="250" w:name="_Toc8407"/>
      <w:bookmarkStart w:id="251" w:name="_Toc527914095"/>
      <w:bookmarkStart w:id="252" w:name="_Toc24532280"/>
      <w:bookmarkStart w:id="253" w:name="_Toc24532774"/>
      <w:bookmarkStart w:id="254" w:name="_Toc116135255"/>
      <w:bookmarkStart w:id="255" w:name="_Toc56443037"/>
      <w:bookmarkStart w:id="256" w:name="_Toc23507633"/>
      <w:bookmarkStart w:id="257" w:name="_Toc289873232"/>
      <w:bookmarkStart w:id="258" w:name="_Toc420657413"/>
      <w:bookmarkStart w:id="259" w:name="_Toc420487918"/>
      <w:r>
        <w:rPr>
          <w:rFonts w:hint="eastAsia" w:ascii="仿宋" w:hAnsi="仿宋" w:eastAsia="仿宋"/>
          <w:b/>
          <w:bCs/>
          <w:color w:val="auto"/>
          <w:sz w:val="24"/>
          <w:szCs w:val="24"/>
          <w:highlight w:val="none"/>
        </w:rPr>
        <w:t>一、采购需求</w:t>
      </w:r>
      <w:bookmarkEnd w:id="250"/>
    </w:p>
    <w:p w14:paraId="62590C4B">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根据“江苏南水北调东线湖网地区山水林田湖草沙一体化保护和修复工程”子项目</w:t>
      </w:r>
      <w:r>
        <w:rPr>
          <w:rFonts w:hint="eastAsia" w:ascii="仿宋" w:hAnsi="仿宋" w:eastAsia="仿宋" w:cs="仿宋"/>
          <w:color w:val="auto"/>
          <w:sz w:val="24"/>
          <w:szCs w:val="24"/>
          <w:highlight w:val="none"/>
        </w:rPr>
        <w:t>”数字赋能与智慧监管项目”工作部署，需</w:t>
      </w:r>
      <w:r>
        <w:rPr>
          <w:rFonts w:hint="eastAsia" w:ascii="仿宋" w:hAnsi="仿宋" w:eastAsia="仿宋"/>
          <w:color w:val="auto"/>
          <w:sz w:val="24"/>
          <w:szCs w:val="24"/>
          <w:highlight w:val="none"/>
        </w:rPr>
        <w:t>开展工程实施相关区域的自然资源和生态状况变化监测工作。由于现有国产公益光学卫星影像无法满足高频次、高分辨率遥感监测工作需求，经对公益光学卫星影像覆盖范围和拍摄频次、监测需求进行充分评估，需补充采购0.5米分辨率光学卫星影像164,000</w:t>
      </w:r>
      <w:r>
        <w:rPr>
          <w:rFonts w:hint="eastAsia" w:ascii="仿宋" w:hAnsi="仿宋" w:eastAsia="仿宋" w:cs="仿宋"/>
          <w:color w:val="auto"/>
          <w:sz w:val="24"/>
          <w:szCs w:val="24"/>
          <w:highlight w:val="none"/>
        </w:rPr>
        <w:t>km</w:t>
      </w:r>
      <w:r>
        <w:rPr>
          <w:rFonts w:hint="eastAsia" w:ascii="仿宋" w:hAnsi="仿宋" w:eastAsia="仿宋" w:cs="仿宋"/>
          <w:color w:val="auto"/>
          <w:sz w:val="24"/>
          <w:szCs w:val="24"/>
          <w:highlight w:val="none"/>
          <w:vertAlign w:val="superscript"/>
        </w:rPr>
        <w:t>2</w:t>
      </w:r>
      <w:r>
        <w:rPr>
          <w:rFonts w:hint="eastAsia" w:ascii="仿宋" w:hAnsi="仿宋" w:eastAsia="仿宋"/>
          <w:color w:val="auto"/>
          <w:sz w:val="24"/>
          <w:szCs w:val="24"/>
          <w:highlight w:val="none"/>
        </w:rPr>
        <w:t>和优于3米8波段商业光学卫星影像219,000</w:t>
      </w:r>
      <w:r>
        <w:rPr>
          <w:rFonts w:hint="eastAsia" w:ascii="仿宋" w:hAnsi="仿宋" w:eastAsia="仿宋" w:cs="仿宋"/>
          <w:color w:val="auto"/>
          <w:sz w:val="24"/>
          <w:szCs w:val="24"/>
          <w:highlight w:val="none"/>
        </w:rPr>
        <w:t>km</w:t>
      </w:r>
      <w:r>
        <w:rPr>
          <w:rFonts w:hint="eastAsia" w:ascii="仿宋" w:hAnsi="仿宋" w:eastAsia="仿宋" w:cs="仿宋"/>
          <w:color w:val="auto"/>
          <w:sz w:val="24"/>
          <w:szCs w:val="24"/>
          <w:highlight w:val="none"/>
          <w:vertAlign w:val="superscript"/>
        </w:rPr>
        <w:t>2</w:t>
      </w:r>
      <w:r>
        <w:rPr>
          <w:rFonts w:hint="eastAsia" w:ascii="仿宋" w:hAnsi="仿宋" w:eastAsia="仿宋" w:cs="仿宋"/>
          <w:color w:val="auto"/>
          <w:sz w:val="24"/>
          <w:szCs w:val="24"/>
          <w:highlight w:val="none"/>
        </w:rPr>
        <w:t>，</w:t>
      </w:r>
      <w:r>
        <w:rPr>
          <w:rFonts w:hint="eastAsia" w:ascii="仿宋" w:hAnsi="仿宋" w:eastAsia="仿宋"/>
          <w:color w:val="auto"/>
          <w:sz w:val="24"/>
          <w:szCs w:val="24"/>
          <w:highlight w:val="none"/>
        </w:rPr>
        <w:t>同时对上述卫星影像进行辐射校正、融合、正射校正、拼接镶嵌、图像增强及匀色</w:t>
      </w:r>
      <w:r>
        <w:rPr>
          <w:rFonts w:ascii="仿宋" w:hAnsi="仿宋" w:eastAsia="仿宋"/>
          <w:color w:val="auto"/>
          <w:sz w:val="24"/>
          <w:szCs w:val="24"/>
          <w:highlight w:val="none"/>
        </w:rPr>
        <w:t>处理</w:t>
      </w:r>
      <w:r>
        <w:rPr>
          <w:rFonts w:hint="eastAsia" w:ascii="仿宋" w:hAnsi="仿宋" w:eastAsia="仿宋"/>
          <w:color w:val="auto"/>
          <w:sz w:val="24"/>
          <w:szCs w:val="24"/>
          <w:highlight w:val="none"/>
        </w:rPr>
        <w:t>。具体工作量如下：</w:t>
      </w:r>
    </w:p>
    <w:p w14:paraId="0A5FA160">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1、卫星影像数据采集</w:t>
      </w:r>
    </w:p>
    <w:p w14:paraId="0D39744A">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（1）根据”数字赋能与智慧监管项目”所涉区域自然资源变化监测需求，按季度获取扬州、准安、宿迁、徐州4市0.5米分辨率光学卫星影像，用于自然资源精细化识别，共补充4期。</w:t>
      </w:r>
    </w:p>
    <w:p w14:paraId="702EE298">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（2）根据”数字赋能与智慧监管项目”所涉区域工业企业污染物排放监测需求，按双月度获取扬州、淮安、宿迁、徐州4市3米8波段多光谱光学卫星影像，共补充6期。</w:t>
      </w:r>
    </w:p>
    <w:p w14:paraId="51B7C566">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（3）根据”数字赋能与智慧监管项目”对各子项目实施进展的监测需求，按月度获取30个有地面工程的子子项目所在区域0.5米分辨率光学卫星影像，共补充8期。</w:t>
      </w:r>
    </w:p>
    <w:p w14:paraId="121CAE5A">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（4）根据”数字赋能与智慧监管项目”对海岸带重点区域的监测需求，按双月度获取23条大、中型河流入海口区域0.5米分辨率光学卫星影像，共补充6期。</w:t>
      </w:r>
    </w:p>
    <w:p w14:paraId="53D59198">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2、卫星影像数据处理</w:t>
      </w:r>
    </w:p>
    <w:p w14:paraId="7159736E">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对上述星影像进行技术处理工作（包含辐射校正、融合、正射校正、拼接镶嵌、图像增强及匀色）。</w:t>
      </w:r>
    </w:p>
    <w:p w14:paraId="610095A0">
      <w:pPr>
        <w:keepNext/>
        <w:keepLines/>
        <w:spacing w:line="360" w:lineRule="auto"/>
        <w:ind w:firstLine="482" w:firstLineChars="200"/>
        <w:jc w:val="both"/>
        <w:outlineLvl w:val="1"/>
        <w:rPr>
          <w:rFonts w:ascii="仿宋" w:hAnsi="仿宋" w:eastAsia="仿宋"/>
          <w:b/>
          <w:bCs/>
          <w:color w:val="auto"/>
          <w:sz w:val="24"/>
          <w:szCs w:val="24"/>
          <w:highlight w:val="none"/>
        </w:rPr>
      </w:pPr>
      <w:bookmarkStart w:id="260" w:name="_Toc7822"/>
      <w:r>
        <w:rPr>
          <w:rFonts w:hint="eastAsia" w:ascii="仿宋" w:hAnsi="仿宋" w:eastAsia="仿宋"/>
          <w:b/>
          <w:bCs/>
          <w:color w:val="auto"/>
          <w:sz w:val="24"/>
          <w:szCs w:val="24"/>
          <w:highlight w:val="none"/>
        </w:rPr>
        <w:t>二</w:t>
      </w:r>
      <w:r>
        <w:rPr>
          <w:rFonts w:ascii="仿宋" w:hAnsi="仿宋" w:eastAsia="仿宋"/>
          <w:b/>
          <w:bCs/>
          <w:color w:val="auto"/>
          <w:sz w:val="24"/>
          <w:szCs w:val="24"/>
          <w:highlight w:val="none"/>
        </w:rPr>
        <w:t>、预期提交成果</w:t>
      </w:r>
      <w:bookmarkEnd w:id="260"/>
    </w:p>
    <w:p w14:paraId="6E78F796">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1、影像成果数据：0.5米分辨率光学卫星正射影像不少于164,000</w:t>
      </w:r>
      <w:r>
        <w:rPr>
          <w:rFonts w:hint="eastAsia" w:ascii="仿宋" w:hAnsi="仿宋" w:eastAsia="仿宋" w:cs="仿宋"/>
          <w:color w:val="auto"/>
          <w:sz w:val="24"/>
          <w:szCs w:val="24"/>
          <w:highlight w:val="none"/>
        </w:rPr>
        <w:t>km</w:t>
      </w:r>
      <w:r>
        <w:rPr>
          <w:rFonts w:hint="eastAsia" w:ascii="仿宋" w:hAnsi="仿宋" w:eastAsia="仿宋" w:cs="仿宋"/>
          <w:color w:val="auto"/>
          <w:sz w:val="24"/>
          <w:szCs w:val="24"/>
          <w:highlight w:val="none"/>
          <w:vertAlign w:val="superscript"/>
        </w:rPr>
        <w:t>2</w:t>
      </w:r>
      <w:r>
        <w:rPr>
          <w:rFonts w:hint="eastAsia" w:ascii="仿宋" w:hAnsi="仿宋" w:eastAsia="仿宋"/>
          <w:color w:val="auto"/>
          <w:sz w:val="24"/>
          <w:szCs w:val="24"/>
          <w:highlight w:val="none"/>
        </w:rPr>
        <w:t>；优于3米8波段的光学卫星正射影像不少于219,000</w:t>
      </w:r>
      <w:r>
        <w:rPr>
          <w:rFonts w:hint="eastAsia" w:ascii="仿宋" w:hAnsi="仿宋" w:eastAsia="仿宋" w:cs="仿宋"/>
          <w:color w:val="auto"/>
          <w:sz w:val="24"/>
          <w:szCs w:val="24"/>
          <w:highlight w:val="none"/>
        </w:rPr>
        <w:t>km</w:t>
      </w:r>
      <w:r>
        <w:rPr>
          <w:rFonts w:hint="eastAsia" w:ascii="仿宋" w:hAnsi="仿宋" w:eastAsia="仿宋" w:cs="仿宋"/>
          <w:color w:val="auto"/>
          <w:sz w:val="24"/>
          <w:szCs w:val="24"/>
          <w:highlight w:val="none"/>
          <w:vertAlign w:val="superscript"/>
        </w:rPr>
        <w:t>2</w:t>
      </w:r>
      <w:r>
        <w:rPr>
          <w:rFonts w:hint="eastAsia" w:ascii="仿宋" w:hAnsi="仿宋" w:eastAsia="仿宋"/>
          <w:color w:val="auto"/>
          <w:sz w:val="24"/>
          <w:szCs w:val="24"/>
          <w:highlight w:val="none"/>
        </w:rPr>
        <w:t>；</w:t>
      </w:r>
    </w:p>
    <w:p w14:paraId="31BF14E1">
      <w:pPr>
        <w:spacing w:line="360" w:lineRule="auto"/>
        <w:ind w:firstLine="480" w:firstLineChars="200"/>
        <w:jc w:val="both"/>
        <w:rPr>
          <w:rFonts w:eastAsia="仿宋"/>
          <w:color w:val="auto"/>
          <w:sz w:val="24"/>
          <w:szCs w:val="24"/>
          <w:highlight w:val="none"/>
        </w:rPr>
      </w:pPr>
      <w:r>
        <w:rPr>
          <w:rFonts w:hint="eastAsia" w:ascii="仿宋" w:hAnsi="仿宋" w:eastAsia="仿宋"/>
          <w:color w:val="auto"/>
          <w:sz w:val="24"/>
          <w:szCs w:val="24"/>
          <w:highlight w:val="none"/>
        </w:rPr>
        <w:t>2、影像格式：TIF等通用标准格式；</w:t>
      </w:r>
    </w:p>
    <w:p w14:paraId="0A90B80F">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3、提供质量检查报告等纸质资料。</w:t>
      </w:r>
    </w:p>
    <w:p w14:paraId="2F78A103">
      <w:pPr>
        <w:keepNext/>
        <w:keepLines/>
        <w:spacing w:line="360" w:lineRule="auto"/>
        <w:ind w:firstLine="482" w:firstLineChars="200"/>
        <w:jc w:val="both"/>
        <w:outlineLvl w:val="1"/>
        <w:rPr>
          <w:rFonts w:ascii="仿宋" w:hAnsi="仿宋" w:eastAsia="仿宋"/>
          <w:b/>
          <w:bCs/>
          <w:color w:val="auto"/>
          <w:sz w:val="24"/>
          <w:szCs w:val="24"/>
          <w:highlight w:val="none"/>
        </w:rPr>
      </w:pPr>
      <w:bookmarkStart w:id="261" w:name="_Toc24083"/>
      <w:r>
        <w:rPr>
          <w:rFonts w:hint="eastAsia" w:ascii="仿宋" w:hAnsi="仿宋" w:eastAsia="仿宋"/>
          <w:b/>
          <w:bCs/>
          <w:color w:val="auto"/>
          <w:sz w:val="24"/>
          <w:szCs w:val="24"/>
          <w:highlight w:val="none"/>
        </w:rPr>
        <w:t>三</w:t>
      </w:r>
      <w:r>
        <w:rPr>
          <w:rFonts w:ascii="仿宋" w:hAnsi="仿宋" w:eastAsia="仿宋"/>
          <w:b/>
          <w:bCs/>
          <w:color w:val="auto"/>
          <w:sz w:val="24"/>
          <w:szCs w:val="24"/>
          <w:highlight w:val="none"/>
        </w:rPr>
        <w:t>、</w:t>
      </w:r>
      <w:r>
        <w:rPr>
          <w:rFonts w:hint="eastAsia" w:ascii="仿宋" w:hAnsi="仿宋" w:eastAsia="仿宋"/>
          <w:b/>
          <w:bCs/>
          <w:color w:val="auto"/>
          <w:sz w:val="24"/>
          <w:szCs w:val="24"/>
          <w:highlight w:val="none"/>
        </w:rPr>
        <w:t>技术</w:t>
      </w:r>
      <w:r>
        <w:rPr>
          <w:rFonts w:ascii="仿宋" w:hAnsi="仿宋" w:eastAsia="仿宋"/>
          <w:b/>
          <w:bCs/>
          <w:color w:val="auto"/>
          <w:sz w:val="24"/>
          <w:szCs w:val="24"/>
          <w:highlight w:val="none"/>
        </w:rPr>
        <w:t>要求</w:t>
      </w:r>
      <w:bookmarkEnd w:id="261"/>
    </w:p>
    <w:p w14:paraId="0FAE40C5">
      <w:pPr>
        <w:spacing w:line="360" w:lineRule="auto"/>
        <w:ind w:firstLine="480" w:firstLineChars="200"/>
        <w:jc w:val="both"/>
        <w:rPr>
          <w:rFonts w:ascii="仿宋" w:hAnsi="仿宋" w:eastAsia="仿宋"/>
          <w:color w:val="auto"/>
          <w:sz w:val="24"/>
          <w:szCs w:val="24"/>
          <w:highlight w:val="none"/>
        </w:rPr>
      </w:pPr>
      <w:r>
        <w:rPr>
          <w:rFonts w:ascii="仿宋" w:hAnsi="仿宋" w:eastAsia="仿宋"/>
          <w:color w:val="auto"/>
          <w:sz w:val="24"/>
          <w:szCs w:val="24"/>
          <w:highlight w:val="none"/>
        </w:rPr>
        <w:t>1</w:t>
      </w:r>
      <w:r>
        <w:rPr>
          <w:rFonts w:hint="eastAsia" w:ascii="仿宋" w:hAnsi="仿宋" w:eastAsia="仿宋"/>
          <w:color w:val="auto"/>
          <w:sz w:val="24"/>
          <w:szCs w:val="24"/>
          <w:highlight w:val="none"/>
        </w:rPr>
        <w:t>、卫星影像质量要求</w:t>
      </w:r>
    </w:p>
    <w:p w14:paraId="2AF77825">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（1）分辨率要求：分辨率满足采购需求；</w:t>
      </w:r>
    </w:p>
    <w:p w14:paraId="72C8EE38">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（2）影像质量：影像清晰，色彩、反差适中，无明显噪声。数据不应有影响地物判读的掉线、大范围的光谱溢出、波段不匹配等质量问题。</w:t>
      </w:r>
    </w:p>
    <w:p w14:paraId="2167BED3">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（3）边界覆盖：影像范围保证覆盖摄区，相邻数据有不小于10％的重叠区，任务区边界数据须向外延伸不少于500米。</w:t>
      </w:r>
    </w:p>
    <w:p w14:paraId="24106E75">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4）云、雪和雾规定：每景数据云、雪覆盖面积小于10％。云、雪超标或落在重点区域，以及雾覆盖下的地物无法判别时乙方应免费更换该区域数据。应急补充阶段，单景云、雪覆盖量可适当放宽，需保证漏洞区域内无遮挡。</w:t>
      </w:r>
    </w:p>
    <w:p w14:paraId="256A551F">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（5）频次要求：0.5米分辨率数据采集的卫星要求同一地区拍摄重访能力优于3天；优于3米8波段的影像采用搭载相同传感器的多颗卫星联合拍摄，对同一地区拍摄重访能力优于1天（含）。</w:t>
      </w:r>
    </w:p>
    <w:p w14:paraId="7B505F33">
      <w:pPr>
        <w:spacing w:line="360" w:lineRule="auto"/>
        <w:ind w:firstLine="480" w:firstLineChars="200"/>
        <w:jc w:val="both"/>
        <w:rPr>
          <w:rFonts w:ascii="仿宋" w:hAnsi="仿宋" w:eastAsia="仿宋"/>
          <w:color w:val="auto"/>
          <w:sz w:val="24"/>
          <w:szCs w:val="24"/>
          <w:highlight w:val="none"/>
        </w:rPr>
      </w:pPr>
      <w:r>
        <w:rPr>
          <w:rFonts w:ascii="仿宋" w:hAnsi="仿宋" w:eastAsia="仿宋"/>
          <w:color w:val="auto"/>
          <w:sz w:val="24"/>
          <w:szCs w:val="24"/>
          <w:highlight w:val="none"/>
        </w:rPr>
        <w:t>2</w:t>
      </w:r>
      <w:r>
        <w:rPr>
          <w:rFonts w:hint="eastAsia" w:ascii="仿宋" w:hAnsi="仿宋" w:eastAsia="仿宋"/>
          <w:color w:val="auto"/>
          <w:sz w:val="24"/>
          <w:szCs w:val="24"/>
          <w:highlight w:val="none"/>
        </w:rPr>
        <w:t>、卫星影像获取时间要求</w:t>
      </w:r>
    </w:p>
    <w:p w14:paraId="556118AB">
      <w:pPr>
        <w:spacing w:line="360" w:lineRule="auto"/>
        <w:ind w:firstLine="480" w:firstLineChars="200"/>
        <w:jc w:val="both"/>
        <w:rPr>
          <w:rFonts w:ascii="仿宋" w:hAnsi="仿宋" w:eastAsia="仿宋"/>
          <w:color w:val="auto"/>
          <w:sz w:val="24"/>
          <w:szCs w:val="24"/>
          <w:highlight w:val="none"/>
        </w:rPr>
      </w:pPr>
      <w:bookmarkStart w:id="262" w:name="_Hlk178423071"/>
      <w:r>
        <w:rPr>
          <w:rFonts w:hint="eastAsia" w:ascii="仿宋" w:hAnsi="仿宋" w:eastAsia="仿宋"/>
          <w:color w:val="auto"/>
          <w:sz w:val="24"/>
          <w:szCs w:val="24"/>
          <w:highlight w:val="none"/>
        </w:rPr>
        <w:t>202</w:t>
      </w:r>
      <w:r>
        <w:rPr>
          <w:rFonts w:ascii="仿宋" w:hAnsi="仿宋" w:eastAsia="仿宋"/>
          <w:color w:val="auto"/>
          <w:sz w:val="24"/>
          <w:szCs w:val="24"/>
          <w:highlight w:val="none"/>
        </w:rPr>
        <w:t>4</w:t>
      </w:r>
      <w:r>
        <w:rPr>
          <w:rFonts w:hint="eastAsia" w:ascii="仿宋" w:hAnsi="仿宋" w:eastAsia="仿宋"/>
          <w:color w:val="auto"/>
          <w:sz w:val="24"/>
          <w:szCs w:val="24"/>
          <w:highlight w:val="none"/>
        </w:rPr>
        <w:t>年</w:t>
      </w:r>
      <w:r>
        <w:rPr>
          <w:rFonts w:ascii="仿宋" w:hAnsi="仿宋" w:eastAsia="仿宋"/>
          <w:color w:val="auto"/>
          <w:sz w:val="24"/>
          <w:szCs w:val="24"/>
          <w:highlight w:val="none"/>
        </w:rPr>
        <w:t>6</w:t>
      </w:r>
      <w:r>
        <w:rPr>
          <w:rFonts w:hint="eastAsia" w:ascii="仿宋" w:hAnsi="仿宋" w:eastAsia="仿宋"/>
          <w:color w:val="auto"/>
          <w:sz w:val="24"/>
          <w:szCs w:val="24"/>
          <w:highlight w:val="none"/>
        </w:rPr>
        <w:t>月至202</w:t>
      </w:r>
      <w:r>
        <w:rPr>
          <w:rFonts w:ascii="仿宋" w:hAnsi="仿宋" w:eastAsia="仿宋"/>
          <w:color w:val="auto"/>
          <w:sz w:val="24"/>
          <w:szCs w:val="24"/>
          <w:highlight w:val="none"/>
        </w:rPr>
        <w:t>5</w:t>
      </w:r>
      <w:r>
        <w:rPr>
          <w:rFonts w:hint="eastAsia" w:ascii="仿宋" w:hAnsi="仿宋" w:eastAsia="仿宋"/>
          <w:color w:val="auto"/>
          <w:sz w:val="24"/>
          <w:szCs w:val="24"/>
          <w:highlight w:val="none"/>
        </w:rPr>
        <w:t>年</w:t>
      </w:r>
      <w:r>
        <w:rPr>
          <w:rFonts w:hint="eastAsia" w:ascii="仿宋" w:hAnsi="仿宋" w:eastAsia="仿宋"/>
          <w:color w:val="auto"/>
          <w:sz w:val="24"/>
          <w:szCs w:val="24"/>
          <w:highlight w:val="none"/>
          <w:lang w:val="en-US" w:eastAsia="zh-CN"/>
        </w:rPr>
        <w:t>6</w:t>
      </w:r>
      <w:r>
        <w:rPr>
          <w:rFonts w:hint="eastAsia" w:ascii="仿宋" w:hAnsi="仿宋" w:eastAsia="仿宋"/>
          <w:color w:val="auto"/>
          <w:sz w:val="24"/>
          <w:szCs w:val="24"/>
          <w:highlight w:val="none"/>
        </w:rPr>
        <w:t>月</w:t>
      </w:r>
      <w:bookmarkEnd w:id="262"/>
      <w:r>
        <w:rPr>
          <w:rFonts w:hint="eastAsia" w:ascii="仿宋" w:hAnsi="仿宋" w:eastAsia="仿宋"/>
          <w:color w:val="auto"/>
          <w:sz w:val="24"/>
          <w:szCs w:val="24"/>
          <w:highlight w:val="none"/>
        </w:rPr>
        <w:t>。</w:t>
      </w:r>
    </w:p>
    <w:p w14:paraId="08FC3CC1">
      <w:pPr>
        <w:spacing w:line="360" w:lineRule="auto"/>
        <w:ind w:firstLine="480" w:firstLineChars="200"/>
        <w:jc w:val="both"/>
        <w:rPr>
          <w:rFonts w:ascii="仿宋" w:hAnsi="仿宋" w:eastAsia="仿宋"/>
          <w:color w:val="auto"/>
          <w:sz w:val="24"/>
          <w:szCs w:val="24"/>
          <w:highlight w:val="none"/>
        </w:rPr>
      </w:pPr>
      <w:r>
        <w:rPr>
          <w:rFonts w:ascii="仿宋" w:hAnsi="仿宋" w:eastAsia="仿宋"/>
          <w:color w:val="auto"/>
          <w:sz w:val="24"/>
          <w:szCs w:val="24"/>
          <w:highlight w:val="none"/>
        </w:rPr>
        <w:t>3</w:t>
      </w:r>
      <w:r>
        <w:rPr>
          <w:rFonts w:hint="eastAsia" w:ascii="仿宋" w:hAnsi="仿宋" w:eastAsia="仿宋"/>
          <w:color w:val="auto"/>
          <w:sz w:val="24"/>
          <w:szCs w:val="24"/>
          <w:highlight w:val="none"/>
        </w:rPr>
        <w:t>、卫星影像技术处理要求</w:t>
      </w:r>
    </w:p>
    <w:p w14:paraId="4FB3696A">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（1）卫星遥感影像辐射校正后，因辐射误差而引起的影像畸变现象得到明显改善，使得相对稳定的同名地物的辐射值在不同时相遥感图像上较为相近。</w:t>
      </w:r>
    </w:p>
    <w:p w14:paraId="30DFF547">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（2）影像融合处理后，要求不存在地物错位、重影、模糊、光谱明显变异现象。</w:t>
      </w:r>
    </w:p>
    <w:p w14:paraId="1AD1829B">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（3）卫星遥感影像正射校正处理后，地物无扭曲、变形，平面定位精度要求为：0.5米分辨率数据校正后优于1.5米；优于3米8波段数据校正后优于5米。</w:t>
      </w:r>
    </w:p>
    <w:p w14:paraId="728C37AB">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（4）镶嵌拼接后影像应保持整体色调的过渡均匀连贯，同时检查融合影像纹理及色彩信息是否丰富，有无细节损失，层次深度是否足够。</w:t>
      </w:r>
    </w:p>
    <w:p w14:paraId="08408047">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（5）图像增强处理后的影像要达到灰阶分布具有较大动态范围，纹理清晰、色调均匀、反差适中，色彩接近自然真彩色，可以清晰判别各种地类类型。</w:t>
      </w:r>
    </w:p>
    <w:p w14:paraId="2D85DFAA">
      <w:pPr>
        <w:spacing w:line="360" w:lineRule="auto"/>
        <w:ind w:firstLine="480"/>
        <w:jc w:val="both"/>
        <w:rPr>
          <w:rFonts w:ascii="仿宋" w:hAnsi="仿宋" w:eastAsia="仿宋"/>
          <w:color w:val="auto"/>
          <w:sz w:val="24"/>
          <w:szCs w:val="24"/>
          <w:highlight w:val="none"/>
        </w:rPr>
      </w:pPr>
      <w:r>
        <w:rPr>
          <w:rFonts w:hint="eastAsia" w:ascii="仿宋" w:hAnsi="仿宋" w:eastAsia="仿宋"/>
          <w:color w:val="auto"/>
          <w:sz w:val="24"/>
          <w:szCs w:val="24"/>
          <w:highlight w:val="none"/>
        </w:rPr>
        <w:t>（6）图像匀色处理后，要求整体亮度要适中、地物细节清晰可辨，且小范围内同种地物应具有接近一致的色调，需保持一致性。</w:t>
      </w:r>
    </w:p>
    <w:bookmarkEnd w:id="251"/>
    <w:bookmarkEnd w:id="252"/>
    <w:bookmarkEnd w:id="253"/>
    <w:bookmarkEnd w:id="254"/>
    <w:bookmarkEnd w:id="255"/>
    <w:bookmarkEnd w:id="256"/>
    <w:p w14:paraId="3516F4AE">
      <w:pPr>
        <w:keepNext/>
        <w:keepLines/>
        <w:spacing w:line="360" w:lineRule="auto"/>
        <w:ind w:firstLine="482" w:firstLineChars="200"/>
        <w:jc w:val="both"/>
        <w:outlineLvl w:val="1"/>
        <w:rPr>
          <w:rFonts w:ascii="仿宋" w:hAnsi="仿宋" w:eastAsia="仿宋"/>
          <w:b/>
          <w:bCs/>
          <w:color w:val="auto"/>
          <w:sz w:val="24"/>
          <w:szCs w:val="24"/>
          <w:highlight w:val="none"/>
        </w:rPr>
      </w:pPr>
      <w:bookmarkStart w:id="263" w:name="_Toc116135257"/>
      <w:bookmarkStart w:id="264" w:name="_Toc10231"/>
      <w:r>
        <w:rPr>
          <w:rFonts w:hint="eastAsia" w:ascii="仿宋" w:hAnsi="仿宋" w:eastAsia="仿宋"/>
          <w:b/>
          <w:bCs/>
          <w:color w:val="auto"/>
          <w:sz w:val="24"/>
          <w:szCs w:val="24"/>
          <w:highlight w:val="none"/>
        </w:rPr>
        <w:t>四、交付时间</w:t>
      </w:r>
      <w:bookmarkEnd w:id="263"/>
      <w:bookmarkEnd w:id="264"/>
    </w:p>
    <w:p w14:paraId="4CB58A9B">
      <w:pPr>
        <w:spacing w:line="360" w:lineRule="auto"/>
        <w:ind w:firstLine="480" w:firstLineChars="200"/>
        <w:jc w:val="both"/>
        <w:rPr>
          <w:rFonts w:ascii="仿宋" w:hAnsi="仿宋" w:eastAsia="仿宋"/>
          <w:color w:val="auto"/>
          <w:sz w:val="24"/>
          <w:szCs w:val="24"/>
          <w:highlight w:val="none"/>
        </w:rPr>
      </w:pPr>
      <w:r>
        <w:rPr>
          <w:rFonts w:hint="eastAsia" w:ascii="仿宋" w:hAnsi="仿宋" w:eastAsia="仿宋"/>
          <w:color w:val="auto"/>
          <w:sz w:val="24"/>
          <w:szCs w:val="24"/>
          <w:highlight w:val="none"/>
        </w:rPr>
        <w:t>甲方将根据监测需求分批次提交指定区域范围及指定监测时间，所需影像应在提交需求以后7个工作日</w:t>
      </w:r>
      <w:r>
        <w:rPr>
          <w:rFonts w:hint="eastAsia" w:ascii="仿宋" w:hAnsi="仿宋" w:eastAsia="仿宋"/>
          <w:color w:val="auto"/>
          <w:sz w:val="24"/>
          <w:szCs w:val="24"/>
          <w:highlight w:val="none"/>
          <w:lang w:val="en-US" w:eastAsia="zh-CN"/>
        </w:rPr>
        <w:t>开始</w:t>
      </w:r>
      <w:r>
        <w:rPr>
          <w:rFonts w:hint="eastAsia" w:ascii="仿宋" w:hAnsi="仿宋" w:eastAsia="仿宋"/>
          <w:color w:val="auto"/>
          <w:sz w:val="24"/>
          <w:szCs w:val="24"/>
          <w:highlight w:val="none"/>
        </w:rPr>
        <w:t>交付，全部影像交付不晚于2025年7月底。</w:t>
      </w:r>
    </w:p>
    <w:p w14:paraId="73DD161D">
      <w:pPr>
        <w:snapToGrid w:val="0"/>
        <w:ind w:left="400" w:leftChars="200" w:firstLine="400" w:firstLineChars="200"/>
        <w:textAlignment w:val="baseline"/>
        <w:rPr>
          <w:rFonts w:ascii="仿宋" w:hAnsi="仿宋" w:eastAsia="仿宋"/>
          <w:color w:val="auto"/>
          <w:highlight w:val="none"/>
        </w:rPr>
      </w:pPr>
    </w:p>
    <w:p w14:paraId="16889D42">
      <w:pPr>
        <w:adjustRightInd/>
        <w:spacing w:line="360" w:lineRule="auto"/>
        <w:ind w:firstLine="480" w:firstLineChars="200"/>
        <w:rPr>
          <w:rFonts w:ascii="仿宋" w:hAnsi="仿宋" w:eastAsia="仿宋"/>
          <w:color w:val="auto"/>
          <w:sz w:val="24"/>
          <w:highlight w:val="none"/>
        </w:rPr>
      </w:pPr>
    </w:p>
    <w:p w14:paraId="006AEB0F">
      <w:pPr>
        <w:pStyle w:val="2"/>
        <w:spacing w:line="360" w:lineRule="auto"/>
        <w:ind w:firstLine="0"/>
        <w:rPr>
          <w:rFonts w:ascii="仿宋" w:hAnsi="仿宋" w:eastAsia="仿宋"/>
          <w:color w:val="auto"/>
          <w:kern w:val="44"/>
          <w:sz w:val="24"/>
          <w:szCs w:val="24"/>
          <w:highlight w:val="none"/>
        </w:rPr>
      </w:pPr>
    </w:p>
    <w:p w14:paraId="514CC073">
      <w:pPr>
        <w:pStyle w:val="3"/>
        <w:jc w:val="center"/>
        <w:rPr>
          <w:rFonts w:ascii="仿宋" w:hAnsi="仿宋" w:eastAsia="仿宋"/>
          <w:color w:val="auto"/>
          <w:sz w:val="36"/>
          <w:highlight w:val="none"/>
        </w:rPr>
      </w:pPr>
      <w:bookmarkStart w:id="265" w:name="_Toc22947"/>
      <w:r>
        <w:rPr>
          <w:rFonts w:hint="eastAsia" w:ascii="仿宋" w:hAnsi="仿宋" w:eastAsia="仿宋"/>
          <w:color w:val="auto"/>
          <w:sz w:val="36"/>
          <w:highlight w:val="none"/>
        </w:rPr>
        <w:t>第五章  投标文件格式</w:t>
      </w:r>
      <w:bookmarkEnd w:id="257"/>
      <w:bookmarkEnd w:id="258"/>
      <w:bookmarkEnd w:id="259"/>
      <w:bookmarkEnd w:id="265"/>
    </w:p>
    <w:p w14:paraId="5D0AC344">
      <w:pPr>
        <w:widowControl/>
        <w:spacing w:before="19" w:line="360" w:lineRule="auto"/>
        <w:rPr>
          <w:rFonts w:ascii="仿宋" w:hAnsi="仿宋" w:eastAsia="仿宋"/>
          <w:color w:val="auto"/>
          <w:sz w:val="30"/>
          <w:highlight w:val="none"/>
          <w:u w:val="single"/>
        </w:rPr>
      </w:pPr>
    </w:p>
    <w:p w14:paraId="4AC58190">
      <w:pPr>
        <w:widowControl/>
        <w:spacing w:before="19" w:line="360" w:lineRule="auto"/>
        <w:ind w:firstLine="480" w:firstLineChars="200"/>
        <w:rPr>
          <w:rFonts w:ascii="仿宋" w:hAnsi="仿宋" w:eastAsia="仿宋"/>
          <w:color w:val="auto"/>
          <w:sz w:val="24"/>
          <w:szCs w:val="24"/>
          <w:highlight w:val="none"/>
          <w:u w:val="single"/>
        </w:rPr>
      </w:pPr>
      <w:r>
        <w:rPr>
          <w:rFonts w:hint="eastAsia" w:ascii="仿宋" w:hAnsi="仿宋" w:eastAsia="仿宋"/>
          <w:color w:val="auto"/>
          <w:sz w:val="24"/>
          <w:szCs w:val="24"/>
          <w:highlight w:val="none"/>
          <w:u w:val="single"/>
        </w:rPr>
        <w:t>注：请供应商按照以下文件的要求格式、内容，顺序制作投标文件，并请编制目录及页码，否则可能将影响对投标文件的评价。</w:t>
      </w:r>
    </w:p>
    <w:p w14:paraId="1C0972F0">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评标索引</w:t>
      </w:r>
    </w:p>
    <w:tbl>
      <w:tblPr>
        <w:tblStyle w:val="41"/>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2"/>
        <w:gridCol w:w="1304"/>
        <w:gridCol w:w="6604"/>
        <w:gridCol w:w="1524"/>
      </w:tblGrid>
      <w:tr w14:paraId="76134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6" w:type="dxa"/>
            <w:gridSpan w:val="2"/>
            <w:shd w:val="clear" w:color="auto" w:fill="auto"/>
            <w:vAlign w:val="center"/>
          </w:tcPr>
          <w:p w14:paraId="0DBAB2D6">
            <w:pPr>
              <w:widowControl/>
              <w:autoSpaceDE/>
              <w:autoSpaceDN/>
              <w:adjustRightInd/>
              <w:spacing w:line="300" w:lineRule="auto"/>
              <w:jc w:val="center"/>
              <w:rPr>
                <w:rFonts w:ascii="仿宋" w:hAnsi="仿宋" w:eastAsia="仿宋"/>
                <w:b/>
                <w:color w:val="auto"/>
                <w:sz w:val="24"/>
                <w:szCs w:val="24"/>
                <w:highlight w:val="none"/>
              </w:rPr>
            </w:pPr>
            <w:r>
              <w:rPr>
                <w:rFonts w:hint="eastAsia" w:ascii="仿宋" w:hAnsi="仿宋" w:eastAsia="仿宋"/>
                <w:b/>
                <w:color w:val="auto"/>
                <w:sz w:val="24"/>
                <w:szCs w:val="24"/>
                <w:highlight w:val="none"/>
              </w:rPr>
              <w:t>评标项目</w:t>
            </w:r>
          </w:p>
        </w:tc>
        <w:tc>
          <w:tcPr>
            <w:tcW w:w="6604" w:type="dxa"/>
            <w:shd w:val="clear" w:color="auto" w:fill="auto"/>
          </w:tcPr>
          <w:p w14:paraId="2A2F8D03">
            <w:pPr>
              <w:autoSpaceDE/>
              <w:autoSpaceDN/>
              <w:adjustRightInd/>
              <w:jc w:val="center"/>
              <w:rPr>
                <w:rFonts w:ascii="仿宋" w:hAnsi="仿宋" w:eastAsia="仿宋"/>
                <w:b/>
                <w:color w:val="auto"/>
                <w:sz w:val="24"/>
                <w:szCs w:val="24"/>
                <w:highlight w:val="none"/>
              </w:rPr>
            </w:pPr>
            <w:r>
              <w:rPr>
                <w:rFonts w:hint="eastAsia" w:ascii="仿宋" w:hAnsi="仿宋" w:eastAsia="仿宋"/>
                <w:b/>
                <w:color w:val="auto"/>
                <w:sz w:val="24"/>
                <w:szCs w:val="24"/>
                <w:highlight w:val="none"/>
              </w:rPr>
              <w:t>评分要求</w:t>
            </w:r>
          </w:p>
        </w:tc>
        <w:tc>
          <w:tcPr>
            <w:tcW w:w="1524" w:type="dxa"/>
          </w:tcPr>
          <w:p w14:paraId="22F74DE4">
            <w:pPr>
              <w:autoSpaceDE/>
              <w:autoSpaceDN/>
              <w:adjustRightInd/>
              <w:jc w:val="center"/>
              <w:rPr>
                <w:rFonts w:ascii="仿宋" w:hAnsi="仿宋" w:eastAsia="仿宋"/>
                <w:b/>
                <w:color w:val="auto"/>
                <w:sz w:val="24"/>
                <w:szCs w:val="24"/>
                <w:highlight w:val="none"/>
              </w:rPr>
            </w:pPr>
            <w:r>
              <w:rPr>
                <w:rFonts w:hint="eastAsia" w:ascii="仿宋" w:hAnsi="仿宋" w:eastAsia="仿宋"/>
                <w:b/>
                <w:color w:val="auto"/>
                <w:sz w:val="24"/>
                <w:szCs w:val="24"/>
                <w:highlight w:val="none"/>
              </w:rPr>
              <w:t>所在页码</w:t>
            </w:r>
          </w:p>
        </w:tc>
      </w:tr>
      <w:tr w14:paraId="6F665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2" w:type="dxa"/>
            <w:shd w:val="clear" w:color="auto" w:fill="auto"/>
            <w:vAlign w:val="center"/>
          </w:tcPr>
          <w:p w14:paraId="201D0A60">
            <w:pPr>
              <w:widowControl/>
              <w:autoSpaceDE/>
              <w:autoSpaceDN/>
              <w:adjustRightInd/>
              <w:spacing w:line="360" w:lineRule="auto"/>
              <w:jc w:val="both"/>
              <w:rPr>
                <w:rFonts w:ascii="仿宋" w:hAnsi="仿宋" w:eastAsia="仿宋"/>
                <w:color w:val="auto"/>
                <w:sz w:val="24"/>
                <w:szCs w:val="24"/>
                <w:highlight w:val="none"/>
              </w:rPr>
            </w:pPr>
          </w:p>
        </w:tc>
        <w:tc>
          <w:tcPr>
            <w:tcW w:w="1304" w:type="dxa"/>
            <w:shd w:val="clear" w:color="auto" w:fill="auto"/>
            <w:vAlign w:val="center"/>
          </w:tcPr>
          <w:p w14:paraId="573A7C80">
            <w:pPr>
              <w:widowControl/>
              <w:autoSpaceDE/>
              <w:autoSpaceDN/>
              <w:adjustRightInd/>
              <w:spacing w:line="360" w:lineRule="auto"/>
              <w:jc w:val="both"/>
              <w:rPr>
                <w:rFonts w:ascii="仿宋" w:hAnsi="仿宋" w:eastAsia="仿宋"/>
                <w:color w:val="auto"/>
                <w:sz w:val="24"/>
                <w:szCs w:val="24"/>
                <w:highlight w:val="none"/>
              </w:rPr>
            </w:pPr>
          </w:p>
        </w:tc>
        <w:tc>
          <w:tcPr>
            <w:tcW w:w="6604" w:type="dxa"/>
            <w:shd w:val="clear" w:color="auto" w:fill="auto"/>
            <w:vAlign w:val="center"/>
          </w:tcPr>
          <w:p w14:paraId="7050E162">
            <w:pPr>
              <w:autoSpaceDE/>
              <w:autoSpaceDN/>
              <w:adjustRightInd/>
              <w:spacing w:line="360" w:lineRule="auto"/>
              <w:jc w:val="both"/>
              <w:rPr>
                <w:rFonts w:ascii="仿宋" w:hAnsi="仿宋" w:eastAsia="仿宋"/>
                <w:color w:val="auto"/>
                <w:sz w:val="24"/>
                <w:szCs w:val="24"/>
                <w:highlight w:val="none"/>
              </w:rPr>
            </w:pPr>
          </w:p>
        </w:tc>
        <w:tc>
          <w:tcPr>
            <w:tcW w:w="1524" w:type="dxa"/>
          </w:tcPr>
          <w:p w14:paraId="43E7261E">
            <w:pPr>
              <w:widowControl/>
              <w:tabs>
                <w:tab w:val="left" w:pos="403"/>
              </w:tabs>
              <w:autoSpaceDE/>
              <w:autoSpaceDN/>
              <w:adjustRightInd/>
              <w:spacing w:line="360" w:lineRule="auto"/>
              <w:ind w:left="613"/>
              <w:jc w:val="both"/>
              <w:rPr>
                <w:rFonts w:ascii="仿宋" w:hAnsi="仿宋" w:eastAsia="仿宋"/>
                <w:color w:val="auto"/>
                <w:sz w:val="24"/>
                <w:szCs w:val="24"/>
                <w:highlight w:val="none"/>
              </w:rPr>
            </w:pPr>
          </w:p>
        </w:tc>
      </w:tr>
      <w:tr w14:paraId="7B941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422" w:type="dxa"/>
            <w:shd w:val="clear" w:color="auto" w:fill="auto"/>
            <w:vAlign w:val="center"/>
          </w:tcPr>
          <w:p w14:paraId="56D1B5B2">
            <w:pPr>
              <w:autoSpaceDE/>
              <w:autoSpaceDN/>
              <w:adjustRightInd/>
              <w:spacing w:line="360" w:lineRule="auto"/>
              <w:jc w:val="both"/>
              <w:rPr>
                <w:rFonts w:ascii="仿宋" w:hAnsi="仿宋" w:eastAsia="仿宋"/>
                <w:color w:val="auto"/>
                <w:sz w:val="24"/>
                <w:szCs w:val="24"/>
                <w:highlight w:val="none"/>
              </w:rPr>
            </w:pPr>
          </w:p>
        </w:tc>
        <w:tc>
          <w:tcPr>
            <w:tcW w:w="1304" w:type="dxa"/>
            <w:shd w:val="clear" w:color="auto" w:fill="auto"/>
            <w:vAlign w:val="center"/>
          </w:tcPr>
          <w:p w14:paraId="397AB0D2">
            <w:pPr>
              <w:autoSpaceDE/>
              <w:autoSpaceDN/>
              <w:adjustRightInd/>
              <w:spacing w:line="360" w:lineRule="auto"/>
              <w:jc w:val="both"/>
              <w:rPr>
                <w:rFonts w:ascii="仿宋" w:hAnsi="仿宋" w:eastAsia="仿宋"/>
                <w:color w:val="auto"/>
                <w:sz w:val="24"/>
                <w:szCs w:val="24"/>
                <w:highlight w:val="none"/>
              </w:rPr>
            </w:pPr>
          </w:p>
        </w:tc>
        <w:tc>
          <w:tcPr>
            <w:tcW w:w="6604" w:type="dxa"/>
            <w:shd w:val="clear" w:color="auto" w:fill="auto"/>
            <w:vAlign w:val="center"/>
          </w:tcPr>
          <w:p w14:paraId="07F1F783">
            <w:pPr>
              <w:spacing w:line="360" w:lineRule="auto"/>
              <w:jc w:val="both"/>
              <w:rPr>
                <w:rFonts w:ascii="仿宋" w:hAnsi="仿宋" w:eastAsia="仿宋"/>
                <w:color w:val="auto"/>
                <w:sz w:val="24"/>
                <w:szCs w:val="24"/>
                <w:highlight w:val="none"/>
              </w:rPr>
            </w:pPr>
          </w:p>
        </w:tc>
        <w:tc>
          <w:tcPr>
            <w:tcW w:w="1524" w:type="dxa"/>
          </w:tcPr>
          <w:p w14:paraId="76A665BA">
            <w:pPr>
              <w:spacing w:line="360" w:lineRule="auto"/>
              <w:jc w:val="both"/>
              <w:rPr>
                <w:rFonts w:ascii="仿宋" w:hAnsi="仿宋" w:eastAsia="仿宋"/>
                <w:color w:val="auto"/>
                <w:sz w:val="24"/>
                <w:szCs w:val="24"/>
                <w:highlight w:val="none"/>
              </w:rPr>
            </w:pPr>
          </w:p>
        </w:tc>
      </w:tr>
      <w:tr w14:paraId="33D6B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422" w:type="dxa"/>
            <w:shd w:val="clear" w:color="auto" w:fill="auto"/>
            <w:vAlign w:val="center"/>
          </w:tcPr>
          <w:p w14:paraId="76617CF5">
            <w:pPr>
              <w:autoSpaceDE/>
              <w:autoSpaceDN/>
              <w:adjustRightInd/>
              <w:spacing w:line="360" w:lineRule="auto"/>
              <w:jc w:val="both"/>
              <w:rPr>
                <w:rFonts w:ascii="仿宋" w:hAnsi="仿宋" w:eastAsia="仿宋"/>
                <w:color w:val="auto"/>
                <w:sz w:val="24"/>
                <w:szCs w:val="24"/>
                <w:highlight w:val="none"/>
              </w:rPr>
            </w:pPr>
          </w:p>
        </w:tc>
        <w:tc>
          <w:tcPr>
            <w:tcW w:w="1304" w:type="dxa"/>
            <w:shd w:val="clear" w:color="auto" w:fill="auto"/>
            <w:vAlign w:val="center"/>
          </w:tcPr>
          <w:p w14:paraId="5295C65A">
            <w:pPr>
              <w:autoSpaceDE/>
              <w:autoSpaceDN/>
              <w:adjustRightInd/>
              <w:spacing w:line="360" w:lineRule="auto"/>
              <w:jc w:val="both"/>
              <w:rPr>
                <w:rFonts w:ascii="仿宋" w:hAnsi="仿宋" w:eastAsia="仿宋"/>
                <w:color w:val="auto"/>
                <w:sz w:val="24"/>
                <w:szCs w:val="24"/>
                <w:highlight w:val="none"/>
              </w:rPr>
            </w:pPr>
          </w:p>
        </w:tc>
        <w:tc>
          <w:tcPr>
            <w:tcW w:w="6604" w:type="dxa"/>
            <w:shd w:val="clear" w:color="auto" w:fill="auto"/>
            <w:vAlign w:val="center"/>
          </w:tcPr>
          <w:p w14:paraId="6F269C45">
            <w:pPr>
              <w:spacing w:line="360" w:lineRule="auto"/>
              <w:jc w:val="both"/>
              <w:rPr>
                <w:rFonts w:ascii="仿宋" w:hAnsi="仿宋" w:eastAsia="仿宋"/>
                <w:color w:val="auto"/>
                <w:sz w:val="24"/>
                <w:szCs w:val="24"/>
                <w:highlight w:val="none"/>
              </w:rPr>
            </w:pPr>
          </w:p>
        </w:tc>
        <w:tc>
          <w:tcPr>
            <w:tcW w:w="1524" w:type="dxa"/>
          </w:tcPr>
          <w:p w14:paraId="4DB447EA">
            <w:pPr>
              <w:spacing w:line="360" w:lineRule="auto"/>
              <w:jc w:val="both"/>
              <w:rPr>
                <w:rFonts w:ascii="仿宋" w:hAnsi="仿宋" w:eastAsia="仿宋"/>
                <w:color w:val="auto"/>
                <w:sz w:val="24"/>
                <w:szCs w:val="24"/>
                <w:highlight w:val="none"/>
              </w:rPr>
            </w:pPr>
          </w:p>
        </w:tc>
      </w:tr>
      <w:tr w14:paraId="4BAB3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422" w:type="dxa"/>
            <w:shd w:val="clear" w:color="auto" w:fill="auto"/>
            <w:vAlign w:val="center"/>
          </w:tcPr>
          <w:p w14:paraId="2CECD6EF">
            <w:pPr>
              <w:autoSpaceDE/>
              <w:autoSpaceDN/>
              <w:adjustRightInd/>
              <w:spacing w:line="360" w:lineRule="auto"/>
              <w:jc w:val="both"/>
              <w:rPr>
                <w:rFonts w:ascii="仿宋" w:hAnsi="仿宋" w:eastAsia="仿宋"/>
                <w:color w:val="auto"/>
                <w:sz w:val="24"/>
                <w:szCs w:val="24"/>
                <w:highlight w:val="none"/>
              </w:rPr>
            </w:pPr>
          </w:p>
        </w:tc>
        <w:tc>
          <w:tcPr>
            <w:tcW w:w="1304" w:type="dxa"/>
            <w:shd w:val="clear" w:color="auto" w:fill="auto"/>
            <w:vAlign w:val="center"/>
          </w:tcPr>
          <w:p w14:paraId="26F26800">
            <w:pPr>
              <w:spacing w:line="360" w:lineRule="auto"/>
              <w:jc w:val="both"/>
              <w:rPr>
                <w:rFonts w:ascii="仿宋" w:hAnsi="仿宋" w:eastAsia="仿宋"/>
                <w:color w:val="auto"/>
                <w:sz w:val="24"/>
                <w:szCs w:val="24"/>
                <w:highlight w:val="none"/>
              </w:rPr>
            </w:pPr>
          </w:p>
        </w:tc>
        <w:tc>
          <w:tcPr>
            <w:tcW w:w="6604" w:type="dxa"/>
            <w:shd w:val="clear" w:color="auto" w:fill="auto"/>
            <w:vAlign w:val="center"/>
          </w:tcPr>
          <w:p w14:paraId="717B973F">
            <w:pPr>
              <w:spacing w:line="360" w:lineRule="auto"/>
              <w:jc w:val="both"/>
              <w:rPr>
                <w:rFonts w:ascii="仿宋" w:hAnsi="仿宋" w:eastAsia="仿宋"/>
                <w:color w:val="auto"/>
                <w:sz w:val="24"/>
                <w:szCs w:val="24"/>
                <w:highlight w:val="none"/>
              </w:rPr>
            </w:pPr>
          </w:p>
        </w:tc>
        <w:tc>
          <w:tcPr>
            <w:tcW w:w="1524" w:type="dxa"/>
          </w:tcPr>
          <w:p w14:paraId="3C80550D">
            <w:pPr>
              <w:spacing w:line="360" w:lineRule="auto"/>
              <w:jc w:val="both"/>
              <w:rPr>
                <w:rFonts w:ascii="仿宋" w:hAnsi="仿宋" w:eastAsia="仿宋"/>
                <w:color w:val="auto"/>
                <w:sz w:val="24"/>
                <w:szCs w:val="24"/>
                <w:highlight w:val="none"/>
              </w:rPr>
            </w:pPr>
          </w:p>
        </w:tc>
      </w:tr>
      <w:tr w14:paraId="63AD6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422" w:type="dxa"/>
            <w:shd w:val="clear" w:color="auto" w:fill="auto"/>
            <w:vAlign w:val="center"/>
          </w:tcPr>
          <w:p w14:paraId="00D1E14B">
            <w:pPr>
              <w:autoSpaceDE/>
              <w:autoSpaceDN/>
              <w:adjustRightInd/>
              <w:spacing w:line="360" w:lineRule="auto"/>
              <w:jc w:val="both"/>
              <w:rPr>
                <w:rFonts w:ascii="仿宋" w:hAnsi="仿宋" w:eastAsia="仿宋"/>
                <w:color w:val="auto"/>
                <w:sz w:val="24"/>
                <w:szCs w:val="24"/>
                <w:highlight w:val="none"/>
              </w:rPr>
            </w:pPr>
          </w:p>
        </w:tc>
        <w:tc>
          <w:tcPr>
            <w:tcW w:w="1304" w:type="dxa"/>
            <w:shd w:val="clear" w:color="auto" w:fill="auto"/>
            <w:vAlign w:val="center"/>
          </w:tcPr>
          <w:p w14:paraId="7A12DC04">
            <w:pPr>
              <w:autoSpaceDE/>
              <w:autoSpaceDN/>
              <w:adjustRightInd/>
              <w:spacing w:line="360" w:lineRule="auto"/>
              <w:jc w:val="both"/>
              <w:rPr>
                <w:rFonts w:ascii="仿宋" w:hAnsi="仿宋" w:eastAsia="仿宋"/>
                <w:color w:val="auto"/>
                <w:sz w:val="24"/>
                <w:szCs w:val="24"/>
                <w:highlight w:val="none"/>
              </w:rPr>
            </w:pPr>
          </w:p>
        </w:tc>
        <w:tc>
          <w:tcPr>
            <w:tcW w:w="6604" w:type="dxa"/>
            <w:shd w:val="clear" w:color="auto" w:fill="auto"/>
            <w:vAlign w:val="center"/>
          </w:tcPr>
          <w:p w14:paraId="3A4E7FEE">
            <w:pPr>
              <w:spacing w:line="360" w:lineRule="auto"/>
              <w:jc w:val="both"/>
              <w:rPr>
                <w:rFonts w:ascii="仿宋" w:hAnsi="仿宋" w:eastAsia="仿宋"/>
                <w:color w:val="auto"/>
                <w:sz w:val="24"/>
                <w:szCs w:val="24"/>
                <w:highlight w:val="none"/>
              </w:rPr>
            </w:pPr>
          </w:p>
        </w:tc>
        <w:tc>
          <w:tcPr>
            <w:tcW w:w="1524" w:type="dxa"/>
          </w:tcPr>
          <w:p w14:paraId="4512BB2F">
            <w:pPr>
              <w:spacing w:line="360" w:lineRule="auto"/>
              <w:jc w:val="both"/>
              <w:rPr>
                <w:rFonts w:ascii="仿宋" w:hAnsi="仿宋" w:eastAsia="仿宋"/>
                <w:color w:val="auto"/>
                <w:sz w:val="24"/>
                <w:szCs w:val="24"/>
                <w:highlight w:val="none"/>
              </w:rPr>
            </w:pPr>
          </w:p>
        </w:tc>
      </w:tr>
    </w:tbl>
    <w:p w14:paraId="6C7304F5">
      <w:pPr>
        <w:widowControl/>
        <w:spacing w:before="19" w:line="360" w:lineRule="auto"/>
        <w:ind w:firstLine="480" w:firstLineChars="200"/>
        <w:rPr>
          <w:rFonts w:ascii="仿宋" w:hAnsi="仿宋" w:eastAsia="仿宋"/>
          <w:color w:val="auto"/>
          <w:sz w:val="24"/>
          <w:szCs w:val="24"/>
          <w:highlight w:val="none"/>
          <w:u w:val="single"/>
        </w:rPr>
      </w:pPr>
    </w:p>
    <w:p w14:paraId="0E5058D9">
      <w:pPr>
        <w:widowControl/>
        <w:spacing w:before="19" w:line="360" w:lineRule="auto"/>
        <w:ind w:firstLine="480" w:firstLineChars="200"/>
        <w:rPr>
          <w:rFonts w:ascii="仿宋" w:hAnsi="仿宋" w:eastAsia="仿宋"/>
          <w:color w:val="auto"/>
          <w:sz w:val="24"/>
          <w:szCs w:val="24"/>
          <w:highlight w:val="none"/>
          <w:u w:val="single"/>
        </w:rPr>
      </w:pPr>
    </w:p>
    <w:p w14:paraId="2643D3F4">
      <w:pPr>
        <w:widowControl/>
        <w:spacing w:before="19" w:line="360" w:lineRule="auto"/>
        <w:ind w:firstLine="480" w:firstLineChars="200"/>
        <w:rPr>
          <w:rFonts w:ascii="仿宋" w:hAnsi="仿宋" w:eastAsia="仿宋"/>
          <w:color w:val="auto"/>
          <w:sz w:val="24"/>
          <w:szCs w:val="24"/>
          <w:highlight w:val="none"/>
          <w:u w:val="single"/>
        </w:rPr>
      </w:pPr>
    </w:p>
    <w:p w14:paraId="6831F588">
      <w:pPr>
        <w:jc w:val="center"/>
        <w:rPr>
          <w:rFonts w:ascii="仿宋" w:hAnsi="仿宋" w:eastAsia="仿宋"/>
          <w:b/>
          <w:color w:val="auto"/>
          <w:kern w:val="2"/>
          <w:sz w:val="24"/>
          <w:szCs w:val="24"/>
          <w:highlight w:val="none"/>
        </w:rPr>
      </w:pPr>
      <w:r>
        <w:rPr>
          <w:rFonts w:ascii="仿宋" w:hAnsi="仿宋" w:eastAsia="仿宋"/>
          <w:color w:val="auto"/>
          <w:sz w:val="24"/>
          <w:szCs w:val="24"/>
          <w:highlight w:val="none"/>
        </w:rPr>
        <w:br w:type="page"/>
      </w:r>
      <w:bookmarkStart w:id="266" w:name="_Toc420657414"/>
      <w:bookmarkStart w:id="267" w:name="_Toc289873233"/>
      <w:bookmarkStart w:id="268" w:name="_Toc420487919"/>
    </w:p>
    <w:bookmarkEnd w:id="266"/>
    <w:bookmarkEnd w:id="267"/>
    <w:bookmarkEnd w:id="268"/>
    <w:p w14:paraId="4F36948E">
      <w:pPr>
        <w:pStyle w:val="4"/>
        <w:rPr>
          <w:rFonts w:ascii="仿宋" w:hAnsi="仿宋" w:eastAsia="仿宋"/>
          <w:color w:val="auto"/>
          <w:sz w:val="24"/>
          <w:szCs w:val="24"/>
          <w:highlight w:val="none"/>
          <w:u w:val="single"/>
        </w:rPr>
      </w:pPr>
      <w:bookmarkStart w:id="269" w:name="_Toc496721282"/>
      <w:bookmarkStart w:id="270" w:name="_Toc23684"/>
      <w:r>
        <w:rPr>
          <w:rFonts w:hint="eastAsia" w:ascii="仿宋" w:hAnsi="仿宋" w:eastAsia="仿宋"/>
          <w:color w:val="auto"/>
          <w:sz w:val="24"/>
          <w:szCs w:val="24"/>
          <w:highlight w:val="none"/>
        </w:rPr>
        <w:t>一、投标函、投标报价及项目相关文件</w:t>
      </w:r>
      <w:bookmarkEnd w:id="269"/>
      <w:bookmarkEnd w:id="270"/>
    </w:p>
    <w:p w14:paraId="10FAD8BA">
      <w:pPr>
        <w:pStyle w:val="5"/>
        <w:jc w:val="center"/>
        <w:rPr>
          <w:rFonts w:ascii="仿宋" w:hAnsi="仿宋" w:eastAsia="仿宋"/>
          <w:color w:val="auto"/>
          <w:sz w:val="24"/>
          <w:szCs w:val="24"/>
          <w:highlight w:val="none"/>
        </w:rPr>
      </w:pPr>
      <w:bookmarkStart w:id="271" w:name="_Toc289873234"/>
      <w:bookmarkStart w:id="272" w:name="_Toc420657415"/>
      <w:bookmarkStart w:id="273" w:name="_Toc420487920"/>
      <w:bookmarkStart w:id="274" w:name="_Toc496721283"/>
      <w:bookmarkStart w:id="275" w:name="_Toc31328"/>
      <w:r>
        <w:rPr>
          <w:rFonts w:hint="eastAsia" w:ascii="仿宋" w:hAnsi="仿宋" w:eastAsia="仿宋"/>
          <w:color w:val="auto"/>
          <w:sz w:val="24"/>
          <w:szCs w:val="24"/>
          <w:highlight w:val="none"/>
        </w:rPr>
        <w:t>1.投标函</w:t>
      </w:r>
      <w:bookmarkEnd w:id="271"/>
      <w:bookmarkEnd w:id="272"/>
      <w:bookmarkEnd w:id="273"/>
      <w:bookmarkEnd w:id="274"/>
      <w:bookmarkEnd w:id="275"/>
    </w:p>
    <w:p w14:paraId="2ABCD389">
      <w:pPr>
        <w:widowControl/>
        <w:snapToGrid w:val="0"/>
        <w:spacing w:before="19"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江苏省招标中心有限公司：</w:t>
      </w:r>
    </w:p>
    <w:p w14:paraId="765C99B6">
      <w:pPr>
        <w:snapToGrid w:val="0"/>
        <w:spacing w:line="48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你们 号招标文件（包括更正通知，如果有的话）收悉，我们经详细审阅和研究，现决定参加投标。</w:t>
      </w:r>
    </w:p>
    <w:p w14:paraId="0319D45A">
      <w:pPr>
        <w:widowControl/>
        <w:snapToGrid w:val="0"/>
        <w:spacing w:before="19" w:line="480" w:lineRule="exact"/>
        <w:ind w:firstLine="555"/>
        <w:rPr>
          <w:rFonts w:ascii="仿宋" w:hAnsi="仿宋" w:eastAsia="仿宋"/>
          <w:color w:val="auto"/>
          <w:sz w:val="24"/>
          <w:szCs w:val="24"/>
          <w:highlight w:val="none"/>
        </w:rPr>
      </w:pPr>
      <w:r>
        <w:rPr>
          <w:rFonts w:hint="eastAsia" w:ascii="仿宋" w:hAnsi="仿宋" w:eastAsia="仿宋"/>
          <w:color w:val="auto"/>
          <w:sz w:val="24"/>
          <w:szCs w:val="24"/>
          <w:highlight w:val="none"/>
        </w:rPr>
        <w:t>1．我们郑重承诺：我们是符合《中华人民共和国政府采购法》的供应商，并严格遵守《中华人民共和国政府采购法》第二十二条的规定。</w:t>
      </w:r>
    </w:p>
    <w:p w14:paraId="7B2C7720">
      <w:pPr>
        <w:snapToGrid w:val="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2．我们接受招标文件的所有的条款和规定。</w:t>
      </w:r>
    </w:p>
    <w:p w14:paraId="2958090A">
      <w:pPr>
        <w:snapToGrid w:val="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3．我们同意按照招标文件第一章“供应商须知”第13条的规定，本投标文件的有效期为从投标截止日期起计算的九十天，在此期间，本投标文件将始终对我们具有约束力，并可随时被接受。如果我们中标，本投标文件在此期间之后将继续保持有效。</w:t>
      </w:r>
    </w:p>
    <w:p w14:paraId="141AFD6A">
      <w:pPr>
        <w:snapToGrid w:val="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4．我们同意提供采购人要求的有关本次招标的所有资料。</w:t>
      </w:r>
    </w:p>
    <w:p w14:paraId="26955BE0">
      <w:pPr>
        <w:snapToGrid w:val="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5．我们理解，你们无义务必须接受投标价最低的投标，并有权拒绝所有的投标。同时也理解你们不承担我们本次投标的费用。</w:t>
      </w:r>
    </w:p>
    <w:p w14:paraId="28A16BBE">
      <w:pPr>
        <w:snapToGrid w:val="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6．如果我们中标，我们将按照招标文件的规定向贵公司支付招标代理服务费；为执行合同，我们将按供应商须知有关要求提供必要的履约保证。</w:t>
      </w:r>
    </w:p>
    <w:p w14:paraId="2FC26E77">
      <w:pPr>
        <w:snapToGrid w:val="0"/>
        <w:spacing w:line="480" w:lineRule="exact"/>
        <w:rPr>
          <w:rFonts w:ascii="仿宋" w:hAnsi="仿宋" w:eastAsia="仿宋"/>
          <w:color w:val="auto"/>
          <w:sz w:val="24"/>
          <w:szCs w:val="24"/>
          <w:highlight w:val="none"/>
        </w:rPr>
      </w:pPr>
    </w:p>
    <w:p w14:paraId="037971A7">
      <w:pPr>
        <w:snapToGrid w:val="0"/>
        <w:spacing w:line="480" w:lineRule="exact"/>
        <w:ind w:firstLine="2760" w:firstLineChars="1150"/>
        <w:rPr>
          <w:rFonts w:ascii="仿宋" w:hAnsi="仿宋" w:eastAsia="仿宋"/>
          <w:color w:val="auto"/>
          <w:sz w:val="24"/>
          <w:szCs w:val="24"/>
          <w:highlight w:val="none"/>
        </w:rPr>
      </w:pPr>
      <w:r>
        <w:rPr>
          <w:rFonts w:hint="eastAsia" w:ascii="仿宋" w:hAnsi="仿宋" w:eastAsia="仿宋"/>
          <w:color w:val="auto"/>
          <w:sz w:val="24"/>
          <w:szCs w:val="24"/>
          <w:highlight w:val="none"/>
        </w:rPr>
        <w:t>供应商名称：</w:t>
      </w:r>
      <w:r>
        <w:rPr>
          <w:rFonts w:hint="eastAsia" w:ascii="仿宋" w:hAnsi="仿宋" w:eastAsia="仿宋"/>
          <w:color w:val="auto"/>
          <w:sz w:val="24"/>
          <w:szCs w:val="24"/>
          <w:highlight w:val="none"/>
          <w:u w:val="single"/>
        </w:rPr>
        <w:t xml:space="preserve">              （公章）</w:t>
      </w:r>
    </w:p>
    <w:p w14:paraId="75C56D64">
      <w:pPr>
        <w:snapToGrid w:val="0"/>
        <w:spacing w:line="48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地址：      邮编：</w:t>
      </w:r>
    </w:p>
    <w:p w14:paraId="2B54255B">
      <w:pPr>
        <w:snapToGrid w:val="0"/>
        <w:spacing w:line="48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电话：      传真：</w:t>
      </w:r>
    </w:p>
    <w:p w14:paraId="70D8065C">
      <w:pPr>
        <w:snapToGrid w:val="0"/>
        <w:spacing w:line="48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授权代表签字：</w:t>
      </w:r>
    </w:p>
    <w:p w14:paraId="091D2AEC">
      <w:pPr>
        <w:snapToGrid w:val="0"/>
        <w:spacing w:line="48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职务：</w:t>
      </w:r>
    </w:p>
    <w:p w14:paraId="39529710">
      <w:pPr>
        <w:snapToGrid w:val="0"/>
        <w:spacing w:line="48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日期：</w:t>
      </w:r>
    </w:p>
    <w:p w14:paraId="4A7D55D2">
      <w:pPr>
        <w:widowControl/>
        <w:topLinePunct/>
        <w:spacing w:before="4" w:line="360" w:lineRule="auto"/>
        <w:rPr>
          <w:rFonts w:ascii="仿宋" w:hAnsi="仿宋" w:eastAsia="仿宋"/>
          <w:color w:val="auto"/>
          <w:sz w:val="24"/>
          <w:szCs w:val="24"/>
          <w:highlight w:val="none"/>
        </w:rPr>
      </w:pPr>
      <w:r>
        <w:rPr>
          <w:rFonts w:ascii="仿宋" w:hAnsi="仿宋" w:eastAsia="仿宋"/>
          <w:color w:val="auto"/>
          <w:sz w:val="24"/>
          <w:szCs w:val="24"/>
          <w:highlight w:val="none"/>
        </w:rPr>
        <w:br w:type="page"/>
      </w:r>
    </w:p>
    <w:p w14:paraId="6C85C3F1">
      <w:pPr>
        <w:pStyle w:val="5"/>
        <w:jc w:val="center"/>
        <w:rPr>
          <w:rFonts w:ascii="仿宋" w:hAnsi="仿宋" w:eastAsia="仿宋"/>
          <w:color w:val="auto"/>
          <w:sz w:val="24"/>
          <w:szCs w:val="24"/>
          <w:highlight w:val="none"/>
        </w:rPr>
      </w:pPr>
      <w:bookmarkStart w:id="276" w:name="_Toc420657416"/>
      <w:bookmarkStart w:id="277" w:name="_Toc8897"/>
      <w:bookmarkStart w:id="278" w:name="_Toc496721284"/>
      <w:bookmarkStart w:id="279" w:name="_Toc289873235"/>
      <w:bookmarkStart w:id="280" w:name="_Toc420487921"/>
      <w:r>
        <w:rPr>
          <w:rFonts w:hint="eastAsia" w:ascii="仿宋" w:hAnsi="仿宋" w:eastAsia="仿宋"/>
          <w:color w:val="auto"/>
          <w:sz w:val="24"/>
          <w:szCs w:val="24"/>
          <w:highlight w:val="none"/>
        </w:rPr>
        <w:t>2.开标一览表</w:t>
      </w:r>
      <w:bookmarkEnd w:id="276"/>
      <w:bookmarkEnd w:id="277"/>
      <w:bookmarkEnd w:id="278"/>
      <w:bookmarkEnd w:id="279"/>
      <w:bookmarkEnd w:id="280"/>
    </w:p>
    <w:p w14:paraId="08224DF9">
      <w:pPr>
        <w:snapToGrid w:val="0"/>
        <w:spacing w:line="480" w:lineRule="exact"/>
        <w:ind w:firstLine="120" w:firstLineChars="5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项目编号:                                     </w:t>
      </w:r>
    </w:p>
    <w:tbl>
      <w:tblPr>
        <w:tblStyle w:val="42"/>
        <w:tblW w:w="86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13"/>
        <w:gridCol w:w="4313"/>
      </w:tblGrid>
      <w:tr w14:paraId="159EE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313" w:type="dxa"/>
          </w:tcPr>
          <w:p w14:paraId="09AC51E4">
            <w:pPr>
              <w:snapToGrid w:val="0"/>
              <w:spacing w:line="480" w:lineRule="exact"/>
              <w:jc w:val="both"/>
              <w:rPr>
                <w:rFonts w:ascii="仿宋" w:hAnsi="仿宋" w:eastAsia="仿宋"/>
                <w:color w:val="auto"/>
                <w:sz w:val="24"/>
                <w:szCs w:val="24"/>
                <w:highlight w:val="none"/>
              </w:rPr>
            </w:pPr>
            <w:r>
              <w:rPr>
                <w:rFonts w:hint="eastAsia" w:ascii="仿宋" w:hAnsi="仿宋" w:eastAsia="仿宋"/>
                <w:color w:val="auto"/>
                <w:sz w:val="24"/>
                <w:szCs w:val="24"/>
                <w:highlight w:val="none"/>
              </w:rPr>
              <w:t>项目名称</w:t>
            </w:r>
          </w:p>
        </w:tc>
        <w:tc>
          <w:tcPr>
            <w:tcW w:w="4313" w:type="dxa"/>
          </w:tcPr>
          <w:p w14:paraId="2BB6CA53">
            <w:pPr>
              <w:snapToGrid w:val="0"/>
              <w:spacing w:line="480" w:lineRule="exact"/>
              <w:jc w:val="both"/>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w:t>
            </w:r>
          </w:p>
        </w:tc>
      </w:tr>
      <w:tr w14:paraId="77D98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313" w:type="dxa"/>
          </w:tcPr>
          <w:p w14:paraId="74E9FAC0">
            <w:pPr>
              <w:snapToGrid w:val="0"/>
              <w:spacing w:line="480" w:lineRule="exact"/>
              <w:jc w:val="both"/>
              <w:rPr>
                <w:rFonts w:ascii="仿宋" w:hAnsi="仿宋" w:eastAsia="仿宋"/>
                <w:color w:val="auto"/>
                <w:sz w:val="24"/>
                <w:szCs w:val="24"/>
                <w:highlight w:val="none"/>
              </w:rPr>
            </w:pPr>
            <w:r>
              <w:rPr>
                <w:rFonts w:hint="eastAsia" w:ascii="仿宋" w:hAnsi="仿宋" w:eastAsia="仿宋"/>
                <w:color w:val="auto"/>
                <w:sz w:val="24"/>
                <w:szCs w:val="24"/>
                <w:highlight w:val="none"/>
              </w:rPr>
              <w:t>投标报价</w:t>
            </w:r>
          </w:p>
        </w:tc>
        <w:tc>
          <w:tcPr>
            <w:tcW w:w="4313" w:type="dxa"/>
          </w:tcPr>
          <w:p w14:paraId="7FE15290">
            <w:pPr>
              <w:snapToGrid w:val="0"/>
              <w:spacing w:line="480" w:lineRule="exact"/>
              <w:jc w:val="both"/>
              <w:rPr>
                <w:rFonts w:ascii="仿宋" w:hAnsi="仿宋" w:eastAsia="仿宋"/>
                <w:color w:val="auto"/>
                <w:sz w:val="24"/>
                <w:szCs w:val="24"/>
                <w:highlight w:val="none"/>
              </w:rPr>
            </w:pPr>
          </w:p>
        </w:tc>
      </w:tr>
      <w:tr w14:paraId="32DC5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313" w:type="dxa"/>
          </w:tcPr>
          <w:p w14:paraId="7D055DBC">
            <w:pPr>
              <w:snapToGrid w:val="0"/>
              <w:spacing w:line="480" w:lineRule="exact"/>
              <w:jc w:val="both"/>
              <w:rPr>
                <w:rFonts w:ascii="仿宋" w:hAnsi="仿宋" w:eastAsia="仿宋"/>
                <w:color w:val="auto"/>
                <w:sz w:val="24"/>
                <w:szCs w:val="24"/>
                <w:highlight w:val="none"/>
              </w:rPr>
            </w:pPr>
            <w:r>
              <w:rPr>
                <w:rFonts w:hint="eastAsia" w:ascii="仿宋" w:hAnsi="仿宋" w:eastAsia="仿宋"/>
                <w:color w:val="auto"/>
                <w:sz w:val="24"/>
                <w:szCs w:val="24"/>
                <w:highlight w:val="none"/>
              </w:rPr>
              <w:t>备注</w:t>
            </w:r>
          </w:p>
        </w:tc>
        <w:tc>
          <w:tcPr>
            <w:tcW w:w="4313" w:type="dxa"/>
          </w:tcPr>
          <w:p w14:paraId="51322F64">
            <w:pPr>
              <w:snapToGrid w:val="0"/>
              <w:spacing w:line="480" w:lineRule="exact"/>
              <w:jc w:val="both"/>
              <w:rPr>
                <w:rFonts w:ascii="仿宋" w:hAnsi="仿宋" w:eastAsia="仿宋"/>
                <w:color w:val="auto"/>
                <w:sz w:val="24"/>
                <w:szCs w:val="24"/>
                <w:highlight w:val="none"/>
              </w:rPr>
            </w:pPr>
          </w:p>
        </w:tc>
      </w:tr>
    </w:tbl>
    <w:p w14:paraId="00C701D2">
      <w:pPr>
        <w:snapToGrid w:val="0"/>
        <w:spacing w:line="480" w:lineRule="exact"/>
        <w:ind w:firstLine="120" w:firstLineChars="50"/>
        <w:rPr>
          <w:rFonts w:ascii="仿宋" w:hAnsi="仿宋" w:eastAsia="仿宋"/>
          <w:color w:val="auto"/>
          <w:sz w:val="24"/>
          <w:szCs w:val="24"/>
          <w:highlight w:val="none"/>
        </w:rPr>
      </w:pPr>
    </w:p>
    <w:p w14:paraId="4CB6C7FF">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供应商名称：</w:t>
      </w:r>
    </w:p>
    <w:p w14:paraId="65DBF595">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供应商公章:</w:t>
      </w:r>
    </w:p>
    <w:p w14:paraId="47189B9D">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授权代表(签字)</w:t>
      </w:r>
      <w:r>
        <w:rPr>
          <w:rFonts w:ascii="仿宋" w:hAnsi="仿宋" w:eastAsia="仿宋"/>
          <w:color w:val="auto"/>
          <w:sz w:val="24"/>
          <w:szCs w:val="24"/>
          <w:highlight w:val="none"/>
        </w:rPr>
        <w:t>:</w:t>
      </w:r>
    </w:p>
    <w:p w14:paraId="6E39FC2A">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日期：</w:t>
      </w:r>
    </w:p>
    <w:p w14:paraId="3FD6CA50">
      <w:pPr>
        <w:spacing w:line="36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注意：</w:t>
      </w:r>
    </w:p>
    <w:p w14:paraId="3E0FE720">
      <w:pPr>
        <w:spacing w:line="360" w:lineRule="auto"/>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开标一览表除了装订在投标文件中以外，还需要提供单独密封的开标一览表一式两份（两份密封在一个信封中）。单独密封的开标一览表仅是为方便唱标所用，如未提交，不构成投标文件的完整性偏离。</w:t>
      </w:r>
    </w:p>
    <w:p w14:paraId="28CDA444">
      <w:pPr>
        <w:pStyle w:val="96"/>
        <w:numPr>
          <w:ilvl w:val="0"/>
          <w:numId w:val="5"/>
        </w:numPr>
        <w:tabs>
          <w:tab w:val="left" w:pos="360"/>
          <w:tab w:val="left" w:pos="720"/>
        </w:tabs>
        <w:spacing w:line="360" w:lineRule="auto"/>
        <w:ind w:left="720" w:firstLineChars="0"/>
        <w:rPr>
          <w:rFonts w:ascii="仿宋" w:hAnsi="仿宋" w:eastAsia="仿宋"/>
          <w:b/>
          <w:bCs/>
          <w:color w:val="auto"/>
          <w:sz w:val="24"/>
          <w:highlight w:val="none"/>
        </w:rPr>
        <w:sectPr>
          <w:footerReference r:id="rId5" w:type="first"/>
          <w:footerReference r:id="rId3" w:type="default"/>
          <w:footerReference r:id="rId4" w:type="even"/>
          <w:pgSz w:w="11906" w:h="16838"/>
          <w:pgMar w:top="1134" w:right="1134" w:bottom="1134" w:left="1134" w:header="851" w:footer="992" w:gutter="0"/>
          <w:pgNumType w:start="0"/>
          <w:cols w:space="720" w:num="1"/>
          <w:titlePg/>
          <w:docGrid w:type="lines" w:linePitch="312" w:charSpace="0"/>
        </w:sectPr>
      </w:pPr>
      <w:bookmarkStart w:id="281" w:name="_Toc418606929"/>
      <w:bookmarkStart w:id="282" w:name="_Toc513821686"/>
      <w:bookmarkStart w:id="283" w:name="_Toc499213025"/>
      <w:bookmarkStart w:id="284" w:name="_Toc493863249"/>
      <w:bookmarkStart w:id="285" w:name="_Toc420487923"/>
      <w:bookmarkStart w:id="286" w:name="_Toc420657418"/>
      <w:bookmarkStart w:id="287" w:name="_Toc289873239"/>
      <w:bookmarkStart w:id="288" w:name="_Toc496721285"/>
    </w:p>
    <w:p w14:paraId="0BF8AE1B">
      <w:pPr>
        <w:pStyle w:val="5"/>
        <w:tabs>
          <w:tab w:val="center" w:pos="7001"/>
        </w:tabs>
        <w:spacing w:line="360" w:lineRule="auto"/>
        <w:ind w:left="284"/>
        <w:jc w:val="left"/>
        <w:rPr>
          <w:rFonts w:ascii="仿宋" w:hAnsi="仿宋" w:eastAsia="仿宋"/>
          <w:color w:val="auto"/>
          <w:sz w:val="24"/>
          <w:szCs w:val="24"/>
          <w:highlight w:val="none"/>
        </w:rPr>
      </w:pPr>
      <w:bookmarkStart w:id="289" w:name="_Toc289873236"/>
      <w:bookmarkStart w:id="290" w:name="_Toc461008862"/>
      <w:bookmarkStart w:id="291" w:name="_Toc453856289"/>
      <w:bookmarkStart w:id="292" w:name="_Toc420487922"/>
      <w:bookmarkStart w:id="293" w:name="_Toc420657417"/>
      <w:bookmarkStart w:id="294" w:name="_Toc881"/>
      <w:bookmarkStart w:id="295" w:name="_Toc30150080"/>
      <w:r>
        <w:rPr>
          <w:rFonts w:hint="eastAsia" w:ascii="仿宋" w:hAnsi="仿宋" w:eastAsia="仿宋"/>
          <w:color w:val="auto"/>
          <w:sz w:val="24"/>
          <w:szCs w:val="24"/>
          <w:highlight w:val="none"/>
        </w:rPr>
        <w:t>3.报价明细表</w:t>
      </w:r>
      <w:bookmarkEnd w:id="289"/>
      <w:bookmarkEnd w:id="290"/>
      <w:bookmarkEnd w:id="291"/>
      <w:bookmarkEnd w:id="292"/>
      <w:bookmarkEnd w:id="293"/>
      <w:bookmarkEnd w:id="294"/>
      <w:bookmarkEnd w:id="295"/>
    </w:p>
    <w:p w14:paraId="0F2CCA8C">
      <w:pPr>
        <w:spacing w:line="360" w:lineRule="auto"/>
        <w:rPr>
          <w:rFonts w:ascii="仿宋" w:hAnsi="仿宋" w:eastAsia="仿宋"/>
          <w:b/>
          <w:bCs/>
          <w:color w:val="auto"/>
          <w:sz w:val="24"/>
          <w:highlight w:val="none"/>
        </w:rPr>
      </w:pPr>
      <w:r>
        <w:rPr>
          <w:rFonts w:hint="eastAsia" w:ascii="仿宋" w:hAnsi="仿宋" w:eastAsia="仿宋"/>
          <w:b/>
          <w:bCs/>
          <w:color w:val="auto"/>
          <w:sz w:val="24"/>
          <w:highlight w:val="none"/>
        </w:rPr>
        <w:t>（参考格式）</w:t>
      </w:r>
    </w:p>
    <w:p w14:paraId="501E6121">
      <w:pPr>
        <w:snapToGrid w:val="0"/>
        <w:spacing w:line="480" w:lineRule="exact"/>
        <w:ind w:firstLine="120" w:firstLineChars="5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项目编号:                                     </w:t>
      </w:r>
    </w:p>
    <w:tbl>
      <w:tblPr>
        <w:tblStyle w:val="4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
        <w:gridCol w:w="2270"/>
        <w:gridCol w:w="1945"/>
        <w:gridCol w:w="4705"/>
      </w:tblGrid>
      <w:tr w14:paraId="462F6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474" w:type="pct"/>
            <w:tcBorders>
              <w:top w:val="single" w:color="auto" w:sz="4" w:space="0"/>
              <w:left w:val="single" w:color="auto" w:sz="4" w:space="0"/>
              <w:bottom w:val="single" w:color="auto" w:sz="4" w:space="0"/>
              <w:right w:val="single" w:color="auto" w:sz="4" w:space="0"/>
            </w:tcBorders>
            <w:vAlign w:val="center"/>
          </w:tcPr>
          <w:p w14:paraId="5BBAF772">
            <w:pPr>
              <w:autoSpaceDE/>
              <w:autoSpaceDN/>
              <w:adjustRightInd/>
              <w:jc w:val="center"/>
              <w:rPr>
                <w:rFonts w:ascii="仿宋" w:hAnsi="仿宋" w:eastAsia="仿宋" w:cs="Courier New"/>
                <w:color w:val="auto"/>
                <w:kern w:val="2"/>
                <w:sz w:val="24"/>
                <w:szCs w:val="24"/>
                <w:highlight w:val="none"/>
              </w:rPr>
            </w:pPr>
            <w:r>
              <w:rPr>
                <w:rFonts w:hint="eastAsia" w:ascii="仿宋" w:hAnsi="仿宋" w:eastAsia="仿宋" w:cs="Courier New"/>
                <w:color w:val="auto"/>
                <w:kern w:val="2"/>
                <w:sz w:val="24"/>
                <w:szCs w:val="24"/>
                <w:highlight w:val="none"/>
              </w:rPr>
              <w:t>序号</w:t>
            </w:r>
          </w:p>
        </w:tc>
        <w:tc>
          <w:tcPr>
            <w:tcW w:w="1152" w:type="pct"/>
            <w:tcBorders>
              <w:top w:val="single" w:color="auto" w:sz="4" w:space="0"/>
              <w:left w:val="single" w:color="auto" w:sz="4" w:space="0"/>
              <w:bottom w:val="single" w:color="auto" w:sz="4" w:space="0"/>
              <w:right w:val="single" w:color="auto" w:sz="4" w:space="0"/>
            </w:tcBorders>
            <w:vAlign w:val="center"/>
          </w:tcPr>
          <w:p w14:paraId="1EFA2117">
            <w:pPr>
              <w:autoSpaceDE/>
              <w:autoSpaceDN/>
              <w:adjustRightInd/>
              <w:jc w:val="center"/>
              <w:rPr>
                <w:rFonts w:ascii="仿宋" w:hAnsi="仿宋" w:eastAsia="仿宋" w:cs="Courier New"/>
                <w:color w:val="auto"/>
                <w:kern w:val="2"/>
                <w:sz w:val="24"/>
                <w:szCs w:val="24"/>
                <w:highlight w:val="none"/>
              </w:rPr>
            </w:pPr>
            <w:r>
              <w:rPr>
                <w:rFonts w:hint="eastAsia" w:ascii="仿宋" w:hAnsi="仿宋" w:eastAsia="仿宋" w:cs="Courier New"/>
                <w:color w:val="auto"/>
                <w:kern w:val="2"/>
                <w:sz w:val="24"/>
                <w:szCs w:val="24"/>
                <w:highlight w:val="none"/>
              </w:rPr>
              <w:t>服务内容</w:t>
            </w:r>
          </w:p>
        </w:tc>
        <w:tc>
          <w:tcPr>
            <w:tcW w:w="987" w:type="pct"/>
            <w:tcBorders>
              <w:top w:val="single" w:color="auto" w:sz="4" w:space="0"/>
              <w:left w:val="single" w:color="auto" w:sz="4" w:space="0"/>
              <w:bottom w:val="single" w:color="auto" w:sz="4" w:space="0"/>
              <w:right w:val="single" w:color="auto" w:sz="4" w:space="0"/>
            </w:tcBorders>
            <w:vAlign w:val="center"/>
          </w:tcPr>
          <w:p w14:paraId="3F83AC45">
            <w:pPr>
              <w:autoSpaceDE/>
              <w:autoSpaceDN/>
              <w:adjustRightInd/>
              <w:jc w:val="center"/>
              <w:rPr>
                <w:rFonts w:ascii="仿宋" w:hAnsi="仿宋" w:eastAsia="仿宋" w:cs="Courier New"/>
                <w:color w:val="auto"/>
                <w:kern w:val="2"/>
                <w:sz w:val="24"/>
                <w:szCs w:val="24"/>
                <w:highlight w:val="none"/>
              </w:rPr>
            </w:pPr>
            <w:r>
              <w:rPr>
                <w:rFonts w:hint="eastAsia" w:ascii="仿宋" w:hAnsi="仿宋" w:eastAsia="仿宋" w:cs="Courier New"/>
                <w:color w:val="auto"/>
                <w:kern w:val="2"/>
                <w:sz w:val="24"/>
                <w:szCs w:val="24"/>
                <w:highlight w:val="none"/>
              </w:rPr>
              <w:t>报价</w:t>
            </w:r>
          </w:p>
        </w:tc>
        <w:tc>
          <w:tcPr>
            <w:tcW w:w="2387" w:type="pct"/>
            <w:tcBorders>
              <w:top w:val="single" w:color="auto" w:sz="4" w:space="0"/>
              <w:left w:val="single" w:color="auto" w:sz="4" w:space="0"/>
              <w:bottom w:val="single" w:color="auto" w:sz="4" w:space="0"/>
              <w:right w:val="single" w:color="auto" w:sz="4" w:space="0"/>
            </w:tcBorders>
            <w:vAlign w:val="center"/>
          </w:tcPr>
          <w:p w14:paraId="280E4179">
            <w:pPr>
              <w:autoSpaceDE/>
              <w:autoSpaceDN/>
              <w:adjustRightInd/>
              <w:jc w:val="center"/>
              <w:rPr>
                <w:rFonts w:ascii="仿宋" w:hAnsi="仿宋" w:eastAsia="仿宋" w:cs="Courier New"/>
                <w:color w:val="auto"/>
                <w:kern w:val="2"/>
                <w:sz w:val="24"/>
                <w:szCs w:val="24"/>
                <w:highlight w:val="none"/>
              </w:rPr>
            </w:pPr>
            <w:r>
              <w:rPr>
                <w:rFonts w:hint="eastAsia" w:ascii="仿宋" w:hAnsi="仿宋" w:eastAsia="仿宋" w:cs="Courier New"/>
                <w:color w:val="auto"/>
                <w:kern w:val="2"/>
                <w:sz w:val="24"/>
                <w:szCs w:val="24"/>
                <w:highlight w:val="none"/>
              </w:rPr>
              <w:t>最高限价</w:t>
            </w:r>
          </w:p>
        </w:tc>
      </w:tr>
      <w:tr w14:paraId="5BCD8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474" w:type="pct"/>
            <w:tcBorders>
              <w:top w:val="single" w:color="auto" w:sz="4" w:space="0"/>
              <w:left w:val="single" w:color="auto" w:sz="4" w:space="0"/>
              <w:bottom w:val="single" w:color="auto" w:sz="4" w:space="0"/>
              <w:right w:val="single" w:color="auto" w:sz="4" w:space="0"/>
            </w:tcBorders>
            <w:vAlign w:val="center"/>
          </w:tcPr>
          <w:p w14:paraId="003FF6A8">
            <w:pPr>
              <w:autoSpaceDE/>
              <w:autoSpaceDN/>
              <w:adjustRightInd/>
              <w:jc w:val="center"/>
              <w:rPr>
                <w:rFonts w:ascii="仿宋" w:hAnsi="仿宋" w:eastAsia="仿宋" w:cs="Courier New"/>
                <w:color w:val="auto"/>
                <w:kern w:val="2"/>
                <w:sz w:val="24"/>
                <w:szCs w:val="24"/>
                <w:highlight w:val="none"/>
              </w:rPr>
            </w:pPr>
            <w:r>
              <w:rPr>
                <w:rFonts w:ascii="仿宋" w:hAnsi="仿宋" w:eastAsia="仿宋" w:cs="Courier New"/>
                <w:color w:val="auto"/>
                <w:kern w:val="2"/>
                <w:sz w:val="24"/>
                <w:szCs w:val="24"/>
                <w:highlight w:val="none"/>
              </w:rPr>
              <w:t>1</w:t>
            </w:r>
          </w:p>
        </w:tc>
        <w:tc>
          <w:tcPr>
            <w:tcW w:w="1152" w:type="pct"/>
            <w:tcBorders>
              <w:top w:val="single" w:color="auto" w:sz="4" w:space="0"/>
              <w:left w:val="single" w:color="auto" w:sz="4" w:space="0"/>
              <w:bottom w:val="single" w:color="auto" w:sz="4" w:space="0"/>
              <w:right w:val="single" w:color="auto" w:sz="4" w:space="0"/>
            </w:tcBorders>
            <w:vAlign w:val="center"/>
          </w:tcPr>
          <w:p w14:paraId="53C9E527">
            <w:pPr>
              <w:textAlignment w:val="baseline"/>
              <w:rPr>
                <w:rFonts w:ascii="仿宋" w:hAnsi="仿宋" w:eastAsia="仿宋" w:cs="Courier New"/>
                <w:color w:val="auto"/>
                <w:kern w:val="2"/>
                <w:sz w:val="24"/>
                <w:szCs w:val="24"/>
                <w:highlight w:val="none"/>
              </w:rPr>
            </w:pPr>
          </w:p>
        </w:tc>
        <w:tc>
          <w:tcPr>
            <w:tcW w:w="987" w:type="pct"/>
            <w:tcBorders>
              <w:top w:val="single" w:color="auto" w:sz="4" w:space="0"/>
              <w:left w:val="single" w:color="auto" w:sz="4" w:space="0"/>
              <w:bottom w:val="single" w:color="auto" w:sz="4" w:space="0"/>
              <w:right w:val="single" w:color="auto" w:sz="4" w:space="0"/>
            </w:tcBorders>
            <w:vAlign w:val="center"/>
          </w:tcPr>
          <w:p w14:paraId="079C7F5C">
            <w:pPr>
              <w:autoSpaceDE/>
              <w:autoSpaceDN/>
              <w:adjustRightInd/>
              <w:jc w:val="center"/>
              <w:rPr>
                <w:rFonts w:ascii="仿宋" w:hAnsi="仿宋" w:eastAsia="仿宋" w:cs="Courier New"/>
                <w:color w:val="auto"/>
                <w:kern w:val="2"/>
                <w:sz w:val="24"/>
                <w:szCs w:val="24"/>
                <w:highlight w:val="none"/>
              </w:rPr>
            </w:pPr>
          </w:p>
        </w:tc>
        <w:tc>
          <w:tcPr>
            <w:tcW w:w="2387" w:type="pct"/>
            <w:tcBorders>
              <w:top w:val="single" w:color="auto" w:sz="4" w:space="0"/>
              <w:left w:val="single" w:color="auto" w:sz="4" w:space="0"/>
              <w:bottom w:val="single" w:color="auto" w:sz="4" w:space="0"/>
              <w:right w:val="single" w:color="auto" w:sz="4" w:space="0"/>
            </w:tcBorders>
            <w:vAlign w:val="center"/>
          </w:tcPr>
          <w:p w14:paraId="7D720BAE">
            <w:pPr>
              <w:autoSpaceDE/>
              <w:autoSpaceDN/>
              <w:adjustRightInd/>
              <w:jc w:val="center"/>
              <w:rPr>
                <w:rFonts w:ascii="仿宋" w:hAnsi="仿宋" w:eastAsia="仿宋" w:cs="Courier New"/>
                <w:color w:val="auto"/>
                <w:kern w:val="2"/>
                <w:sz w:val="24"/>
                <w:szCs w:val="24"/>
                <w:highlight w:val="none"/>
              </w:rPr>
            </w:pPr>
          </w:p>
        </w:tc>
      </w:tr>
      <w:tr w14:paraId="21F90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474" w:type="pct"/>
            <w:tcBorders>
              <w:top w:val="single" w:color="auto" w:sz="4" w:space="0"/>
              <w:left w:val="single" w:color="auto" w:sz="4" w:space="0"/>
              <w:bottom w:val="single" w:color="auto" w:sz="4" w:space="0"/>
              <w:right w:val="single" w:color="auto" w:sz="4" w:space="0"/>
            </w:tcBorders>
            <w:vAlign w:val="center"/>
          </w:tcPr>
          <w:p w14:paraId="5DDF4D24">
            <w:pPr>
              <w:autoSpaceDE/>
              <w:autoSpaceDN/>
              <w:adjustRightInd/>
              <w:jc w:val="center"/>
              <w:rPr>
                <w:rFonts w:ascii="仿宋" w:hAnsi="仿宋" w:eastAsia="仿宋" w:cs="Courier New"/>
                <w:color w:val="auto"/>
                <w:kern w:val="2"/>
                <w:sz w:val="24"/>
                <w:szCs w:val="24"/>
                <w:highlight w:val="none"/>
              </w:rPr>
            </w:pPr>
            <w:r>
              <w:rPr>
                <w:rFonts w:ascii="仿宋" w:hAnsi="仿宋" w:eastAsia="仿宋" w:cs="Courier New"/>
                <w:color w:val="auto"/>
                <w:kern w:val="2"/>
                <w:sz w:val="24"/>
                <w:szCs w:val="24"/>
                <w:highlight w:val="none"/>
              </w:rPr>
              <w:t>2</w:t>
            </w:r>
          </w:p>
        </w:tc>
        <w:tc>
          <w:tcPr>
            <w:tcW w:w="1152" w:type="pct"/>
            <w:tcBorders>
              <w:top w:val="single" w:color="auto" w:sz="4" w:space="0"/>
              <w:left w:val="single" w:color="auto" w:sz="4" w:space="0"/>
              <w:bottom w:val="single" w:color="auto" w:sz="4" w:space="0"/>
              <w:right w:val="single" w:color="auto" w:sz="4" w:space="0"/>
            </w:tcBorders>
            <w:vAlign w:val="center"/>
          </w:tcPr>
          <w:p w14:paraId="127328A3">
            <w:pPr>
              <w:autoSpaceDE/>
              <w:autoSpaceDN/>
              <w:adjustRightInd/>
              <w:jc w:val="center"/>
              <w:rPr>
                <w:rFonts w:ascii="仿宋" w:hAnsi="仿宋" w:eastAsia="仿宋" w:cs="Courier New"/>
                <w:color w:val="auto"/>
                <w:kern w:val="2"/>
                <w:sz w:val="24"/>
                <w:szCs w:val="24"/>
                <w:highlight w:val="none"/>
              </w:rPr>
            </w:pPr>
          </w:p>
        </w:tc>
        <w:tc>
          <w:tcPr>
            <w:tcW w:w="987" w:type="pct"/>
            <w:tcBorders>
              <w:top w:val="single" w:color="auto" w:sz="4" w:space="0"/>
              <w:left w:val="single" w:color="auto" w:sz="4" w:space="0"/>
              <w:bottom w:val="single" w:color="auto" w:sz="4" w:space="0"/>
              <w:right w:val="single" w:color="auto" w:sz="4" w:space="0"/>
            </w:tcBorders>
            <w:vAlign w:val="center"/>
          </w:tcPr>
          <w:p w14:paraId="2E8BFF77">
            <w:pPr>
              <w:autoSpaceDE/>
              <w:autoSpaceDN/>
              <w:adjustRightInd/>
              <w:jc w:val="center"/>
              <w:rPr>
                <w:rFonts w:ascii="仿宋" w:hAnsi="仿宋" w:eastAsia="仿宋" w:cs="Courier New"/>
                <w:color w:val="auto"/>
                <w:kern w:val="2"/>
                <w:sz w:val="24"/>
                <w:szCs w:val="24"/>
                <w:highlight w:val="none"/>
              </w:rPr>
            </w:pPr>
          </w:p>
        </w:tc>
        <w:tc>
          <w:tcPr>
            <w:tcW w:w="2387" w:type="pct"/>
            <w:tcBorders>
              <w:top w:val="single" w:color="auto" w:sz="4" w:space="0"/>
              <w:left w:val="single" w:color="auto" w:sz="4" w:space="0"/>
              <w:bottom w:val="single" w:color="auto" w:sz="4" w:space="0"/>
              <w:right w:val="single" w:color="auto" w:sz="4" w:space="0"/>
            </w:tcBorders>
            <w:vAlign w:val="center"/>
          </w:tcPr>
          <w:p w14:paraId="7CE750F2">
            <w:pPr>
              <w:autoSpaceDE/>
              <w:autoSpaceDN/>
              <w:adjustRightInd/>
              <w:jc w:val="center"/>
              <w:rPr>
                <w:rFonts w:ascii="仿宋" w:hAnsi="仿宋" w:eastAsia="仿宋" w:cs="Courier New"/>
                <w:color w:val="auto"/>
                <w:kern w:val="2"/>
                <w:sz w:val="24"/>
                <w:szCs w:val="24"/>
                <w:highlight w:val="none"/>
              </w:rPr>
            </w:pPr>
          </w:p>
        </w:tc>
      </w:tr>
      <w:tr w14:paraId="112ED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474" w:type="pct"/>
            <w:tcBorders>
              <w:top w:val="single" w:color="auto" w:sz="4" w:space="0"/>
              <w:left w:val="single" w:color="auto" w:sz="4" w:space="0"/>
              <w:bottom w:val="single" w:color="auto" w:sz="4" w:space="0"/>
              <w:right w:val="single" w:color="auto" w:sz="4" w:space="0"/>
            </w:tcBorders>
            <w:vAlign w:val="center"/>
          </w:tcPr>
          <w:p w14:paraId="74CDFC0C">
            <w:pPr>
              <w:autoSpaceDE/>
              <w:autoSpaceDN/>
              <w:adjustRightInd/>
              <w:jc w:val="center"/>
              <w:rPr>
                <w:rFonts w:ascii="仿宋" w:hAnsi="仿宋" w:eastAsia="仿宋" w:cs="Courier New"/>
                <w:color w:val="auto"/>
                <w:kern w:val="2"/>
                <w:sz w:val="24"/>
                <w:szCs w:val="24"/>
                <w:highlight w:val="none"/>
              </w:rPr>
            </w:pPr>
            <w:r>
              <w:rPr>
                <w:rFonts w:ascii="仿宋" w:hAnsi="仿宋" w:eastAsia="仿宋" w:cs="Courier New"/>
                <w:color w:val="auto"/>
                <w:kern w:val="2"/>
                <w:sz w:val="24"/>
                <w:szCs w:val="24"/>
                <w:highlight w:val="none"/>
              </w:rPr>
              <w:t>3</w:t>
            </w:r>
          </w:p>
        </w:tc>
        <w:tc>
          <w:tcPr>
            <w:tcW w:w="1152" w:type="pct"/>
            <w:tcBorders>
              <w:top w:val="single" w:color="auto" w:sz="4" w:space="0"/>
              <w:left w:val="single" w:color="auto" w:sz="4" w:space="0"/>
              <w:bottom w:val="single" w:color="auto" w:sz="4" w:space="0"/>
              <w:right w:val="single" w:color="auto" w:sz="4" w:space="0"/>
            </w:tcBorders>
            <w:vAlign w:val="center"/>
          </w:tcPr>
          <w:p w14:paraId="1486BAD6">
            <w:pPr>
              <w:autoSpaceDE/>
              <w:autoSpaceDN/>
              <w:adjustRightInd/>
              <w:jc w:val="center"/>
              <w:rPr>
                <w:rFonts w:ascii="仿宋" w:hAnsi="仿宋" w:eastAsia="仿宋" w:cs="Courier New"/>
                <w:color w:val="auto"/>
                <w:kern w:val="2"/>
                <w:sz w:val="24"/>
                <w:szCs w:val="24"/>
                <w:highlight w:val="none"/>
              </w:rPr>
            </w:pPr>
          </w:p>
        </w:tc>
        <w:tc>
          <w:tcPr>
            <w:tcW w:w="987" w:type="pct"/>
            <w:tcBorders>
              <w:top w:val="single" w:color="auto" w:sz="4" w:space="0"/>
              <w:left w:val="single" w:color="auto" w:sz="4" w:space="0"/>
              <w:bottom w:val="single" w:color="auto" w:sz="4" w:space="0"/>
              <w:right w:val="single" w:color="auto" w:sz="4" w:space="0"/>
            </w:tcBorders>
            <w:vAlign w:val="center"/>
          </w:tcPr>
          <w:p w14:paraId="4581EBF6">
            <w:pPr>
              <w:autoSpaceDE/>
              <w:autoSpaceDN/>
              <w:adjustRightInd/>
              <w:jc w:val="center"/>
              <w:rPr>
                <w:rFonts w:ascii="仿宋" w:hAnsi="仿宋" w:eastAsia="仿宋" w:cs="Courier New"/>
                <w:color w:val="auto"/>
                <w:kern w:val="2"/>
                <w:sz w:val="24"/>
                <w:szCs w:val="24"/>
                <w:highlight w:val="none"/>
              </w:rPr>
            </w:pPr>
          </w:p>
        </w:tc>
        <w:tc>
          <w:tcPr>
            <w:tcW w:w="2387" w:type="pct"/>
            <w:tcBorders>
              <w:top w:val="single" w:color="auto" w:sz="4" w:space="0"/>
              <w:left w:val="single" w:color="auto" w:sz="4" w:space="0"/>
              <w:bottom w:val="single" w:color="auto" w:sz="4" w:space="0"/>
              <w:right w:val="single" w:color="auto" w:sz="4" w:space="0"/>
            </w:tcBorders>
            <w:vAlign w:val="center"/>
          </w:tcPr>
          <w:p w14:paraId="471D70F6">
            <w:pPr>
              <w:autoSpaceDE/>
              <w:autoSpaceDN/>
              <w:adjustRightInd/>
              <w:jc w:val="center"/>
              <w:rPr>
                <w:rFonts w:ascii="仿宋" w:hAnsi="仿宋" w:eastAsia="仿宋" w:cs="Courier New"/>
                <w:color w:val="auto"/>
                <w:kern w:val="2"/>
                <w:sz w:val="24"/>
                <w:szCs w:val="24"/>
                <w:highlight w:val="none"/>
              </w:rPr>
            </w:pPr>
          </w:p>
        </w:tc>
      </w:tr>
      <w:tr w14:paraId="4D5C1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474" w:type="pct"/>
            <w:tcBorders>
              <w:top w:val="single" w:color="auto" w:sz="4" w:space="0"/>
              <w:left w:val="single" w:color="auto" w:sz="4" w:space="0"/>
              <w:bottom w:val="single" w:color="auto" w:sz="4" w:space="0"/>
              <w:right w:val="single" w:color="auto" w:sz="4" w:space="0"/>
            </w:tcBorders>
            <w:vAlign w:val="center"/>
          </w:tcPr>
          <w:p w14:paraId="2CAFC3FC">
            <w:pPr>
              <w:autoSpaceDE/>
              <w:autoSpaceDN/>
              <w:adjustRightInd/>
              <w:jc w:val="center"/>
              <w:rPr>
                <w:rFonts w:ascii="仿宋" w:hAnsi="仿宋" w:eastAsia="仿宋" w:cs="Courier New"/>
                <w:color w:val="auto"/>
                <w:kern w:val="2"/>
                <w:sz w:val="24"/>
                <w:szCs w:val="24"/>
                <w:highlight w:val="none"/>
              </w:rPr>
            </w:pPr>
            <w:r>
              <w:rPr>
                <w:rFonts w:ascii="仿宋" w:hAnsi="仿宋" w:eastAsia="仿宋" w:cs="Courier New"/>
                <w:color w:val="auto"/>
                <w:kern w:val="2"/>
                <w:sz w:val="24"/>
                <w:szCs w:val="24"/>
                <w:highlight w:val="none"/>
              </w:rPr>
              <w:t>4</w:t>
            </w:r>
          </w:p>
        </w:tc>
        <w:tc>
          <w:tcPr>
            <w:tcW w:w="1152" w:type="pct"/>
            <w:tcBorders>
              <w:top w:val="single" w:color="auto" w:sz="4" w:space="0"/>
              <w:left w:val="single" w:color="auto" w:sz="4" w:space="0"/>
              <w:bottom w:val="single" w:color="auto" w:sz="4" w:space="0"/>
              <w:right w:val="single" w:color="auto" w:sz="4" w:space="0"/>
            </w:tcBorders>
            <w:vAlign w:val="center"/>
          </w:tcPr>
          <w:p w14:paraId="6226C920">
            <w:pPr>
              <w:autoSpaceDE/>
              <w:autoSpaceDN/>
              <w:adjustRightInd/>
              <w:jc w:val="center"/>
              <w:rPr>
                <w:rFonts w:ascii="仿宋" w:hAnsi="仿宋" w:eastAsia="仿宋" w:cs="Courier New"/>
                <w:color w:val="auto"/>
                <w:kern w:val="2"/>
                <w:sz w:val="24"/>
                <w:szCs w:val="24"/>
                <w:highlight w:val="none"/>
              </w:rPr>
            </w:pPr>
          </w:p>
        </w:tc>
        <w:tc>
          <w:tcPr>
            <w:tcW w:w="987" w:type="pct"/>
            <w:tcBorders>
              <w:top w:val="single" w:color="auto" w:sz="4" w:space="0"/>
              <w:left w:val="single" w:color="auto" w:sz="4" w:space="0"/>
              <w:bottom w:val="single" w:color="auto" w:sz="4" w:space="0"/>
              <w:right w:val="single" w:color="auto" w:sz="4" w:space="0"/>
            </w:tcBorders>
            <w:vAlign w:val="center"/>
          </w:tcPr>
          <w:p w14:paraId="2822FF43">
            <w:pPr>
              <w:autoSpaceDE/>
              <w:autoSpaceDN/>
              <w:adjustRightInd/>
              <w:jc w:val="center"/>
              <w:rPr>
                <w:rFonts w:ascii="仿宋" w:hAnsi="仿宋" w:eastAsia="仿宋" w:cs="Courier New"/>
                <w:color w:val="auto"/>
                <w:kern w:val="2"/>
                <w:sz w:val="24"/>
                <w:szCs w:val="24"/>
                <w:highlight w:val="none"/>
              </w:rPr>
            </w:pPr>
          </w:p>
        </w:tc>
        <w:tc>
          <w:tcPr>
            <w:tcW w:w="2387" w:type="pct"/>
            <w:tcBorders>
              <w:top w:val="single" w:color="auto" w:sz="4" w:space="0"/>
              <w:left w:val="single" w:color="auto" w:sz="4" w:space="0"/>
              <w:bottom w:val="single" w:color="auto" w:sz="4" w:space="0"/>
              <w:right w:val="single" w:color="auto" w:sz="4" w:space="0"/>
            </w:tcBorders>
            <w:vAlign w:val="center"/>
          </w:tcPr>
          <w:p w14:paraId="449426EA">
            <w:pPr>
              <w:autoSpaceDE/>
              <w:autoSpaceDN/>
              <w:adjustRightInd/>
              <w:jc w:val="center"/>
              <w:rPr>
                <w:rFonts w:ascii="仿宋" w:hAnsi="仿宋" w:eastAsia="仿宋" w:cs="Courier New"/>
                <w:color w:val="auto"/>
                <w:kern w:val="2"/>
                <w:sz w:val="24"/>
                <w:szCs w:val="24"/>
                <w:highlight w:val="none"/>
              </w:rPr>
            </w:pPr>
          </w:p>
        </w:tc>
      </w:tr>
      <w:tr w14:paraId="693D0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474" w:type="pct"/>
            <w:tcBorders>
              <w:top w:val="single" w:color="auto" w:sz="4" w:space="0"/>
              <w:left w:val="single" w:color="auto" w:sz="4" w:space="0"/>
              <w:bottom w:val="single" w:color="auto" w:sz="4" w:space="0"/>
              <w:right w:val="single" w:color="auto" w:sz="4" w:space="0"/>
            </w:tcBorders>
            <w:vAlign w:val="center"/>
          </w:tcPr>
          <w:p w14:paraId="6E3AAAAD">
            <w:pPr>
              <w:autoSpaceDE/>
              <w:autoSpaceDN/>
              <w:adjustRightInd/>
              <w:jc w:val="center"/>
              <w:rPr>
                <w:rFonts w:ascii="仿宋" w:hAnsi="仿宋" w:eastAsia="仿宋" w:cs="Courier New"/>
                <w:color w:val="auto"/>
                <w:kern w:val="2"/>
                <w:sz w:val="24"/>
                <w:szCs w:val="24"/>
                <w:highlight w:val="none"/>
              </w:rPr>
            </w:pPr>
            <w:r>
              <w:rPr>
                <w:rFonts w:ascii="仿宋" w:hAnsi="仿宋" w:eastAsia="仿宋" w:cs="Courier New"/>
                <w:color w:val="auto"/>
                <w:kern w:val="2"/>
                <w:sz w:val="24"/>
                <w:szCs w:val="24"/>
                <w:highlight w:val="none"/>
              </w:rPr>
              <w:t>5</w:t>
            </w:r>
          </w:p>
        </w:tc>
        <w:tc>
          <w:tcPr>
            <w:tcW w:w="1152" w:type="pct"/>
            <w:tcBorders>
              <w:top w:val="single" w:color="auto" w:sz="4" w:space="0"/>
              <w:left w:val="single" w:color="auto" w:sz="4" w:space="0"/>
              <w:bottom w:val="single" w:color="auto" w:sz="4" w:space="0"/>
              <w:right w:val="single" w:color="auto" w:sz="4" w:space="0"/>
            </w:tcBorders>
            <w:vAlign w:val="center"/>
          </w:tcPr>
          <w:p w14:paraId="459789A3">
            <w:pPr>
              <w:autoSpaceDE/>
              <w:autoSpaceDN/>
              <w:adjustRightInd/>
              <w:jc w:val="center"/>
              <w:rPr>
                <w:rFonts w:ascii="仿宋" w:hAnsi="仿宋" w:eastAsia="仿宋" w:cs="Courier New"/>
                <w:color w:val="auto"/>
                <w:kern w:val="2"/>
                <w:sz w:val="24"/>
                <w:szCs w:val="24"/>
                <w:highlight w:val="none"/>
              </w:rPr>
            </w:pPr>
          </w:p>
        </w:tc>
        <w:tc>
          <w:tcPr>
            <w:tcW w:w="987" w:type="pct"/>
            <w:tcBorders>
              <w:top w:val="single" w:color="auto" w:sz="4" w:space="0"/>
              <w:left w:val="single" w:color="auto" w:sz="4" w:space="0"/>
              <w:bottom w:val="single" w:color="auto" w:sz="4" w:space="0"/>
              <w:right w:val="single" w:color="auto" w:sz="4" w:space="0"/>
            </w:tcBorders>
            <w:vAlign w:val="center"/>
          </w:tcPr>
          <w:p w14:paraId="79AD0293">
            <w:pPr>
              <w:autoSpaceDE/>
              <w:autoSpaceDN/>
              <w:adjustRightInd/>
              <w:jc w:val="center"/>
              <w:rPr>
                <w:rFonts w:ascii="仿宋" w:hAnsi="仿宋" w:eastAsia="仿宋" w:cs="Courier New"/>
                <w:color w:val="auto"/>
                <w:kern w:val="2"/>
                <w:sz w:val="24"/>
                <w:szCs w:val="24"/>
                <w:highlight w:val="none"/>
              </w:rPr>
            </w:pPr>
          </w:p>
        </w:tc>
        <w:tc>
          <w:tcPr>
            <w:tcW w:w="2387" w:type="pct"/>
            <w:tcBorders>
              <w:top w:val="single" w:color="auto" w:sz="4" w:space="0"/>
              <w:left w:val="single" w:color="auto" w:sz="4" w:space="0"/>
              <w:bottom w:val="single" w:color="auto" w:sz="4" w:space="0"/>
              <w:right w:val="single" w:color="auto" w:sz="4" w:space="0"/>
            </w:tcBorders>
            <w:vAlign w:val="center"/>
          </w:tcPr>
          <w:p w14:paraId="3EAE3E0F">
            <w:pPr>
              <w:autoSpaceDE/>
              <w:autoSpaceDN/>
              <w:adjustRightInd/>
              <w:jc w:val="center"/>
              <w:rPr>
                <w:rFonts w:ascii="仿宋" w:hAnsi="仿宋" w:eastAsia="仿宋" w:cs="Courier New"/>
                <w:color w:val="auto"/>
                <w:kern w:val="2"/>
                <w:sz w:val="24"/>
                <w:szCs w:val="24"/>
                <w:highlight w:val="none"/>
              </w:rPr>
            </w:pPr>
          </w:p>
        </w:tc>
      </w:tr>
      <w:tr w14:paraId="74A6B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474" w:type="pct"/>
            <w:tcBorders>
              <w:top w:val="single" w:color="auto" w:sz="4" w:space="0"/>
              <w:left w:val="single" w:color="auto" w:sz="4" w:space="0"/>
              <w:bottom w:val="single" w:color="auto" w:sz="4" w:space="0"/>
              <w:right w:val="single" w:color="auto" w:sz="4" w:space="0"/>
            </w:tcBorders>
            <w:vAlign w:val="center"/>
          </w:tcPr>
          <w:p w14:paraId="6B76B005">
            <w:pPr>
              <w:autoSpaceDE/>
              <w:autoSpaceDN/>
              <w:adjustRightInd/>
              <w:jc w:val="center"/>
              <w:rPr>
                <w:rFonts w:ascii="仿宋" w:hAnsi="仿宋" w:eastAsia="仿宋" w:cs="Courier New"/>
                <w:color w:val="auto"/>
                <w:kern w:val="2"/>
                <w:sz w:val="24"/>
                <w:szCs w:val="24"/>
                <w:highlight w:val="none"/>
              </w:rPr>
            </w:pPr>
            <w:r>
              <w:rPr>
                <w:rFonts w:ascii="仿宋" w:hAnsi="仿宋" w:eastAsia="仿宋" w:cs="Courier New"/>
                <w:color w:val="auto"/>
                <w:kern w:val="2"/>
                <w:sz w:val="24"/>
                <w:szCs w:val="24"/>
                <w:highlight w:val="none"/>
              </w:rPr>
              <w:t>6</w:t>
            </w:r>
          </w:p>
        </w:tc>
        <w:tc>
          <w:tcPr>
            <w:tcW w:w="1152" w:type="pct"/>
            <w:tcBorders>
              <w:top w:val="single" w:color="auto" w:sz="4" w:space="0"/>
              <w:left w:val="single" w:color="auto" w:sz="4" w:space="0"/>
              <w:bottom w:val="single" w:color="auto" w:sz="4" w:space="0"/>
              <w:right w:val="single" w:color="auto" w:sz="4" w:space="0"/>
            </w:tcBorders>
            <w:vAlign w:val="center"/>
          </w:tcPr>
          <w:p w14:paraId="02E0EA78">
            <w:pPr>
              <w:autoSpaceDE/>
              <w:autoSpaceDN/>
              <w:adjustRightInd/>
              <w:jc w:val="center"/>
              <w:rPr>
                <w:rFonts w:ascii="仿宋" w:hAnsi="仿宋" w:eastAsia="仿宋" w:cs="Courier New"/>
                <w:color w:val="auto"/>
                <w:kern w:val="2"/>
                <w:sz w:val="24"/>
                <w:szCs w:val="24"/>
                <w:highlight w:val="none"/>
              </w:rPr>
            </w:pPr>
          </w:p>
        </w:tc>
        <w:tc>
          <w:tcPr>
            <w:tcW w:w="987" w:type="pct"/>
            <w:tcBorders>
              <w:top w:val="single" w:color="auto" w:sz="4" w:space="0"/>
              <w:left w:val="single" w:color="auto" w:sz="4" w:space="0"/>
              <w:bottom w:val="single" w:color="auto" w:sz="4" w:space="0"/>
              <w:right w:val="single" w:color="auto" w:sz="4" w:space="0"/>
            </w:tcBorders>
            <w:vAlign w:val="center"/>
          </w:tcPr>
          <w:p w14:paraId="1BCA7F01">
            <w:pPr>
              <w:autoSpaceDE/>
              <w:autoSpaceDN/>
              <w:adjustRightInd/>
              <w:jc w:val="center"/>
              <w:rPr>
                <w:rFonts w:ascii="仿宋" w:hAnsi="仿宋" w:eastAsia="仿宋" w:cs="Courier New"/>
                <w:color w:val="auto"/>
                <w:kern w:val="2"/>
                <w:sz w:val="24"/>
                <w:szCs w:val="24"/>
                <w:highlight w:val="none"/>
              </w:rPr>
            </w:pPr>
          </w:p>
        </w:tc>
        <w:tc>
          <w:tcPr>
            <w:tcW w:w="2387" w:type="pct"/>
            <w:tcBorders>
              <w:top w:val="single" w:color="auto" w:sz="4" w:space="0"/>
              <w:left w:val="single" w:color="auto" w:sz="4" w:space="0"/>
              <w:bottom w:val="single" w:color="auto" w:sz="4" w:space="0"/>
              <w:right w:val="single" w:color="auto" w:sz="4" w:space="0"/>
            </w:tcBorders>
            <w:vAlign w:val="center"/>
          </w:tcPr>
          <w:p w14:paraId="4EF6B1EC">
            <w:pPr>
              <w:autoSpaceDE/>
              <w:autoSpaceDN/>
              <w:adjustRightInd/>
              <w:jc w:val="center"/>
              <w:rPr>
                <w:rFonts w:ascii="仿宋" w:hAnsi="仿宋" w:eastAsia="仿宋" w:cs="Courier New"/>
                <w:color w:val="auto"/>
                <w:kern w:val="2"/>
                <w:sz w:val="24"/>
                <w:szCs w:val="24"/>
                <w:highlight w:val="none"/>
              </w:rPr>
            </w:pPr>
          </w:p>
        </w:tc>
      </w:tr>
      <w:tr w14:paraId="51FF3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474" w:type="pct"/>
            <w:tcBorders>
              <w:top w:val="single" w:color="auto" w:sz="4" w:space="0"/>
              <w:left w:val="single" w:color="auto" w:sz="4" w:space="0"/>
              <w:bottom w:val="single" w:color="auto" w:sz="4" w:space="0"/>
              <w:right w:val="single" w:color="auto" w:sz="4" w:space="0"/>
            </w:tcBorders>
            <w:vAlign w:val="center"/>
          </w:tcPr>
          <w:p w14:paraId="54304A9E">
            <w:pPr>
              <w:autoSpaceDE/>
              <w:autoSpaceDN/>
              <w:adjustRightInd/>
              <w:jc w:val="center"/>
              <w:rPr>
                <w:rFonts w:ascii="仿宋" w:hAnsi="仿宋" w:eastAsia="仿宋" w:cs="Courier New"/>
                <w:color w:val="auto"/>
                <w:kern w:val="2"/>
                <w:sz w:val="24"/>
                <w:szCs w:val="24"/>
                <w:highlight w:val="none"/>
              </w:rPr>
            </w:pPr>
            <w:r>
              <w:rPr>
                <w:rFonts w:ascii="仿宋" w:hAnsi="仿宋" w:eastAsia="仿宋" w:cs="Courier New"/>
                <w:color w:val="auto"/>
                <w:kern w:val="2"/>
                <w:sz w:val="24"/>
                <w:szCs w:val="24"/>
                <w:highlight w:val="none"/>
              </w:rPr>
              <w:t>7</w:t>
            </w:r>
          </w:p>
        </w:tc>
        <w:tc>
          <w:tcPr>
            <w:tcW w:w="1152" w:type="pct"/>
            <w:tcBorders>
              <w:top w:val="single" w:color="auto" w:sz="4" w:space="0"/>
              <w:left w:val="single" w:color="auto" w:sz="4" w:space="0"/>
              <w:bottom w:val="single" w:color="auto" w:sz="4" w:space="0"/>
              <w:right w:val="single" w:color="auto" w:sz="4" w:space="0"/>
            </w:tcBorders>
            <w:vAlign w:val="center"/>
          </w:tcPr>
          <w:p w14:paraId="0ABA032A">
            <w:pPr>
              <w:autoSpaceDE/>
              <w:autoSpaceDN/>
              <w:adjustRightInd/>
              <w:jc w:val="center"/>
              <w:rPr>
                <w:rFonts w:ascii="仿宋" w:hAnsi="仿宋" w:eastAsia="仿宋" w:cs="Courier New"/>
                <w:color w:val="auto"/>
                <w:kern w:val="2"/>
                <w:sz w:val="24"/>
                <w:szCs w:val="24"/>
                <w:highlight w:val="none"/>
              </w:rPr>
            </w:pPr>
          </w:p>
        </w:tc>
        <w:tc>
          <w:tcPr>
            <w:tcW w:w="987" w:type="pct"/>
            <w:tcBorders>
              <w:top w:val="single" w:color="auto" w:sz="4" w:space="0"/>
              <w:left w:val="single" w:color="auto" w:sz="4" w:space="0"/>
              <w:bottom w:val="single" w:color="auto" w:sz="4" w:space="0"/>
              <w:right w:val="single" w:color="auto" w:sz="4" w:space="0"/>
            </w:tcBorders>
            <w:vAlign w:val="center"/>
          </w:tcPr>
          <w:p w14:paraId="1D7F78DC">
            <w:pPr>
              <w:autoSpaceDE/>
              <w:autoSpaceDN/>
              <w:adjustRightInd/>
              <w:jc w:val="center"/>
              <w:rPr>
                <w:rFonts w:ascii="仿宋" w:hAnsi="仿宋" w:eastAsia="仿宋" w:cs="Courier New"/>
                <w:color w:val="auto"/>
                <w:kern w:val="2"/>
                <w:sz w:val="24"/>
                <w:szCs w:val="24"/>
                <w:highlight w:val="none"/>
              </w:rPr>
            </w:pPr>
          </w:p>
        </w:tc>
        <w:tc>
          <w:tcPr>
            <w:tcW w:w="2387" w:type="pct"/>
            <w:tcBorders>
              <w:top w:val="single" w:color="auto" w:sz="4" w:space="0"/>
              <w:left w:val="single" w:color="auto" w:sz="4" w:space="0"/>
              <w:bottom w:val="single" w:color="auto" w:sz="4" w:space="0"/>
              <w:right w:val="single" w:color="auto" w:sz="4" w:space="0"/>
            </w:tcBorders>
            <w:vAlign w:val="center"/>
          </w:tcPr>
          <w:p w14:paraId="73896BBA">
            <w:pPr>
              <w:autoSpaceDE/>
              <w:autoSpaceDN/>
              <w:adjustRightInd/>
              <w:jc w:val="center"/>
              <w:rPr>
                <w:rFonts w:ascii="仿宋" w:hAnsi="仿宋" w:eastAsia="仿宋" w:cs="Courier New"/>
                <w:color w:val="auto"/>
                <w:kern w:val="2"/>
                <w:sz w:val="24"/>
                <w:szCs w:val="24"/>
                <w:highlight w:val="none"/>
              </w:rPr>
            </w:pPr>
          </w:p>
        </w:tc>
      </w:tr>
      <w:tr w14:paraId="78699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474" w:type="pct"/>
            <w:tcBorders>
              <w:top w:val="single" w:color="auto" w:sz="4" w:space="0"/>
              <w:left w:val="single" w:color="auto" w:sz="4" w:space="0"/>
              <w:bottom w:val="single" w:color="auto" w:sz="4" w:space="0"/>
              <w:right w:val="single" w:color="auto" w:sz="4" w:space="0"/>
            </w:tcBorders>
            <w:vAlign w:val="center"/>
          </w:tcPr>
          <w:p w14:paraId="3C56EE46">
            <w:pPr>
              <w:autoSpaceDE/>
              <w:autoSpaceDN/>
              <w:adjustRightInd/>
              <w:jc w:val="center"/>
              <w:rPr>
                <w:rFonts w:ascii="仿宋" w:hAnsi="仿宋" w:eastAsia="仿宋" w:cs="Courier New"/>
                <w:color w:val="auto"/>
                <w:kern w:val="2"/>
                <w:sz w:val="24"/>
                <w:szCs w:val="24"/>
                <w:highlight w:val="none"/>
              </w:rPr>
            </w:pPr>
            <w:r>
              <w:rPr>
                <w:rFonts w:ascii="仿宋" w:hAnsi="仿宋" w:eastAsia="仿宋" w:cs="Courier New"/>
                <w:color w:val="auto"/>
                <w:kern w:val="2"/>
                <w:sz w:val="24"/>
                <w:szCs w:val="24"/>
                <w:highlight w:val="none"/>
              </w:rPr>
              <w:t>8</w:t>
            </w:r>
          </w:p>
        </w:tc>
        <w:tc>
          <w:tcPr>
            <w:tcW w:w="1152" w:type="pct"/>
            <w:tcBorders>
              <w:top w:val="single" w:color="auto" w:sz="4" w:space="0"/>
              <w:left w:val="single" w:color="auto" w:sz="4" w:space="0"/>
              <w:bottom w:val="single" w:color="auto" w:sz="4" w:space="0"/>
              <w:right w:val="single" w:color="auto" w:sz="4" w:space="0"/>
            </w:tcBorders>
            <w:vAlign w:val="center"/>
          </w:tcPr>
          <w:p w14:paraId="6FC45195">
            <w:pPr>
              <w:autoSpaceDE/>
              <w:autoSpaceDN/>
              <w:adjustRightInd/>
              <w:jc w:val="center"/>
              <w:rPr>
                <w:rFonts w:ascii="仿宋" w:hAnsi="仿宋" w:eastAsia="仿宋" w:cs="Courier New"/>
                <w:color w:val="auto"/>
                <w:kern w:val="2"/>
                <w:sz w:val="24"/>
                <w:szCs w:val="24"/>
                <w:highlight w:val="none"/>
              </w:rPr>
            </w:pPr>
          </w:p>
        </w:tc>
        <w:tc>
          <w:tcPr>
            <w:tcW w:w="987" w:type="pct"/>
            <w:tcBorders>
              <w:top w:val="single" w:color="auto" w:sz="4" w:space="0"/>
              <w:left w:val="single" w:color="auto" w:sz="4" w:space="0"/>
              <w:bottom w:val="single" w:color="auto" w:sz="4" w:space="0"/>
              <w:right w:val="single" w:color="auto" w:sz="4" w:space="0"/>
            </w:tcBorders>
            <w:vAlign w:val="center"/>
          </w:tcPr>
          <w:p w14:paraId="12735180">
            <w:pPr>
              <w:autoSpaceDE/>
              <w:autoSpaceDN/>
              <w:adjustRightInd/>
              <w:jc w:val="center"/>
              <w:rPr>
                <w:rFonts w:ascii="仿宋" w:hAnsi="仿宋" w:eastAsia="仿宋" w:cs="Courier New"/>
                <w:color w:val="auto"/>
                <w:kern w:val="2"/>
                <w:sz w:val="24"/>
                <w:szCs w:val="24"/>
                <w:highlight w:val="none"/>
              </w:rPr>
            </w:pPr>
          </w:p>
        </w:tc>
        <w:tc>
          <w:tcPr>
            <w:tcW w:w="2387" w:type="pct"/>
            <w:tcBorders>
              <w:top w:val="single" w:color="auto" w:sz="4" w:space="0"/>
              <w:left w:val="single" w:color="auto" w:sz="4" w:space="0"/>
              <w:bottom w:val="single" w:color="auto" w:sz="4" w:space="0"/>
              <w:right w:val="single" w:color="auto" w:sz="4" w:space="0"/>
            </w:tcBorders>
            <w:vAlign w:val="center"/>
          </w:tcPr>
          <w:p w14:paraId="68342E8F">
            <w:pPr>
              <w:autoSpaceDE/>
              <w:autoSpaceDN/>
              <w:adjustRightInd/>
              <w:jc w:val="center"/>
              <w:rPr>
                <w:rFonts w:ascii="仿宋" w:hAnsi="仿宋" w:eastAsia="仿宋" w:cs="MingLiU_HKSCS"/>
                <w:color w:val="auto"/>
                <w:kern w:val="2"/>
                <w:sz w:val="24"/>
                <w:szCs w:val="24"/>
                <w:highlight w:val="none"/>
              </w:rPr>
            </w:pPr>
          </w:p>
        </w:tc>
      </w:tr>
      <w:tr w14:paraId="40AEC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1626" w:type="pct"/>
            <w:gridSpan w:val="2"/>
            <w:tcBorders>
              <w:top w:val="single" w:color="auto" w:sz="4" w:space="0"/>
              <w:left w:val="single" w:color="auto" w:sz="4" w:space="0"/>
              <w:bottom w:val="single" w:color="auto" w:sz="4" w:space="0"/>
              <w:right w:val="single" w:color="auto" w:sz="4" w:space="0"/>
            </w:tcBorders>
            <w:vAlign w:val="center"/>
          </w:tcPr>
          <w:p w14:paraId="7E65037B">
            <w:pPr>
              <w:autoSpaceDE/>
              <w:autoSpaceDN/>
              <w:adjustRightInd/>
              <w:jc w:val="center"/>
              <w:rPr>
                <w:rFonts w:ascii="仿宋" w:hAnsi="仿宋" w:eastAsia="仿宋" w:cs="Courier New"/>
                <w:color w:val="auto"/>
                <w:kern w:val="2"/>
                <w:sz w:val="24"/>
                <w:szCs w:val="24"/>
                <w:highlight w:val="none"/>
              </w:rPr>
            </w:pPr>
            <w:r>
              <w:rPr>
                <w:rFonts w:hint="eastAsia" w:ascii="仿宋" w:hAnsi="仿宋" w:eastAsia="仿宋"/>
                <w:b/>
                <w:bCs/>
                <w:color w:val="auto"/>
                <w:kern w:val="2"/>
                <w:sz w:val="24"/>
                <w:szCs w:val="24"/>
                <w:highlight w:val="none"/>
              </w:rPr>
              <w:t>投标报价总计</w:t>
            </w:r>
          </w:p>
        </w:tc>
        <w:tc>
          <w:tcPr>
            <w:tcW w:w="3374" w:type="pct"/>
            <w:gridSpan w:val="2"/>
            <w:tcBorders>
              <w:top w:val="single" w:color="auto" w:sz="4" w:space="0"/>
              <w:left w:val="single" w:color="auto" w:sz="4" w:space="0"/>
              <w:bottom w:val="single" w:color="auto" w:sz="4" w:space="0"/>
              <w:right w:val="single" w:color="auto" w:sz="4" w:space="0"/>
            </w:tcBorders>
            <w:vAlign w:val="center"/>
          </w:tcPr>
          <w:p w14:paraId="221A5E83">
            <w:pPr>
              <w:autoSpaceDE/>
              <w:autoSpaceDN/>
              <w:adjustRightInd/>
              <w:rPr>
                <w:rFonts w:ascii="仿宋" w:hAnsi="仿宋" w:eastAsia="仿宋" w:cs="Courier New"/>
                <w:color w:val="auto"/>
                <w:kern w:val="2"/>
                <w:sz w:val="24"/>
                <w:szCs w:val="24"/>
                <w:highlight w:val="none"/>
              </w:rPr>
            </w:pPr>
            <w:r>
              <w:rPr>
                <w:rFonts w:hint="eastAsia" w:ascii="仿宋" w:hAnsi="仿宋" w:eastAsia="仿宋" w:cs="Courier New"/>
                <w:color w:val="auto"/>
                <w:kern w:val="2"/>
                <w:sz w:val="24"/>
                <w:szCs w:val="24"/>
                <w:highlight w:val="none"/>
              </w:rPr>
              <w:t>大写：人民币</w:t>
            </w:r>
            <w:r>
              <w:rPr>
                <w:rFonts w:ascii="仿宋" w:hAnsi="仿宋" w:eastAsia="仿宋" w:cs="Courier New"/>
                <w:color w:val="auto"/>
                <w:kern w:val="2"/>
                <w:sz w:val="24"/>
                <w:szCs w:val="24"/>
                <w:highlight w:val="none"/>
              </w:rPr>
              <w:t>____________________</w:t>
            </w:r>
            <w:r>
              <w:rPr>
                <w:rFonts w:hint="eastAsia" w:ascii="仿宋" w:hAnsi="仿宋" w:eastAsia="仿宋" w:cs="Courier New"/>
                <w:color w:val="auto"/>
                <w:kern w:val="2"/>
                <w:sz w:val="24"/>
                <w:szCs w:val="24"/>
                <w:highlight w:val="none"/>
              </w:rPr>
              <w:t>元</w:t>
            </w:r>
          </w:p>
          <w:p w14:paraId="63D89992">
            <w:pPr>
              <w:autoSpaceDE/>
              <w:autoSpaceDN/>
              <w:adjustRightInd/>
              <w:rPr>
                <w:rFonts w:ascii="仿宋" w:hAnsi="仿宋" w:eastAsia="仿宋" w:cs="Courier New"/>
                <w:color w:val="auto"/>
                <w:kern w:val="2"/>
                <w:sz w:val="24"/>
                <w:szCs w:val="24"/>
                <w:highlight w:val="none"/>
              </w:rPr>
            </w:pPr>
            <w:r>
              <w:rPr>
                <w:rFonts w:hint="eastAsia" w:ascii="仿宋" w:hAnsi="仿宋" w:eastAsia="仿宋" w:cs="Courier New"/>
                <w:color w:val="auto"/>
                <w:kern w:val="2"/>
                <w:sz w:val="24"/>
                <w:szCs w:val="24"/>
                <w:highlight w:val="none"/>
              </w:rPr>
              <w:t>小写：￥</w:t>
            </w:r>
            <w:r>
              <w:rPr>
                <w:rFonts w:ascii="仿宋" w:hAnsi="仿宋" w:eastAsia="仿宋" w:cs="Courier New"/>
                <w:color w:val="auto"/>
                <w:kern w:val="2"/>
                <w:sz w:val="24"/>
                <w:szCs w:val="24"/>
                <w:highlight w:val="none"/>
              </w:rPr>
              <w:t>____________________</w:t>
            </w:r>
          </w:p>
        </w:tc>
      </w:tr>
    </w:tbl>
    <w:p w14:paraId="4C378E00">
      <w:pPr>
        <w:spacing w:line="360" w:lineRule="auto"/>
        <w:rPr>
          <w:rFonts w:ascii="仿宋" w:hAnsi="仿宋" w:eastAsia="仿宋"/>
          <w:color w:val="auto"/>
          <w:sz w:val="24"/>
          <w:highlight w:val="none"/>
        </w:rPr>
      </w:pPr>
      <w:r>
        <w:rPr>
          <w:rFonts w:hint="eastAsia" w:ascii="仿宋" w:hAnsi="仿宋" w:eastAsia="仿宋"/>
          <w:color w:val="auto"/>
          <w:sz w:val="24"/>
          <w:highlight w:val="none"/>
        </w:rPr>
        <w:t>供应商名称：</w:t>
      </w:r>
    </w:p>
    <w:p w14:paraId="7DAE5D01">
      <w:pPr>
        <w:spacing w:line="360" w:lineRule="auto"/>
        <w:rPr>
          <w:rFonts w:ascii="仿宋" w:hAnsi="仿宋" w:eastAsia="仿宋"/>
          <w:color w:val="auto"/>
          <w:sz w:val="24"/>
          <w:highlight w:val="none"/>
        </w:rPr>
      </w:pPr>
      <w:r>
        <w:rPr>
          <w:rFonts w:hint="eastAsia" w:ascii="仿宋" w:hAnsi="仿宋" w:eastAsia="仿宋"/>
          <w:color w:val="auto"/>
          <w:sz w:val="24"/>
          <w:highlight w:val="none"/>
        </w:rPr>
        <w:t>供应商公章:</w:t>
      </w:r>
    </w:p>
    <w:p w14:paraId="79A6FC3A">
      <w:pPr>
        <w:spacing w:line="360" w:lineRule="auto"/>
        <w:rPr>
          <w:rFonts w:ascii="仿宋" w:hAnsi="仿宋" w:eastAsia="仿宋"/>
          <w:color w:val="auto"/>
          <w:sz w:val="24"/>
          <w:highlight w:val="none"/>
        </w:rPr>
      </w:pPr>
      <w:r>
        <w:rPr>
          <w:rFonts w:hint="eastAsia" w:ascii="仿宋" w:hAnsi="仿宋" w:eastAsia="仿宋"/>
          <w:color w:val="auto"/>
          <w:sz w:val="24"/>
          <w:highlight w:val="none"/>
        </w:rPr>
        <w:t>授权代表(签字):</w:t>
      </w:r>
    </w:p>
    <w:p w14:paraId="33E1BD4F">
      <w:pPr>
        <w:spacing w:line="360" w:lineRule="auto"/>
        <w:rPr>
          <w:rFonts w:ascii="仿宋" w:hAnsi="仿宋" w:eastAsia="仿宋"/>
          <w:color w:val="auto"/>
          <w:sz w:val="24"/>
          <w:highlight w:val="none"/>
        </w:rPr>
      </w:pPr>
      <w:r>
        <w:rPr>
          <w:rFonts w:hint="eastAsia" w:ascii="仿宋" w:hAnsi="仿宋" w:eastAsia="仿宋"/>
          <w:color w:val="auto"/>
          <w:sz w:val="24"/>
          <w:highlight w:val="none"/>
        </w:rPr>
        <w:t>日期：</w:t>
      </w:r>
    </w:p>
    <w:p w14:paraId="72082E83">
      <w:pPr>
        <w:snapToGrid w:val="0"/>
        <w:spacing w:line="360" w:lineRule="auto"/>
        <w:rPr>
          <w:rFonts w:ascii="仿宋" w:hAnsi="仿宋" w:eastAsia="仿宋"/>
          <w:color w:val="auto"/>
          <w:sz w:val="24"/>
          <w:highlight w:val="none"/>
        </w:rPr>
      </w:pPr>
      <w:r>
        <w:rPr>
          <w:rFonts w:hint="eastAsia" w:ascii="仿宋" w:hAnsi="仿宋" w:eastAsia="仿宋"/>
          <w:color w:val="auto"/>
          <w:sz w:val="24"/>
          <w:highlight w:val="none"/>
        </w:rPr>
        <w:t>注：(1)</w:t>
      </w:r>
      <w:r>
        <w:rPr>
          <w:rFonts w:hint="eastAsia" w:ascii="仿宋" w:hAnsi="仿宋" w:eastAsia="仿宋"/>
          <w:bCs/>
          <w:color w:val="auto"/>
          <w:sz w:val="24"/>
          <w:highlight w:val="none"/>
        </w:rPr>
        <w:t>供应商可以对相关内容进行补充完善，以保证项目的完整性，行数可自行添加。</w:t>
      </w:r>
    </w:p>
    <w:p w14:paraId="0E090B7C">
      <w:pPr>
        <w:pStyle w:val="5"/>
        <w:numPr>
          <w:ilvl w:val="0"/>
          <w:numId w:val="5"/>
        </w:numPr>
        <w:tabs>
          <w:tab w:val="left" w:pos="360"/>
          <w:tab w:val="left" w:pos="720"/>
        </w:tabs>
        <w:spacing w:line="360" w:lineRule="auto"/>
        <w:ind w:left="720"/>
        <w:jc w:val="center"/>
        <w:rPr>
          <w:rFonts w:ascii="仿宋" w:hAnsi="仿宋" w:eastAsia="仿宋"/>
          <w:color w:val="auto"/>
          <w:sz w:val="24"/>
          <w:szCs w:val="24"/>
          <w:highlight w:val="none"/>
        </w:rPr>
        <w:sectPr>
          <w:footerReference r:id="rId8" w:type="first"/>
          <w:footerReference r:id="rId6" w:type="default"/>
          <w:footerReference r:id="rId7" w:type="even"/>
          <w:pgSz w:w="11906" w:h="16838"/>
          <w:pgMar w:top="1134" w:right="1134" w:bottom="1134" w:left="1134" w:header="851" w:footer="992" w:gutter="0"/>
          <w:cols w:space="425" w:num="1"/>
          <w:titlePg/>
          <w:docGrid w:type="lines" w:linePitch="312" w:charSpace="0"/>
        </w:sectPr>
      </w:pPr>
    </w:p>
    <w:bookmarkEnd w:id="281"/>
    <w:bookmarkEnd w:id="282"/>
    <w:bookmarkEnd w:id="283"/>
    <w:bookmarkEnd w:id="284"/>
    <w:p w14:paraId="3B3594A4">
      <w:pPr>
        <w:pStyle w:val="4"/>
        <w:rPr>
          <w:rFonts w:ascii="仿宋" w:hAnsi="仿宋" w:eastAsia="仿宋"/>
          <w:color w:val="auto"/>
          <w:sz w:val="24"/>
          <w:szCs w:val="24"/>
          <w:highlight w:val="none"/>
        </w:rPr>
      </w:pPr>
      <w:bookmarkStart w:id="296" w:name="_Toc17272"/>
      <w:r>
        <w:rPr>
          <w:rFonts w:hint="eastAsia" w:ascii="仿宋" w:hAnsi="仿宋" w:eastAsia="仿宋"/>
          <w:color w:val="auto"/>
          <w:sz w:val="24"/>
          <w:szCs w:val="24"/>
          <w:highlight w:val="none"/>
        </w:rPr>
        <w:t>二、资格证明文件</w:t>
      </w:r>
      <w:bookmarkEnd w:id="285"/>
      <w:bookmarkEnd w:id="286"/>
      <w:bookmarkEnd w:id="287"/>
      <w:bookmarkEnd w:id="288"/>
      <w:bookmarkEnd w:id="296"/>
    </w:p>
    <w:p w14:paraId="09D27238">
      <w:pPr>
        <w:autoSpaceDE/>
        <w:autoSpaceDN/>
        <w:adjustRightInd/>
        <w:jc w:val="both"/>
        <w:rPr>
          <w:rFonts w:ascii="仿宋" w:hAnsi="仿宋" w:eastAsia="仿宋"/>
          <w:color w:val="auto"/>
          <w:sz w:val="24"/>
          <w:szCs w:val="24"/>
          <w:highlight w:val="none"/>
          <w:lang w:bidi="en-US"/>
        </w:rPr>
      </w:pPr>
      <w:bookmarkStart w:id="297" w:name="_Toc445897737"/>
      <w:bookmarkStart w:id="298" w:name="_Toc496721286"/>
      <w:bookmarkStart w:id="299" w:name="_Toc420657419"/>
      <w:bookmarkStart w:id="300" w:name="_Toc420487924"/>
      <w:bookmarkStart w:id="301" w:name="_Toc289873240"/>
      <w:r>
        <w:rPr>
          <w:rFonts w:hint="eastAsia" w:ascii="仿宋" w:hAnsi="仿宋" w:eastAsia="仿宋"/>
          <w:color w:val="auto"/>
          <w:sz w:val="24"/>
          <w:szCs w:val="24"/>
          <w:highlight w:val="none"/>
          <w:lang w:bidi="en-US"/>
        </w:rPr>
        <w:t>1、法人或其他组织的营业执照等证明文件</w:t>
      </w:r>
      <w:bookmarkEnd w:id="297"/>
    </w:p>
    <w:p w14:paraId="2F871472">
      <w:pPr>
        <w:autoSpaceDE/>
        <w:autoSpaceDN/>
        <w:adjustRightInd/>
        <w:jc w:val="both"/>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（复印件）</w:t>
      </w:r>
    </w:p>
    <w:p w14:paraId="4C6BA4D8">
      <w:pPr>
        <w:autoSpaceDE/>
        <w:autoSpaceDN/>
        <w:adjustRightInd/>
        <w:jc w:val="both"/>
        <w:rPr>
          <w:rFonts w:ascii="仿宋" w:hAnsi="仿宋" w:eastAsia="仿宋"/>
          <w:color w:val="auto"/>
          <w:sz w:val="24"/>
          <w:szCs w:val="24"/>
          <w:highlight w:val="none"/>
          <w:lang w:bidi="en-US"/>
        </w:rPr>
      </w:pPr>
    </w:p>
    <w:p w14:paraId="1D2C5200">
      <w:pPr>
        <w:autoSpaceDE/>
        <w:autoSpaceDN/>
        <w:adjustRightInd/>
        <w:jc w:val="both"/>
        <w:rPr>
          <w:rFonts w:ascii="仿宋" w:hAnsi="仿宋" w:eastAsia="仿宋"/>
          <w:color w:val="auto"/>
          <w:sz w:val="24"/>
          <w:szCs w:val="24"/>
          <w:highlight w:val="none"/>
          <w:lang w:bidi="en-US"/>
        </w:rPr>
      </w:pPr>
      <w:bookmarkStart w:id="302" w:name="_Toc445897738"/>
      <w:r>
        <w:rPr>
          <w:rFonts w:hint="eastAsia" w:ascii="仿宋" w:hAnsi="仿宋" w:eastAsia="仿宋"/>
          <w:color w:val="auto"/>
          <w:sz w:val="24"/>
          <w:szCs w:val="24"/>
          <w:highlight w:val="none"/>
          <w:lang w:bidi="en-US"/>
        </w:rPr>
        <w:t>2、财务状况报告</w:t>
      </w:r>
      <w:bookmarkEnd w:id="302"/>
    </w:p>
    <w:p w14:paraId="2FB538D0">
      <w:pPr>
        <w:autoSpaceDE/>
        <w:autoSpaceDN/>
        <w:adjustRightInd/>
        <w:jc w:val="both"/>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开标时间前</w:t>
      </w:r>
      <w:r>
        <w:rPr>
          <w:rFonts w:hint="eastAsia" w:ascii="仿宋" w:hAnsi="仿宋" w:eastAsia="仿宋" w:cs="宋体"/>
          <w:color w:val="auto"/>
          <w:sz w:val="24"/>
          <w:szCs w:val="24"/>
          <w:highlight w:val="none"/>
        </w:rPr>
        <w:t>的财务报表复印件</w:t>
      </w:r>
    </w:p>
    <w:p w14:paraId="33AA936D">
      <w:pPr>
        <w:autoSpaceDE/>
        <w:autoSpaceDN/>
        <w:adjustRightInd/>
        <w:jc w:val="both"/>
        <w:rPr>
          <w:rFonts w:ascii="仿宋" w:hAnsi="仿宋" w:eastAsia="仿宋"/>
          <w:color w:val="auto"/>
          <w:sz w:val="24"/>
          <w:szCs w:val="24"/>
          <w:highlight w:val="none"/>
          <w:lang w:bidi="en-US"/>
        </w:rPr>
      </w:pPr>
    </w:p>
    <w:p w14:paraId="08B0BAA9">
      <w:pPr>
        <w:autoSpaceDE/>
        <w:autoSpaceDN/>
        <w:adjustRightInd/>
        <w:jc w:val="both"/>
        <w:rPr>
          <w:rFonts w:ascii="仿宋" w:hAnsi="仿宋" w:eastAsia="仿宋"/>
          <w:color w:val="auto"/>
          <w:sz w:val="24"/>
          <w:szCs w:val="24"/>
          <w:highlight w:val="none"/>
          <w:lang w:bidi="en-US"/>
        </w:rPr>
      </w:pPr>
      <w:bookmarkStart w:id="303" w:name="_Toc445897739"/>
      <w:r>
        <w:rPr>
          <w:rFonts w:ascii="仿宋" w:hAnsi="仿宋" w:eastAsia="仿宋"/>
          <w:color w:val="auto"/>
          <w:sz w:val="24"/>
          <w:szCs w:val="24"/>
          <w:highlight w:val="none"/>
          <w:lang w:bidi="en-US"/>
        </w:rPr>
        <w:t>3、具有履行合同所必需的设备和专业技术能力</w:t>
      </w:r>
      <w:r>
        <w:rPr>
          <w:rFonts w:hint="eastAsia" w:ascii="仿宋" w:hAnsi="仿宋" w:eastAsia="仿宋"/>
          <w:color w:val="auto"/>
          <w:sz w:val="24"/>
          <w:szCs w:val="24"/>
          <w:highlight w:val="none"/>
          <w:lang w:bidi="en-US"/>
        </w:rPr>
        <w:t>的</w:t>
      </w:r>
      <w:r>
        <w:rPr>
          <w:rFonts w:ascii="仿宋" w:hAnsi="仿宋" w:eastAsia="仿宋" w:cs="宋体"/>
          <w:color w:val="auto"/>
          <w:sz w:val="24"/>
          <w:szCs w:val="24"/>
          <w:highlight w:val="none"/>
        </w:rPr>
        <w:t>证明材料或承诺函</w:t>
      </w:r>
      <w:r>
        <w:rPr>
          <w:rFonts w:hint="eastAsia" w:ascii="仿宋" w:hAnsi="仿宋" w:eastAsia="仿宋"/>
          <w:color w:val="auto"/>
          <w:sz w:val="24"/>
          <w:szCs w:val="24"/>
          <w:highlight w:val="none"/>
          <w:lang w:bidi="en-US"/>
        </w:rPr>
        <w:t>（自行编写）</w:t>
      </w:r>
    </w:p>
    <w:p w14:paraId="17C9E18C">
      <w:pPr>
        <w:autoSpaceDE/>
        <w:autoSpaceDN/>
        <w:adjustRightInd/>
        <w:jc w:val="both"/>
        <w:rPr>
          <w:rFonts w:ascii="仿宋" w:hAnsi="仿宋" w:eastAsia="仿宋"/>
          <w:color w:val="auto"/>
          <w:sz w:val="24"/>
          <w:szCs w:val="24"/>
          <w:highlight w:val="none"/>
          <w:lang w:bidi="en-US"/>
        </w:rPr>
      </w:pPr>
    </w:p>
    <w:p w14:paraId="54CFB0FA">
      <w:pPr>
        <w:ind w:firstLine="480" w:firstLineChars="200"/>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我公司郑重声明：我公司</w:t>
      </w:r>
      <w:r>
        <w:rPr>
          <w:rFonts w:ascii="仿宋" w:hAnsi="仿宋" w:eastAsia="仿宋"/>
          <w:color w:val="auto"/>
          <w:sz w:val="24"/>
          <w:szCs w:val="24"/>
          <w:highlight w:val="none"/>
          <w:lang w:bidi="en-US"/>
        </w:rPr>
        <w:t>具有履行合同所必需的设备和专业技术能力</w:t>
      </w:r>
      <w:r>
        <w:rPr>
          <w:rFonts w:hint="eastAsia" w:ascii="仿宋" w:hAnsi="仿宋" w:eastAsia="仿宋"/>
          <w:color w:val="auto"/>
          <w:sz w:val="24"/>
          <w:szCs w:val="24"/>
          <w:highlight w:val="none"/>
          <w:lang w:bidi="en-US"/>
        </w:rPr>
        <w:t>。</w:t>
      </w:r>
    </w:p>
    <w:p w14:paraId="63B97966">
      <w:pP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                      供应商名称（公章）：</w:t>
      </w:r>
    </w:p>
    <w:p w14:paraId="7D9A7DAC">
      <w:pP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                      授权代表签字：_______________________</w:t>
      </w:r>
    </w:p>
    <w:p w14:paraId="255F1EC2">
      <w:pP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                      日期：______年    月    日</w:t>
      </w:r>
    </w:p>
    <w:p w14:paraId="7628781B">
      <w:pPr>
        <w:autoSpaceDE/>
        <w:autoSpaceDN/>
        <w:adjustRightInd/>
        <w:jc w:val="both"/>
        <w:rPr>
          <w:rFonts w:ascii="仿宋" w:hAnsi="仿宋" w:eastAsia="仿宋"/>
          <w:color w:val="auto"/>
          <w:sz w:val="24"/>
          <w:szCs w:val="24"/>
          <w:highlight w:val="none"/>
          <w:lang w:bidi="en-US"/>
        </w:rPr>
      </w:pPr>
    </w:p>
    <w:p w14:paraId="07B8C208">
      <w:pP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4、依法缴纳税收记录</w:t>
      </w:r>
      <w:bookmarkEnd w:id="303"/>
    </w:p>
    <w:p w14:paraId="7187D38B">
      <w:pP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提供</w:t>
      </w:r>
      <w:r>
        <w:rPr>
          <w:rFonts w:hint="eastAsia" w:ascii="仿宋" w:hAnsi="仿宋" w:eastAsia="仿宋"/>
          <w:color w:val="auto"/>
          <w:sz w:val="24"/>
          <w:szCs w:val="24"/>
          <w:highlight w:val="none"/>
        </w:rPr>
        <w:t>纳税凭据</w:t>
      </w:r>
      <w:r>
        <w:rPr>
          <w:rFonts w:hint="eastAsia" w:ascii="仿宋" w:hAnsi="仿宋" w:eastAsia="仿宋"/>
          <w:color w:val="auto"/>
          <w:sz w:val="24"/>
          <w:szCs w:val="24"/>
          <w:highlight w:val="none"/>
          <w:lang w:bidi="en-US"/>
        </w:rPr>
        <w:t>复印件（依法免税的应提供相应文件说明）</w:t>
      </w:r>
    </w:p>
    <w:p w14:paraId="5D3CBAD0">
      <w:pPr>
        <w:rPr>
          <w:rFonts w:ascii="仿宋" w:hAnsi="仿宋" w:eastAsia="仿宋"/>
          <w:color w:val="auto"/>
          <w:sz w:val="24"/>
          <w:szCs w:val="24"/>
          <w:highlight w:val="none"/>
          <w:lang w:bidi="en-US"/>
        </w:rPr>
      </w:pPr>
    </w:p>
    <w:p w14:paraId="05186021">
      <w:pPr>
        <w:rPr>
          <w:rFonts w:ascii="仿宋" w:hAnsi="仿宋" w:eastAsia="仿宋"/>
          <w:color w:val="auto"/>
          <w:sz w:val="24"/>
          <w:szCs w:val="24"/>
          <w:highlight w:val="none"/>
          <w:lang w:bidi="en-US"/>
        </w:rPr>
      </w:pPr>
      <w:bookmarkStart w:id="304" w:name="_Toc445897740"/>
      <w:r>
        <w:rPr>
          <w:rFonts w:hint="eastAsia" w:ascii="仿宋" w:hAnsi="仿宋" w:eastAsia="仿宋"/>
          <w:color w:val="auto"/>
          <w:sz w:val="24"/>
          <w:szCs w:val="24"/>
          <w:highlight w:val="none"/>
          <w:lang w:bidi="en-US"/>
        </w:rPr>
        <w:t>5、社会保障资金缴纳记录</w:t>
      </w:r>
      <w:bookmarkEnd w:id="304"/>
    </w:p>
    <w:p w14:paraId="52B0827D">
      <w:pP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提供依法缴纳社会保障资金的凭据复印件（凭据可以是缴费的银行单据、专用收据、社会保险缴纳清单或者所在社保机构开具的证明等，依法不需要缴纳社会保障资金的应提供相应文件说明）</w:t>
      </w:r>
    </w:p>
    <w:p w14:paraId="0FDDE382">
      <w:pPr>
        <w:rPr>
          <w:rFonts w:ascii="仿宋" w:hAnsi="仿宋" w:eastAsia="仿宋"/>
          <w:color w:val="auto"/>
          <w:sz w:val="24"/>
          <w:szCs w:val="24"/>
          <w:highlight w:val="none"/>
          <w:lang w:bidi="en-US"/>
        </w:rPr>
      </w:pPr>
    </w:p>
    <w:p w14:paraId="6120A2A2">
      <w:pPr>
        <w:rPr>
          <w:rFonts w:ascii="仿宋" w:hAnsi="仿宋" w:eastAsia="仿宋"/>
          <w:color w:val="auto"/>
          <w:sz w:val="24"/>
          <w:szCs w:val="24"/>
          <w:highlight w:val="none"/>
          <w:lang w:bidi="en-US"/>
        </w:rPr>
      </w:pPr>
      <w:bookmarkStart w:id="305" w:name="_Toc445897741"/>
      <w:r>
        <w:rPr>
          <w:rFonts w:ascii="仿宋" w:hAnsi="仿宋" w:eastAsia="仿宋"/>
          <w:color w:val="auto"/>
          <w:sz w:val="24"/>
          <w:szCs w:val="24"/>
          <w:highlight w:val="none"/>
          <w:lang w:bidi="en-US"/>
        </w:rPr>
        <w:t>6</w:t>
      </w:r>
      <w:r>
        <w:rPr>
          <w:rFonts w:hint="eastAsia" w:ascii="仿宋" w:hAnsi="仿宋" w:eastAsia="仿宋"/>
          <w:color w:val="auto"/>
          <w:sz w:val="24"/>
          <w:szCs w:val="24"/>
          <w:highlight w:val="none"/>
          <w:lang w:bidi="en-US"/>
        </w:rPr>
        <w:t>、参加本政府采购项目前3年内（成立时间不足三年的、自成立时间起）在经营活动中没有重大违法记录的声明函</w:t>
      </w:r>
      <w:bookmarkEnd w:id="305"/>
      <w:r>
        <w:rPr>
          <w:rFonts w:hint="eastAsia" w:ascii="仿宋" w:hAnsi="仿宋" w:eastAsia="仿宋"/>
          <w:color w:val="auto"/>
          <w:sz w:val="24"/>
          <w:szCs w:val="24"/>
          <w:highlight w:val="none"/>
          <w:lang w:bidi="en-US"/>
        </w:rPr>
        <w:t>原件（自行编写，重大违法记录是指供应商因违法经营受到刑事处罚或责令停产停业、吊销许可证或者执照、较大数额等行政处罚。）</w:t>
      </w:r>
    </w:p>
    <w:p w14:paraId="4CA07BBA">
      <w:pPr>
        <w:ind w:firstLine="480" w:firstLineChars="200"/>
        <w:rPr>
          <w:rFonts w:ascii="仿宋" w:hAnsi="仿宋" w:eastAsia="仿宋"/>
          <w:color w:val="auto"/>
          <w:sz w:val="24"/>
          <w:szCs w:val="24"/>
          <w:highlight w:val="none"/>
          <w:lang w:bidi="en-US"/>
        </w:rPr>
      </w:pPr>
    </w:p>
    <w:p w14:paraId="0605529E">
      <w:pPr>
        <w:jc w:val="cente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参加政府采购活动前 3 年内在经营活动中</w:t>
      </w:r>
    </w:p>
    <w:p w14:paraId="10F9C921">
      <w:pPr>
        <w:jc w:val="cente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没有重大违法记录的书面声明(参考格式)</w:t>
      </w:r>
    </w:p>
    <w:p w14:paraId="5D1296EE">
      <w:pPr>
        <w:ind w:firstLine="480" w:firstLineChars="200"/>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我公司郑重声明：参加本次政府采购活动前 3 年内，我公司在经营活动中没有因违法经营受到刑事处罚或者责令停产停业、吊销许可证或者执照、较大数额罚款等行政处罚。</w:t>
      </w:r>
    </w:p>
    <w:p w14:paraId="59C1310D">
      <w:pP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                      供应商名称（公章）：</w:t>
      </w:r>
    </w:p>
    <w:p w14:paraId="5EF2B018">
      <w:pP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                      授权代表签字：_______________________</w:t>
      </w:r>
    </w:p>
    <w:p w14:paraId="3C9B25BA">
      <w:pP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                      日期：______年    月    日</w:t>
      </w:r>
    </w:p>
    <w:p w14:paraId="21A601ED">
      <w:pP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7、供应商具有“测绘资质证书（摄影测量与遥感乙级或以上）”，提供有效期内的证书复印件</w:t>
      </w:r>
    </w:p>
    <w:p w14:paraId="01F8151C">
      <w:pPr>
        <w:rPr>
          <w:rFonts w:ascii="仿宋" w:hAnsi="仿宋" w:eastAsia="仿宋" w:cs="宋体"/>
          <w:color w:val="auto"/>
          <w:sz w:val="24"/>
          <w:szCs w:val="24"/>
          <w:highlight w:val="none"/>
        </w:rPr>
      </w:pPr>
    </w:p>
    <w:p w14:paraId="1FC5FB15">
      <w:pPr>
        <w:rPr>
          <w:rFonts w:ascii="仿宋" w:hAnsi="仿宋" w:eastAsia="仿宋"/>
          <w:color w:val="auto"/>
          <w:sz w:val="24"/>
          <w:szCs w:val="24"/>
          <w:highlight w:val="none"/>
          <w:lang w:bidi="en-US"/>
        </w:rPr>
      </w:pPr>
      <w:r>
        <w:rPr>
          <w:rFonts w:ascii="仿宋" w:hAnsi="仿宋" w:eastAsia="仿宋" w:cs="宋体"/>
          <w:color w:val="auto"/>
          <w:sz w:val="24"/>
          <w:szCs w:val="24"/>
          <w:highlight w:val="none"/>
        </w:rPr>
        <w:t>8</w:t>
      </w:r>
      <w:r>
        <w:rPr>
          <w:rFonts w:hint="eastAsia" w:ascii="仿宋" w:hAnsi="仿宋" w:eastAsia="仿宋" w:cs="宋体"/>
          <w:color w:val="auto"/>
          <w:sz w:val="24"/>
          <w:szCs w:val="24"/>
          <w:highlight w:val="none"/>
        </w:rPr>
        <w:t>、其它必要资格证明文件</w:t>
      </w:r>
    </w:p>
    <w:p w14:paraId="04280C0A">
      <w:pPr>
        <w:pStyle w:val="4"/>
        <w:rPr>
          <w:rFonts w:ascii="仿宋" w:hAnsi="仿宋" w:eastAsia="仿宋"/>
          <w:color w:val="auto"/>
          <w:sz w:val="24"/>
          <w:szCs w:val="24"/>
          <w:highlight w:val="none"/>
        </w:rPr>
      </w:pPr>
      <w:r>
        <w:rPr>
          <w:rFonts w:ascii="仿宋" w:hAnsi="仿宋" w:eastAsia="仿宋"/>
          <w:color w:val="auto"/>
          <w:sz w:val="24"/>
          <w:szCs w:val="24"/>
          <w:highlight w:val="none"/>
        </w:rPr>
        <w:br w:type="page"/>
      </w:r>
      <w:bookmarkStart w:id="306" w:name="_Toc6035"/>
      <w:r>
        <w:rPr>
          <w:rFonts w:hint="eastAsia" w:ascii="仿宋" w:hAnsi="仿宋" w:eastAsia="仿宋"/>
          <w:color w:val="auto"/>
          <w:sz w:val="24"/>
          <w:szCs w:val="24"/>
          <w:highlight w:val="none"/>
        </w:rPr>
        <w:t>三、</w:t>
      </w:r>
      <w:bookmarkEnd w:id="298"/>
      <w:bookmarkEnd w:id="299"/>
      <w:bookmarkEnd w:id="300"/>
      <w:bookmarkEnd w:id="301"/>
      <w:bookmarkStart w:id="307" w:name="_Toc420487925"/>
      <w:bookmarkStart w:id="308" w:name="_Toc496721287"/>
      <w:bookmarkStart w:id="309" w:name="_Toc420657420"/>
      <w:bookmarkStart w:id="310" w:name="_Toc289873241"/>
      <w:r>
        <w:rPr>
          <w:rFonts w:hint="eastAsia" w:ascii="仿宋" w:hAnsi="仿宋" w:eastAsia="仿宋"/>
          <w:color w:val="auto"/>
          <w:sz w:val="24"/>
          <w:szCs w:val="24"/>
          <w:highlight w:val="none"/>
        </w:rPr>
        <w:t>法人授权委托书</w:t>
      </w:r>
      <w:bookmarkEnd w:id="306"/>
      <w:bookmarkEnd w:id="307"/>
      <w:bookmarkEnd w:id="308"/>
      <w:bookmarkEnd w:id="309"/>
      <w:bookmarkEnd w:id="310"/>
    </w:p>
    <w:p w14:paraId="0A1D061D">
      <w:pPr>
        <w:spacing w:line="360" w:lineRule="auto"/>
        <w:jc w:val="center"/>
        <w:rPr>
          <w:rFonts w:ascii="仿宋" w:hAnsi="仿宋" w:eastAsia="仿宋"/>
          <w:b/>
          <w:color w:val="auto"/>
          <w:sz w:val="24"/>
          <w:szCs w:val="24"/>
          <w:highlight w:val="none"/>
        </w:rPr>
      </w:pPr>
      <w:r>
        <w:rPr>
          <w:rFonts w:hint="eastAsia" w:ascii="仿宋" w:hAnsi="仿宋" w:eastAsia="仿宋"/>
          <w:b/>
          <w:color w:val="auto"/>
          <w:sz w:val="24"/>
          <w:szCs w:val="24"/>
          <w:highlight w:val="none"/>
        </w:rPr>
        <w:t>法人授权委托书</w:t>
      </w:r>
    </w:p>
    <w:p w14:paraId="006C8FBE">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致江苏省招标中心有限公司：</w:t>
      </w:r>
    </w:p>
    <w:p w14:paraId="24AD6F31">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本授权书宣告：</w:t>
      </w:r>
    </w:p>
    <w:p w14:paraId="2643AAE3">
      <w:pPr>
        <w:snapToGrid w:val="0"/>
        <w:spacing w:line="360" w:lineRule="auto"/>
        <w:rPr>
          <w:rFonts w:ascii="仿宋" w:hAnsi="仿宋" w:eastAsia="仿宋"/>
          <w:color w:val="auto"/>
          <w:sz w:val="24"/>
          <w:szCs w:val="24"/>
          <w:highlight w:val="none"/>
          <w:u w:val="single"/>
        </w:rPr>
      </w:pPr>
      <w:r>
        <w:rPr>
          <w:rFonts w:hint="eastAsia" w:ascii="仿宋" w:hAnsi="仿宋" w:eastAsia="仿宋"/>
          <w:color w:val="auto"/>
          <w:sz w:val="24"/>
          <w:szCs w:val="24"/>
          <w:highlight w:val="none"/>
        </w:rPr>
        <w:t>委托人：</w:t>
      </w:r>
      <w:r>
        <w:rPr>
          <w:rFonts w:hint="eastAsia" w:ascii="仿宋" w:hAnsi="仿宋" w:eastAsia="仿宋"/>
          <w:color w:val="auto"/>
          <w:sz w:val="24"/>
          <w:szCs w:val="24"/>
          <w:highlight w:val="none"/>
          <w:u w:val="single"/>
        </w:rPr>
        <w:t xml:space="preserve">                                            </w:t>
      </w:r>
    </w:p>
    <w:p w14:paraId="6A729472">
      <w:pPr>
        <w:snapToGrid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地    址：</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 法定代表人：</w:t>
      </w:r>
      <w:r>
        <w:rPr>
          <w:rFonts w:hint="eastAsia" w:ascii="仿宋" w:hAnsi="仿宋" w:eastAsia="仿宋"/>
          <w:color w:val="auto"/>
          <w:sz w:val="24"/>
          <w:szCs w:val="24"/>
          <w:highlight w:val="none"/>
          <w:u w:val="single"/>
        </w:rPr>
        <w:t xml:space="preserve">          </w:t>
      </w:r>
    </w:p>
    <w:p w14:paraId="5AA9A98E">
      <w:pPr>
        <w:snapToGrid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受托人：姓名</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 性别：</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 出生日期：</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年</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月</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日</w:t>
      </w:r>
    </w:p>
    <w:p w14:paraId="765470A1">
      <w:pPr>
        <w:snapToGrid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所在单位：</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职务：</w:t>
      </w:r>
      <w:r>
        <w:rPr>
          <w:rFonts w:hint="eastAsia" w:ascii="仿宋" w:hAnsi="仿宋" w:eastAsia="仿宋"/>
          <w:color w:val="auto"/>
          <w:sz w:val="24"/>
          <w:szCs w:val="24"/>
          <w:highlight w:val="none"/>
          <w:u w:val="single"/>
        </w:rPr>
        <w:t xml:space="preserve">           </w:t>
      </w:r>
    </w:p>
    <w:p w14:paraId="7CF6A309">
      <w:pPr>
        <w:snapToGrid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身</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份</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证：</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联系方式:</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p>
    <w:p w14:paraId="69326FF1">
      <w:pPr>
        <w:snapToGrid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兹委托受托人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合法地代表我单位参加江苏省招标中心有限公司组织的（项目编号为：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w:t>
      </w:r>
      <w:r>
        <w:rPr>
          <w:rFonts w:hint="eastAsia" w:ascii="仿宋" w:hAnsi="仿宋" w:eastAsia="仿宋"/>
          <w:b/>
          <w:color w:val="auto"/>
          <w:sz w:val="24"/>
          <w:szCs w:val="24"/>
          <w:highlight w:val="none"/>
          <w:u w:val="single"/>
        </w:rPr>
        <w:t xml:space="preserve">                 </w:t>
      </w:r>
      <w:r>
        <w:rPr>
          <w:rFonts w:hint="eastAsia" w:ascii="仿宋" w:hAnsi="仿宋" w:eastAsia="仿宋"/>
          <w:b/>
          <w:color w:val="auto"/>
          <w:sz w:val="24"/>
          <w:szCs w:val="24"/>
          <w:highlight w:val="none"/>
        </w:rPr>
        <w:t>项目</w:t>
      </w:r>
      <w:r>
        <w:rPr>
          <w:rFonts w:hint="eastAsia" w:ascii="仿宋" w:hAnsi="仿宋" w:eastAsia="仿宋"/>
          <w:color w:val="auto"/>
          <w:sz w:val="24"/>
          <w:szCs w:val="24"/>
          <w:highlight w:val="none"/>
        </w:rPr>
        <w:t>的招标活动，受托人有权在该投标活动中，以我单位的名义签署投标书和投标文件，与采购人协商、澄清、解释，签订合同书并执行一切与此有关的事项。</w:t>
      </w:r>
    </w:p>
    <w:p w14:paraId="5FC16CD5">
      <w:pPr>
        <w:snapToGrid w:val="0"/>
        <w:spacing w:line="360" w:lineRule="auto"/>
        <w:rPr>
          <w:rFonts w:ascii="仿宋" w:hAnsi="仿宋" w:eastAsia="仿宋" w:cs="宋体"/>
          <w:color w:val="auto"/>
          <w:sz w:val="24"/>
          <w:szCs w:val="24"/>
          <w:highlight w:val="none"/>
        </w:rPr>
      </w:pPr>
      <w:r>
        <w:rPr>
          <w:rFonts w:hint="eastAsia" w:ascii="仿宋" w:hAnsi="仿宋" w:eastAsia="仿宋"/>
          <w:color w:val="auto"/>
          <w:sz w:val="24"/>
          <w:szCs w:val="24"/>
          <w:highlight w:val="none"/>
        </w:rPr>
        <w:t xml:space="preserve">    受托人在办理上述事宜过程中以其自己的名义所签署的所有文件我均予以承认。受托人无转委托权。</w:t>
      </w:r>
    </w:p>
    <w:p w14:paraId="0A6E34E6">
      <w:pPr>
        <w:snapToGrid w:val="0"/>
        <w:spacing w:line="360" w:lineRule="auto"/>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委托期限：至上述事宜处理完毕止。</w:t>
      </w:r>
    </w:p>
    <w:p w14:paraId="12F6CF10">
      <w:pPr>
        <w:spacing w:line="360" w:lineRule="auto"/>
        <w:rPr>
          <w:rFonts w:ascii="仿宋" w:hAnsi="仿宋" w:eastAsia="仿宋"/>
          <w:color w:val="auto"/>
          <w:sz w:val="24"/>
          <w:szCs w:val="24"/>
          <w:highlight w:val="none"/>
        </w:rPr>
      </w:pPr>
    </w:p>
    <w:p w14:paraId="0F893DC1">
      <w:pPr>
        <w:snapToGrid w:val="0"/>
        <w:spacing w:line="360" w:lineRule="auto"/>
        <w:ind w:firstLine="2240"/>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委托单位   </w:t>
      </w:r>
      <w:r>
        <w:rPr>
          <w:rFonts w:hint="eastAsia" w:ascii="仿宋" w:hAnsi="仿宋" w:eastAsia="仿宋"/>
          <w:color w:val="auto"/>
          <w:sz w:val="24"/>
          <w:szCs w:val="24"/>
          <w:highlight w:val="none"/>
          <w:u w:val="single"/>
        </w:rPr>
        <w:t xml:space="preserve"> （公章）          </w:t>
      </w:r>
    </w:p>
    <w:p w14:paraId="0415AD68">
      <w:pPr>
        <w:snapToGrid w:val="0"/>
        <w:spacing w:line="360" w:lineRule="auto"/>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法定代表人 </w:t>
      </w:r>
      <w:r>
        <w:rPr>
          <w:rFonts w:hint="eastAsia" w:ascii="仿宋" w:hAnsi="仿宋" w:eastAsia="仿宋"/>
          <w:color w:val="auto"/>
          <w:sz w:val="24"/>
          <w:szCs w:val="24"/>
          <w:highlight w:val="none"/>
          <w:u w:val="single"/>
        </w:rPr>
        <w:t xml:space="preserve"> （签名）          </w:t>
      </w:r>
    </w:p>
    <w:p w14:paraId="1C2C4078">
      <w:pPr>
        <w:snapToGrid w:val="0"/>
        <w:spacing w:line="360" w:lineRule="auto"/>
        <w:ind w:firstLine="2280" w:firstLineChars="950"/>
        <w:rPr>
          <w:rFonts w:ascii="仿宋" w:hAnsi="仿宋" w:eastAsia="仿宋"/>
          <w:color w:val="auto"/>
          <w:sz w:val="24"/>
          <w:szCs w:val="24"/>
          <w:highlight w:val="none"/>
        </w:rPr>
      </w:pPr>
      <w:r>
        <w:rPr>
          <w:rFonts w:hint="eastAsia" w:ascii="仿宋" w:hAnsi="仿宋" w:eastAsia="仿宋"/>
          <w:color w:val="auto"/>
          <w:sz w:val="24"/>
          <w:szCs w:val="24"/>
          <w:highlight w:val="none"/>
          <w:u w:val="single"/>
        </w:rPr>
        <w:t>二О二四</w:t>
      </w:r>
      <w:r>
        <w:rPr>
          <w:rFonts w:hint="eastAsia" w:ascii="仿宋" w:hAnsi="仿宋" w:eastAsia="仿宋"/>
          <w:color w:val="auto"/>
          <w:sz w:val="24"/>
          <w:szCs w:val="24"/>
          <w:highlight w:val="none"/>
        </w:rPr>
        <w:t>年</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月</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日</w:t>
      </w:r>
    </w:p>
    <w:p w14:paraId="667BBF67">
      <w:pPr>
        <w:snapToGrid w:val="0"/>
        <w:spacing w:line="360" w:lineRule="auto"/>
        <w:ind w:firstLine="2280" w:firstLineChars="950"/>
        <w:rPr>
          <w:rFonts w:ascii="仿宋" w:hAnsi="仿宋" w:eastAsia="仿宋"/>
          <w:color w:val="auto"/>
          <w:sz w:val="24"/>
          <w:szCs w:val="24"/>
          <w:highlight w:val="none"/>
        </w:rPr>
      </w:pPr>
    </w:p>
    <w:p w14:paraId="7ED5FC3C">
      <w:pPr>
        <w:snapToGrid w:val="0"/>
        <w:spacing w:line="360" w:lineRule="auto"/>
        <w:ind w:firstLine="2280" w:firstLineChars="950"/>
        <w:rPr>
          <w:rFonts w:ascii="仿宋" w:hAnsi="仿宋" w:eastAsia="仿宋"/>
          <w:color w:val="auto"/>
          <w:sz w:val="24"/>
          <w:szCs w:val="24"/>
          <w:highlight w:val="none"/>
        </w:rPr>
      </w:pPr>
      <w:r>
        <w:rPr>
          <w:rFonts w:ascii="仿宋" w:hAnsi="仿宋" w:eastAsia="仿宋"/>
          <w:color w:val="auto"/>
          <w:sz w:val="24"/>
          <w:szCs w:val="24"/>
          <w:highlight w:val="none"/>
        </w:rPr>
        <w:br w:type="page"/>
      </w:r>
    </w:p>
    <w:p w14:paraId="6A6520F7">
      <w:pPr>
        <w:jc w:val="center"/>
        <w:rPr>
          <w:rFonts w:ascii="仿宋" w:hAnsi="仿宋" w:eastAsia="仿宋"/>
          <w:color w:val="auto"/>
          <w:sz w:val="24"/>
          <w:szCs w:val="24"/>
          <w:highlight w:val="none"/>
          <w:lang w:bidi="en-US"/>
        </w:rPr>
      </w:pPr>
      <w:bookmarkStart w:id="311" w:name="_Toc289873244"/>
    </w:p>
    <w:p w14:paraId="3839B0A4">
      <w:pPr>
        <w:pStyle w:val="4"/>
        <w:rPr>
          <w:rFonts w:ascii="仿宋" w:hAnsi="仿宋" w:eastAsia="仿宋"/>
          <w:color w:val="auto"/>
          <w:sz w:val="24"/>
          <w:szCs w:val="24"/>
          <w:highlight w:val="none"/>
        </w:rPr>
      </w:pPr>
      <w:bookmarkStart w:id="312" w:name="_Toc417458120"/>
      <w:bookmarkStart w:id="313" w:name="_Toc420487930"/>
      <w:bookmarkStart w:id="314" w:name="_Toc420657425"/>
      <w:bookmarkStart w:id="315" w:name="_Toc496721290"/>
      <w:bookmarkStart w:id="316" w:name="_Toc8685"/>
      <w:bookmarkStart w:id="317" w:name="_Toc411429891"/>
      <w:r>
        <w:rPr>
          <w:rFonts w:hint="eastAsia" w:ascii="仿宋" w:hAnsi="仿宋" w:eastAsia="仿宋"/>
          <w:color w:val="auto"/>
          <w:sz w:val="24"/>
          <w:szCs w:val="24"/>
          <w:highlight w:val="none"/>
        </w:rPr>
        <w:t>四、证明服务的合格性和符合招标文件规定的文件的实施方案</w:t>
      </w:r>
      <w:bookmarkEnd w:id="312"/>
      <w:bookmarkEnd w:id="313"/>
      <w:bookmarkEnd w:id="314"/>
      <w:bookmarkEnd w:id="315"/>
      <w:bookmarkEnd w:id="316"/>
      <w:bookmarkEnd w:id="317"/>
    </w:p>
    <w:bookmarkEnd w:id="311"/>
    <w:p w14:paraId="6989B895">
      <w:pPr>
        <w:pStyle w:val="5"/>
        <w:ind w:firstLine="482"/>
        <w:jc w:val="center"/>
        <w:rPr>
          <w:rFonts w:eastAsia="仿宋"/>
          <w:color w:val="auto"/>
          <w:sz w:val="24"/>
          <w:szCs w:val="24"/>
          <w:highlight w:val="none"/>
        </w:rPr>
      </w:pPr>
      <w:bookmarkStart w:id="318" w:name="_Toc168282804"/>
      <w:bookmarkStart w:id="319" w:name="_Toc289873237"/>
      <w:bookmarkStart w:id="320" w:name="_Toc420487931"/>
      <w:bookmarkStart w:id="321" w:name="_Toc496721291"/>
      <w:bookmarkStart w:id="322" w:name="_Toc414880864"/>
      <w:bookmarkStart w:id="323" w:name="_Toc417458121"/>
      <w:bookmarkStart w:id="324" w:name="_Toc414881145"/>
      <w:bookmarkStart w:id="325" w:name="_Toc530158023"/>
      <w:bookmarkStart w:id="326" w:name="_Toc23249"/>
      <w:bookmarkStart w:id="327" w:name="_Toc420657426"/>
      <w:bookmarkStart w:id="328" w:name="_Toc324166927"/>
      <w:bookmarkStart w:id="329" w:name="_Toc358016974"/>
      <w:bookmarkStart w:id="330" w:name="_Toc420657434"/>
      <w:bookmarkStart w:id="331" w:name="_Toc496721301"/>
      <w:bookmarkStart w:id="332" w:name="_Toc417458128"/>
      <w:bookmarkStart w:id="333" w:name="_Toc420487939"/>
      <w:bookmarkStart w:id="334" w:name="_Toc495327956"/>
      <w:bookmarkStart w:id="335" w:name="_Toc416183814"/>
      <w:bookmarkStart w:id="336" w:name="_Toc325559920"/>
      <w:r>
        <w:rPr>
          <w:rFonts w:eastAsia="仿宋"/>
          <w:color w:val="auto"/>
          <w:sz w:val="24"/>
          <w:szCs w:val="24"/>
          <w:highlight w:val="none"/>
        </w:rPr>
        <w:t>1</w:t>
      </w:r>
      <w:bookmarkEnd w:id="318"/>
      <w:r>
        <w:rPr>
          <w:rFonts w:hint="eastAsia" w:eastAsia="仿宋"/>
          <w:color w:val="auto"/>
          <w:sz w:val="24"/>
          <w:szCs w:val="24"/>
          <w:highlight w:val="none"/>
        </w:rPr>
        <w:t>.</w:t>
      </w:r>
      <w:r>
        <w:rPr>
          <w:rFonts w:eastAsia="仿宋"/>
          <w:color w:val="auto"/>
          <w:sz w:val="24"/>
          <w:szCs w:val="24"/>
          <w:highlight w:val="none"/>
        </w:rPr>
        <w:t>商务条款偏离表</w:t>
      </w:r>
      <w:bookmarkEnd w:id="319"/>
      <w:bookmarkEnd w:id="320"/>
      <w:bookmarkEnd w:id="321"/>
      <w:bookmarkEnd w:id="322"/>
      <w:bookmarkEnd w:id="323"/>
      <w:bookmarkEnd w:id="324"/>
      <w:bookmarkEnd w:id="325"/>
      <w:bookmarkEnd w:id="326"/>
      <w:bookmarkEnd w:id="327"/>
    </w:p>
    <w:p w14:paraId="155B0ACB">
      <w:pPr>
        <w:spacing w:after="240" w:line="360" w:lineRule="auto"/>
        <w:ind w:firstLine="480"/>
        <w:rPr>
          <w:rFonts w:ascii="Times New Roman" w:eastAsia="仿宋"/>
          <w:color w:val="auto"/>
          <w:sz w:val="24"/>
          <w:szCs w:val="24"/>
          <w:highlight w:val="none"/>
          <w:u w:val="single"/>
        </w:rPr>
      </w:pPr>
      <w:r>
        <w:rPr>
          <w:rFonts w:ascii="Times New Roman" w:eastAsia="仿宋"/>
          <w:color w:val="auto"/>
          <w:sz w:val="24"/>
          <w:szCs w:val="24"/>
          <w:highlight w:val="none"/>
        </w:rPr>
        <w:t>供应商名称：</w:t>
      </w:r>
      <w:r>
        <w:rPr>
          <w:rFonts w:ascii="Times New Roman" w:eastAsia="仿宋"/>
          <w:color w:val="auto"/>
          <w:sz w:val="24"/>
          <w:szCs w:val="24"/>
          <w:highlight w:val="none"/>
          <w:u w:val="single"/>
        </w:rPr>
        <w:t xml:space="preserve">                 </w:t>
      </w:r>
      <w:r>
        <w:rPr>
          <w:rFonts w:ascii="Times New Roman" w:eastAsia="仿宋"/>
          <w:color w:val="auto"/>
          <w:sz w:val="24"/>
          <w:szCs w:val="24"/>
          <w:highlight w:val="none"/>
        </w:rPr>
        <w:t>项目编号：</w:t>
      </w:r>
      <w:r>
        <w:rPr>
          <w:rFonts w:ascii="Times New Roman" w:eastAsia="仿宋"/>
          <w:color w:val="auto"/>
          <w:sz w:val="24"/>
          <w:szCs w:val="24"/>
          <w:highlight w:val="none"/>
          <w:u w:val="single"/>
        </w:rPr>
        <w:t xml:space="preserve">            </w:t>
      </w:r>
      <w:r>
        <w:rPr>
          <w:rFonts w:ascii="Times New Roman" w:eastAsia="仿宋"/>
          <w:color w:val="auto"/>
          <w:sz w:val="24"/>
          <w:szCs w:val="24"/>
          <w:highlight w:val="none"/>
        </w:rPr>
        <w:t xml:space="preserve"> </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920"/>
        <w:gridCol w:w="2400"/>
        <w:gridCol w:w="2400"/>
        <w:gridCol w:w="1611"/>
      </w:tblGrid>
      <w:tr w14:paraId="64A16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58EF8F81">
            <w:pPr>
              <w:spacing w:before="240" w:after="240"/>
              <w:jc w:val="center"/>
              <w:rPr>
                <w:rFonts w:ascii="Times New Roman" w:eastAsia="仿宋"/>
                <w:color w:val="auto"/>
                <w:sz w:val="24"/>
                <w:szCs w:val="24"/>
                <w:highlight w:val="none"/>
              </w:rPr>
            </w:pPr>
            <w:r>
              <w:rPr>
                <w:rFonts w:ascii="Times New Roman" w:eastAsia="仿宋"/>
                <w:color w:val="auto"/>
                <w:sz w:val="24"/>
                <w:szCs w:val="24"/>
                <w:highlight w:val="none"/>
              </w:rPr>
              <w:t>序号</w:t>
            </w:r>
          </w:p>
        </w:tc>
        <w:tc>
          <w:tcPr>
            <w:tcW w:w="1920" w:type="dxa"/>
          </w:tcPr>
          <w:p w14:paraId="2C149585">
            <w:pPr>
              <w:spacing w:before="240" w:after="240"/>
              <w:jc w:val="center"/>
              <w:rPr>
                <w:rFonts w:ascii="Times New Roman" w:eastAsia="仿宋"/>
                <w:color w:val="auto"/>
                <w:sz w:val="24"/>
                <w:szCs w:val="24"/>
                <w:highlight w:val="none"/>
              </w:rPr>
            </w:pPr>
            <w:r>
              <w:rPr>
                <w:rFonts w:ascii="Times New Roman" w:eastAsia="仿宋"/>
                <w:color w:val="auto"/>
                <w:sz w:val="24"/>
                <w:szCs w:val="24"/>
                <w:highlight w:val="none"/>
              </w:rPr>
              <w:t>招标文件条目号</w:t>
            </w:r>
          </w:p>
        </w:tc>
        <w:tc>
          <w:tcPr>
            <w:tcW w:w="2400" w:type="dxa"/>
          </w:tcPr>
          <w:p w14:paraId="1B498D51">
            <w:pPr>
              <w:spacing w:before="240" w:after="240"/>
              <w:jc w:val="center"/>
              <w:rPr>
                <w:rFonts w:ascii="Times New Roman" w:eastAsia="仿宋"/>
                <w:color w:val="auto"/>
                <w:sz w:val="24"/>
                <w:szCs w:val="24"/>
                <w:highlight w:val="none"/>
              </w:rPr>
            </w:pPr>
            <w:r>
              <w:rPr>
                <w:rFonts w:ascii="Times New Roman" w:eastAsia="仿宋"/>
                <w:color w:val="auto"/>
                <w:sz w:val="24"/>
                <w:szCs w:val="24"/>
                <w:highlight w:val="none"/>
              </w:rPr>
              <w:t>招标文件的商务条款</w:t>
            </w:r>
          </w:p>
        </w:tc>
        <w:tc>
          <w:tcPr>
            <w:tcW w:w="2400" w:type="dxa"/>
          </w:tcPr>
          <w:p w14:paraId="6F50BEA5">
            <w:pPr>
              <w:spacing w:before="240" w:after="240"/>
              <w:jc w:val="center"/>
              <w:rPr>
                <w:rFonts w:ascii="Times New Roman" w:eastAsia="仿宋"/>
                <w:color w:val="auto"/>
                <w:sz w:val="24"/>
                <w:szCs w:val="24"/>
                <w:highlight w:val="none"/>
              </w:rPr>
            </w:pPr>
            <w:r>
              <w:rPr>
                <w:rFonts w:ascii="Times New Roman" w:eastAsia="仿宋"/>
                <w:color w:val="auto"/>
                <w:sz w:val="24"/>
                <w:szCs w:val="24"/>
                <w:highlight w:val="none"/>
              </w:rPr>
              <w:t>投标文件的商务条款</w:t>
            </w:r>
          </w:p>
        </w:tc>
        <w:tc>
          <w:tcPr>
            <w:tcW w:w="1611" w:type="dxa"/>
          </w:tcPr>
          <w:p w14:paraId="38811F7D">
            <w:pPr>
              <w:spacing w:before="240" w:after="240"/>
              <w:rPr>
                <w:rFonts w:ascii="Times New Roman" w:eastAsia="仿宋"/>
                <w:color w:val="auto"/>
                <w:sz w:val="24"/>
                <w:szCs w:val="24"/>
                <w:highlight w:val="none"/>
              </w:rPr>
            </w:pPr>
            <w:r>
              <w:rPr>
                <w:rFonts w:ascii="Times New Roman" w:eastAsia="仿宋"/>
                <w:color w:val="auto"/>
                <w:sz w:val="24"/>
                <w:szCs w:val="24"/>
                <w:highlight w:val="none"/>
              </w:rPr>
              <w:t xml:space="preserve">  偏离情况</w:t>
            </w:r>
          </w:p>
        </w:tc>
      </w:tr>
      <w:tr w14:paraId="09EFF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2832E190">
            <w:pPr>
              <w:spacing w:before="240" w:after="240"/>
              <w:rPr>
                <w:rFonts w:ascii="Times New Roman" w:eastAsia="仿宋"/>
                <w:color w:val="auto"/>
                <w:sz w:val="24"/>
                <w:szCs w:val="24"/>
                <w:highlight w:val="none"/>
              </w:rPr>
            </w:pPr>
          </w:p>
        </w:tc>
        <w:tc>
          <w:tcPr>
            <w:tcW w:w="1920" w:type="dxa"/>
          </w:tcPr>
          <w:p w14:paraId="424F8CA3">
            <w:pPr>
              <w:spacing w:before="240" w:after="240"/>
              <w:rPr>
                <w:rFonts w:ascii="Times New Roman" w:eastAsia="仿宋"/>
                <w:color w:val="auto"/>
                <w:sz w:val="24"/>
                <w:szCs w:val="24"/>
                <w:highlight w:val="none"/>
              </w:rPr>
            </w:pPr>
          </w:p>
        </w:tc>
        <w:tc>
          <w:tcPr>
            <w:tcW w:w="2400" w:type="dxa"/>
          </w:tcPr>
          <w:p w14:paraId="5DDF25B9">
            <w:pPr>
              <w:spacing w:before="240" w:after="240"/>
              <w:rPr>
                <w:rFonts w:ascii="Times New Roman" w:eastAsia="仿宋"/>
                <w:color w:val="auto"/>
                <w:sz w:val="24"/>
                <w:szCs w:val="24"/>
                <w:highlight w:val="none"/>
              </w:rPr>
            </w:pPr>
          </w:p>
        </w:tc>
        <w:tc>
          <w:tcPr>
            <w:tcW w:w="2400" w:type="dxa"/>
          </w:tcPr>
          <w:p w14:paraId="0E1EDBC9">
            <w:pPr>
              <w:spacing w:before="240" w:after="240"/>
              <w:rPr>
                <w:rFonts w:ascii="Times New Roman" w:eastAsia="仿宋"/>
                <w:color w:val="auto"/>
                <w:sz w:val="24"/>
                <w:szCs w:val="24"/>
                <w:highlight w:val="none"/>
              </w:rPr>
            </w:pPr>
          </w:p>
        </w:tc>
        <w:tc>
          <w:tcPr>
            <w:tcW w:w="1611" w:type="dxa"/>
          </w:tcPr>
          <w:p w14:paraId="4157491E">
            <w:pPr>
              <w:spacing w:before="240" w:after="240"/>
              <w:rPr>
                <w:rFonts w:ascii="Times New Roman" w:eastAsia="仿宋"/>
                <w:color w:val="auto"/>
                <w:sz w:val="24"/>
                <w:szCs w:val="24"/>
                <w:highlight w:val="none"/>
              </w:rPr>
            </w:pPr>
          </w:p>
        </w:tc>
      </w:tr>
      <w:tr w14:paraId="2E4E7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755BA136">
            <w:pPr>
              <w:spacing w:before="240" w:after="240"/>
              <w:rPr>
                <w:rFonts w:ascii="Times New Roman" w:eastAsia="仿宋"/>
                <w:color w:val="auto"/>
                <w:sz w:val="24"/>
                <w:szCs w:val="24"/>
                <w:highlight w:val="none"/>
              </w:rPr>
            </w:pPr>
          </w:p>
        </w:tc>
        <w:tc>
          <w:tcPr>
            <w:tcW w:w="1920" w:type="dxa"/>
          </w:tcPr>
          <w:p w14:paraId="261E611D">
            <w:pPr>
              <w:spacing w:before="240" w:after="240"/>
              <w:rPr>
                <w:rFonts w:ascii="Times New Roman" w:eastAsia="仿宋"/>
                <w:color w:val="auto"/>
                <w:sz w:val="24"/>
                <w:szCs w:val="24"/>
                <w:highlight w:val="none"/>
              </w:rPr>
            </w:pPr>
          </w:p>
        </w:tc>
        <w:tc>
          <w:tcPr>
            <w:tcW w:w="2400" w:type="dxa"/>
          </w:tcPr>
          <w:p w14:paraId="6E21ED71">
            <w:pPr>
              <w:spacing w:before="240" w:after="240"/>
              <w:rPr>
                <w:rFonts w:ascii="Times New Roman" w:eastAsia="仿宋"/>
                <w:color w:val="auto"/>
                <w:sz w:val="24"/>
                <w:szCs w:val="24"/>
                <w:highlight w:val="none"/>
              </w:rPr>
            </w:pPr>
          </w:p>
        </w:tc>
        <w:tc>
          <w:tcPr>
            <w:tcW w:w="2400" w:type="dxa"/>
          </w:tcPr>
          <w:p w14:paraId="0422EF8A">
            <w:pPr>
              <w:spacing w:before="240" w:after="240"/>
              <w:rPr>
                <w:rFonts w:ascii="Times New Roman" w:eastAsia="仿宋"/>
                <w:color w:val="auto"/>
                <w:sz w:val="24"/>
                <w:szCs w:val="24"/>
                <w:highlight w:val="none"/>
              </w:rPr>
            </w:pPr>
          </w:p>
        </w:tc>
        <w:tc>
          <w:tcPr>
            <w:tcW w:w="1611" w:type="dxa"/>
          </w:tcPr>
          <w:p w14:paraId="43BF8C66">
            <w:pPr>
              <w:spacing w:before="240" w:after="240"/>
              <w:rPr>
                <w:rFonts w:ascii="Times New Roman" w:eastAsia="仿宋"/>
                <w:color w:val="auto"/>
                <w:sz w:val="24"/>
                <w:szCs w:val="24"/>
                <w:highlight w:val="none"/>
              </w:rPr>
            </w:pPr>
          </w:p>
        </w:tc>
      </w:tr>
      <w:tr w14:paraId="3ED99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3CBB2742">
            <w:pPr>
              <w:spacing w:before="240" w:after="240"/>
              <w:rPr>
                <w:rFonts w:ascii="Times New Roman" w:eastAsia="仿宋"/>
                <w:color w:val="auto"/>
                <w:sz w:val="24"/>
                <w:szCs w:val="24"/>
                <w:highlight w:val="none"/>
              </w:rPr>
            </w:pPr>
          </w:p>
        </w:tc>
        <w:tc>
          <w:tcPr>
            <w:tcW w:w="1920" w:type="dxa"/>
          </w:tcPr>
          <w:p w14:paraId="032C6BB1">
            <w:pPr>
              <w:spacing w:before="240" w:after="240"/>
              <w:rPr>
                <w:rFonts w:ascii="Times New Roman" w:eastAsia="仿宋"/>
                <w:color w:val="auto"/>
                <w:sz w:val="24"/>
                <w:szCs w:val="24"/>
                <w:highlight w:val="none"/>
              </w:rPr>
            </w:pPr>
          </w:p>
        </w:tc>
        <w:tc>
          <w:tcPr>
            <w:tcW w:w="2400" w:type="dxa"/>
          </w:tcPr>
          <w:p w14:paraId="7FB7C24C">
            <w:pPr>
              <w:spacing w:before="240" w:after="240"/>
              <w:rPr>
                <w:rFonts w:ascii="Times New Roman" w:eastAsia="仿宋"/>
                <w:color w:val="auto"/>
                <w:sz w:val="24"/>
                <w:szCs w:val="24"/>
                <w:highlight w:val="none"/>
              </w:rPr>
            </w:pPr>
          </w:p>
        </w:tc>
        <w:tc>
          <w:tcPr>
            <w:tcW w:w="2400" w:type="dxa"/>
          </w:tcPr>
          <w:p w14:paraId="0FE098EF">
            <w:pPr>
              <w:spacing w:before="240" w:after="240"/>
              <w:rPr>
                <w:rFonts w:ascii="Times New Roman" w:eastAsia="仿宋"/>
                <w:color w:val="auto"/>
                <w:sz w:val="24"/>
                <w:szCs w:val="24"/>
                <w:highlight w:val="none"/>
              </w:rPr>
            </w:pPr>
          </w:p>
        </w:tc>
        <w:tc>
          <w:tcPr>
            <w:tcW w:w="1611" w:type="dxa"/>
          </w:tcPr>
          <w:p w14:paraId="60D3B1A1">
            <w:pPr>
              <w:spacing w:before="240" w:after="240"/>
              <w:rPr>
                <w:rFonts w:ascii="Times New Roman" w:eastAsia="仿宋"/>
                <w:color w:val="auto"/>
                <w:sz w:val="24"/>
                <w:szCs w:val="24"/>
                <w:highlight w:val="none"/>
              </w:rPr>
            </w:pPr>
          </w:p>
        </w:tc>
      </w:tr>
      <w:tr w14:paraId="1F327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66C43447">
            <w:pPr>
              <w:spacing w:before="240" w:after="240"/>
              <w:rPr>
                <w:rFonts w:ascii="Times New Roman" w:eastAsia="仿宋"/>
                <w:color w:val="auto"/>
                <w:sz w:val="24"/>
                <w:szCs w:val="24"/>
                <w:highlight w:val="none"/>
              </w:rPr>
            </w:pPr>
          </w:p>
        </w:tc>
        <w:tc>
          <w:tcPr>
            <w:tcW w:w="1920" w:type="dxa"/>
          </w:tcPr>
          <w:p w14:paraId="625FF8EB">
            <w:pPr>
              <w:spacing w:before="240" w:after="240"/>
              <w:rPr>
                <w:rFonts w:ascii="Times New Roman" w:eastAsia="仿宋"/>
                <w:color w:val="auto"/>
                <w:sz w:val="24"/>
                <w:szCs w:val="24"/>
                <w:highlight w:val="none"/>
              </w:rPr>
            </w:pPr>
          </w:p>
        </w:tc>
        <w:tc>
          <w:tcPr>
            <w:tcW w:w="2400" w:type="dxa"/>
          </w:tcPr>
          <w:p w14:paraId="0E14000A">
            <w:pPr>
              <w:spacing w:before="240" w:after="240"/>
              <w:rPr>
                <w:rFonts w:ascii="Times New Roman" w:eastAsia="仿宋"/>
                <w:color w:val="auto"/>
                <w:sz w:val="24"/>
                <w:szCs w:val="24"/>
                <w:highlight w:val="none"/>
              </w:rPr>
            </w:pPr>
          </w:p>
        </w:tc>
        <w:tc>
          <w:tcPr>
            <w:tcW w:w="2400" w:type="dxa"/>
          </w:tcPr>
          <w:p w14:paraId="498A43AC">
            <w:pPr>
              <w:spacing w:before="240" w:after="240"/>
              <w:rPr>
                <w:rFonts w:ascii="Times New Roman" w:eastAsia="仿宋"/>
                <w:color w:val="auto"/>
                <w:sz w:val="24"/>
                <w:szCs w:val="24"/>
                <w:highlight w:val="none"/>
              </w:rPr>
            </w:pPr>
          </w:p>
        </w:tc>
        <w:tc>
          <w:tcPr>
            <w:tcW w:w="1611" w:type="dxa"/>
          </w:tcPr>
          <w:p w14:paraId="0008995D">
            <w:pPr>
              <w:spacing w:before="240" w:after="240"/>
              <w:rPr>
                <w:rFonts w:ascii="Times New Roman" w:eastAsia="仿宋"/>
                <w:color w:val="auto"/>
                <w:sz w:val="24"/>
                <w:szCs w:val="24"/>
                <w:highlight w:val="none"/>
              </w:rPr>
            </w:pPr>
          </w:p>
        </w:tc>
      </w:tr>
      <w:tr w14:paraId="0CDAC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15CB450B">
            <w:pPr>
              <w:spacing w:before="240" w:after="240"/>
              <w:rPr>
                <w:rFonts w:ascii="Times New Roman" w:eastAsia="仿宋"/>
                <w:color w:val="auto"/>
                <w:sz w:val="24"/>
                <w:szCs w:val="24"/>
                <w:highlight w:val="none"/>
              </w:rPr>
            </w:pPr>
          </w:p>
        </w:tc>
        <w:tc>
          <w:tcPr>
            <w:tcW w:w="1920" w:type="dxa"/>
          </w:tcPr>
          <w:p w14:paraId="502E23C0">
            <w:pPr>
              <w:spacing w:before="240" w:after="240"/>
              <w:rPr>
                <w:rFonts w:ascii="Times New Roman" w:eastAsia="仿宋"/>
                <w:color w:val="auto"/>
                <w:sz w:val="24"/>
                <w:szCs w:val="24"/>
                <w:highlight w:val="none"/>
              </w:rPr>
            </w:pPr>
          </w:p>
        </w:tc>
        <w:tc>
          <w:tcPr>
            <w:tcW w:w="2400" w:type="dxa"/>
          </w:tcPr>
          <w:p w14:paraId="5A67E9CE">
            <w:pPr>
              <w:spacing w:before="240" w:after="240"/>
              <w:rPr>
                <w:rFonts w:ascii="Times New Roman" w:eastAsia="仿宋"/>
                <w:color w:val="auto"/>
                <w:sz w:val="24"/>
                <w:szCs w:val="24"/>
                <w:highlight w:val="none"/>
              </w:rPr>
            </w:pPr>
          </w:p>
        </w:tc>
        <w:tc>
          <w:tcPr>
            <w:tcW w:w="2400" w:type="dxa"/>
          </w:tcPr>
          <w:p w14:paraId="209D8E7C">
            <w:pPr>
              <w:spacing w:before="240" w:after="240"/>
              <w:rPr>
                <w:rFonts w:ascii="Times New Roman" w:eastAsia="仿宋"/>
                <w:color w:val="auto"/>
                <w:sz w:val="24"/>
                <w:szCs w:val="24"/>
                <w:highlight w:val="none"/>
              </w:rPr>
            </w:pPr>
          </w:p>
        </w:tc>
        <w:tc>
          <w:tcPr>
            <w:tcW w:w="1611" w:type="dxa"/>
          </w:tcPr>
          <w:p w14:paraId="6B980E1E">
            <w:pPr>
              <w:spacing w:before="240" w:after="240"/>
              <w:rPr>
                <w:rFonts w:ascii="Times New Roman" w:eastAsia="仿宋"/>
                <w:color w:val="auto"/>
                <w:sz w:val="24"/>
                <w:szCs w:val="24"/>
                <w:highlight w:val="none"/>
              </w:rPr>
            </w:pPr>
          </w:p>
        </w:tc>
      </w:tr>
      <w:tr w14:paraId="3D39A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273BC488">
            <w:pPr>
              <w:spacing w:before="240" w:after="240"/>
              <w:rPr>
                <w:rFonts w:ascii="Times New Roman" w:eastAsia="仿宋"/>
                <w:color w:val="auto"/>
                <w:sz w:val="24"/>
                <w:szCs w:val="24"/>
                <w:highlight w:val="none"/>
              </w:rPr>
            </w:pPr>
          </w:p>
        </w:tc>
        <w:tc>
          <w:tcPr>
            <w:tcW w:w="1920" w:type="dxa"/>
          </w:tcPr>
          <w:p w14:paraId="5CBA63E8">
            <w:pPr>
              <w:spacing w:before="240" w:after="240"/>
              <w:rPr>
                <w:rFonts w:ascii="Times New Roman" w:eastAsia="仿宋"/>
                <w:color w:val="auto"/>
                <w:sz w:val="24"/>
                <w:szCs w:val="24"/>
                <w:highlight w:val="none"/>
              </w:rPr>
            </w:pPr>
          </w:p>
        </w:tc>
        <w:tc>
          <w:tcPr>
            <w:tcW w:w="2400" w:type="dxa"/>
          </w:tcPr>
          <w:p w14:paraId="43FE4A43">
            <w:pPr>
              <w:spacing w:before="240" w:after="240"/>
              <w:rPr>
                <w:rFonts w:ascii="Times New Roman" w:eastAsia="仿宋"/>
                <w:color w:val="auto"/>
                <w:sz w:val="24"/>
                <w:szCs w:val="24"/>
                <w:highlight w:val="none"/>
              </w:rPr>
            </w:pPr>
          </w:p>
        </w:tc>
        <w:tc>
          <w:tcPr>
            <w:tcW w:w="2400" w:type="dxa"/>
          </w:tcPr>
          <w:p w14:paraId="7D215925">
            <w:pPr>
              <w:spacing w:before="240" w:after="240"/>
              <w:rPr>
                <w:rFonts w:ascii="Times New Roman" w:eastAsia="仿宋"/>
                <w:color w:val="auto"/>
                <w:sz w:val="24"/>
                <w:szCs w:val="24"/>
                <w:highlight w:val="none"/>
              </w:rPr>
            </w:pPr>
          </w:p>
        </w:tc>
        <w:tc>
          <w:tcPr>
            <w:tcW w:w="1611" w:type="dxa"/>
          </w:tcPr>
          <w:p w14:paraId="0F624FEA">
            <w:pPr>
              <w:spacing w:before="240" w:after="240"/>
              <w:rPr>
                <w:rFonts w:ascii="Times New Roman" w:eastAsia="仿宋"/>
                <w:color w:val="auto"/>
                <w:sz w:val="24"/>
                <w:szCs w:val="24"/>
                <w:highlight w:val="none"/>
              </w:rPr>
            </w:pPr>
          </w:p>
        </w:tc>
      </w:tr>
      <w:tr w14:paraId="34C1A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658AE139">
            <w:pPr>
              <w:spacing w:before="240" w:after="240"/>
              <w:rPr>
                <w:rFonts w:ascii="Times New Roman" w:eastAsia="仿宋"/>
                <w:color w:val="auto"/>
                <w:sz w:val="24"/>
                <w:szCs w:val="24"/>
                <w:highlight w:val="none"/>
              </w:rPr>
            </w:pPr>
          </w:p>
        </w:tc>
        <w:tc>
          <w:tcPr>
            <w:tcW w:w="1920" w:type="dxa"/>
          </w:tcPr>
          <w:p w14:paraId="20051A33">
            <w:pPr>
              <w:spacing w:before="240" w:after="240"/>
              <w:rPr>
                <w:rFonts w:ascii="Times New Roman" w:eastAsia="仿宋"/>
                <w:color w:val="auto"/>
                <w:sz w:val="24"/>
                <w:szCs w:val="24"/>
                <w:highlight w:val="none"/>
              </w:rPr>
            </w:pPr>
          </w:p>
        </w:tc>
        <w:tc>
          <w:tcPr>
            <w:tcW w:w="2400" w:type="dxa"/>
          </w:tcPr>
          <w:p w14:paraId="65CC8098">
            <w:pPr>
              <w:spacing w:before="240" w:after="240"/>
              <w:rPr>
                <w:rFonts w:ascii="Times New Roman" w:eastAsia="仿宋"/>
                <w:color w:val="auto"/>
                <w:sz w:val="24"/>
                <w:szCs w:val="24"/>
                <w:highlight w:val="none"/>
              </w:rPr>
            </w:pPr>
          </w:p>
        </w:tc>
        <w:tc>
          <w:tcPr>
            <w:tcW w:w="2400" w:type="dxa"/>
          </w:tcPr>
          <w:p w14:paraId="0228CE1F">
            <w:pPr>
              <w:spacing w:before="240" w:after="240"/>
              <w:rPr>
                <w:rFonts w:ascii="Times New Roman" w:eastAsia="仿宋"/>
                <w:color w:val="auto"/>
                <w:sz w:val="24"/>
                <w:szCs w:val="24"/>
                <w:highlight w:val="none"/>
              </w:rPr>
            </w:pPr>
          </w:p>
        </w:tc>
        <w:tc>
          <w:tcPr>
            <w:tcW w:w="1611" w:type="dxa"/>
          </w:tcPr>
          <w:p w14:paraId="61FB69C7">
            <w:pPr>
              <w:spacing w:before="240" w:after="240"/>
              <w:rPr>
                <w:rFonts w:ascii="Times New Roman" w:eastAsia="仿宋"/>
                <w:color w:val="auto"/>
                <w:sz w:val="24"/>
                <w:szCs w:val="24"/>
                <w:highlight w:val="none"/>
              </w:rPr>
            </w:pPr>
          </w:p>
        </w:tc>
      </w:tr>
    </w:tbl>
    <w:p w14:paraId="2C36FEF7">
      <w:pPr>
        <w:spacing w:line="480" w:lineRule="auto"/>
        <w:rPr>
          <w:rFonts w:ascii="Times New Roman" w:eastAsia="仿宋"/>
          <w:color w:val="auto"/>
          <w:sz w:val="24"/>
          <w:szCs w:val="24"/>
          <w:highlight w:val="none"/>
          <w:u w:val="single"/>
        </w:rPr>
      </w:pPr>
      <w:r>
        <w:rPr>
          <w:rFonts w:ascii="Times New Roman" w:eastAsia="仿宋"/>
          <w:color w:val="auto"/>
          <w:sz w:val="24"/>
          <w:szCs w:val="24"/>
          <w:highlight w:val="none"/>
        </w:rPr>
        <w:t>供应商名称（公章）：</w:t>
      </w:r>
      <w:r>
        <w:rPr>
          <w:rFonts w:ascii="Times New Roman" w:eastAsia="仿宋"/>
          <w:color w:val="auto"/>
          <w:sz w:val="24"/>
          <w:szCs w:val="24"/>
          <w:highlight w:val="none"/>
          <w:u w:val="single"/>
        </w:rPr>
        <w:t xml:space="preserve">                     </w:t>
      </w:r>
    </w:p>
    <w:p w14:paraId="115451B0">
      <w:pPr>
        <w:spacing w:line="480" w:lineRule="auto"/>
        <w:rPr>
          <w:rFonts w:ascii="Times New Roman" w:eastAsia="仿宋"/>
          <w:color w:val="auto"/>
          <w:sz w:val="24"/>
          <w:szCs w:val="24"/>
          <w:highlight w:val="none"/>
          <w:u w:val="single"/>
        </w:rPr>
      </w:pPr>
      <w:r>
        <w:rPr>
          <w:rFonts w:ascii="Times New Roman" w:eastAsia="仿宋"/>
          <w:color w:val="auto"/>
          <w:sz w:val="24"/>
          <w:szCs w:val="24"/>
          <w:highlight w:val="none"/>
        </w:rPr>
        <w:t>供应商代表签字：</w:t>
      </w:r>
      <w:r>
        <w:rPr>
          <w:rFonts w:ascii="Times New Roman" w:eastAsia="仿宋"/>
          <w:color w:val="auto"/>
          <w:sz w:val="24"/>
          <w:szCs w:val="24"/>
          <w:highlight w:val="none"/>
          <w:u w:val="single"/>
        </w:rPr>
        <w:t xml:space="preserve">                        </w:t>
      </w:r>
    </w:p>
    <w:p w14:paraId="1B36614C">
      <w:pPr>
        <w:spacing w:line="360" w:lineRule="auto"/>
        <w:rPr>
          <w:rFonts w:ascii="Times New Roman" w:eastAsia="仿宋"/>
          <w:color w:val="auto"/>
          <w:sz w:val="24"/>
          <w:szCs w:val="24"/>
          <w:highlight w:val="none"/>
        </w:rPr>
      </w:pPr>
      <w:r>
        <w:rPr>
          <w:rFonts w:ascii="Times New Roman" w:eastAsia="仿宋"/>
          <w:color w:val="auto"/>
          <w:sz w:val="24"/>
          <w:szCs w:val="24"/>
          <w:highlight w:val="none"/>
        </w:rPr>
        <w:t>注：1. 如供应商无任何偏离，也需在响应表中注明并在投标文件中递交此表。</w:t>
      </w:r>
    </w:p>
    <w:p w14:paraId="332AFC49">
      <w:pPr>
        <w:spacing w:line="360" w:lineRule="auto"/>
        <w:rPr>
          <w:rFonts w:ascii="Times New Roman" w:eastAsia="仿宋"/>
          <w:color w:val="auto"/>
          <w:sz w:val="24"/>
          <w:szCs w:val="24"/>
          <w:highlight w:val="none"/>
        </w:rPr>
      </w:pPr>
      <w:r>
        <w:rPr>
          <w:rFonts w:ascii="Times New Roman" w:eastAsia="仿宋"/>
          <w:color w:val="auto"/>
          <w:sz w:val="24"/>
          <w:szCs w:val="24"/>
          <w:highlight w:val="none"/>
        </w:rPr>
        <w:t>2. 偏离包括正、负偏离，正偏离指供应商的响应高于招标文件要求，负偏离指供应商的响应低于招标文件要求。</w:t>
      </w:r>
    </w:p>
    <w:p w14:paraId="7A9AB697">
      <w:pPr>
        <w:pStyle w:val="5"/>
        <w:ind w:firstLine="482"/>
        <w:jc w:val="center"/>
        <w:rPr>
          <w:rFonts w:eastAsia="仿宋"/>
          <w:color w:val="auto"/>
          <w:sz w:val="24"/>
          <w:szCs w:val="24"/>
          <w:highlight w:val="none"/>
        </w:rPr>
      </w:pPr>
      <w:bookmarkStart w:id="337" w:name="_Toc417458122"/>
      <w:bookmarkStart w:id="338" w:name="_Toc161767432"/>
      <w:bookmarkStart w:id="339" w:name="_Toc135999011"/>
      <w:bookmarkStart w:id="340" w:name="_Toc420657427"/>
      <w:bookmarkStart w:id="341" w:name="_Toc420487932"/>
      <w:bookmarkStart w:id="342" w:name="_Toc289873238"/>
      <w:bookmarkStart w:id="343" w:name="_Toc414880865"/>
      <w:bookmarkStart w:id="344" w:name="_Toc414881146"/>
      <w:r>
        <w:rPr>
          <w:rFonts w:eastAsia="仿宋"/>
          <w:color w:val="auto"/>
          <w:sz w:val="24"/>
          <w:szCs w:val="24"/>
          <w:highlight w:val="none"/>
        </w:rPr>
        <w:br w:type="page"/>
      </w:r>
      <w:bookmarkStart w:id="345" w:name="_Toc9345"/>
      <w:bookmarkStart w:id="346" w:name="_Toc496721292"/>
      <w:bookmarkStart w:id="347" w:name="_Toc530158024"/>
      <w:r>
        <w:rPr>
          <w:rFonts w:eastAsia="仿宋"/>
          <w:color w:val="auto"/>
          <w:sz w:val="24"/>
          <w:szCs w:val="24"/>
          <w:highlight w:val="none"/>
        </w:rPr>
        <w:t>2</w:t>
      </w:r>
      <w:bookmarkEnd w:id="337"/>
      <w:bookmarkEnd w:id="338"/>
      <w:bookmarkEnd w:id="339"/>
      <w:bookmarkEnd w:id="340"/>
      <w:bookmarkEnd w:id="341"/>
      <w:bookmarkEnd w:id="342"/>
      <w:bookmarkEnd w:id="343"/>
      <w:bookmarkEnd w:id="344"/>
      <w:r>
        <w:rPr>
          <w:rFonts w:hint="eastAsia" w:eastAsia="仿宋"/>
          <w:color w:val="auto"/>
          <w:sz w:val="24"/>
          <w:szCs w:val="24"/>
          <w:highlight w:val="none"/>
        </w:rPr>
        <w:t>.</w:t>
      </w:r>
      <w:r>
        <w:rPr>
          <w:rFonts w:eastAsia="仿宋"/>
          <w:color w:val="auto"/>
          <w:sz w:val="24"/>
          <w:szCs w:val="24"/>
          <w:highlight w:val="none"/>
        </w:rPr>
        <w:t>技术要求响应/偏离表</w:t>
      </w:r>
      <w:bookmarkEnd w:id="345"/>
      <w:bookmarkEnd w:id="346"/>
      <w:bookmarkEnd w:id="347"/>
    </w:p>
    <w:p w14:paraId="2601BEF7">
      <w:pPr>
        <w:spacing w:after="240" w:line="360" w:lineRule="auto"/>
        <w:rPr>
          <w:rFonts w:ascii="Times New Roman" w:eastAsia="仿宋"/>
          <w:color w:val="auto"/>
          <w:sz w:val="24"/>
          <w:szCs w:val="24"/>
          <w:highlight w:val="none"/>
          <w:u w:val="single"/>
        </w:rPr>
      </w:pPr>
      <w:r>
        <w:rPr>
          <w:rFonts w:ascii="Times New Roman" w:eastAsia="仿宋"/>
          <w:color w:val="auto"/>
          <w:sz w:val="24"/>
          <w:szCs w:val="24"/>
          <w:highlight w:val="none"/>
        </w:rPr>
        <w:t>供应商名称：</w:t>
      </w:r>
      <w:r>
        <w:rPr>
          <w:rFonts w:ascii="Times New Roman" w:eastAsia="仿宋"/>
          <w:color w:val="auto"/>
          <w:sz w:val="24"/>
          <w:szCs w:val="24"/>
          <w:highlight w:val="none"/>
          <w:u w:val="single"/>
        </w:rPr>
        <w:t xml:space="preserve">                </w:t>
      </w:r>
      <w:r>
        <w:rPr>
          <w:rFonts w:ascii="Times New Roman" w:eastAsia="仿宋"/>
          <w:color w:val="auto"/>
          <w:sz w:val="24"/>
          <w:szCs w:val="24"/>
          <w:highlight w:val="none"/>
        </w:rPr>
        <w:t xml:space="preserve"> 项目编号：</w:t>
      </w:r>
      <w:r>
        <w:rPr>
          <w:rFonts w:ascii="Times New Roman" w:eastAsia="仿宋"/>
          <w:color w:val="auto"/>
          <w:sz w:val="24"/>
          <w:szCs w:val="24"/>
          <w:highlight w:val="none"/>
          <w:u w:val="single"/>
        </w:rPr>
        <w:t xml:space="preserve">           </w:t>
      </w:r>
      <w:r>
        <w:rPr>
          <w:rFonts w:ascii="Times New Roman" w:eastAsia="仿宋"/>
          <w:color w:val="auto"/>
          <w:sz w:val="24"/>
          <w:szCs w:val="24"/>
          <w:highlight w:val="none"/>
        </w:rPr>
        <w:t xml:space="preserve"> </w:t>
      </w:r>
    </w:p>
    <w:tbl>
      <w:tblPr>
        <w:tblStyle w:val="41"/>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5"/>
        <w:gridCol w:w="2709"/>
        <w:gridCol w:w="2622"/>
        <w:gridCol w:w="2205"/>
      </w:tblGrid>
      <w:tr w14:paraId="7F906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1365" w:type="dxa"/>
            <w:vAlign w:val="center"/>
          </w:tcPr>
          <w:p w14:paraId="10A433C1">
            <w:pPr>
              <w:jc w:val="center"/>
              <w:rPr>
                <w:rFonts w:ascii="Times New Roman" w:eastAsia="仿宋"/>
                <w:color w:val="auto"/>
                <w:sz w:val="24"/>
                <w:szCs w:val="24"/>
                <w:highlight w:val="none"/>
              </w:rPr>
            </w:pPr>
            <w:r>
              <w:rPr>
                <w:rFonts w:ascii="Times New Roman" w:eastAsia="仿宋"/>
                <w:color w:val="auto"/>
                <w:sz w:val="24"/>
                <w:szCs w:val="24"/>
                <w:highlight w:val="none"/>
              </w:rPr>
              <w:t>序号</w:t>
            </w:r>
          </w:p>
        </w:tc>
        <w:tc>
          <w:tcPr>
            <w:tcW w:w="2709" w:type="dxa"/>
            <w:vAlign w:val="center"/>
          </w:tcPr>
          <w:p w14:paraId="4726B248">
            <w:pPr>
              <w:jc w:val="center"/>
              <w:rPr>
                <w:rFonts w:ascii="Times New Roman" w:eastAsia="仿宋"/>
                <w:color w:val="auto"/>
                <w:sz w:val="24"/>
                <w:szCs w:val="24"/>
                <w:highlight w:val="none"/>
              </w:rPr>
            </w:pPr>
            <w:r>
              <w:rPr>
                <w:rFonts w:ascii="Times New Roman" w:eastAsia="仿宋"/>
                <w:color w:val="auto"/>
                <w:sz w:val="24"/>
                <w:szCs w:val="24"/>
                <w:highlight w:val="none"/>
              </w:rPr>
              <w:t>招标文件技术要求</w:t>
            </w:r>
          </w:p>
        </w:tc>
        <w:tc>
          <w:tcPr>
            <w:tcW w:w="2622" w:type="dxa"/>
            <w:vAlign w:val="center"/>
          </w:tcPr>
          <w:p w14:paraId="2C381CF6">
            <w:pPr>
              <w:jc w:val="center"/>
              <w:rPr>
                <w:rFonts w:ascii="Times New Roman" w:eastAsia="仿宋"/>
                <w:color w:val="auto"/>
                <w:sz w:val="24"/>
                <w:szCs w:val="24"/>
                <w:highlight w:val="none"/>
              </w:rPr>
            </w:pPr>
            <w:r>
              <w:rPr>
                <w:rFonts w:ascii="Times New Roman" w:eastAsia="仿宋"/>
                <w:color w:val="auto"/>
                <w:sz w:val="24"/>
                <w:szCs w:val="24"/>
                <w:highlight w:val="none"/>
              </w:rPr>
              <w:t>投标文件技术指标情况</w:t>
            </w:r>
          </w:p>
        </w:tc>
        <w:tc>
          <w:tcPr>
            <w:tcW w:w="2205" w:type="dxa"/>
            <w:vAlign w:val="center"/>
          </w:tcPr>
          <w:p w14:paraId="14DB74AE">
            <w:pPr>
              <w:jc w:val="center"/>
              <w:rPr>
                <w:rFonts w:ascii="Times New Roman" w:eastAsia="仿宋"/>
                <w:color w:val="auto"/>
                <w:sz w:val="24"/>
                <w:szCs w:val="24"/>
                <w:highlight w:val="none"/>
              </w:rPr>
            </w:pPr>
            <w:r>
              <w:rPr>
                <w:rFonts w:ascii="Times New Roman" w:eastAsia="仿宋"/>
                <w:color w:val="auto"/>
                <w:sz w:val="24"/>
                <w:szCs w:val="24"/>
                <w:highlight w:val="none"/>
              </w:rPr>
              <w:t xml:space="preserve">  响应/偏离情况</w:t>
            </w:r>
          </w:p>
        </w:tc>
      </w:tr>
      <w:tr w14:paraId="2E28F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1365" w:type="dxa"/>
          </w:tcPr>
          <w:p w14:paraId="5DC33265">
            <w:pPr>
              <w:jc w:val="center"/>
              <w:rPr>
                <w:rFonts w:ascii="Times New Roman" w:eastAsia="仿宋"/>
                <w:color w:val="auto"/>
                <w:sz w:val="24"/>
                <w:szCs w:val="24"/>
                <w:highlight w:val="none"/>
              </w:rPr>
            </w:pPr>
          </w:p>
        </w:tc>
        <w:tc>
          <w:tcPr>
            <w:tcW w:w="2709" w:type="dxa"/>
          </w:tcPr>
          <w:p w14:paraId="420607B8">
            <w:pPr>
              <w:jc w:val="center"/>
              <w:rPr>
                <w:rFonts w:ascii="Times New Roman" w:eastAsia="仿宋"/>
                <w:color w:val="auto"/>
                <w:sz w:val="24"/>
                <w:szCs w:val="24"/>
                <w:highlight w:val="none"/>
              </w:rPr>
            </w:pPr>
          </w:p>
        </w:tc>
        <w:tc>
          <w:tcPr>
            <w:tcW w:w="2622" w:type="dxa"/>
          </w:tcPr>
          <w:p w14:paraId="5EC748DD">
            <w:pPr>
              <w:rPr>
                <w:rFonts w:ascii="Times New Roman" w:eastAsia="仿宋"/>
                <w:color w:val="auto"/>
                <w:sz w:val="24"/>
                <w:szCs w:val="24"/>
                <w:highlight w:val="none"/>
              </w:rPr>
            </w:pPr>
          </w:p>
        </w:tc>
        <w:tc>
          <w:tcPr>
            <w:tcW w:w="2205" w:type="dxa"/>
          </w:tcPr>
          <w:p w14:paraId="42AD7C77">
            <w:pPr>
              <w:rPr>
                <w:rFonts w:ascii="Times New Roman" w:eastAsia="仿宋"/>
                <w:color w:val="auto"/>
                <w:sz w:val="24"/>
                <w:szCs w:val="24"/>
                <w:highlight w:val="none"/>
              </w:rPr>
            </w:pPr>
          </w:p>
        </w:tc>
      </w:tr>
      <w:tr w14:paraId="76BB8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365" w:type="dxa"/>
          </w:tcPr>
          <w:p w14:paraId="51648EB1">
            <w:pPr>
              <w:jc w:val="center"/>
              <w:rPr>
                <w:rFonts w:ascii="Times New Roman" w:eastAsia="仿宋"/>
                <w:color w:val="auto"/>
                <w:sz w:val="24"/>
                <w:szCs w:val="24"/>
                <w:highlight w:val="none"/>
              </w:rPr>
            </w:pPr>
          </w:p>
        </w:tc>
        <w:tc>
          <w:tcPr>
            <w:tcW w:w="2709" w:type="dxa"/>
          </w:tcPr>
          <w:p w14:paraId="0E2AB489">
            <w:pPr>
              <w:jc w:val="center"/>
              <w:rPr>
                <w:rFonts w:ascii="Times New Roman" w:eastAsia="仿宋"/>
                <w:color w:val="auto"/>
                <w:sz w:val="24"/>
                <w:szCs w:val="24"/>
                <w:highlight w:val="none"/>
              </w:rPr>
            </w:pPr>
          </w:p>
        </w:tc>
        <w:tc>
          <w:tcPr>
            <w:tcW w:w="2622" w:type="dxa"/>
          </w:tcPr>
          <w:p w14:paraId="18763178">
            <w:pPr>
              <w:rPr>
                <w:rFonts w:ascii="Times New Roman" w:eastAsia="仿宋"/>
                <w:color w:val="auto"/>
                <w:sz w:val="24"/>
                <w:szCs w:val="24"/>
                <w:highlight w:val="none"/>
              </w:rPr>
            </w:pPr>
          </w:p>
        </w:tc>
        <w:tc>
          <w:tcPr>
            <w:tcW w:w="2205" w:type="dxa"/>
          </w:tcPr>
          <w:p w14:paraId="17B4FD74">
            <w:pPr>
              <w:rPr>
                <w:rFonts w:ascii="Times New Roman" w:eastAsia="仿宋"/>
                <w:color w:val="auto"/>
                <w:sz w:val="24"/>
                <w:szCs w:val="24"/>
                <w:highlight w:val="none"/>
              </w:rPr>
            </w:pPr>
          </w:p>
        </w:tc>
      </w:tr>
      <w:tr w14:paraId="76574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365" w:type="dxa"/>
          </w:tcPr>
          <w:p w14:paraId="0794C452">
            <w:pPr>
              <w:jc w:val="center"/>
              <w:rPr>
                <w:rFonts w:ascii="Times New Roman" w:eastAsia="仿宋"/>
                <w:color w:val="auto"/>
                <w:sz w:val="24"/>
                <w:szCs w:val="24"/>
                <w:highlight w:val="none"/>
              </w:rPr>
            </w:pPr>
          </w:p>
        </w:tc>
        <w:tc>
          <w:tcPr>
            <w:tcW w:w="2709" w:type="dxa"/>
          </w:tcPr>
          <w:p w14:paraId="03A66A53">
            <w:pPr>
              <w:jc w:val="center"/>
              <w:rPr>
                <w:rFonts w:ascii="Times New Roman" w:eastAsia="仿宋"/>
                <w:color w:val="auto"/>
                <w:sz w:val="24"/>
                <w:szCs w:val="24"/>
                <w:highlight w:val="none"/>
              </w:rPr>
            </w:pPr>
          </w:p>
        </w:tc>
        <w:tc>
          <w:tcPr>
            <w:tcW w:w="2622" w:type="dxa"/>
          </w:tcPr>
          <w:p w14:paraId="5C3EF654">
            <w:pPr>
              <w:rPr>
                <w:rFonts w:ascii="Times New Roman" w:eastAsia="仿宋"/>
                <w:color w:val="auto"/>
                <w:sz w:val="24"/>
                <w:szCs w:val="24"/>
                <w:highlight w:val="none"/>
              </w:rPr>
            </w:pPr>
          </w:p>
        </w:tc>
        <w:tc>
          <w:tcPr>
            <w:tcW w:w="2205" w:type="dxa"/>
          </w:tcPr>
          <w:p w14:paraId="4AF8A538">
            <w:pPr>
              <w:rPr>
                <w:rFonts w:ascii="Times New Roman" w:eastAsia="仿宋"/>
                <w:color w:val="auto"/>
                <w:sz w:val="24"/>
                <w:szCs w:val="24"/>
                <w:highlight w:val="none"/>
              </w:rPr>
            </w:pPr>
          </w:p>
        </w:tc>
      </w:tr>
      <w:tr w14:paraId="0A87F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365" w:type="dxa"/>
          </w:tcPr>
          <w:p w14:paraId="4DDF2296">
            <w:pPr>
              <w:jc w:val="center"/>
              <w:rPr>
                <w:rFonts w:ascii="Times New Roman" w:eastAsia="仿宋"/>
                <w:color w:val="auto"/>
                <w:sz w:val="24"/>
                <w:szCs w:val="24"/>
                <w:highlight w:val="none"/>
              </w:rPr>
            </w:pPr>
          </w:p>
        </w:tc>
        <w:tc>
          <w:tcPr>
            <w:tcW w:w="2709" w:type="dxa"/>
          </w:tcPr>
          <w:p w14:paraId="3088AC8F">
            <w:pPr>
              <w:jc w:val="center"/>
              <w:rPr>
                <w:rFonts w:ascii="Times New Roman" w:eastAsia="仿宋"/>
                <w:color w:val="auto"/>
                <w:sz w:val="24"/>
                <w:szCs w:val="24"/>
                <w:highlight w:val="none"/>
              </w:rPr>
            </w:pPr>
          </w:p>
        </w:tc>
        <w:tc>
          <w:tcPr>
            <w:tcW w:w="2622" w:type="dxa"/>
          </w:tcPr>
          <w:p w14:paraId="7C28467B">
            <w:pPr>
              <w:rPr>
                <w:rFonts w:ascii="Times New Roman" w:eastAsia="仿宋"/>
                <w:color w:val="auto"/>
                <w:sz w:val="24"/>
                <w:szCs w:val="24"/>
                <w:highlight w:val="none"/>
              </w:rPr>
            </w:pPr>
          </w:p>
        </w:tc>
        <w:tc>
          <w:tcPr>
            <w:tcW w:w="2205" w:type="dxa"/>
          </w:tcPr>
          <w:p w14:paraId="1DE2E301">
            <w:pPr>
              <w:rPr>
                <w:rFonts w:ascii="Times New Roman" w:eastAsia="仿宋"/>
                <w:color w:val="auto"/>
                <w:sz w:val="24"/>
                <w:szCs w:val="24"/>
                <w:highlight w:val="none"/>
              </w:rPr>
            </w:pPr>
          </w:p>
        </w:tc>
      </w:tr>
      <w:tr w14:paraId="62DFC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365" w:type="dxa"/>
          </w:tcPr>
          <w:p w14:paraId="5E768DC8">
            <w:pPr>
              <w:jc w:val="center"/>
              <w:rPr>
                <w:rFonts w:ascii="Times New Roman" w:eastAsia="仿宋"/>
                <w:color w:val="auto"/>
                <w:sz w:val="24"/>
                <w:szCs w:val="24"/>
                <w:highlight w:val="none"/>
              </w:rPr>
            </w:pPr>
          </w:p>
        </w:tc>
        <w:tc>
          <w:tcPr>
            <w:tcW w:w="2709" w:type="dxa"/>
          </w:tcPr>
          <w:p w14:paraId="1473E7ED">
            <w:pPr>
              <w:jc w:val="center"/>
              <w:rPr>
                <w:rFonts w:ascii="Times New Roman" w:eastAsia="仿宋"/>
                <w:color w:val="auto"/>
                <w:sz w:val="24"/>
                <w:szCs w:val="24"/>
                <w:highlight w:val="none"/>
              </w:rPr>
            </w:pPr>
          </w:p>
        </w:tc>
        <w:tc>
          <w:tcPr>
            <w:tcW w:w="2622" w:type="dxa"/>
          </w:tcPr>
          <w:p w14:paraId="5486FED4">
            <w:pPr>
              <w:rPr>
                <w:rFonts w:ascii="Times New Roman" w:eastAsia="仿宋"/>
                <w:color w:val="auto"/>
                <w:sz w:val="24"/>
                <w:szCs w:val="24"/>
                <w:highlight w:val="none"/>
              </w:rPr>
            </w:pPr>
          </w:p>
        </w:tc>
        <w:tc>
          <w:tcPr>
            <w:tcW w:w="2205" w:type="dxa"/>
          </w:tcPr>
          <w:p w14:paraId="4794DFF6">
            <w:pPr>
              <w:rPr>
                <w:rFonts w:ascii="Times New Roman" w:eastAsia="仿宋"/>
                <w:color w:val="auto"/>
                <w:sz w:val="24"/>
                <w:szCs w:val="24"/>
                <w:highlight w:val="none"/>
              </w:rPr>
            </w:pPr>
          </w:p>
        </w:tc>
      </w:tr>
      <w:tr w14:paraId="536FC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365" w:type="dxa"/>
          </w:tcPr>
          <w:p w14:paraId="7129C7B3">
            <w:pPr>
              <w:jc w:val="center"/>
              <w:rPr>
                <w:rFonts w:ascii="Times New Roman" w:eastAsia="仿宋"/>
                <w:color w:val="auto"/>
                <w:sz w:val="24"/>
                <w:szCs w:val="24"/>
                <w:highlight w:val="none"/>
              </w:rPr>
            </w:pPr>
          </w:p>
        </w:tc>
        <w:tc>
          <w:tcPr>
            <w:tcW w:w="2709" w:type="dxa"/>
          </w:tcPr>
          <w:p w14:paraId="1999E8D5">
            <w:pPr>
              <w:jc w:val="center"/>
              <w:rPr>
                <w:rFonts w:ascii="Times New Roman" w:eastAsia="仿宋"/>
                <w:color w:val="auto"/>
                <w:sz w:val="24"/>
                <w:szCs w:val="24"/>
                <w:highlight w:val="none"/>
              </w:rPr>
            </w:pPr>
          </w:p>
        </w:tc>
        <w:tc>
          <w:tcPr>
            <w:tcW w:w="2622" w:type="dxa"/>
          </w:tcPr>
          <w:p w14:paraId="5FD3CDF2">
            <w:pPr>
              <w:rPr>
                <w:rFonts w:ascii="Times New Roman" w:eastAsia="仿宋"/>
                <w:color w:val="auto"/>
                <w:sz w:val="24"/>
                <w:szCs w:val="24"/>
                <w:highlight w:val="none"/>
              </w:rPr>
            </w:pPr>
          </w:p>
        </w:tc>
        <w:tc>
          <w:tcPr>
            <w:tcW w:w="2205" w:type="dxa"/>
          </w:tcPr>
          <w:p w14:paraId="47F36912">
            <w:pPr>
              <w:rPr>
                <w:rFonts w:ascii="Times New Roman" w:eastAsia="仿宋"/>
                <w:color w:val="auto"/>
                <w:sz w:val="24"/>
                <w:szCs w:val="24"/>
                <w:highlight w:val="none"/>
              </w:rPr>
            </w:pPr>
          </w:p>
        </w:tc>
      </w:tr>
      <w:tr w14:paraId="4D38A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365" w:type="dxa"/>
          </w:tcPr>
          <w:p w14:paraId="06F5946C">
            <w:pPr>
              <w:jc w:val="center"/>
              <w:rPr>
                <w:rFonts w:ascii="Times New Roman" w:eastAsia="仿宋"/>
                <w:color w:val="auto"/>
                <w:sz w:val="24"/>
                <w:szCs w:val="24"/>
                <w:highlight w:val="none"/>
              </w:rPr>
            </w:pPr>
          </w:p>
        </w:tc>
        <w:tc>
          <w:tcPr>
            <w:tcW w:w="2709" w:type="dxa"/>
          </w:tcPr>
          <w:p w14:paraId="7BD7E6A0">
            <w:pPr>
              <w:jc w:val="center"/>
              <w:rPr>
                <w:rFonts w:ascii="Times New Roman" w:eastAsia="仿宋"/>
                <w:color w:val="auto"/>
                <w:sz w:val="24"/>
                <w:szCs w:val="24"/>
                <w:highlight w:val="none"/>
              </w:rPr>
            </w:pPr>
          </w:p>
        </w:tc>
        <w:tc>
          <w:tcPr>
            <w:tcW w:w="2622" w:type="dxa"/>
          </w:tcPr>
          <w:p w14:paraId="3C983FB6">
            <w:pPr>
              <w:rPr>
                <w:rFonts w:ascii="Times New Roman" w:eastAsia="仿宋"/>
                <w:color w:val="auto"/>
                <w:sz w:val="24"/>
                <w:szCs w:val="24"/>
                <w:highlight w:val="none"/>
              </w:rPr>
            </w:pPr>
          </w:p>
        </w:tc>
        <w:tc>
          <w:tcPr>
            <w:tcW w:w="2205" w:type="dxa"/>
          </w:tcPr>
          <w:p w14:paraId="738175CA">
            <w:pPr>
              <w:rPr>
                <w:rFonts w:ascii="Times New Roman" w:eastAsia="仿宋"/>
                <w:color w:val="auto"/>
                <w:sz w:val="24"/>
                <w:szCs w:val="24"/>
                <w:highlight w:val="none"/>
              </w:rPr>
            </w:pPr>
          </w:p>
        </w:tc>
      </w:tr>
    </w:tbl>
    <w:p w14:paraId="405060A5">
      <w:pPr>
        <w:spacing w:line="480" w:lineRule="auto"/>
        <w:rPr>
          <w:rFonts w:ascii="Times New Roman" w:eastAsia="仿宋"/>
          <w:color w:val="auto"/>
          <w:sz w:val="24"/>
          <w:szCs w:val="24"/>
          <w:highlight w:val="none"/>
          <w:u w:val="single"/>
        </w:rPr>
      </w:pPr>
      <w:r>
        <w:rPr>
          <w:rFonts w:ascii="Times New Roman" w:eastAsia="仿宋"/>
          <w:color w:val="auto"/>
          <w:sz w:val="24"/>
          <w:szCs w:val="24"/>
          <w:highlight w:val="none"/>
        </w:rPr>
        <w:t>供应商名称（公章）：</w:t>
      </w:r>
      <w:r>
        <w:rPr>
          <w:rFonts w:ascii="Times New Roman" w:eastAsia="仿宋"/>
          <w:color w:val="auto"/>
          <w:sz w:val="24"/>
          <w:szCs w:val="24"/>
          <w:highlight w:val="none"/>
          <w:u w:val="single"/>
        </w:rPr>
        <w:t xml:space="preserve">                     </w:t>
      </w:r>
    </w:p>
    <w:p w14:paraId="6C01470A">
      <w:pPr>
        <w:spacing w:line="480" w:lineRule="auto"/>
        <w:rPr>
          <w:rFonts w:ascii="Times New Roman" w:eastAsia="仿宋"/>
          <w:i/>
          <w:color w:val="auto"/>
          <w:sz w:val="24"/>
          <w:szCs w:val="24"/>
          <w:highlight w:val="none"/>
        </w:rPr>
      </w:pPr>
      <w:r>
        <w:rPr>
          <w:rFonts w:ascii="Times New Roman" w:eastAsia="仿宋"/>
          <w:color w:val="auto"/>
          <w:sz w:val="24"/>
          <w:szCs w:val="24"/>
          <w:highlight w:val="none"/>
        </w:rPr>
        <w:t>供应商代表签字：</w:t>
      </w:r>
      <w:r>
        <w:rPr>
          <w:rFonts w:ascii="Times New Roman" w:eastAsia="仿宋"/>
          <w:color w:val="auto"/>
          <w:sz w:val="24"/>
          <w:szCs w:val="24"/>
          <w:highlight w:val="none"/>
          <w:u w:val="single"/>
        </w:rPr>
        <w:t xml:space="preserve">                        </w:t>
      </w:r>
    </w:p>
    <w:p w14:paraId="1367E29D">
      <w:pPr>
        <w:spacing w:line="360" w:lineRule="auto"/>
        <w:rPr>
          <w:rFonts w:ascii="Times New Roman" w:eastAsia="仿宋"/>
          <w:color w:val="auto"/>
          <w:sz w:val="24"/>
          <w:szCs w:val="24"/>
          <w:highlight w:val="none"/>
        </w:rPr>
      </w:pPr>
      <w:r>
        <w:rPr>
          <w:rFonts w:ascii="Times New Roman" w:eastAsia="仿宋"/>
          <w:color w:val="auto"/>
          <w:sz w:val="24"/>
          <w:szCs w:val="24"/>
          <w:highlight w:val="none"/>
        </w:rPr>
        <w:t>注：1.对于某项指标的数据存在证明文件内容不一致的情况，取指标较低的为准，对于可以用量化形式表示的条款，供应商必须明确回答，或以功能描述回答。</w:t>
      </w:r>
    </w:p>
    <w:p w14:paraId="353A6E52">
      <w:pPr>
        <w:spacing w:line="360" w:lineRule="auto"/>
        <w:ind w:firstLine="480"/>
        <w:rPr>
          <w:rFonts w:ascii="Times New Roman" w:eastAsia="仿宋"/>
          <w:color w:val="auto"/>
          <w:sz w:val="24"/>
          <w:szCs w:val="24"/>
          <w:highlight w:val="none"/>
        </w:rPr>
      </w:pPr>
      <w:r>
        <w:rPr>
          <w:rFonts w:ascii="Times New Roman" w:eastAsia="仿宋"/>
          <w:color w:val="auto"/>
          <w:sz w:val="24"/>
          <w:szCs w:val="24"/>
          <w:highlight w:val="none"/>
        </w:rPr>
        <w:t>2.作为投标文件重要的组成部分，不应通过简单拷贝招标文件技术要求或简单标注“符合”“满足”。</w:t>
      </w:r>
    </w:p>
    <w:p w14:paraId="7D1EA991">
      <w:pPr>
        <w:spacing w:line="360" w:lineRule="auto"/>
        <w:ind w:firstLine="480"/>
        <w:rPr>
          <w:rFonts w:ascii="Times New Roman" w:eastAsia="仿宋"/>
          <w:color w:val="auto"/>
          <w:sz w:val="24"/>
          <w:szCs w:val="24"/>
          <w:highlight w:val="none"/>
        </w:rPr>
      </w:pPr>
      <w:r>
        <w:rPr>
          <w:rFonts w:ascii="Times New Roman" w:eastAsia="仿宋"/>
          <w:color w:val="auto"/>
          <w:sz w:val="24"/>
          <w:szCs w:val="24"/>
          <w:highlight w:val="none"/>
        </w:rPr>
        <w:t>3.偏离包括正、负偏离，正偏离指供应商的响应高于招标文件要求，负偏离指供应商的响应低于招标文件要求。</w:t>
      </w:r>
    </w:p>
    <w:p w14:paraId="541E18E8">
      <w:pPr>
        <w:pStyle w:val="5"/>
        <w:ind w:firstLine="482"/>
        <w:jc w:val="center"/>
        <w:rPr>
          <w:rFonts w:eastAsia="仿宋"/>
          <w:color w:val="auto"/>
          <w:sz w:val="24"/>
          <w:szCs w:val="24"/>
          <w:highlight w:val="none"/>
        </w:rPr>
      </w:pPr>
      <w:r>
        <w:rPr>
          <w:rFonts w:eastAsia="仿宋"/>
          <w:color w:val="auto"/>
          <w:sz w:val="24"/>
          <w:szCs w:val="24"/>
          <w:highlight w:val="none"/>
          <w:u w:val="single"/>
        </w:rPr>
        <w:br w:type="page"/>
      </w:r>
      <w:bookmarkEnd w:id="328"/>
      <w:bookmarkEnd w:id="329"/>
      <w:bookmarkEnd w:id="330"/>
      <w:bookmarkEnd w:id="331"/>
      <w:bookmarkEnd w:id="332"/>
      <w:bookmarkEnd w:id="333"/>
      <w:bookmarkEnd w:id="334"/>
      <w:bookmarkEnd w:id="335"/>
      <w:bookmarkEnd w:id="336"/>
      <w:bookmarkStart w:id="348" w:name="_Toc530158025"/>
      <w:bookmarkStart w:id="349" w:name="_Toc496721294"/>
      <w:bookmarkStart w:id="350" w:name="_Toc13771"/>
      <w:bookmarkStart w:id="351" w:name="_Toc420487935"/>
      <w:bookmarkStart w:id="352" w:name="_Toc420657430"/>
      <w:bookmarkStart w:id="353" w:name="_Toc13233096"/>
      <w:bookmarkStart w:id="354" w:name="_Toc529973119"/>
      <w:bookmarkStart w:id="355" w:name="_Toc525660080"/>
      <w:bookmarkStart w:id="356" w:name="_Toc17097044"/>
      <w:bookmarkStart w:id="357" w:name="_Toc525720234"/>
      <w:r>
        <w:rPr>
          <w:rFonts w:eastAsia="仿宋"/>
          <w:color w:val="auto"/>
          <w:sz w:val="24"/>
          <w:szCs w:val="24"/>
          <w:highlight w:val="none"/>
        </w:rPr>
        <w:t>3</w:t>
      </w:r>
      <w:bookmarkEnd w:id="348"/>
      <w:bookmarkEnd w:id="349"/>
      <w:r>
        <w:rPr>
          <w:rFonts w:hint="eastAsia" w:eastAsia="仿宋"/>
          <w:color w:val="auto"/>
          <w:sz w:val="24"/>
          <w:szCs w:val="24"/>
          <w:highlight w:val="none"/>
        </w:rPr>
        <w:t>.</w:t>
      </w:r>
      <w:r>
        <w:rPr>
          <w:rFonts w:hint="eastAsia"/>
          <w:color w:val="auto"/>
          <w:highlight w:val="none"/>
        </w:rPr>
        <w:t xml:space="preserve"> </w:t>
      </w:r>
      <w:r>
        <w:rPr>
          <w:rFonts w:hint="eastAsia" w:eastAsia="仿宋"/>
          <w:color w:val="auto"/>
          <w:sz w:val="24"/>
          <w:szCs w:val="24"/>
          <w:highlight w:val="none"/>
        </w:rPr>
        <w:t>商务部分</w:t>
      </w:r>
      <w:bookmarkEnd w:id="350"/>
    </w:p>
    <w:p w14:paraId="6D3936C2">
      <w:pPr>
        <w:ind w:firstLine="482"/>
        <w:jc w:val="center"/>
        <w:rPr>
          <w:rFonts w:ascii="Times New Roman" w:eastAsia="仿宋_GB2312"/>
          <w:b/>
          <w:color w:val="auto"/>
          <w:kern w:val="2"/>
          <w:sz w:val="24"/>
          <w:szCs w:val="24"/>
          <w:highlight w:val="none"/>
        </w:rPr>
      </w:pPr>
      <w:r>
        <w:rPr>
          <w:rFonts w:ascii="Times New Roman" w:eastAsia="仿宋_GB2312"/>
          <w:b/>
          <w:color w:val="auto"/>
          <w:kern w:val="2"/>
          <w:sz w:val="24"/>
          <w:szCs w:val="24"/>
          <w:highlight w:val="none"/>
        </w:rPr>
        <w:t>(结合评标办法要求提供相应证明材料)</w:t>
      </w:r>
    </w:p>
    <w:p w14:paraId="2BE9CD21">
      <w:pPr>
        <w:ind w:firstLine="482"/>
        <w:rPr>
          <w:rFonts w:ascii="Times New Roman" w:eastAsia="仿宋_GB2312"/>
          <w:b/>
          <w:color w:val="auto"/>
          <w:kern w:val="2"/>
          <w:sz w:val="24"/>
          <w:szCs w:val="24"/>
          <w:highlight w:val="none"/>
        </w:rPr>
      </w:pPr>
      <w:r>
        <w:rPr>
          <w:rFonts w:hint="eastAsia" w:ascii="Times New Roman" w:eastAsia="仿宋_GB2312"/>
          <w:b/>
          <w:color w:val="auto"/>
          <w:kern w:val="2"/>
          <w:sz w:val="24"/>
          <w:szCs w:val="24"/>
          <w:highlight w:val="none"/>
        </w:rPr>
        <w:t>3</w:t>
      </w:r>
      <w:r>
        <w:rPr>
          <w:rFonts w:ascii="Times New Roman" w:eastAsia="仿宋_GB2312"/>
          <w:b/>
          <w:color w:val="auto"/>
          <w:kern w:val="2"/>
          <w:sz w:val="24"/>
          <w:szCs w:val="24"/>
          <w:highlight w:val="none"/>
        </w:rPr>
        <w:t xml:space="preserve">.1 </w:t>
      </w:r>
      <w:r>
        <w:rPr>
          <w:rFonts w:hint="eastAsia" w:ascii="Times New Roman" w:eastAsia="仿宋_GB2312"/>
          <w:b/>
          <w:color w:val="auto"/>
          <w:kern w:val="2"/>
          <w:sz w:val="24"/>
          <w:szCs w:val="24"/>
          <w:highlight w:val="none"/>
        </w:rPr>
        <w:t>类似业绩</w:t>
      </w:r>
    </w:p>
    <w:p w14:paraId="4347C954">
      <w:pPr>
        <w:ind w:firstLine="482"/>
        <w:rPr>
          <w:rFonts w:ascii="Times New Roman" w:eastAsia="仿宋_GB2312"/>
          <w:b/>
          <w:color w:val="auto"/>
          <w:kern w:val="2"/>
          <w:sz w:val="24"/>
          <w:szCs w:val="24"/>
          <w:highlight w:val="none"/>
        </w:rPr>
      </w:pPr>
      <w:r>
        <w:rPr>
          <w:rFonts w:hint="eastAsia" w:ascii="Times New Roman" w:eastAsia="仿宋_GB2312"/>
          <w:b/>
          <w:color w:val="auto"/>
          <w:kern w:val="2"/>
          <w:sz w:val="24"/>
          <w:szCs w:val="24"/>
          <w:highlight w:val="none"/>
        </w:rPr>
        <w:t>3</w:t>
      </w:r>
      <w:r>
        <w:rPr>
          <w:rFonts w:ascii="Times New Roman" w:eastAsia="仿宋_GB2312"/>
          <w:b/>
          <w:color w:val="auto"/>
          <w:kern w:val="2"/>
          <w:sz w:val="24"/>
          <w:szCs w:val="24"/>
          <w:highlight w:val="none"/>
        </w:rPr>
        <w:t xml:space="preserve">.2 </w:t>
      </w:r>
      <w:r>
        <w:rPr>
          <w:rFonts w:hint="eastAsia" w:ascii="Times New Roman" w:eastAsia="仿宋_GB2312"/>
          <w:b/>
          <w:color w:val="auto"/>
          <w:kern w:val="2"/>
          <w:sz w:val="24"/>
          <w:szCs w:val="24"/>
          <w:highlight w:val="none"/>
        </w:rPr>
        <w:t>资质认证</w:t>
      </w:r>
    </w:p>
    <w:p w14:paraId="703C65DE">
      <w:pPr>
        <w:ind w:firstLine="482"/>
        <w:rPr>
          <w:rFonts w:ascii="Times New Roman" w:eastAsia="仿宋_GB2312"/>
          <w:b/>
          <w:color w:val="auto"/>
          <w:kern w:val="2"/>
          <w:sz w:val="24"/>
          <w:szCs w:val="24"/>
          <w:highlight w:val="none"/>
        </w:rPr>
      </w:pPr>
      <w:r>
        <w:rPr>
          <w:rFonts w:hint="eastAsia" w:ascii="Times New Roman" w:eastAsia="仿宋_GB2312"/>
          <w:b/>
          <w:color w:val="auto"/>
          <w:kern w:val="2"/>
          <w:sz w:val="24"/>
          <w:szCs w:val="24"/>
          <w:highlight w:val="none"/>
        </w:rPr>
        <w:t>3</w:t>
      </w:r>
      <w:r>
        <w:rPr>
          <w:rFonts w:ascii="Times New Roman" w:eastAsia="仿宋_GB2312"/>
          <w:b/>
          <w:color w:val="auto"/>
          <w:kern w:val="2"/>
          <w:sz w:val="24"/>
          <w:szCs w:val="24"/>
          <w:highlight w:val="none"/>
        </w:rPr>
        <w:t xml:space="preserve">.3 </w:t>
      </w:r>
      <w:r>
        <w:rPr>
          <w:rFonts w:hint="eastAsia" w:ascii="Times New Roman" w:eastAsia="仿宋_GB2312"/>
          <w:b/>
          <w:color w:val="auto"/>
          <w:kern w:val="2"/>
          <w:sz w:val="24"/>
          <w:szCs w:val="24"/>
          <w:highlight w:val="none"/>
        </w:rPr>
        <w:t>技术能力</w:t>
      </w:r>
    </w:p>
    <w:p w14:paraId="514E57A5">
      <w:pPr>
        <w:ind w:firstLine="482"/>
        <w:rPr>
          <w:rFonts w:ascii="Times New Roman" w:eastAsia="仿宋_GB2312"/>
          <w:b/>
          <w:color w:val="auto"/>
          <w:kern w:val="2"/>
          <w:sz w:val="24"/>
          <w:szCs w:val="24"/>
          <w:highlight w:val="none"/>
        </w:rPr>
      </w:pPr>
      <w:r>
        <w:rPr>
          <w:rFonts w:hint="eastAsia" w:ascii="Times New Roman" w:eastAsia="仿宋_GB2312"/>
          <w:b/>
          <w:color w:val="auto"/>
          <w:kern w:val="2"/>
          <w:sz w:val="24"/>
          <w:szCs w:val="24"/>
          <w:highlight w:val="none"/>
        </w:rPr>
        <w:t>3</w:t>
      </w:r>
      <w:r>
        <w:rPr>
          <w:rFonts w:ascii="Times New Roman" w:eastAsia="仿宋_GB2312"/>
          <w:b/>
          <w:color w:val="auto"/>
          <w:kern w:val="2"/>
          <w:sz w:val="24"/>
          <w:szCs w:val="24"/>
          <w:highlight w:val="none"/>
        </w:rPr>
        <w:t xml:space="preserve">.4 </w:t>
      </w:r>
      <w:r>
        <w:rPr>
          <w:rFonts w:hint="eastAsia" w:ascii="Times New Roman" w:eastAsia="仿宋_GB2312"/>
          <w:b/>
          <w:color w:val="auto"/>
          <w:kern w:val="2"/>
          <w:sz w:val="24"/>
          <w:szCs w:val="24"/>
          <w:highlight w:val="none"/>
        </w:rPr>
        <w:t>资质信誉</w:t>
      </w:r>
    </w:p>
    <w:p w14:paraId="77D4C48F">
      <w:pPr>
        <w:ind w:firstLine="482"/>
        <w:rPr>
          <w:rFonts w:ascii="Times New Roman" w:eastAsia="仿宋_GB2312"/>
          <w:b/>
          <w:color w:val="auto"/>
          <w:kern w:val="2"/>
          <w:sz w:val="24"/>
          <w:szCs w:val="24"/>
          <w:highlight w:val="none"/>
        </w:rPr>
      </w:pPr>
      <w:r>
        <w:rPr>
          <w:rFonts w:hint="eastAsia" w:ascii="Times New Roman" w:eastAsia="仿宋_GB2312"/>
          <w:b/>
          <w:color w:val="auto"/>
          <w:kern w:val="2"/>
          <w:sz w:val="24"/>
          <w:szCs w:val="24"/>
          <w:highlight w:val="none"/>
        </w:rPr>
        <w:t>3</w:t>
      </w:r>
      <w:r>
        <w:rPr>
          <w:rFonts w:ascii="Times New Roman" w:eastAsia="仿宋_GB2312"/>
          <w:b/>
          <w:color w:val="auto"/>
          <w:kern w:val="2"/>
          <w:sz w:val="24"/>
          <w:szCs w:val="24"/>
          <w:highlight w:val="none"/>
        </w:rPr>
        <w:t xml:space="preserve">.5 </w:t>
      </w:r>
      <w:r>
        <w:rPr>
          <w:rFonts w:hint="eastAsia" w:ascii="Times New Roman" w:eastAsia="仿宋_GB2312"/>
          <w:b/>
          <w:color w:val="auto"/>
          <w:kern w:val="2"/>
          <w:sz w:val="24"/>
          <w:szCs w:val="24"/>
          <w:highlight w:val="none"/>
        </w:rPr>
        <w:t>卫星接收能力</w:t>
      </w:r>
    </w:p>
    <w:p w14:paraId="0A7892C2">
      <w:pPr>
        <w:ind w:firstLine="482"/>
        <w:rPr>
          <w:rFonts w:ascii="Times New Roman" w:eastAsia="仿宋_GB2312"/>
          <w:b/>
          <w:color w:val="auto"/>
          <w:kern w:val="2"/>
          <w:sz w:val="24"/>
          <w:szCs w:val="24"/>
          <w:highlight w:val="none"/>
        </w:rPr>
      </w:pPr>
      <w:r>
        <w:rPr>
          <w:rFonts w:hint="eastAsia" w:ascii="Times New Roman" w:eastAsia="仿宋_GB2312"/>
          <w:b/>
          <w:color w:val="auto"/>
          <w:kern w:val="2"/>
          <w:sz w:val="24"/>
          <w:szCs w:val="24"/>
          <w:highlight w:val="none"/>
        </w:rPr>
        <w:t>3</w:t>
      </w:r>
      <w:r>
        <w:rPr>
          <w:rFonts w:ascii="Times New Roman" w:eastAsia="仿宋_GB2312"/>
          <w:b/>
          <w:color w:val="auto"/>
          <w:kern w:val="2"/>
          <w:sz w:val="24"/>
          <w:szCs w:val="24"/>
          <w:highlight w:val="none"/>
        </w:rPr>
        <w:t xml:space="preserve">.6 </w:t>
      </w:r>
      <w:r>
        <w:rPr>
          <w:rFonts w:hint="eastAsia" w:ascii="Times New Roman" w:eastAsia="仿宋_GB2312"/>
          <w:b/>
          <w:color w:val="auto"/>
          <w:kern w:val="2"/>
          <w:sz w:val="24"/>
          <w:szCs w:val="24"/>
          <w:highlight w:val="none"/>
        </w:rPr>
        <w:t>卫星授权</w:t>
      </w:r>
    </w:p>
    <w:p w14:paraId="62A30B95">
      <w:pPr>
        <w:ind w:firstLine="482"/>
        <w:rPr>
          <w:rFonts w:ascii="Times New Roman" w:eastAsia="仿宋_GB2312"/>
          <w:b/>
          <w:color w:val="auto"/>
          <w:kern w:val="2"/>
          <w:sz w:val="24"/>
          <w:szCs w:val="24"/>
          <w:highlight w:val="none"/>
        </w:rPr>
      </w:pPr>
      <w:r>
        <w:rPr>
          <w:rFonts w:hint="eastAsia" w:ascii="Times New Roman" w:eastAsia="仿宋_GB2312"/>
          <w:b/>
          <w:color w:val="auto"/>
          <w:kern w:val="2"/>
          <w:sz w:val="24"/>
          <w:szCs w:val="24"/>
          <w:highlight w:val="none"/>
        </w:rPr>
        <w:t>3</w:t>
      </w:r>
      <w:r>
        <w:rPr>
          <w:rFonts w:ascii="Times New Roman" w:eastAsia="仿宋_GB2312"/>
          <w:b/>
          <w:color w:val="auto"/>
          <w:kern w:val="2"/>
          <w:sz w:val="24"/>
          <w:szCs w:val="24"/>
          <w:highlight w:val="none"/>
        </w:rPr>
        <w:t xml:space="preserve">.7 </w:t>
      </w:r>
      <w:r>
        <w:rPr>
          <w:rFonts w:hint="eastAsia" w:ascii="Times New Roman" w:eastAsia="仿宋_GB2312"/>
          <w:b/>
          <w:color w:val="auto"/>
          <w:kern w:val="2"/>
          <w:sz w:val="24"/>
          <w:szCs w:val="24"/>
          <w:highlight w:val="none"/>
        </w:rPr>
        <w:t>卫星影像采集能力</w:t>
      </w:r>
    </w:p>
    <w:p w14:paraId="4876331B">
      <w:pPr>
        <w:ind w:firstLine="482"/>
        <w:rPr>
          <w:rFonts w:ascii="Times New Roman" w:eastAsia="仿宋_GB2312"/>
          <w:b/>
          <w:color w:val="auto"/>
          <w:kern w:val="2"/>
          <w:sz w:val="24"/>
          <w:szCs w:val="24"/>
          <w:highlight w:val="none"/>
        </w:rPr>
      </w:pPr>
    </w:p>
    <w:p w14:paraId="26CA3EC9">
      <w:pPr>
        <w:pStyle w:val="5"/>
        <w:ind w:firstLine="482"/>
        <w:jc w:val="center"/>
        <w:rPr>
          <w:rFonts w:eastAsia="仿宋"/>
          <w:color w:val="auto"/>
          <w:sz w:val="24"/>
          <w:szCs w:val="24"/>
          <w:highlight w:val="none"/>
        </w:rPr>
      </w:pPr>
      <w:bookmarkStart w:id="358" w:name="_Toc496721293"/>
      <w:bookmarkStart w:id="359" w:name="_Toc530158026"/>
      <w:bookmarkStart w:id="360" w:name="_Toc5259"/>
      <w:r>
        <w:rPr>
          <w:rFonts w:eastAsia="仿宋"/>
          <w:color w:val="auto"/>
          <w:sz w:val="24"/>
          <w:szCs w:val="24"/>
          <w:highlight w:val="none"/>
        </w:rPr>
        <w:t>4</w:t>
      </w:r>
      <w:bookmarkEnd w:id="358"/>
      <w:r>
        <w:rPr>
          <w:rFonts w:hint="eastAsia" w:eastAsia="仿宋"/>
          <w:color w:val="auto"/>
          <w:sz w:val="24"/>
          <w:szCs w:val="24"/>
          <w:highlight w:val="none"/>
        </w:rPr>
        <w:t>.</w:t>
      </w:r>
      <w:bookmarkEnd w:id="359"/>
      <w:r>
        <w:rPr>
          <w:rFonts w:hint="eastAsia"/>
          <w:color w:val="auto"/>
          <w:highlight w:val="none"/>
        </w:rPr>
        <w:t xml:space="preserve"> </w:t>
      </w:r>
      <w:r>
        <w:rPr>
          <w:rFonts w:hint="eastAsia" w:eastAsia="仿宋"/>
          <w:color w:val="auto"/>
          <w:sz w:val="24"/>
          <w:szCs w:val="24"/>
          <w:highlight w:val="none"/>
        </w:rPr>
        <w:t>技术部分</w:t>
      </w:r>
      <w:bookmarkEnd w:id="360"/>
    </w:p>
    <w:p w14:paraId="43D59609">
      <w:pPr>
        <w:ind w:firstLine="482"/>
        <w:jc w:val="center"/>
        <w:rPr>
          <w:rFonts w:ascii="Times New Roman" w:eastAsia="仿宋_GB2312"/>
          <w:b/>
          <w:color w:val="auto"/>
          <w:kern w:val="2"/>
          <w:sz w:val="24"/>
          <w:szCs w:val="24"/>
          <w:highlight w:val="none"/>
        </w:rPr>
      </w:pPr>
      <w:r>
        <w:rPr>
          <w:rFonts w:ascii="Times New Roman" w:eastAsia="仿宋_GB2312"/>
          <w:b/>
          <w:color w:val="auto"/>
          <w:kern w:val="2"/>
          <w:sz w:val="24"/>
          <w:szCs w:val="24"/>
          <w:highlight w:val="none"/>
        </w:rPr>
        <w:t>(结合评标办法要求提供相应证明材料)</w:t>
      </w:r>
    </w:p>
    <w:p w14:paraId="12DFC6C4">
      <w:pPr>
        <w:ind w:firstLine="482"/>
        <w:jc w:val="center"/>
        <w:rPr>
          <w:rFonts w:ascii="Times New Roman" w:eastAsia="仿宋_GB2312"/>
          <w:b/>
          <w:color w:val="auto"/>
          <w:kern w:val="2"/>
          <w:sz w:val="24"/>
          <w:szCs w:val="24"/>
          <w:highlight w:val="none"/>
        </w:rPr>
      </w:pPr>
    </w:p>
    <w:p w14:paraId="55390035">
      <w:pPr>
        <w:ind w:firstLine="482"/>
        <w:rPr>
          <w:rFonts w:ascii="Times New Roman" w:eastAsia="仿宋_GB2312"/>
          <w:b/>
          <w:color w:val="auto"/>
          <w:kern w:val="2"/>
          <w:sz w:val="24"/>
          <w:szCs w:val="24"/>
          <w:highlight w:val="none"/>
        </w:rPr>
      </w:pPr>
      <w:r>
        <w:rPr>
          <w:rFonts w:hint="eastAsia" w:ascii="Times New Roman" w:eastAsia="仿宋_GB2312"/>
          <w:b/>
          <w:color w:val="auto"/>
          <w:kern w:val="2"/>
          <w:sz w:val="24"/>
          <w:szCs w:val="24"/>
          <w:highlight w:val="none"/>
        </w:rPr>
        <w:t>4</w:t>
      </w:r>
      <w:r>
        <w:rPr>
          <w:rFonts w:ascii="Times New Roman" w:eastAsia="仿宋_GB2312"/>
          <w:b/>
          <w:color w:val="auto"/>
          <w:kern w:val="2"/>
          <w:sz w:val="24"/>
          <w:szCs w:val="24"/>
          <w:highlight w:val="none"/>
        </w:rPr>
        <w:t xml:space="preserve">.1 </w:t>
      </w:r>
      <w:r>
        <w:rPr>
          <w:rFonts w:hint="eastAsia" w:ascii="Times New Roman" w:eastAsia="仿宋_GB2312"/>
          <w:b/>
          <w:color w:val="auto"/>
          <w:kern w:val="2"/>
          <w:sz w:val="24"/>
          <w:szCs w:val="24"/>
          <w:highlight w:val="none"/>
        </w:rPr>
        <w:t>需求理解</w:t>
      </w:r>
    </w:p>
    <w:p w14:paraId="32683355">
      <w:pPr>
        <w:ind w:firstLine="482"/>
        <w:rPr>
          <w:rFonts w:ascii="Times New Roman" w:eastAsia="仿宋_GB2312"/>
          <w:b/>
          <w:color w:val="auto"/>
          <w:kern w:val="2"/>
          <w:sz w:val="24"/>
          <w:szCs w:val="24"/>
          <w:highlight w:val="none"/>
        </w:rPr>
      </w:pPr>
      <w:r>
        <w:rPr>
          <w:rFonts w:ascii="Times New Roman" w:eastAsia="仿宋_GB2312"/>
          <w:b/>
          <w:color w:val="auto"/>
          <w:kern w:val="2"/>
          <w:sz w:val="24"/>
          <w:szCs w:val="24"/>
          <w:highlight w:val="none"/>
        </w:rPr>
        <w:t xml:space="preserve">4.2 </w:t>
      </w:r>
      <w:r>
        <w:rPr>
          <w:rFonts w:hint="eastAsia" w:ascii="Times New Roman" w:eastAsia="仿宋_GB2312"/>
          <w:b/>
          <w:color w:val="auto"/>
          <w:kern w:val="2"/>
          <w:sz w:val="24"/>
          <w:szCs w:val="24"/>
          <w:highlight w:val="none"/>
        </w:rPr>
        <w:t>实施方案</w:t>
      </w:r>
    </w:p>
    <w:p w14:paraId="18CD23F8">
      <w:pPr>
        <w:ind w:firstLine="482"/>
        <w:rPr>
          <w:rFonts w:ascii="Times New Roman" w:eastAsia="仿宋_GB2312"/>
          <w:b/>
          <w:color w:val="auto"/>
          <w:kern w:val="2"/>
          <w:sz w:val="24"/>
          <w:szCs w:val="24"/>
          <w:highlight w:val="none"/>
        </w:rPr>
      </w:pPr>
      <w:r>
        <w:rPr>
          <w:rFonts w:ascii="Times New Roman" w:eastAsia="仿宋_GB2312"/>
          <w:b/>
          <w:color w:val="auto"/>
          <w:kern w:val="2"/>
          <w:sz w:val="24"/>
          <w:szCs w:val="24"/>
          <w:highlight w:val="none"/>
        </w:rPr>
        <w:t xml:space="preserve">4.3 </w:t>
      </w:r>
      <w:r>
        <w:rPr>
          <w:rFonts w:hint="eastAsia" w:ascii="Times New Roman" w:eastAsia="仿宋_GB2312"/>
          <w:b/>
          <w:color w:val="auto"/>
          <w:kern w:val="2"/>
          <w:sz w:val="24"/>
          <w:szCs w:val="24"/>
          <w:highlight w:val="none"/>
        </w:rPr>
        <w:t>服务要点分析及应对方案</w:t>
      </w:r>
    </w:p>
    <w:p w14:paraId="44EAD355">
      <w:pPr>
        <w:ind w:firstLine="482"/>
        <w:rPr>
          <w:rFonts w:ascii="Times New Roman" w:eastAsia="仿宋_GB2312"/>
          <w:b/>
          <w:color w:val="auto"/>
          <w:kern w:val="2"/>
          <w:sz w:val="24"/>
          <w:szCs w:val="24"/>
          <w:highlight w:val="none"/>
        </w:rPr>
      </w:pPr>
      <w:r>
        <w:rPr>
          <w:rFonts w:hint="eastAsia" w:ascii="Times New Roman" w:eastAsia="仿宋_GB2312"/>
          <w:b/>
          <w:color w:val="auto"/>
          <w:kern w:val="2"/>
          <w:sz w:val="24"/>
          <w:szCs w:val="24"/>
          <w:highlight w:val="none"/>
        </w:rPr>
        <w:t>4</w:t>
      </w:r>
      <w:r>
        <w:rPr>
          <w:rFonts w:ascii="Times New Roman" w:eastAsia="仿宋_GB2312"/>
          <w:b/>
          <w:color w:val="auto"/>
          <w:kern w:val="2"/>
          <w:sz w:val="24"/>
          <w:szCs w:val="24"/>
          <w:highlight w:val="none"/>
        </w:rPr>
        <w:t xml:space="preserve">.4 </w:t>
      </w:r>
      <w:r>
        <w:rPr>
          <w:rFonts w:hint="eastAsia" w:ascii="Times New Roman" w:eastAsia="仿宋_GB2312"/>
          <w:b/>
          <w:color w:val="auto"/>
          <w:kern w:val="2"/>
          <w:sz w:val="24"/>
          <w:szCs w:val="24"/>
          <w:highlight w:val="none"/>
        </w:rPr>
        <w:t>保障经验</w:t>
      </w:r>
    </w:p>
    <w:p w14:paraId="0496C7C8">
      <w:pPr>
        <w:ind w:firstLine="482"/>
        <w:rPr>
          <w:rFonts w:ascii="Times New Roman" w:eastAsia="仿宋_GB2312"/>
          <w:b/>
          <w:color w:val="auto"/>
          <w:kern w:val="2"/>
          <w:sz w:val="24"/>
          <w:szCs w:val="24"/>
          <w:highlight w:val="none"/>
        </w:rPr>
      </w:pPr>
      <w:r>
        <w:rPr>
          <w:rFonts w:hint="eastAsia" w:ascii="Times New Roman" w:eastAsia="仿宋_GB2312"/>
          <w:b/>
          <w:color w:val="auto"/>
          <w:kern w:val="2"/>
          <w:sz w:val="24"/>
          <w:szCs w:val="24"/>
          <w:highlight w:val="none"/>
        </w:rPr>
        <w:t>4</w:t>
      </w:r>
      <w:r>
        <w:rPr>
          <w:rFonts w:ascii="Times New Roman" w:eastAsia="仿宋_GB2312"/>
          <w:b/>
          <w:color w:val="auto"/>
          <w:kern w:val="2"/>
          <w:sz w:val="24"/>
          <w:szCs w:val="24"/>
          <w:highlight w:val="none"/>
        </w:rPr>
        <w:t xml:space="preserve">.5 </w:t>
      </w:r>
      <w:r>
        <w:rPr>
          <w:rFonts w:hint="eastAsia" w:ascii="Times New Roman" w:eastAsia="仿宋_GB2312"/>
          <w:b/>
          <w:color w:val="auto"/>
          <w:kern w:val="2"/>
          <w:sz w:val="24"/>
          <w:szCs w:val="24"/>
          <w:highlight w:val="none"/>
        </w:rPr>
        <w:t>增值服务</w:t>
      </w:r>
    </w:p>
    <w:p w14:paraId="205BF877">
      <w:pPr>
        <w:ind w:firstLine="482"/>
        <w:rPr>
          <w:rFonts w:ascii="Times New Roman" w:eastAsia="仿宋_GB2312"/>
          <w:b/>
          <w:color w:val="auto"/>
          <w:kern w:val="2"/>
          <w:sz w:val="24"/>
          <w:szCs w:val="24"/>
          <w:highlight w:val="none"/>
        </w:rPr>
      </w:pPr>
      <w:r>
        <w:rPr>
          <w:rFonts w:hint="eastAsia" w:ascii="Times New Roman" w:eastAsia="仿宋_GB2312"/>
          <w:b/>
          <w:color w:val="auto"/>
          <w:kern w:val="2"/>
          <w:sz w:val="24"/>
          <w:szCs w:val="24"/>
          <w:highlight w:val="none"/>
        </w:rPr>
        <w:t>4</w:t>
      </w:r>
      <w:r>
        <w:rPr>
          <w:rFonts w:ascii="Times New Roman" w:eastAsia="仿宋_GB2312"/>
          <w:b/>
          <w:color w:val="auto"/>
          <w:kern w:val="2"/>
          <w:sz w:val="24"/>
          <w:szCs w:val="24"/>
          <w:highlight w:val="none"/>
        </w:rPr>
        <w:t xml:space="preserve">.6 </w:t>
      </w:r>
      <w:r>
        <w:rPr>
          <w:rFonts w:hint="eastAsia" w:ascii="Times New Roman" w:eastAsia="仿宋_GB2312"/>
          <w:b/>
          <w:color w:val="auto"/>
          <w:kern w:val="2"/>
          <w:sz w:val="24"/>
          <w:szCs w:val="24"/>
          <w:highlight w:val="none"/>
        </w:rPr>
        <w:t>拟投入项目人员配备</w:t>
      </w:r>
    </w:p>
    <w:p w14:paraId="1E0DB443">
      <w:pPr>
        <w:ind w:firstLine="482"/>
        <w:rPr>
          <w:rFonts w:ascii="Times New Roman" w:eastAsia="仿宋_GB2312"/>
          <w:b/>
          <w:color w:val="auto"/>
          <w:kern w:val="2"/>
          <w:sz w:val="24"/>
          <w:szCs w:val="24"/>
          <w:highlight w:val="none"/>
        </w:rPr>
      </w:pPr>
      <w:r>
        <w:rPr>
          <w:rFonts w:hint="eastAsia" w:ascii="Times New Roman" w:eastAsia="仿宋_GB2312"/>
          <w:b/>
          <w:color w:val="auto"/>
          <w:kern w:val="2"/>
          <w:sz w:val="24"/>
          <w:szCs w:val="24"/>
          <w:highlight w:val="none"/>
        </w:rPr>
        <w:t>4</w:t>
      </w:r>
      <w:r>
        <w:rPr>
          <w:rFonts w:ascii="Times New Roman" w:eastAsia="仿宋_GB2312"/>
          <w:b/>
          <w:color w:val="auto"/>
          <w:kern w:val="2"/>
          <w:sz w:val="24"/>
          <w:szCs w:val="24"/>
          <w:highlight w:val="none"/>
        </w:rPr>
        <w:t xml:space="preserve">.7 </w:t>
      </w:r>
      <w:r>
        <w:rPr>
          <w:rFonts w:hint="eastAsia" w:ascii="Times New Roman" w:eastAsia="仿宋_GB2312"/>
          <w:b/>
          <w:color w:val="auto"/>
          <w:kern w:val="2"/>
          <w:sz w:val="24"/>
          <w:szCs w:val="24"/>
          <w:highlight w:val="none"/>
        </w:rPr>
        <w:t>质量保障方案</w:t>
      </w:r>
    </w:p>
    <w:p w14:paraId="60CBA3F2">
      <w:pPr>
        <w:ind w:firstLine="482"/>
        <w:rPr>
          <w:rFonts w:ascii="Times New Roman" w:eastAsia="仿宋_GB2312"/>
          <w:b/>
          <w:color w:val="auto"/>
          <w:kern w:val="2"/>
          <w:sz w:val="24"/>
          <w:szCs w:val="24"/>
          <w:highlight w:val="none"/>
        </w:rPr>
      </w:pPr>
      <w:r>
        <w:rPr>
          <w:rFonts w:hint="eastAsia" w:ascii="Times New Roman" w:eastAsia="仿宋_GB2312"/>
          <w:b/>
          <w:color w:val="auto"/>
          <w:kern w:val="2"/>
          <w:sz w:val="24"/>
          <w:szCs w:val="24"/>
          <w:highlight w:val="none"/>
        </w:rPr>
        <w:t>4</w:t>
      </w:r>
      <w:r>
        <w:rPr>
          <w:rFonts w:ascii="Times New Roman" w:eastAsia="仿宋_GB2312"/>
          <w:b/>
          <w:color w:val="auto"/>
          <w:kern w:val="2"/>
          <w:sz w:val="24"/>
          <w:szCs w:val="24"/>
          <w:highlight w:val="none"/>
        </w:rPr>
        <w:t xml:space="preserve">.8 </w:t>
      </w:r>
      <w:r>
        <w:rPr>
          <w:rFonts w:hint="eastAsia" w:ascii="Times New Roman" w:eastAsia="仿宋_GB2312"/>
          <w:b/>
          <w:color w:val="auto"/>
          <w:kern w:val="2"/>
          <w:sz w:val="24"/>
          <w:szCs w:val="24"/>
          <w:highlight w:val="none"/>
        </w:rPr>
        <w:t>进度管理</w:t>
      </w:r>
    </w:p>
    <w:p w14:paraId="27C561EE">
      <w:pPr>
        <w:ind w:firstLine="482"/>
        <w:rPr>
          <w:rFonts w:ascii="Times New Roman" w:eastAsia="仿宋_GB2312"/>
          <w:b/>
          <w:color w:val="auto"/>
          <w:kern w:val="2"/>
          <w:sz w:val="24"/>
          <w:szCs w:val="24"/>
          <w:highlight w:val="none"/>
        </w:rPr>
      </w:pPr>
      <w:r>
        <w:rPr>
          <w:rFonts w:hint="eastAsia" w:ascii="Times New Roman" w:eastAsia="仿宋_GB2312"/>
          <w:b/>
          <w:color w:val="auto"/>
          <w:kern w:val="2"/>
          <w:sz w:val="24"/>
          <w:szCs w:val="24"/>
          <w:highlight w:val="none"/>
        </w:rPr>
        <w:t>4</w:t>
      </w:r>
      <w:r>
        <w:rPr>
          <w:rFonts w:ascii="Times New Roman" w:eastAsia="仿宋_GB2312"/>
          <w:b/>
          <w:color w:val="auto"/>
          <w:kern w:val="2"/>
          <w:sz w:val="24"/>
          <w:szCs w:val="24"/>
          <w:highlight w:val="none"/>
        </w:rPr>
        <w:t xml:space="preserve">.9 </w:t>
      </w:r>
      <w:r>
        <w:rPr>
          <w:rFonts w:hint="eastAsia" w:ascii="Times New Roman" w:eastAsia="仿宋_GB2312"/>
          <w:b/>
          <w:color w:val="auto"/>
          <w:kern w:val="2"/>
          <w:sz w:val="24"/>
          <w:szCs w:val="24"/>
          <w:highlight w:val="none"/>
        </w:rPr>
        <w:t>售后服务</w:t>
      </w:r>
    </w:p>
    <w:p w14:paraId="04A212C4">
      <w:pPr>
        <w:ind w:firstLine="482"/>
        <w:rPr>
          <w:rFonts w:ascii="Times New Roman" w:eastAsia="仿宋_GB2312"/>
          <w:b/>
          <w:color w:val="auto"/>
          <w:kern w:val="2"/>
          <w:sz w:val="24"/>
          <w:szCs w:val="24"/>
          <w:highlight w:val="none"/>
        </w:rPr>
      </w:pPr>
    </w:p>
    <w:bookmarkEnd w:id="351"/>
    <w:bookmarkEnd w:id="352"/>
    <w:p w14:paraId="424C5754">
      <w:pPr>
        <w:pStyle w:val="4"/>
        <w:rPr>
          <w:rFonts w:ascii="仿宋" w:hAnsi="仿宋" w:eastAsia="仿宋"/>
          <w:color w:val="auto"/>
          <w:sz w:val="24"/>
          <w:szCs w:val="24"/>
          <w:highlight w:val="none"/>
        </w:rPr>
      </w:pPr>
      <w:bookmarkStart w:id="361" w:name="_Toc26468"/>
      <w:r>
        <w:rPr>
          <w:rFonts w:ascii="仿宋" w:hAnsi="仿宋" w:eastAsia="仿宋"/>
          <w:color w:val="auto"/>
          <w:sz w:val="24"/>
          <w:szCs w:val="24"/>
          <w:highlight w:val="none"/>
        </w:rPr>
        <w:t>五</w:t>
      </w:r>
      <w:r>
        <w:rPr>
          <w:rFonts w:hint="eastAsia" w:ascii="仿宋" w:hAnsi="仿宋" w:eastAsia="仿宋"/>
          <w:color w:val="auto"/>
          <w:sz w:val="24"/>
          <w:szCs w:val="24"/>
          <w:highlight w:val="none"/>
        </w:rPr>
        <w:t>、其他针对“第三章  投标邀请”中“评标办法”的相关内容</w:t>
      </w:r>
      <w:bookmarkEnd w:id="361"/>
    </w:p>
    <w:p w14:paraId="39AE208C">
      <w:pPr>
        <w:jc w:val="center"/>
        <w:rPr>
          <w:rFonts w:ascii="仿宋" w:hAnsi="仿宋" w:eastAsia="仿宋"/>
          <w:b/>
          <w:color w:val="auto"/>
          <w:kern w:val="2"/>
          <w:sz w:val="24"/>
          <w:szCs w:val="24"/>
          <w:highlight w:val="none"/>
        </w:rPr>
      </w:pPr>
      <w:r>
        <w:rPr>
          <w:rFonts w:hint="eastAsia" w:ascii="仿宋" w:hAnsi="仿宋" w:eastAsia="仿宋"/>
          <w:b/>
          <w:color w:val="auto"/>
          <w:sz w:val="24"/>
          <w:szCs w:val="24"/>
          <w:highlight w:val="none"/>
        </w:rPr>
        <w:t>（所有“评标办法”中涉及，但是在投标文件格式中未提供具体目录和格式的内容。）</w:t>
      </w:r>
    </w:p>
    <w:p w14:paraId="36011ED2">
      <w:pPr>
        <w:widowControl/>
        <w:autoSpaceDE/>
        <w:autoSpaceDN/>
        <w:adjustRightInd/>
        <w:rPr>
          <w:rFonts w:ascii="仿宋" w:hAnsi="仿宋" w:eastAsia="仿宋"/>
          <w:b/>
          <w:bCs/>
          <w:color w:val="auto"/>
          <w:kern w:val="2"/>
          <w:sz w:val="24"/>
          <w:szCs w:val="24"/>
          <w:highlight w:val="none"/>
        </w:rPr>
      </w:pPr>
      <w:r>
        <w:rPr>
          <w:rFonts w:ascii="仿宋" w:hAnsi="仿宋" w:eastAsia="仿宋"/>
          <w:color w:val="auto"/>
          <w:sz w:val="24"/>
          <w:szCs w:val="24"/>
          <w:highlight w:val="none"/>
        </w:rPr>
        <w:br w:type="page"/>
      </w:r>
    </w:p>
    <w:p w14:paraId="04BE645D">
      <w:pPr>
        <w:pStyle w:val="4"/>
        <w:rPr>
          <w:rFonts w:ascii="仿宋" w:hAnsi="仿宋" w:eastAsia="仿宋"/>
          <w:color w:val="auto"/>
          <w:sz w:val="24"/>
          <w:szCs w:val="24"/>
          <w:highlight w:val="none"/>
        </w:rPr>
      </w:pPr>
      <w:bookmarkStart w:id="362" w:name="_Toc27838"/>
      <w:r>
        <w:rPr>
          <w:rFonts w:hint="eastAsia" w:ascii="仿宋" w:hAnsi="仿宋" w:eastAsia="仿宋"/>
          <w:color w:val="auto"/>
          <w:sz w:val="24"/>
          <w:szCs w:val="24"/>
          <w:highlight w:val="none"/>
        </w:rPr>
        <w:t>六、政府采购政策</w:t>
      </w:r>
      <w:bookmarkEnd w:id="353"/>
      <w:bookmarkEnd w:id="354"/>
      <w:bookmarkEnd w:id="355"/>
      <w:bookmarkEnd w:id="356"/>
      <w:bookmarkEnd w:id="357"/>
      <w:bookmarkEnd w:id="362"/>
    </w:p>
    <w:p w14:paraId="7E63314C">
      <w:pPr>
        <w:rPr>
          <w:rFonts w:ascii="仿宋" w:hAnsi="仿宋" w:eastAsia="仿宋"/>
          <w:b/>
          <w:color w:val="auto"/>
          <w:kern w:val="2"/>
          <w:sz w:val="24"/>
          <w:szCs w:val="24"/>
          <w:highlight w:val="none"/>
        </w:rPr>
      </w:pPr>
      <w:r>
        <w:rPr>
          <w:rFonts w:hint="eastAsia" w:ascii="仿宋" w:hAnsi="仿宋" w:eastAsia="仿宋"/>
          <w:b/>
          <w:color w:val="auto"/>
          <w:kern w:val="2"/>
          <w:sz w:val="24"/>
          <w:szCs w:val="24"/>
          <w:highlight w:val="none"/>
        </w:rPr>
        <w:t>（不适用的可以不用提交）</w:t>
      </w:r>
    </w:p>
    <w:p w14:paraId="6C8270B8">
      <w:pPr>
        <w:keepNext/>
        <w:keepLines/>
        <w:spacing w:line="360" w:lineRule="auto"/>
        <w:outlineLvl w:val="2"/>
        <w:rPr>
          <w:rFonts w:ascii="仿宋" w:hAnsi="仿宋" w:eastAsia="仿宋"/>
          <w:bCs/>
          <w:color w:val="auto"/>
          <w:sz w:val="24"/>
          <w:szCs w:val="24"/>
          <w:highlight w:val="none"/>
        </w:rPr>
      </w:pPr>
      <w:bookmarkStart w:id="363" w:name="_Toc17097045"/>
      <w:bookmarkStart w:id="364" w:name="_Toc16754"/>
      <w:bookmarkStart w:id="365" w:name="_Toc520719710"/>
      <w:bookmarkStart w:id="366" w:name="_Toc9515971"/>
      <w:bookmarkStart w:id="367" w:name="_Toc505004892"/>
      <w:bookmarkStart w:id="368" w:name="_Toc525720150"/>
      <w:bookmarkStart w:id="369" w:name="_Toc11678072"/>
      <w:bookmarkStart w:id="370" w:name="_Toc8742835"/>
      <w:bookmarkStart w:id="371" w:name="_Toc522290168"/>
      <w:bookmarkStart w:id="372" w:name="_Toc13233097"/>
      <w:bookmarkStart w:id="373" w:name="_Toc10472937"/>
      <w:bookmarkStart w:id="374" w:name="_Toc447021131"/>
      <w:r>
        <w:rPr>
          <w:rFonts w:ascii="仿宋" w:hAnsi="仿宋" w:eastAsia="仿宋"/>
          <w:bCs/>
          <w:color w:val="auto"/>
          <w:sz w:val="24"/>
          <w:szCs w:val="24"/>
          <w:highlight w:val="none"/>
        </w:rPr>
        <w:t>（一）政府采购促进中小企业发展政策</w:t>
      </w:r>
      <w:bookmarkEnd w:id="363"/>
      <w:bookmarkEnd w:id="364"/>
      <w:bookmarkEnd w:id="365"/>
      <w:bookmarkEnd w:id="366"/>
      <w:bookmarkEnd w:id="367"/>
      <w:bookmarkEnd w:id="368"/>
      <w:bookmarkEnd w:id="369"/>
      <w:bookmarkEnd w:id="370"/>
      <w:bookmarkEnd w:id="371"/>
      <w:bookmarkEnd w:id="372"/>
      <w:bookmarkEnd w:id="373"/>
    </w:p>
    <w:p w14:paraId="6FC5B486">
      <w:pPr>
        <w:snapToGrid w:val="0"/>
        <w:spacing w:line="360" w:lineRule="auto"/>
        <w:jc w:val="both"/>
        <w:rPr>
          <w:rFonts w:ascii="仿宋" w:hAnsi="仿宋" w:eastAsia="仿宋"/>
          <w:b/>
          <w:color w:val="auto"/>
          <w:sz w:val="24"/>
          <w:szCs w:val="24"/>
          <w:highlight w:val="none"/>
        </w:rPr>
      </w:pPr>
      <w:r>
        <w:rPr>
          <w:rFonts w:hint="eastAsia" w:ascii="仿宋" w:hAnsi="仿宋" w:eastAsia="仿宋"/>
          <w:b/>
          <w:color w:val="auto"/>
          <w:sz w:val="24"/>
          <w:highlight w:val="none"/>
        </w:rPr>
        <w:t>（请根据本项目“</w:t>
      </w:r>
      <w:r>
        <w:rPr>
          <w:rFonts w:ascii="仿宋" w:hAnsi="仿宋" w:eastAsia="仿宋"/>
          <w:b/>
          <w:color w:val="auto"/>
          <w:sz w:val="24"/>
          <w:szCs w:val="24"/>
          <w:highlight w:val="none"/>
        </w:rPr>
        <w:t>采购项目</w:t>
      </w:r>
      <w:r>
        <w:rPr>
          <w:rFonts w:hint="eastAsia" w:ascii="仿宋" w:hAnsi="仿宋" w:eastAsia="仿宋"/>
          <w:b/>
          <w:color w:val="auto"/>
          <w:sz w:val="24"/>
          <w:szCs w:val="24"/>
          <w:highlight w:val="none"/>
        </w:rPr>
        <w:t>类型”选择合适的中小企业声明函</w:t>
      </w:r>
      <w:r>
        <w:rPr>
          <w:rFonts w:hint="eastAsia" w:ascii="仿宋" w:hAnsi="仿宋" w:eastAsia="仿宋"/>
          <w:b/>
          <w:color w:val="auto"/>
          <w:sz w:val="24"/>
          <w:highlight w:val="none"/>
        </w:rPr>
        <w:t>）</w:t>
      </w:r>
    </w:p>
    <w:p w14:paraId="21E2C0B9">
      <w:pPr>
        <w:spacing w:line="360" w:lineRule="auto"/>
        <w:ind w:right="-20"/>
        <w:jc w:val="center"/>
        <w:rPr>
          <w:rFonts w:ascii="仿宋" w:hAnsi="仿宋" w:eastAsia="仿宋" w:cs="宋体"/>
          <w:color w:val="auto"/>
          <w:spacing w:val="2"/>
          <w:position w:val="-3"/>
          <w:sz w:val="24"/>
          <w:highlight w:val="none"/>
        </w:rPr>
      </w:pPr>
      <w:r>
        <w:rPr>
          <w:rFonts w:ascii="仿宋" w:hAnsi="仿宋" w:eastAsia="仿宋" w:cs="宋体"/>
          <w:color w:val="auto"/>
          <w:spacing w:val="2"/>
          <w:position w:val="-3"/>
          <w:sz w:val="24"/>
          <w:highlight w:val="none"/>
        </w:rPr>
        <w:t>1、中小企业声明函（货物）</w:t>
      </w:r>
    </w:p>
    <w:p w14:paraId="621E8941">
      <w:pPr>
        <w:spacing w:line="360" w:lineRule="auto"/>
        <w:ind w:right="-20" w:firstLine="480" w:firstLineChars="200"/>
        <w:rPr>
          <w:rFonts w:ascii="仿宋" w:hAnsi="仿宋" w:eastAsia="仿宋" w:cs="仿宋"/>
          <w:color w:val="auto"/>
          <w:position w:val="-2"/>
          <w:sz w:val="24"/>
          <w:highlight w:val="none"/>
        </w:rPr>
      </w:pPr>
      <w:r>
        <w:rPr>
          <w:rFonts w:ascii="仿宋" w:hAnsi="仿宋" w:eastAsia="仿宋" w:cs="仿宋"/>
          <w:color w:val="auto"/>
          <w:position w:val="-2"/>
          <w:sz w:val="24"/>
          <w:highlight w:val="none"/>
        </w:rPr>
        <w:t>本公司（联合体）郑重声明，根据《政府采购促进中小企业发展管理办法》（财库﹝2020﹞46 号）的规定，本公司（联合体）参加</w:t>
      </w:r>
      <w:r>
        <w:rPr>
          <w:rFonts w:ascii="仿宋" w:hAnsi="仿宋" w:eastAsia="仿宋" w:cs="仿宋"/>
          <w:i/>
          <w:color w:val="auto"/>
          <w:position w:val="-2"/>
          <w:sz w:val="24"/>
          <w:highlight w:val="none"/>
          <w:u w:val="single"/>
        </w:rPr>
        <w:t>（单位名称）</w:t>
      </w:r>
      <w:r>
        <w:rPr>
          <w:rFonts w:ascii="仿宋" w:hAnsi="仿宋" w:eastAsia="仿宋" w:cs="仿宋"/>
          <w:color w:val="auto"/>
          <w:position w:val="-2"/>
          <w:sz w:val="24"/>
          <w:highlight w:val="none"/>
        </w:rPr>
        <w:t>的</w:t>
      </w:r>
      <w:r>
        <w:rPr>
          <w:rFonts w:ascii="仿宋" w:hAnsi="仿宋" w:eastAsia="仿宋" w:cs="仿宋"/>
          <w:i/>
          <w:color w:val="auto"/>
          <w:position w:val="-2"/>
          <w:sz w:val="24"/>
          <w:highlight w:val="none"/>
          <w:u w:val="single"/>
        </w:rPr>
        <w:t>（项目名称）</w:t>
      </w:r>
      <w:r>
        <w:rPr>
          <w:rFonts w:ascii="仿宋" w:hAnsi="仿宋" w:eastAsia="仿宋" w:cs="仿宋"/>
          <w:color w:val="auto"/>
          <w:position w:val="-2"/>
          <w:sz w:val="24"/>
          <w:highlight w:val="none"/>
        </w:rPr>
        <w:t>采购活动，提供的货物全部由符合政策要求的中小企业制造。相关企业（含联合体中的中小企业、签订分包意向协议的中小企业） 的具体情况如下：</w:t>
      </w:r>
    </w:p>
    <w:p w14:paraId="742FB8AF">
      <w:pPr>
        <w:spacing w:line="360" w:lineRule="auto"/>
        <w:ind w:right="-20" w:firstLine="480" w:firstLineChars="200"/>
        <w:rPr>
          <w:rFonts w:ascii="仿宋" w:hAnsi="仿宋" w:eastAsia="仿宋" w:cs="仿宋"/>
          <w:color w:val="auto"/>
          <w:position w:val="-2"/>
          <w:sz w:val="24"/>
          <w:highlight w:val="none"/>
        </w:rPr>
      </w:pPr>
      <w:r>
        <w:rPr>
          <w:rFonts w:ascii="仿宋" w:hAnsi="仿宋" w:eastAsia="仿宋" w:cs="仿宋"/>
          <w:color w:val="auto"/>
          <w:position w:val="-2"/>
          <w:sz w:val="24"/>
          <w:highlight w:val="none"/>
        </w:rPr>
        <w:t xml:space="preserve">1. </w:t>
      </w:r>
      <w:r>
        <w:rPr>
          <w:rFonts w:ascii="仿宋" w:hAnsi="仿宋" w:eastAsia="仿宋" w:cs="仿宋"/>
          <w:i/>
          <w:color w:val="auto"/>
          <w:position w:val="-2"/>
          <w:sz w:val="24"/>
          <w:highlight w:val="none"/>
          <w:u w:val="single"/>
        </w:rPr>
        <w:t>（标的名称）</w:t>
      </w:r>
      <w:r>
        <w:rPr>
          <w:rFonts w:ascii="仿宋" w:hAnsi="仿宋" w:eastAsia="仿宋" w:cs="仿宋"/>
          <w:color w:val="auto"/>
          <w:position w:val="-2"/>
          <w:sz w:val="24"/>
          <w:highlight w:val="none"/>
        </w:rPr>
        <w:t>，属于</w:t>
      </w:r>
      <w:r>
        <w:rPr>
          <w:rFonts w:ascii="仿宋" w:hAnsi="仿宋" w:eastAsia="仿宋" w:cs="仿宋"/>
          <w:i/>
          <w:color w:val="auto"/>
          <w:position w:val="-2"/>
          <w:sz w:val="24"/>
          <w:highlight w:val="none"/>
          <w:u w:val="single"/>
        </w:rPr>
        <w:t>（采购文件中明确的所属行业）</w:t>
      </w:r>
      <w:r>
        <w:rPr>
          <w:rFonts w:ascii="仿宋" w:hAnsi="仿宋" w:eastAsia="仿宋" w:cs="仿宋"/>
          <w:color w:val="auto"/>
          <w:position w:val="-2"/>
          <w:sz w:val="24"/>
          <w:highlight w:val="none"/>
        </w:rPr>
        <w:t>行业；制造商为</w:t>
      </w:r>
      <w:r>
        <w:rPr>
          <w:rFonts w:ascii="仿宋" w:hAnsi="仿宋" w:eastAsia="仿宋" w:cs="仿宋"/>
          <w:i/>
          <w:color w:val="auto"/>
          <w:position w:val="-2"/>
          <w:sz w:val="24"/>
          <w:highlight w:val="none"/>
          <w:u w:val="single"/>
        </w:rPr>
        <w:t>（企业名称）</w:t>
      </w:r>
      <w:r>
        <w:rPr>
          <w:rFonts w:ascii="仿宋" w:hAnsi="仿宋" w:eastAsia="仿宋" w:cs="仿宋"/>
          <w:color w:val="auto"/>
          <w:position w:val="-2"/>
          <w:sz w:val="24"/>
          <w:highlight w:val="none"/>
        </w:rPr>
        <w:t>，从业人员</w:t>
      </w:r>
      <w:r>
        <w:rPr>
          <w:rFonts w:ascii="仿宋" w:hAnsi="仿宋" w:eastAsia="仿宋" w:cs="仿宋"/>
          <w:color w:val="auto"/>
          <w:position w:val="-2"/>
          <w:sz w:val="24"/>
          <w:highlight w:val="none"/>
          <w:u w:val="single"/>
        </w:rPr>
        <w:t xml:space="preserve"> </w:t>
      </w:r>
      <w:r>
        <w:rPr>
          <w:rFonts w:ascii="仿宋" w:hAnsi="仿宋" w:eastAsia="仿宋" w:cs="仿宋"/>
          <w:color w:val="auto"/>
          <w:position w:val="-2"/>
          <w:sz w:val="24"/>
          <w:highlight w:val="none"/>
          <w:u w:val="single"/>
        </w:rPr>
        <w:tab/>
      </w:r>
      <w:r>
        <w:rPr>
          <w:rFonts w:ascii="仿宋" w:hAnsi="仿宋" w:eastAsia="仿宋" w:cs="仿宋"/>
          <w:color w:val="auto"/>
          <w:position w:val="-2"/>
          <w:sz w:val="24"/>
          <w:highlight w:val="none"/>
        </w:rPr>
        <w:t>人，营业收 入为</w:t>
      </w:r>
      <w:r>
        <w:rPr>
          <w:rFonts w:ascii="仿宋" w:hAnsi="仿宋" w:eastAsia="仿宋" w:cs="仿宋"/>
          <w:color w:val="auto"/>
          <w:position w:val="-2"/>
          <w:sz w:val="24"/>
          <w:highlight w:val="none"/>
          <w:u w:val="single"/>
        </w:rPr>
        <w:t xml:space="preserve"> </w:t>
      </w:r>
      <w:r>
        <w:rPr>
          <w:rFonts w:hint="eastAsia" w:ascii="仿宋" w:hAnsi="仿宋" w:eastAsia="仿宋" w:cs="仿宋"/>
          <w:color w:val="auto"/>
          <w:position w:val="-2"/>
          <w:sz w:val="24"/>
          <w:highlight w:val="none"/>
          <w:u w:val="single"/>
        </w:rPr>
        <w:t xml:space="preserve">  </w:t>
      </w:r>
      <w:r>
        <w:rPr>
          <w:rFonts w:ascii="仿宋" w:hAnsi="仿宋" w:eastAsia="仿宋" w:cs="仿宋"/>
          <w:color w:val="auto"/>
          <w:position w:val="-2"/>
          <w:sz w:val="24"/>
          <w:highlight w:val="none"/>
        </w:rPr>
        <w:t>万元，资产总额为</w:t>
      </w:r>
      <w:r>
        <w:rPr>
          <w:rFonts w:ascii="仿宋" w:hAnsi="仿宋" w:eastAsia="仿宋" w:cs="仿宋"/>
          <w:color w:val="auto"/>
          <w:position w:val="-2"/>
          <w:sz w:val="24"/>
          <w:highlight w:val="none"/>
          <w:u w:val="single"/>
        </w:rPr>
        <w:t xml:space="preserve"> </w:t>
      </w:r>
      <w:r>
        <w:rPr>
          <w:rFonts w:ascii="仿宋" w:hAnsi="仿宋" w:eastAsia="仿宋" w:cs="仿宋"/>
          <w:color w:val="auto"/>
          <w:position w:val="-2"/>
          <w:sz w:val="24"/>
          <w:highlight w:val="none"/>
          <w:u w:val="single"/>
        </w:rPr>
        <w:tab/>
      </w:r>
      <w:r>
        <w:rPr>
          <w:rFonts w:ascii="仿宋" w:hAnsi="仿宋" w:eastAsia="仿宋" w:cs="仿宋"/>
          <w:color w:val="auto"/>
          <w:position w:val="-2"/>
          <w:sz w:val="24"/>
          <w:highlight w:val="none"/>
        </w:rPr>
        <w:t>万元</w:t>
      </w:r>
      <w:r>
        <w:rPr>
          <w:rFonts w:ascii="仿宋" w:hAnsi="仿宋" w:eastAsia="仿宋" w:cs="仿宋"/>
          <w:color w:val="auto"/>
          <w:position w:val="-2"/>
          <w:sz w:val="24"/>
          <w:highlight w:val="none"/>
          <w:vertAlign w:val="superscript"/>
        </w:rPr>
        <w:t>1</w:t>
      </w:r>
      <w:r>
        <w:rPr>
          <w:rFonts w:ascii="仿宋" w:hAnsi="仿宋" w:eastAsia="仿宋" w:cs="仿宋"/>
          <w:color w:val="auto"/>
          <w:position w:val="-2"/>
          <w:sz w:val="24"/>
          <w:highlight w:val="none"/>
        </w:rPr>
        <w:t>，属于</w:t>
      </w:r>
      <w:r>
        <w:rPr>
          <w:rFonts w:ascii="仿宋" w:hAnsi="仿宋" w:eastAsia="仿宋" w:cs="仿宋"/>
          <w:i/>
          <w:color w:val="auto"/>
          <w:position w:val="-2"/>
          <w:sz w:val="24"/>
          <w:highlight w:val="none"/>
          <w:u w:val="single"/>
        </w:rPr>
        <w:t>（中型企业、小 型企业、微型企业）</w:t>
      </w:r>
      <w:r>
        <w:rPr>
          <w:rFonts w:ascii="仿宋" w:hAnsi="仿宋" w:eastAsia="仿宋" w:cs="仿宋"/>
          <w:color w:val="auto"/>
          <w:position w:val="-2"/>
          <w:sz w:val="24"/>
          <w:highlight w:val="none"/>
        </w:rPr>
        <w:t>；</w:t>
      </w:r>
    </w:p>
    <w:p w14:paraId="3C43B6F0">
      <w:pPr>
        <w:spacing w:line="360" w:lineRule="auto"/>
        <w:ind w:right="-20" w:firstLine="480" w:firstLineChars="200"/>
        <w:rPr>
          <w:rFonts w:ascii="仿宋" w:hAnsi="仿宋" w:eastAsia="仿宋" w:cs="仿宋"/>
          <w:color w:val="auto"/>
          <w:position w:val="-2"/>
          <w:sz w:val="24"/>
          <w:highlight w:val="none"/>
        </w:rPr>
      </w:pPr>
      <w:r>
        <w:rPr>
          <w:rFonts w:ascii="仿宋" w:hAnsi="仿宋" w:eastAsia="仿宋" w:cs="仿宋"/>
          <w:color w:val="auto"/>
          <w:position w:val="-2"/>
          <w:sz w:val="24"/>
          <w:highlight w:val="none"/>
        </w:rPr>
        <w:t xml:space="preserve">2. </w:t>
      </w:r>
      <w:r>
        <w:rPr>
          <w:rFonts w:ascii="仿宋" w:hAnsi="仿宋" w:eastAsia="仿宋" w:cs="仿宋"/>
          <w:i/>
          <w:color w:val="auto"/>
          <w:position w:val="-2"/>
          <w:sz w:val="24"/>
          <w:highlight w:val="none"/>
          <w:u w:val="single"/>
        </w:rPr>
        <w:t>（标的名称）</w:t>
      </w:r>
      <w:r>
        <w:rPr>
          <w:rFonts w:ascii="仿宋" w:hAnsi="仿宋" w:eastAsia="仿宋" w:cs="仿宋"/>
          <w:color w:val="auto"/>
          <w:position w:val="-2"/>
          <w:sz w:val="24"/>
          <w:highlight w:val="none"/>
        </w:rPr>
        <w:t>，属于</w:t>
      </w:r>
      <w:r>
        <w:rPr>
          <w:rFonts w:ascii="仿宋" w:hAnsi="仿宋" w:eastAsia="仿宋" w:cs="仿宋"/>
          <w:i/>
          <w:color w:val="auto"/>
          <w:position w:val="-2"/>
          <w:sz w:val="24"/>
          <w:highlight w:val="none"/>
          <w:u w:val="single"/>
        </w:rPr>
        <w:t xml:space="preserve">（采购文件中明确的所属行业） </w:t>
      </w:r>
      <w:r>
        <w:rPr>
          <w:rFonts w:ascii="仿宋" w:hAnsi="仿宋" w:eastAsia="仿宋" w:cs="仿宋"/>
          <w:color w:val="auto"/>
          <w:position w:val="-2"/>
          <w:sz w:val="24"/>
          <w:highlight w:val="none"/>
        </w:rPr>
        <w:t>行业；制造商为</w:t>
      </w:r>
      <w:r>
        <w:rPr>
          <w:rFonts w:ascii="仿宋" w:hAnsi="仿宋" w:eastAsia="仿宋" w:cs="仿宋"/>
          <w:i/>
          <w:color w:val="auto"/>
          <w:position w:val="-2"/>
          <w:sz w:val="24"/>
          <w:highlight w:val="none"/>
          <w:u w:val="single"/>
        </w:rPr>
        <w:t>（企业名称）</w:t>
      </w:r>
      <w:r>
        <w:rPr>
          <w:rFonts w:ascii="仿宋" w:hAnsi="仿宋" w:eastAsia="仿宋" w:cs="仿宋"/>
          <w:color w:val="auto"/>
          <w:position w:val="-2"/>
          <w:sz w:val="24"/>
          <w:highlight w:val="none"/>
        </w:rPr>
        <w:t>，从业人员</w:t>
      </w:r>
      <w:r>
        <w:rPr>
          <w:rFonts w:ascii="仿宋" w:hAnsi="仿宋" w:eastAsia="仿宋" w:cs="仿宋"/>
          <w:color w:val="auto"/>
          <w:position w:val="-2"/>
          <w:sz w:val="24"/>
          <w:highlight w:val="none"/>
          <w:u w:val="single"/>
        </w:rPr>
        <w:t xml:space="preserve"> </w:t>
      </w:r>
      <w:r>
        <w:rPr>
          <w:rFonts w:ascii="仿宋" w:hAnsi="仿宋" w:eastAsia="仿宋" w:cs="仿宋"/>
          <w:color w:val="auto"/>
          <w:position w:val="-2"/>
          <w:sz w:val="24"/>
          <w:highlight w:val="none"/>
          <w:u w:val="single"/>
        </w:rPr>
        <w:tab/>
      </w:r>
      <w:r>
        <w:rPr>
          <w:rFonts w:ascii="仿宋" w:hAnsi="仿宋" w:eastAsia="仿宋" w:cs="仿宋"/>
          <w:color w:val="auto"/>
          <w:position w:val="-2"/>
          <w:sz w:val="24"/>
          <w:highlight w:val="none"/>
        </w:rPr>
        <w:t>人，营业收入为</w:t>
      </w:r>
      <w:r>
        <w:rPr>
          <w:rFonts w:hint="eastAsia" w:ascii="仿宋" w:hAnsi="仿宋" w:eastAsia="仿宋" w:cs="仿宋"/>
          <w:color w:val="auto"/>
          <w:position w:val="-2"/>
          <w:sz w:val="24"/>
          <w:highlight w:val="none"/>
          <w:u w:val="single"/>
        </w:rPr>
        <w:t xml:space="preserve">    </w:t>
      </w:r>
      <w:r>
        <w:rPr>
          <w:rFonts w:ascii="仿宋" w:hAnsi="仿宋" w:eastAsia="仿宋" w:cs="仿宋"/>
          <w:color w:val="auto"/>
          <w:position w:val="-2"/>
          <w:sz w:val="24"/>
          <w:highlight w:val="none"/>
        </w:rPr>
        <w:t>万元，资产总额为</w:t>
      </w:r>
      <w:r>
        <w:rPr>
          <w:rFonts w:ascii="仿宋" w:hAnsi="仿宋" w:eastAsia="仿宋" w:cs="仿宋"/>
          <w:color w:val="auto"/>
          <w:position w:val="-2"/>
          <w:sz w:val="24"/>
          <w:highlight w:val="none"/>
          <w:u w:val="single"/>
        </w:rPr>
        <w:t xml:space="preserve"> </w:t>
      </w:r>
      <w:r>
        <w:rPr>
          <w:rFonts w:ascii="仿宋" w:hAnsi="仿宋" w:eastAsia="仿宋" w:cs="仿宋"/>
          <w:color w:val="auto"/>
          <w:position w:val="-2"/>
          <w:sz w:val="24"/>
          <w:highlight w:val="none"/>
          <w:u w:val="single"/>
        </w:rPr>
        <w:tab/>
      </w:r>
      <w:r>
        <w:rPr>
          <w:rFonts w:ascii="仿宋" w:hAnsi="仿宋" w:eastAsia="仿宋" w:cs="仿宋"/>
          <w:color w:val="auto"/>
          <w:position w:val="-2"/>
          <w:sz w:val="24"/>
          <w:highlight w:val="none"/>
        </w:rPr>
        <w:t>万元，属于</w:t>
      </w:r>
      <w:r>
        <w:rPr>
          <w:rFonts w:ascii="仿宋" w:hAnsi="仿宋" w:eastAsia="仿宋" w:cs="仿宋"/>
          <w:i/>
          <w:color w:val="auto"/>
          <w:position w:val="-2"/>
          <w:sz w:val="24"/>
          <w:highlight w:val="none"/>
          <w:u w:val="single"/>
        </w:rPr>
        <w:t>（中型企业、小型 企业、微型企业）</w:t>
      </w:r>
      <w:r>
        <w:rPr>
          <w:rFonts w:ascii="仿宋" w:hAnsi="仿宋" w:eastAsia="仿宋" w:cs="仿宋"/>
          <w:color w:val="auto"/>
          <w:position w:val="-2"/>
          <w:sz w:val="24"/>
          <w:highlight w:val="none"/>
        </w:rPr>
        <w:t>；</w:t>
      </w:r>
    </w:p>
    <w:p w14:paraId="122B6D9B">
      <w:pPr>
        <w:spacing w:line="360" w:lineRule="auto"/>
        <w:ind w:right="-20" w:firstLine="480" w:firstLineChars="200"/>
        <w:rPr>
          <w:rFonts w:ascii="仿宋" w:hAnsi="仿宋" w:eastAsia="仿宋" w:cs="仿宋"/>
          <w:color w:val="auto"/>
          <w:position w:val="-2"/>
          <w:sz w:val="24"/>
          <w:highlight w:val="none"/>
        </w:rPr>
      </w:pPr>
      <w:r>
        <w:rPr>
          <w:rFonts w:ascii="仿宋" w:hAnsi="仿宋" w:eastAsia="仿宋" w:cs="仿宋"/>
          <w:color w:val="auto"/>
          <w:position w:val="-2"/>
          <w:sz w:val="24"/>
          <w:highlight w:val="none"/>
        </w:rPr>
        <w:t xml:space="preserve">…… </w:t>
      </w:r>
    </w:p>
    <w:p w14:paraId="0400B997">
      <w:pPr>
        <w:spacing w:line="360" w:lineRule="auto"/>
        <w:ind w:right="-20" w:firstLine="480" w:firstLineChars="200"/>
        <w:rPr>
          <w:rFonts w:ascii="仿宋" w:hAnsi="仿宋" w:eastAsia="仿宋" w:cs="仿宋"/>
          <w:color w:val="auto"/>
          <w:position w:val="-2"/>
          <w:sz w:val="24"/>
          <w:highlight w:val="none"/>
        </w:rPr>
      </w:pPr>
      <w:r>
        <w:rPr>
          <w:rFonts w:ascii="仿宋" w:hAnsi="仿宋" w:eastAsia="仿宋" w:cs="仿宋"/>
          <w:color w:val="auto"/>
          <w:position w:val="-2"/>
          <w:sz w:val="24"/>
          <w:highlight w:val="none"/>
        </w:rPr>
        <w:t>以上企业，不属于大企业的分支机构，不存在控股股东为大企业的情形，也不存在与大企业的负责人为同一人的情 形。</w:t>
      </w:r>
    </w:p>
    <w:p w14:paraId="215FD6BF">
      <w:pPr>
        <w:spacing w:line="360" w:lineRule="auto"/>
        <w:ind w:right="-20" w:firstLine="480" w:firstLineChars="200"/>
        <w:rPr>
          <w:rFonts w:ascii="仿宋" w:hAnsi="仿宋" w:eastAsia="仿宋" w:cs="仿宋"/>
          <w:color w:val="auto"/>
          <w:position w:val="-2"/>
          <w:sz w:val="24"/>
          <w:highlight w:val="none"/>
        </w:rPr>
      </w:pPr>
      <w:r>
        <w:rPr>
          <w:rFonts w:ascii="仿宋" w:hAnsi="仿宋" w:eastAsia="仿宋" w:cs="仿宋"/>
          <w:color w:val="auto"/>
          <w:position w:val="-2"/>
          <w:sz w:val="24"/>
          <w:highlight w:val="none"/>
        </w:rPr>
        <w:t>本企业对上述声明内容的真实性负责。如有虚假，将依法承担相应责任。</w:t>
      </w:r>
    </w:p>
    <w:p w14:paraId="4C1F9745">
      <w:pPr>
        <w:spacing w:before="21" w:line="360" w:lineRule="auto"/>
        <w:ind w:left="3960" w:right="2016"/>
        <w:rPr>
          <w:rFonts w:ascii="仿宋" w:hAnsi="仿宋" w:eastAsia="仿宋" w:cs="仿宋"/>
          <w:color w:val="auto"/>
          <w:sz w:val="24"/>
          <w:highlight w:val="none"/>
        </w:rPr>
      </w:pPr>
      <w:r>
        <w:rPr>
          <w:rFonts w:ascii="仿宋" w:hAnsi="仿宋" w:eastAsia="仿宋" w:cs="仿宋"/>
          <w:color w:val="auto"/>
          <w:sz w:val="24"/>
          <w:highlight w:val="none"/>
        </w:rPr>
        <w:t xml:space="preserve">企业名称（盖章）： </w:t>
      </w:r>
    </w:p>
    <w:p w14:paraId="5A37450C">
      <w:pPr>
        <w:spacing w:before="21" w:line="360" w:lineRule="auto"/>
        <w:ind w:left="3960" w:right="2016"/>
        <w:rPr>
          <w:rFonts w:ascii="仿宋" w:hAnsi="仿宋" w:eastAsia="仿宋" w:cs="仿宋"/>
          <w:color w:val="auto"/>
          <w:sz w:val="24"/>
          <w:highlight w:val="none"/>
        </w:rPr>
      </w:pPr>
      <w:r>
        <w:rPr>
          <w:rFonts w:ascii="仿宋" w:hAnsi="仿宋" w:eastAsia="仿宋" w:cs="仿宋"/>
          <w:color w:val="auto"/>
          <w:sz w:val="24"/>
          <w:highlight w:val="none"/>
        </w:rPr>
        <w:t>日</w:t>
      </w:r>
      <w:r>
        <w:rPr>
          <w:rFonts w:ascii="仿宋" w:hAnsi="仿宋" w:eastAsia="仿宋" w:cs="仿宋"/>
          <w:color w:val="auto"/>
          <w:spacing w:val="-88"/>
          <w:sz w:val="24"/>
          <w:highlight w:val="none"/>
        </w:rPr>
        <w:t xml:space="preserve"> </w:t>
      </w:r>
      <w:r>
        <w:rPr>
          <w:rFonts w:ascii="仿宋" w:hAnsi="仿宋" w:eastAsia="仿宋" w:cs="仿宋"/>
          <w:color w:val="auto"/>
          <w:sz w:val="24"/>
          <w:highlight w:val="none"/>
        </w:rPr>
        <w:t>期：</w:t>
      </w:r>
    </w:p>
    <w:p w14:paraId="2A1FB50F">
      <w:pPr>
        <w:spacing w:line="360" w:lineRule="auto"/>
        <w:ind w:right="-20"/>
        <w:rPr>
          <w:rFonts w:ascii="仿宋" w:hAnsi="仿宋" w:eastAsia="仿宋" w:cs="仿宋"/>
          <w:color w:val="auto"/>
          <w:sz w:val="24"/>
          <w:highlight w:val="none"/>
        </w:rPr>
      </w:pPr>
    </w:p>
    <w:p w14:paraId="74099CD3">
      <w:pPr>
        <w:spacing w:line="360" w:lineRule="auto"/>
        <w:ind w:right="-20"/>
        <w:rPr>
          <w:rFonts w:ascii="仿宋" w:hAnsi="仿宋" w:eastAsia="仿宋" w:cs="仿宋"/>
          <w:color w:val="auto"/>
          <w:sz w:val="24"/>
          <w:highlight w:val="none"/>
        </w:rPr>
      </w:pPr>
    </w:p>
    <w:p w14:paraId="2916C5BE">
      <w:pPr>
        <w:spacing w:line="360" w:lineRule="auto"/>
        <w:ind w:right="-20"/>
        <w:rPr>
          <w:rFonts w:ascii="仿宋" w:hAnsi="仿宋" w:eastAsia="仿宋" w:cs="仿宋"/>
          <w:color w:val="auto"/>
          <w:position w:val="-2"/>
          <w:sz w:val="22"/>
          <w:highlight w:val="none"/>
        </w:rPr>
      </w:pPr>
      <w:r>
        <w:rPr>
          <w:rFonts w:hint="eastAsia" w:ascii="仿宋" w:hAnsi="仿宋" w:eastAsia="仿宋" w:cs="仿宋"/>
          <w:color w:val="auto"/>
          <w:position w:val="-2"/>
          <w:sz w:val="22"/>
          <w:highlight w:val="none"/>
          <w:vertAlign w:val="superscript"/>
        </w:rPr>
        <w:t>1</w:t>
      </w:r>
      <w:r>
        <w:rPr>
          <w:rFonts w:hint="eastAsia" w:ascii="仿宋" w:hAnsi="仿宋" w:eastAsia="仿宋" w:cs="仿宋"/>
          <w:color w:val="auto"/>
          <w:position w:val="-2"/>
          <w:sz w:val="22"/>
          <w:highlight w:val="none"/>
        </w:rPr>
        <w:t>从业人员、营业收入、资产总额填报上一年度数据，无上一年度数据的新成立企业可不填报。</w:t>
      </w:r>
    </w:p>
    <w:p w14:paraId="18568126">
      <w:pPr>
        <w:spacing w:line="360" w:lineRule="auto"/>
        <w:ind w:right="-20" w:firstLine="440" w:firstLineChars="200"/>
        <w:rPr>
          <w:rFonts w:ascii="仿宋" w:hAnsi="仿宋" w:eastAsia="仿宋" w:cs="仿宋"/>
          <w:color w:val="auto"/>
          <w:position w:val="-2"/>
          <w:sz w:val="22"/>
          <w:highlight w:val="none"/>
        </w:rPr>
        <w:sectPr>
          <w:footerReference r:id="rId9" w:type="default"/>
          <w:pgSz w:w="11920" w:h="16840"/>
          <w:pgMar w:top="1480" w:right="1440" w:bottom="1780" w:left="1680" w:header="0" w:footer="1595" w:gutter="0"/>
          <w:cols w:space="720" w:num="1"/>
        </w:sectPr>
      </w:pPr>
    </w:p>
    <w:p w14:paraId="6D3970C1">
      <w:pPr>
        <w:spacing w:line="360" w:lineRule="auto"/>
        <w:ind w:right="-20"/>
        <w:jc w:val="center"/>
        <w:rPr>
          <w:rFonts w:ascii="仿宋" w:hAnsi="仿宋" w:eastAsia="仿宋" w:cs="宋体"/>
          <w:color w:val="auto"/>
          <w:sz w:val="24"/>
          <w:highlight w:val="none"/>
        </w:rPr>
      </w:pPr>
      <w:r>
        <w:rPr>
          <w:rFonts w:ascii="仿宋" w:hAnsi="仿宋" w:eastAsia="仿宋" w:cs="宋体"/>
          <w:color w:val="auto"/>
          <w:spacing w:val="2"/>
          <w:position w:val="-3"/>
          <w:sz w:val="24"/>
          <w:highlight w:val="none"/>
        </w:rPr>
        <w:t>中</w:t>
      </w:r>
      <w:r>
        <w:rPr>
          <w:rFonts w:ascii="仿宋" w:hAnsi="仿宋" w:eastAsia="仿宋" w:cs="宋体"/>
          <w:color w:val="auto"/>
          <w:position w:val="-3"/>
          <w:sz w:val="24"/>
          <w:highlight w:val="none"/>
        </w:rPr>
        <w:t>小</w:t>
      </w:r>
      <w:r>
        <w:rPr>
          <w:rFonts w:ascii="仿宋" w:hAnsi="仿宋" w:eastAsia="仿宋" w:cs="宋体"/>
          <w:color w:val="auto"/>
          <w:spacing w:val="2"/>
          <w:position w:val="-3"/>
          <w:sz w:val="24"/>
          <w:highlight w:val="none"/>
        </w:rPr>
        <w:t>企</w:t>
      </w:r>
      <w:r>
        <w:rPr>
          <w:rFonts w:ascii="仿宋" w:hAnsi="仿宋" w:eastAsia="仿宋" w:cs="宋体"/>
          <w:color w:val="auto"/>
          <w:position w:val="-3"/>
          <w:sz w:val="24"/>
          <w:highlight w:val="none"/>
        </w:rPr>
        <w:t>业</w:t>
      </w:r>
      <w:r>
        <w:rPr>
          <w:rFonts w:ascii="仿宋" w:hAnsi="仿宋" w:eastAsia="仿宋" w:cs="宋体"/>
          <w:color w:val="auto"/>
          <w:spacing w:val="2"/>
          <w:position w:val="-3"/>
          <w:sz w:val="24"/>
          <w:highlight w:val="none"/>
        </w:rPr>
        <w:t>声明</w:t>
      </w:r>
      <w:r>
        <w:rPr>
          <w:rFonts w:ascii="仿宋" w:hAnsi="仿宋" w:eastAsia="仿宋" w:cs="宋体"/>
          <w:color w:val="auto"/>
          <w:position w:val="-3"/>
          <w:sz w:val="24"/>
          <w:highlight w:val="none"/>
        </w:rPr>
        <w:t>函</w:t>
      </w:r>
      <w:r>
        <w:rPr>
          <w:rFonts w:ascii="仿宋" w:hAnsi="仿宋" w:eastAsia="仿宋" w:cs="宋体"/>
          <w:color w:val="auto"/>
          <w:spacing w:val="2"/>
          <w:position w:val="-3"/>
          <w:sz w:val="24"/>
          <w:highlight w:val="none"/>
        </w:rPr>
        <w:t>（</w:t>
      </w:r>
      <w:r>
        <w:rPr>
          <w:rFonts w:ascii="仿宋" w:hAnsi="仿宋" w:eastAsia="仿宋" w:cs="宋体"/>
          <w:color w:val="auto"/>
          <w:position w:val="-3"/>
          <w:sz w:val="24"/>
          <w:highlight w:val="none"/>
        </w:rPr>
        <w:t>工</w:t>
      </w:r>
      <w:r>
        <w:rPr>
          <w:rFonts w:ascii="仿宋" w:hAnsi="仿宋" w:eastAsia="仿宋" w:cs="宋体"/>
          <w:color w:val="auto"/>
          <w:spacing w:val="2"/>
          <w:position w:val="-3"/>
          <w:sz w:val="24"/>
          <w:highlight w:val="none"/>
        </w:rPr>
        <w:t>程</w:t>
      </w:r>
      <w:r>
        <w:rPr>
          <w:rFonts w:ascii="仿宋" w:hAnsi="仿宋" w:eastAsia="仿宋" w:cs="宋体"/>
          <w:color w:val="auto"/>
          <w:position w:val="-3"/>
          <w:sz w:val="24"/>
          <w:highlight w:val="none"/>
        </w:rPr>
        <w:t>、</w:t>
      </w:r>
      <w:r>
        <w:rPr>
          <w:rFonts w:ascii="仿宋" w:hAnsi="仿宋" w:eastAsia="仿宋" w:cs="宋体"/>
          <w:color w:val="auto"/>
          <w:spacing w:val="2"/>
          <w:position w:val="-3"/>
          <w:sz w:val="24"/>
          <w:highlight w:val="none"/>
        </w:rPr>
        <w:t>服务</w:t>
      </w:r>
      <w:r>
        <w:rPr>
          <w:rFonts w:ascii="仿宋" w:hAnsi="仿宋" w:eastAsia="仿宋" w:cs="宋体"/>
          <w:color w:val="auto"/>
          <w:position w:val="-3"/>
          <w:sz w:val="24"/>
          <w:highlight w:val="none"/>
        </w:rPr>
        <w:t>）</w:t>
      </w:r>
    </w:p>
    <w:p w14:paraId="3250E626">
      <w:pPr>
        <w:spacing w:line="360" w:lineRule="auto"/>
        <w:ind w:left="120" w:right="207" w:firstLine="641"/>
        <w:rPr>
          <w:rFonts w:ascii="仿宋" w:hAnsi="仿宋" w:eastAsia="仿宋" w:cs="仿宋"/>
          <w:color w:val="auto"/>
          <w:spacing w:val="3"/>
          <w:sz w:val="24"/>
          <w:highlight w:val="none"/>
        </w:rPr>
      </w:pPr>
      <w:r>
        <w:rPr>
          <w:rFonts w:ascii="仿宋" w:hAnsi="仿宋" w:eastAsia="仿宋" w:cs="仿宋"/>
          <w:color w:val="auto"/>
          <w:spacing w:val="3"/>
          <w:sz w:val="24"/>
          <w:highlight w:val="none"/>
        </w:rPr>
        <w:t>本公司（联合体）郑重声明，根据《政府采购促进中小 企业发展管理办法》（财库﹝2020﹞46 号）的规定，本公司（联合体）参加</w:t>
      </w:r>
      <w:r>
        <w:rPr>
          <w:rFonts w:ascii="仿宋" w:hAnsi="仿宋" w:eastAsia="仿宋" w:cs="仿宋"/>
          <w:i/>
          <w:color w:val="auto"/>
          <w:spacing w:val="3"/>
          <w:sz w:val="24"/>
          <w:highlight w:val="none"/>
          <w:u w:val="single"/>
        </w:rPr>
        <w:t>（单位名称）</w:t>
      </w:r>
      <w:r>
        <w:rPr>
          <w:rFonts w:ascii="仿宋" w:hAnsi="仿宋" w:eastAsia="仿宋" w:cs="仿宋"/>
          <w:color w:val="auto"/>
          <w:spacing w:val="3"/>
          <w:sz w:val="24"/>
          <w:highlight w:val="none"/>
        </w:rPr>
        <w:t>的</w:t>
      </w:r>
      <w:r>
        <w:rPr>
          <w:rFonts w:ascii="仿宋" w:hAnsi="仿宋" w:eastAsia="仿宋" w:cs="仿宋"/>
          <w:i/>
          <w:color w:val="auto"/>
          <w:spacing w:val="3"/>
          <w:sz w:val="24"/>
          <w:highlight w:val="none"/>
          <w:u w:val="single"/>
        </w:rPr>
        <w:t>（项目名称）</w:t>
      </w:r>
      <w:r>
        <w:rPr>
          <w:rFonts w:ascii="仿宋" w:hAnsi="仿宋" w:eastAsia="仿宋" w:cs="仿宋"/>
          <w:color w:val="auto"/>
          <w:spacing w:val="3"/>
          <w:sz w:val="24"/>
          <w:highlight w:val="none"/>
        </w:rPr>
        <w:t>采购活动，工程的施工单位全部为符合政策要求的中小企业（或者：服务全部由符合政策要求的中小企业承接）。相关企业（含联合 体中的中小企业、签订分包意向协议的中小企业）的具体情 况如下：</w:t>
      </w:r>
    </w:p>
    <w:p w14:paraId="15CED64D">
      <w:pPr>
        <w:spacing w:line="360" w:lineRule="auto"/>
        <w:ind w:left="120" w:right="207" w:firstLine="641"/>
        <w:rPr>
          <w:rFonts w:ascii="仿宋" w:hAnsi="仿宋" w:eastAsia="仿宋" w:cs="仿宋"/>
          <w:color w:val="auto"/>
          <w:spacing w:val="3"/>
          <w:sz w:val="24"/>
          <w:highlight w:val="none"/>
        </w:rPr>
      </w:pPr>
      <w:r>
        <w:rPr>
          <w:rFonts w:ascii="仿宋" w:hAnsi="仿宋" w:eastAsia="仿宋" w:cs="仿宋"/>
          <w:color w:val="auto"/>
          <w:spacing w:val="3"/>
          <w:sz w:val="24"/>
          <w:highlight w:val="none"/>
        </w:rPr>
        <w:t xml:space="preserve">1. </w:t>
      </w:r>
      <w:r>
        <w:rPr>
          <w:rFonts w:ascii="仿宋" w:hAnsi="仿宋" w:eastAsia="仿宋" w:cs="仿宋"/>
          <w:i/>
          <w:color w:val="auto"/>
          <w:spacing w:val="3"/>
          <w:sz w:val="24"/>
          <w:highlight w:val="none"/>
          <w:u w:val="single"/>
        </w:rPr>
        <w:t>（标的名称）</w:t>
      </w:r>
      <w:r>
        <w:rPr>
          <w:rFonts w:ascii="仿宋" w:hAnsi="仿宋" w:eastAsia="仿宋" w:cs="仿宋"/>
          <w:color w:val="auto"/>
          <w:spacing w:val="3"/>
          <w:sz w:val="24"/>
          <w:highlight w:val="none"/>
        </w:rPr>
        <w:t>，属于</w:t>
      </w:r>
      <w:r>
        <w:rPr>
          <w:rFonts w:ascii="仿宋" w:hAnsi="仿宋" w:eastAsia="仿宋" w:cs="仿宋"/>
          <w:i/>
          <w:color w:val="auto"/>
          <w:spacing w:val="3"/>
          <w:sz w:val="24"/>
          <w:highlight w:val="none"/>
          <w:u w:val="single"/>
        </w:rPr>
        <w:t>（采购文件中明确的所属行业）</w:t>
      </w:r>
      <w:r>
        <w:rPr>
          <w:rFonts w:ascii="仿宋" w:hAnsi="仿宋" w:eastAsia="仿宋" w:cs="仿宋"/>
          <w:color w:val="auto"/>
          <w:spacing w:val="3"/>
          <w:sz w:val="24"/>
          <w:highlight w:val="none"/>
        </w:rPr>
        <w:t>； 承建（承接）企业为</w:t>
      </w:r>
      <w:r>
        <w:rPr>
          <w:rFonts w:ascii="仿宋" w:hAnsi="仿宋" w:eastAsia="仿宋" w:cs="仿宋"/>
          <w:i/>
          <w:color w:val="auto"/>
          <w:spacing w:val="3"/>
          <w:sz w:val="24"/>
          <w:highlight w:val="none"/>
          <w:u w:val="single"/>
        </w:rPr>
        <w:t>（企业名称）</w:t>
      </w:r>
      <w:r>
        <w:rPr>
          <w:rFonts w:ascii="仿宋" w:hAnsi="仿宋" w:eastAsia="仿宋" w:cs="仿宋"/>
          <w:color w:val="auto"/>
          <w:spacing w:val="3"/>
          <w:sz w:val="24"/>
          <w:highlight w:val="none"/>
        </w:rPr>
        <w:t>，从业人员</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u w:val="single"/>
        </w:rPr>
        <w:tab/>
      </w:r>
      <w:r>
        <w:rPr>
          <w:rFonts w:ascii="仿宋" w:hAnsi="仿宋" w:eastAsia="仿宋" w:cs="仿宋"/>
          <w:color w:val="auto"/>
          <w:spacing w:val="3"/>
          <w:sz w:val="24"/>
          <w:highlight w:val="none"/>
        </w:rPr>
        <w:t>人，营业 收入为</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u w:val="single"/>
        </w:rPr>
        <w:tab/>
      </w:r>
      <w:r>
        <w:rPr>
          <w:rFonts w:ascii="仿宋" w:hAnsi="仿宋" w:eastAsia="仿宋" w:cs="仿宋"/>
          <w:color w:val="auto"/>
          <w:spacing w:val="3"/>
          <w:sz w:val="24"/>
          <w:highlight w:val="none"/>
        </w:rPr>
        <w:t>万元，资产总额为</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u w:val="single"/>
        </w:rPr>
        <w:tab/>
      </w:r>
      <w:r>
        <w:rPr>
          <w:rFonts w:ascii="仿宋" w:hAnsi="仿宋" w:eastAsia="仿宋" w:cs="仿宋"/>
          <w:color w:val="auto"/>
          <w:spacing w:val="3"/>
          <w:sz w:val="24"/>
          <w:highlight w:val="none"/>
        </w:rPr>
        <w:t>万元</w:t>
      </w:r>
      <w:r>
        <w:rPr>
          <w:rFonts w:ascii="仿宋" w:hAnsi="仿宋" w:eastAsia="仿宋" w:cs="仿宋"/>
          <w:color w:val="auto"/>
          <w:spacing w:val="3"/>
          <w:sz w:val="24"/>
          <w:highlight w:val="none"/>
          <w:vertAlign w:val="superscript"/>
        </w:rPr>
        <w:t>1</w:t>
      </w:r>
      <w:r>
        <w:rPr>
          <w:rFonts w:ascii="仿宋" w:hAnsi="仿宋" w:eastAsia="仿宋" w:cs="仿宋"/>
          <w:color w:val="auto"/>
          <w:spacing w:val="3"/>
          <w:sz w:val="24"/>
          <w:highlight w:val="none"/>
        </w:rPr>
        <w:t>，属于</w:t>
      </w:r>
      <w:r>
        <w:rPr>
          <w:rFonts w:ascii="仿宋" w:hAnsi="仿宋" w:eastAsia="仿宋" w:cs="仿宋"/>
          <w:i/>
          <w:color w:val="auto"/>
          <w:spacing w:val="3"/>
          <w:sz w:val="24"/>
          <w:highlight w:val="none"/>
          <w:u w:val="single"/>
        </w:rPr>
        <w:t>（中型企业、 小型企业、微型企业）</w:t>
      </w:r>
      <w:r>
        <w:rPr>
          <w:rFonts w:ascii="仿宋" w:hAnsi="仿宋" w:eastAsia="仿宋" w:cs="仿宋"/>
          <w:color w:val="auto"/>
          <w:spacing w:val="3"/>
          <w:sz w:val="24"/>
          <w:highlight w:val="none"/>
        </w:rPr>
        <w:t>；</w:t>
      </w:r>
    </w:p>
    <w:p w14:paraId="72694DEE">
      <w:pPr>
        <w:spacing w:line="360" w:lineRule="auto"/>
        <w:ind w:left="120" w:right="207" w:firstLine="641"/>
        <w:rPr>
          <w:rFonts w:ascii="仿宋" w:hAnsi="仿宋" w:eastAsia="仿宋" w:cs="仿宋"/>
          <w:color w:val="auto"/>
          <w:spacing w:val="3"/>
          <w:sz w:val="24"/>
          <w:highlight w:val="none"/>
        </w:rPr>
      </w:pPr>
      <w:r>
        <w:rPr>
          <w:rFonts w:ascii="仿宋" w:hAnsi="仿宋" w:eastAsia="仿宋" w:cs="仿宋"/>
          <w:color w:val="auto"/>
          <w:spacing w:val="3"/>
          <w:sz w:val="24"/>
          <w:highlight w:val="none"/>
        </w:rPr>
        <w:t xml:space="preserve">2. </w:t>
      </w:r>
      <w:r>
        <w:rPr>
          <w:rFonts w:ascii="仿宋" w:hAnsi="仿宋" w:eastAsia="仿宋" w:cs="仿宋"/>
          <w:i/>
          <w:color w:val="auto"/>
          <w:spacing w:val="3"/>
          <w:sz w:val="24"/>
          <w:highlight w:val="none"/>
          <w:u w:val="single"/>
        </w:rPr>
        <w:t>（标的名称）</w:t>
      </w:r>
      <w:r>
        <w:rPr>
          <w:rFonts w:ascii="仿宋" w:hAnsi="仿宋" w:eastAsia="仿宋" w:cs="仿宋"/>
          <w:color w:val="auto"/>
          <w:spacing w:val="3"/>
          <w:sz w:val="24"/>
          <w:highlight w:val="none"/>
        </w:rPr>
        <w:t>，属于</w:t>
      </w:r>
      <w:r>
        <w:rPr>
          <w:rFonts w:ascii="仿宋" w:hAnsi="仿宋" w:eastAsia="仿宋" w:cs="仿宋"/>
          <w:i/>
          <w:color w:val="auto"/>
          <w:spacing w:val="3"/>
          <w:sz w:val="24"/>
          <w:highlight w:val="none"/>
          <w:u w:val="single"/>
        </w:rPr>
        <w:t>（采购文件中明确的所属行业）</w:t>
      </w:r>
      <w:r>
        <w:rPr>
          <w:rFonts w:ascii="仿宋" w:hAnsi="仿宋" w:eastAsia="仿宋" w:cs="仿宋"/>
          <w:color w:val="auto"/>
          <w:spacing w:val="3"/>
          <w:sz w:val="24"/>
          <w:highlight w:val="none"/>
        </w:rPr>
        <w:t>； 承建（承接）企业为</w:t>
      </w:r>
      <w:r>
        <w:rPr>
          <w:rFonts w:ascii="仿宋" w:hAnsi="仿宋" w:eastAsia="仿宋" w:cs="仿宋"/>
          <w:i/>
          <w:color w:val="auto"/>
          <w:spacing w:val="3"/>
          <w:sz w:val="24"/>
          <w:highlight w:val="none"/>
          <w:u w:val="single"/>
        </w:rPr>
        <w:t>（企业名称）</w:t>
      </w:r>
      <w:r>
        <w:rPr>
          <w:rFonts w:ascii="仿宋" w:hAnsi="仿宋" w:eastAsia="仿宋" w:cs="仿宋"/>
          <w:color w:val="auto"/>
          <w:spacing w:val="3"/>
          <w:sz w:val="24"/>
          <w:highlight w:val="none"/>
        </w:rPr>
        <w:t>，从业人员</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u w:val="single"/>
        </w:rPr>
        <w:tab/>
      </w:r>
      <w:r>
        <w:rPr>
          <w:rFonts w:ascii="仿宋" w:hAnsi="仿宋" w:eastAsia="仿宋" w:cs="仿宋"/>
          <w:color w:val="auto"/>
          <w:spacing w:val="3"/>
          <w:sz w:val="24"/>
          <w:highlight w:val="none"/>
        </w:rPr>
        <w:t>人，营业 收入为</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u w:val="single"/>
        </w:rPr>
        <w:tab/>
      </w:r>
      <w:r>
        <w:rPr>
          <w:rFonts w:ascii="仿宋" w:hAnsi="仿宋" w:eastAsia="仿宋" w:cs="仿宋"/>
          <w:color w:val="auto"/>
          <w:spacing w:val="3"/>
          <w:sz w:val="24"/>
          <w:highlight w:val="none"/>
        </w:rPr>
        <w:t>万元，资产总额为</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u w:val="single"/>
        </w:rPr>
        <w:tab/>
      </w:r>
      <w:r>
        <w:rPr>
          <w:rFonts w:ascii="仿宋" w:hAnsi="仿宋" w:eastAsia="仿宋" w:cs="仿宋"/>
          <w:color w:val="auto"/>
          <w:spacing w:val="3"/>
          <w:sz w:val="24"/>
          <w:highlight w:val="none"/>
        </w:rPr>
        <w:t>万元，属于</w:t>
      </w:r>
      <w:r>
        <w:rPr>
          <w:rFonts w:ascii="仿宋" w:hAnsi="仿宋" w:eastAsia="仿宋" w:cs="仿宋"/>
          <w:i/>
          <w:color w:val="auto"/>
          <w:spacing w:val="3"/>
          <w:sz w:val="24"/>
          <w:highlight w:val="none"/>
          <w:u w:val="single"/>
        </w:rPr>
        <w:t>（中型企业、 小型企业、微型企业）</w:t>
      </w:r>
      <w:r>
        <w:rPr>
          <w:rFonts w:ascii="仿宋" w:hAnsi="仿宋" w:eastAsia="仿宋" w:cs="仿宋"/>
          <w:color w:val="auto"/>
          <w:spacing w:val="3"/>
          <w:sz w:val="24"/>
          <w:highlight w:val="none"/>
        </w:rPr>
        <w:t>；</w:t>
      </w:r>
    </w:p>
    <w:p w14:paraId="79727FC5">
      <w:pPr>
        <w:spacing w:line="360" w:lineRule="auto"/>
        <w:ind w:left="120" w:right="207" w:firstLine="641"/>
        <w:rPr>
          <w:rFonts w:ascii="仿宋" w:hAnsi="仿宋" w:eastAsia="仿宋" w:cs="仿宋"/>
          <w:color w:val="auto"/>
          <w:spacing w:val="3"/>
          <w:sz w:val="24"/>
          <w:highlight w:val="none"/>
        </w:rPr>
      </w:pPr>
      <w:r>
        <w:rPr>
          <w:rFonts w:ascii="仿宋" w:hAnsi="仿宋" w:eastAsia="仿宋" w:cs="仿宋"/>
          <w:color w:val="auto"/>
          <w:spacing w:val="3"/>
          <w:sz w:val="24"/>
          <w:highlight w:val="none"/>
        </w:rPr>
        <w:t xml:space="preserve">…… </w:t>
      </w:r>
    </w:p>
    <w:p w14:paraId="7B0DE1B1">
      <w:pPr>
        <w:spacing w:line="360" w:lineRule="auto"/>
        <w:ind w:left="120" w:right="207" w:firstLine="641"/>
        <w:rPr>
          <w:rFonts w:ascii="仿宋" w:hAnsi="仿宋" w:eastAsia="仿宋" w:cs="仿宋"/>
          <w:color w:val="auto"/>
          <w:spacing w:val="3"/>
          <w:sz w:val="24"/>
          <w:highlight w:val="none"/>
        </w:rPr>
      </w:pPr>
      <w:r>
        <w:rPr>
          <w:rFonts w:ascii="仿宋" w:hAnsi="仿宋" w:eastAsia="仿宋" w:cs="仿宋"/>
          <w:color w:val="auto"/>
          <w:spacing w:val="3"/>
          <w:sz w:val="24"/>
          <w:highlight w:val="none"/>
        </w:rPr>
        <w:t>以上企业，不属于大企业的分支机构，不存在控股股东为大企业的情形，也不存在与大企业的负责人为同一人的情 形。</w:t>
      </w:r>
    </w:p>
    <w:p w14:paraId="72336031">
      <w:pPr>
        <w:spacing w:line="360" w:lineRule="auto"/>
        <w:ind w:left="120" w:right="207" w:firstLine="641"/>
        <w:rPr>
          <w:rFonts w:ascii="仿宋" w:hAnsi="仿宋" w:eastAsia="仿宋" w:cs="仿宋"/>
          <w:color w:val="auto"/>
          <w:spacing w:val="3"/>
          <w:sz w:val="24"/>
          <w:highlight w:val="none"/>
        </w:rPr>
      </w:pPr>
      <w:r>
        <w:rPr>
          <w:rFonts w:ascii="仿宋" w:hAnsi="仿宋" w:eastAsia="仿宋" w:cs="仿宋"/>
          <w:color w:val="auto"/>
          <w:spacing w:val="3"/>
          <w:sz w:val="24"/>
          <w:highlight w:val="none"/>
        </w:rPr>
        <w:t>本企业对上述声明内容的真实性负责。如有虚假，将依法承担相应责任。</w:t>
      </w:r>
    </w:p>
    <w:p w14:paraId="4A47620B">
      <w:pPr>
        <w:spacing w:before="3" w:line="360" w:lineRule="auto"/>
        <w:rPr>
          <w:rFonts w:ascii="仿宋" w:hAnsi="仿宋" w:eastAsia="仿宋"/>
          <w:color w:val="auto"/>
          <w:sz w:val="24"/>
          <w:highlight w:val="none"/>
        </w:rPr>
      </w:pPr>
    </w:p>
    <w:p w14:paraId="732EA11C">
      <w:pPr>
        <w:spacing w:line="360" w:lineRule="auto"/>
        <w:ind w:left="3960" w:right="-20"/>
        <w:rPr>
          <w:rFonts w:ascii="仿宋" w:hAnsi="仿宋" w:eastAsia="仿宋" w:cs="仿宋"/>
          <w:color w:val="auto"/>
          <w:sz w:val="24"/>
          <w:highlight w:val="none"/>
        </w:rPr>
      </w:pPr>
      <w:r>
        <w:rPr>
          <w:rFonts w:ascii="仿宋" w:hAnsi="仿宋" w:eastAsia="仿宋" w:cs="仿宋"/>
          <w:color w:val="auto"/>
          <w:position w:val="-2"/>
          <w:sz w:val="24"/>
          <w:highlight w:val="none"/>
        </w:rPr>
        <w:t>企</w:t>
      </w:r>
      <w:r>
        <w:rPr>
          <w:rFonts w:ascii="仿宋" w:hAnsi="仿宋" w:eastAsia="仿宋" w:cs="仿宋"/>
          <w:color w:val="auto"/>
          <w:spacing w:val="3"/>
          <w:position w:val="-2"/>
          <w:sz w:val="24"/>
          <w:highlight w:val="none"/>
        </w:rPr>
        <w:t>业</w:t>
      </w:r>
      <w:r>
        <w:rPr>
          <w:rFonts w:ascii="仿宋" w:hAnsi="仿宋" w:eastAsia="仿宋" w:cs="仿宋"/>
          <w:color w:val="auto"/>
          <w:position w:val="-2"/>
          <w:sz w:val="24"/>
          <w:highlight w:val="none"/>
        </w:rPr>
        <w:t>名称</w:t>
      </w:r>
      <w:r>
        <w:rPr>
          <w:rFonts w:ascii="仿宋" w:hAnsi="仿宋" w:eastAsia="仿宋" w:cs="仿宋"/>
          <w:color w:val="auto"/>
          <w:spacing w:val="3"/>
          <w:position w:val="-2"/>
          <w:sz w:val="24"/>
          <w:highlight w:val="none"/>
        </w:rPr>
        <w:t>（</w:t>
      </w:r>
      <w:r>
        <w:rPr>
          <w:rFonts w:ascii="仿宋" w:hAnsi="仿宋" w:eastAsia="仿宋" w:cs="仿宋"/>
          <w:color w:val="auto"/>
          <w:position w:val="-2"/>
          <w:sz w:val="24"/>
          <w:highlight w:val="none"/>
        </w:rPr>
        <w:t>盖章</w:t>
      </w:r>
      <w:r>
        <w:rPr>
          <w:rFonts w:ascii="仿宋" w:hAnsi="仿宋" w:eastAsia="仿宋" w:cs="仿宋"/>
          <w:color w:val="auto"/>
          <w:spacing w:val="-158"/>
          <w:position w:val="-2"/>
          <w:sz w:val="24"/>
          <w:highlight w:val="none"/>
        </w:rPr>
        <w:t>）</w:t>
      </w:r>
      <w:r>
        <w:rPr>
          <w:rFonts w:ascii="仿宋" w:hAnsi="仿宋" w:eastAsia="仿宋" w:cs="仿宋"/>
          <w:color w:val="auto"/>
          <w:position w:val="-2"/>
          <w:sz w:val="24"/>
          <w:highlight w:val="none"/>
        </w:rPr>
        <w:t>：</w:t>
      </w:r>
    </w:p>
    <w:p w14:paraId="39FB3792">
      <w:pPr>
        <w:spacing w:before="68" w:line="360" w:lineRule="auto"/>
        <w:ind w:left="3916" w:right="3673"/>
        <w:rPr>
          <w:rFonts w:ascii="仿宋" w:hAnsi="仿宋" w:eastAsia="仿宋" w:cs="仿宋"/>
          <w:color w:val="auto"/>
          <w:sz w:val="24"/>
          <w:highlight w:val="none"/>
        </w:rPr>
      </w:pPr>
      <w:r>
        <w:rPr>
          <w:rFonts w:ascii="仿宋" w:hAnsi="仿宋" w:eastAsia="仿宋" w:cs="仿宋"/>
          <w:color w:val="auto"/>
          <w:w w:val="99"/>
          <w:sz w:val="24"/>
          <w:highlight w:val="none"/>
        </w:rPr>
        <w:t>日</w:t>
      </w:r>
      <w:r>
        <w:rPr>
          <w:rFonts w:ascii="仿宋" w:hAnsi="仿宋" w:eastAsia="仿宋" w:cs="仿宋"/>
          <w:color w:val="auto"/>
          <w:spacing w:val="-88"/>
          <w:sz w:val="24"/>
          <w:highlight w:val="none"/>
        </w:rPr>
        <w:t xml:space="preserve"> </w:t>
      </w:r>
      <w:r>
        <w:rPr>
          <w:rFonts w:ascii="仿宋" w:hAnsi="仿宋" w:eastAsia="仿宋" w:cs="仿宋"/>
          <w:color w:val="auto"/>
          <w:w w:val="99"/>
          <w:sz w:val="24"/>
          <w:highlight w:val="none"/>
        </w:rPr>
        <w:t>期：</w:t>
      </w:r>
    </w:p>
    <w:p w14:paraId="5841D4C1">
      <w:pPr>
        <w:spacing w:line="360" w:lineRule="auto"/>
        <w:jc w:val="center"/>
        <w:rPr>
          <w:rFonts w:ascii="仿宋" w:hAnsi="仿宋" w:eastAsia="仿宋" w:cs="仿宋"/>
          <w:color w:val="auto"/>
          <w:sz w:val="24"/>
          <w:highlight w:val="none"/>
        </w:rPr>
      </w:pPr>
    </w:p>
    <w:p w14:paraId="08F8A88C">
      <w:pPr>
        <w:spacing w:line="360" w:lineRule="auto"/>
        <w:ind w:right="-20"/>
        <w:rPr>
          <w:rFonts w:ascii="仿宋" w:hAnsi="仿宋" w:eastAsia="仿宋" w:cs="仿宋"/>
          <w:color w:val="auto"/>
          <w:position w:val="-2"/>
          <w:sz w:val="22"/>
          <w:highlight w:val="none"/>
        </w:rPr>
      </w:pPr>
      <w:r>
        <w:rPr>
          <w:rFonts w:hint="eastAsia" w:ascii="仿宋" w:hAnsi="仿宋" w:eastAsia="仿宋" w:cs="仿宋"/>
          <w:color w:val="auto"/>
          <w:position w:val="-2"/>
          <w:sz w:val="22"/>
          <w:highlight w:val="none"/>
          <w:vertAlign w:val="superscript"/>
        </w:rPr>
        <w:t>1</w:t>
      </w:r>
      <w:r>
        <w:rPr>
          <w:rFonts w:hint="eastAsia" w:ascii="仿宋" w:hAnsi="仿宋" w:eastAsia="仿宋" w:cs="仿宋"/>
          <w:color w:val="auto"/>
          <w:position w:val="-2"/>
          <w:sz w:val="22"/>
          <w:highlight w:val="none"/>
        </w:rPr>
        <w:t>从业人员、营业收入、资产总额填报上一年度数据，无上一年度数据的新成立企业可不填报。</w:t>
      </w:r>
    </w:p>
    <w:p w14:paraId="403E525A">
      <w:pPr>
        <w:spacing w:line="360" w:lineRule="auto"/>
        <w:ind w:right="-20"/>
        <w:rPr>
          <w:rFonts w:ascii="仿宋" w:hAnsi="仿宋" w:eastAsia="仿宋" w:cs="仿宋"/>
          <w:color w:val="auto"/>
          <w:position w:val="-2"/>
          <w:sz w:val="22"/>
          <w:highlight w:val="none"/>
          <w:vertAlign w:val="superscript"/>
        </w:rPr>
      </w:pPr>
    </w:p>
    <w:p w14:paraId="33552D8C">
      <w:pPr>
        <w:spacing w:line="360" w:lineRule="auto"/>
        <w:ind w:right="-20"/>
        <w:jc w:val="center"/>
        <w:rPr>
          <w:rFonts w:ascii="仿宋" w:hAnsi="仿宋" w:eastAsia="仿宋" w:cs="宋体"/>
          <w:color w:val="auto"/>
          <w:spacing w:val="2"/>
          <w:position w:val="-3"/>
          <w:sz w:val="24"/>
          <w:highlight w:val="none"/>
        </w:rPr>
      </w:pPr>
      <w:r>
        <w:rPr>
          <w:rFonts w:hint="eastAsia" w:ascii="仿宋" w:hAnsi="仿宋" w:eastAsia="仿宋" w:cs="仿宋"/>
          <w:color w:val="auto"/>
          <w:position w:val="-2"/>
          <w:sz w:val="22"/>
          <w:highlight w:val="none"/>
        </w:rPr>
        <w:t>备注：</w:t>
      </w:r>
      <w:r>
        <w:rPr>
          <w:rFonts w:ascii="仿宋" w:hAnsi="仿宋" w:eastAsia="仿宋" w:cs="仿宋"/>
          <w:color w:val="auto"/>
          <w:position w:val="-2"/>
          <w:sz w:val="22"/>
          <w:highlight w:val="none"/>
        </w:rPr>
        <w:t>1.</w:t>
      </w:r>
      <w:r>
        <w:rPr>
          <w:rFonts w:hint="eastAsia" w:ascii="仿宋" w:hAnsi="仿宋" w:eastAsia="仿宋" w:cs="仿宋"/>
          <w:color w:val="auto"/>
          <w:position w:val="-2"/>
          <w:sz w:val="22"/>
          <w:highlight w:val="none"/>
        </w:rPr>
        <w:t>填写前请认真阅读《工业和信息化部　国家统计局　国家发展和改革委员会　财政部关于印发中小企业划型标准规定的通知》</w:t>
      </w:r>
      <w:r>
        <w:rPr>
          <w:rFonts w:ascii="仿宋" w:hAnsi="仿宋" w:eastAsia="仿宋" w:cs="仿宋"/>
          <w:color w:val="auto"/>
          <w:position w:val="-2"/>
          <w:sz w:val="22"/>
          <w:highlight w:val="none"/>
        </w:rPr>
        <w:t>(</w:t>
      </w:r>
      <w:r>
        <w:rPr>
          <w:rFonts w:hint="eastAsia" w:ascii="仿宋" w:hAnsi="仿宋" w:eastAsia="仿宋" w:cs="仿宋"/>
          <w:color w:val="auto"/>
          <w:position w:val="-2"/>
          <w:sz w:val="22"/>
          <w:highlight w:val="none"/>
        </w:rPr>
        <w:t>工信部联企业〔</w:t>
      </w:r>
      <w:r>
        <w:rPr>
          <w:rFonts w:ascii="仿宋" w:hAnsi="仿宋" w:eastAsia="仿宋" w:cs="仿宋"/>
          <w:color w:val="auto"/>
          <w:position w:val="-2"/>
          <w:sz w:val="22"/>
          <w:highlight w:val="none"/>
        </w:rPr>
        <w:t>2011</w:t>
      </w:r>
      <w:r>
        <w:rPr>
          <w:rFonts w:hint="eastAsia" w:ascii="仿宋" w:hAnsi="仿宋" w:eastAsia="仿宋" w:cs="仿宋"/>
          <w:color w:val="auto"/>
          <w:position w:val="-2"/>
          <w:sz w:val="22"/>
          <w:highlight w:val="none"/>
        </w:rPr>
        <w:t>〕</w:t>
      </w:r>
      <w:r>
        <w:rPr>
          <w:rFonts w:ascii="仿宋" w:hAnsi="仿宋" w:eastAsia="仿宋" w:cs="仿宋"/>
          <w:color w:val="auto"/>
          <w:position w:val="-2"/>
          <w:sz w:val="22"/>
          <w:highlight w:val="none"/>
        </w:rPr>
        <w:t>300</w:t>
      </w:r>
      <w:r>
        <w:rPr>
          <w:rFonts w:hint="eastAsia" w:ascii="仿宋" w:hAnsi="仿宋" w:eastAsia="仿宋" w:cs="仿宋"/>
          <w:color w:val="auto"/>
          <w:position w:val="-2"/>
          <w:sz w:val="22"/>
          <w:highlight w:val="none"/>
        </w:rPr>
        <w:t>号</w:t>
      </w:r>
      <w:r>
        <w:rPr>
          <w:rFonts w:ascii="仿宋" w:hAnsi="仿宋" w:eastAsia="仿宋" w:cs="仿宋"/>
          <w:color w:val="auto"/>
          <w:position w:val="-2"/>
          <w:sz w:val="22"/>
          <w:highlight w:val="none"/>
        </w:rPr>
        <w:t>)</w:t>
      </w:r>
      <w:r>
        <w:rPr>
          <w:rFonts w:hint="eastAsia" w:ascii="仿宋" w:hAnsi="仿宋" w:eastAsia="仿宋" w:cs="仿宋"/>
          <w:color w:val="auto"/>
          <w:position w:val="-2"/>
          <w:sz w:val="22"/>
          <w:highlight w:val="none"/>
        </w:rPr>
        <w:t>和《财政部、工业和信息化部关于印发《政府采购促进中小企业发展管理办法》的通知》</w:t>
      </w:r>
      <w:r>
        <w:rPr>
          <w:rFonts w:ascii="仿宋" w:hAnsi="仿宋" w:eastAsia="仿宋" w:cs="仿宋"/>
          <w:color w:val="auto"/>
          <w:position w:val="-2"/>
          <w:sz w:val="22"/>
          <w:highlight w:val="none"/>
        </w:rPr>
        <w:t>(</w:t>
      </w:r>
      <w:r>
        <w:rPr>
          <w:rFonts w:hint="eastAsia" w:ascii="仿宋" w:hAnsi="仿宋" w:eastAsia="仿宋" w:cs="仿宋"/>
          <w:color w:val="auto"/>
          <w:position w:val="-2"/>
          <w:sz w:val="22"/>
          <w:highlight w:val="none"/>
        </w:rPr>
        <w:t>财库〔2020〕46号</w:t>
      </w:r>
      <w:r>
        <w:rPr>
          <w:rFonts w:ascii="仿宋" w:hAnsi="仿宋" w:eastAsia="仿宋" w:cs="仿宋"/>
          <w:color w:val="auto"/>
          <w:position w:val="-2"/>
          <w:sz w:val="22"/>
          <w:highlight w:val="none"/>
        </w:rPr>
        <w:t>)</w:t>
      </w:r>
      <w:r>
        <w:rPr>
          <w:rFonts w:hint="eastAsia" w:ascii="仿宋" w:hAnsi="仿宋" w:eastAsia="仿宋" w:cs="仿宋"/>
          <w:color w:val="auto"/>
          <w:position w:val="-2"/>
          <w:sz w:val="22"/>
          <w:highlight w:val="none"/>
        </w:rPr>
        <w:t>相关规定。</w:t>
      </w:r>
      <w:r>
        <w:rPr>
          <w:rFonts w:hint="eastAsia" w:ascii="仿宋" w:hAnsi="仿宋" w:eastAsia="仿宋" w:cs="仿宋"/>
          <w:color w:val="auto"/>
          <w:position w:val="-2"/>
          <w:sz w:val="22"/>
          <w:highlight w:val="none"/>
        </w:rPr>
        <w:br w:type="page"/>
      </w:r>
      <w:bookmarkStart w:id="375" w:name="_Toc520719712"/>
      <w:bookmarkStart w:id="376" w:name="_Toc522290170"/>
      <w:bookmarkStart w:id="377" w:name="_Toc525720152"/>
      <w:bookmarkStart w:id="378" w:name="_Toc17097047"/>
      <w:bookmarkStart w:id="379" w:name="_Toc9515973"/>
      <w:bookmarkStart w:id="380" w:name="_Toc8742837"/>
      <w:bookmarkStart w:id="381" w:name="_Toc13233099"/>
      <w:bookmarkStart w:id="382" w:name="_Toc11678074"/>
      <w:bookmarkStart w:id="383" w:name="_Toc10472939"/>
      <w:r>
        <w:rPr>
          <w:rFonts w:hint="eastAsia" w:ascii="仿宋" w:hAnsi="仿宋" w:eastAsia="仿宋" w:cs="宋体"/>
          <w:color w:val="auto"/>
          <w:spacing w:val="2"/>
          <w:position w:val="-3"/>
          <w:sz w:val="24"/>
          <w:highlight w:val="none"/>
        </w:rPr>
        <w:t>2.</w:t>
      </w:r>
      <w:bookmarkEnd w:id="375"/>
      <w:bookmarkEnd w:id="376"/>
      <w:bookmarkEnd w:id="377"/>
      <w:bookmarkEnd w:id="378"/>
      <w:bookmarkEnd w:id="379"/>
      <w:bookmarkEnd w:id="380"/>
      <w:bookmarkEnd w:id="381"/>
      <w:bookmarkEnd w:id="382"/>
      <w:bookmarkEnd w:id="383"/>
      <w:bookmarkStart w:id="384" w:name="_Toc17097048"/>
      <w:bookmarkStart w:id="385" w:name="_Toc9515974"/>
      <w:bookmarkStart w:id="386" w:name="_Toc10472940"/>
      <w:bookmarkStart w:id="387" w:name="_Toc520719713"/>
      <w:bookmarkStart w:id="388" w:name="_Toc8742838"/>
      <w:bookmarkStart w:id="389" w:name="_Toc525720153"/>
      <w:bookmarkStart w:id="390" w:name="_Toc522290171"/>
      <w:bookmarkStart w:id="391" w:name="_Toc13233100"/>
      <w:bookmarkStart w:id="392" w:name="_Toc11678075"/>
      <w:r>
        <w:rPr>
          <w:rFonts w:ascii="仿宋" w:hAnsi="仿宋" w:eastAsia="仿宋" w:cs="宋体"/>
          <w:color w:val="auto"/>
          <w:spacing w:val="2"/>
          <w:position w:val="-3"/>
          <w:sz w:val="24"/>
          <w:highlight w:val="none"/>
        </w:rPr>
        <w:t>残疾人福利性单位声明函</w:t>
      </w:r>
      <w:bookmarkEnd w:id="384"/>
      <w:bookmarkEnd w:id="385"/>
      <w:bookmarkEnd w:id="386"/>
      <w:bookmarkEnd w:id="387"/>
      <w:bookmarkEnd w:id="388"/>
      <w:bookmarkEnd w:id="389"/>
      <w:bookmarkEnd w:id="390"/>
      <w:bookmarkEnd w:id="391"/>
      <w:bookmarkEnd w:id="392"/>
      <w:bookmarkStart w:id="393" w:name="OLE_LINK13"/>
      <w:bookmarkStart w:id="394" w:name="OLE_LINK14"/>
    </w:p>
    <w:bookmarkEnd w:id="393"/>
    <w:bookmarkEnd w:id="394"/>
    <w:p w14:paraId="6787CA8C">
      <w:pPr>
        <w:spacing w:line="360" w:lineRule="auto"/>
        <w:ind w:firstLine="504" w:firstLineChars="200"/>
        <w:rPr>
          <w:rFonts w:ascii="仿宋" w:hAnsi="仿宋" w:eastAsia="仿宋"/>
          <w:color w:val="auto"/>
          <w:spacing w:val="6"/>
          <w:sz w:val="24"/>
          <w:szCs w:val="24"/>
          <w:highlight w:val="none"/>
        </w:rPr>
      </w:pPr>
      <w:r>
        <w:rPr>
          <w:rFonts w:ascii="仿宋" w:hAnsi="仿宋" w:eastAsia="仿宋"/>
          <w:color w:val="auto"/>
          <w:spacing w:val="6"/>
          <w:sz w:val="24"/>
          <w:szCs w:val="24"/>
          <w:highlight w:val="none"/>
        </w:rPr>
        <w:t>本单位郑重声明，根据《财政部 民政部 中国残疾人联合会关于促进残疾人就业政府采购政策的通知》（财库</w:t>
      </w:r>
      <w:r>
        <w:rPr>
          <w:rFonts w:ascii="仿宋" w:hAnsi="仿宋" w:eastAsia="仿宋"/>
          <w:color w:val="auto"/>
          <w:sz w:val="24"/>
          <w:szCs w:val="24"/>
          <w:highlight w:val="none"/>
        </w:rPr>
        <w:t>〔2018〕 141</w:t>
      </w:r>
      <w:r>
        <w:rPr>
          <w:rFonts w:ascii="仿宋" w:hAnsi="仿宋" w:eastAsia="仿宋"/>
          <w:color w:val="auto"/>
          <w:spacing w:val="6"/>
          <w:sz w:val="24"/>
          <w:szCs w:val="24"/>
          <w:highlight w:val="none"/>
        </w:rPr>
        <w:t>号）的规定，本单位为符合条件的残疾人福利性单位</w:t>
      </w:r>
      <w:r>
        <w:rPr>
          <w:rFonts w:hint="eastAsia" w:ascii="仿宋" w:hAnsi="仿宋" w:eastAsia="仿宋"/>
          <w:color w:val="auto"/>
          <w:spacing w:val="6"/>
          <w:sz w:val="24"/>
          <w:szCs w:val="24"/>
          <w:highlight w:val="none"/>
        </w:rPr>
        <w:t>。</w:t>
      </w:r>
      <w:r>
        <w:rPr>
          <w:rFonts w:ascii="仿宋" w:hAnsi="仿宋" w:eastAsia="仿宋"/>
          <w:color w:val="auto"/>
          <w:spacing w:val="6"/>
          <w:sz w:val="24"/>
          <w:szCs w:val="24"/>
          <w:highlight w:val="none"/>
        </w:rPr>
        <w:t>本单位参加</w:t>
      </w:r>
      <w:r>
        <w:rPr>
          <w:rFonts w:ascii="仿宋" w:hAnsi="仿宋" w:eastAsia="仿宋"/>
          <w:color w:val="auto"/>
          <w:sz w:val="24"/>
          <w:szCs w:val="24"/>
          <w:highlight w:val="none"/>
        </w:rPr>
        <w:t>项目编号为</w:t>
      </w:r>
      <w:r>
        <w:rPr>
          <w:rFonts w:ascii="仿宋" w:hAnsi="仿宋" w:eastAsia="仿宋"/>
          <w:color w:val="auto"/>
          <w:sz w:val="24"/>
          <w:szCs w:val="24"/>
          <w:highlight w:val="none"/>
          <w:u w:val="single"/>
        </w:rPr>
        <w:t>__</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____ </w:t>
      </w:r>
      <w:r>
        <w:rPr>
          <w:rFonts w:ascii="仿宋" w:hAnsi="仿宋" w:eastAsia="仿宋"/>
          <w:color w:val="auto"/>
          <w:sz w:val="24"/>
          <w:szCs w:val="24"/>
          <w:highlight w:val="none"/>
        </w:rPr>
        <w:t>的_</w:t>
      </w:r>
      <w:r>
        <w:rPr>
          <w:rFonts w:ascii="仿宋" w:hAnsi="仿宋" w:eastAsia="仿宋"/>
          <w:color w:val="auto"/>
          <w:sz w:val="24"/>
          <w:szCs w:val="24"/>
          <w:highlight w:val="none"/>
          <w:u w:val="single"/>
        </w:rPr>
        <w:t>___</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__</w:t>
      </w:r>
      <w:r>
        <w:rPr>
          <w:rFonts w:ascii="仿宋" w:hAnsi="仿宋" w:eastAsia="仿宋"/>
          <w:color w:val="auto"/>
          <w:sz w:val="24"/>
          <w:szCs w:val="24"/>
          <w:highlight w:val="none"/>
        </w:rPr>
        <w:t>单位的</w:t>
      </w:r>
      <w:r>
        <w:rPr>
          <w:rFonts w:ascii="仿宋" w:hAnsi="仿宋" w:eastAsia="仿宋"/>
          <w:color w:val="auto"/>
          <w:sz w:val="24"/>
          <w:szCs w:val="24"/>
          <w:highlight w:val="none"/>
          <w:u w:val="single"/>
        </w:rPr>
        <w:t>__</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___</w:t>
      </w:r>
      <w:r>
        <w:rPr>
          <w:rFonts w:ascii="仿宋" w:hAnsi="仿宋" w:eastAsia="仿宋"/>
          <w:color w:val="auto"/>
          <w:sz w:val="24"/>
          <w:szCs w:val="24"/>
          <w:highlight w:val="none"/>
        </w:rPr>
        <w:t>_项目采购活动</w:t>
      </w:r>
      <w:r>
        <w:rPr>
          <w:rFonts w:ascii="仿宋" w:hAnsi="仿宋" w:eastAsia="仿宋"/>
          <w:color w:val="auto"/>
          <w:spacing w:val="6"/>
          <w:sz w:val="24"/>
          <w:szCs w:val="24"/>
          <w:highlight w:val="none"/>
        </w:rPr>
        <w:t>提供本单位制造的货物（由本单位承担工程</w:t>
      </w:r>
      <w:r>
        <w:rPr>
          <w:rFonts w:hint="eastAsia" w:ascii="仿宋" w:hAnsi="仿宋" w:eastAsia="仿宋"/>
          <w:color w:val="auto"/>
          <w:spacing w:val="6"/>
          <w:sz w:val="24"/>
          <w:szCs w:val="24"/>
          <w:highlight w:val="none"/>
        </w:rPr>
        <w:t>、</w:t>
      </w:r>
      <w:r>
        <w:rPr>
          <w:rFonts w:ascii="仿宋" w:hAnsi="仿宋" w:eastAsia="仿宋"/>
          <w:color w:val="auto"/>
          <w:spacing w:val="6"/>
          <w:sz w:val="24"/>
          <w:szCs w:val="24"/>
          <w:highlight w:val="none"/>
        </w:rPr>
        <w:t>提供服务），或提供其他残疾人福利性单位制造的货物。</w:t>
      </w:r>
    </w:p>
    <w:p w14:paraId="2D89869F">
      <w:pPr>
        <w:spacing w:line="360" w:lineRule="auto"/>
        <w:ind w:firstLine="504" w:firstLineChars="200"/>
        <w:rPr>
          <w:rFonts w:ascii="仿宋" w:hAnsi="仿宋" w:eastAsia="仿宋"/>
          <w:color w:val="auto"/>
          <w:spacing w:val="6"/>
          <w:sz w:val="24"/>
          <w:szCs w:val="24"/>
          <w:highlight w:val="none"/>
        </w:rPr>
      </w:pPr>
      <w:r>
        <w:rPr>
          <w:rFonts w:ascii="仿宋" w:hAnsi="仿宋" w:eastAsia="仿宋"/>
          <w:color w:val="auto"/>
          <w:spacing w:val="6"/>
          <w:sz w:val="24"/>
          <w:szCs w:val="24"/>
          <w:highlight w:val="none"/>
        </w:rPr>
        <w:t>本单位对上述声明的真实性负责。如有虚假，将依法承担相应责任。</w:t>
      </w:r>
    </w:p>
    <w:p w14:paraId="16BFD5D6">
      <w:pPr>
        <w:spacing w:line="360" w:lineRule="auto"/>
        <w:ind w:firstLine="504" w:firstLineChars="200"/>
        <w:rPr>
          <w:rFonts w:ascii="仿宋" w:hAnsi="仿宋" w:eastAsia="仿宋"/>
          <w:color w:val="auto"/>
          <w:spacing w:val="6"/>
          <w:sz w:val="24"/>
          <w:szCs w:val="24"/>
          <w:highlight w:val="none"/>
        </w:rPr>
      </w:pPr>
    </w:p>
    <w:p w14:paraId="5D91C93E">
      <w:pPr>
        <w:snapToGrid w:val="0"/>
        <w:spacing w:line="360" w:lineRule="auto"/>
        <w:ind w:firstLine="4800" w:firstLineChars="2000"/>
        <w:rPr>
          <w:rFonts w:ascii="仿宋" w:hAnsi="仿宋" w:eastAsia="仿宋"/>
          <w:color w:val="auto"/>
          <w:sz w:val="24"/>
          <w:szCs w:val="24"/>
          <w:highlight w:val="none"/>
        </w:rPr>
      </w:pPr>
      <w:r>
        <w:rPr>
          <w:rFonts w:hint="eastAsia" w:ascii="仿宋" w:hAnsi="仿宋" w:eastAsia="仿宋"/>
          <w:color w:val="auto"/>
          <w:sz w:val="24"/>
          <w:szCs w:val="24"/>
          <w:highlight w:val="none"/>
        </w:rPr>
        <w:t>单位</w:t>
      </w:r>
      <w:r>
        <w:rPr>
          <w:rFonts w:ascii="仿宋" w:hAnsi="仿宋" w:eastAsia="仿宋"/>
          <w:color w:val="auto"/>
          <w:sz w:val="24"/>
          <w:szCs w:val="24"/>
          <w:highlight w:val="none"/>
        </w:rPr>
        <w:t>（公章）：</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p>
    <w:p w14:paraId="073DFA5E">
      <w:pPr>
        <w:snapToGrid w:val="0"/>
        <w:spacing w:line="360" w:lineRule="auto"/>
        <w:ind w:firstLine="4800" w:firstLineChars="2000"/>
        <w:rPr>
          <w:rFonts w:ascii="仿宋" w:hAnsi="仿宋" w:eastAsia="仿宋"/>
          <w:color w:val="auto"/>
          <w:sz w:val="24"/>
          <w:szCs w:val="24"/>
          <w:highlight w:val="none"/>
        </w:rPr>
      </w:pPr>
      <w:r>
        <w:rPr>
          <w:rFonts w:ascii="仿宋" w:hAnsi="仿宋" w:eastAsia="仿宋"/>
          <w:color w:val="auto"/>
          <w:sz w:val="24"/>
          <w:szCs w:val="24"/>
          <w:highlight w:val="none"/>
        </w:rPr>
        <w:t>日期：</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年</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月</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日</w:t>
      </w:r>
    </w:p>
    <w:p w14:paraId="4E2B44BB">
      <w:pPr>
        <w:spacing w:line="360" w:lineRule="auto"/>
        <w:ind w:right="-20"/>
        <w:jc w:val="center"/>
        <w:rPr>
          <w:rFonts w:ascii="仿宋" w:hAnsi="仿宋" w:eastAsia="仿宋" w:cs="宋体"/>
          <w:color w:val="auto"/>
          <w:spacing w:val="2"/>
          <w:position w:val="-3"/>
          <w:sz w:val="24"/>
          <w:highlight w:val="none"/>
        </w:rPr>
      </w:pPr>
      <w:r>
        <w:rPr>
          <w:rFonts w:ascii="仿宋" w:hAnsi="仿宋" w:eastAsia="仿宋"/>
          <w:color w:val="auto"/>
          <w:sz w:val="24"/>
          <w:szCs w:val="24"/>
          <w:highlight w:val="none"/>
        </w:rPr>
        <w:br w:type="page"/>
      </w:r>
      <w:bookmarkStart w:id="395" w:name="_Toc522290172"/>
      <w:bookmarkStart w:id="396" w:name="_Toc9515975"/>
      <w:bookmarkStart w:id="397" w:name="_Toc13233101"/>
      <w:bookmarkStart w:id="398" w:name="_Toc11678076"/>
      <w:bookmarkStart w:id="399" w:name="_Toc520719714"/>
      <w:bookmarkStart w:id="400" w:name="_Toc525720154"/>
      <w:bookmarkStart w:id="401" w:name="_Toc8742839"/>
      <w:bookmarkStart w:id="402" w:name="_Toc17097049"/>
      <w:bookmarkStart w:id="403" w:name="_Toc10472941"/>
      <w:r>
        <w:rPr>
          <w:rFonts w:ascii="仿宋" w:hAnsi="仿宋" w:eastAsia="仿宋" w:cs="宋体"/>
          <w:color w:val="auto"/>
          <w:spacing w:val="2"/>
          <w:position w:val="-3"/>
          <w:sz w:val="24"/>
          <w:highlight w:val="none"/>
        </w:rPr>
        <w:t>3.</w:t>
      </w:r>
      <w:r>
        <w:rPr>
          <w:rFonts w:hint="eastAsia" w:ascii="仿宋" w:hAnsi="仿宋" w:eastAsia="仿宋" w:cs="宋体"/>
          <w:color w:val="auto"/>
          <w:spacing w:val="2"/>
          <w:position w:val="-3"/>
          <w:sz w:val="24"/>
          <w:highlight w:val="none"/>
        </w:rPr>
        <w:t>监狱企业证明</w:t>
      </w:r>
      <w:bookmarkEnd w:id="395"/>
      <w:bookmarkEnd w:id="396"/>
      <w:bookmarkEnd w:id="397"/>
      <w:bookmarkEnd w:id="398"/>
      <w:bookmarkEnd w:id="399"/>
      <w:bookmarkEnd w:id="400"/>
      <w:bookmarkEnd w:id="401"/>
      <w:bookmarkEnd w:id="402"/>
      <w:bookmarkEnd w:id="403"/>
    </w:p>
    <w:p w14:paraId="53C185DF">
      <w:pPr>
        <w:spacing w:line="360" w:lineRule="auto"/>
        <w:ind w:firstLine="480" w:firstLineChars="200"/>
        <w:rPr>
          <w:rFonts w:ascii="仿宋" w:hAnsi="仿宋" w:eastAsia="仿宋"/>
          <w:color w:val="auto"/>
          <w:sz w:val="24"/>
          <w:szCs w:val="24"/>
          <w:highlight w:val="none"/>
        </w:rPr>
      </w:pPr>
      <w:r>
        <w:rPr>
          <w:rFonts w:ascii="仿宋" w:hAnsi="仿宋" w:eastAsia="仿宋"/>
          <w:color w:val="auto"/>
          <w:sz w:val="24"/>
          <w:szCs w:val="24"/>
          <w:highlight w:val="none"/>
        </w:rPr>
        <w:t>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hint="eastAsia" w:ascii="仿宋" w:hAnsi="仿宋" w:eastAsia="仿宋"/>
          <w:color w:val="auto"/>
          <w:sz w:val="24"/>
          <w:szCs w:val="24"/>
          <w:highlight w:val="none"/>
        </w:rPr>
        <w:t>。</w:t>
      </w:r>
    </w:p>
    <w:p w14:paraId="0F938B47">
      <w:pPr>
        <w:spacing w:line="360" w:lineRule="auto"/>
        <w:rPr>
          <w:rFonts w:ascii="仿宋" w:hAnsi="仿宋" w:eastAsia="仿宋"/>
          <w:color w:val="auto"/>
          <w:highlight w:val="none"/>
        </w:rPr>
      </w:pPr>
    </w:p>
    <w:p w14:paraId="28D1F72B">
      <w:pPr>
        <w:spacing w:line="360" w:lineRule="auto"/>
        <w:rPr>
          <w:rFonts w:ascii="仿宋" w:hAnsi="仿宋" w:eastAsia="仿宋"/>
          <w:b/>
          <w:color w:val="auto"/>
          <w:highlight w:val="none"/>
        </w:rPr>
      </w:pPr>
    </w:p>
    <w:bookmarkEnd w:id="374"/>
    <w:p w14:paraId="636D3310">
      <w:pPr>
        <w:rPr>
          <w:color w:val="auto"/>
          <w:highlight w:val="none"/>
        </w:rPr>
      </w:pPr>
      <w:r>
        <w:rPr>
          <w:color w:val="auto"/>
          <w:highlight w:val="none"/>
        </w:rPr>
        <w:br w:type="page"/>
      </w:r>
      <w:bookmarkStart w:id="404" w:name="_Toc447021132"/>
    </w:p>
    <w:bookmarkEnd w:id="404"/>
    <w:p w14:paraId="72797724">
      <w:pPr>
        <w:keepNext/>
        <w:keepLines/>
        <w:spacing w:line="360" w:lineRule="auto"/>
        <w:outlineLvl w:val="2"/>
        <w:rPr>
          <w:rFonts w:ascii="仿宋" w:hAnsi="仿宋" w:eastAsia="仿宋"/>
          <w:bCs/>
          <w:color w:val="auto"/>
          <w:sz w:val="24"/>
          <w:szCs w:val="24"/>
          <w:highlight w:val="none"/>
        </w:rPr>
      </w:pPr>
      <w:bookmarkStart w:id="405" w:name="_Toc14784"/>
      <w:bookmarkStart w:id="406" w:name="_Toc71641815"/>
      <w:bookmarkStart w:id="407" w:name="_Toc73976019"/>
      <w:bookmarkStart w:id="408" w:name="_Toc105567927"/>
      <w:bookmarkStart w:id="409" w:name="_Toc70522609"/>
      <w:bookmarkStart w:id="410" w:name="_Toc522290174"/>
      <w:bookmarkStart w:id="411" w:name="_Toc11678078"/>
      <w:bookmarkStart w:id="412" w:name="_Toc13233103"/>
      <w:bookmarkStart w:id="413" w:name="_Toc10472943"/>
      <w:bookmarkStart w:id="414" w:name="_Toc520719716"/>
      <w:bookmarkStart w:id="415" w:name="_Toc9515977"/>
      <w:bookmarkStart w:id="416" w:name="_Toc17097051"/>
      <w:bookmarkStart w:id="417" w:name="_Toc525720156"/>
      <w:bookmarkStart w:id="418" w:name="_Toc8742841"/>
      <w:r>
        <w:rPr>
          <w:rFonts w:ascii="仿宋" w:hAnsi="仿宋" w:eastAsia="仿宋"/>
          <w:bCs/>
          <w:color w:val="auto"/>
          <w:sz w:val="24"/>
          <w:szCs w:val="24"/>
          <w:highlight w:val="none"/>
        </w:rPr>
        <w:t>（二）政府采购节能产品政策</w:t>
      </w:r>
      <w:bookmarkEnd w:id="405"/>
      <w:bookmarkEnd w:id="406"/>
      <w:bookmarkEnd w:id="407"/>
      <w:bookmarkEnd w:id="408"/>
      <w:bookmarkEnd w:id="409"/>
    </w:p>
    <w:p w14:paraId="0A695728">
      <w:pPr>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1、根据</w:t>
      </w:r>
      <w:r>
        <w:rPr>
          <w:rFonts w:hint="eastAsia" w:ascii="仿宋" w:hAnsi="仿宋" w:eastAsia="仿宋"/>
          <w:color w:val="auto"/>
          <w:sz w:val="24"/>
          <w:szCs w:val="24"/>
          <w:highlight w:val="none"/>
        </w:rPr>
        <w:t>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p>
    <w:p w14:paraId="6CE5E7D1">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2、评标委员会根据供应商填制的《</w:t>
      </w:r>
      <w:r>
        <w:rPr>
          <w:rFonts w:ascii="仿宋" w:hAnsi="仿宋" w:eastAsia="仿宋"/>
          <w:color w:val="auto"/>
          <w:sz w:val="24"/>
          <w:szCs w:val="24"/>
          <w:highlight w:val="none"/>
        </w:rPr>
        <w:t>节能产品</w:t>
      </w:r>
      <w:r>
        <w:rPr>
          <w:rFonts w:hint="eastAsia" w:ascii="仿宋" w:hAnsi="仿宋" w:eastAsia="仿宋"/>
          <w:color w:val="auto"/>
          <w:sz w:val="24"/>
          <w:szCs w:val="24"/>
          <w:highlight w:val="none"/>
        </w:rPr>
        <w:t>报价表》，计算其所投</w:t>
      </w:r>
      <w:r>
        <w:rPr>
          <w:rFonts w:ascii="仿宋" w:hAnsi="仿宋" w:eastAsia="仿宋"/>
          <w:color w:val="auto"/>
          <w:sz w:val="24"/>
          <w:szCs w:val="24"/>
          <w:highlight w:val="none"/>
        </w:rPr>
        <w:t>节能产品</w:t>
      </w:r>
      <w:r>
        <w:rPr>
          <w:rFonts w:hint="eastAsia" w:ascii="仿宋" w:hAnsi="仿宋" w:eastAsia="仿宋"/>
          <w:color w:val="auto"/>
          <w:sz w:val="24"/>
          <w:szCs w:val="24"/>
          <w:highlight w:val="none"/>
        </w:rPr>
        <w:t>享受价格折扣部分的多少。</w:t>
      </w:r>
    </w:p>
    <w:p w14:paraId="79E1E501">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3、投标标的属于《节能产品政府采购品目清单》（最新一期）内的产品，供应商需提供国家确定的认证机构出具的、处于有效期之内的节能产品认证证书，并提供在投标文件中提供《</w:t>
      </w:r>
      <w:r>
        <w:rPr>
          <w:rFonts w:ascii="仿宋" w:hAnsi="仿宋" w:eastAsia="仿宋"/>
          <w:color w:val="auto"/>
          <w:sz w:val="24"/>
          <w:szCs w:val="24"/>
          <w:highlight w:val="none"/>
        </w:rPr>
        <w:t>节能产品</w:t>
      </w:r>
      <w:r>
        <w:rPr>
          <w:rFonts w:hint="eastAsia" w:ascii="仿宋" w:hAnsi="仿宋" w:eastAsia="仿宋"/>
          <w:color w:val="auto"/>
          <w:sz w:val="24"/>
          <w:szCs w:val="24"/>
          <w:highlight w:val="none"/>
        </w:rPr>
        <w:t>报价表》，如未提供，将不做价格扣除。</w:t>
      </w:r>
    </w:p>
    <w:p w14:paraId="22950AD3">
      <w:pPr>
        <w:spacing w:line="360" w:lineRule="auto"/>
        <w:rPr>
          <w:rFonts w:ascii="仿宋" w:hAnsi="仿宋" w:eastAsia="仿宋"/>
          <w:bCs/>
          <w:color w:val="auto"/>
          <w:sz w:val="24"/>
          <w:szCs w:val="24"/>
          <w:highlight w:val="none"/>
        </w:rPr>
      </w:pPr>
      <w:r>
        <w:rPr>
          <w:rFonts w:ascii="仿宋" w:hAnsi="仿宋" w:eastAsia="仿宋"/>
          <w:bCs/>
          <w:color w:val="auto"/>
          <w:sz w:val="24"/>
          <w:szCs w:val="24"/>
          <w:highlight w:val="none"/>
        </w:rPr>
        <w:t>4、投标商必须保证使用</w:t>
      </w:r>
      <w:r>
        <w:rPr>
          <w:rFonts w:ascii="仿宋" w:hAnsi="仿宋" w:eastAsia="仿宋"/>
          <w:color w:val="auto"/>
          <w:sz w:val="24"/>
          <w:szCs w:val="24"/>
          <w:highlight w:val="none"/>
        </w:rPr>
        <w:t>节能</w:t>
      </w:r>
      <w:r>
        <w:rPr>
          <w:rFonts w:ascii="仿宋" w:hAnsi="仿宋" w:eastAsia="仿宋"/>
          <w:bCs/>
          <w:color w:val="auto"/>
          <w:sz w:val="24"/>
          <w:szCs w:val="24"/>
          <w:highlight w:val="none"/>
        </w:rPr>
        <w:t>产品参加投标的真实性，如出现虚假响应，一经查实，将按照采购文件具体规定进行处理。</w:t>
      </w:r>
    </w:p>
    <w:p w14:paraId="5693158E">
      <w:pPr>
        <w:spacing w:line="360" w:lineRule="auto"/>
        <w:jc w:val="center"/>
        <w:rPr>
          <w:rFonts w:ascii="仿宋" w:hAnsi="仿宋" w:eastAsia="仿宋"/>
          <w:b/>
          <w:color w:val="auto"/>
          <w:sz w:val="24"/>
          <w:szCs w:val="24"/>
          <w:highlight w:val="none"/>
        </w:rPr>
      </w:pPr>
      <w:r>
        <w:rPr>
          <w:rFonts w:ascii="仿宋" w:hAnsi="仿宋" w:eastAsia="仿宋"/>
          <w:b/>
          <w:color w:val="auto"/>
          <w:sz w:val="24"/>
          <w:szCs w:val="24"/>
          <w:highlight w:val="none"/>
        </w:rPr>
        <w:t>节能产品报价表</w:t>
      </w:r>
    </w:p>
    <w:p w14:paraId="0DB45A4F">
      <w:pPr>
        <w:spacing w:line="360" w:lineRule="auto"/>
        <w:rPr>
          <w:rFonts w:ascii="仿宋" w:hAnsi="仿宋" w:eastAsia="仿宋"/>
          <w:color w:val="auto"/>
          <w:sz w:val="24"/>
          <w:szCs w:val="24"/>
          <w:highlight w:val="none"/>
          <w:u w:val="single"/>
        </w:rPr>
      </w:pPr>
      <w:r>
        <w:rPr>
          <w:rFonts w:ascii="仿宋" w:hAnsi="仿宋" w:eastAsia="仿宋"/>
          <w:color w:val="auto"/>
          <w:sz w:val="24"/>
          <w:szCs w:val="24"/>
          <w:highlight w:val="none"/>
        </w:rPr>
        <w:t>投标商（</w:t>
      </w:r>
      <w:r>
        <w:rPr>
          <w:rFonts w:hint="eastAsia" w:ascii="仿宋" w:hAnsi="仿宋" w:eastAsia="仿宋"/>
          <w:color w:val="auto"/>
          <w:sz w:val="24"/>
          <w:szCs w:val="24"/>
          <w:highlight w:val="none"/>
        </w:rPr>
        <w:t>公章</w:t>
      </w:r>
      <w:r>
        <w:rPr>
          <w:rFonts w:ascii="仿宋" w:hAnsi="仿宋" w:eastAsia="仿宋"/>
          <w:color w:val="auto"/>
          <w:sz w:val="24"/>
          <w:szCs w:val="24"/>
          <w:highlight w:val="none"/>
        </w:rPr>
        <w:t>）：</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  </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  </w:t>
      </w:r>
      <w:r>
        <w:rPr>
          <w:rFonts w:ascii="仿宋" w:hAnsi="仿宋" w:eastAsia="仿宋"/>
          <w:color w:val="auto"/>
          <w:sz w:val="24"/>
          <w:szCs w:val="24"/>
          <w:highlight w:val="none"/>
        </w:rPr>
        <w:t>项目编号：</w:t>
      </w:r>
      <w:r>
        <w:rPr>
          <w:rFonts w:ascii="仿宋" w:hAnsi="仿宋" w:eastAsia="仿宋"/>
          <w:color w:val="auto"/>
          <w:sz w:val="24"/>
          <w:szCs w:val="24"/>
          <w:highlight w:val="none"/>
          <w:u w:val="single"/>
        </w:rPr>
        <w:t xml:space="preserve">               </w:t>
      </w:r>
    </w:p>
    <w:tbl>
      <w:tblPr>
        <w:tblStyle w:val="4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7"/>
        <w:gridCol w:w="1410"/>
        <w:gridCol w:w="429"/>
        <w:gridCol w:w="1225"/>
        <w:gridCol w:w="766"/>
        <w:gridCol w:w="1837"/>
        <w:gridCol w:w="1550"/>
        <w:gridCol w:w="920"/>
        <w:gridCol w:w="994"/>
      </w:tblGrid>
      <w:tr w14:paraId="6613A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258" w:type="pct"/>
            <w:vAlign w:val="center"/>
          </w:tcPr>
          <w:p w14:paraId="35F8A651">
            <w:pPr>
              <w:spacing w:before="60" w:after="60" w:line="360" w:lineRule="auto"/>
              <w:jc w:val="center"/>
              <w:rPr>
                <w:rFonts w:ascii="仿宋" w:hAnsi="仿宋" w:eastAsia="仿宋"/>
                <w:color w:val="auto"/>
                <w:szCs w:val="21"/>
                <w:highlight w:val="none"/>
              </w:rPr>
            </w:pPr>
            <w:r>
              <w:rPr>
                <w:rFonts w:ascii="仿宋" w:hAnsi="仿宋" w:eastAsia="仿宋"/>
                <w:color w:val="auto"/>
                <w:szCs w:val="21"/>
                <w:highlight w:val="none"/>
              </w:rPr>
              <w:t>序号</w:t>
            </w:r>
          </w:p>
        </w:tc>
        <w:tc>
          <w:tcPr>
            <w:tcW w:w="732" w:type="pct"/>
          </w:tcPr>
          <w:p w14:paraId="19FFF8F2">
            <w:pPr>
              <w:spacing w:before="60" w:after="60"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在《节能产品政府采购品目清单》（最新一期）中归属的编码及名称</w:t>
            </w:r>
          </w:p>
        </w:tc>
        <w:tc>
          <w:tcPr>
            <w:tcW w:w="223" w:type="pct"/>
            <w:vAlign w:val="center"/>
          </w:tcPr>
          <w:p w14:paraId="692FAA6E">
            <w:pPr>
              <w:spacing w:before="60" w:after="60"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w:t>
            </w:r>
            <w:r>
              <w:rPr>
                <w:rFonts w:ascii="仿宋" w:hAnsi="仿宋" w:eastAsia="仿宋"/>
                <w:color w:val="auto"/>
                <w:szCs w:val="21"/>
                <w:highlight w:val="none"/>
              </w:rPr>
              <w:t>名称</w:t>
            </w:r>
          </w:p>
        </w:tc>
        <w:tc>
          <w:tcPr>
            <w:tcW w:w="636" w:type="pct"/>
            <w:vAlign w:val="center"/>
          </w:tcPr>
          <w:p w14:paraId="33BFDA1F">
            <w:pPr>
              <w:spacing w:before="60" w:after="60" w:line="360" w:lineRule="auto"/>
              <w:jc w:val="center"/>
              <w:rPr>
                <w:rFonts w:ascii="仿宋" w:hAnsi="仿宋" w:eastAsia="仿宋"/>
                <w:color w:val="auto"/>
                <w:szCs w:val="21"/>
                <w:highlight w:val="none"/>
              </w:rPr>
            </w:pPr>
            <w:r>
              <w:rPr>
                <w:rFonts w:ascii="仿宋" w:hAnsi="仿宋" w:eastAsia="仿宋"/>
                <w:color w:val="auto"/>
                <w:szCs w:val="21"/>
                <w:highlight w:val="none"/>
              </w:rPr>
              <w:t>型号和规格</w:t>
            </w:r>
          </w:p>
        </w:tc>
        <w:tc>
          <w:tcPr>
            <w:tcW w:w="398" w:type="pct"/>
            <w:vAlign w:val="center"/>
          </w:tcPr>
          <w:p w14:paraId="1E2ADCA2">
            <w:pPr>
              <w:spacing w:before="60" w:after="60" w:line="360" w:lineRule="auto"/>
              <w:jc w:val="center"/>
              <w:rPr>
                <w:rFonts w:ascii="仿宋" w:hAnsi="仿宋" w:eastAsia="仿宋"/>
                <w:color w:val="auto"/>
                <w:szCs w:val="21"/>
                <w:highlight w:val="none"/>
              </w:rPr>
            </w:pPr>
            <w:r>
              <w:rPr>
                <w:rFonts w:ascii="仿宋" w:hAnsi="仿宋" w:eastAsia="仿宋"/>
                <w:color w:val="auto"/>
                <w:szCs w:val="21"/>
                <w:highlight w:val="none"/>
              </w:rPr>
              <w:t>数量</w:t>
            </w:r>
          </w:p>
        </w:tc>
        <w:tc>
          <w:tcPr>
            <w:tcW w:w="954" w:type="pct"/>
            <w:vAlign w:val="center"/>
          </w:tcPr>
          <w:p w14:paraId="5B17291E">
            <w:pPr>
              <w:spacing w:before="120" w:line="360" w:lineRule="auto"/>
              <w:jc w:val="center"/>
              <w:rPr>
                <w:rFonts w:ascii="仿宋" w:hAnsi="仿宋" w:eastAsia="仿宋"/>
                <w:color w:val="auto"/>
                <w:szCs w:val="21"/>
                <w:highlight w:val="none"/>
              </w:rPr>
            </w:pPr>
            <w:r>
              <w:rPr>
                <w:rFonts w:ascii="仿宋" w:hAnsi="仿宋" w:eastAsia="仿宋"/>
                <w:color w:val="auto"/>
                <w:szCs w:val="21"/>
                <w:highlight w:val="none"/>
              </w:rPr>
              <w:t>原产地和</w:t>
            </w:r>
          </w:p>
          <w:p w14:paraId="7CB1B2E0">
            <w:pPr>
              <w:spacing w:before="60" w:after="60" w:line="360" w:lineRule="auto"/>
              <w:jc w:val="center"/>
              <w:rPr>
                <w:rFonts w:ascii="仿宋" w:hAnsi="仿宋" w:eastAsia="仿宋"/>
                <w:color w:val="auto"/>
                <w:szCs w:val="21"/>
                <w:highlight w:val="none"/>
              </w:rPr>
            </w:pPr>
            <w:r>
              <w:rPr>
                <w:rFonts w:ascii="仿宋" w:hAnsi="仿宋" w:eastAsia="仿宋"/>
                <w:color w:val="auto"/>
                <w:szCs w:val="21"/>
                <w:highlight w:val="none"/>
              </w:rPr>
              <w:t>制造商名称</w:t>
            </w:r>
          </w:p>
        </w:tc>
        <w:tc>
          <w:tcPr>
            <w:tcW w:w="805" w:type="pct"/>
            <w:vAlign w:val="center"/>
          </w:tcPr>
          <w:p w14:paraId="65B232B9">
            <w:pPr>
              <w:spacing w:before="60" w:after="60"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节能产品认证证书</w:t>
            </w:r>
            <w:r>
              <w:rPr>
                <w:rFonts w:ascii="仿宋" w:hAnsi="仿宋" w:eastAsia="仿宋"/>
                <w:color w:val="auto"/>
                <w:szCs w:val="21"/>
                <w:highlight w:val="none"/>
              </w:rPr>
              <w:t>证书编号</w:t>
            </w:r>
          </w:p>
        </w:tc>
        <w:tc>
          <w:tcPr>
            <w:tcW w:w="478" w:type="pct"/>
            <w:vAlign w:val="center"/>
          </w:tcPr>
          <w:p w14:paraId="0CCE6E82">
            <w:pPr>
              <w:spacing w:line="360" w:lineRule="auto"/>
              <w:jc w:val="center"/>
              <w:rPr>
                <w:rFonts w:ascii="仿宋" w:hAnsi="仿宋" w:eastAsia="仿宋"/>
                <w:color w:val="auto"/>
                <w:szCs w:val="21"/>
                <w:highlight w:val="none"/>
              </w:rPr>
            </w:pPr>
            <w:r>
              <w:rPr>
                <w:rFonts w:ascii="仿宋" w:hAnsi="仿宋" w:eastAsia="仿宋"/>
                <w:color w:val="auto"/>
                <w:szCs w:val="21"/>
                <w:highlight w:val="none"/>
              </w:rPr>
              <w:t>单价</w:t>
            </w:r>
          </w:p>
          <w:p w14:paraId="5507BB46">
            <w:pPr>
              <w:spacing w:before="60" w:after="60" w:line="360" w:lineRule="auto"/>
              <w:jc w:val="center"/>
              <w:rPr>
                <w:rFonts w:ascii="仿宋" w:hAnsi="仿宋" w:eastAsia="仿宋"/>
                <w:color w:val="auto"/>
                <w:szCs w:val="21"/>
                <w:highlight w:val="none"/>
              </w:rPr>
            </w:pPr>
            <w:r>
              <w:rPr>
                <w:rFonts w:ascii="仿宋" w:hAnsi="仿宋" w:eastAsia="仿宋"/>
                <w:color w:val="auto"/>
                <w:szCs w:val="21"/>
                <w:highlight w:val="none"/>
              </w:rPr>
              <w:t>（元人民币）</w:t>
            </w:r>
          </w:p>
        </w:tc>
        <w:tc>
          <w:tcPr>
            <w:tcW w:w="517" w:type="pct"/>
            <w:vAlign w:val="center"/>
          </w:tcPr>
          <w:p w14:paraId="5086808A">
            <w:pPr>
              <w:spacing w:line="360" w:lineRule="auto"/>
              <w:jc w:val="center"/>
              <w:rPr>
                <w:rFonts w:ascii="仿宋" w:hAnsi="仿宋" w:eastAsia="仿宋"/>
                <w:color w:val="auto"/>
                <w:szCs w:val="21"/>
                <w:highlight w:val="none"/>
              </w:rPr>
            </w:pPr>
            <w:r>
              <w:rPr>
                <w:rFonts w:ascii="仿宋" w:hAnsi="仿宋" w:eastAsia="仿宋"/>
                <w:color w:val="auto"/>
                <w:szCs w:val="21"/>
                <w:highlight w:val="none"/>
              </w:rPr>
              <w:t>总价</w:t>
            </w:r>
          </w:p>
          <w:p w14:paraId="38AFA943">
            <w:pPr>
              <w:spacing w:line="360" w:lineRule="auto"/>
              <w:jc w:val="center"/>
              <w:rPr>
                <w:rFonts w:ascii="仿宋" w:hAnsi="仿宋" w:eastAsia="仿宋"/>
                <w:color w:val="auto"/>
                <w:szCs w:val="21"/>
                <w:highlight w:val="none"/>
              </w:rPr>
            </w:pPr>
            <w:r>
              <w:rPr>
                <w:rFonts w:ascii="仿宋" w:hAnsi="仿宋" w:eastAsia="仿宋"/>
                <w:color w:val="auto"/>
                <w:szCs w:val="21"/>
                <w:highlight w:val="none"/>
              </w:rPr>
              <w:t>（元人民币）</w:t>
            </w:r>
          </w:p>
        </w:tc>
      </w:tr>
      <w:tr w14:paraId="25E11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258" w:type="pct"/>
            <w:vAlign w:val="center"/>
          </w:tcPr>
          <w:p w14:paraId="73779584">
            <w:pPr>
              <w:spacing w:before="60" w:after="60" w:line="360" w:lineRule="auto"/>
              <w:jc w:val="center"/>
              <w:rPr>
                <w:rFonts w:ascii="仿宋" w:hAnsi="仿宋" w:eastAsia="仿宋"/>
                <w:color w:val="auto"/>
                <w:szCs w:val="21"/>
                <w:highlight w:val="none"/>
              </w:rPr>
            </w:pPr>
          </w:p>
        </w:tc>
        <w:tc>
          <w:tcPr>
            <w:tcW w:w="732" w:type="pct"/>
          </w:tcPr>
          <w:p w14:paraId="295102FC">
            <w:pPr>
              <w:spacing w:before="60" w:after="60" w:line="360" w:lineRule="auto"/>
              <w:jc w:val="center"/>
              <w:rPr>
                <w:rFonts w:ascii="仿宋" w:hAnsi="仿宋" w:eastAsia="仿宋"/>
                <w:color w:val="auto"/>
                <w:szCs w:val="21"/>
                <w:highlight w:val="none"/>
              </w:rPr>
            </w:pPr>
          </w:p>
        </w:tc>
        <w:tc>
          <w:tcPr>
            <w:tcW w:w="223" w:type="pct"/>
            <w:vAlign w:val="center"/>
          </w:tcPr>
          <w:p w14:paraId="1CC5FD27">
            <w:pPr>
              <w:spacing w:before="60" w:after="60" w:line="360" w:lineRule="auto"/>
              <w:jc w:val="center"/>
              <w:rPr>
                <w:rFonts w:ascii="仿宋" w:hAnsi="仿宋" w:eastAsia="仿宋"/>
                <w:color w:val="auto"/>
                <w:szCs w:val="21"/>
                <w:highlight w:val="none"/>
              </w:rPr>
            </w:pPr>
          </w:p>
        </w:tc>
        <w:tc>
          <w:tcPr>
            <w:tcW w:w="636" w:type="pct"/>
            <w:vAlign w:val="center"/>
          </w:tcPr>
          <w:p w14:paraId="1632440A">
            <w:pPr>
              <w:spacing w:before="60" w:after="60" w:line="360" w:lineRule="auto"/>
              <w:jc w:val="center"/>
              <w:rPr>
                <w:rFonts w:ascii="仿宋" w:hAnsi="仿宋" w:eastAsia="仿宋"/>
                <w:color w:val="auto"/>
                <w:szCs w:val="21"/>
                <w:highlight w:val="none"/>
              </w:rPr>
            </w:pPr>
          </w:p>
        </w:tc>
        <w:tc>
          <w:tcPr>
            <w:tcW w:w="398" w:type="pct"/>
            <w:vAlign w:val="center"/>
          </w:tcPr>
          <w:p w14:paraId="4FFE4B9A">
            <w:pPr>
              <w:spacing w:before="60" w:after="60" w:line="360" w:lineRule="auto"/>
              <w:jc w:val="center"/>
              <w:rPr>
                <w:rFonts w:ascii="仿宋" w:hAnsi="仿宋" w:eastAsia="仿宋"/>
                <w:color w:val="auto"/>
                <w:szCs w:val="21"/>
                <w:highlight w:val="none"/>
              </w:rPr>
            </w:pPr>
          </w:p>
        </w:tc>
        <w:tc>
          <w:tcPr>
            <w:tcW w:w="954" w:type="pct"/>
            <w:vAlign w:val="center"/>
          </w:tcPr>
          <w:p w14:paraId="793A5448">
            <w:pPr>
              <w:spacing w:before="60" w:after="60" w:line="360" w:lineRule="auto"/>
              <w:jc w:val="center"/>
              <w:rPr>
                <w:rFonts w:ascii="仿宋" w:hAnsi="仿宋" w:eastAsia="仿宋"/>
                <w:color w:val="auto"/>
                <w:szCs w:val="21"/>
                <w:highlight w:val="none"/>
              </w:rPr>
            </w:pPr>
          </w:p>
        </w:tc>
        <w:tc>
          <w:tcPr>
            <w:tcW w:w="805" w:type="pct"/>
            <w:vAlign w:val="center"/>
          </w:tcPr>
          <w:p w14:paraId="764EE8FB">
            <w:pPr>
              <w:spacing w:before="60" w:after="60" w:line="360" w:lineRule="auto"/>
              <w:jc w:val="center"/>
              <w:rPr>
                <w:rFonts w:ascii="仿宋" w:hAnsi="仿宋" w:eastAsia="仿宋"/>
                <w:color w:val="auto"/>
                <w:szCs w:val="21"/>
                <w:highlight w:val="none"/>
              </w:rPr>
            </w:pPr>
          </w:p>
        </w:tc>
        <w:tc>
          <w:tcPr>
            <w:tcW w:w="478" w:type="pct"/>
            <w:vAlign w:val="center"/>
          </w:tcPr>
          <w:p w14:paraId="0D277F22">
            <w:pPr>
              <w:spacing w:before="60" w:after="60" w:line="360" w:lineRule="auto"/>
              <w:jc w:val="center"/>
              <w:rPr>
                <w:rFonts w:ascii="仿宋" w:hAnsi="仿宋" w:eastAsia="仿宋"/>
                <w:color w:val="auto"/>
                <w:szCs w:val="21"/>
                <w:highlight w:val="none"/>
              </w:rPr>
            </w:pPr>
          </w:p>
        </w:tc>
        <w:tc>
          <w:tcPr>
            <w:tcW w:w="517" w:type="pct"/>
            <w:vAlign w:val="center"/>
          </w:tcPr>
          <w:p w14:paraId="4427140E">
            <w:pPr>
              <w:spacing w:line="360" w:lineRule="auto"/>
              <w:jc w:val="center"/>
              <w:rPr>
                <w:rFonts w:ascii="仿宋" w:hAnsi="仿宋" w:eastAsia="仿宋"/>
                <w:color w:val="auto"/>
                <w:szCs w:val="21"/>
                <w:highlight w:val="none"/>
              </w:rPr>
            </w:pPr>
          </w:p>
        </w:tc>
      </w:tr>
      <w:tr w14:paraId="7877F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258" w:type="pct"/>
            <w:vAlign w:val="center"/>
          </w:tcPr>
          <w:p w14:paraId="71996919">
            <w:pPr>
              <w:spacing w:before="60" w:after="60" w:line="360" w:lineRule="auto"/>
              <w:jc w:val="center"/>
              <w:rPr>
                <w:rFonts w:ascii="仿宋" w:hAnsi="仿宋" w:eastAsia="仿宋"/>
                <w:color w:val="auto"/>
                <w:szCs w:val="21"/>
                <w:highlight w:val="none"/>
              </w:rPr>
            </w:pPr>
          </w:p>
        </w:tc>
        <w:tc>
          <w:tcPr>
            <w:tcW w:w="732" w:type="pct"/>
          </w:tcPr>
          <w:p w14:paraId="6B4B46EF">
            <w:pPr>
              <w:spacing w:before="60" w:after="60" w:line="360" w:lineRule="auto"/>
              <w:jc w:val="center"/>
              <w:rPr>
                <w:rFonts w:ascii="仿宋" w:hAnsi="仿宋" w:eastAsia="仿宋"/>
                <w:color w:val="auto"/>
                <w:szCs w:val="21"/>
                <w:highlight w:val="none"/>
              </w:rPr>
            </w:pPr>
          </w:p>
        </w:tc>
        <w:tc>
          <w:tcPr>
            <w:tcW w:w="223" w:type="pct"/>
            <w:vAlign w:val="center"/>
          </w:tcPr>
          <w:p w14:paraId="2FFC82EC">
            <w:pPr>
              <w:spacing w:before="60" w:after="60" w:line="360" w:lineRule="auto"/>
              <w:jc w:val="center"/>
              <w:rPr>
                <w:rFonts w:ascii="仿宋" w:hAnsi="仿宋" w:eastAsia="仿宋"/>
                <w:color w:val="auto"/>
                <w:szCs w:val="21"/>
                <w:highlight w:val="none"/>
              </w:rPr>
            </w:pPr>
          </w:p>
        </w:tc>
        <w:tc>
          <w:tcPr>
            <w:tcW w:w="636" w:type="pct"/>
            <w:vAlign w:val="center"/>
          </w:tcPr>
          <w:p w14:paraId="21DA2A61">
            <w:pPr>
              <w:spacing w:before="60" w:after="60" w:line="360" w:lineRule="auto"/>
              <w:jc w:val="center"/>
              <w:rPr>
                <w:rFonts w:ascii="仿宋" w:hAnsi="仿宋" w:eastAsia="仿宋"/>
                <w:color w:val="auto"/>
                <w:szCs w:val="21"/>
                <w:highlight w:val="none"/>
              </w:rPr>
            </w:pPr>
          </w:p>
        </w:tc>
        <w:tc>
          <w:tcPr>
            <w:tcW w:w="398" w:type="pct"/>
            <w:vAlign w:val="center"/>
          </w:tcPr>
          <w:p w14:paraId="33E0010B">
            <w:pPr>
              <w:spacing w:before="60" w:after="60" w:line="360" w:lineRule="auto"/>
              <w:jc w:val="center"/>
              <w:rPr>
                <w:rFonts w:ascii="仿宋" w:hAnsi="仿宋" w:eastAsia="仿宋"/>
                <w:color w:val="auto"/>
                <w:szCs w:val="21"/>
                <w:highlight w:val="none"/>
              </w:rPr>
            </w:pPr>
          </w:p>
        </w:tc>
        <w:tc>
          <w:tcPr>
            <w:tcW w:w="954" w:type="pct"/>
            <w:vAlign w:val="center"/>
          </w:tcPr>
          <w:p w14:paraId="2A58287C">
            <w:pPr>
              <w:spacing w:before="60" w:after="60" w:line="360" w:lineRule="auto"/>
              <w:jc w:val="center"/>
              <w:rPr>
                <w:rFonts w:ascii="仿宋" w:hAnsi="仿宋" w:eastAsia="仿宋"/>
                <w:color w:val="auto"/>
                <w:szCs w:val="21"/>
                <w:highlight w:val="none"/>
              </w:rPr>
            </w:pPr>
          </w:p>
        </w:tc>
        <w:tc>
          <w:tcPr>
            <w:tcW w:w="805" w:type="pct"/>
            <w:vAlign w:val="center"/>
          </w:tcPr>
          <w:p w14:paraId="46755298">
            <w:pPr>
              <w:spacing w:before="60" w:after="60" w:line="360" w:lineRule="auto"/>
              <w:jc w:val="center"/>
              <w:rPr>
                <w:rFonts w:ascii="仿宋" w:hAnsi="仿宋" w:eastAsia="仿宋"/>
                <w:color w:val="auto"/>
                <w:szCs w:val="21"/>
                <w:highlight w:val="none"/>
              </w:rPr>
            </w:pPr>
          </w:p>
        </w:tc>
        <w:tc>
          <w:tcPr>
            <w:tcW w:w="478" w:type="pct"/>
            <w:vAlign w:val="center"/>
          </w:tcPr>
          <w:p w14:paraId="68FCC898">
            <w:pPr>
              <w:spacing w:before="60" w:after="60" w:line="360" w:lineRule="auto"/>
              <w:jc w:val="center"/>
              <w:rPr>
                <w:rFonts w:ascii="仿宋" w:hAnsi="仿宋" w:eastAsia="仿宋"/>
                <w:color w:val="auto"/>
                <w:szCs w:val="21"/>
                <w:highlight w:val="none"/>
              </w:rPr>
            </w:pPr>
          </w:p>
        </w:tc>
        <w:tc>
          <w:tcPr>
            <w:tcW w:w="517" w:type="pct"/>
            <w:vAlign w:val="center"/>
          </w:tcPr>
          <w:p w14:paraId="57F0A3D1">
            <w:pPr>
              <w:spacing w:line="360" w:lineRule="auto"/>
              <w:jc w:val="center"/>
              <w:rPr>
                <w:rFonts w:ascii="仿宋" w:hAnsi="仿宋" w:eastAsia="仿宋"/>
                <w:color w:val="auto"/>
                <w:szCs w:val="21"/>
                <w:highlight w:val="none"/>
              </w:rPr>
            </w:pPr>
          </w:p>
        </w:tc>
      </w:tr>
      <w:tr w14:paraId="70F8D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4483" w:type="pct"/>
            <w:gridSpan w:val="8"/>
          </w:tcPr>
          <w:p w14:paraId="400464C7">
            <w:pPr>
              <w:spacing w:before="60" w:after="60" w:line="360" w:lineRule="auto"/>
              <w:jc w:val="right"/>
              <w:rPr>
                <w:rFonts w:ascii="仿宋" w:hAnsi="仿宋" w:eastAsia="仿宋"/>
                <w:color w:val="auto"/>
                <w:szCs w:val="21"/>
                <w:highlight w:val="none"/>
              </w:rPr>
            </w:pPr>
            <w:r>
              <w:rPr>
                <w:rFonts w:ascii="仿宋" w:hAnsi="仿宋" w:eastAsia="仿宋"/>
                <w:color w:val="auto"/>
                <w:szCs w:val="21"/>
                <w:highlight w:val="none"/>
              </w:rPr>
              <w:t>其中，节能产品总计：</w:t>
            </w:r>
          </w:p>
        </w:tc>
        <w:tc>
          <w:tcPr>
            <w:tcW w:w="517" w:type="pct"/>
            <w:vAlign w:val="center"/>
          </w:tcPr>
          <w:p w14:paraId="4CE4EF21">
            <w:pPr>
              <w:spacing w:line="360" w:lineRule="auto"/>
              <w:jc w:val="center"/>
              <w:rPr>
                <w:rFonts w:ascii="仿宋" w:hAnsi="仿宋" w:eastAsia="仿宋"/>
                <w:color w:val="auto"/>
                <w:szCs w:val="21"/>
                <w:highlight w:val="none"/>
              </w:rPr>
            </w:pPr>
          </w:p>
        </w:tc>
      </w:tr>
    </w:tbl>
    <w:p w14:paraId="5E353A84">
      <w:pPr>
        <w:spacing w:line="360" w:lineRule="auto"/>
        <w:rPr>
          <w:rFonts w:ascii="仿宋" w:hAnsi="仿宋" w:eastAsia="仿宋"/>
          <w:color w:val="auto"/>
          <w:sz w:val="24"/>
          <w:szCs w:val="24"/>
          <w:highlight w:val="none"/>
        </w:rPr>
      </w:pPr>
    </w:p>
    <w:p w14:paraId="11A00A9F">
      <w:pPr>
        <w:spacing w:line="360" w:lineRule="auto"/>
        <w:ind w:firstLine="4800" w:firstLineChars="2000"/>
        <w:rPr>
          <w:rFonts w:ascii="仿宋" w:hAnsi="仿宋" w:eastAsia="仿宋"/>
          <w:color w:val="auto"/>
          <w:sz w:val="24"/>
          <w:szCs w:val="24"/>
          <w:highlight w:val="none"/>
        </w:rPr>
      </w:pPr>
      <w:r>
        <w:rPr>
          <w:rFonts w:ascii="仿宋" w:hAnsi="仿宋" w:eastAsia="仿宋"/>
          <w:color w:val="auto"/>
          <w:sz w:val="24"/>
          <w:szCs w:val="24"/>
          <w:highlight w:val="none"/>
        </w:rPr>
        <w:t>授权代表</w:t>
      </w:r>
      <w:r>
        <w:rPr>
          <w:rFonts w:hint="eastAsia" w:ascii="仿宋" w:hAnsi="仿宋" w:eastAsia="仿宋"/>
          <w:color w:val="auto"/>
          <w:sz w:val="24"/>
          <w:szCs w:val="24"/>
          <w:highlight w:val="none"/>
        </w:rPr>
        <w:t>（</w:t>
      </w:r>
      <w:r>
        <w:rPr>
          <w:rFonts w:ascii="仿宋" w:hAnsi="仿宋" w:eastAsia="仿宋"/>
          <w:color w:val="auto"/>
          <w:sz w:val="24"/>
          <w:szCs w:val="24"/>
          <w:highlight w:val="none"/>
        </w:rPr>
        <w:t>签字</w:t>
      </w:r>
      <w:r>
        <w:rPr>
          <w:rFonts w:hint="eastAsia" w:ascii="仿宋" w:hAnsi="仿宋" w:eastAsia="仿宋"/>
          <w:color w:val="auto"/>
          <w:sz w:val="24"/>
          <w:szCs w:val="24"/>
          <w:highlight w:val="none"/>
        </w:rPr>
        <w:t>）</w:t>
      </w:r>
      <w:r>
        <w:rPr>
          <w:rFonts w:ascii="仿宋" w:hAnsi="仿宋" w:eastAsia="仿宋"/>
          <w:color w:val="auto"/>
          <w:sz w:val="24"/>
          <w:szCs w:val="24"/>
          <w:highlight w:val="none"/>
        </w:rPr>
        <w:t>:</w:t>
      </w:r>
      <w:r>
        <w:rPr>
          <w:rFonts w:hint="eastAsia" w:ascii="仿宋" w:hAnsi="仿宋" w:eastAsia="仿宋"/>
          <w:color w:val="auto"/>
          <w:sz w:val="24"/>
          <w:szCs w:val="24"/>
          <w:highlight w:val="none"/>
          <w:u w:val="single"/>
        </w:rPr>
        <w:t xml:space="preserve">               </w:t>
      </w:r>
    </w:p>
    <w:p w14:paraId="7B9D84B2">
      <w:pPr>
        <w:spacing w:line="360" w:lineRule="auto"/>
        <w:ind w:firstLine="4800" w:firstLineChars="2000"/>
        <w:rPr>
          <w:rFonts w:ascii="仿宋" w:hAnsi="仿宋" w:eastAsia="仿宋"/>
          <w:color w:val="auto"/>
          <w:sz w:val="24"/>
          <w:szCs w:val="24"/>
          <w:highlight w:val="none"/>
        </w:rPr>
      </w:pPr>
      <w:r>
        <w:rPr>
          <w:rFonts w:ascii="仿宋" w:hAnsi="仿宋" w:eastAsia="仿宋"/>
          <w:color w:val="auto"/>
          <w:sz w:val="24"/>
          <w:szCs w:val="24"/>
          <w:highlight w:val="none"/>
        </w:rPr>
        <w:t>日期：</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年</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月</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日</w:t>
      </w:r>
    </w:p>
    <w:p w14:paraId="6EDEDBE5">
      <w:pPr>
        <w:keepNext/>
        <w:keepLines/>
        <w:spacing w:line="360" w:lineRule="auto"/>
        <w:outlineLvl w:val="2"/>
        <w:rPr>
          <w:rFonts w:ascii="仿宋" w:hAnsi="仿宋" w:eastAsia="仿宋"/>
          <w:bCs/>
          <w:color w:val="auto"/>
          <w:sz w:val="24"/>
          <w:szCs w:val="24"/>
          <w:highlight w:val="none"/>
        </w:rPr>
      </w:pPr>
      <w:r>
        <w:rPr>
          <w:rFonts w:ascii="仿宋" w:hAnsi="仿宋" w:eastAsia="仿宋"/>
          <w:bCs/>
          <w:color w:val="auto"/>
          <w:sz w:val="24"/>
          <w:szCs w:val="24"/>
          <w:highlight w:val="none"/>
        </w:rPr>
        <w:br w:type="page"/>
      </w:r>
      <w:bookmarkStart w:id="419" w:name="_Toc73976020"/>
      <w:bookmarkStart w:id="420" w:name="_Toc16261"/>
      <w:bookmarkStart w:id="421" w:name="_Toc105567928"/>
      <w:bookmarkStart w:id="422" w:name="_Toc70522610"/>
      <w:bookmarkStart w:id="423" w:name="_Toc71641816"/>
      <w:r>
        <w:rPr>
          <w:rFonts w:ascii="仿宋" w:hAnsi="仿宋" w:eastAsia="仿宋"/>
          <w:bCs/>
          <w:color w:val="auto"/>
          <w:sz w:val="24"/>
          <w:szCs w:val="24"/>
          <w:highlight w:val="none"/>
        </w:rPr>
        <w:t>（三）政府采购环境标志产品政策</w:t>
      </w:r>
      <w:bookmarkEnd w:id="419"/>
      <w:bookmarkEnd w:id="420"/>
      <w:bookmarkEnd w:id="421"/>
      <w:bookmarkEnd w:id="422"/>
      <w:bookmarkEnd w:id="423"/>
    </w:p>
    <w:p w14:paraId="3132B19D">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1、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p>
    <w:p w14:paraId="75EE3B28">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2、评标委员会根据供应商填制的《环境标志产品报价表》，计算其所投环境标志产品享受价格折扣部分的多少。</w:t>
      </w:r>
    </w:p>
    <w:p w14:paraId="6C7E2515">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3、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p>
    <w:p w14:paraId="5C27037E">
      <w:pPr>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4、投标商必须保证使用环境标志产品参加投标的真实性，如出现虚假响应，一经查实，将按照采购文件具体规定进行处理。</w:t>
      </w:r>
    </w:p>
    <w:p w14:paraId="1AB6DA24">
      <w:pPr>
        <w:spacing w:line="360" w:lineRule="auto"/>
        <w:jc w:val="center"/>
        <w:rPr>
          <w:rFonts w:ascii="仿宋" w:hAnsi="仿宋" w:eastAsia="仿宋"/>
          <w:b/>
          <w:bCs/>
          <w:color w:val="auto"/>
          <w:sz w:val="24"/>
          <w:szCs w:val="24"/>
          <w:highlight w:val="none"/>
        </w:rPr>
      </w:pPr>
      <w:r>
        <w:rPr>
          <w:rFonts w:ascii="仿宋" w:hAnsi="仿宋" w:eastAsia="仿宋"/>
          <w:b/>
          <w:bCs/>
          <w:color w:val="auto"/>
          <w:sz w:val="24"/>
          <w:szCs w:val="24"/>
          <w:highlight w:val="none"/>
        </w:rPr>
        <w:t>环境标志产品报价表</w:t>
      </w:r>
    </w:p>
    <w:p w14:paraId="63184B02">
      <w:pPr>
        <w:spacing w:line="360" w:lineRule="auto"/>
        <w:rPr>
          <w:rFonts w:ascii="仿宋" w:hAnsi="仿宋" w:eastAsia="仿宋"/>
          <w:color w:val="auto"/>
          <w:sz w:val="24"/>
          <w:szCs w:val="24"/>
          <w:highlight w:val="none"/>
          <w:u w:val="single"/>
        </w:rPr>
      </w:pPr>
      <w:r>
        <w:rPr>
          <w:rFonts w:ascii="仿宋" w:hAnsi="仿宋" w:eastAsia="仿宋"/>
          <w:color w:val="auto"/>
          <w:sz w:val="24"/>
          <w:szCs w:val="24"/>
          <w:highlight w:val="none"/>
        </w:rPr>
        <w:t>投标商（</w:t>
      </w:r>
      <w:r>
        <w:rPr>
          <w:rFonts w:hint="eastAsia" w:ascii="仿宋" w:hAnsi="仿宋" w:eastAsia="仿宋"/>
          <w:color w:val="auto"/>
          <w:sz w:val="24"/>
          <w:szCs w:val="24"/>
          <w:highlight w:val="none"/>
        </w:rPr>
        <w:t>公章</w:t>
      </w:r>
      <w:r>
        <w:rPr>
          <w:rFonts w:ascii="仿宋" w:hAnsi="仿宋" w:eastAsia="仿宋"/>
          <w:color w:val="auto"/>
          <w:sz w:val="24"/>
          <w:szCs w:val="24"/>
          <w:highlight w:val="none"/>
        </w:rPr>
        <w:t>）：</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  </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  </w:t>
      </w:r>
      <w:r>
        <w:rPr>
          <w:rFonts w:ascii="仿宋" w:hAnsi="仿宋" w:eastAsia="仿宋"/>
          <w:color w:val="auto"/>
          <w:sz w:val="24"/>
          <w:szCs w:val="24"/>
          <w:highlight w:val="none"/>
        </w:rPr>
        <w:t>项目编号：</w:t>
      </w:r>
      <w:r>
        <w:rPr>
          <w:rFonts w:ascii="仿宋" w:hAnsi="仿宋" w:eastAsia="仿宋"/>
          <w:color w:val="auto"/>
          <w:sz w:val="24"/>
          <w:szCs w:val="24"/>
          <w:highlight w:val="none"/>
          <w:u w:val="single"/>
        </w:rPr>
        <w:t xml:space="preserve">               </w:t>
      </w:r>
    </w:p>
    <w:tbl>
      <w:tblPr>
        <w:tblStyle w:val="4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7"/>
        <w:gridCol w:w="1271"/>
        <w:gridCol w:w="568"/>
        <w:gridCol w:w="1225"/>
        <w:gridCol w:w="766"/>
        <w:gridCol w:w="1837"/>
        <w:gridCol w:w="1550"/>
        <w:gridCol w:w="920"/>
        <w:gridCol w:w="994"/>
      </w:tblGrid>
      <w:tr w14:paraId="1F461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258" w:type="pct"/>
            <w:vAlign w:val="center"/>
          </w:tcPr>
          <w:p w14:paraId="6114FDC4">
            <w:pPr>
              <w:spacing w:before="60" w:after="60" w:line="360" w:lineRule="auto"/>
              <w:jc w:val="center"/>
              <w:rPr>
                <w:rFonts w:ascii="仿宋" w:hAnsi="仿宋" w:eastAsia="仿宋"/>
                <w:color w:val="auto"/>
                <w:szCs w:val="21"/>
                <w:highlight w:val="none"/>
              </w:rPr>
            </w:pPr>
            <w:r>
              <w:rPr>
                <w:rFonts w:ascii="仿宋" w:hAnsi="仿宋" w:eastAsia="仿宋"/>
                <w:color w:val="auto"/>
                <w:szCs w:val="21"/>
                <w:highlight w:val="none"/>
              </w:rPr>
              <w:t>序号</w:t>
            </w:r>
          </w:p>
        </w:tc>
        <w:tc>
          <w:tcPr>
            <w:tcW w:w="660" w:type="pct"/>
          </w:tcPr>
          <w:p w14:paraId="4236066A">
            <w:pPr>
              <w:spacing w:before="60" w:after="60"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在《环境标志产品政府采购品目清单》（最新一期）中归属的编码及名称</w:t>
            </w:r>
          </w:p>
        </w:tc>
        <w:tc>
          <w:tcPr>
            <w:tcW w:w="295" w:type="pct"/>
            <w:vAlign w:val="center"/>
          </w:tcPr>
          <w:p w14:paraId="5C22A3F7">
            <w:pPr>
              <w:spacing w:before="60" w:after="60"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w:t>
            </w:r>
            <w:r>
              <w:rPr>
                <w:rFonts w:ascii="仿宋" w:hAnsi="仿宋" w:eastAsia="仿宋"/>
                <w:color w:val="auto"/>
                <w:szCs w:val="21"/>
                <w:highlight w:val="none"/>
              </w:rPr>
              <w:t>名称</w:t>
            </w:r>
          </w:p>
        </w:tc>
        <w:tc>
          <w:tcPr>
            <w:tcW w:w="636" w:type="pct"/>
            <w:vAlign w:val="center"/>
          </w:tcPr>
          <w:p w14:paraId="338A56A0">
            <w:pPr>
              <w:spacing w:before="60" w:after="60" w:line="360" w:lineRule="auto"/>
              <w:jc w:val="center"/>
              <w:rPr>
                <w:rFonts w:ascii="仿宋" w:hAnsi="仿宋" w:eastAsia="仿宋"/>
                <w:color w:val="auto"/>
                <w:szCs w:val="21"/>
                <w:highlight w:val="none"/>
              </w:rPr>
            </w:pPr>
            <w:r>
              <w:rPr>
                <w:rFonts w:ascii="仿宋" w:hAnsi="仿宋" w:eastAsia="仿宋"/>
                <w:color w:val="auto"/>
                <w:szCs w:val="21"/>
                <w:highlight w:val="none"/>
              </w:rPr>
              <w:t>型号和规格</w:t>
            </w:r>
          </w:p>
        </w:tc>
        <w:tc>
          <w:tcPr>
            <w:tcW w:w="398" w:type="pct"/>
            <w:vAlign w:val="center"/>
          </w:tcPr>
          <w:p w14:paraId="4D85F687">
            <w:pPr>
              <w:spacing w:before="60" w:after="60" w:line="360" w:lineRule="auto"/>
              <w:jc w:val="center"/>
              <w:rPr>
                <w:rFonts w:ascii="仿宋" w:hAnsi="仿宋" w:eastAsia="仿宋"/>
                <w:color w:val="auto"/>
                <w:szCs w:val="21"/>
                <w:highlight w:val="none"/>
              </w:rPr>
            </w:pPr>
            <w:r>
              <w:rPr>
                <w:rFonts w:ascii="仿宋" w:hAnsi="仿宋" w:eastAsia="仿宋"/>
                <w:color w:val="auto"/>
                <w:szCs w:val="21"/>
                <w:highlight w:val="none"/>
              </w:rPr>
              <w:t>数量</w:t>
            </w:r>
          </w:p>
        </w:tc>
        <w:tc>
          <w:tcPr>
            <w:tcW w:w="954" w:type="pct"/>
            <w:vAlign w:val="center"/>
          </w:tcPr>
          <w:p w14:paraId="09710527">
            <w:pPr>
              <w:spacing w:before="120" w:line="360" w:lineRule="auto"/>
              <w:jc w:val="center"/>
              <w:rPr>
                <w:rFonts w:ascii="仿宋" w:hAnsi="仿宋" w:eastAsia="仿宋"/>
                <w:color w:val="auto"/>
                <w:szCs w:val="21"/>
                <w:highlight w:val="none"/>
              </w:rPr>
            </w:pPr>
            <w:r>
              <w:rPr>
                <w:rFonts w:ascii="仿宋" w:hAnsi="仿宋" w:eastAsia="仿宋"/>
                <w:color w:val="auto"/>
                <w:szCs w:val="21"/>
                <w:highlight w:val="none"/>
              </w:rPr>
              <w:t>原产地和</w:t>
            </w:r>
          </w:p>
          <w:p w14:paraId="586390E4">
            <w:pPr>
              <w:spacing w:before="60" w:after="60" w:line="360" w:lineRule="auto"/>
              <w:jc w:val="center"/>
              <w:rPr>
                <w:rFonts w:ascii="仿宋" w:hAnsi="仿宋" w:eastAsia="仿宋"/>
                <w:color w:val="auto"/>
                <w:szCs w:val="21"/>
                <w:highlight w:val="none"/>
              </w:rPr>
            </w:pPr>
            <w:r>
              <w:rPr>
                <w:rFonts w:ascii="仿宋" w:hAnsi="仿宋" w:eastAsia="仿宋"/>
                <w:color w:val="auto"/>
                <w:szCs w:val="21"/>
                <w:highlight w:val="none"/>
              </w:rPr>
              <w:t>制造商名称</w:t>
            </w:r>
          </w:p>
        </w:tc>
        <w:tc>
          <w:tcPr>
            <w:tcW w:w="805" w:type="pct"/>
            <w:vAlign w:val="center"/>
          </w:tcPr>
          <w:p w14:paraId="7194674C">
            <w:pPr>
              <w:spacing w:before="60" w:after="60"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环境标志产品认证证书</w:t>
            </w:r>
            <w:r>
              <w:rPr>
                <w:rFonts w:ascii="仿宋" w:hAnsi="仿宋" w:eastAsia="仿宋"/>
                <w:color w:val="auto"/>
                <w:szCs w:val="21"/>
                <w:highlight w:val="none"/>
              </w:rPr>
              <w:t>证书编号</w:t>
            </w:r>
          </w:p>
        </w:tc>
        <w:tc>
          <w:tcPr>
            <w:tcW w:w="478" w:type="pct"/>
            <w:vAlign w:val="center"/>
          </w:tcPr>
          <w:p w14:paraId="4BC08DBD">
            <w:pPr>
              <w:spacing w:line="360" w:lineRule="auto"/>
              <w:jc w:val="center"/>
              <w:rPr>
                <w:rFonts w:ascii="仿宋" w:hAnsi="仿宋" w:eastAsia="仿宋"/>
                <w:color w:val="auto"/>
                <w:szCs w:val="21"/>
                <w:highlight w:val="none"/>
              </w:rPr>
            </w:pPr>
            <w:r>
              <w:rPr>
                <w:rFonts w:ascii="仿宋" w:hAnsi="仿宋" w:eastAsia="仿宋"/>
                <w:color w:val="auto"/>
                <w:szCs w:val="21"/>
                <w:highlight w:val="none"/>
              </w:rPr>
              <w:t>单价</w:t>
            </w:r>
          </w:p>
          <w:p w14:paraId="30B77FE5">
            <w:pPr>
              <w:spacing w:before="60" w:after="60" w:line="360" w:lineRule="auto"/>
              <w:jc w:val="center"/>
              <w:rPr>
                <w:rFonts w:ascii="仿宋" w:hAnsi="仿宋" w:eastAsia="仿宋"/>
                <w:color w:val="auto"/>
                <w:szCs w:val="21"/>
                <w:highlight w:val="none"/>
              </w:rPr>
            </w:pPr>
            <w:r>
              <w:rPr>
                <w:rFonts w:ascii="仿宋" w:hAnsi="仿宋" w:eastAsia="仿宋"/>
                <w:color w:val="auto"/>
                <w:szCs w:val="21"/>
                <w:highlight w:val="none"/>
              </w:rPr>
              <w:t>（元人民币）</w:t>
            </w:r>
          </w:p>
        </w:tc>
        <w:tc>
          <w:tcPr>
            <w:tcW w:w="517" w:type="pct"/>
            <w:vAlign w:val="center"/>
          </w:tcPr>
          <w:p w14:paraId="2BAAE98B">
            <w:pPr>
              <w:spacing w:line="360" w:lineRule="auto"/>
              <w:jc w:val="center"/>
              <w:rPr>
                <w:rFonts w:ascii="仿宋" w:hAnsi="仿宋" w:eastAsia="仿宋"/>
                <w:color w:val="auto"/>
                <w:szCs w:val="21"/>
                <w:highlight w:val="none"/>
              </w:rPr>
            </w:pPr>
            <w:r>
              <w:rPr>
                <w:rFonts w:ascii="仿宋" w:hAnsi="仿宋" w:eastAsia="仿宋"/>
                <w:color w:val="auto"/>
                <w:szCs w:val="21"/>
                <w:highlight w:val="none"/>
              </w:rPr>
              <w:t>总价</w:t>
            </w:r>
          </w:p>
          <w:p w14:paraId="68453F7C">
            <w:pPr>
              <w:spacing w:line="360" w:lineRule="auto"/>
              <w:jc w:val="center"/>
              <w:rPr>
                <w:rFonts w:ascii="仿宋" w:hAnsi="仿宋" w:eastAsia="仿宋"/>
                <w:color w:val="auto"/>
                <w:szCs w:val="21"/>
                <w:highlight w:val="none"/>
              </w:rPr>
            </w:pPr>
            <w:r>
              <w:rPr>
                <w:rFonts w:ascii="仿宋" w:hAnsi="仿宋" w:eastAsia="仿宋"/>
                <w:color w:val="auto"/>
                <w:szCs w:val="21"/>
                <w:highlight w:val="none"/>
              </w:rPr>
              <w:t>（元人民币）</w:t>
            </w:r>
          </w:p>
        </w:tc>
      </w:tr>
      <w:tr w14:paraId="2E44E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258" w:type="pct"/>
            <w:vAlign w:val="center"/>
          </w:tcPr>
          <w:p w14:paraId="3A264100">
            <w:pPr>
              <w:spacing w:before="60" w:after="60" w:line="360" w:lineRule="auto"/>
              <w:jc w:val="center"/>
              <w:rPr>
                <w:rFonts w:ascii="仿宋" w:hAnsi="仿宋" w:eastAsia="仿宋"/>
                <w:color w:val="auto"/>
                <w:szCs w:val="21"/>
                <w:highlight w:val="none"/>
              </w:rPr>
            </w:pPr>
          </w:p>
        </w:tc>
        <w:tc>
          <w:tcPr>
            <w:tcW w:w="660" w:type="pct"/>
          </w:tcPr>
          <w:p w14:paraId="7946A095">
            <w:pPr>
              <w:spacing w:before="60" w:after="60" w:line="360" w:lineRule="auto"/>
              <w:jc w:val="center"/>
              <w:rPr>
                <w:rFonts w:ascii="仿宋" w:hAnsi="仿宋" w:eastAsia="仿宋"/>
                <w:color w:val="auto"/>
                <w:szCs w:val="21"/>
                <w:highlight w:val="none"/>
              </w:rPr>
            </w:pPr>
          </w:p>
        </w:tc>
        <w:tc>
          <w:tcPr>
            <w:tcW w:w="295" w:type="pct"/>
            <w:vAlign w:val="center"/>
          </w:tcPr>
          <w:p w14:paraId="07003EA5">
            <w:pPr>
              <w:spacing w:before="60" w:after="60" w:line="360" w:lineRule="auto"/>
              <w:jc w:val="center"/>
              <w:rPr>
                <w:rFonts w:ascii="仿宋" w:hAnsi="仿宋" w:eastAsia="仿宋"/>
                <w:color w:val="auto"/>
                <w:szCs w:val="21"/>
                <w:highlight w:val="none"/>
              </w:rPr>
            </w:pPr>
          </w:p>
        </w:tc>
        <w:tc>
          <w:tcPr>
            <w:tcW w:w="636" w:type="pct"/>
            <w:vAlign w:val="center"/>
          </w:tcPr>
          <w:p w14:paraId="1004AAA8">
            <w:pPr>
              <w:spacing w:before="60" w:after="60" w:line="360" w:lineRule="auto"/>
              <w:jc w:val="center"/>
              <w:rPr>
                <w:rFonts w:ascii="仿宋" w:hAnsi="仿宋" w:eastAsia="仿宋"/>
                <w:color w:val="auto"/>
                <w:szCs w:val="21"/>
                <w:highlight w:val="none"/>
              </w:rPr>
            </w:pPr>
          </w:p>
        </w:tc>
        <w:tc>
          <w:tcPr>
            <w:tcW w:w="398" w:type="pct"/>
            <w:vAlign w:val="center"/>
          </w:tcPr>
          <w:p w14:paraId="0EB4BFDA">
            <w:pPr>
              <w:spacing w:before="60" w:after="60" w:line="360" w:lineRule="auto"/>
              <w:jc w:val="center"/>
              <w:rPr>
                <w:rFonts w:ascii="仿宋" w:hAnsi="仿宋" w:eastAsia="仿宋"/>
                <w:color w:val="auto"/>
                <w:szCs w:val="21"/>
                <w:highlight w:val="none"/>
              </w:rPr>
            </w:pPr>
          </w:p>
        </w:tc>
        <w:tc>
          <w:tcPr>
            <w:tcW w:w="954" w:type="pct"/>
            <w:vAlign w:val="center"/>
          </w:tcPr>
          <w:p w14:paraId="1B658C5E">
            <w:pPr>
              <w:spacing w:before="60" w:after="60" w:line="360" w:lineRule="auto"/>
              <w:jc w:val="center"/>
              <w:rPr>
                <w:rFonts w:ascii="仿宋" w:hAnsi="仿宋" w:eastAsia="仿宋"/>
                <w:color w:val="auto"/>
                <w:szCs w:val="21"/>
                <w:highlight w:val="none"/>
              </w:rPr>
            </w:pPr>
          </w:p>
        </w:tc>
        <w:tc>
          <w:tcPr>
            <w:tcW w:w="805" w:type="pct"/>
            <w:vAlign w:val="center"/>
          </w:tcPr>
          <w:p w14:paraId="0FB7034F">
            <w:pPr>
              <w:spacing w:before="60" w:after="60" w:line="360" w:lineRule="auto"/>
              <w:jc w:val="center"/>
              <w:rPr>
                <w:rFonts w:ascii="仿宋" w:hAnsi="仿宋" w:eastAsia="仿宋"/>
                <w:color w:val="auto"/>
                <w:szCs w:val="21"/>
                <w:highlight w:val="none"/>
              </w:rPr>
            </w:pPr>
          </w:p>
        </w:tc>
        <w:tc>
          <w:tcPr>
            <w:tcW w:w="478" w:type="pct"/>
            <w:vAlign w:val="center"/>
          </w:tcPr>
          <w:p w14:paraId="0A1BE131">
            <w:pPr>
              <w:spacing w:before="60" w:after="60" w:line="360" w:lineRule="auto"/>
              <w:jc w:val="center"/>
              <w:rPr>
                <w:rFonts w:ascii="仿宋" w:hAnsi="仿宋" w:eastAsia="仿宋"/>
                <w:color w:val="auto"/>
                <w:szCs w:val="21"/>
                <w:highlight w:val="none"/>
              </w:rPr>
            </w:pPr>
          </w:p>
        </w:tc>
        <w:tc>
          <w:tcPr>
            <w:tcW w:w="517" w:type="pct"/>
            <w:vAlign w:val="center"/>
          </w:tcPr>
          <w:p w14:paraId="49044920">
            <w:pPr>
              <w:spacing w:line="360" w:lineRule="auto"/>
              <w:jc w:val="center"/>
              <w:rPr>
                <w:rFonts w:ascii="仿宋" w:hAnsi="仿宋" w:eastAsia="仿宋"/>
                <w:color w:val="auto"/>
                <w:szCs w:val="21"/>
                <w:highlight w:val="none"/>
              </w:rPr>
            </w:pPr>
          </w:p>
        </w:tc>
      </w:tr>
      <w:tr w14:paraId="64AAC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258" w:type="pct"/>
            <w:vAlign w:val="center"/>
          </w:tcPr>
          <w:p w14:paraId="018AF8BC">
            <w:pPr>
              <w:spacing w:before="60" w:after="60" w:line="360" w:lineRule="auto"/>
              <w:jc w:val="center"/>
              <w:rPr>
                <w:rFonts w:ascii="仿宋" w:hAnsi="仿宋" w:eastAsia="仿宋"/>
                <w:color w:val="auto"/>
                <w:szCs w:val="21"/>
                <w:highlight w:val="none"/>
              </w:rPr>
            </w:pPr>
          </w:p>
        </w:tc>
        <w:tc>
          <w:tcPr>
            <w:tcW w:w="660" w:type="pct"/>
          </w:tcPr>
          <w:p w14:paraId="42EEC59A">
            <w:pPr>
              <w:spacing w:before="60" w:after="60" w:line="360" w:lineRule="auto"/>
              <w:jc w:val="center"/>
              <w:rPr>
                <w:rFonts w:ascii="仿宋" w:hAnsi="仿宋" w:eastAsia="仿宋"/>
                <w:color w:val="auto"/>
                <w:szCs w:val="21"/>
                <w:highlight w:val="none"/>
              </w:rPr>
            </w:pPr>
          </w:p>
        </w:tc>
        <w:tc>
          <w:tcPr>
            <w:tcW w:w="295" w:type="pct"/>
            <w:vAlign w:val="center"/>
          </w:tcPr>
          <w:p w14:paraId="23650AD8">
            <w:pPr>
              <w:spacing w:before="60" w:after="60" w:line="360" w:lineRule="auto"/>
              <w:jc w:val="center"/>
              <w:rPr>
                <w:rFonts w:ascii="仿宋" w:hAnsi="仿宋" w:eastAsia="仿宋"/>
                <w:color w:val="auto"/>
                <w:szCs w:val="21"/>
                <w:highlight w:val="none"/>
              </w:rPr>
            </w:pPr>
          </w:p>
        </w:tc>
        <w:tc>
          <w:tcPr>
            <w:tcW w:w="636" w:type="pct"/>
            <w:vAlign w:val="center"/>
          </w:tcPr>
          <w:p w14:paraId="25DC332D">
            <w:pPr>
              <w:spacing w:before="60" w:after="60" w:line="360" w:lineRule="auto"/>
              <w:jc w:val="center"/>
              <w:rPr>
                <w:rFonts w:ascii="仿宋" w:hAnsi="仿宋" w:eastAsia="仿宋"/>
                <w:color w:val="auto"/>
                <w:szCs w:val="21"/>
                <w:highlight w:val="none"/>
              </w:rPr>
            </w:pPr>
          </w:p>
        </w:tc>
        <w:tc>
          <w:tcPr>
            <w:tcW w:w="398" w:type="pct"/>
            <w:vAlign w:val="center"/>
          </w:tcPr>
          <w:p w14:paraId="40C66421">
            <w:pPr>
              <w:spacing w:before="60" w:after="60" w:line="360" w:lineRule="auto"/>
              <w:jc w:val="center"/>
              <w:rPr>
                <w:rFonts w:ascii="仿宋" w:hAnsi="仿宋" w:eastAsia="仿宋"/>
                <w:color w:val="auto"/>
                <w:szCs w:val="21"/>
                <w:highlight w:val="none"/>
              </w:rPr>
            </w:pPr>
          </w:p>
        </w:tc>
        <w:tc>
          <w:tcPr>
            <w:tcW w:w="954" w:type="pct"/>
            <w:vAlign w:val="center"/>
          </w:tcPr>
          <w:p w14:paraId="492B18C8">
            <w:pPr>
              <w:spacing w:before="60" w:after="60" w:line="360" w:lineRule="auto"/>
              <w:jc w:val="center"/>
              <w:rPr>
                <w:rFonts w:ascii="仿宋" w:hAnsi="仿宋" w:eastAsia="仿宋"/>
                <w:color w:val="auto"/>
                <w:szCs w:val="21"/>
                <w:highlight w:val="none"/>
              </w:rPr>
            </w:pPr>
          </w:p>
        </w:tc>
        <w:tc>
          <w:tcPr>
            <w:tcW w:w="805" w:type="pct"/>
            <w:vAlign w:val="center"/>
          </w:tcPr>
          <w:p w14:paraId="3C5AB8BB">
            <w:pPr>
              <w:spacing w:before="60" w:after="60" w:line="360" w:lineRule="auto"/>
              <w:jc w:val="center"/>
              <w:rPr>
                <w:rFonts w:ascii="仿宋" w:hAnsi="仿宋" w:eastAsia="仿宋"/>
                <w:color w:val="auto"/>
                <w:szCs w:val="21"/>
                <w:highlight w:val="none"/>
              </w:rPr>
            </w:pPr>
          </w:p>
        </w:tc>
        <w:tc>
          <w:tcPr>
            <w:tcW w:w="478" w:type="pct"/>
            <w:vAlign w:val="center"/>
          </w:tcPr>
          <w:p w14:paraId="42FD5CB7">
            <w:pPr>
              <w:spacing w:before="60" w:after="60" w:line="360" w:lineRule="auto"/>
              <w:jc w:val="center"/>
              <w:rPr>
                <w:rFonts w:ascii="仿宋" w:hAnsi="仿宋" w:eastAsia="仿宋"/>
                <w:color w:val="auto"/>
                <w:szCs w:val="21"/>
                <w:highlight w:val="none"/>
              </w:rPr>
            </w:pPr>
          </w:p>
        </w:tc>
        <w:tc>
          <w:tcPr>
            <w:tcW w:w="517" w:type="pct"/>
            <w:vAlign w:val="center"/>
          </w:tcPr>
          <w:p w14:paraId="26076D85">
            <w:pPr>
              <w:spacing w:line="360" w:lineRule="auto"/>
              <w:jc w:val="center"/>
              <w:rPr>
                <w:rFonts w:ascii="仿宋" w:hAnsi="仿宋" w:eastAsia="仿宋"/>
                <w:color w:val="auto"/>
                <w:szCs w:val="21"/>
                <w:highlight w:val="none"/>
              </w:rPr>
            </w:pPr>
          </w:p>
        </w:tc>
      </w:tr>
      <w:tr w14:paraId="4FB03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4483" w:type="pct"/>
            <w:gridSpan w:val="8"/>
          </w:tcPr>
          <w:p w14:paraId="2CF29CDD">
            <w:pPr>
              <w:spacing w:before="60" w:after="60" w:line="360" w:lineRule="auto"/>
              <w:jc w:val="right"/>
              <w:rPr>
                <w:rFonts w:ascii="仿宋" w:hAnsi="仿宋" w:eastAsia="仿宋"/>
                <w:color w:val="auto"/>
                <w:szCs w:val="21"/>
                <w:highlight w:val="none"/>
              </w:rPr>
            </w:pPr>
            <w:r>
              <w:rPr>
                <w:rFonts w:ascii="仿宋" w:hAnsi="仿宋" w:eastAsia="仿宋"/>
                <w:color w:val="auto"/>
                <w:szCs w:val="21"/>
                <w:highlight w:val="none"/>
              </w:rPr>
              <w:t>其中，</w:t>
            </w:r>
            <w:r>
              <w:rPr>
                <w:rFonts w:ascii="仿宋" w:hAnsi="仿宋" w:eastAsia="仿宋"/>
                <w:bCs/>
                <w:color w:val="auto"/>
                <w:szCs w:val="21"/>
                <w:highlight w:val="none"/>
              </w:rPr>
              <w:t>环境标志</w:t>
            </w:r>
            <w:r>
              <w:rPr>
                <w:rFonts w:ascii="仿宋" w:hAnsi="仿宋" w:eastAsia="仿宋"/>
                <w:color w:val="auto"/>
                <w:szCs w:val="21"/>
                <w:highlight w:val="none"/>
              </w:rPr>
              <w:t>产品总计：</w:t>
            </w:r>
          </w:p>
        </w:tc>
        <w:tc>
          <w:tcPr>
            <w:tcW w:w="517" w:type="pct"/>
            <w:vAlign w:val="center"/>
          </w:tcPr>
          <w:p w14:paraId="3D7DCA2F">
            <w:pPr>
              <w:spacing w:line="360" w:lineRule="auto"/>
              <w:jc w:val="center"/>
              <w:rPr>
                <w:rFonts w:ascii="仿宋" w:hAnsi="仿宋" w:eastAsia="仿宋"/>
                <w:color w:val="auto"/>
                <w:szCs w:val="21"/>
                <w:highlight w:val="none"/>
              </w:rPr>
            </w:pPr>
          </w:p>
        </w:tc>
      </w:tr>
    </w:tbl>
    <w:p w14:paraId="7FFB9897">
      <w:pPr>
        <w:spacing w:line="360" w:lineRule="auto"/>
        <w:ind w:firstLine="4800" w:firstLineChars="2000"/>
        <w:rPr>
          <w:rFonts w:ascii="仿宋" w:hAnsi="仿宋" w:eastAsia="仿宋"/>
          <w:color w:val="auto"/>
          <w:sz w:val="24"/>
          <w:szCs w:val="24"/>
          <w:highlight w:val="none"/>
        </w:rPr>
      </w:pPr>
      <w:r>
        <w:rPr>
          <w:rFonts w:ascii="仿宋" w:hAnsi="仿宋" w:eastAsia="仿宋"/>
          <w:color w:val="auto"/>
          <w:sz w:val="24"/>
          <w:szCs w:val="24"/>
          <w:highlight w:val="none"/>
        </w:rPr>
        <w:t>授权代表</w:t>
      </w:r>
      <w:r>
        <w:rPr>
          <w:rFonts w:hint="eastAsia" w:ascii="仿宋" w:hAnsi="仿宋" w:eastAsia="仿宋"/>
          <w:color w:val="auto"/>
          <w:sz w:val="24"/>
          <w:szCs w:val="24"/>
          <w:highlight w:val="none"/>
        </w:rPr>
        <w:t>（</w:t>
      </w:r>
      <w:r>
        <w:rPr>
          <w:rFonts w:ascii="仿宋" w:hAnsi="仿宋" w:eastAsia="仿宋"/>
          <w:color w:val="auto"/>
          <w:sz w:val="24"/>
          <w:szCs w:val="24"/>
          <w:highlight w:val="none"/>
        </w:rPr>
        <w:t>签字</w:t>
      </w:r>
      <w:r>
        <w:rPr>
          <w:rFonts w:hint="eastAsia" w:ascii="仿宋" w:hAnsi="仿宋" w:eastAsia="仿宋"/>
          <w:color w:val="auto"/>
          <w:sz w:val="24"/>
          <w:szCs w:val="24"/>
          <w:highlight w:val="none"/>
        </w:rPr>
        <w:t>）</w:t>
      </w:r>
      <w:r>
        <w:rPr>
          <w:rFonts w:ascii="仿宋" w:hAnsi="仿宋" w:eastAsia="仿宋"/>
          <w:color w:val="auto"/>
          <w:sz w:val="24"/>
          <w:szCs w:val="24"/>
          <w:highlight w:val="none"/>
        </w:rPr>
        <w:t>:</w:t>
      </w:r>
      <w:r>
        <w:rPr>
          <w:rFonts w:hint="eastAsia" w:ascii="仿宋" w:hAnsi="仿宋" w:eastAsia="仿宋"/>
          <w:color w:val="auto"/>
          <w:sz w:val="24"/>
          <w:szCs w:val="24"/>
          <w:highlight w:val="none"/>
          <w:u w:val="single"/>
        </w:rPr>
        <w:t xml:space="preserve">               </w:t>
      </w:r>
    </w:p>
    <w:p w14:paraId="33A51CCA">
      <w:pPr>
        <w:spacing w:line="360" w:lineRule="auto"/>
        <w:ind w:firstLine="4800" w:firstLineChars="2000"/>
        <w:rPr>
          <w:rFonts w:ascii="仿宋" w:hAnsi="仿宋" w:eastAsia="仿宋"/>
          <w:b/>
          <w:color w:val="auto"/>
          <w:kern w:val="2"/>
          <w:sz w:val="24"/>
          <w:szCs w:val="24"/>
          <w:highlight w:val="none"/>
        </w:rPr>
      </w:pPr>
      <w:r>
        <w:rPr>
          <w:rFonts w:ascii="仿宋" w:hAnsi="仿宋" w:eastAsia="仿宋"/>
          <w:color w:val="auto"/>
          <w:sz w:val="24"/>
          <w:szCs w:val="24"/>
          <w:highlight w:val="none"/>
        </w:rPr>
        <w:t>日期：</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年</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月</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日</w:t>
      </w:r>
    </w:p>
    <w:bookmarkEnd w:id="410"/>
    <w:bookmarkEnd w:id="411"/>
    <w:bookmarkEnd w:id="412"/>
    <w:bookmarkEnd w:id="413"/>
    <w:bookmarkEnd w:id="414"/>
    <w:bookmarkEnd w:id="415"/>
    <w:bookmarkEnd w:id="416"/>
    <w:bookmarkEnd w:id="417"/>
    <w:bookmarkEnd w:id="418"/>
    <w:p w14:paraId="2F2A8EF9">
      <w:pPr>
        <w:spacing w:line="360" w:lineRule="auto"/>
        <w:rPr>
          <w:rFonts w:ascii="仿宋" w:hAnsi="仿宋" w:eastAsia="仿宋"/>
          <w:color w:val="auto"/>
          <w:sz w:val="24"/>
          <w:szCs w:val="24"/>
          <w:highlight w:val="none"/>
        </w:rPr>
      </w:pPr>
    </w:p>
    <w:p w14:paraId="509CB0A0">
      <w:pPr>
        <w:spacing w:line="360" w:lineRule="auto"/>
        <w:rPr>
          <w:rFonts w:ascii="仿宋" w:hAnsi="仿宋" w:eastAsia="仿宋"/>
          <w:color w:val="auto"/>
          <w:sz w:val="24"/>
          <w:szCs w:val="24"/>
          <w:highlight w:val="none"/>
        </w:rPr>
      </w:pPr>
    </w:p>
    <w:p w14:paraId="794C02D4">
      <w:pPr>
        <w:spacing w:line="360" w:lineRule="auto"/>
        <w:rPr>
          <w:rFonts w:ascii="仿宋" w:hAnsi="仿宋" w:eastAsia="仿宋"/>
          <w:color w:val="auto"/>
          <w:sz w:val="24"/>
          <w:szCs w:val="24"/>
          <w:highlight w:val="none"/>
        </w:rPr>
      </w:pPr>
    </w:p>
    <w:sectPr>
      <w:footerReference r:id="rId12" w:type="first"/>
      <w:footerReference r:id="rId10" w:type="default"/>
      <w:footerReference r:id="rId11" w:type="even"/>
      <w:pgSz w:w="11906" w:h="16838"/>
      <w:pgMar w:top="1247" w:right="1247" w:bottom="1247" w:left="1247"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Gulim">
    <w:altName w:val="Malgun Gothic"/>
    <w:panose1 w:val="020B0600000101010101"/>
    <w:charset w:val="81"/>
    <w:family w:val="swiss"/>
    <w:pitch w:val="default"/>
    <w:sig w:usb0="00000000" w:usb1="00000000" w:usb2="00000030" w:usb3="00000000" w:csb0="0008009F" w:csb1="00000000"/>
  </w:font>
  <w:font w:name="MingLiU">
    <w:altName w:val="PMingLiU-ExtB"/>
    <w:panose1 w:val="02010609000101010101"/>
    <w:charset w:val="88"/>
    <w:family w:val="modern"/>
    <w:pitch w:val="default"/>
    <w:sig w:usb0="00000000" w:usb1="00000000" w:usb2="00000016" w:usb3="00000000" w:csb0="0010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MingLiU_HKSCS">
    <w:altName w:val="MingLiU-ExtB"/>
    <w:panose1 w:val="00000000000000000000"/>
    <w:charset w:val="88"/>
    <w:family w:val="roman"/>
    <w:pitch w:val="default"/>
    <w:sig w:usb0="00000000" w:usb1="00000000" w:usb2="00000016" w:usb3="00000000" w:csb0="00100001" w:csb1="00000000"/>
  </w:font>
  <w:font w:name="微软雅黑">
    <w:panose1 w:val="020B0503020204020204"/>
    <w:charset w:val="86"/>
    <w:family w:val="auto"/>
    <w:pitch w:val="default"/>
    <w:sig w:usb0="80000287" w:usb1="2ACF3C50" w:usb2="00000016" w:usb3="00000000" w:csb0="0004001F" w:csb1="00000000"/>
  </w:font>
  <w:font w:name="Malgun Gothic">
    <w:panose1 w:val="020B0503020000020004"/>
    <w:charset w:val="81"/>
    <w:family w:val="auto"/>
    <w:pitch w:val="default"/>
    <w:sig w:usb0="9000002F" w:usb1="29D77CFB" w:usb2="00000012" w:usb3="00000000" w:csb0="00080001" w:csb1="00000000"/>
  </w:font>
  <w:font w:name="PMingLiU-ExtB">
    <w:panose1 w:val="02020500000000000000"/>
    <w:charset w:val="88"/>
    <w:family w:val="auto"/>
    <w:pitch w:val="default"/>
    <w:sig w:usb0="8000002F" w:usb1="02000008" w:usb2="00000000" w:usb3="00000000" w:csb0="00100001" w:csb1="00000000"/>
  </w:font>
  <w:font w:name="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3C6B9B">
    <w:pPr>
      <w:pStyle w:val="28"/>
      <w:jc w:val="center"/>
    </w:pPr>
    <w:r>
      <w:fldChar w:fldCharType="begin"/>
    </w:r>
    <w:r>
      <w:instrText xml:space="preserve">PAGE   \* MERGEFORMAT</w:instrText>
    </w:r>
    <w:r>
      <w:fldChar w:fldCharType="separate"/>
    </w:r>
    <w:r>
      <w:rPr>
        <w:lang w:val="zh-CN"/>
      </w:rPr>
      <w:t>24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97FE73">
    <w:pPr>
      <w:pStyle w:val="28"/>
      <w:framePr w:wrap="around" w:vAnchor="text" w:hAnchor="margin" w:xAlign="outside" w:y="1"/>
      <w:rPr>
        <w:rStyle w:val="45"/>
      </w:rPr>
    </w:pPr>
    <w:r>
      <w:fldChar w:fldCharType="begin"/>
    </w:r>
    <w:r>
      <w:rPr>
        <w:rStyle w:val="45"/>
      </w:rPr>
      <w:instrText xml:space="preserve">PAGE  </w:instrText>
    </w:r>
    <w:r>
      <w:fldChar w:fldCharType="separate"/>
    </w:r>
    <w:r>
      <w:rPr>
        <w:rStyle w:val="45"/>
      </w:rPr>
      <w:t>1</w:t>
    </w:r>
    <w:r>
      <w:fldChar w:fldCharType="end"/>
    </w:r>
  </w:p>
  <w:p w14:paraId="6F7468DC">
    <w:pPr>
      <w:pStyle w:val="28"/>
      <w:ind w:right="360" w:firstLine="360"/>
    </w:pPr>
  </w:p>
  <w:p w14:paraId="4BD523E0"/>
  <w:p w14:paraId="6E43F82E"/>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C9BE0A">
    <w:pPr>
      <w:pStyle w:val="28"/>
      <w:jc w:val="center"/>
    </w:pPr>
  </w:p>
  <w:p w14:paraId="2BEA2725">
    <w:pPr>
      <w:pStyle w:val="2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BC849">
    <w:pPr>
      <w:pStyle w:val="28"/>
      <w:jc w:val="center"/>
    </w:pPr>
  </w:p>
  <w:p w14:paraId="0BD44AE6">
    <w:pPr>
      <w:pStyle w:val="28"/>
      <w:jc w:val="center"/>
    </w:pPr>
  </w:p>
  <w:p w14:paraId="7121669A">
    <w:pPr>
      <w:pStyle w:val="28"/>
      <w:jc w:val="center"/>
    </w:pPr>
    <w:r>
      <w:fldChar w:fldCharType="begin"/>
    </w:r>
    <w:r>
      <w:instrText xml:space="preserve">PAGE   \* MERGEFORMAT</w:instrText>
    </w:r>
    <w:r>
      <w:fldChar w:fldCharType="separate"/>
    </w:r>
    <w:r>
      <w:rPr>
        <w:lang w:val="zh-CN"/>
      </w:rPr>
      <w:t>41</w:t>
    </w:r>
    <w:r>
      <w:fldChar w:fldCharType="end"/>
    </w:r>
  </w:p>
  <w:p w14:paraId="2354F4C2"/>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D7A72">
    <w:pPr>
      <w:pStyle w:val="28"/>
      <w:framePr w:wrap="around" w:vAnchor="text" w:hAnchor="margin" w:xAlign="outside" w:y="1"/>
      <w:rPr>
        <w:rStyle w:val="45"/>
      </w:rPr>
    </w:pPr>
    <w:r>
      <w:fldChar w:fldCharType="begin"/>
    </w:r>
    <w:r>
      <w:rPr>
        <w:rStyle w:val="45"/>
      </w:rPr>
      <w:instrText xml:space="preserve">PAGE  </w:instrText>
    </w:r>
    <w:r>
      <w:fldChar w:fldCharType="end"/>
    </w:r>
  </w:p>
  <w:p w14:paraId="1FAEE48D">
    <w:pPr>
      <w:pStyle w:val="28"/>
      <w:ind w:right="360" w:firstLine="360"/>
    </w:pPr>
  </w:p>
  <w:p w14:paraId="780D58CF"/>
  <w:p w14:paraId="1F141909"/>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2F3D3">
    <w:pPr>
      <w:pStyle w:val="28"/>
      <w:jc w:val="center"/>
    </w:pPr>
    <w:r>
      <w:fldChar w:fldCharType="begin"/>
    </w:r>
    <w:r>
      <w:instrText xml:space="preserve">PAGE   \* MERGEFORMAT</w:instrText>
    </w:r>
    <w:r>
      <w:fldChar w:fldCharType="separate"/>
    </w:r>
    <w:r>
      <w:rPr>
        <w:lang w:val="zh-CN"/>
      </w:rPr>
      <w:t>33</w:t>
    </w:r>
    <w:r>
      <w:fldChar w:fldCharType="end"/>
    </w:r>
  </w:p>
  <w:p w14:paraId="645B2AA7">
    <w:pPr>
      <w:pStyle w:val="2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75A33">
    <w:pPr>
      <w:pStyle w:val="28"/>
      <w:jc w:val="center"/>
    </w:pPr>
    <w:r>
      <w:fldChar w:fldCharType="begin"/>
    </w:r>
    <w:r>
      <w:instrText xml:space="preserve">PAGE   \* MERGEFORMAT</w:instrText>
    </w:r>
    <w:r>
      <w:fldChar w:fldCharType="separate"/>
    </w:r>
    <w:r>
      <w:rPr>
        <w:lang w:val="zh-CN"/>
      </w:rPr>
      <w:t>34</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27B67">
    <w:pPr>
      <w:pStyle w:val="28"/>
      <w:jc w:val="center"/>
    </w:pPr>
    <w:r>
      <w:fldChar w:fldCharType="begin"/>
    </w:r>
    <w:r>
      <w:instrText xml:space="preserve">PAGE   \* MERGEFORMAT</w:instrText>
    </w:r>
    <w:r>
      <w:fldChar w:fldCharType="separate"/>
    </w:r>
    <w:r>
      <w:rPr>
        <w:lang w:val="zh-CN"/>
      </w:rPr>
      <w:t>44</w:t>
    </w:r>
    <w: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F0DF56">
    <w:pPr>
      <w:pStyle w:val="28"/>
      <w:framePr w:wrap="around" w:vAnchor="text" w:hAnchor="margin" w:xAlign="outside" w:y="1"/>
      <w:rPr>
        <w:rStyle w:val="45"/>
      </w:rPr>
    </w:pPr>
    <w:r>
      <w:fldChar w:fldCharType="begin"/>
    </w:r>
    <w:r>
      <w:rPr>
        <w:rStyle w:val="45"/>
      </w:rPr>
      <w:instrText xml:space="preserve">PAGE  </w:instrText>
    </w:r>
    <w:r>
      <w:fldChar w:fldCharType="end"/>
    </w:r>
  </w:p>
  <w:p w14:paraId="70C8D4B7">
    <w:pPr>
      <w:pStyle w:val="28"/>
      <w:ind w:right="360" w:firstLine="360"/>
    </w:pPr>
  </w:p>
  <w:p w14:paraId="2B9CA194"/>
  <w:p w14:paraId="5A965AA4"/>
  <w:p w14:paraId="3C4410C4"/>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FE96FC">
    <w:pPr>
      <w:pStyle w:val="28"/>
      <w:jc w:val="cen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pStyle w:val="165"/>
      <w:lvlText w:val="%1."/>
      <w:lvlJc w:val="left"/>
      <w:pPr>
        <w:tabs>
          <w:tab w:val="left" w:pos="482"/>
        </w:tabs>
        <w:ind w:left="510" w:hanging="510"/>
      </w:pPr>
      <w:rPr>
        <w:rFonts w:hint="default" w:ascii="Arial" w:hAnsi="Arial"/>
        <w:b w:val="0"/>
        <w:i w:val="0"/>
        <w:sz w:val="24"/>
      </w:rPr>
    </w:lvl>
  </w:abstractNum>
  <w:abstractNum w:abstractNumId="1">
    <w:nsid w:val="00000002"/>
    <w:multiLevelType w:val="multilevel"/>
    <w:tmpl w:val="00000002"/>
    <w:lvl w:ilvl="0" w:tentative="0">
      <w:start w:val="1"/>
      <w:numFmt w:val="decimal"/>
      <w:suff w:val="nothing"/>
      <w:lvlText w:val="%1　"/>
      <w:lvlJc w:val="left"/>
      <w:pPr>
        <w:ind w:left="0" w:firstLine="0"/>
      </w:pPr>
      <w:rPr>
        <w:rFonts w:hint="eastAsia" w:ascii="宋体" w:hAnsi="宋体" w:eastAsia="宋体"/>
        <w:b w:val="0"/>
        <w:i w:val="0"/>
        <w:sz w:val="24"/>
        <w:szCs w:val="21"/>
      </w:rPr>
    </w:lvl>
    <w:lvl w:ilvl="1" w:tentative="0">
      <w:start w:val="1"/>
      <w:numFmt w:val="decimal"/>
      <w:suff w:val="nothing"/>
      <w:lvlText w:val="%1.%2　"/>
      <w:lvlJc w:val="left"/>
      <w:pPr>
        <w:ind w:left="284" w:firstLine="0"/>
      </w:pPr>
      <w:rPr>
        <w:rFonts w:hint="eastAsia" w:ascii="黑体" w:hAnsi="Times New Roman" w:eastAsia="黑体" w:cs="Times New Roman"/>
        <w:b w:val="0"/>
        <w:bCs w:val="0"/>
        <w:i w:val="0"/>
        <w:iCs w:val="0"/>
        <w:caps w:val="0"/>
        <w:vanish w:val="0"/>
        <w:color w:val="000000"/>
        <w:spacing w:val="0"/>
        <w:kern w:val="0"/>
        <w:position w:val="0"/>
        <w:sz w:val="21"/>
        <w:szCs w:val="21"/>
        <w:u w:val="none"/>
        <w:vertAlign w:val="baseline"/>
      </w:rPr>
    </w:lvl>
    <w:lvl w:ilvl="2" w:tentative="0">
      <w:start w:val="1"/>
      <w:numFmt w:val="decimal"/>
      <w:pStyle w:val="176"/>
      <w:suff w:val="nothing"/>
      <w:lvlText w:val="%1.%2.%3　"/>
      <w:lvlJc w:val="left"/>
      <w:pPr>
        <w:ind w:left="709" w:firstLine="0"/>
      </w:pPr>
      <w:rPr>
        <w:rFonts w:hint="eastAsia" w:ascii="黑体" w:hAnsi="Times New Roman" w:eastAsia="黑体"/>
        <w:b w:val="0"/>
        <w:i w:val="0"/>
        <w:sz w:val="21"/>
      </w:rPr>
    </w:lvl>
    <w:lvl w:ilvl="3" w:tentative="0">
      <w:start w:val="1"/>
      <w:numFmt w:val="decimal"/>
      <w:suff w:val="nothing"/>
      <w:lvlText w:val="%1.%2.%3.%4　"/>
      <w:lvlJc w:val="left"/>
      <w:pPr>
        <w:ind w:left="71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
    <w:nsid w:val="00000007"/>
    <w:multiLevelType w:val="multilevel"/>
    <w:tmpl w:val="00000007"/>
    <w:lvl w:ilvl="0" w:tentative="0">
      <w:start w:val="1"/>
      <w:numFmt w:val="decimal"/>
      <w:lvlText w:val="%1."/>
      <w:lvlJc w:val="left"/>
      <w:pPr>
        <w:tabs>
          <w:tab w:val="left" w:pos="360"/>
        </w:tabs>
        <w:ind w:left="360" w:hanging="360"/>
      </w:pPr>
      <w:rPr>
        <w:rFonts w:hint="default"/>
      </w:rPr>
    </w:lvl>
    <w:lvl w:ilvl="1" w:tentative="0">
      <w:start w:val="1"/>
      <w:numFmt w:val="lowerLetter"/>
      <w:pStyle w:val="174"/>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9"/>
    <w:multiLevelType w:val="multilevel"/>
    <w:tmpl w:val="00000009"/>
    <w:lvl w:ilvl="0" w:tentative="0">
      <w:start w:val="1"/>
      <w:numFmt w:val="decimal"/>
      <w:lvlText w:val="%1、"/>
      <w:lvlJc w:val="left"/>
      <w:pPr>
        <w:ind w:left="1004" w:hanging="720"/>
      </w:pPr>
      <w:rPr>
        <w:rFonts w:hint="default"/>
      </w:rPr>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4">
    <w:nsid w:val="0000000D"/>
    <w:multiLevelType w:val="multilevel"/>
    <w:tmpl w:val="0000000D"/>
    <w:lvl w:ilvl="0" w:tentative="0">
      <w:start w:val="1"/>
      <w:numFmt w:val="decimal"/>
      <w:pStyle w:val="14"/>
      <w:lvlText w:val="第%1章"/>
      <w:lvlJc w:val="center"/>
      <w:pPr>
        <w:tabs>
          <w:tab w:val="left" w:pos="0"/>
        </w:tabs>
        <w:ind w:left="0" w:firstLine="288"/>
      </w:pPr>
      <w:rPr>
        <w:rFonts w:hint="default" w:ascii="Arial" w:hAnsi="Arial" w:eastAsia="仿宋_GB2312"/>
        <w:b w:val="0"/>
        <w:i w:val="0"/>
        <w:sz w:val="30"/>
        <w:szCs w:val="30"/>
      </w:rPr>
    </w:lvl>
    <w:lvl w:ilvl="1" w:tentative="0">
      <w:start w:val="1"/>
      <w:numFmt w:val="decimal"/>
      <w:isLgl/>
      <w:lvlText w:val="%1.%2."/>
      <w:lvlJc w:val="left"/>
      <w:pPr>
        <w:tabs>
          <w:tab w:val="left" w:pos="0"/>
        </w:tabs>
        <w:ind w:left="0" w:firstLine="0"/>
      </w:pPr>
      <w:rPr>
        <w:rFonts w:hint="default" w:ascii="Arial" w:hAnsi="Arial" w:eastAsia="黑体"/>
        <w:b w:val="0"/>
        <w:bCs/>
        <w:i w:val="0"/>
        <w:kern w:val="2"/>
        <w:sz w:val="32"/>
        <w:szCs w:val="32"/>
      </w:rPr>
    </w:lvl>
    <w:lvl w:ilvl="2" w:tentative="0">
      <w:start w:val="1"/>
      <w:numFmt w:val="decimal"/>
      <w:lvlText w:val="%1.%2.%3."/>
      <w:lvlJc w:val="left"/>
      <w:pPr>
        <w:tabs>
          <w:tab w:val="left" w:pos="0"/>
        </w:tabs>
        <w:ind w:left="0" w:firstLine="0"/>
      </w:pPr>
      <w:rPr>
        <w:rFonts w:hint="default" w:ascii="Arial" w:hAnsi="Arial" w:eastAsia="黑体"/>
        <w:b w:val="0"/>
        <w:i w:val="0"/>
        <w:sz w:val="30"/>
        <w:szCs w:val="30"/>
      </w:rPr>
    </w:lvl>
    <w:lvl w:ilvl="3" w:tentative="0">
      <w:start w:val="1"/>
      <w:numFmt w:val="decimal"/>
      <w:lvlText w:val="%1.%2.%3.%4."/>
      <w:lvlJc w:val="left"/>
      <w:pPr>
        <w:tabs>
          <w:tab w:val="left" w:pos="0"/>
        </w:tabs>
        <w:ind w:left="0" w:firstLine="0"/>
      </w:pPr>
      <w:rPr>
        <w:rFonts w:hint="default" w:ascii="Arial" w:hAnsi="Arial" w:eastAsia="黑体"/>
        <w:b w:val="0"/>
        <w:i w:val="0"/>
        <w:sz w:val="30"/>
        <w:szCs w:val="30"/>
      </w:rPr>
    </w:lvl>
    <w:lvl w:ilvl="4" w:tentative="0">
      <w:start w:val="1"/>
      <w:numFmt w:val="decimal"/>
      <w:lvlText w:val="%1.%2.%3.%4.%5."/>
      <w:lvlJc w:val="left"/>
      <w:pPr>
        <w:tabs>
          <w:tab w:val="left" w:pos="0"/>
        </w:tabs>
        <w:ind w:left="0" w:firstLine="0"/>
      </w:pPr>
      <w:rPr>
        <w:rFonts w:hint="default" w:ascii="Arial" w:hAnsi="Arial" w:eastAsia="黑体"/>
        <w:b w:val="0"/>
        <w:i w:val="0"/>
        <w:sz w:val="28"/>
        <w:szCs w:val="28"/>
      </w:rPr>
    </w:lvl>
    <w:lvl w:ilvl="5" w:tentative="0">
      <w:start w:val="1"/>
      <w:numFmt w:val="decimal"/>
      <w:lvlText w:val="%1.%2.%3.%4.%5.%6."/>
      <w:lvlJc w:val="left"/>
      <w:pPr>
        <w:tabs>
          <w:tab w:val="left" w:pos="0"/>
        </w:tabs>
        <w:ind w:left="0" w:firstLine="0"/>
      </w:pPr>
      <w:rPr>
        <w:rFonts w:hint="default" w:ascii="Arial" w:hAnsi="Arial" w:eastAsia="黑体"/>
        <w:b w:val="0"/>
        <w:i w:val="0"/>
        <w:sz w:val="24"/>
        <w:szCs w:val="24"/>
      </w:rPr>
    </w:lvl>
    <w:lvl w:ilvl="6" w:tentative="0">
      <w:start w:val="1"/>
      <w:numFmt w:val="decimal"/>
      <w:lvlText w:val="%1.%2.%3.%4.%5.%6.%7."/>
      <w:lvlJc w:val="left"/>
      <w:pPr>
        <w:tabs>
          <w:tab w:val="left" w:pos="0"/>
        </w:tabs>
        <w:ind w:left="0" w:firstLine="0"/>
      </w:pPr>
      <w:rPr>
        <w:rFonts w:hint="default" w:ascii="Arial" w:hAnsi="Arial" w:eastAsia="黑体"/>
        <w:b/>
        <w:i w:val="0"/>
        <w:sz w:val="24"/>
        <w:szCs w:val="24"/>
      </w:rPr>
    </w:lvl>
    <w:lvl w:ilvl="7" w:tentative="0">
      <w:start w:val="1"/>
      <w:numFmt w:val="decimal"/>
      <w:lvlText w:val="%1.%2.%3.%4.%5.%6.%7.%8."/>
      <w:lvlJc w:val="left"/>
      <w:pPr>
        <w:tabs>
          <w:tab w:val="left" w:pos="0"/>
        </w:tabs>
        <w:ind w:left="0" w:firstLine="0"/>
      </w:pPr>
      <w:rPr>
        <w:rFonts w:hint="default" w:ascii="Arial" w:hAnsi="Arial" w:eastAsia="黑体"/>
        <w:b w:val="0"/>
        <w:i w:val="0"/>
        <w:sz w:val="24"/>
        <w:szCs w:val="24"/>
      </w:rPr>
    </w:lvl>
    <w:lvl w:ilvl="8" w:tentative="0">
      <w:start w:val="1"/>
      <w:numFmt w:val="decimal"/>
      <w:pStyle w:val="26"/>
      <w:lvlText w:val="%1.%2.%3.%4.%5.%6.%7.%8.%9."/>
      <w:lvlJc w:val="left"/>
      <w:pPr>
        <w:tabs>
          <w:tab w:val="left" w:pos="0"/>
        </w:tabs>
        <w:ind w:left="0" w:firstLine="0"/>
      </w:pPr>
      <w:rPr>
        <w:rFonts w:hint="default" w:ascii="Arial" w:hAnsi="Arial" w:eastAsia="黑体"/>
        <w:b w:val="0"/>
        <w:i w:val="0"/>
        <w:sz w:val="24"/>
        <w:szCs w:val="24"/>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0"/>
  <w:drawingGridHorizontalSpacing w:val="10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I3YmU1MTM3MTU5YWVkYTU2ZjYyZDIxODJhYTE3OTQifQ=="/>
  </w:docVars>
  <w:rsids>
    <w:rsidRoot w:val="003516C1"/>
    <w:rsid w:val="00022139"/>
    <w:rsid w:val="0002466B"/>
    <w:rsid w:val="000275A5"/>
    <w:rsid w:val="00054688"/>
    <w:rsid w:val="00054CB0"/>
    <w:rsid w:val="00055C4E"/>
    <w:rsid w:val="00060F69"/>
    <w:rsid w:val="00062313"/>
    <w:rsid w:val="00067409"/>
    <w:rsid w:val="000709CB"/>
    <w:rsid w:val="00076FDB"/>
    <w:rsid w:val="00084F0F"/>
    <w:rsid w:val="0008716F"/>
    <w:rsid w:val="000A11EF"/>
    <w:rsid w:val="000A4562"/>
    <w:rsid w:val="000A791A"/>
    <w:rsid w:val="000C4838"/>
    <w:rsid w:val="000C79FA"/>
    <w:rsid w:val="000C7B0C"/>
    <w:rsid w:val="000D0CFA"/>
    <w:rsid w:val="000D237D"/>
    <w:rsid w:val="00116196"/>
    <w:rsid w:val="00124484"/>
    <w:rsid w:val="00124B5C"/>
    <w:rsid w:val="001260A9"/>
    <w:rsid w:val="001435D4"/>
    <w:rsid w:val="00144385"/>
    <w:rsid w:val="00150BD8"/>
    <w:rsid w:val="00180AB9"/>
    <w:rsid w:val="00190E07"/>
    <w:rsid w:val="00191A19"/>
    <w:rsid w:val="001925B8"/>
    <w:rsid w:val="001927B0"/>
    <w:rsid w:val="00197A74"/>
    <w:rsid w:val="001A3988"/>
    <w:rsid w:val="001A39BB"/>
    <w:rsid w:val="001D5118"/>
    <w:rsid w:val="001D5482"/>
    <w:rsid w:val="001E0F93"/>
    <w:rsid w:val="001E2BDD"/>
    <w:rsid w:val="001F2288"/>
    <w:rsid w:val="00207D99"/>
    <w:rsid w:val="0021495A"/>
    <w:rsid w:val="0022391D"/>
    <w:rsid w:val="002370A4"/>
    <w:rsid w:val="0025679C"/>
    <w:rsid w:val="0027698F"/>
    <w:rsid w:val="00280E83"/>
    <w:rsid w:val="002A4510"/>
    <w:rsid w:val="002A5D08"/>
    <w:rsid w:val="002B14C3"/>
    <w:rsid w:val="002B2854"/>
    <w:rsid w:val="002B6A85"/>
    <w:rsid w:val="002D48C8"/>
    <w:rsid w:val="002D717C"/>
    <w:rsid w:val="002E1AE1"/>
    <w:rsid w:val="002F47CC"/>
    <w:rsid w:val="002F7BB5"/>
    <w:rsid w:val="003160C0"/>
    <w:rsid w:val="00317127"/>
    <w:rsid w:val="003177A6"/>
    <w:rsid w:val="00322F20"/>
    <w:rsid w:val="003232A8"/>
    <w:rsid w:val="00326DE4"/>
    <w:rsid w:val="00330964"/>
    <w:rsid w:val="003313C6"/>
    <w:rsid w:val="00334D6F"/>
    <w:rsid w:val="00341B68"/>
    <w:rsid w:val="00350462"/>
    <w:rsid w:val="003516C1"/>
    <w:rsid w:val="003550A5"/>
    <w:rsid w:val="00371B6F"/>
    <w:rsid w:val="00377624"/>
    <w:rsid w:val="003846F3"/>
    <w:rsid w:val="0038521C"/>
    <w:rsid w:val="0039661B"/>
    <w:rsid w:val="003977BA"/>
    <w:rsid w:val="003A442C"/>
    <w:rsid w:val="003E2F68"/>
    <w:rsid w:val="003F415B"/>
    <w:rsid w:val="003F6D03"/>
    <w:rsid w:val="00404D0A"/>
    <w:rsid w:val="00414EEA"/>
    <w:rsid w:val="0041567B"/>
    <w:rsid w:val="0042365B"/>
    <w:rsid w:val="00426618"/>
    <w:rsid w:val="00440FDE"/>
    <w:rsid w:val="00442EAE"/>
    <w:rsid w:val="004636CA"/>
    <w:rsid w:val="00463EE6"/>
    <w:rsid w:val="004925D4"/>
    <w:rsid w:val="004B194E"/>
    <w:rsid w:val="004B55CA"/>
    <w:rsid w:val="004D2354"/>
    <w:rsid w:val="004D27B7"/>
    <w:rsid w:val="004D5855"/>
    <w:rsid w:val="004E0FA1"/>
    <w:rsid w:val="004F22C1"/>
    <w:rsid w:val="00500B14"/>
    <w:rsid w:val="00511FA5"/>
    <w:rsid w:val="005223DF"/>
    <w:rsid w:val="005237E5"/>
    <w:rsid w:val="00523D01"/>
    <w:rsid w:val="00525581"/>
    <w:rsid w:val="00546E7F"/>
    <w:rsid w:val="0055195C"/>
    <w:rsid w:val="005605A5"/>
    <w:rsid w:val="005772C4"/>
    <w:rsid w:val="00582666"/>
    <w:rsid w:val="00585535"/>
    <w:rsid w:val="005A3989"/>
    <w:rsid w:val="005A622B"/>
    <w:rsid w:val="005B76C9"/>
    <w:rsid w:val="005C3C97"/>
    <w:rsid w:val="005D44D8"/>
    <w:rsid w:val="005E3596"/>
    <w:rsid w:val="005E6287"/>
    <w:rsid w:val="00624DC9"/>
    <w:rsid w:val="0062599A"/>
    <w:rsid w:val="00632E14"/>
    <w:rsid w:val="00633788"/>
    <w:rsid w:val="00634426"/>
    <w:rsid w:val="0063791E"/>
    <w:rsid w:val="0065059C"/>
    <w:rsid w:val="00651D59"/>
    <w:rsid w:val="00665627"/>
    <w:rsid w:val="00681D7D"/>
    <w:rsid w:val="00694897"/>
    <w:rsid w:val="006949E5"/>
    <w:rsid w:val="00694F10"/>
    <w:rsid w:val="006B1FB7"/>
    <w:rsid w:val="006B4D67"/>
    <w:rsid w:val="006C6085"/>
    <w:rsid w:val="006C6324"/>
    <w:rsid w:val="006F16CA"/>
    <w:rsid w:val="00702393"/>
    <w:rsid w:val="00706FC7"/>
    <w:rsid w:val="0071037E"/>
    <w:rsid w:val="0071556E"/>
    <w:rsid w:val="00722349"/>
    <w:rsid w:val="00733B88"/>
    <w:rsid w:val="00740F1E"/>
    <w:rsid w:val="0075035D"/>
    <w:rsid w:val="0075698C"/>
    <w:rsid w:val="00756ED4"/>
    <w:rsid w:val="0076540C"/>
    <w:rsid w:val="007676B8"/>
    <w:rsid w:val="00795422"/>
    <w:rsid w:val="007A120C"/>
    <w:rsid w:val="007A7EE1"/>
    <w:rsid w:val="007B2C46"/>
    <w:rsid w:val="007C0DFE"/>
    <w:rsid w:val="007C4B0F"/>
    <w:rsid w:val="007C5076"/>
    <w:rsid w:val="007C5AB0"/>
    <w:rsid w:val="007C60F3"/>
    <w:rsid w:val="007C65A6"/>
    <w:rsid w:val="007D0E8F"/>
    <w:rsid w:val="007D3D3F"/>
    <w:rsid w:val="007E5E9B"/>
    <w:rsid w:val="00811F0C"/>
    <w:rsid w:val="0082091A"/>
    <w:rsid w:val="00832CC5"/>
    <w:rsid w:val="0084273B"/>
    <w:rsid w:val="00845454"/>
    <w:rsid w:val="0084663B"/>
    <w:rsid w:val="008477D8"/>
    <w:rsid w:val="00851A8D"/>
    <w:rsid w:val="00853828"/>
    <w:rsid w:val="00861EF3"/>
    <w:rsid w:val="00866AE9"/>
    <w:rsid w:val="00870BDA"/>
    <w:rsid w:val="00870DC4"/>
    <w:rsid w:val="0087308B"/>
    <w:rsid w:val="008835FC"/>
    <w:rsid w:val="00883E04"/>
    <w:rsid w:val="00891813"/>
    <w:rsid w:val="008A1A48"/>
    <w:rsid w:val="008A3ADD"/>
    <w:rsid w:val="008D2F0E"/>
    <w:rsid w:val="008E2C13"/>
    <w:rsid w:val="00914B2E"/>
    <w:rsid w:val="00924E18"/>
    <w:rsid w:val="009256CA"/>
    <w:rsid w:val="00930CD1"/>
    <w:rsid w:val="00930EB5"/>
    <w:rsid w:val="0094282D"/>
    <w:rsid w:val="00963FE2"/>
    <w:rsid w:val="009709B6"/>
    <w:rsid w:val="0097619B"/>
    <w:rsid w:val="00982984"/>
    <w:rsid w:val="0099239C"/>
    <w:rsid w:val="00994276"/>
    <w:rsid w:val="009A3159"/>
    <w:rsid w:val="009A513D"/>
    <w:rsid w:val="009B087B"/>
    <w:rsid w:val="009C498F"/>
    <w:rsid w:val="009C6C81"/>
    <w:rsid w:val="009D2A05"/>
    <w:rsid w:val="009E066C"/>
    <w:rsid w:val="009E1812"/>
    <w:rsid w:val="009E4F76"/>
    <w:rsid w:val="00A13D29"/>
    <w:rsid w:val="00A15BE5"/>
    <w:rsid w:val="00A30549"/>
    <w:rsid w:val="00A321CA"/>
    <w:rsid w:val="00A415E9"/>
    <w:rsid w:val="00A44475"/>
    <w:rsid w:val="00A477E8"/>
    <w:rsid w:val="00A90BE4"/>
    <w:rsid w:val="00AA3BAC"/>
    <w:rsid w:val="00AA5C8B"/>
    <w:rsid w:val="00AA6D2C"/>
    <w:rsid w:val="00AB0021"/>
    <w:rsid w:val="00AB1DF7"/>
    <w:rsid w:val="00AB563D"/>
    <w:rsid w:val="00AB78B9"/>
    <w:rsid w:val="00AC2878"/>
    <w:rsid w:val="00AC7B27"/>
    <w:rsid w:val="00AE34ED"/>
    <w:rsid w:val="00AE7376"/>
    <w:rsid w:val="00AF2C23"/>
    <w:rsid w:val="00AF7961"/>
    <w:rsid w:val="00B0291D"/>
    <w:rsid w:val="00B140E8"/>
    <w:rsid w:val="00B20624"/>
    <w:rsid w:val="00B352A9"/>
    <w:rsid w:val="00B401F9"/>
    <w:rsid w:val="00B5594C"/>
    <w:rsid w:val="00B74ECF"/>
    <w:rsid w:val="00B824DD"/>
    <w:rsid w:val="00B87951"/>
    <w:rsid w:val="00B917B8"/>
    <w:rsid w:val="00BA10EF"/>
    <w:rsid w:val="00BA1CA7"/>
    <w:rsid w:val="00BB1C04"/>
    <w:rsid w:val="00BB4389"/>
    <w:rsid w:val="00BD6BF8"/>
    <w:rsid w:val="00BE6A76"/>
    <w:rsid w:val="00C07177"/>
    <w:rsid w:val="00C126F9"/>
    <w:rsid w:val="00C141B6"/>
    <w:rsid w:val="00C159DA"/>
    <w:rsid w:val="00C15AA5"/>
    <w:rsid w:val="00C16434"/>
    <w:rsid w:val="00C20168"/>
    <w:rsid w:val="00C27D93"/>
    <w:rsid w:val="00C47372"/>
    <w:rsid w:val="00C5253E"/>
    <w:rsid w:val="00C639A9"/>
    <w:rsid w:val="00C71CD0"/>
    <w:rsid w:val="00C758C0"/>
    <w:rsid w:val="00C814BF"/>
    <w:rsid w:val="00C85881"/>
    <w:rsid w:val="00C8713D"/>
    <w:rsid w:val="00C91B92"/>
    <w:rsid w:val="00CA628C"/>
    <w:rsid w:val="00CB593E"/>
    <w:rsid w:val="00CC32BA"/>
    <w:rsid w:val="00CD211E"/>
    <w:rsid w:val="00CE3A5D"/>
    <w:rsid w:val="00CF701E"/>
    <w:rsid w:val="00D00D9E"/>
    <w:rsid w:val="00D018ED"/>
    <w:rsid w:val="00D07266"/>
    <w:rsid w:val="00D10B23"/>
    <w:rsid w:val="00D14171"/>
    <w:rsid w:val="00D21688"/>
    <w:rsid w:val="00D41CE5"/>
    <w:rsid w:val="00D445FA"/>
    <w:rsid w:val="00D46148"/>
    <w:rsid w:val="00D477BD"/>
    <w:rsid w:val="00D51385"/>
    <w:rsid w:val="00D6143A"/>
    <w:rsid w:val="00D668B4"/>
    <w:rsid w:val="00DA1D91"/>
    <w:rsid w:val="00DA634E"/>
    <w:rsid w:val="00DB4618"/>
    <w:rsid w:val="00DC064B"/>
    <w:rsid w:val="00DC0F65"/>
    <w:rsid w:val="00DC125C"/>
    <w:rsid w:val="00DD0A9E"/>
    <w:rsid w:val="00DD0FFB"/>
    <w:rsid w:val="00DD4A78"/>
    <w:rsid w:val="00DD56E8"/>
    <w:rsid w:val="00DE3ED8"/>
    <w:rsid w:val="00DF2605"/>
    <w:rsid w:val="00DF2BCE"/>
    <w:rsid w:val="00E14CF2"/>
    <w:rsid w:val="00E15673"/>
    <w:rsid w:val="00E16524"/>
    <w:rsid w:val="00E2165A"/>
    <w:rsid w:val="00E244B7"/>
    <w:rsid w:val="00E27515"/>
    <w:rsid w:val="00E30987"/>
    <w:rsid w:val="00E428D7"/>
    <w:rsid w:val="00E46072"/>
    <w:rsid w:val="00E52F1B"/>
    <w:rsid w:val="00E56A10"/>
    <w:rsid w:val="00E61825"/>
    <w:rsid w:val="00E648F5"/>
    <w:rsid w:val="00E8183F"/>
    <w:rsid w:val="00EA0D83"/>
    <w:rsid w:val="00EA3BE0"/>
    <w:rsid w:val="00EA4415"/>
    <w:rsid w:val="00EB7EB8"/>
    <w:rsid w:val="00EC4BA5"/>
    <w:rsid w:val="00ED023B"/>
    <w:rsid w:val="00ED1158"/>
    <w:rsid w:val="00ED261C"/>
    <w:rsid w:val="00EE66A9"/>
    <w:rsid w:val="00F00C95"/>
    <w:rsid w:val="00F267C8"/>
    <w:rsid w:val="00F41DEE"/>
    <w:rsid w:val="00F47F95"/>
    <w:rsid w:val="00F51B1C"/>
    <w:rsid w:val="00F72876"/>
    <w:rsid w:val="00F83AC1"/>
    <w:rsid w:val="00F8553C"/>
    <w:rsid w:val="00FB51E1"/>
    <w:rsid w:val="00FC2A01"/>
    <w:rsid w:val="00FC4E3D"/>
    <w:rsid w:val="00FF1689"/>
    <w:rsid w:val="00FF4F61"/>
    <w:rsid w:val="00FF5B84"/>
    <w:rsid w:val="01573B13"/>
    <w:rsid w:val="01C71838"/>
    <w:rsid w:val="03C7419A"/>
    <w:rsid w:val="04685F99"/>
    <w:rsid w:val="04E6549C"/>
    <w:rsid w:val="053309E7"/>
    <w:rsid w:val="06513081"/>
    <w:rsid w:val="091606BA"/>
    <w:rsid w:val="09F75AC8"/>
    <w:rsid w:val="09F76E15"/>
    <w:rsid w:val="0A040338"/>
    <w:rsid w:val="0AA54A17"/>
    <w:rsid w:val="0AC01E9A"/>
    <w:rsid w:val="0AEE40C4"/>
    <w:rsid w:val="0B5A630E"/>
    <w:rsid w:val="0CA43999"/>
    <w:rsid w:val="0F6962F3"/>
    <w:rsid w:val="0FF85EDB"/>
    <w:rsid w:val="10233173"/>
    <w:rsid w:val="12552BA2"/>
    <w:rsid w:val="1317530C"/>
    <w:rsid w:val="13950CD0"/>
    <w:rsid w:val="142257E9"/>
    <w:rsid w:val="14ED3166"/>
    <w:rsid w:val="15FF1A10"/>
    <w:rsid w:val="161812A0"/>
    <w:rsid w:val="18873CF5"/>
    <w:rsid w:val="19E66B1C"/>
    <w:rsid w:val="1B34601D"/>
    <w:rsid w:val="1D364F15"/>
    <w:rsid w:val="1D543670"/>
    <w:rsid w:val="1D61096C"/>
    <w:rsid w:val="1D8C0491"/>
    <w:rsid w:val="22747340"/>
    <w:rsid w:val="22D42043"/>
    <w:rsid w:val="23645B24"/>
    <w:rsid w:val="24B96523"/>
    <w:rsid w:val="25BA0AD1"/>
    <w:rsid w:val="25D53F7A"/>
    <w:rsid w:val="265F75E8"/>
    <w:rsid w:val="26E74C32"/>
    <w:rsid w:val="27E965F8"/>
    <w:rsid w:val="280875F3"/>
    <w:rsid w:val="282F21CB"/>
    <w:rsid w:val="2C532DA0"/>
    <w:rsid w:val="2CE028C6"/>
    <w:rsid w:val="2E2438C9"/>
    <w:rsid w:val="2F81180C"/>
    <w:rsid w:val="34941E5C"/>
    <w:rsid w:val="35516986"/>
    <w:rsid w:val="35F508FF"/>
    <w:rsid w:val="36486BE0"/>
    <w:rsid w:val="36606FAF"/>
    <w:rsid w:val="38746732"/>
    <w:rsid w:val="38AD3105"/>
    <w:rsid w:val="3A2160C5"/>
    <w:rsid w:val="3A55341B"/>
    <w:rsid w:val="3A9C3612"/>
    <w:rsid w:val="3AF14B68"/>
    <w:rsid w:val="3CFB4EED"/>
    <w:rsid w:val="3DB46FC5"/>
    <w:rsid w:val="3FAF7284"/>
    <w:rsid w:val="408C4116"/>
    <w:rsid w:val="41E8379F"/>
    <w:rsid w:val="42F66A84"/>
    <w:rsid w:val="43D028F8"/>
    <w:rsid w:val="43F0608D"/>
    <w:rsid w:val="44C40D2A"/>
    <w:rsid w:val="44E44847"/>
    <w:rsid w:val="453E3FCF"/>
    <w:rsid w:val="469D6126"/>
    <w:rsid w:val="47353155"/>
    <w:rsid w:val="474948CA"/>
    <w:rsid w:val="49331BA1"/>
    <w:rsid w:val="49E27072"/>
    <w:rsid w:val="4B481704"/>
    <w:rsid w:val="4BBA6D12"/>
    <w:rsid w:val="4CC10439"/>
    <w:rsid w:val="4D3427AA"/>
    <w:rsid w:val="4D7A1CCA"/>
    <w:rsid w:val="4E1A2D7A"/>
    <w:rsid w:val="4E214C45"/>
    <w:rsid w:val="4F247436"/>
    <w:rsid w:val="4FFC2ABD"/>
    <w:rsid w:val="51F31C9E"/>
    <w:rsid w:val="529C6F95"/>
    <w:rsid w:val="537D4B64"/>
    <w:rsid w:val="53F36F74"/>
    <w:rsid w:val="573A4ED0"/>
    <w:rsid w:val="59442A7C"/>
    <w:rsid w:val="5BD26DC8"/>
    <w:rsid w:val="5D066D29"/>
    <w:rsid w:val="5D3A6E62"/>
    <w:rsid w:val="5DBE7D80"/>
    <w:rsid w:val="5F8E28F9"/>
    <w:rsid w:val="60340051"/>
    <w:rsid w:val="606E1256"/>
    <w:rsid w:val="62BF00A6"/>
    <w:rsid w:val="64641021"/>
    <w:rsid w:val="64A84B6A"/>
    <w:rsid w:val="64ED59C5"/>
    <w:rsid w:val="65F84DF4"/>
    <w:rsid w:val="6647009D"/>
    <w:rsid w:val="677409B9"/>
    <w:rsid w:val="67D31EFE"/>
    <w:rsid w:val="6A5060B6"/>
    <w:rsid w:val="6BCD50FE"/>
    <w:rsid w:val="6E627594"/>
    <w:rsid w:val="6F873373"/>
    <w:rsid w:val="724B52B0"/>
    <w:rsid w:val="74347632"/>
    <w:rsid w:val="749B17D5"/>
    <w:rsid w:val="753D0DF2"/>
    <w:rsid w:val="762563B4"/>
    <w:rsid w:val="76490C70"/>
    <w:rsid w:val="766E1C96"/>
    <w:rsid w:val="768C42EB"/>
    <w:rsid w:val="76B24D2F"/>
    <w:rsid w:val="78921534"/>
    <w:rsid w:val="78EE649A"/>
    <w:rsid w:val="7C4B0601"/>
    <w:rsid w:val="7FDF0DC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0" w:semiHidden="0" w:name="heading 6"/>
    <w:lsdException w:qFormat="1"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qFormat="1" w:uiPriority="99" w:semiHidden="0" w:name="Body Text 3"/>
    <w:lsdException w:qFormat="1" w:unhideWhenUsed="0" w:uiPriority="0"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utoSpaceDE w:val="0"/>
      <w:autoSpaceDN w:val="0"/>
      <w:adjustRightInd w:val="0"/>
    </w:pPr>
    <w:rPr>
      <w:rFonts w:ascii="宋体" w:hAnsi="Times New Roman" w:eastAsia="宋体" w:cs="Times New Roman"/>
      <w:lang w:val="en-US" w:eastAsia="zh-CN" w:bidi="ar-SA"/>
    </w:rPr>
  </w:style>
  <w:style w:type="paragraph" w:styleId="3">
    <w:name w:val="heading 1"/>
    <w:basedOn w:val="1"/>
    <w:next w:val="1"/>
    <w:link w:val="50"/>
    <w:qFormat/>
    <w:uiPriority w:val="9"/>
    <w:pPr>
      <w:keepNext/>
      <w:keepLines/>
      <w:autoSpaceDE/>
      <w:autoSpaceDN/>
      <w:adjustRightInd/>
      <w:spacing w:before="340" w:after="330" w:line="578" w:lineRule="auto"/>
      <w:jc w:val="both"/>
      <w:outlineLvl w:val="0"/>
    </w:pPr>
    <w:rPr>
      <w:rFonts w:ascii="Times New Roman"/>
      <w:b/>
      <w:bCs/>
      <w:kern w:val="44"/>
      <w:sz w:val="44"/>
      <w:szCs w:val="44"/>
    </w:rPr>
  </w:style>
  <w:style w:type="paragraph" w:styleId="4">
    <w:name w:val="heading 2"/>
    <w:basedOn w:val="1"/>
    <w:next w:val="1"/>
    <w:link w:val="51"/>
    <w:qFormat/>
    <w:uiPriority w:val="9"/>
    <w:pPr>
      <w:keepNext/>
      <w:keepLines/>
      <w:autoSpaceDE/>
      <w:autoSpaceDN/>
      <w:adjustRightInd/>
      <w:spacing w:before="260" w:after="260" w:line="416" w:lineRule="auto"/>
      <w:jc w:val="both"/>
      <w:outlineLvl w:val="1"/>
    </w:pPr>
    <w:rPr>
      <w:rFonts w:ascii="Arial" w:hAnsi="Arial" w:eastAsia="黑体"/>
      <w:b/>
      <w:bCs/>
      <w:kern w:val="2"/>
      <w:sz w:val="32"/>
      <w:szCs w:val="32"/>
    </w:rPr>
  </w:style>
  <w:style w:type="paragraph" w:styleId="5">
    <w:name w:val="heading 3"/>
    <w:basedOn w:val="1"/>
    <w:next w:val="1"/>
    <w:link w:val="52"/>
    <w:qFormat/>
    <w:uiPriority w:val="9"/>
    <w:pPr>
      <w:keepNext/>
      <w:keepLines/>
      <w:autoSpaceDE/>
      <w:autoSpaceDN/>
      <w:adjustRightInd/>
      <w:spacing w:before="260" w:after="260" w:line="416" w:lineRule="auto"/>
      <w:jc w:val="both"/>
      <w:outlineLvl w:val="2"/>
    </w:pPr>
    <w:rPr>
      <w:rFonts w:ascii="Times New Roman"/>
      <w:b/>
      <w:bCs/>
      <w:kern w:val="2"/>
      <w:sz w:val="32"/>
      <w:szCs w:val="32"/>
    </w:rPr>
  </w:style>
  <w:style w:type="paragraph" w:styleId="6">
    <w:name w:val="heading 4"/>
    <w:basedOn w:val="1"/>
    <w:next w:val="1"/>
    <w:link w:val="53"/>
    <w:qFormat/>
    <w:uiPriority w:val="9"/>
    <w:pPr>
      <w:keepNext/>
      <w:keepLines/>
      <w:autoSpaceDE/>
      <w:autoSpaceDN/>
      <w:adjustRightInd/>
      <w:spacing w:before="280" w:after="290" w:line="376" w:lineRule="auto"/>
      <w:jc w:val="both"/>
      <w:outlineLvl w:val="3"/>
    </w:pPr>
    <w:rPr>
      <w:rFonts w:ascii="Arial" w:hAnsi="Arial" w:eastAsia="黑体"/>
      <w:b/>
      <w:bCs/>
      <w:kern w:val="2"/>
      <w:sz w:val="28"/>
      <w:szCs w:val="28"/>
    </w:rPr>
  </w:style>
  <w:style w:type="paragraph" w:styleId="7">
    <w:name w:val="heading 5"/>
    <w:basedOn w:val="1"/>
    <w:next w:val="1"/>
    <w:link w:val="247"/>
    <w:qFormat/>
    <w:uiPriority w:val="9"/>
    <w:pPr>
      <w:keepNext/>
      <w:keepLines/>
      <w:spacing w:before="280" w:after="290" w:line="376" w:lineRule="auto"/>
      <w:outlineLvl w:val="4"/>
    </w:pPr>
    <w:rPr>
      <w:b/>
      <w:bCs/>
      <w:sz w:val="28"/>
      <w:szCs w:val="28"/>
    </w:rPr>
  </w:style>
  <w:style w:type="paragraph" w:styleId="8">
    <w:name w:val="heading 6"/>
    <w:basedOn w:val="1"/>
    <w:next w:val="1"/>
    <w:link w:val="264"/>
    <w:qFormat/>
    <w:uiPriority w:val="0"/>
    <w:pPr>
      <w:keepNext/>
      <w:keepLines/>
      <w:spacing w:before="240" w:after="64" w:line="320" w:lineRule="auto"/>
      <w:outlineLvl w:val="5"/>
    </w:pPr>
    <w:rPr>
      <w:rFonts w:ascii="Arial" w:hAnsi="Arial" w:eastAsia="黑体"/>
      <w:b/>
      <w:bCs/>
      <w:sz w:val="24"/>
      <w:szCs w:val="24"/>
    </w:rPr>
  </w:style>
  <w:style w:type="paragraph" w:styleId="9">
    <w:name w:val="heading 7"/>
    <w:basedOn w:val="1"/>
    <w:next w:val="1"/>
    <w:link w:val="199"/>
    <w:unhideWhenUsed/>
    <w:qFormat/>
    <w:uiPriority w:val="0"/>
    <w:pPr>
      <w:keepNext/>
      <w:keepLines/>
      <w:autoSpaceDE/>
      <w:autoSpaceDN/>
      <w:adjustRightInd/>
      <w:spacing w:before="240" w:after="64" w:line="320" w:lineRule="auto"/>
      <w:ind w:left="1296" w:hanging="1296"/>
      <w:jc w:val="both"/>
      <w:outlineLvl w:val="6"/>
    </w:pPr>
    <w:rPr>
      <w:rFonts w:asciiTheme="minorHAnsi" w:hAnsiTheme="minorHAnsi" w:eastAsiaTheme="minorEastAsia" w:cstheme="minorBidi"/>
      <w:b/>
      <w:bCs/>
      <w:kern w:val="2"/>
      <w:sz w:val="24"/>
      <w:szCs w:val="24"/>
    </w:rPr>
  </w:style>
  <w:style w:type="paragraph" w:styleId="10">
    <w:name w:val="heading 8"/>
    <w:basedOn w:val="1"/>
    <w:next w:val="1"/>
    <w:link w:val="269"/>
    <w:qFormat/>
    <w:uiPriority w:val="0"/>
    <w:pPr>
      <w:keepNext/>
      <w:keepLines/>
      <w:spacing w:before="240" w:after="64" w:line="320" w:lineRule="auto"/>
      <w:outlineLvl w:val="7"/>
    </w:pPr>
    <w:rPr>
      <w:rFonts w:ascii="Arial" w:hAnsi="Arial" w:eastAsia="黑体"/>
      <w:sz w:val="24"/>
      <w:szCs w:val="24"/>
    </w:rPr>
  </w:style>
  <w:style w:type="paragraph" w:styleId="11">
    <w:name w:val="heading 9"/>
    <w:basedOn w:val="1"/>
    <w:next w:val="1"/>
    <w:link w:val="270"/>
    <w:qFormat/>
    <w:uiPriority w:val="0"/>
    <w:pPr>
      <w:keepNext/>
      <w:keepLines/>
      <w:spacing w:before="240" w:after="64" w:line="320" w:lineRule="auto"/>
      <w:outlineLvl w:val="8"/>
    </w:pPr>
    <w:rPr>
      <w:rFonts w:ascii="Arial" w:hAnsi="Arial" w:eastAsia="黑体"/>
      <w:sz w:val="21"/>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2">
    <w:name w:val="Normal Indent"/>
    <w:basedOn w:val="1"/>
    <w:link w:val="61"/>
    <w:qFormat/>
    <w:uiPriority w:val="0"/>
    <w:pPr>
      <w:autoSpaceDE/>
      <w:autoSpaceDN/>
      <w:adjustRightInd/>
      <w:ind w:firstLine="420"/>
      <w:jc w:val="both"/>
    </w:pPr>
    <w:rPr>
      <w:rFonts w:ascii="Times New Roman"/>
      <w:kern w:val="2"/>
      <w:sz w:val="21"/>
      <w:szCs w:val="21"/>
    </w:rPr>
  </w:style>
  <w:style w:type="paragraph" w:styleId="12">
    <w:name w:val="toc 7"/>
    <w:basedOn w:val="1"/>
    <w:next w:val="1"/>
    <w:qFormat/>
    <w:uiPriority w:val="39"/>
    <w:pPr>
      <w:ind w:left="1200"/>
    </w:pPr>
    <w:rPr>
      <w:rFonts w:ascii="Calibri" w:hAnsi="Calibri"/>
      <w:sz w:val="18"/>
      <w:szCs w:val="18"/>
    </w:rPr>
  </w:style>
  <w:style w:type="paragraph" w:styleId="13">
    <w:name w:val="caption"/>
    <w:basedOn w:val="1"/>
    <w:next w:val="1"/>
    <w:link w:val="243"/>
    <w:qFormat/>
    <w:uiPriority w:val="35"/>
    <w:pPr>
      <w:autoSpaceDE/>
      <w:autoSpaceDN/>
      <w:adjustRightInd/>
      <w:spacing w:line="360" w:lineRule="auto"/>
      <w:jc w:val="both"/>
    </w:pPr>
    <w:rPr>
      <w:rFonts w:ascii="Arial" w:hAnsi="Arial" w:eastAsia="黑体"/>
      <w:kern w:val="2"/>
      <w:lang w:val="zh-CN"/>
    </w:rPr>
  </w:style>
  <w:style w:type="paragraph" w:styleId="14">
    <w:name w:val="List Bullet"/>
    <w:basedOn w:val="1"/>
    <w:qFormat/>
    <w:uiPriority w:val="0"/>
    <w:pPr>
      <w:numPr>
        <w:ilvl w:val="0"/>
        <w:numId w:val="1"/>
      </w:numPr>
      <w:tabs>
        <w:tab w:val="left" w:pos="360"/>
      </w:tabs>
      <w:autoSpaceDE/>
      <w:autoSpaceDN/>
      <w:spacing w:line="360" w:lineRule="atLeast"/>
      <w:jc w:val="both"/>
      <w:textAlignment w:val="baseline"/>
    </w:pPr>
    <w:rPr>
      <w:rFonts w:ascii="Arial" w:hAnsi="Arial"/>
      <w:kern w:val="2"/>
      <w:sz w:val="21"/>
      <w:szCs w:val="21"/>
    </w:rPr>
  </w:style>
  <w:style w:type="paragraph" w:styleId="15">
    <w:name w:val="Document Map"/>
    <w:basedOn w:val="1"/>
    <w:link w:val="69"/>
    <w:qFormat/>
    <w:uiPriority w:val="99"/>
    <w:rPr>
      <w:rFonts w:eastAsia="仿宋_GB2312"/>
      <w:kern w:val="2"/>
      <w:sz w:val="18"/>
      <w:szCs w:val="18"/>
    </w:rPr>
  </w:style>
  <w:style w:type="paragraph" w:styleId="16">
    <w:name w:val="toa heading"/>
    <w:basedOn w:val="1"/>
    <w:next w:val="1"/>
    <w:qFormat/>
    <w:uiPriority w:val="0"/>
    <w:pPr>
      <w:autoSpaceDE/>
      <w:autoSpaceDN/>
      <w:adjustRightInd/>
      <w:spacing w:before="120"/>
      <w:jc w:val="both"/>
    </w:pPr>
    <w:rPr>
      <w:rFonts w:ascii="Arial" w:hAnsi="Arial" w:cs="Arial"/>
      <w:kern w:val="2"/>
      <w:sz w:val="24"/>
      <w:szCs w:val="24"/>
    </w:rPr>
  </w:style>
  <w:style w:type="paragraph" w:styleId="17">
    <w:name w:val="annotation text"/>
    <w:basedOn w:val="1"/>
    <w:link w:val="58"/>
    <w:qFormat/>
    <w:uiPriority w:val="0"/>
  </w:style>
  <w:style w:type="paragraph" w:styleId="18">
    <w:name w:val="Body Text 3"/>
    <w:basedOn w:val="1"/>
    <w:link w:val="257"/>
    <w:unhideWhenUsed/>
    <w:qFormat/>
    <w:uiPriority w:val="99"/>
    <w:pPr>
      <w:autoSpaceDE/>
      <w:autoSpaceDN/>
      <w:adjustRightInd/>
      <w:spacing w:after="120" w:line="360" w:lineRule="auto"/>
      <w:ind w:firstLine="200" w:firstLineChars="200"/>
      <w:jc w:val="both"/>
    </w:pPr>
    <w:rPr>
      <w:rFonts w:ascii="Times New Roman" w:eastAsiaTheme="minorEastAsia" w:cstheme="minorBidi"/>
      <w:kern w:val="2"/>
      <w:sz w:val="16"/>
      <w:szCs w:val="16"/>
    </w:rPr>
  </w:style>
  <w:style w:type="paragraph" w:styleId="19">
    <w:name w:val="Body Text"/>
    <w:basedOn w:val="1"/>
    <w:link w:val="201"/>
    <w:qFormat/>
    <w:uiPriority w:val="0"/>
    <w:pPr>
      <w:autoSpaceDE/>
      <w:autoSpaceDN/>
      <w:adjustRightInd/>
      <w:jc w:val="center"/>
    </w:pPr>
    <w:rPr>
      <w:rFonts w:ascii="Times New Roman"/>
      <w:kern w:val="2"/>
      <w:sz w:val="44"/>
      <w:szCs w:val="24"/>
    </w:rPr>
  </w:style>
  <w:style w:type="paragraph" w:styleId="20">
    <w:name w:val="Body Text Indent"/>
    <w:basedOn w:val="1"/>
    <w:link w:val="85"/>
    <w:qFormat/>
    <w:uiPriority w:val="0"/>
    <w:pPr>
      <w:spacing w:after="120"/>
      <w:ind w:left="420" w:leftChars="200"/>
    </w:pPr>
  </w:style>
  <w:style w:type="paragraph" w:styleId="21">
    <w:name w:val="toc 5"/>
    <w:basedOn w:val="1"/>
    <w:next w:val="1"/>
    <w:qFormat/>
    <w:uiPriority w:val="39"/>
    <w:pPr>
      <w:ind w:left="800"/>
    </w:pPr>
    <w:rPr>
      <w:rFonts w:ascii="Calibri" w:hAnsi="Calibri"/>
      <w:sz w:val="18"/>
      <w:szCs w:val="18"/>
    </w:rPr>
  </w:style>
  <w:style w:type="paragraph" w:styleId="22">
    <w:name w:val="toc 3"/>
    <w:basedOn w:val="1"/>
    <w:next w:val="1"/>
    <w:qFormat/>
    <w:uiPriority w:val="39"/>
    <w:pPr>
      <w:ind w:left="400"/>
    </w:pPr>
    <w:rPr>
      <w:rFonts w:ascii="Calibri" w:hAnsi="Calibri"/>
      <w:iCs/>
    </w:rPr>
  </w:style>
  <w:style w:type="paragraph" w:styleId="23">
    <w:name w:val="Plain Text"/>
    <w:basedOn w:val="1"/>
    <w:link w:val="70"/>
    <w:qFormat/>
    <w:uiPriority w:val="0"/>
    <w:pPr>
      <w:autoSpaceDE/>
      <w:autoSpaceDN/>
      <w:adjustRightInd/>
      <w:jc w:val="both"/>
    </w:pPr>
    <w:rPr>
      <w:rFonts w:hAnsi="Courier New" w:eastAsia="仿宋_GB2312" w:cs="Courier New"/>
      <w:kern w:val="2"/>
      <w:sz w:val="21"/>
      <w:szCs w:val="21"/>
    </w:rPr>
  </w:style>
  <w:style w:type="paragraph" w:styleId="24">
    <w:name w:val="toc 8"/>
    <w:basedOn w:val="1"/>
    <w:next w:val="1"/>
    <w:qFormat/>
    <w:uiPriority w:val="39"/>
    <w:pPr>
      <w:ind w:left="1400"/>
    </w:pPr>
    <w:rPr>
      <w:rFonts w:ascii="Calibri" w:hAnsi="Calibri"/>
      <w:sz w:val="18"/>
      <w:szCs w:val="18"/>
    </w:rPr>
  </w:style>
  <w:style w:type="paragraph" w:styleId="25">
    <w:name w:val="Date"/>
    <w:basedOn w:val="1"/>
    <w:next w:val="1"/>
    <w:link w:val="54"/>
    <w:qFormat/>
    <w:uiPriority w:val="0"/>
    <w:pPr>
      <w:autoSpaceDE/>
      <w:autoSpaceDN/>
      <w:adjustRightInd/>
      <w:jc w:val="both"/>
    </w:pPr>
    <w:rPr>
      <w:rFonts w:ascii="仿宋_GB2312" w:eastAsia="仿宋_GB2312"/>
      <w:kern w:val="2"/>
      <w:sz w:val="21"/>
      <w:szCs w:val="24"/>
    </w:rPr>
  </w:style>
  <w:style w:type="paragraph" w:styleId="26">
    <w:name w:val="Body Text Indent 2"/>
    <w:basedOn w:val="1"/>
    <w:qFormat/>
    <w:uiPriority w:val="0"/>
    <w:pPr>
      <w:numPr>
        <w:ilvl w:val="8"/>
        <w:numId w:val="1"/>
      </w:numPr>
      <w:tabs>
        <w:tab w:val="clear" w:pos="0"/>
      </w:tabs>
      <w:autoSpaceDE/>
      <w:autoSpaceDN/>
      <w:adjustRightInd/>
      <w:ind w:firstLine="540"/>
      <w:jc w:val="both"/>
    </w:pPr>
    <w:rPr>
      <w:kern w:val="2"/>
      <w:sz w:val="32"/>
      <w:szCs w:val="24"/>
    </w:rPr>
  </w:style>
  <w:style w:type="paragraph" w:styleId="27">
    <w:name w:val="Balloon Text"/>
    <w:basedOn w:val="1"/>
    <w:link w:val="200"/>
    <w:qFormat/>
    <w:uiPriority w:val="99"/>
    <w:rPr>
      <w:sz w:val="18"/>
      <w:szCs w:val="18"/>
    </w:rPr>
  </w:style>
  <w:style w:type="paragraph" w:styleId="28">
    <w:name w:val="footer"/>
    <w:basedOn w:val="1"/>
    <w:link w:val="67"/>
    <w:qFormat/>
    <w:uiPriority w:val="99"/>
    <w:pPr>
      <w:tabs>
        <w:tab w:val="center" w:pos="4153"/>
        <w:tab w:val="right" w:pos="8306"/>
      </w:tabs>
      <w:snapToGrid w:val="0"/>
    </w:pPr>
    <w:rPr>
      <w:sz w:val="18"/>
      <w:szCs w:val="18"/>
    </w:rPr>
  </w:style>
  <w:style w:type="paragraph" w:styleId="29">
    <w:name w:val="header"/>
    <w:basedOn w:val="1"/>
    <w:link w:val="194"/>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spacing w:before="120" w:after="120"/>
    </w:pPr>
    <w:rPr>
      <w:rFonts w:ascii="Calibri" w:hAnsi="Calibri"/>
      <w:b/>
      <w:bCs/>
      <w:caps/>
    </w:rPr>
  </w:style>
  <w:style w:type="paragraph" w:styleId="31">
    <w:name w:val="toc 4"/>
    <w:basedOn w:val="1"/>
    <w:next w:val="1"/>
    <w:qFormat/>
    <w:uiPriority w:val="39"/>
    <w:pPr>
      <w:ind w:left="600"/>
    </w:pPr>
    <w:rPr>
      <w:rFonts w:ascii="Calibri" w:hAnsi="Calibri"/>
      <w:sz w:val="18"/>
      <w:szCs w:val="18"/>
    </w:rPr>
  </w:style>
  <w:style w:type="paragraph" w:styleId="32">
    <w:name w:val="Subtitle"/>
    <w:basedOn w:val="1"/>
    <w:next w:val="1"/>
    <w:link w:val="244"/>
    <w:qFormat/>
    <w:uiPriority w:val="11"/>
    <w:pPr>
      <w:autoSpaceDE/>
      <w:autoSpaceDN/>
      <w:adjustRightInd/>
      <w:spacing w:after="120" w:line="360" w:lineRule="auto"/>
      <w:jc w:val="center"/>
    </w:pPr>
    <w:rPr>
      <w:rFonts w:ascii="Times New Roman" w:cstheme="majorBidi"/>
      <w:bCs/>
      <w:kern w:val="28"/>
      <w:sz w:val="24"/>
      <w:szCs w:val="32"/>
    </w:rPr>
  </w:style>
  <w:style w:type="paragraph" w:styleId="33">
    <w:name w:val="toc 6"/>
    <w:basedOn w:val="1"/>
    <w:next w:val="1"/>
    <w:qFormat/>
    <w:uiPriority w:val="39"/>
    <w:pPr>
      <w:ind w:left="1000"/>
    </w:pPr>
    <w:rPr>
      <w:rFonts w:ascii="Calibri" w:hAnsi="Calibri"/>
      <w:sz w:val="18"/>
      <w:szCs w:val="18"/>
    </w:rPr>
  </w:style>
  <w:style w:type="paragraph" w:styleId="34">
    <w:name w:val="Body Text Indent 3"/>
    <w:basedOn w:val="1"/>
    <w:link w:val="256"/>
    <w:qFormat/>
    <w:uiPriority w:val="99"/>
    <w:pPr>
      <w:autoSpaceDE/>
      <w:autoSpaceDN/>
      <w:adjustRightInd/>
      <w:spacing w:after="120" w:line="360" w:lineRule="auto"/>
      <w:ind w:left="420" w:leftChars="200"/>
      <w:jc w:val="both"/>
    </w:pPr>
    <w:rPr>
      <w:rFonts w:ascii="Times New Roman"/>
      <w:kern w:val="2"/>
      <w:sz w:val="16"/>
      <w:szCs w:val="16"/>
    </w:rPr>
  </w:style>
  <w:style w:type="paragraph" w:styleId="35">
    <w:name w:val="table of figures"/>
    <w:basedOn w:val="1"/>
    <w:next w:val="1"/>
    <w:semiHidden/>
    <w:unhideWhenUsed/>
    <w:qFormat/>
    <w:uiPriority w:val="99"/>
    <w:pPr>
      <w:autoSpaceDE/>
      <w:autoSpaceDN/>
      <w:adjustRightInd/>
      <w:spacing w:line="360" w:lineRule="auto"/>
      <w:ind w:left="200" w:leftChars="200" w:hanging="200" w:hangingChars="200"/>
      <w:jc w:val="both"/>
    </w:pPr>
    <w:rPr>
      <w:rFonts w:ascii="Times New Roman" w:eastAsiaTheme="minorEastAsia" w:cstheme="minorBidi"/>
      <w:kern w:val="2"/>
      <w:sz w:val="24"/>
      <w:szCs w:val="21"/>
    </w:rPr>
  </w:style>
  <w:style w:type="paragraph" w:styleId="36">
    <w:name w:val="toc 2"/>
    <w:basedOn w:val="1"/>
    <w:next w:val="1"/>
    <w:qFormat/>
    <w:uiPriority w:val="39"/>
    <w:pPr>
      <w:ind w:left="200"/>
    </w:pPr>
    <w:rPr>
      <w:rFonts w:ascii="Calibri" w:hAnsi="Calibri"/>
      <w:smallCaps/>
    </w:rPr>
  </w:style>
  <w:style w:type="paragraph" w:styleId="37">
    <w:name w:val="toc 9"/>
    <w:basedOn w:val="1"/>
    <w:next w:val="1"/>
    <w:qFormat/>
    <w:uiPriority w:val="39"/>
    <w:pPr>
      <w:ind w:left="1600"/>
    </w:pPr>
    <w:rPr>
      <w:rFonts w:ascii="Calibri" w:hAnsi="Calibri"/>
      <w:sz w:val="18"/>
      <w:szCs w:val="18"/>
    </w:rPr>
  </w:style>
  <w:style w:type="paragraph" w:styleId="38">
    <w:name w:val="Normal (Web)"/>
    <w:basedOn w:val="1"/>
    <w:qFormat/>
    <w:uiPriority w:val="99"/>
    <w:pPr>
      <w:widowControl/>
      <w:autoSpaceDE/>
      <w:autoSpaceDN/>
      <w:adjustRightInd/>
      <w:spacing w:before="100" w:beforeAutospacing="1" w:after="100" w:afterAutospacing="1"/>
    </w:pPr>
    <w:rPr>
      <w:rFonts w:ascii="Times New Roman"/>
      <w:sz w:val="24"/>
      <w:szCs w:val="24"/>
    </w:rPr>
  </w:style>
  <w:style w:type="paragraph" w:styleId="39">
    <w:name w:val="Title"/>
    <w:basedOn w:val="1"/>
    <w:next w:val="1"/>
    <w:link w:val="57"/>
    <w:qFormat/>
    <w:uiPriority w:val="10"/>
    <w:pPr>
      <w:autoSpaceDE/>
      <w:autoSpaceDN/>
      <w:adjustRightInd/>
      <w:spacing w:before="240" w:after="60"/>
      <w:jc w:val="center"/>
      <w:outlineLvl w:val="0"/>
    </w:pPr>
    <w:rPr>
      <w:rFonts w:ascii="Cambria" w:hAnsi="Cambria"/>
      <w:b/>
      <w:bCs/>
      <w:sz w:val="32"/>
      <w:szCs w:val="32"/>
    </w:rPr>
  </w:style>
  <w:style w:type="paragraph" w:styleId="40">
    <w:name w:val="annotation subject"/>
    <w:basedOn w:val="17"/>
    <w:next w:val="17"/>
    <w:link w:val="259"/>
    <w:qFormat/>
    <w:uiPriority w:val="99"/>
    <w:rPr>
      <w:b/>
      <w:bCs/>
    </w:rPr>
  </w:style>
  <w:style w:type="table" w:styleId="42">
    <w:name w:val="Table Grid"/>
    <w:basedOn w:val="41"/>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qFormat/>
    <w:uiPriority w:val="22"/>
    <w:rPr>
      <w:rFonts w:ascii="仿宋_GB2312" w:eastAsia="仿宋_GB2312"/>
      <w:bCs/>
      <w:kern w:val="2"/>
      <w:sz w:val="24"/>
      <w:szCs w:val="24"/>
      <w:lang w:val="en-US" w:eastAsia="zh-CN" w:bidi="ar-SA"/>
    </w:rPr>
  </w:style>
  <w:style w:type="character" w:styleId="45">
    <w:name w:val="page number"/>
    <w:basedOn w:val="43"/>
    <w:qFormat/>
    <w:uiPriority w:val="0"/>
  </w:style>
  <w:style w:type="character" w:styleId="46">
    <w:name w:val="FollowedHyperlink"/>
    <w:qFormat/>
    <w:uiPriority w:val="99"/>
    <w:rPr>
      <w:rFonts w:ascii="仿宋_GB2312" w:eastAsia="仿宋_GB2312"/>
      <w:b/>
      <w:color w:val="800080"/>
      <w:kern w:val="2"/>
      <w:sz w:val="24"/>
      <w:szCs w:val="24"/>
      <w:u w:val="single"/>
      <w:lang w:val="en-US" w:eastAsia="zh-CN" w:bidi="ar-SA"/>
    </w:rPr>
  </w:style>
  <w:style w:type="character" w:styleId="47">
    <w:name w:val="Emphasis"/>
    <w:basedOn w:val="43"/>
    <w:qFormat/>
    <w:uiPriority w:val="20"/>
    <w:rPr>
      <w:i/>
    </w:rPr>
  </w:style>
  <w:style w:type="character" w:styleId="48">
    <w:name w:val="Hyperlink"/>
    <w:qFormat/>
    <w:uiPriority w:val="99"/>
    <w:rPr>
      <w:rFonts w:ascii="仿宋_GB2312" w:eastAsia="仿宋_GB2312"/>
      <w:b/>
      <w:color w:val="0000FF"/>
      <w:kern w:val="2"/>
      <w:sz w:val="24"/>
      <w:szCs w:val="24"/>
      <w:u w:val="single"/>
      <w:lang w:val="en-US" w:eastAsia="zh-CN" w:bidi="ar-SA"/>
    </w:rPr>
  </w:style>
  <w:style w:type="character" w:styleId="49">
    <w:name w:val="annotation reference"/>
    <w:qFormat/>
    <w:uiPriority w:val="99"/>
    <w:rPr>
      <w:rFonts w:ascii="仿宋_GB2312" w:eastAsia="仿宋_GB2312"/>
      <w:b/>
      <w:kern w:val="2"/>
      <w:sz w:val="21"/>
      <w:szCs w:val="21"/>
      <w:lang w:val="en-US" w:eastAsia="zh-CN" w:bidi="ar-SA"/>
    </w:rPr>
  </w:style>
  <w:style w:type="character" w:customStyle="1" w:styleId="50">
    <w:name w:val="标题 1 字符"/>
    <w:link w:val="3"/>
    <w:qFormat/>
    <w:uiPriority w:val="9"/>
    <w:rPr>
      <w:b/>
      <w:bCs/>
      <w:kern w:val="44"/>
      <w:sz w:val="44"/>
      <w:szCs w:val="44"/>
    </w:rPr>
  </w:style>
  <w:style w:type="character" w:customStyle="1" w:styleId="51">
    <w:name w:val="标题 2 字符"/>
    <w:link w:val="4"/>
    <w:qFormat/>
    <w:uiPriority w:val="9"/>
    <w:rPr>
      <w:rFonts w:ascii="Arial" w:hAnsi="Arial" w:eastAsia="黑体"/>
      <w:b/>
      <w:bCs/>
      <w:kern w:val="2"/>
      <w:sz w:val="32"/>
      <w:szCs w:val="32"/>
      <w:lang w:val="en-US" w:eastAsia="zh-CN" w:bidi="ar-SA"/>
    </w:rPr>
  </w:style>
  <w:style w:type="character" w:customStyle="1" w:styleId="52">
    <w:name w:val="标题 3 字符"/>
    <w:link w:val="5"/>
    <w:qFormat/>
    <w:uiPriority w:val="9"/>
    <w:rPr>
      <w:b/>
      <w:bCs/>
      <w:kern w:val="2"/>
      <w:sz w:val="32"/>
      <w:szCs w:val="32"/>
    </w:rPr>
  </w:style>
  <w:style w:type="character" w:customStyle="1" w:styleId="53">
    <w:name w:val="标题 4 字符"/>
    <w:link w:val="6"/>
    <w:qFormat/>
    <w:uiPriority w:val="9"/>
    <w:rPr>
      <w:rFonts w:ascii="Arial" w:hAnsi="Arial" w:eastAsia="黑体"/>
      <w:b/>
      <w:bCs/>
      <w:kern w:val="2"/>
      <w:sz w:val="28"/>
      <w:szCs w:val="28"/>
    </w:rPr>
  </w:style>
  <w:style w:type="character" w:customStyle="1" w:styleId="54">
    <w:name w:val="日期 字符"/>
    <w:link w:val="25"/>
    <w:qFormat/>
    <w:uiPriority w:val="0"/>
    <w:rPr>
      <w:rFonts w:ascii="仿宋_GB2312" w:eastAsia="仿宋_GB2312"/>
      <w:kern w:val="2"/>
      <w:sz w:val="21"/>
      <w:szCs w:val="24"/>
      <w:lang w:val="en-US" w:eastAsia="zh-CN" w:bidi="ar-SA"/>
    </w:rPr>
  </w:style>
  <w:style w:type="character" w:customStyle="1" w:styleId="55">
    <w:name w:val="表格标题_"/>
    <w:link w:val="56"/>
    <w:qFormat/>
    <w:uiPriority w:val="0"/>
    <w:rPr>
      <w:rFonts w:ascii="Gulim" w:hAnsi="Gulim" w:eastAsia="Gulim" w:cs="Gulim"/>
      <w:b/>
      <w:kern w:val="2"/>
      <w:sz w:val="15"/>
      <w:szCs w:val="15"/>
      <w:shd w:val="clear" w:color="auto" w:fill="FFFFFF"/>
      <w:lang w:val="en-US" w:eastAsia="en-US" w:bidi="en-US"/>
    </w:rPr>
  </w:style>
  <w:style w:type="paragraph" w:customStyle="1" w:styleId="56">
    <w:name w:val="表格标题"/>
    <w:basedOn w:val="1"/>
    <w:link w:val="55"/>
    <w:qFormat/>
    <w:uiPriority w:val="0"/>
    <w:pPr>
      <w:shd w:val="clear" w:color="auto" w:fill="FFFFFF"/>
      <w:autoSpaceDE/>
      <w:autoSpaceDN/>
      <w:adjustRightInd/>
      <w:spacing w:line="0" w:lineRule="atLeast"/>
    </w:pPr>
    <w:rPr>
      <w:rFonts w:ascii="Gulim" w:hAnsi="Gulim" w:eastAsia="Gulim" w:cs="Gulim"/>
      <w:b/>
      <w:kern w:val="2"/>
      <w:sz w:val="15"/>
      <w:szCs w:val="15"/>
      <w:lang w:eastAsia="en-US" w:bidi="en-US"/>
    </w:rPr>
  </w:style>
  <w:style w:type="character" w:customStyle="1" w:styleId="57">
    <w:name w:val="标题 字符"/>
    <w:link w:val="39"/>
    <w:qFormat/>
    <w:uiPriority w:val="10"/>
    <w:rPr>
      <w:rFonts w:ascii="Cambria" w:hAnsi="Cambria"/>
      <w:b/>
      <w:bCs/>
      <w:sz w:val="32"/>
      <w:szCs w:val="32"/>
    </w:rPr>
  </w:style>
  <w:style w:type="character" w:customStyle="1" w:styleId="58">
    <w:name w:val="批注文字 字符"/>
    <w:link w:val="17"/>
    <w:qFormat/>
    <w:uiPriority w:val="0"/>
    <w:rPr>
      <w:rFonts w:ascii="宋体"/>
    </w:rPr>
  </w:style>
  <w:style w:type="character" w:customStyle="1" w:styleId="59">
    <w:name w:val="正文文本 (2)"/>
    <w:qFormat/>
    <w:uiPriority w:val="0"/>
    <w:rPr>
      <w:rFonts w:ascii="宋体" w:hAnsi="宋体" w:eastAsia="宋体" w:cs="宋体"/>
      <w:b/>
      <w:color w:val="000000"/>
      <w:spacing w:val="0"/>
      <w:w w:val="100"/>
      <w:kern w:val="2"/>
      <w:position w:val="0"/>
      <w:sz w:val="17"/>
      <w:szCs w:val="17"/>
      <w:u w:val="none"/>
      <w:lang w:val="zh-CN" w:eastAsia="zh-CN" w:bidi="zh-CN"/>
    </w:rPr>
  </w:style>
  <w:style w:type="character" w:customStyle="1" w:styleId="60">
    <w:name w:val="apple-style-span"/>
    <w:qFormat/>
    <w:uiPriority w:val="0"/>
  </w:style>
  <w:style w:type="character" w:customStyle="1" w:styleId="61">
    <w:name w:val="正文缩进 字符"/>
    <w:link w:val="2"/>
    <w:qFormat/>
    <w:uiPriority w:val="0"/>
    <w:rPr>
      <w:kern w:val="2"/>
      <w:sz w:val="21"/>
      <w:szCs w:val="21"/>
    </w:rPr>
  </w:style>
  <w:style w:type="character" w:customStyle="1" w:styleId="62">
    <w:name w:val="样式 仿宋_GB2312 小四 加粗 黑色"/>
    <w:qFormat/>
    <w:uiPriority w:val="0"/>
    <w:rPr>
      <w:rFonts w:ascii="仿宋_GB2312" w:eastAsia="仿宋_GB2312"/>
      <w:b/>
      <w:bCs/>
      <w:color w:val="000000"/>
      <w:kern w:val="0"/>
      <w:sz w:val="24"/>
      <w:szCs w:val="24"/>
      <w:lang w:val="en-US" w:eastAsia="zh-CN" w:bidi="ar-SA"/>
    </w:rPr>
  </w:style>
  <w:style w:type="character" w:customStyle="1" w:styleId="63">
    <w:name w:val="标题 2 Char Char Char"/>
    <w:qFormat/>
    <w:uiPriority w:val="0"/>
    <w:rPr>
      <w:rFonts w:ascii="Arial" w:hAnsi="Arial" w:eastAsia="黑体"/>
      <w:b/>
      <w:bCs/>
      <w:kern w:val="2"/>
      <w:sz w:val="32"/>
      <w:szCs w:val="32"/>
      <w:lang w:val="en-US" w:eastAsia="zh-CN" w:bidi="ar-SA"/>
    </w:rPr>
  </w:style>
  <w:style w:type="character" w:customStyle="1" w:styleId="64">
    <w:name w:val="标题 3 Char"/>
    <w:qFormat/>
    <w:uiPriority w:val="0"/>
    <w:rPr>
      <w:rFonts w:ascii="仿宋_GB2312" w:eastAsia="宋体"/>
      <w:b/>
      <w:bCs/>
      <w:kern w:val="2"/>
      <w:sz w:val="32"/>
      <w:szCs w:val="32"/>
      <w:lang w:val="en-US" w:eastAsia="zh-CN" w:bidi="ar-SA"/>
    </w:rPr>
  </w:style>
  <w:style w:type="character" w:customStyle="1" w:styleId="65">
    <w:name w:val="正文文本 (2) + Gulim"/>
    <w:qFormat/>
    <w:uiPriority w:val="0"/>
    <w:rPr>
      <w:rFonts w:ascii="Gulim" w:hAnsi="Gulim" w:eastAsia="Gulim" w:cs="Gulim"/>
      <w:b/>
      <w:color w:val="000000"/>
      <w:spacing w:val="0"/>
      <w:w w:val="100"/>
      <w:kern w:val="2"/>
      <w:position w:val="0"/>
      <w:sz w:val="15"/>
      <w:szCs w:val="15"/>
      <w:u w:val="none"/>
      <w:lang w:val="en-US" w:eastAsia="en-US" w:bidi="en-US"/>
    </w:rPr>
  </w:style>
  <w:style w:type="character" w:customStyle="1" w:styleId="66">
    <w:name w:val="表格标题 + SimSun"/>
    <w:qFormat/>
    <w:uiPriority w:val="0"/>
    <w:rPr>
      <w:rFonts w:ascii="宋体" w:hAnsi="宋体" w:eastAsia="宋体" w:cs="宋体"/>
      <w:b/>
      <w:color w:val="000000"/>
      <w:spacing w:val="0"/>
      <w:w w:val="100"/>
      <w:kern w:val="2"/>
      <w:position w:val="0"/>
      <w:sz w:val="17"/>
      <w:szCs w:val="17"/>
      <w:shd w:val="clear" w:color="auto" w:fill="FFFFFF"/>
      <w:lang w:val="zh-CN" w:eastAsia="zh-CN" w:bidi="zh-CN"/>
    </w:rPr>
  </w:style>
  <w:style w:type="character" w:customStyle="1" w:styleId="67">
    <w:name w:val="页脚 字符"/>
    <w:link w:val="28"/>
    <w:qFormat/>
    <w:uiPriority w:val="99"/>
    <w:rPr>
      <w:rFonts w:ascii="宋体"/>
      <w:sz w:val="18"/>
      <w:szCs w:val="18"/>
    </w:rPr>
  </w:style>
  <w:style w:type="character" w:customStyle="1" w:styleId="68">
    <w:name w:val="news"/>
    <w:qFormat/>
    <w:uiPriority w:val="0"/>
    <w:rPr>
      <w:rFonts w:ascii="仿宋_GB2312" w:eastAsia="仿宋_GB2312"/>
      <w:kern w:val="2"/>
      <w:sz w:val="24"/>
      <w:szCs w:val="24"/>
      <w:lang w:val="en-US" w:eastAsia="zh-CN" w:bidi="ar-SA"/>
    </w:rPr>
  </w:style>
  <w:style w:type="character" w:customStyle="1" w:styleId="69">
    <w:name w:val="文档结构图 字符"/>
    <w:link w:val="15"/>
    <w:qFormat/>
    <w:uiPriority w:val="99"/>
    <w:rPr>
      <w:rFonts w:ascii="宋体" w:eastAsia="仿宋_GB2312"/>
      <w:kern w:val="2"/>
      <w:sz w:val="18"/>
      <w:szCs w:val="18"/>
      <w:lang w:val="en-US" w:eastAsia="zh-CN" w:bidi="ar-SA"/>
    </w:rPr>
  </w:style>
  <w:style w:type="character" w:customStyle="1" w:styleId="70">
    <w:name w:val="纯文本 字符"/>
    <w:link w:val="23"/>
    <w:qFormat/>
    <w:uiPriority w:val="99"/>
    <w:rPr>
      <w:rFonts w:ascii="宋体" w:hAnsi="Courier New" w:eastAsia="仿宋_GB2312" w:cs="Courier New"/>
      <w:kern w:val="2"/>
      <w:sz w:val="21"/>
      <w:szCs w:val="21"/>
      <w:lang w:val="en-US" w:eastAsia="zh-CN" w:bidi="ar-SA"/>
    </w:rPr>
  </w:style>
  <w:style w:type="character" w:customStyle="1" w:styleId="71">
    <w:name w:val="apple-converted-space"/>
    <w:qFormat/>
    <w:uiPriority w:val="0"/>
  </w:style>
  <w:style w:type="character" w:customStyle="1" w:styleId="72">
    <w:name w:val="样式 样式 标题 3 + (中文) 黑体 Char + (中文) 宋体 小四 Char Char Char Char Char Char"/>
    <w:qFormat/>
    <w:uiPriority w:val="0"/>
    <w:rPr>
      <w:rFonts w:ascii="宋体" w:hAnsi="Courier New" w:eastAsia="宋体" w:cs="Courier New"/>
      <w:kern w:val="2"/>
      <w:sz w:val="24"/>
      <w:szCs w:val="21"/>
      <w:lang w:val="en-US" w:eastAsia="zh-CN" w:bidi="ar-SA"/>
    </w:rPr>
  </w:style>
  <w:style w:type="character" w:customStyle="1" w:styleId="73">
    <w:name w:val="标题 Char1"/>
    <w:qFormat/>
    <w:uiPriority w:val="0"/>
    <w:rPr>
      <w:rFonts w:ascii="Cambria" w:hAnsi="Cambria" w:eastAsia="仿宋_GB2312" w:cs="Times New Roman"/>
      <w:b/>
      <w:bCs/>
      <w:kern w:val="2"/>
      <w:sz w:val="32"/>
      <w:szCs w:val="32"/>
      <w:lang w:val="en-US" w:eastAsia="zh-CN" w:bidi="ar-SA"/>
    </w:rPr>
  </w:style>
  <w:style w:type="character" w:customStyle="1" w:styleId="74">
    <w:name w:val="正文文本 (2)_"/>
    <w:qFormat/>
    <w:uiPriority w:val="0"/>
    <w:rPr>
      <w:rFonts w:ascii="宋体" w:hAnsi="宋体" w:eastAsia="宋体" w:cs="宋体"/>
      <w:b/>
      <w:kern w:val="2"/>
      <w:sz w:val="17"/>
      <w:szCs w:val="17"/>
      <w:u w:val="none"/>
      <w:lang w:val="en-US" w:eastAsia="zh-CN" w:bidi="ar-SA"/>
    </w:rPr>
  </w:style>
  <w:style w:type="character" w:customStyle="1" w:styleId="75">
    <w:name w:val="正文文本 (8)_"/>
    <w:link w:val="76"/>
    <w:qFormat/>
    <w:uiPriority w:val="0"/>
    <w:rPr>
      <w:rFonts w:ascii="Gulim" w:hAnsi="Gulim" w:eastAsia="Gulim" w:cs="Gulim"/>
      <w:b/>
      <w:kern w:val="2"/>
      <w:sz w:val="15"/>
      <w:szCs w:val="15"/>
      <w:shd w:val="clear" w:color="auto" w:fill="FFFFFF"/>
      <w:lang w:val="en-US" w:eastAsia="en-US" w:bidi="en-US"/>
    </w:rPr>
  </w:style>
  <w:style w:type="paragraph" w:customStyle="1" w:styleId="76">
    <w:name w:val="正文文本 (8)"/>
    <w:basedOn w:val="1"/>
    <w:link w:val="75"/>
    <w:qFormat/>
    <w:uiPriority w:val="0"/>
    <w:pPr>
      <w:shd w:val="clear" w:color="auto" w:fill="FFFFFF"/>
      <w:autoSpaceDE/>
      <w:autoSpaceDN/>
      <w:adjustRightInd/>
      <w:spacing w:line="0" w:lineRule="atLeast"/>
    </w:pPr>
    <w:rPr>
      <w:rFonts w:ascii="Gulim" w:hAnsi="Gulim" w:eastAsia="Gulim" w:cs="Gulim"/>
      <w:b/>
      <w:kern w:val="2"/>
      <w:sz w:val="15"/>
      <w:szCs w:val="15"/>
      <w:lang w:eastAsia="en-US" w:bidi="en-US"/>
    </w:rPr>
  </w:style>
  <w:style w:type="character" w:customStyle="1" w:styleId="77">
    <w:name w:val="正文文本 (2) + MingLiU"/>
    <w:qFormat/>
    <w:uiPriority w:val="0"/>
    <w:rPr>
      <w:rFonts w:ascii="MingLiU" w:hAnsi="MingLiU" w:eastAsia="MingLiU" w:cs="MingLiU"/>
      <w:b/>
      <w:color w:val="000000"/>
      <w:spacing w:val="-20"/>
      <w:w w:val="150"/>
      <w:kern w:val="2"/>
      <w:position w:val="0"/>
      <w:sz w:val="14"/>
      <w:szCs w:val="14"/>
      <w:u w:val="none"/>
      <w:lang w:val="zh-CN" w:eastAsia="zh-CN" w:bidi="zh-CN"/>
    </w:rPr>
  </w:style>
  <w:style w:type="paragraph" w:customStyle="1" w:styleId="78">
    <w:name w:val="xl75"/>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pPr>
    <w:rPr>
      <w:rFonts w:ascii="Times New Roman"/>
      <w:sz w:val="21"/>
      <w:szCs w:val="21"/>
    </w:rPr>
  </w:style>
  <w:style w:type="paragraph" w:customStyle="1" w:styleId="79">
    <w:name w:val="xl105"/>
    <w:basedOn w:val="1"/>
    <w:qFormat/>
    <w:uiPriority w:val="0"/>
    <w:pPr>
      <w:widowControl/>
      <w:autoSpaceDE/>
      <w:autoSpaceDN/>
      <w:adjustRightInd/>
      <w:spacing w:before="100" w:beforeAutospacing="1" w:after="100" w:afterAutospacing="1"/>
    </w:pPr>
    <w:rPr>
      <w:rFonts w:hAnsi="宋体" w:cs="宋体"/>
    </w:rPr>
  </w:style>
  <w:style w:type="paragraph" w:customStyle="1" w:styleId="80">
    <w:name w:val="xl102"/>
    <w:basedOn w:val="1"/>
    <w:qFormat/>
    <w:uiPriority w:val="0"/>
    <w:pPr>
      <w:widowControl/>
      <w:pBdr>
        <w:top w:val="single" w:color="auto" w:sz="4" w:space="0"/>
        <w:left w:val="single" w:color="auto" w:sz="4" w:space="0"/>
        <w:right w:val="single" w:color="auto" w:sz="4" w:space="0"/>
      </w:pBdr>
      <w:autoSpaceDE/>
      <w:autoSpaceDN/>
      <w:adjustRightInd/>
      <w:spacing w:before="100" w:beforeAutospacing="1" w:after="100" w:afterAutospacing="1"/>
    </w:pPr>
    <w:rPr>
      <w:rFonts w:hAnsi="宋体" w:cs="宋体"/>
      <w:sz w:val="21"/>
      <w:szCs w:val="21"/>
    </w:rPr>
  </w:style>
  <w:style w:type="paragraph" w:customStyle="1" w:styleId="81">
    <w:name w:val="Char Char"/>
    <w:basedOn w:val="1"/>
    <w:qFormat/>
    <w:uiPriority w:val="0"/>
    <w:pPr>
      <w:tabs>
        <w:tab w:val="left" w:pos="360"/>
      </w:tabs>
      <w:autoSpaceDE/>
      <w:autoSpaceDN/>
      <w:adjustRightInd/>
      <w:jc w:val="both"/>
    </w:pPr>
    <w:rPr>
      <w:rFonts w:ascii="Times New Roman"/>
      <w:kern w:val="2"/>
      <w:sz w:val="24"/>
      <w:szCs w:val="24"/>
    </w:rPr>
  </w:style>
  <w:style w:type="paragraph" w:customStyle="1" w:styleId="82">
    <w:name w:val="xl72"/>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hAnsi="宋体" w:cs="宋体"/>
      <w:sz w:val="24"/>
      <w:szCs w:val="24"/>
    </w:rPr>
  </w:style>
  <w:style w:type="paragraph" w:customStyle="1" w:styleId="83">
    <w:name w:val="xl103"/>
    <w:basedOn w:val="1"/>
    <w:qFormat/>
    <w:uiPriority w:val="0"/>
    <w:pPr>
      <w:widowControl/>
      <w:pBdr>
        <w:left w:val="single" w:color="auto" w:sz="4" w:space="0"/>
        <w:bottom w:val="single" w:color="auto" w:sz="4" w:space="0"/>
        <w:right w:val="single" w:color="auto" w:sz="4" w:space="0"/>
      </w:pBdr>
      <w:autoSpaceDE/>
      <w:autoSpaceDN/>
      <w:adjustRightInd/>
      <w:spacing w:before="100" w:beforeAutospacing="1" w:after="100" w:afterAutospacing="1"/>
      <w:jc w:val="center"/>
    </w:pPr>
    <w:rPr>
      <w:rFonts w:hAnsi="宋体" w:cs="宋体"/>
      <w:sz w:val="21"/>
      <w:szCs w:val="21"/>
    </w:rPr>
  </w:style>
  <w:style w:type="paragraph" w:customStyle="1" w:styleId="84">
    <w:name w:val="xl88"/>
    <w:basedOn w:val="1"/>
    <w:qFormat/>
    <w:uiPriority w:val="0"/>
    <w:pPr>
      <w:widowControl/>
      <w:pBdr>
        <w:top w:val="single" w:color="auto" w:sz="4" w:space="0"/>
        <w:bottom w:val="single" w:color="auto" w:sz="4" w:space="0"/>
      </w:pBdr>
      <w:autoSpaceDE/>
      <w:autoSpaceDN/>
      <w:adjustRightInd/>
      <w:spacing w:before="100" w:beforeAutospacing="1" w:after="100" w:afterAutospacing="1"/>
    </w:pPr>
    <w:rPr>
      <w:rFonts w:ascii="Times New Roman"/>
      <w:b/>
      <w:bCs/>
      <w:sz w:val="21"/>
      <w:szCs w:val="21"/>
    </w:rPr>
  </w:style>
  <w:style w:type="character" w:customStyle="1" w:styleId="85">
    <w:name w:val="正文文本缩进 字符"/>
    <w:link w:val="20"/>
    <w:qFormat/>
    <w:uiPriority w:val="0"/>
    <w:rPr>
      <w:rFonts w:ascii="宋体"/>
    </w:rPr>
  </w:style>
  <w:style w:type="paragraph" w:customStyle="1" w:styleId="86">
    <w:name w:val="font10"/>
    <w:basedOn w:val="1"/>
    <w:qFormat/>
    <w:uiPriority w:val="0"/>
    <w:pPr>
      <w:widowControl/>
      <w:autoSpaceDE/>
      <w:autoSpaceDN/>
      <w:adjustRightInd/>
      <w:spacing w:before="100" w:beforeAutospacing="1" w:after="100" w:afterAutospacing="1"/>
    </w:pPr>
    <w:rPr>
      <w:rFonts w:hAnsi="宋体" w:cs="宋体"/>
      <w:color w:val="000000"/>
      <w:sz w:val="22"/>
      <w:szCs w:val="22"/>
    </w:rPr>
  </w:style>
  <w:style w:type="paragraph" w:customStyle="1" w:styleId="87">
    <w:name w:val="font6"/>
    <w:basedOn w:val="1"/>
    <w:qFormat/>
    <w:uiPriority w:val="0"/>
    <w:pPr>
      <w:widowControl/>
      <w:autoSpaceDE/>
      <w:autoSpaceDN/>
      <w:adjustRightInd/>
      <w:spacing w:before="100" w:beforeAutospacing="1" w:after="100" w:afterAutospacing="1"/>
    </w:pPr>
    <w:rPr>
      <w:rFonts w:ascii="Times New Roman"/>
      <w:color w:val="000000"/>
      <w:sz w:val="21"/>
      <w:szCs w:val="21"/>
    </w:rPr>
  </w:style>
  <w:style w:type="paragraph" w:customStyle="1" w:styleId="88">
    <w:name w:val="xl79"/>
    <w:basedOn w:val="1"/>
    <w:qFormat/>
    <w:uiPriority w:val="0"/>
    <w:pPr>
      <w:widowControl/>
      <w:pBdr>
        <w:left w:val="single" w:color="auto" w:sz="4" w:space="0"/>
        <w:bottom w:val="single" w:color="auto" w:sz="4" w:space="0"/>
        <w:right w:val="single" w:color="auto" w:sz="4" w:space="0"/>
      </w:pBdr>
      <w:autoSpaceDE/>
      <w:autoSpaceDN/>
      <w:adjustRightInd/>
      <w:spacing w:before="100" w:beforeAutospacing="1" w:after="100" w:afterAutospacing="1"/>
    </w:pPr>
    <w:rPr>
      <w:rFonts w:ascii="Times New Roman"/>
    </w:rPr>
  </w:style>
  <w:style w:type="paragraph" w:customStyle="1" w:styleId="89">
    <w:name w:val="xl99"/>
    <w:basedOn w:val="1"/>
    <w:qFormat/>
    <w:uiPriority w:val="0"/>
    <w:pPr>
      <w:widowControl/>
      <w:pBdr>
        <w:top w:val="single" w:color="auto" w:sz="4" w:space="0"/>
        <w:bottom w:val="single" w:color="auto" w:sz="4" w:space="0"/>
        <w:right w:val="single" w:color="auto" w:sz="4" w:space="0"/>
      </w:pBdr>
      <w:autoSpaceDE/>
      <w:autoSpaceDN/>
      <w:adjustRightInd/>
      <w:spacing w:before="100" w:beforeAutospacing="1" w:after="100" w:afterAutospacing="1"/>
      <w:jc w:val="center"/>
    </w:pPr>
    <w:rPr>
      <w:rFonts w:hAnsi="宋体" w:cs="宋体"/>
      <w:sz w:val="21"/>
      <w:szCs w:val="21"/>
    </w:rPr>
  </w:style>
  <w:style w:type="paragraph" w:customStyle="1" w:styleId="90">
    <w:name w:val="xl80"/>
    <w:basedOn w:val="1"/>
    <w:qFormat/>
    <w:uiPriority w:val="0"/>
    <w:pPr>
      <w:widowControl/>
      <w:pBdr>
        <w:top w:val="single" w:color="auto" w:sz="4" w:space="0"/>
        <w:left w:val="single" w:color="auto" w:sz="4" w:space="0"/>
        <w:right w:val="single" w:color="auto" w:sz="4" w:space="0"/>
      </w:pBdr>
      <w:autoSpaceDE/>
      <w:autoSpaceDN/>
      <w:adjustRightInd/>
      <w:spacing w:before="100" w:beforeAutospacing="1" w:after="100" w:afterAutospacing="1"/>
    </w:pPr>
    <w:rPr>
      <w:rFonts w:ascii="Times New Roman"/>
    </w:rPr>
  </w:style>
  <w:style w:type="paragraph" w:customStyle="1" w:styleId="91">
    <w:name w:val="xl92"/>
    <w:basedOn w:val="1"/>
    <w:qFormat/>
    <w:uiPriority w:val="0"/>
    <w:pPr>
      <w:widowControl/>
      <w:pBdr>
        <w:top w:val="single" w:color="auto" w:sz="4" w:space="0"/>
        <w:bottom w:val="single" w:color="auto" w:sz="4" w:space="0"/>
        <w:right w:val="single" w:color="auto" w:sz="4" w:space="0"/>
      </w:pBdr>
      <w:autoSpaceDE/>
      <w:autoSpaceDN/>
      <w:adjustRightInd/>
      <w:spacing w:before="100" w:beforeAutospacing="1" w:after="100" w:afterAutospacing="1"/>
    </w:pPr>
    <w:rPr>
      <w:rFonts w:hAnsi="宋体" w:cs="宋体"/>
      <w:b/>
      <w:bCs/>
    </w:rPr>
  </w:style>
  <w:style w:type="paragraph" w:customStyle="1" w:styleId="92">
    <w:name w:val="默认段落字体 Para Char Char Char Char"/>
    <w:basedOn w:val="1"/>
    <w:qFormat/>
    <w:uiPriority w:val="0"/>
    <w:pPr>
      <w:autoSpaceDE/>
      <w:autoSpaceDN/>
      <w:adjustRightInd/>
      <w:jc w:val="both"/>
    </w:pPr>
    <w:rPr>
      <w:rFonts w:ascii="Arial" w:hAnsi="Arial"/>
      <w:snapToGrid w:val="0"/>
      <w:kern w:val="2"/>
      <w:sz w:val="21"/>
      <w:szCs w:val="21"/>
    </w:rPr>
  </w:style>
  <w:style w:type="paragraph" w:customStyle="1" w:styleId="93">
    <w:name w:val="标题8"/>
    <w:basedOn w:val="10"/>
    <w:qFormat/>
    <w:uiPriority w:val="0"/>
    <w:pPr>
      <w:keepNext w:val="0"/>
      <w:keepLines w:val="0"/>
      <w:tabs>
        <w:tab w:val="left" w:pos="0"/>
      </w:tabs>
      <w:autoSpaceDE/>
      <w:autoSpaceDN/>
      <w:adjustRightInd/>
      <w:spacing w:before="0" w:after="0" w:line="360" w:lineRule="auto"/>
      <w:jc w:val="both"/>
    </w:pPr>
    <w:rPr>
      <w:rFonts w:eastAsia="仿宋_GB2312"/>
      <w:kern w:val="2"/>
      <w:sz w:val="30"/>
    </w:rPr>
  </w:style>
  <w:style w:type="paragraph" w:customStyle="1" w:styleId="94">
    <w:name w:val="标题3"/>
    <w:basedOn w:val="5"/>
    <w:qFormat/>
    <w:uiPriority w:val="0"/>
    <w:pPr>
      <w:keepNext w:val="0"/>
      <w:keepLines w:val="0"/>
      <w:tabs>
        <w:tab w:val="left" w:pos="0"/>
      </w:tabs>
      <w:spacing w:before="0" w:after="0" w:line="360" w:lineRule="auto"/>
    </w:pPr>
    <w:rPr>
      <w:rFonts w:eastAsia="仿宋_GB2312"/>
      <w:b w:val="0"/>
      <w:sz w:val="30"/>
    </w:rPr>
  </w:style>
  <w:style w:type="paragraph" w:customStyle="1" w:styleId="95">
    <w:name w:val="Char"/>
    <w:basedOn w:val="1"/>
    <w:qFormat/>
    <w:uiPriority w:val="0"/>
    <w:pPr>
      <w:tabs>
        <w:tab w:val="left" w:pos="360"/>
      </w:tabs>
      <w:autoSpaceDE/>
      <w:autoSpaceDN/>
      <w:adjustRightInd/>
      <w:jc w:val="both"/>
    </w:pPr>
    <w:rPr>
      <w:rFonts w:ascii="仿宋_GB2312" w:eastAsia="仿宋_GB2312"/>
      <w:b/>
      <w:kern w:val="2"/>
      <w:sz w:val="24"/>
      <w:szCs w:val="24"/>
    </w:rPr>
  </w:style>
  <w:style w:type="paragraph" w:styleId="96">
    <w:name w:val="List Paragraph"/>
    <w:basedOn w:val="1"/>
    <w:link w:val="186"/>
    <w:qFormat/>
    <w:uiPriority w:val="34"/>
    <w:pPr>
      <w:autoSpaceDE/>
      <w:autoSpaceDN/>
      <w:adjustRightInd/>
      <w:ind w:firstLine="420" w:firstLineChars="200"/>
      <w:jc w:val="both"/>
    </w:pPr>
    <w:rPr>
      <w:rFonts w:ascii="Times New Roman"/>
      <w:kern w:val="2"/>
      <w:sz w:val="21"/>
      <w:szCs w:val="24"/>
    </w:rPr>
  </w:style>
  <w:style w:type="paragraph" w:customStyle="1" w:styleId="97">
    <w:name w:val="样式 样式 标题1 + 行距: 单倍行距 + 段前: 7.8 磅 段后: 7.8 磅"/>
    <w:basedOn w:val="1"/>
    <w:qFormat/>
    <w:uiPriority w:val="0"/>
    <w:pPr>
      <w:keepNext/>
      <w:keepLines/>
      <w:tabs>
        <w:tab w:val="left" w:pos="0"/>
      </w:tabs>
      <w:autoSpaceDE/>
      <w:autoSpaceDN/>
      <w:adjustRightInd/>
      <w:spacing w:before="156" w:after="156" w:line="360" w:lineRule="auto"/>
      <w:ind w:firstLine="288"/>
      <w:jc w:val="center"/>
      <w:outlineLvl w:val="0"/>
    </w:pPr>
    <w:rPr>
      <w:rFonts w:ascii="Arial" w:hAnsi="Arial" w:eastAsia="仿宋_GB2312"/>
      <w:kern w:val="44"/>
      <w:sz w:val="30"/>
    </w:rPr>
  </w:style>
  <w:style w:type="paragraph" w:customStyle="1" w:styleId="98">
    <w:name w:val="标题5"/>
    <w:basedOn w:val="7"/>
    <w:qFormat/>
    <w:uiPriority w:val="0"/>
    <w:pPr>
      <w:keepNext w:val="0"/>
      <w:keepLines w:val="0"/>
      <w:tabs>
        <w:tab w:val="left" w:pos="0"/>
      </w:tabs>
      <w:autoSpaceDE/>
      <w:autoSpaceDN/>
      <w:adjustRightInd/>
      <w:spacing w:before="0" w:after="0" w:line="360" w:lineRule="auto"/>
      <w:jc w:val="both"/>
    </w:pPr>
    <w:rPr>
      <w:rFonts w:ascii="Times New Roman" w:eastAsia="仿宋_GB2312"/>
      <w:b w:val="0"/>
      <w:kern w:val="2"/>
      <w:sz w:val="30"/>
      <w:szCs w:val="30"/>
    </w:rPr>
  </w:style>
  <w:style w:type="paragraph" w:customStyle="1" w:styleId="99">
    <w:name w:val="Char1"/>
    <w:basedOn w:val="1"/>
    <w:qFormat/>
    <w:uiPriority w:val="0"/>
    <w:pPr>
      <w:tabs>
        <w:tab w:val="left" w:pos="840"/>
      </w:tabs>
      <w:autoSpaceDE/>
      <w:autoSpaceDN/>
      <w:adjustRightInd/>
      <w:ind w:left="840" w:hanging="420"/>
      <w:jc w:val="both"/>
    </w:pPr>
    <w:rPr>
      <w:rFonts w:ascii="Times New Roman"/>
      <w:kern w:val="2"/>
      <w:sz w:val="24"/>
      <w:szCs w:val="24"/>
    </w:rPr>
  </w:style>
  <w:style w:type="paragraph" w:customStyle="1" w:styleId="100">
    <w:name w:val="正文2"/>
    <w:basedOn w:val="1"/>
    <w:qFormat/>
    <w:uiPriority w:val="0"/>
    <w:pPr>
      <w:widowControl/>
      <w:autoSpaceDE/>
      <w:autoSpaceDN/>
      <w:adjustRightInd/>
      <w:spacing w:after="160" w:line="360" w:lineRule="auto"/>
      <w:ind w:firstLine="200" w:firstLineChars="200"/>
    </w:pPr>
    <w:rPr>
      <w:rFonts w:ascii="Verdana" w:hAnsi="Verdana" w:eastAsia="黑体"/>
      <w:sz w:val="21"/>
      <w:lang w:eastAsia="en-US"/>
    </w:rPr>
  </w:style>
  <w:style w:type="paragraph" w:customStyle="1" w:styleId="101">
    <w:name w:val="标题6"/>
    <w:basedOn w:val="8"/>
    <w:qFormat/>
    <w:uiPriority w:val="0"/>
    <w:pPr>
      <w:keepNext w:val="0"/>
      <w:keepLines w:val="0"/>
      <w:tabs>
        <w:tab w:val="left" w:pos="0"/>
      </w:tabs>
      <w:autoSpaceDE/>
      <w:autoSpaceDN/>
      <w:adjustRightInd/>
      <w:spacing w:before="0" w:after="0" w:line="360" w:lineRule="auto"/>
      <w:jc w:val="both"/>
    </w:pPr>
    <w:rPr>
      <w:rFonts w:eastAsia="仿宋_GB2312"/>
      <w:b w:val="0"/>
      <w:kern w:val="2"/>
      <w:sz w:val="30"/>
    </w:rPr>
  </w:style>
  <w:style w:type="paragraph" w:customStyle="1" w:styleId="102">
    <w:name w:val="标题2"/>
    <w:basedOn w:val="4"/>
    <w:qFormat/>
    <w:uiPriority w:val="0"/>
    <w:pPr>
      <w:keepNext w:val="0"/>
      <w:keepLines w:val="0"/>
      <w:tabs>
        <w:tab w:val="left" w:pos="0"/>
      </w:tabs>
      <w:spacing w:before="0" w:after="0" w:line="360" w:lineRule="auto"/>
    </w:pPr>
    <w:rPr>
      <w:rFonts w:eastAsia="仿宋_GB2312"/>
      <w:b w:val="0"/>
      <w:sz w:val="30"/>
    </w:rPr>
  </w:style>
  <w:style w:type="paragraph" w:customStyle="1" w:styleId="103">
    <w:name w:val="Char Char Char Char"/>
    <w:basedOn w:val="15"/>
    <w:qFormat/>
    <w:uiPriority w:val="0"/>
    <w:pPr>
      <w:shd w:val="clear" w:color="auto" w:fill="000080"/>
      <w:autoSpaceDE/>
      <w:autoSpaceDN/>
      <w:snapToGrid w:val="0"/>
      <w:spacing w:line="360" w:lineRule="auto"/>
      <w:jc w:val="both"/>
    </w:pPr>
    <w:rPr>
      <w:rFonts w:ascii="Tahoma" w:hAnsi="Tahoma"/>
      <w:sz w:val="24"/>
      <w:szCs w:val="24"/>
    </w:rPr>
  </w:style>
  <w:style w:type="paragraph" w:customStyle="1" w:styleId="104">
    <w:name w:val="标题9"/>
    <w:basedOn w:val="11"/>
    <w:qFormat/>
    <w:uiPriority w:val="0"/>
    <w:pPr>
      <w:keepNext w:val="0"/>
      <w:keepLines w:val="0"/>
      <w:tabs>
        <w:tab w:val="left" w:pos="0"/>
      </w:tabs>
      <w:autoSpaceDE/>
      <w:autoSpaceDN/>
      <w:adjustRightInd/>
      <w:spacing w:before="0" w:after="0" w:line="360" w:lineRule="auto"/>
      <w:jc w:val="both"/>
    </w:pPr>
    <w:rPr>
      <w:rFonts w:eastAsia="仿宋_GB2312"/>
      <w:kern w:val="2"/>
      <w:sz w:val="30"/>
    </w:rPr>
  </w:style>
  <w:style w:type="paragraph" w:customStyle="1" w:styleId="105">
    <w:name w:val="标题4"/>
    <w:basedOn w:val="6"/>
    <w:qFormat/>
    <w:uiPriority w:val="0"/>
    <w:pPr>
      <w:keepNext w:val="0"/>
      <w:keepLines w:val="0"/>
      <w:tabs>
        <w:tab w:val="left" w:pos="0"/>
      </w:tabs>
      <w:spacing w:before="0" w:after="0" w:line="360" w:lineRule="auto"/>
    </w:pPr>
    <w:rPr>
      <w:rFonts w:eastAsia="仿宋_GB2312"/>
      <w:b w:val="0"/>
      <w:sz w:val="30"/>
      <w:szCs w:val="30"/>
    </w:rPr>
  </w:style>
  <w:style w:type="paragraph" w:customStyle="1" w:styleId="106">
    <w:name w:val="font7"/>
    <w:basedOn w:val="1"/>
    <w:qFormat/>
    <w:uiPriority w:val="0"/>
    <w:pPr>
      <w:widowControl/>
      <w:autoSpaceDE/>
      <w:autoSpaceDN/>
      <w:adjustRightInd/>
      <w:spacing w:before="100" w:beforeAutospacing="1" w:after="100" w:afterAutospacing="1"/>
    </w:pPr>
    <w:rPr>
      <w:rFonts w:ascii="Times New Roman"/>
      <w:b/>
      <w:bCs/>
      <w:color w:val="000000"/>
      <w:sz w:val="21"/>
      <w:szCs w:val="21"/>
    </w:rPr>
  </w:style>
  <w:style w:type="paragraph" w:customStyle="1" w:styleId="107">
    <w:name w:val="xl109"/>
    <w:basedOn w:val="1"/>
    <w:qFormat/>
    <w:uiPriority w:val="0"/>
    <w:pPr>
      <w:widowControl/>
      <w:pBdr>
        <w:top w:val="single" w:color="auto" w:sz="4" w:space="0"/>
        <w:bottom w:val="single" w:color="auto" w:sz="4" w:space="0"/>
      </w:pBdr>
      <w:shd w:val="clear" w:color="000000" w:fill="FFFFFF"/>
      <w:autoSpaceDE/>
      <w:autoSpaceDN/>
      <w:adjustRightInd/>
      <w:spacing w:before="100" w:beforeAutospacing="1" w:after="100" w:afterAutospacing="1"/>
      <w:jc w:val="center"/>
    </w:pPr>
    <w:rPr>
      <w:rFonts w:hAnsi="宋体" w:cs="宋体"/>
    </w:rPr>
  </w:style>
  <w:style w:type="paragraph" w:customStyle="1" w:styleId="108">
    <w:name w:val="xl71"/>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pPr>
    <w:rPr>
      <w:rFonts w:ascii="Times New Roman"/>
      <w:sz w:val="24"/>
      <w:szCs w:val="24"/>
    </w:rPr>
  </w:style>
  <w:style w:type="paragraph" w:customStyle="1" w:styleId="109">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110">
    <w:name w:val="Char Char Char"/>
    <w:basedOn w:val="1"/>
    <w:qFormat/>
    <w:uiPriority w:val="0"/>
    <w:pPr>
      <w:autoSpaceDE/>
      <w:autoSpaceDN/>
      <w:adjustRightInd/>
      <w:jc w:val="both"/>
    </w:pPr>
    <w:rPr>
      <w:rFonts w:ascii="Times New Roman"/>
      <w:kern w:val="2"/>
      <w:sz w:val="21"/>
      <w:szCs w:val="24"/>
    </w:rPr>
  </w:style>
  <w:style w:type="paragraph" w:customStyle="1" w:styleId="111">
    <w:name w:val="xl85"/>
    <w:basedOn w:val="1"/>
    <w:qFormat/>
    <w:uiPriority w:val="0"/>
    <w:pPr>
      <w:widowControl/>
      <w:pBdr>
        <w:top w:val="single" w:color="auto" w:sz="4" w:space="0"/>
        <w:bottom w:val="single" w:color="auto" w:sz="4" w:space="0"/>
      </w:pBdr>
      <w:autoSpaceDE/>
      <w:autoSpaceDN/>
      <w:adjustRightInd/>
      <w:spacing w:before="100" w:beforeAutospacing="1" w:after="100" w:afterAutospacing="1"/>
    </w:pPr>
    <w:rPr>
      <w:rFonts w:hAnsi="宋体" w:cs="宋体"/>
      <w:b/>
      <w:bCs/>
      <w:sz w:val="21"/>
      <w:szCs w:val="21"/>
    </w:rPr>
  </w:style>
  <w:style w:type="paragraph" w:customStyle="1" w:styleId="112">
    <w:name w:val="正文缩进1"/>
    <w:basedOn w:val="1"/>
    <w:qFormat/>
    <w:uiPriority w:val="0"/>
    <w:pPr>
      <w:autoSpaceDE/>
      <w:autoSpaceDN/>
      <w:spacing w:line="360" w:lineRule="atLeast"/>
      <w:ind w:firstLine="482"/>
      <w:jc w:val="both"/>
      <w:textAlignment w:val="baseline"/>
    </w:pPr>
    <w:rPr>
      <w:rFonts w:ascii="Times New Roman"/>
      <w:sz w:val="24"/>
      <w:szCs w:val="24"/>
    </w:rPr>
  </w:style>
  <w:style w:type="paragraph" w:customStyle="1" w:styleId="113">
    <w:name w:val="font9"/>
    <w:basedOn w:val="1"/>
    <w:qFormat/>
    <w:uiPriority w:val="0"/>
    <w:pPr>
      <w:widowControl/>
      <w:autoSpaceDE/>
      <w:autoSpaceDN/>
      <w:adjustRightInd/>
      <w:spacing w:before="100" w:beforeAutospacing="1" w:after="100" w:afterAutospacing="1"/>
    </w:pPr>
    <w:rPr>
      <w:rFonts w:hAnsi="宋体" w:cs="宋体"/>
      <w:color w:val="000000"/>
      <w:sz w:val="21"/>
      <w:szCs w:val="21"/>
    </w:rPr>
  </w:style>
  <w:style w:type="paragraph" w:customStyle="1" w:styleId="114">
    <w:name w:val="xl111"/>
    <w:basedOn w:val="1"/>
    <w:qFormat/>
    <w:uiPriority w:val="0"/>
    <w:pPr>
      <w:widowControl/>
      <w:pBdr>
        <w:top w:val="single" w:color="auto" w:sz="4" w:space="0"/>
        <w:right w:val="single" w:color="auto" w:sz="4" w:space="0"/>
      </w:pBdr>
      <w:autoSpaceDE/>
      <w:autoSpaceDN/>
      <w:adjustRightInd/>
      <w:spacing w:before="100" w:beforeAutospacing="1" w:after="100" w:afterAutospacing="1"/>
    </w:pPr>
    <w:rPr>
      <w:rFonts w:hAnsi="宋体" w:cs="宋体"/>
      <w:b/>
      <w:bCs/>
      <w:sz w:val="21"/>
      <w:szCs w:val="21"/>
    </w:rPr>
  </w:style>
  <w:style w:type="paragraph" w:customStyle="1" w:styleId="115">
    <w:name w:val="列出段落1"/>
    <w:basedOn w:val="1"/>
    <w:qFormat/>
    <w:uiPriority w:val="34"/>
    <w:pPr>
      <w:autoSpaceDE/>
      <w:autoSpaceDN/>
      <w:adjustRightInd/>
      <w:ind w:firstLine="420" w:firstLineChars="200"/>
      <w:jc w:val="both"/>
    </w:pPr>
    <w:rPr>
      <w:rFonts w:ascii="Calibri" w:hAnsi="Calibri"/>
      <w:kern w:val="2"/>
      <w:sz w:val="21"/>
      <w:szCs w:val="22"/>
    </w:rPr>
  </w:style>
  <w:style w:type="paragraph" w:customStyle="1" w:styleId="116">
    <w:name w:val="_Style 53"/>
    <w:next w:val="1"/>
    <w:qFormat/>
    <w:uiPriority w:val="99"/>
    <w:pPr>
      <w:widowControl w:val="0"/>
      <w:autoSpaceDE w:val="0"/>
      <w:autoSpaceDN w:val="0"/>
      <w:adjustRightInd w:val="0"/>
    </w:pPr>
    <w:rPr>
      <w:rFonts w:ascii="宋体" w:hAnsi="Times New Roman" w:eastAsia="宋体" w:cs="Times New Roman"/>
      <w:lang w:val="en-US" w:eastAsia="zh-CN" w:bidi="ar-SA"/>
    </w:rPr>
  </w:style>
  <w:style w:type="paragraph" w:customStyle="1" w:styleId="117">
    <w:name w:val="xl73"/>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ascii="Times New Roman"/>
    </w:rPr>
  </w:style>
  <w:style w:type="paragraph" w:customStyle="1" w:styleId="118">
    <w:name w:val="TOC 标题1"/>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119">
    <w:name w:val="font11"/>
    <w:basedOn w:val="1"/>
    <w:qFormat/>
    <w:uiPriority w:val="0"/>
    <w:pPr>
      <w:widowControl/>
      <w:autoSpaceDE/>
      <w:autoSpaceDN/>
      <w:adjustRightInd/>
      <w:spacing w:before="100" w:beforeAutospacing="1" w:after="100" w:afterAutospacing="1"/>
    </w:pPr>
    <w:rPr>
      <w:rFonts w:hAnsi="宋体" w:cs="宋体"/>
      <w:color w:val="000000"/>
      <w:sz w:val="18"/>
      <w:szCs w:val="18"/>
    </w:rPr>
  </w:style>
  <w:style w:type="paragraph" w:customStyle="1" w:styleId="120">
    <w:name w:val="font12"/>
    <w:basedOn w:val="1"/>
    <w:qFormat/>
    <w:uiPriority w:val="0"/>
    <w:pPr>
      <w:widowControl/>
      <w:autoSpaceDE/>
      <w:autoSpaceDN/>
      <w:adjustRightInd/>
      <w:spacing w:before="100" w:beforeAutospacing="1" w:after="100" w:afterAutospacing="1"/>
    </w:pPr>
    <w:rPr>
      <w:rFonts w:hAnsi="宋体" w:cs="宋体"/>
      <w:color w:val="000000"/>
    </w:rPr>
  </w:style>
  <w:style w:type="paragraph" w:customStyle="1" w:styleId="121">
    <w:name w:val="xl91"/>
    <w:basedOn w:val="1"/>
    <w:qFormat/>
    <w:uiPriority w:val="0"/>
    <w:pPr>
      <w:widowControl/>
      <w:pBdr>
        <w:top w:val="single" w:color="auto" w:sz="4" w:space="0"/>
        <w:bottom w:val="single" w:color="auto" w:sz="4" w:space="0"/>
      </w:pBdr>
      <w:autoSpaceDE/>
      <w:autoSpaceDN/>
      <w:adjustRightInd/>
      <w:spacing w:before="100" w:beforeAutospacing="1" w:after="100" w:afterAutospacing="1"/>
    </w:pPr>
    <w:rPr>
      <w:rFonts w:hAnsi="宋体" w:cs="宋体"/>
      <w:b/>
      <w:bCs/>
    </w:rPr>
  </w:style>
  <w:style w:type="paragraph" w:customStyle="1" w:styleId="122">
    <w:name w:val="xl106"/>
    <w:basedOn w:val="1"/>
    <w:qFormat/>
    <w:uiPriority w:val="0"/>
    <w:pPr>
      <w:widowControl/>
      <w:pBdr>
        <w:top w:val="single" w:color="auto" w:sz="4" w:space="0"/>
      </w:pBdr>
      <w:autoSpaceDE/>
      <w:autoSpaceDN/>
      <w:adjustRightInd/>
      <w:spacing w:before="100" w:beforeAutospacing="1" w:after="100" w:afterAutospacing="1"/>
    </w:pPr>
    <w:rPr>
      <w:rFonts w:hAnsi="宋体" w:cs="宋体"/>
      <w:b/>
      <w:bCs/>
      <w:sz w:val="21"/>
      <w:szCs w:val="21"/>
    </w:rPr>
  </w:style>
  <w:style w:type="paragraph" w:customStyle="1" w:styleId="123">
    <w:name w:val="xl107"/>
    <w:basedOn w:val="1"/>
    <w:qFormat/>
    <w:uiPriority w:val="0"/>
    <w:pPr>
      <w:widowControl/>
      <w:pBdr>
        <w:bottom w:val="single" w:color="auto" w:sz="4" w:space="0"/>
      </w:pBdr>
      <w:autoSpaceDE/>
      <w:autoSpaceDN/>
      <w:adjustRightInd/>
      <w:spacing w:before="100" w:beforeAutospacing="1" w:after="100" w:afterAutospacing="1"/>
    </w:pPr>
    <w:rPr>
      <w:rFonts w:hAnsi="宋体" w:cs="宋体"/>
      <w:b/>
      <w:bCs/>
      <w:sz w:val="21"/>
      <w:szCs w:val="21"/>
    </w:rPr>
  </w:style>
  <w:style w:type="paragraph" w:customStyle="1" w:styleId="124">
    <w:name w:val="xl87"/>
    <w:basedOn w:val="1"/>
    <w:qFormat/>
    <w:uiPriority w:val="0"/>
    <w:pPr>
      <w:widowControl/>
      <w:pBdr>
        <w:top w:val="single" w:color="auto" w:sz="4" w:space="0"/>
        <w:left w:val="single" w:color="auto" w:sz="4" w:space="0"/>
        <w:bottom w:val="single" w:color="auto" w:sz="4" w:space="0"/>
      </w:pBdr>
      <w:autoSpaceDE/>
      <w:autoSpaceDN/>
      <w:adjustRightInd/>
      <w:spacing w:before="100" w:beforeAutospacing="1" w:after="100" w:afterAutospacing="1"/>
    </w:pPr>
    <w:rPr>
      <w:rFonts w:ascii="Times New Roman"/>
      <w:b/>
      <w:bCs/>
      <w:sz w:val="21"/>
      <w:szCs w:val="21"/>
    </w:rPr>
  </w:style>
  <w:style w:type="paragraph" w:customStyle="1" w:styleId="125">
    <w:name w:val="xl66"/>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hAnsi="宋体" w:cs="宋体"/>
      <w:sz w:val="21"/>
      <w:szCs w:val="21"/>
    </w:rPr>
  </w:style>
  <w:style w:type="paragraph" w:customStyle="1" w:styleId="126">
    <w:name w:val="font13"/>
    <w:basedOn w:val="1"/>
    <w:qFormat/>
    <w:uiPriority w:val="0"/>
    <w:pPr>
      <w:widowControl/>
      <w:autoSpaceDE/>
      <w:autoSpaceDN/>
      <w:adjustRightInd/>
      <w:spacing w:before="100" w:beforeAutospacing="1" w:after="100" w:afterAutospacing="1"/>
    </w:pPr>
    <w:rPr>
      <w:rFonts w:hAnsi="宋体" w:cs="宋体"/>
      <w:sz w:val="18"/>
      <w:szCs w:val="18"/>
    </w:rPr>
  </w:style>
  <w:style w:type="paragraph" w:customStyle="1" w:styleId="127">
    <w:name w:val="xl68"/>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both"/>
    </w:pPr>
    <w:rPr>
      <w:rFonts w:hAnsi="宋体" w:cs="宋体"/>
      <w:sz w:val="21"/>
      <w:szCs w:val="21"/>
    </w:rPr>
  </w:style>
  <w:style w:type="paragraph" w:customStyle="1" w:styleId="128">
    <w:name w:val="xl86"/>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hAnsi="宋体" w:cs="宋体"/>
      <w:b/>
      <w:bCs/>
      <w:sz w:val="21"/>
      <w:szCs w:val="21"/>
    </w:rPr>
  </w:style>
  <w:style w:type="paragraph" w:customStyle="1" w:styleId="129">
    <w:name w:val="xl65"/>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pPr>
    <w:rPr>
      <w:rFonts w:hAnsi="宋体" w:cs="宋体"/>
      <w:b/>
      <w:bCs/>
      <w:sz w:val="21"/>
      <w:szCs w:val="21"/>
    </w:rPr>
  </w:style>
  <w:style w:type="paragraph" w:customStyle="1" w:styleId="130">
    <w:name w:val="font14"/>
    <w:basedOn w:val="1"/>
    <w:qFormat/>
    <w:uiPriority w:val="0"/>
    <w:pPr>
      <w:widowControl/>
      <w:autoSpaceDE/>
      <w:autoSpaceDN/>
      <w:adjustRightInd/>
      <w:spacing w:before="100" w:beforeAutospacing="1" w:after="100" w:afterAutospacing="1"/>
    </w:pPr>
    <w:rPr>
      <w:rFonts w:hAnsi="宋体" w:cs="宋体"/>
      <w:color w:val="000000"/>
      <w:sz w:val="21"/>
      <w:szCs w:val="21"/>
    </w:rPr>
  </w:style>
  <w:style w:type="paragraph" w:customStyle="1" w:styleId="131">
    <w:name w:val="font8"/>
    <w:basedOn w:val="1"/>
    <w:qFormat/>
    <w:uiPriority w:val="0"/>
    <w:pPr>
      <w:widowControl/>
      <w:autoSpaceDE/>
      <w:autoSpaceDN/>
      <w:adjustRightInd/>
      <w:spacing w:before="100" w:beforeAutospacing="1" w:after="100" w:afterAutospacing="1"/>
    </w:pPr>
    <w:rPr>
      <w:rFonts w:hAnsi="宋体" w:cs="宋体"/>
      <w:b/>
      <w:bCs/>
      <w:color w:val="000000"/>
      <w:sz w:val="21"/>
      <w:szCs w:val="21"/>
    </w:rPr>
  </w:style>
  <w:style w:type="paragraph" w:customStyle="1" w:styleId="132">
    <w:name w:val="xl77"/>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pPr>
    <w:rPr>
      <w:rFonts w:hAnsi="宋体" w:cs="宋体"/>
    </w:rPr>
  </w:style>
  <w:style w:type="paragraph" w:customStyle="1" w:styleId="133">
    <w:name w:val="xl108"/>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both"/>
    </w:pPr>
    <w:rPr>
      <w:rFonts w:hAnsi="宋体" w:cs="宋体"/>
    </w:rPr>
  </w:style>
  <w:style w:type="paragraph" w:customStyle="1" w:styleId="134">
    <w:name w:val="xl89"/>
    <w:basedOn w:val="1"/>
    <w:qFormat/>
    <w:uiPriority w:val="0"/>
    <w:pPr>
      <w:widowControl/>
      <w:pBdr>
        <w:top w:val="single" w:color="auto" w:sz="4" w:space="0"/>
        <w:bottom w:val="single" w:color="auto" w:sz="4" w:space="0"/>
        <w:right w:val="single" w:color="auto" w:sz="4" w:space="0"/>
      </w:pBdr>
      <w:autoSpaceDE/>
      <w:autoSpaceDN/>
      <w:adjustRightInd/>
      <w:spacing w:before="100" w:beforeAutospacing="1" w:after="100" w:afterAutospacing="1"/>
    </w:pPr>
    <w:rPr>
      <w:rFonts w:ascii="Times New Roman"/>
      <w:b/>
      <w:bCs/>
      <w:sz w:val="21"/>
      <w:szCs w:val="21"/>
    </w:rPr>
  </w:style>
  <w:style w:type="paragraph" w:customStyle="1" w:styleId="135">
    <w:name w:val="xl93"/>
    <w:basedOn w:val="1"/>
    <w:qFormat/>
    <w:uiPriority w:val="0"/>
    <w:pPr>
      <w:widowControl/>
      <w:pBdr>
        <w:top w:val="single" w:color="auto" w:sz="4" w:space="0"/>
        <w:left w:val="single" w:color="auto" w:sz="4" w:space="0"/>
        <w:right w:val="single" w:color="auto" w:sz="4" w:space="0"/>
      </w:pBdr>
      <w:autoSpaceDE/>
      <w:autoSpaceDN/>
      <w:adjustRightInd/>
      <w:spacing w:before="100" w:beforeAutospacing="1" w:after="100" w:afterAutospacing="1"/>
      <w:jc w:val="center"/>
    </w:pPr>
    <w:rPr>
      <w:rFonts w:ascii="Times New Roman"/>
      <w:sz w:val="21"/>
      <w:szCs w:val="21"/>
    </w:rPr>
  </w:style>
  <w:style w:type="paragraph" w:customStyle="1" w:styleId="136">
    <w:name w:val="正文宋体4"/>
    <w:basedOn w:val="1"/>
    <w:qFormat/>
    <w:uiPriority w:val="0"/>
    <w:pPr>
      <w:tabs>
        <w:tab w:val="left" w:pos="0"/>
      </w:tabs>
      <w:autoSpaceDE/>
      <w:autoSpaceDN/>
      <w:adjustRightInd/>
      <w:ind w:firstLine="359" w:firstLineChars="149"/>
      <w:jc w:val="both"/>
    </w:pPr>
    <w:rPr>
      <w:rFonts w:ascii="仿宋_GB2312" w:eastAsia="仿宋_GB2312"/>
      <w:b/>
      <w:color w:val="000000"/>
      <w:kern w:val="2"/>
      <w:sz w:val="24"/>
      <w:szCs w:val="24"/>
    </w:rPr>
  </w:style>
  <w:style w:type="paragraph" w:customStyle="1" w:styleId="137">
    <w:name w:val="xl95"/>
    <w:basedOn w:val="1"/>
    <w:qFormat/>
    <w:uiPriority w:val="0"/>
    <w:pPr>
      <w:widowControl/>
      <w:pBdr>
        <w:left w:val="single" w:color="auto" w:sz="4" w:space="0"/>
        <w:bottom w:val="single" w:color="auto" w:sz="4" w:space="0"/>
        <w:right w:val="single" w:color="auto" w:sz="4" w:space="0"/>
      </w:pBdr>
      <w:autoSpaceDE/>
      <w:autoSpaceDN/>
      <w:adjustRightInd/>
      <w:spacing w:before="100" w:beforeAutospacing="1" w:after="100" w:afterAutospacing="1"/>
      <w:jc w:val="center"/>
    </w:pPr>
    <w:rPr>
      <w:rFonts w:ascii="Times New Roman"/>
      <w:sz w:val="21"/>
      <w:szCs w:val="21"/>
    </w:rPr>
  </w:style>
  <w:style w:type="paragraph" w:customStyle="1" w:styleId="138">
    <w:name w:val="xl67"/>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ascii="Times New Roman"/>
      <w:sz w:val="21"/>
      <w:szCs w:val="21"/>
    </w:rPr>
  </w:style>
  <w:style w:type="paragraph" w:customStyle="1" w:styleId="139">
    <w:name w:val="xl81"/>
    <w:basedOn w:val="1"/>
    <w:qFormat/>
    <w:uiPriority w:val="0"/>
    <w:pPr>
      <w:widowControl/>
      <w:pBdr>
        <w:left w:val="single" w:color="auto" w:sz="4" w:space="0"/>
        <w:right w:val="single" w:color="auto" w:sz="4" w:space="0"/>
      </w:pBdr>
      <w:autoSpaceDE/>
      <w:autoSpaceDN/>
      <w:adjustRightInd/>
      <w:spacing w:before="100" w:beforeAutospacing="1" w:after="100" w:afterAutospacing="1"/>
    </w:pPr>
    <w:rPr>
      <w:rFonts w:ascii="Times New Roman"/>
    </w:rPr>
  </w:style>
  <w:style w:type="paragraph" w:customStyle="1" w:styleId="140">
    <w:name w:val="xl83"/>
    <w:basedOn w:val="1"/>
    <w:qFormat/>
    <w:uiPriority w:val="0"/>
    <w:pPr>
      <w:widowControl/>
      <w:pBdr>
        <w:top w:val="single" w:color="auto" w:sz="4" w:space="0"/>
        <w:bottom w:val="single" w:color="auto" w:sz="4" w:space="0"/>
      </w:pBdr>
      <w:autoSpaceDE/>
      <w:autoSpaceDN/>
      <w:adjustRightInd/>
      <w:spacing w:before="100" w:beforeAutospacing="1" w:after="100" w:afterAutospacing="1"/>
      <w:jc w:val="center"/>
    </w:pPr>
    <w:rPr>
      <w:rFonts w:hAnsi="宋体" w:cs="宋体"/>
      <w:sz w:val="36"/>
      <w:szCs w:val="36"/>
    </w:rPr>
  </w:style>
  <w:style w:type="paragraph" w:customStyle="1" w:styleId="141">
    <w:name w:val="xl112"/>
    <w:basedOn w:val="1"/>
    <w:qFormat/>
    <w:uiPriority w:val="0"/>
    <w:pPr>
      <w:widowControl/>
      <w:pBdr>
        <w:bottom w:val="single" w:color="auto" w:sz="4" w:space="0"/>
        <w:right w:val="single" w:color="auto" w:sz="4" w:space="0"/>
      </w:pBdr>
      <w:autoSpaceDE/>
      <w:autoSpaceDN/>
      <w:adjustRightInd/>
      <w:spacing w:before="100" w:beforeAutospacing="1" w:after="100" w:afterAutospacing="1"/>
    </w:pPr>
    <w:rPr>
      <w:rFonts w:hAnsi="宋体" w:cs="宋体"/>
      <w:b/>
      <w:bCs/>
      <w:sz w:val="21"/>
      <w:szCs w:val="21"/>
    </w:rPr>
  </w:style>
  <w:style w:type="paragraph" w:customStyle="1" w:styleId="142">
    <w:name w:val="xl104"/>
    <w:basedOn w:val="1"/>
    <w:qFormat/>
    <w:uiPriority w:val="0"/>
    <w:pPr>
      <w:widowControl/>
      <w:pBdr>
        <w:left w:val="single" w:color="auto" w:sz="4" w:space="0"/>
        <w:bottom w:val="single" w:color="auto" w:sz="4" w:space="0"/>
        <w:right w:val="single" w:color="auto" w:sz="4" w:space="0"/>
      </w:pBdr>
      <w:autoSpaceDE/>
      <w:autoSpaceDN/>
      <w:adjustRightInd/>
      <w:spacing w:before="100" w:beforeAutospacing="1" w:after="100" w:afterAutospacing="1"/>
    </w:pPr>
    <w:rPr>
      <w:rFonts w:ascii="Times New Roman"/>
      <w:sz w:val="21"/>
      <w:szCs w:val="21"/>
    </w:rPr>
  </w:style>
  <w:style w:type="paragraph" w:customStyle="1" w:styleId="143">
    <w:name w:val="xl76"/>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pPr>
    <w:rPr>
      <w:rFonts w:hAnsi="宋体" w:cs="宋体"/>
      <w:sz w:val="21"/>
      <w:szCs w:val="21"/>
    </w:rPr>
  </w:style>
  <w:style w:type="paragraph" w:customStyle="1" w:styleId="144">
    <w:name w:val="xl97"/>
    <w:basedOn w:val="1"/>
    <w:qFormat/>
    <w:uiPriority w:val="0"/>
    <w:pPr>
      <w:widowControl/>
      <w:autoSpaceDE/>
      <w:autoSpaceDN/>
      <w:adjustRightInd/>
      <w:spacing w:before="100" w:beforeAutospacing="1" w:after="100" w:afterAutospacing="1"/>
    </w:pPr>
    <w:rPr>
      <w:rFonts w:hAnsi="宋体" w:cs="宋体"/>
      <w:sz w:val="21"/>
      <w:szCs w:val="21"/>
    </w:rPr>
  </w:style>
  <w:style w:type="paragraph" w:customStyle="1" w:styleId="145">
    <w:name w:val="xl70"/>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ascii="Times New Roman"/>
      <w:sz w:val="24"/>
      <w:szCs w:val="24"/>
    </w:rPr>
  </w:style>
  <w:style w:type="paragraph" w:customStyle="1" w:styleId="146">
    <w:name w:val="xl96"/>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ascii="Times New Roman"/>
      <w:b/>
      <w:bCs/>
      <w:sz w:val="21"/>
      <w:szCs w:val="21"/>
    </w:rPr>
  </w:style>
  <w:style w:type="paragraph" w:customStyle="1" w:styleId="147">
    <w:name w:val="xl98"/>
    <w:basedOn w:val="1"/>
    <w:qFormat/>
    <w:uiPriority w:val="0"/>
    <w:pPr>
      <w:widowControl/>
      <w:pBdr>
        <w:top w:val="single" w:color="auto" w:sz="4" w:space="0"/>
        <w:left w:val="single" w:color="auto" w:sz="4" w:space="0"/>
        <w:bottom w:val="single" w:color="auto" w:sz="4" w:space="0"/>
      </w:pBdr>
      <w:autoSpaceDE/>
      <w:autoSpaceDN/>
      <w:adjustRightInd/>
      <w:spacing w:before="100" w:beforeAutospacing="1" w:after="100" w:afterAutospacing="1"/>
      <w:jc w:val="center"/>
    </w:pPr>
    <w:rPr>
      <w:rFonts w:ascii="Times New Roman"/>
      <w:sz w:val="21"/>
      <w:szCs w:val="21"/>
    </w:rPr>
  </w:style>
  <w:style w:type="paragraph" w:customStyle="1" w:styleId="148">
    <w:name w:val="xl69"/>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hAnsi="宋体" w:cs="宋体"/>
    </w:rPr>
  </w:style>
  <w:style w:type="paragraph" w:customStyle="1" w:styleId="149">
    <w:name w:val="font5"/>
    <w:basedOn w:val="1"/>
    <w:qFormat/>
    <w:uiPriority w:val="0"/>
    <w:pPr>
      <w:widowControl/>
      <w:autoSpaceDE/>
      <w:autoSpaceDN/>
      <w:adjustRightInd/>
      <w:spacing w:before="100" w:beforeAutospacing="1" w:after="100" w:afterAutospacing="1"/>
    </w:pPr>
    <w:rPr>
      <w:rFonts w:ascii="Times New Roman"/>
      <w:color w:val="000000"/>
    </w:rPr>
  </w:style>
  <w:style w:type="paragraph" w:customStyle="1" w:styleId="150">
    <w:name w:val="xl90"/>
    <w:basedOn w:val="1"/>
    <w:qFormat/>
    <w:uiPriority w:val="0"/>
    <w:pPr>
      <w:widowControl/>
      <w:pBdr>
        <w:top w:val="single" w:color="auto" w:sz="4" w:space="0"/>
        <w:left w:val="single" w:color="auto" w:sz="4" w:space="0"/>
        <w:bottom w:val="single" w:color="auto" w:sz="4" w:space="0"/>
      </w:pBdr>
      <w:autoSpaceDE/>
      <w:autoSpaceDN/>
      <w:adjustRightInd/>
      <w:spacing w:before="100" w:beforeAutospacing="1" w:after="100" w:afterAutospacing="1"/>
    </w:pPr>
    <w:rPr>
      <w:rFonts w:hAnsi="宋体" w:cs="宋体"/>
      <w:b/>
      <w:bCs/>
    </w:rPr>
  </w:style>
  <w:style w:type="paragraph" w:customStyle="1" w:styleId="151">
    <w:name w:val="xl78"/>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pPr>
    <w:rPr>
      <w:rFonts w:ascii="Times New Roman"/>
    </w:rPr>
  </w:style>
  <w:style w:type="paragraph" w:customStyle="1" w:styleId="152">
    <w:name w:val="xl74"/>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ascii="Times New Roman"/>
      <w:sz w:val="18"/>
      <w:szCs w:val="18"/>
    </w:rPr>
  </w:style>
  <w:style w:type="paragraph" w:customStyle="1" w:styleId="153">
    <w:name w:val="xl82"/>
    <w:basedOn w:val="1"/>
    <w:qFormat/>
    <w:uiPriority w:val="0"/>
    <w:pPr>
      <w:widowControl/>
      <w:pBdr>
        <w:top w:val="single" w:color="auto" w:sz="4" w:space="0"/>
        <w:left w:val="single" w:color="auto" w:sz="4" w:space="0"/>
        <w:bottom w:val="single" w:color="auto" w:sz="4" w:space="0"/>
      </w:pBdr>
      <w:autoSpaceDE/>
      <w:autoSpaceDN/>
      <w:adjustRightInd/>
      <w:spacing w:before="100" w:beforeAutospacing="1" w:after="100" w:afterAutospacing="1"/>
      <w:jc w:val="center"/>
    </w:pPr>
    <w:rPr>
      <w:rFonts w:hAnsi="宋体" w:cs="宋体"/>
      <w:sz w:val="36"/>
      <w:szCs w:val="36"/>
    </w:rPr>
  </w:style>
  <w:style w:type="paragraph" w:customStyle="1" w:styleId="154">
    <w:name w:val="xl84"/>
    <w:basedOn w:val="1"/>
    <w:qFormat/>
    <w:uiPriority w:val="0"/>
    <w:pPr>
      <w:widowControl/>
      <w:pBdr>
        <w:top w:val="single" w:color="auto" w:sz="4" w:space="0"/>
        <w:left w:val="single" w:color="auto" w:sz="4" w:space="0"/>
        <w:bottom w:val="single" w:color="auto" w:sz="4" w:space="0"/>
      </w:pBdr>
      <w:autoSpaceDE/>
      <w:autoSpaceDN/>
      <w:adjustRightInd/>
      <w:spacing w:before="100" w:beforeAutospacing="1" w:after="100" w:afterAutospacing="1"/>
    </w:pPr>
    <w:rPr>
      <w:rFonts w:hAnsi="宋体" w:cs="宋体"/>
      <w:b/>
      <w:bCs/>
      <w:sz w:val="21"/>
      <w:szCs w:val="21"/>
    </w:rPr>
  </w:style>
  <w:style w:type="paragraph" w:customStyle="1" w:styleId="155">
    <w:name w:val="xl94"/>
    <w:basedOn w:val="1"/>
    <w:qFormat/>
    <w:uiPriority w:val="0"/>
    <w:pPr>
      <w:widowControl/>
      <w:pBdr>
        <w:left w:val="single" w:color="auto" w:sz="4" w:space="0"/>
        <w:right w:val="single" w:color="auto" w:sz="4" w:space="0"/>
      </w:pBdr>
      <w:autoSpaceDE/>
      <w:autoSpaceDN/>
      <w:adjustRightInd/>
      <w:spacing w:before="100" w:beforeAutospacing="1" w:after="100" w:afterAutospacing="1"/>
      <w:jc w:val="center"/>
    </w:pPr>
    <w:rPr>
      <w:rFonts w:ascii="Times New Roman"/>
      <w:sz w:val="21"/>
      <w:szCs w:val="21"/>
    </w:rPr>
  </w:style>
  <w:style w:type="paragraph" w:customStyle="1" w:styleId="156">
    <w:name w:val="xl100"/>
    <w:basedOn w:val="1"/>
    <w:qFormat/>
    <w:uiPriority w:val="0"/>
    <w:pPr>
      <w:widowControl/>
      <w:pBdr>
        <w:top w:val="single" w:color="auto" w:sz="4" w:space="0"/>
        <w:left w:val="single" w:color="auto" w:sz="4" w:space="0"/>
        <w:right w:val="single" w:color="auto" w:sz="4" w:space="0"/>
      </w:pBdr>
      <w:autoSpaceDE/>
      <w:autoSpaceDN/>
      <w:adjustRightInd/>
      <w:spacing w:before="100" w:beforeAutospacing="1" w:after="100" w:afterAutospacing="1"/>
      <w:jc w:val="center"/>
    </w:pPr>
    <w:rPr>
      <w:rFonts w:hAnsi="宋体" w:cs="宋体"/>
      <w:sz w:val="21"/>
      <w:szCs w:val="21"/>
    </w:rPr>
  </w:style>
  <w:style w:type="paragraph" w:customStyle="1" w:styleId="157">
    <w:name w:val="xl101"/>
    <w:basedOn w:val="1"/>
    <w:qFormat/>
    <w:uiPriority w:val="0"/>
    <w:pPr>
      <w:widowControl/>
      <w:pBdr>
        <w:left w:val="single" w:color="auto" w:sz="4" w:space="0"/>
        <w:bottom w:val="single" w:color="auto" w:sz="4" w:space="0"/>
        <w:right w:val="single" w:color="auto" w:sz="4" w:space="0"/>
      </w:pBdr>
      <w:autoSpaceDE/>
      <w:autoSpaceDN/>
      <w:adjustRightInd/>
      <w:spacing w:before="100" w:beforeAutospacing="1" w:after="100" w:afterAutospacing="1"/>
      <w:jc w:val="center"/>
    </w:pPr>
    <w:rPr>
      <w:rFonts w:hAnsi="宋体" w:cs="宋体"/>
    </w:rPr>
  </w:style>
  <w:style w:type="paragraph" w:customStyle="1" w:styleId="158">
    <w:name w:val="xl110"/>
    <w:basedOn w:val="1"/>
    <w:qFormat/>
    <w:uiPriority w:val="0"/>
    <w:pPr>
      <w:widowControl/>
      <w:pBdr>
        <w:top w:val="single" w:color="auto" w:sz="4" w:space="0"/>
        <w:bottom w:val="single" w:color="auto" w:sz="4" w:space="0"/>
      </w:pBdr>
      <w:shd w:val="clear" w:color="000000" w:fill="FFFFFF"/>
      <w:autoSpaceDE/>
      <w:autoSpaceDN/>
      <w:adjustRightInd/>
      <w:spacing w:before="100" w:beforeAutospacing="1" w:after="100" w:afterAutospacing="1"/>
    </w:pPr>
    <w:rPr>
      <w:rFonts w:hAnsi="宋体" w:cs="宋体"/>
    </w:rPr>
  </w:style>
  <w:style w:type="paragraph" w:customStyle="1" w:styleId="159">
    <w:name w:val="Char Char2 Char"/>
    <w:basedOn w:val="1"/>
    <w:qFormat/>
    <w:uiPriority w:val="0"/>
    <w:pPr>
      <w:keepNext/>
      <w:keepLines/>
      <w:pageBreakBefore/>
      <w:tabs>
        <w:tab w:val="left" w:pos="390"/>
      </w:tabs>
      <w:autoSpaceDE/>
      <w:autoSpaceDN/>
      <w:adjustRightInd/>
      <w:ind w:left="390" w:hanging="390"/>
      <w:jc w:val="both"/>
    </w:pPr>
    <w:rPr>
      <w:rFonts w:ascii="Times New Roman"/>
      <w:kern w:val="2"/>
      <w:sz w:val="21"/>
      <w:szCs w:val="24"/>
    </w:rPr>
  </w:style>
  <w:style w:type="character" w:customStyle="1" w:styleId="160">
    <w:name w:val="纯文本 Char1"/>
    <w:qFormat/>
    <w:uiPriority w:val="0"/>
    <w:rPr>
      <w:rFonts w:ascii="宋体" w:hAnsi="Courier New" w:eastAsia="宋体" w:cs="Times New Roman"/>
      <w:kern w:val="2"/>
      <w:sz w:val="21"/>
      <w:szCs w:val="20"/>
    </w:rPr>
  </w:style>
  <w:style w:type="character" w:customStyle="1" w:styleId="161">
    <w:name w:val="ask-title2"/>
    <w:qFormat/>
    <w:uiPriority w:val="0"/>
  </w:style>
  <w:style w:type="paragraph" w:customStyle="1" w:styleId="162">
    <w:name w:val="列出段落11"/>
    <w:basedOn w:val="1"/>
    <w:qFormat/>
    <w:uiPriority w:val="0"/>
    <w:pPr>
      <w:autoSpaceDE/>
      <w:autoSpaceDN/>
      <w:adjustRightInd/>
      <w:ind w:firstLine="420" w:firstLineChars="200"/>
      <w:jc w:val="both"/>
    </w:pPr>
    <w:rPr>
      <w:rFonts w:ascii="Times New Roman"/>
      <w:kern w:val="2"/>
      <w:sz w:val="21"/>
    </w:rPr>
  </w:style>
  <w:style w:type="character" w:customStyle="1" w:styleId="163">
    <w:name w:val="页脚 Char1"/>
    <w:qFormat/>
    <w:uiPriority w:val="99"/>
    <w:rPr>
      <w:rFonts w:ascii="仿宋_GB2312" w:eastAsia="仿宋_GB2312"/>
      <w:kern w:val="2"/>
      <w:sz w:val="18"/>
      <w:szCs w:val="18"/>
      <w:lang w:val="en-US" w:eastAsia="zh-CN" w:bidi="ar-SA"/>
    </w:rPr>
  </w:style>
  <w:style w:type="paragraph" w:customStyle="1" w:styleId="164">
    <w:name w:val="纯文本1"/>
    <w:basedOn w:val="1"/>
    <w:qFormat/>
    <w:uiPriority w:val="0"/>
    <w:pPr>
      <w:autoSpaceDE/>
      <w:autoSpaceDN/>
      <w:adjustRightInd/>
      <w:jc w:val="both"/>
    </w:pPr>
    <w:rPr>
      <w:rFonts w:hAnsi="Courier New"/>
      <w:kern w:val="2"/>
      <w:sz w:val="21"/>
    </w:rPr>
  </w:style>
  <w:style w:type="paragraph" w:customStyle="1" w:styleId="165">
    <w:name w:val="黑列表"/>
    <w:basedOn w:val="1"/>
    <w:qFormat/>
    <w:uiPriority w:val="0"/>
    <w:pPr>
      <w:widowControl/>
      <w:numPr>
        <w:ilvl w:val="0"/>
        <w:numId w:val="2"/>
      </w:numPr>
      <w:tabs>
        <w:tab w:val="clear" w:pos="482"/>
      </w:tabs>
      <w:autoSpaceDE/>
      <w:autoSpaceDN/>
      <w:spacing w:line="300" w:lineRule="auto"/>
      <w:ind w:left="840" w:hanging="240"/>
    </w:pPr>
    <w:rPr>
      <w:rFonts w:ascii="Times New Roman"/>
      <w:sz w:val="24"/>
    </w:rPr>
  </w:style>
  <w:style w:type="paragraph" w:customStyle="1" w:styleId="166">
    <w:name w:val="样式2"/>
    <w:basedOn w:val="1"/>
    <w:qFormat/>
    <w:uiPriority w:val="0"/>
    <w:pPr>
      <w:autoSpaceDE/>
      <w:autoSpaceDN/>
      <w:adjustRightInd/>
      <w:spacing w:line="300" w:lineRule="auto"/>
      <w:jc w:val="center"/>
      <w:outlineLvl w:val="0"/>
    </w:pPr>
    <w:rPr>
      <w:rFonts w:ascii="Times New Roman"/>
      <w:b/>
      <w:kern w:val="2"/>
      <w:sz w:val="24"/>
    </w:rPr>
  </w:style>
  <w:style w:type="paragraph" w:customStyle="1" w:styleId="167">
    <w:name w:val="图文"/>
    <w:basedOn w:val="1"/>
    <w:qFormat/>
    <w:uiPriority w:val="0"/>
    <w:pPr>
      <w:autoSpaceDE/>
      <w:autoSpaceDN/>
      <w:snapToGrid w:val="0"/>
      <w:spacing w:after="50" w:line="360" w:lineRule="auto"/>
      <w:jc w:val="both"/>
    </w:pPr>
    <w:rPr>
      <w:rFonts w:ascii="Times New Roman"/>
      <w:kern w:val="2"/>
      <w:sz w:val="24"/>
    </w:rPr>
  </w:style>
  <w:style w:type="paragraph" w:customStyle="1" w:styleId="168">
    <w:name w:val="Char Char Char Char Char Char Char"/>
    <w:basedOn w:val="1"/>
    <w:qFormat/>
    <w:uiPriority w:val="0"/>
    <w:pPr>
      <w:autoSpaceDE/>
      <w:autoSpaceDN/>
      <w:adjustRightInd/>
      <w:jc w:val="both"/>
    </w:pPr>
    <w:rPr>
      <w:rFonts w:ascii="Times New Roman"/>
      <w:kern w:val="2"/>
      <w:sz w:val="21"/>
      <w:szCs w:val="24"/>
    </w:rPr>
  </w:style>
  <w:style w:type="paragraph" w:customStyle="1" w:styleId="169">
    <w:name w:val="waq"/>
    <w:basedOn w:val="1"/>
    <w:qFormat/>
    <w:uiPriority w:val="0"/>
    <w:pPr>
      <w:autoSpaceDE/>
      <w:autoSpaceDN/>
      <w:adjustRightInd/>
      <w:ind w:firstLine="567"/>
      <w:jc w:val="both"/>
    </w:pPr>
    <w:rPr>
      <w:rFonts w:ascii="Times New Roman"/>
      <w:kern w:val="2"/>
      <w:sz w:val="28"/>
    </w:rPr>
  </w:style>
  <w:style w:type="paragraph" w:customStyle="1" w:styleId="170">
    <w:name w:val="文字部分"/>
    <w:basedOn w:val="1"/>
    <w:link w:val="171"/>
    <w:qFormat/>
    <w:uiPriority w:val="0"/>
    <w:pPr>
      <w:autoSpaceDE/>
      <w:autoSpaceDN/>
      <w:adjustRightInd/>
      <w:spacing w:line="360" w:lineRule="auto"/>
      <w:ind w:firstLine="480" w:firstLineChars="200"/>
      <w:jc w:val="both"/>
    </w:pPr>
    <w:rPr>
      <w:bCs/>
      <w:sz w:val="24"/>
      <w:szCs w:val="28"/>
    </w:rPr>
  </w:style>
  <w:style w:type="character" w:customStyle="1" w:styleId="171">
    <w:name w:val="文字部分 Char"/>
    <w:link w:val="170"/>
    <w:qFormat/>
    <w:uiPriority w:val="0"/>
    <w:rPr>
      <w:rFonts w:ascii="宋体"/>
      <w:bCs/>
      <w:sz w:val="24"/>
      <w:szCs w:val="28"/>
    </w:rPr>
  </w:style>
  <w:style w:type="paragraph" w:customStyle="1" w:styleId="172">
    <w:name w:val="B正文"/>
    <w:basedOn w:val="1"/>
    <w:link w:val="173"/>
    <w:qFormat/>
    <w:uiPriority w:val="0"/>
    <w:pPr>
      <w:autoSpaceDE/>
      <w:autoSpaceDN/>
      <w:adjustRightInd/>
      <w:spacing w:line="500" w:lineRule="exact"/>
      <w:ind w:firstLine="560" w:firstLineChars="200"/>
      <w:jc w:val="both"/>
    </w:pPr>
    <w:rPr>
      <w:rFonts w:ascii="Times New Roman"/>
      <w:kern w:val="2"/>
      <w:sz w:val="28"/>
      <w:szCs w:val="24"/>
    </w:rPr>
  </w:style>
  <w:style w:type="character" w:customStyle="1" w:styleId="173">
    <w:name w:val="B正文 Char"/>
    <w:link w:val="172"/>
    <w:qFormat/>
    <w:uiPriority w:val="0"/>
    <w:rPr>
      <w:kern w:val="2"/>
      <w:sz w:val="28"/>
      <w:szCs w:val="24"/>
    </w:rPr>
  </w:style>
  <w:style w:type="paragraph" w:customStyle="1" w:styleId="174">
    <w:name w:val="一级无"/>
    <w:basedOn w:val="1"/>
    <w:qFormat/>
    <w:uiPriority w:val="0"/>
    <w:pPr>
      <w:widowControl/>
      <w:numPr>
        <w:ilvl w:val="1"/>
        <w:numId w:val="3"/>
      </w:numPr>
      <w:autoSpaceDE/>
      <w:autoSpaceDN/>
      <w:adjustRightInd/>
      <w:spacing w:beforeLines="50" w:afterLines="50"/>
      <w:outlineLvl w:val="2"/>
    </w:pPr>
    <w:rPr>
      <w:sz w:val="21"/>
      <w:szCs w:val="21"/>
    </w:rPr>
  </w:style>
  <w:style w:type="paragraph" w:customStyle="1" w:styleId="175">
    <w:name w:val="字母编号列项（一级）"/>
    <w:qFormat/>
    <w:uiPriority w:val="0"/>
    <w:pPr>
      <w:jc w:val="both"/>
    </w:pPr>
    <w:rPr>
      <w:rFonts w:ascii="宋体" w:hAnsi="Times New Roman" w:eastAsia="宋体" w:cs="Times New Roman"/>
      <w:sz w:val="21"/>
      <w:lang w:val="en-US" w:eastAsia="zh-CN" w:bidi="ar-SA"/>
    </w:rPr>
  </w:style>
  <w:style w:type="paragraph" w:customStyle="1" w:styleId="176">
    <w:name w:val="附录一级无"/>
    <w:basedOn w:val="1"/>
    <w:qFormat/>
    <w:uiPriority w:val="0"/>
    <w:pPr>
      <w:widowControl/>
      <w:numPr>
        <w:ilvl w:val="2"/>
        <w:numId w:val="4"/>
      </w:numPr>
      <w:wordWrap w:val="0"/>
      <w:overflowPunct w:val="0"/>
      <w:adjustRightInd/>
      <w:spacing w:beforeLines="50" w:afterLines="50"/>
      <w:jc w:val="both"/>
      <w:textAlignment w:val="baseline"/>
      <w:outlineLvl w:val="2"/>
    </w:pPr>
    <w:rPr>
      <w:kern w:val="21"/>
      <w:sz w:val="21"/>
      <w:szCs w:val="21"/>
    </w:rPr>
  </w:style>
  <w:style w:type="paragraph" w:customStyle="1" w:styleId="177">
    <w:name w:val="附录章标题"/>
    <w:next w:val="1"/>
    <w:qFormat/>
    <w:uiPriority w:val="0"/>
    <w:pPr>
      <w:tabs>
        <w:tab w:val="left" w:pos="360"/>
      </w:tabs>
      <w:wordWrap w:val="0"/>
      <w:overflowPunct w:val="0"/>
      <w:autoSpaceDE w:val="0"/>
      <w:spacing w:beforeLines="100" w:afterLines="100"/>
      <w:jc w:val="both"/>
      <w:textAlignment w:val="baseline"/>
      <w:outlineLvl w:val="1"/>
    </w:pPr>
    <w:rPr>
      <w:rFonts w:ascii="黑体" w:hAnsi="Times New Roman" w:eastAsia="黑体" w:cs="Times New Roman"/>
      <w:kern w:val="21"/>
      <w:sz w:val="21"/>
      <w:lang w:val="en-US" w:eastAsia="zh-CN" w:bidi="ar-SA"/>
    </w:rPr>
  </w:style>
  <w:style w:type="character" w:customStyle="1" w:styleId="178">
    <w:name w:val="未处理的提及1"/>
    <w:basedOn w:val="43"/>
    <w:qFormat/>
    <w:uiPriority w:val="99"/>
    <w:rPr>
      <w:color w:val="605E5C"/>
      <w:shd w:val="clear" w:color="auto" w:fill="E1DFDD"/>
    </w:rPr>
  </w:style>
  <w:style w:type="character" w:customStyle="1" w:styleId="179">
    <w:name w:val="未处理的提及2"/>
    <w:basedOn w:val="43"/>
    <w:qFormat/>
    <w:uiPriority w:val="99"/>
    <w:rPr>
      <w:color w:val="605E5C"/>
      <w:shd w:val="clear" w:color="auto" w:fill="E1DFDD"/>
    </w:rPr>
  </w:style>
  <w:style w:type="paragraph" w:customStyle="1" w:styleId="180">
    <w:name w:val="无间隔1"/>
    <w:basedOn w:val="1"/>
    <w:qFormat/>
    <w:uiPriority w:val="0"/>
    <w:pPr>
      <w:autoSpaceDE/>
      <w:autoSpaceDN/>
      <w:adjustRightInd/>
      <w:jc w:val="both"/>
    </w:pPr>
    <w:rPr>
      <w:rFonts w:ascii="Times New Roman"/>
      <w:kern w:val="2"/>
      <w:sz w:val="21"/>
      <w:szCs w:val="21"/>
    </w:rPr>
  </w:style>
  <w:style w:type="character" w:customStyle="1" w:styleId="181">
    <w:name w:val="achart-text 字符"/>
    <w:link w:val="182"/>
    <w:qFormat/>
    <w:uiPriority w:val="0"/>
  </w:style>
  <w:style w:type="paragraph" w:customStyle="1" w:styleId="182">
    <w:name w:val="achart-text"/>
    <w:basedOn w:val="1"/>
    <w:link w:val="181"/>
    <w:qFormat/>
    <w:uiPriority w:val="0"/>
    <w:pPr>
      <w:autoSpaceDE/>
      <w:autoSpaceDN/>
      <w:adjustRightInd/>
      <w:spacing w:line="360" w:lineRule="auto"/>
      <w:jc w:val="center"/>
    </w:pPr>
    <w:rPr>
      <w:rFonts w:ascii="Times New Roman"/>
    </w:rPr>
  </w:style>
  <w:style w:type="character" w:customStyle="1" w:styleId="183">
    <w:name w:val="正文文本缩进 2 Char_0"/>
    <w:link w:val="184"/>
    <w:qFormat/>
    <w:uiPriority w:val="0"/>
    <w:rPr>
      <w:rFonts w:ascii="宋体" w:hAnsi="宋体"/>
      <w:sz w:val="28"/>
    </w:rPr>
  </w:style>
  <w:style w:type="paragraph" w:customStyle="1" w:styleId="184">
    <w:name w:val="正文文本缩进 2_0"/>
    <w:basedOn w:val="185"/>
    <w:link w:val="183"/>
    <w:qFormat/>
    <w:uiPriority w:val="0"/>
    <w:pPr>
      <w:ind w:firstLine="560" w:firstLineChars="200"/>
    </w:pPr>
    <w:rPr>
      <w:rFonts w:ascii="宋体" w:hAnsi="宋体"/>
      <w:kern w:val="0"/>
      <w:sz w:val="28"/>
      <w:szCs w:val="20"/>
    </w:rPr>
  </w:style>
  <w:style w:type="paragraph" w:customStyle="1" w:styleId="185">
    <w:name w:val="正文_0"/>
    <w:qFormat/>
    <w:uiPriority w:val="0"/>
    <w:pPr>
      <w:widowControl w:val="0"/>
      <w:jc w:val="both"/>
    </w:pPr>
    <w:rPr>
      <w:rFonts w:ascii="Calibri" w:hAnsi="Calibri" w:eastAsia="宋体" w:cs="Times New Roman"/>
      <w:kern w:val="2"/>
      <w:sz w:val="21"/>
      <w:szCs w:val="22"/>
      <w:lang w:val="en-US" w:eastAsia="zh-CN" w:bidi="ar-SA"/>
    </w:rPr>
  </w:style>
  <w:style w:type="character" w:customStyle="1" w:styleId="186">
    <w:name w:val="列表段落 字符"/>
    <w:link w:val="96"/>
    <w:qFormat/>
    <w:uiPriority w:val="34"/>
    <w:rPr>
      <w:kern w:val="2"/>
      <w:sz w:val="21"/>
      <w:szCs w:val="24"/>
    </w:rPr>
  </w:style>
  <w:style w:type="character" w:customStyle="1" w:styleId="187">
    <w:name w:val="标准正文 Char"/>
    <w:link w:val="188"/>
    <w:qFormat/>
    <w:uiPriority w:val="0"/>
    <w:rPr>
      <w:rFonts w:ascii="宋体" w:hAnsi="宋体" w:eastAsia="Times New Roman"/>
      <w:sz w:val="24"/>
      <w:szCs w:val="24"/>
    </w:rPr>
  </w:style>
  <w:style w:type="paragraph" w:customStyle="1" w:styleId="188">
    <w:name w:val="标准正文"/>
    <w:basedOn w:val="1"/>
    <w:next w:val="1"/>
    <w:link w:val="187"/>
    <w:qFormat/>
    <w:uiPriority w:val="0"/>
    <w:pPr>
      <w:widowControl/>
      <w:autoSpaceDE/>
      <w:autoSpaceDN/>
      <w:adjustRightInd/>
      <w:ind w:firstLine="200"/>
      <w:jc w:val="both"/>
    </w:pPr>
    <w:rPr>
      <w:rFonts w:hAnsi="宋体" w:eastAsia="Times New Roman"/>
      <w:sz w:val="24"/>
      <w:szCs w:val="24"/>
    </w:rPr>
  </w:style>
  <w:style w:type="paragraph" w:customStyle="1" w:styleId="189">
    <w:name w:val="技术需求标题2"/>
    <w:basedOn w:val="4"/>
    <w:qFormat/>
    <w:uiPriority w:val="0"/>
    <w:pPr>
      <w:widowControl/>
      <w:spacing w:before="0" w:after="0" w:line="240" w:lineRule="auto"/>
    </w:pPr>
    <w:rPr>
      <w:rFonts w:ascii="Times New Roman" w:hAnsi="Times New Roman" w:eastAsia="Times New Roman"/>
      <w:bCs w:val="0"/>
      <w:kern w:val="0"/>
      <w:sz w:val="20"/>
      <w:szCs w:val="20"/>
    </w:rPr>
  </w:style>
  <w:style w:type="paragraph" w:customStyle="1" w:styleId="190">
    <w:name w:val="正文缩进2"/>
    <w:basedOn w:val="1"/>
    <w:qFormat/>
    <w:uiPriority w:val="0"/>
    <w:pPr>
      <w:ind w:firstLine="200" w:firstLineChars="200"/>
    </w:pPr>
    <w:rPr>
      <w:rFonts w:ascii="Times New Roman"/>
    </w:rPr>
  </w:style>
  <w:style w:type="paragraph" w:customStyle="1" w:styleId="191">
    <w:name w:val="普通正文"/>
    <w:basedOn w:val="1"/>
    <w:qFormat/>
    <w:uiPriority w:val="0"/>
    <w:pPr>
      <w:autoSpaceDE/>
      <w:autoSpaceDN/>
      <w:spacing w:before="120" w:after="120" w:line="360" w:lineRule="auto"/>
      <w:ind w:firstLine="480"/>
      <w:textAlignment w:val="baseline"/>
    </w:pPr>
    <w:rPr>
      <w:rFonts w:ascii="Arial" w:hAnsi="Arial" w:eastAsia="仿宋"/>
      <w:sz w:val="24"/>
      <w:szCs w:val="24"/>
    </w:rPr>
  </w:style>
  <w:style w:type="paragraph" w:customStyle="1" w:styleId="192">
    <w:name w:val="修订1"/>
    <w:qFormat/>
    <w:uiPriority w:val="99"/>
    <w:rPr>
      <w:rFonts w:ascii="宋体" w:hAnsi="Times New Roman" w:eastAsia="宋体" w:cs="Times New Roman"/>
      <w:lang w:val="en-US" w:eastAsia="zh-CN" w:bidi="ar-SA"/>
    </w:rPr>
  </w:style>
  <w:style w:type="character" w:customStyle="1" w:styleId="193">
    <w:name w:val="未处理的提及3"/>
    <w:basedOn w:val="43"/>
    <w:semiHidden/>
    <w:unhideWhenUsed/>
    <w:qFormat/>
    <w:uiPriority w:val="99"/>
    <w:rPr>
      <w:color w:val="605E5C"/>
      <w:shd w:val="clear" w:color="auto" w:fill="E1DFDD"/>
    </w:rPr>
  </w:style>
  <w:style w:type="character" w:customStyle="1" w:styleId="194">
    <w:name w:val="页眉 字符"/>
    <w:basedOn w:val="43"/>
    <w:link w:val="29"/>
    <w:qFormat/>
    <w:uiPriority w:val="99"/>
    <w:rPr>
      <w:rFonts w:ascii="宋体" w:hAnsi="Times New Roman" w:cs="Times New Roman"/>
      <w:sz w:val="18"/>
      <w:szCs w:val="18"/>
    </w:rPr>
  </w:style>
  <w:style w:type="paragraph" w:customStyle="1" w:styleId="195">
    <w:name w:val="修订2"/>
    <w:hidden/>
    <w:semiHidden/>
    <w:qFormat/>
    <w:uiPriority w:val="99"/>
    <w:rPr>
      <w:rFonts w:ascii="宋体" w:hAnsi="Times New Roman" w:eastAsia="宋体" w:cs="Times New Roman"/>
      <w:lang w:val="en-US" w:eastAsia="zh-CN" w:bidi="ar-SA"/>
    </w:rPr>
  </w:style>
  <w:style w:type="paragraph" w:customStyle="1" w:styleId="196">
    <w:name w:val="TableOfAuthoring"/>
    <w:basedOn w:val="1"/>
    <w:next w:val="1"/>
    <w:qFormat/>
    <w:uiPriority w:val="0"/>
    <w:pPr>
      <w:snapToGrid w:val="0"/>
      <w:ind w:left="420" w:leftChars="200" w:firstLine="200" w:firstLineChars="200"/>
      <w:jc w:val="both"/>
      <w:textAlignment w:val="baseline"/>
    </w:pPr>
    <w:rPr>
      <w:rFonts w:ascii="Calibri" w:hAnsi="Calibri"/>
    </w:rPr>
  </w:style>
  <w:style w:type="paragraph" w:customStyle="1" w:styleId="197">
    <w:name w:val="修订3"/>
    <w:hidden/>
    <w:unhideWhenUsed/>
    <w:qFormat/>
    <w:uiPriority w:val="99"/>
    <w:rPr>
      <w:rFonts w:ascii="宋体" w:hAnsi="Times New Roman" w:eastAsia="宋体" w:cs="Times New Roman"/>
      <w:lang w:val="en-US" w:eastAsia="zh-CN" w:bidi="ar-SA"/>
    </w:rPr>
  </w:style>
  <w:style w:type="paragraph" w:customStyle="1" w:styleId="198">
    <w:name w:val="TOC 标题2"/>
    <w:basedOn w:val="3"/>
    <w:next w:val="1"/>
    <w:semiHidden/>
    <w:unhideWhenUsed/>
    <w:qFormat/>
    <w:uiPriority w:val="39"/>
    <w:pPr>
      <w:autoSpaceDE w:val="0"/>
      <w:autoSpaceDN w:val="0"/>
      <w:adjustRightInd w:val="0"/>
      <w:jc w:val="left"/>
      <w:outlineLvl w:val="9"/>
    </w:pPr>
    <w:rPr>
      <w:rFonts w:ascii="宋体"/>
    </w:rPr>
  </w:style>
  <w:style w:type="character" w:customStyle="1" w:styleId="199">
    <w:name w:val="标题 7 字符"/>
    <w:basedOn w:val="43"/>
    <w:link w:val="9"/>
    <w:qFormat/>
    <w:uiPriority w:val="0"/>
    <w:rPr>
      <w:rFonts w:asciiTheme="minorHAnsi" w:hAnsiTheme="minorHAnsi" w:eastAsiaTheme="minorEastAsia" w:cstheme="minorBidi"/>
      <w:b/>
      <w:bCs/>
      <w:kern w:val="2"/>
      <w:sz w:val="24"/>
      <w:szCs w:val="24"/>
    </w:rPr>
  </w:style>
  <w:style w:type="character" w:customStyle="1" w:styleId="200">
    <w:name w:val="批注框文本 字符"/>
    <w:link w:val="27"/>
    <w:qFormat/>
    <w:uiPriority w:val="99"/>
    <w:rPr>
      <w:rFonts w:ascii="宋体"/>
      <w:sz w:val="18"/>
      <w:szCs w:val="18"/>
    </w:rPr>
  </w:style>
  <w:style w:type="character" w:customStyle="1" w:styleId="201">
    <w:name w:val="正文文本 字符"/>
    <w:link w:val="19"/>
    <w:qFormat/>
    <w:uiPriority w:val="0"/>
    <w:rPr>
      <w:kern w:val="2"/>
      <w:sz w:val="44"/>
      <w:szCs w:val="24"/>
    </w:rPr>
  </w:style>
  <w:style w:type="paragraph" w:customStyle="1" w:styleId="202">
    <w:name w:val="目录 11"/>
    <w:basedOn w:val="1"/>
    <w:next w:val="1"/>
    <w:unhideWhenUsed/>
    <w:qFormat/>
    <w:uiPriority w:val="39"/>
    <w:pPr>
      <w:autoSpaceDE/>
      <w:autoSpaceDN/>
      <w:adjustRightInd/>
      <w:spacing w:line="360" w:lineRule="auto"/>
      <w:jc w:val="both"/>
    </w:pPr>
    <w:rPr>
      <w:rFonts w:ascii="Times New Roman"/>
      <w:kern w:val="2"/>
      <w:sz w:val="24"/>
      <w:szCs w:val="22"/>
    </w:rPr>
  </w:style>
  <w:style w:type="paragraph" w:customStyle="1" w:styleId="203">
    <w:name w:val="目录 21"/>
    <w:basedOn w:val="1"/>
    <w:next w:val="1"/>
    <w:unhideWhenUsed/>
    <w:qFormat/>
    <w:uiPriority w:val="39"/>
    <w:pPr>
      <w:tabs>
        <w:tab w:val="right" w:leader="dot" w:pos="8607"/>
      </w:tabs>
      <w:autoSpaceDE/>
      <w:autoSpaceDN/>
      <w:adjustRightInd/>
      <w:spacing w:line="360" w:lineRule="auto"/>
      <w:ind w:left="420" w:leftChars="200"/>
      <w:jc w:val="both"/>
    </w:pPr>
    <w:rPr>
      <w:rFonts w:ascii="Times New Roman"/>
      <w:kern w:val="2"/>
      <w:sz w:val="24"/>
      <w:szCs w:val="22"/>
    </w:rPr>
  </w:style>
  <w:style w:type="paragraph" w:customStyle="1" w:styleId="204">
    <w:name w:val="目录 31"/>
    <w:basedOn w:val="1"/>
    <w:next w:val="1"/>
    <w:unhideWhenUsed/>
    <w:qFormat/>
    <w:uiPriority w:val="39"/>
    <w:pPr>
      <w:autoSpaceDE/>
      <w:autoSpaceDN/>
      <w:adjustRightInd/>
      <w:spacing w:line="360" w:lineRule="auto"/>
      <w:ind w:left="840" w:leftChars="400"/>
      <w:jc w:val="both"/>
    </w:pPr>
    <w:rPr>
      <w:rFonts w:ascii="Times New Roman"/>
      <w:kern w:val="2"/>
      <w:sz w:val="24"/>
      <w:szCs w:val="22"/>
    </w:rPr>
  </w:style>
  <w:style w:type="paragraph" w:customStyle="1" w:styleId="205">
    <w:name w:val="1"/>
    <w:basedOn w:val="1"/>
    <w:next w:val="2"/>
    <w:qFormat/>
    <w:uiPriority w:val="0"/>
    <w:pPr>
      <w:autoSpaceDE/>
      <w:autoSpaceDN/>
      <w:adjustRightInd/>
      <w:spacing w:line="360" w:lineRule="auto"/>
      <w:ind w:firstLine="420"/>
      <w:jc w:val="both"/>
    </w:pPr>
    <w:rPr>
      <w:rFonts w:ascii="Times New Roman"/>
      <w:kern w:val="2"/>
      <w:sz w:val="24"/>
    </w:rPr>
  </w:style>
  <w:style w:type="paragraph" w:customStyle="1" w:styleId="206">
    <w:name w:val="pic-info"/>
    <w:basedOn w:val="1"/>
    <w:qFormat/>
    <w:uiPriority w:val="0"/>
    <w:pPr>
      <w:widowControl/>
      <w:autoSpaceDE/>
      <w:autoSpaceDN/>
      <w:adjustRightInd/>
      <w:spacing w:before="100" w:beforeAutospacing="1" w:after="100" w:afterAutospacing="1" w:line="360" w:lineRule="auto"/>
    </w:pPr>
    <w:rPr>
      <w:rFonts w:hAnsi="宋体" w:cs="宋体"/>
      <w:sz w:val="24"/>
      <w:szCs w:val="24"/>
    </w:rPr>
  </w:style>
  <w:style w:type="character" w:customStyle="1" w:styleId="207">
    <w:name w:val="headline-content"/>
    <w:basedOn w:val="43"/>
    <w:qFormat/>
    <w:uiPriority w:val="0"/>
  </w:style>
  <w:style w:type="paragraph" w:customStyle="1" w:styleId="208">
    <w:name w:val="Char Char Char Char1"/>
    <w:basedOn w:val="1"/>
    <w:qFormat/>
    <w:uiPriority w:val="0"/>
    <w:pPr>
      <w:widowControl/>
      <w:autoSpaceDE/>
      <w:autoSpaceDN/>
      <w:adjustRightInd/>
      <w:spacing w:after="160" w:line="240" w:lineRule="exact"/>
    </w:pPr>
    <w:rPr>
      <w:rFonts w:ascii="Verdana" w:hAnsi="Verdana" w:eastAsia="仿宋_GB2312"/>
      <w:sz w:val="24"/>
      <w:lang w:eastAsia="en-US"/>
    </w:rPr>
  </w:style>
  <w:style w:type="paragraph" w:customStyle="1" w:styleId="209">
    <w:name w:val="Char Char Char Char1 Char Char"/>
    <w:basedOn w:val="1"/>
    <w:semiHidden/>
    <w:qFormat/>
    <w:uiPriority w:val="0"/>
    <w:pPr>
      <w:autoSpaceDE/>
      <w:autoSpaceDN/>
      <w:adjustRightInd/>
      <w:spacing w:line="360" w:lineRule="auto"/>
      <w:jc w:val="both"/>
    </w:pPr>
    <w:rPr>
      <w:rFonts w:ascii="Times New Roman"/>
      <w:kern w:val="2"/>
      <w:sz w:val="24"/>
      <w:szCs w:val="24"/>
    </w:rPr>
  </w:style>
  <w:style w:type="paragraph" w:customStyle="1" w:styleId="210">
    <w:name w:val="xl113"/>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line="360" w:lineRule="auto"/>
      <w:jc w:val="center"/>
      <w:textAlignment w:val="center"/>
    </w:pPr>
    <w:rPr>
      <w:rFonts w:hAnsi="宋体" w:cs="宋体"/>
      <w:color w:val="0D0D0D"/>
      <w:sz w:val="18"/>
      <w:szCs w:val="18"/>
    </w:rPr>
  </w:style>
  <w:style w:type="paragraph" w:customStyle="1" w:styleId="211">
    <w:name w:val="xl114"/>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line="360" w:lineRule="auto"/>
      <w:jc w:val="center"/>
      <w:textAlignment w:val="center"/>
    </w:pPr>
    <w:rPr>
      <w:rFonts w:hAnsi="宋体" w:cs="宋体"/>
      <w:color w:val="0D0D0D"/>
      <w:sz w:val="18"/>
      <w:szCs w:val="18"/>
    </w:rPr>
  </w:style>
  <w:style w:type="paragraph" w:customStyle="1" w:styleId="212">
    <w:name w:val="xl115"/>
    <w:basedOn w:val="1"/>
    <w:qFormat/>
    <w:uiPriority w:val="0"/>
    <w:pPr>
      <w:widowControl/>
      <w:pBdr>
        <w:left w:val="single" w:color="auto" w:sz="8" w:space="31"/>
        <w:bottom w:val="single" w:color="auto" w:sz="8" w:space="0"/>
        <w:right w:val="single" w:color="auto" w:sz="8" w:space="0"/>
      </w:pBdr>
      <w:autoSpaceDE/>
      <w:autoSpaceDN/>
      <w:adjustRightInd/>
      <w:spacing w:before="100" w:beforeAutospacing="1" w:after="100" w:afterAutospacing="1" w:line="360" w:lineRule="auto"/>
      <w:ind w:firstLine="200" w:firstLineChars="200"/>
      <w:textAlignment w:val="center"/>
    </w:pPr>
    <w:rPr>
      <w:rFonts w:hAnsi="宋体" w:cs="宋体"/>
      <w:color w:val="0D0D0D"/>
    </w:rPr>
  </w:style>
  <w:style w:type="paragraph" w:customStyle="1" w:styleId="213">
    <w:name w:val="xl116"/>
    <w:basedOn w:val="1"/>
    <w:qFormat/>
    <w:uiPriority w:val="0"/>
    <w:pPr>
      <w:widowControl/>
      <w:pBdr>
        <w:top w:val="single" w:color="auto" w:sz="8" w:space="0"/>
        <w:left w:val="single" w:color="auto" w:sz="8" w:space="0"/>
        <w:right w:val="single" w:color="auto" w:sz="8" w:space="0"/>
      </w:pBdr>
      <w:autoSpaceDE/>
      <w:autoSpaceDN/>
      <w:adjustRightInd/>
      <w:spacing w:before="100" w:beforeAutospacing="1" w:after="100" w:afterAutospacing="1" w:line="360" w:lineRule="auto"/>
      <w:jc w:val="center"/>
      <w:textAlignment w:val="center"/>
    </w:pPr>
    <w:rPr>
      <w:rFonts w:hAnsi="宋体" w:cs="宋体"/>
      <w:color w:val="0D0D0D"/>
    </w:rPr>
  </w:style>
  <w:style w:type="paragraph" w:customStyle="1" w:styleId="214">
    <w:name w:val="xl117"/>
    <w:basedOn w:val="1"/>
    <w:qFormat/>
    <w:uiPriority w:val="0"/>
    <w:pPr>
      <w:widowControl/>
      <w:pBdr>
        <w:left w:val="single" w:color="auto" w:sz="8" w:space="0"/>
        <w:right w:val="single" w:color="auto" w:sz="8" w:space="0"/>
      </w:pBdr>
      <w:autoSpaceDE/>
      <w:autoSpaceDN/>
      <w:adjustRightInd/>
      <w:spacing w:before="100" w:beforeAutospacing="1" w:after="100" w:afterAutospacing="1" w:line="360" w:lineRule="auto"/>
      <w:jc w:val="center"/>
      <w:textAlignment w:val="center"/>
    </w:pPr>
    <w:rPr>
      <w:rFonts w:hAnsi="宋体" w:cs="宋体"/>
      <w:color w:val="0D0D0D"/>
    </w:rPr>
  </w:style>
  <w:style w:type="paragraph" w:customStyle="1" w:styleId="215">
    <w:name w:val="xl118"/>
    <w:basedOn w:val="1"/>
    <w:qFormat/>
    <w:uiPriority w:val="0"/>
    <w:pPr>
      <w:widowControl/>
      <w:pBdr>
        <w:top w:val="single" w:color="auto" w:sz="8" w:space="0"/>
        <w:left w:val="single" w:color="auto" w:sz="8" w:space="0"/>
      </w:pBdr>
      <w:autoSpaceDE/>
      <w:autoSpaceDN/>
      <w:adjustRightInd/>
      <w:spacing w:before="100" w:beforeAutospacing="1" w:after="100" w:afterAutospacing="1" w:line="360" w:lineRule="auto"/>
      <w:jc w:val="center"/>
      <w:textAlignment w:val="center"/>
    </w:pPr>
    <w:rPr>
      <w:rFonts w:hAnsi="宋体" w:cs="宋体"/>
      <w:color w:val="0D0D0D"/>
      <w:sz w:val="18"/>
      <w:szCs w:val="18"/>
    </w:rPr>
  </w:style>
  <w:style w:type="paragraph" w:customStyle="1" w:styleId="216">
    <w:name w:val="xl119"/>
    <w:basedOn w:val="1"/>
    <w:qFormat/>
    <w:uiPriority w:val="0"/>
    <w:pPr>
      <w:widowControl/>
      <w:pBdr>
        <w:top w:val="single" w:color="auto" w:sz="8" w:space="0"/>
      </w:pBdr>
      <w:autoSpaceDE/>
      <w:autoSpaceDN/>
      <w:adjustRightInd/>
      <w:spacing w:before="100" w:beforeAutospacing="1" w:after="100" w:afterAutospacing="1" w:line="360" w:lineRule="auto"/>
      <w:jc w:val="center"/>
      <w:textAlignment w:val="center"/>
    </w:pPr>
    <w:rPr>
      <w:rFonts w:hAnsi="宋体" w:cs="宋体"/>
      <w:color w:val="0D0D0D"/>
      <w:sz w:val="18"/>
      <w:szCs w:val="18"/>
    </w:rPr>
  </w:style>
  <w:style w:type="paragraph" w:customStyle="1" w:styleId="217">
    <w:name w:val="xl120"/>
    <w:basedOn w:val="1"/>
    <w:qFormat/>
    <w:uiPriority w:val="0"/>
    <w:pPr>
      <w:widowControl/>
      <w:pBdr>
        <w:left w:val="single" w:color="auto" w:sz="8" w:space="0"/>
        <w:bottom w:val="single" w:color="auto" w:sz="8" w:space="0"/>
      </w:pBdr>
      <w:autoSpaceDE/>
      <w:autoSpaceDN/>
      <w:adjustRightInd/>
      <w:spacing w:before="100" w:beforeAutospacing="1" w:after="100" w:afterAutospacing="1" w:line="360" w:lineRule="auto"/>
      <w:jc w:val="center"/>
      <w:textAlignment w:val="center"/>
    </w:pPr>
    <w:rPr>
      <w:rFonts w:hAnsi="宋体" w:cs="宋体"/>
      <w:color w:val="0D0D0D"/>
      <w:sz w:val="18"/>
      <w:szCs w:val="18"/>
    </w:rPr>
  </w:style>
  <w:style w:type="paragraph" w:customStyle="1" w:styleId="218">
    <w:name w:val="xl121"/>
    <w:basedOn w:val="1"/>
    <w:qFormat/>
    <w:uiPriority w:val="0"/>
    <w:pPr>
      <w:widowControl/>
      <w:pBdr>
        <w:top w:val="single" w:color="auto" w:sz="8" w:space="0"/>
        <w:left w:val="single" w:color="auto" w:sz="8" w:space="0"/>
      </w:pBdr>
      <w:autoSpaceDE/>
      <w:autoSpaceDN/>
      <w:adjustRightInd/>
      <w:spacing w:before="100" w:beforeAutospacing="1" w:after="100" w:afterAutospacing="1" w:line="360" w:lineRule="auto"/>
      <w:jc w:val="center"/>
      <w:textAlignment w:val="center"/>
    </w:pPr>
    <w:rPr>
      <w:rFonts w:hAnsi="宋体" w:cs="宋体"/>
      <w:color w:val="0D0D0D"/>
      <w:sz w:val="18"/>
      <w:szCs w:val="18"/>
    </w:rPr>
  </w:style>
  <w:style w:type="paragraph" w:customStyle="1" w:styleId="219">
    <w:name w:val="xl122"/>
    <w:basedOn w:val="1"/>
    <w:qFormat/>
    <w:uiPriority w:val="0"/>
    <w:pPr>
      <w:widowControl/>
      <w:pBdr>
        <w:top w:val="single" w:color="auto" w:sz="8" w:space="0"/>
      </w:pBdr>
      <w:autoSpaceDE/>
      <w:autoSpaceDN/>
      <w:adjustRightInd/>
      <w:spacing w:before="100" w:beforeAutospacing="1" w:after="100" w:afterAutospacing="1" w:line="360" w:lineRule="auto"/>
      <w:jc w:val="center"/>
      <w:textAlignment w:val="center"/>
    </w:pPr>
    <w:rPr>
      <w:rFonts w:hAnsi="宋体" w:cs="宋体"/>
      <w:color w:val="0D0D0D"/>
      <w:sz w:val="18"/>
      <w:szCs w:val="18"/>
    </w:rPr>
  </w:style>
  <w:style w:type="paragraph" w:customStyle="1" w:styleId="220">
    <w:name w:val="xl123"/>
    <w:basedOn w:val="1"/>
    <w:qFormat/>
    <w:uiPriority w:val="0"/>
    <w:pPr>
      <w:widowControl/>
      <w:pBdr>
        <w:top w:val="single" w:color="auto" w:sz="8" w:space="0"/>
        <w:right w:val="single" w:color="auto" w:sz="8" w:space="0"/>
      </w:pBdr>
      <w:autoSpaceDE/>
      <w:autoSpaceDN/>
      <w:adjustRightInd/>
      <w:spacing w:before="100" w:beforeAutospacing="1" w:after="100" w:afterAutospacing="1" w:line="360" w:lineRule="auto"/>
      <w:jc w:val="center"/>
      <w:textAlignment w:val="center"/>
    </w:pPr>
    <w:rPr>
      <w:rFonts w:hAnsi="宋体" w:cs="宋体"/>
      <w:color w:val="0D0D0D"/>
      <w:sz w:val="18"/>
      <w:szCs w:val="18"/>
    </w:rPr>
  </w:style>
  <w:style w:type="paragraph" w:customStyle="1" w:styleId="221">
    <w:name w:val="xl124"/>
    <w:basedOn w:val="1"/>
    <w:qFormat/>
    <w:uiPriority w:val="0"/>
    <w:pPr>
      <w:widowControl/>
      <w:pBdr>
        <w:left w:val="single" w:color="auto" w:sz="8" w:space="0"/>
        <w:bottom w:val="single" w:color="auto" w:sz="8" w:space="0"/>
      </w:pBdr>
      <w:autoSpaceDE/>
      <w:autoSpaceDN/>
      <w:adjustRightInd/>
      <w:spacing w:before="100" w:beforeAutospacing="1" w:after="100" w:afterAutospacing="1" w:line="360" w:lineRule="auto"/>
      <w:jc w:val="center"/>
      <w:textAlignment w:val="center"/>
    </w:pPr>
    <w:rPr>
      <w:rFonts w:hAnsi="宋体" w:cs="宋体"/>
      <w:color w:val="0D0D0D"/>
      <w:sz w:val="18"/>
      <w:szCs w:val="18"/>
    </w:rPr>
  </w:style>
  <w:style w:type="paragraph" w:customStyle="1" w:styleId="222">
    <w:name w:val="xl125"/>
    <w:basedOn w:val="1"/>
    <w:qFormat/>
    <w:uiPriority w:val="0"/>
    <w:pPr>
      <w:widowControl/>
      <w:pBdr>
        <w:bottom w:val="single" w:color="auto" w:sz="8" w:space="0"/>
      </w:pBdr>
      <w:autoSpaceDE/>
      <w:autoSpaceDN/>
      <w:adjustRightInd/>
      <w:spacing w:before="100" w:beforeAutospacing="1" w:after="100" w:afterAutospacing="1" w:line="360" w:lineRule="auto"/>
      <w:jc w:val="center"/>
      <w:textAlignment w:val="center"/>
    </w:pPr>
    <w:rPr>
      <w:rFonts w:hAnsi="宋体" w:cs="宋体"/>
      <w:color w:val="0D0D0D"/>
      <w:sz w:val="18"/>
      <w:szCs w:val="18"/>
    </w:rPr>
  </w:style>
  <w:style w:type="paragraph" w:customStyle="1" w:styleId="223">
    <w:name w:val="xl126"/>
    <w:basedOn w:val="1"/>
    <w:qFormat/>
    <w:uiPriority w:val="0"/>
    <w:pPr>
      <w:widowControl/>
      <w:pBdr>
        <w:top w:val="single" w:color="auto" w:sz="8" w:space="0"/>
        <w:left w:val="single" w:color="auto" w:sz="8" w:space="0"/>
        <w:right w:val="single" w:color="auto" w:sz="8" w:space="0"/>
      </w:pBdr>
      <w:autoSpaceDE/>
      <w:autoSpaceDN/>
      <w:adjustRightInd/>
      <w:spacing w:before="100" w:beforeAutospacing="1" w:after="100" w:afterAutospacing="1" w:line="360" w:lineRule="auto"/>
      <w:jc w:val="center"/>
      <w:textAlignment w:val="center"/>
    </w:pPr>
    <w:rPr>
      <w:rFonts w:hAnsi="宋体" w:cs="宋体"/>
      <w:color w:val="0D0D0D"/>
      <w:sz w:val="18"/>
      <w:szCs w:val="18"/>
    </w:rPr>
  </w:style>
  <w:style w:type="paragraph" w:customStyle="1" w:styleId="224">
    <w:name w:val="xl127"/>
    <w:basedOn w:val="1"/>
    <w:qFormat/>
    <w:uiPriority w:val="0"/>
    <w:pPr>
      <w:widowControl/>
      <w:pBdr>
        <w:left w:val="single" w:color="auto" w:sz="8" w:space="0"/>
        <w:right w:val="single" w:color="auto" w:sz="8" w:space="0"/>
      </w:pBdr>
      <w:autoSpaceDE/>
      <w:autoSpaceDN/>
      <w:adjustRightInd/>
      <w:spacing w:before="100" w:beforeAutospacing="1" w:after="100" w:afterAutospacing="1" w:line="360" w:lineRule="auto"/>
      <w:jc w:val="center"/>
      <w:textAlignment w:val="center"/>
    </w:pPr>
    <w:rPr>
      <w:rFonts w:hAnsi="宋体" w:cs="宋体"/>
      <w:color w:val="0D0D0D"/>
      <w:sz w:val="18"/>
      <w:szCs w:val="18"/>
    </w:rPr>
  </w:style>
  <w:style w:type="paragraph" w:customStyle="1" w:styleId="225">
    <w:name w:val="xl128"/>
    <w:basedOn w:val="1"/>
    <w:qFormat/>
    <w:uiPriority w:val="0"/>
    <w:pPr>
      <w:widowControl/>
      <w:pBdr>
        <w:left w:val="single" w:color="auto" w:sz="8" w:space="0"/>
        <w:bottom w:val="single" w:color="auto" w:sz="8" w:space="0"/>
        <w:right w:val="single" w:color="auto" w:sz="8" w:space="0"/>
      </w:pBdr>
      <w:autoSpaceDE/>
      <w:autoSpaceDN/>
      <w:adjustRightInd/>
      <w:spacing w:before="100" w:beforeAutospacing="1" w:after="100" w:afterAutospacing="1" w:line="360" w:lineRule="auto"/>
      <w:jc w:val="center"/>
      <w:textAlignment w:val="center"/>
    </w:pPr>
    <w:rPr>
      <w:rFonts w:hAnsi="宋体" w:cs="宋体"/>
      <w:color w:val="0D0D0D"/>
      <w:sz w:val="18"/>
      <w:szCs w:val="18"/>
    </w:rPr>
  </w:style>
  <w:style w:type="paragraph" w:customStyle="1" w:styleId="226">
    <w:name w:val="xl129"/>
    <w:basedOn w:val="1"/>
    <w:qFormat/>
    <w:uiPriority w:val="0"/>
    <w:pPr>
      <w:widowControl/>
      <w:pBdr>
        <w:top w:val="single" w:color="auto" w:sz="8" w:space="0"/>
        <w:left w:val="single" w:color="auto" w:sz="8" w:space="0"/>
        <w:right w:val="single" w:color="auto" w:sz="8" w:space="0"/>
      </w:pBdr>
      <w:autoSpaceDE/>
      <w:autoSpaceDN/>
      <w:adjustRightInd/>
      <w:spacing w:before="100" w:beforeAutospacing="1" w:after="100" w:afterAutospacing="1" w:line="360" w:lineRule="auto"/>
      <w:jc w:val="center"/>
      <w:textAlignment w:val="center"/>
    </w:pPr>
    <w:rPr>
      <w:rFonts w:ascii="Times New Roman"/>
      <w:color w:val="0D0D0D"/>
      <w:sz w:val="18"/>
      <w:szCs w:val="18"/>
    </w:rPr>
  </w:style>
  <w:style w:type="paragraph" w:customStyle="1" w:styleId="227">
    <w:name w:val="xl130"/>
    <w:basedOn w:val="1"/>
    <w:qFormat/>
    <w:uiPriority w:val="0"/>
    <w:pPr>
      <w:widowControl/>
      <w:pBdr>
        <w:left w:val="single" w:color="auto" w:sz="8" w:space="0"/>
        <w:bottom w:val="single" w:color="auto" w:sz="8" w:space="0"/>
        <w:right w:val="single" w:color="auto" w:sz="8" w:space="0"/>
      </w:pBdr>
      <w:autoSpaceDE/>
      <w:autoSpaceDN/>
      <w:adjustRightInd/>
      <w:spacing w:before="100" w:beforeAutospacing="1" w:after="100" w:afterAutospacing="1" w:line="360" w:lineRule="auto"/>
      <w:jc w:val="center"/>
      <w:textAlignment w:val="center"/>
    </w:pPr>
    <w:rPr>
      <w:rFonts w:ascii="Times New Roman"/>
      <w:color w:val="0D0D0D"/>
      <w:sz w:val="18"/>
      <w:szCs w:val="18"/>
    </w:rPr>
  </w:style>
  <w:style w:type="paragraph" w:customStyle="1" w:styleId="228">
    <w:name w:val="xl131"/>
    <w:basedOn w:val="1"/>
    <w:qFormat/>
    <w:uiPriority w:val="0"/>
    <w:pPr>
      <w:widowControl/>
      <w:pBdr>
        <w:top w:val="single" w:color="auto" w:sz="8" w:space="0"/>
        <w:left w:val="single" w:color="auto" w:sz="8" w:space="0"/>
        <w:right w:val="single" w:color="auto" w:sz="8" w:space="0"/>
      </w:pBdr>
      <w:autoSpaceDE/>
      <w:autoSpaceDN/>
      <w:adjustRightInd/>
      <w:spacing w:before="100" w:beforeAutospacing="1" w:after="100" w:afterAutospacing="1" w:line="360" w:lineRule="auto"/>
      <w:textAlignment w:val="center"/>
    </w:pPr>
    <w:rPr>
      <w:rFonts w:ascii="Times New Roman"/>
      <w:color w:val="0D0D0D"/>
      <w:sz w:val="18"/>
      <w:szCs w:val="18"/>
    </w:rPr>
  </w:style>
  <w:style w:type="paragraph" w:customStyle="1" w:styleId="229">
    <w:name w:val="xl132"/>
    <w:basedOn w:val="1"/>
    <w:qFormat/>
    <w:uiPriority w:val="0"/>
    <w:pPr>
      <w:widowControl/>
      <w:pBdr>
        <w:left w:val="single" w:color="auto" w:sz="8" w:space="0"/>
        <w:bottom w:val="single" w:color="auto" w:sz="8" w:space="0"/>
        <w:right w:val="single" w:color="auto" w:sz="8" w:space="0"/>
      </w:pBdr>
      <w:autoSpaceDE/>
      <w:autoSpaceDN/>
      <w:adjustRightInd/>
      <w:spacing w:before="100" w:beforeAutospacing="1" w:after="100" w:afterAutospacing="1" w:line="360" w:lineRule="auto"/>
      <w:textAlignment w:val="center"/>
    </w:pPr>
    <w:rPr>
      <w:rFonts w:ascii="Times New Roman"/>
      <w:color w:val="0D0D0D"/>
      <w:sz w:val="18"/>
      <w:szCs w:val="18"/>
    </w:rPr>
  </w:style>
  <w:style w:type="paragraph" w:customStyle="1" w:styleId="230">
    <w:name w:val="xl133"/>
    <w:basedOn w:val="1"/>
    <w:qFormat/>
    <w:uiPriority w:val="0"/>
    <w:pPr>
      <w:widowControl/>
      <w:pBdr>
        <w:top w:val="single" w:color="auto" w:sz="8" w:space="0"/>
        <w:left w:val="single" w:color="auto" w:sz="8" w:space="0"/>
        <w:right w:val="single" w:color="auto" w:sz="8" w:space="0"/>
      </w:pBdr>
      <w:autoSpaceDE/>
      <w:autoSpaceDN/>
      <w:adjustRightInd/>
      <w:spacing w:before="100" w:beforeAutospacing="1" w:after="100" w:afterAutospacing="1" w:line="360" w:lineRule="auto"/>
      <w:jc w:val="center"/>
      <w:textAlignment w:val="center"/>
    </w:pPr>
    <w:rPr>
      <w:rFonts w:hAnsi="宋体" w:cs="宋体"/>
      <w:color w:val="0D0D0D"/>
      <w:sz w:val="18"/>
      <w:szCs w:val="18"/>
    </w:rPr>
  </w:style>
  <w:style w:type="paragraph" w:customStyle="1" w:styleId="231">
    <w:name w:val="xl134"/>
    <w:basedOn w:val="1"/>
    <w:qFormat/>
    <w:uiPriority w:val="0"/>
    <w:pPr>
      <w:widowControl/>
      <w:pBdr>
        <w:left w:val="single" w:color="auto" w:sz="8" w:space="0"/>
        <w:bottom w:val="single" w:color="auto" w:sz="8" w:space="0"/>
        <w:right w:val="single" w:color="auto" w:sz="8" w:space="0"/>
      </w:pBdr>
      <w:autoSpaceDE/>
      <w:autoSpaceDN/>
      <w:adjustRightInd/>
      <w:spacing w:before="100" w:beforeAutospacing="1" w:after="100" w:afterAutospacing="1" w:line="360" w:lineRule="auto"/>
      <w:jc w:val="center"/>
      <w:textAlignment w:val="center"/>
    </w:pPr>
    <w:rPr>
      <w:rFonts w:hAnsi="宋体" w:cs="宋体"/>
      <w:color w:val="0D0D0D"/>
      <w:sz w:val="18"/>
      <w:szCs w:val="18"/>
    </w:rPr>
  </w:style>
  <w:style w:type="paragraph" w:customStyle="1" w:styleId="232">
    <w:name w:val="正文aa"/>
    <w:basedOn w:val="1"/>
    <w:link w:val="233"/>
    <w:qFormat/>
    <w:uiPriority w:val="0"/>
    <w:pPr>
      <w:autoSpaceDE/>
      <w:autoSpaceDN/>
      <w:adjustRightInd/>
      <w:spacing w:line="360" w:lineRule="auto"/>
      <w:jc w:val="both"/>
    </w:pPr>
    <w:rPr>
      <w:rFonts w:ascii="Times New Roman"/>
      <w:kern w:val="2"/>
      <w:sz w:val="24"/>
      <w:szCs w:val="24"/>
      <w:lang w:val="zh-CN"/>
    </w:rPr>
  </w:style>
  <w:style w:type="character" w:customStyle="1" w:styleId="233">
    <w:name w:val="正文aa Char"/>
    <w:link w:val="232"/>
    <w:qFormat/>
    <w:uiPriority w:val="0"/>
    <w:rPr>
      <w:kern w:val="2"/>
      <w:sz w:val="24"/>
      <w:szCs w:val="24"/>
      <w:lang w:val="zh-CN" w:eastAsia="zh-CN"/>
    </w:rPr>
  </w:style>
  <w:style w:type="paragraph" w:customStyle="1" w:styleId="234">
    <w:name w:val="4 Char"/>
    <w:basedOn w:val="1"/>
    <w:qFormat/>
    <w:uiPriority w:val="0"/>
    <w:pPr>
      <w:tabs>
        <w:tab w:val="left" w:pos="432"/>
      </w:tabs>
      <w:autoSpaceDE/>
      <w:autoSpaceDN/>
      <w:adjustRightInd/>
      <w:spacing w:line="360" w:lineRule="auto"/>
      <w:ind w:left="432" w:hanging="432"/>
      <w:jc w:val="center"/>
    </w:pPr>
    <w:rPr>
      <w:rFonts w:ascii="Times New Roman"/>
      <w:b/>
      <w:spacing w:val="20"/>
      <w:kern w:val="2"/>
      <w:sz w:val="24"/>
      <w:szCs w:val="24"/>
    </w:rPr>
  </w:style>
  <w:style w:type="paragraph" w:customStyle="1" w:styleId="235">
    <w:name w:val="font15"/>
    <w:basedOn w:val="1"/>
    <w:qFormat/>
    <w:uiPriority w:val="0"/>
    <w:pPr>
      <w:widowControl/>
      <w:autoSpaceDE/>
      <w:autoSpaceDN/>
      <w:adjustRightInd/>
      <w:spacing w:before="100" w:beforeAutospacing="1" w:after="100" w:afterAutospacing="1" w:line="360" w:lineRule="auto"/>
    </w:pPr>
    <w:rPr>
      <w:rFonts w:hAnsi="宋体" w:cs="宋体"/>
      <w:color w:val="000000"/>
      <w:sz w:val="18"/>
      <w:szCs w:val="18"/>
    </w:rPr>
  </w:style>
  <w:style w:type="paragraph" w:customStyle="1" w:styleId="236">
    <w:name w:val="font16"/>
    <w:basedOn w:val="1"/>
    <w:qFormat/>
    <w:uiPriority w:val="0"/>
    <w:pPr>
      <w:widowControl/>
      <w:autoSpaceDE/>
      <w:autoSpaceDN/>
      <w:adjustRightInd/>
      <w:spacing w:before="100" w:beforeAutospacing="1" w:after="100" w:afterAutospacing="1" w:line="360" w:lineRule="auto"/>
    </w:pPr>
    <w:rPr>
      <w:rFonts w:ascii="Times New Roman"/>
      <w:color w:val="000000"/>
    </w:rPr>
  </w:style>
  <w:style w:type="paragraph" w:customStyle="1" w:styleId="237">
    <w:name w:val="font17"/>
    <w:basedOn w:val="1"/>
    <w:qFormat/>
    <w:uiPriority w:val="0"/>
    <w:pPr>
      <w:widowControl/>
      <w:autoSpaceDE/>
      <w:autoSpaceDN/>
      <w:adjustRightInd/>
      <w:spacing w:before="100" w:beforeAutospacing="1" w:after="100" w:afterAutospacing="1" w:line="360" w:lineRule="auto"/>
    </w:pPr>
    <w:rPr>
      <w:rFonts w:hAnsi="宋体" w:cs="宋体"/>
      <w:color w:val="000000"/>
    </w:rPr>
  </w:style>
  <w:style w:type="paragraph" w:customStyle="1" w:styleId="238">
    <w:name w:val="font18"/>
    <w:basedOn w:val="1"/>
    <w:qFormat/>
    <w:uiPriority w:val="0"/>
    <w:pPr>
      <w:widowControl/>
      <w:autoSpaceDE/>
      <w:autoSpaceDN/>
      <w:adjustRightInd/>
      <w:spacing w:before="100" w:beforeAutospacing="1" w:after="100" w:afterAutospacing="1" w:line="360" w:lineRule="auto"/>
    </w:pPr>
    <w:rPr>
      <w:rFonts w:hAnsi="宋体" w:cs="宋体"/>
      <w:color w:val="000000"/>
      <w:sz w:val="18"/>
      <w:szCs w:val="18"/>
    </w:rPr>
  </w:style>
  <w:style w:type="paragraph" w:customStyle="1" w:styleId="239">
    <w:name w:val="font19"/>
    <w:basedOn w:val="1"/>
    <w:qFormat/>
    <w:uiPriority w:val="0"/>
    <w:pPr>
      <w:widowControl/>
      <w:autoSpaceDE/>
      <w:autoSpaceDN/>
      <w:adjustRightInd/>
      <w:spacing w:before="100" w:beforeAutospacing="1" w:after="100" w:afterAutospacing="1" w:line="360" w:lineRule="auto"/>
    </w:pPr>
    <w:rPr>
      <w:rFonts w:hAnsi="宋体" w:cs="宋体"/>
      <w:color w:val="0D0D0D"/>
    </w:rPr>
  </w:style>
  <w:style w:type="paragraph" w:customStyle="1" w:styleId="240">
    <w:name w:val="font20"/>
    <w:basedOn w:val="1"/>
    <w:qFormat/>
    <w:uiPriority w:val="0"/>
    <w:pPr>
      <w:widowControl/>
      <w:autoSpaceDE/>
      <w:autoSpaceDN/>
      <w:adjustRightInd/>
      <w:spacing w:before="100" w:beforeAutospacing="1" w:after="100" w:afterAutospacing="1" w:line="360" w:lineRule="auto"/>
    </w:pPr>
    <w:rPr>
      <w:rFonts w:hAnsi="宋体" w:cs="宋体"/>
      <w:color w:val="000000"/>
      <w:sz w:val="18"/>
      <w:szCs w:val="18"/>
    </w:rPr>
  </w:style>
  <w:style w:type="paragraph" w:customStyle="1" w:styleId="241">
    <w:name w:val="111newzhengwen"/>
    <w:basedOn w:val="1"/>
    <w:link w:val="242"/>
    <w:qFormat/>
    <w:uiPriority w:val="0"/>
    <w:pPr>
      <w:autoSpaceDE/>
      <w:autoSpaceDN/>
      <w:spacing w:line="360" w:lineRule="auto"/>
      <w:ind w:firstLine="200" w:firstLineChars="200"/>
      <w:jc w:val="both"/>
    </w:pPr>
    <w:rPr>
      <w:rFonts w:hAnsi="宋体"/>
      <w:kern w:val="2"/>
      <w:sz w:val="28"/>
      <w:szCs w:val="28"/>
    </w:rPr>
  </w:style>
  <w:style w:type="character" w:customStyle="1" w:styleId="242">
    <w:name w:val="111newzhengwen 字符"/>
    <w:basedOn w:val="43"/>
    <w:link w:val="241"/>
    <w:qFormat/>
    <w:uiPriority w:val="0"/>
    <w:rPr>
      <w:rFonts w:ascii="宋体" w:hAnsi="宋体"/>
      <w:kern w:val="2"/>
      <w:sz w:val="28"/>
      <w:szCs w:val="28"/>
    </w:rPr>
  </w:style>
  <w:style w:type="character" w:customStyle="1" w:styleId="243">
    <w:name w:val="题注 字符"/>
    <w:link w:val="13"/>
    <w:qFormat/>
    <w:uiPriority w:val="0"/>
    <w:rPr>
      <w:rFonts w:ascii="Arial" w:hAnsi="Arial" w:eastAsia="黑体"/>
      <w:kern w:val="2"/>
      <w:lang w:val="zh-CN" w:eastAsia="zh-CN"/>
    </w:rPr>
  </w:style>
  <w:style w:type="character" w:customStyle="1" w:styleId="244">
    <w:name w:val="副标题 字符"/>
    <w:basedOn w:val="43"/>
    <w:link w:val="32"/>
    <w:qFormat/>
    <w:uiPriority w:val="11"/>
    <w:rPr>
      <w:rFonts w:cstheme="majorBidi"/>
      <w:bCs/>
      <w:kern w:val="28"/>
      <w:sz w:val="24"/>
      <w:szCs w:val="32"/>
    </w:rPr>
  </w:style>
  <w:style w:type="paragraph" w:customStyle="1" w:styleId="245">
    <w:name w:val="表格字体"/>
    <w:basedOn w:val="1"/>
    <w:link w:val="246"/>
    <w:qFormat/>
    <w:uiPriority w:val="0"/>
    <w:pPr>
      <w:autoSpaceDE/>
      <w:autoSpaceDN/>
      <w:adjustRightInd/>
      <w:spacing w:line="360" w:lineRule="auto"/>
      <w:jc w:val="center"/>
    </w:pPr>
    <w:rPr>
      <w:rFonts w:ascii="Times New Roman"/>
      <w:kern w:val="2"/>
      <w:sz w:val="18"/>
      <w:szCs w:val="24"/>
    </w:rPr>
  </w:style>
  <w:style w:type="character" w:customStyle="1" w:styleId="246">
    <w:name w:val="表格字体 Char"/>
    <w:basedOn w:val="43"/>
    <w:link w:val="245"/>
    <w:qFormat/>
    <w:uiPriority w:val="0"/>
    <w:rPr>
      <w:kern w:val="2"/>
      <w:sz w:val="18"/>
      <w:szCs w:val="24"/>
    </w:rPr>
  </w:style>
  <w:style w:type="character" w:customStyle="1" w:styleId="247">
    <w:name w:val="标题 5 字符"/>
    <w:basedOn w:val="43"/>
    <w:link w:val="7"/>
    <w:qFormat/>
    <w:uiPriority w:val="9"/>
    <w:rPr>
      <w:rFonts w:ascii="宋体"/>
      <w:b/>
      <w:bCs/>
      <w:sz w:val="28"/>
      <w:szCs w:val="28"/>
    </w:rPr>
  </w:style>
  <w:style w:type="paragraph" w:styleId="248">
    <w:name w:val="No Spacing"/>
    <w:basedOn w:val="1"/>
    <w:next w:val="1"/>
    <w:link w:val="249"/>
    <w:qFormat/>
    <w:uiPriority w:val="1"/>
    <w:pPr>
      <w:autoSpaceDE/>
      <w:autoSpaceDN/>
      <w:adjustRightInd/>
      <w:spacing w:before="156" w:beforeLines="50" w:line="360" w:lineRule="auto"/>
      <w:jc w:val="center"/>
    </w:pPr>
    <w:rPr>
      <w:rFonts w:ascii="Times New Roman" w:cstheme="minorBidi"/>
      <w:kern w:val="2"/>
      <w:sz w:val="24"/>
      <w:szCs w:val="22"/>
    </w:rPr>
  </w:style>
  <w:style w:type="character" w:customStyle="1" w:styleId="249">
    <w:name w:val="无间隔 字符"/>
    <w:basedOn w:val="43"/>
    <w:link w:val="248"/>
    <w:qFormat/>
    <w:uiPriority w:val="1"/>
    <w:rPr>
      <w:rFonts w:cstheme="minorBidi"/>
      <w:kern w:val="2"/>
      <w:sz w:val="24"/>
      <w:szCs w:val="22"/>
    </w:rPr>
  </w:style>
  <w:style w:type="table" w:customStyle="1" w:styleId="250">
    <w:name w:val="网格型3"/>
    <w:basedOn w:val="4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51">
    <w:name w:val="表格"/>
    <w:basedOn w:val="1"/>
    <w:link w:val="252"/>
    <w:qFormat/>
    <w:uiPriority w:val="0"/>
    <w:pPr>
      <w:autoSpaceDE/>
      <w:autoSpaceDN/>
      <w:snapToGrid w:val="0"/>
      <w:spacing w:line="360" w:lineRule="auto"/>
      <w:jc w:val="center"/>
    </w:pPr>
    <w:rPr>
      <w:rFonts w:ascii="Times New Roman"/>
      <w:kern w:val="2"/>
      <w:sz w:val="24"/>
      <w:szCs w:val="21"/>
    </w:rPr>
  </w:style>
  <w:style w:type="character" w:customStyle="1" w:styleId="252">
    <w:name w:val="表格 字符"/>
    <w:basedOn w:val="43"/>
    <w:link w:val="251"/>
    <w:qFormat/>
    <w:uiPriority w:val="0"/>
    <w:rPr>
      <w:kern w:val="2"/>
      <w:sz w:val="24"/>
      <w:szCs w:val="21"/>
    </w:rPr>
  </w:style>
  <w:style w:type="character" w:customStyle="1" w:styleId="253">
    <w:name w:val="表格标题 字符"/>
    <w:basedOn w:val="43"/>
    <w:qFormat/>
    <w:uiPriority w:val="0"/>
    <w:rPr>
      <w:rFonts w:ascii="Times New Roman" w:hAnsi="Times New Roman" w:eastAsia="黑体"/>
      <w:b/>
      <w:kern w:val="2"/>
      <w:sz w:val="21"/>
      <w:szCs w:val="21"/>
    </w:rPr>
  </w:style>
  <w:style w:type="paragraph" w:customStyle="1" w:styleId="254">
    <w:name w:val="样式1"/>
    <w:basedOn w:val="1"/>
    <w:qFormat/>
    <w:uiPriority w:val="0"/>
    <w:pPr>
      <w:autoSpaceDE/>
      <w:autoSpaceDN/>
      <w:adjustRightInd/>
      <w:spacing w:line="15" w:lineRule="auto"/>
      <w:jc w:val="center"/>
    </w:pPr>
    <w:rPr>
      <w:rFonts w:asciiTheme="minorHAnsi" w:hAnsiTheme="minorHAnsi" w:eastAsiaTheme="minorEastAsia" w:cstheme="minorBidi"/>
      <w:kern w:val="2"/>
      <w:sz w:val="24"/>
      <w:szCs w:val="24"/>
    </w:rPr>
  </w:style>
  <w:style w:type="character" w:customStyle="1" w:styleId="255">
    <w:name w:val="font3 Char"/>
    <w:basedOn w:val="43"/>
    <w:qFormat/>
    <w:uiPriority w:val="0"/>
    <w:rPr>
      <w:rFonts w:hint="eastAsia" w:ascii="宋体" w:hAnsi="宋体" w:eastAsia="宋体"/>
      <w:snapToGrid/>
      <w:color w:val="000000"/>
      <w:spacing w:val="0"/>
      <w:w w:val="100"/>
      <w:kern w:val="0"/>
      <w:position w:val="0"/>
      <w:sz w:val="21"/>
      <w:szCs w:val="21"/>
      <w:u w:val="none"/>
      <w:vertAlign w:val="baseline"/>
      <w14:shadow w14:blurRad="0" w14:dist="0" w14:dir="0" w14:sx="0" w14:sy="0" w14:kx="0" w14:ky="0" w14:algn="none">
        <w14:srgbClr w14:val="000000"/>
      </w14:shadow>
    </w:rPr>
  </w:style>
  <w:style w:type="character" w:customStyle="1" w:styleId="256">
    <w:name w:val="正文文本缩进 3 字符"/>
    <w:basedOn w:val="43"/>
    <w:link w:val="34"/>
    <w:qFormat/>
    <w:uiPriority w:val="99"/>
    <w:rPr>
      <w:kern w:val="2"/>
      <w:sz w:val="16"/>
      <w:szCs w:val="16"/>
    </w:rPr>
  </w:style>
  <w:style w:type="character" w:customStyle="1" w:styleId="257">
    <w:name w:val="正文文本 3 字符"/>
    <w:basedOn w:val="43"/>
    <w:link w:val="18"/>
    <w:qFormat/>
    <w:uiPriority w:val="99"/>
    <w:rPr>
      <w:rFonts w:eastAsiaTheme="minorEastAsia" w:cstheme="minorBidi"/>
      <w:kern w:val="2"/>
      <w:sz w:val="16"/>
      <w:szCs w:val="16"/>
    </w:rPr>
  </w:style>
  <w:style w:type="table" w:customStyle="1" w:styleId="258">
    <w:name w:val="网格型1"/>
    <w:basedOn w:val="41"/>
    <w:qFormat/>
    <w:uiPriority w:val="3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59">
    <w:name w:val="批注主题 字符"/>
    <w:basedOn w:val="58"/>
    <w:link w:val="40"/>
    <w:qFormat/>
    <w:uiPriority w:val="99"/>
    <w:rPr>
      <w:rFonts w:ascii="宋体"/>
      <w:b/>
      <w:bCs/>
    </w:rPr>
  </w:style>
  <w:style w:type="paragraph" w:customStyle="1" w:styleId="260">
    <w:name w:val="xl63"/>
    <w:basedOn w:val="1"/>
    <w:qFormat/>
    <w:uiPriority w:val="0"/>
    <w:pPr>
      <w:widowControl/>
      <w:autoSpaceDE/>
      <w:autoSpaceDN/>
      <w:adjustRightInd/>
      <w:spacing w:before="100" w:beforeAutospacing="1" w:after="100" w:afterAutospacing="1" w:line="360" w:lineRule="auto"/>
      <w:jc w:val="center"/>
    </w:pPr>
    <w:rPr>
      <w:rFonts w:hAnsi="宋体" w:cs="宋体"/>
      <w:b/>
      <w:bCs/>
    </w:rPr>
  </w:style>
  <w:style w:type="paragraph" w:customStyle="1" w:styleId="261">
    <w:name w:val="xl64"/>
    <w:basedOn w:val="1"/>
    <w:qFormat/>
    <w:uiPriority w:val="0"/>
    <w:pPr>
      <w:widowControl/>
      <w:autoSpaceDE/>
      <w:autoSpaceDN/>
      <w:adjustRightInd/>
      <w:spacing w:before="100" w:beforeAutospacing="1" w:after="100" w:afterAutospacing="1" w:line="360" w:lineRule="auto"/>
    </w:pPr>
    <w:rPr>
      <w:rFonts w:hAnsi="宋体" w:cs="宋体"/>
    </w:rPr>
  </w:style>
  <w:style w:type="paragraph" w:customStyle="1" w:styleId="262">
    <w:name w:val="msonormal"/>
    <w:basedOn w:val="1"/>
    <w:qFormat/>
    <w:uiPriority w:val="0"/>
    <w:pPr>
      <w:widowControl/>
      <w:autoSpaceDE/>
      <w:autoSpaceDN/>
      <w:adjustRightInd/>
      <w:spacing w:before="100" w:beforeAutospacing="1" w:after="100" w:afterAutospacing="1" w:line="360" w:lineRule="auto"/>
    </w:pPr>
    <w:rPr>
      <w:rFonts w:hAnsi="宋体" w:cs="宋体"/>
      <w:sz w:val="24"/>
      <w:szCs w:val="24"/>
    </w:rPr>
  </w:style>
  <w:style w:type="character" w:customStyle="1" w:styleId="263">
    <w:name w:val="东北北部-三级标题"/>
    <w:qFormat/>
    <w:uiPriority w:val="0"/>
    <w:rPr>
      <w:rFonts w:ascii="华文中宋" w:hAnsi="华文中宋" w:eastAsia="华文中宋"/>
      <w:sz w:val="30"/>
      <w:szCs w:val="30"/>
    </w:rPr>
  </w:style>
  <w:style w:type="character" w:customStyle="1" w:styleId="264">
    <w:name w:val="标题 6 字符"/>
    <w:basedOn w:val="43"/>
    <w:link w:val="8"/>
    <w:qFormat/>
    <w:uiPriority w:val="0"/>
    <w:rPr>
      <w:rFonts w:ascii="Arial" w:hAnsi="Arial" w:eastAsia="黑体"/>
      <w:b/>
      <w:bCs/>
      <w:sz w:val="24"/>
      <w:szCs w:val="24"/>
    </w:rPr>
  </w:style>
  <w:style w:type="paragraph" w:customStyle="1" w:styleId="265">
    <w:name w:val="表内"/>
    <w:basedOn w:val="1"/>
    <w:link w:val="266"/>
    <w:qFormat/>
    <w:uiPriority w:val="0"/>
    <w:pPr>
      <w:autoSpaceDE/>
      <w:autoSpaceDN/>
      <w:adjustRightInd/>
      <w:spacing w:line="240" w:lineRule="exact"/>
      <w:jc w:val="center"/>
    </w:pPr>
    <w:rPr>
      <w:rFonts w:ascii="Times New Roman"/>
      <w:kern w:val="2"/>
      <w:sz w:val="18"/>
      <w:szCs w:val="24"/>
    </w:rPr>
  </w:style>
  <w:style w:type="character" w:customStyle="1" w:styleId="266">
    <w:name w:val="表内 Char"/>
    <w:basedOn w:val="43"/>
    <w:link w:val="265"/>
    <w:qFormat/>
    <w:uiPriority w:val="0"/>
    <w:rPr>
      <w:kern w:val="2"/>
      <w:sz w:val="18"/>
      <w:szCs w:val="24"/>
    </w:rPr>
  </w:style>
  <w:style w:type="character" w:customStyle="1" w:styleId="267">
    <w:name w:val="副标题 字符2"/>
    <w:qFormat/>
    <w:uiPriority w:val="11"/>
    <w:rPr>
      <w:rFonts w:ascii="Times New Roman" w:hAnsi="Times New Roman" w:eastAsia="黑体" w:cs="Times New Roman"/>
      <w:bCs/>
      <w:kern w:val="28"/>
      <w:szCs w:val="32"/>
    </w:rPr>
  </w:style>
  <w:style w:type="table" w:customStyle="1" w:styleId="268">
    <w:name w:val="网格型1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269">
    <w:name w:val="标题 8 字符"/>
    <w:basedOn w:val="43"/>
    <w:link w:val="10"/>
    <w:qFormat/>
    <w:uiPriority w:val="0"/>
    <w:rPr>
      <w:rFonts w:ascii="Arial" w:hAnsi="Arial" w:eastAsia="黑体"/>
      <w:sz w:val="24"/>
      <w:szCs w:val="24"/>
    </w:rPr>
  </w:style>
  <w:style w:type="character" w:customStyle="1" w:styleId="270">
    <w:name w:val="标题 9 字符"/>
    <w:basedOn w:val="43"/>
    <w:link w:val="11"/>
    <w:qFormat/>
    <w:uiPriority w:val="0"/>
    <w:rPr>
      <w:rFonts w:ascii="Arial" w:hAnsi="Arial" w:eastAsia="黑体"/>
      <w:sz w:val="21"/>
      <w:szCs w:val="21"/>
    </w:rPr>
  </w:style>
  <w:style w:type="character" w:customStyle="1" w:styleId="271">
    <w:name w:val="正文1 Char"/>
    <w:qFormat/>
    <w:locked/>
    <w:uiPriority w:val="99"/>
    <w:rPr>
      <w:rFonts w:ascii="仿宋_GB2312" w:eastAsia="仿宋_GB2312"/>
      <w:sz w:val="28"/>
    </w:rPr>
  </w:style>
  <w:style w:type="character" w:customStyle="1" w:styleId="272">
    <w:name w:val="font01"/>
    <w:basedOn w:val="43"/>
    <w:qFormat/>
    <w:uiPriority w:val="0"/>
    <w:rPr>
      <w:rFonts w:hint="eastAsia" w:ascii="宋体" w:hAnsi="宋体" w:eastAsia="宋体" w:cs="宋体"/>
      <w:color w:val="000000"/>
      <w:sz w:val="24"/>
      <w:szCs w:val="24"/>
      <w:u w:val="none"/>
    </w:rPr>
  </w:style>
  <w:style w:type="character" w:customStyle="1" w:styleId="273">
    <w:name w:val="font61"/>
    <w:basedOn w:val="43"/>
    <w:qFormat/>
    <w:uiPriority w:val="0"/>
    <w:rPr>
      <w:rFonts w:hint="eastAsia" w:ascii="宋体" w:hAnsi="宋体" w:eastAsia="宋体" w:cs="宋体"/>
      <w:color w:val="000000"/>
      <w:sz w:val="24"/>
      <w:szCs w:val="24"/>
      <w:u w:val="none"/>
    </w:rPr>
  </w:style>
  <w:style w:type="paragraph" w:customStyle="1" w:styleId="274">
    <w:name w:val="修订4"/>
    <w:hidden/>
    <w:unhideWhenUsed/>
    <w:qFormat/>
    <w:uiPriority w:val="99"/>
    <w:rPr>
      <w:rFonts w:ascii="宋体"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theme" Target="theme/theme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O:\0000&#20013;&#24515;&#39033;&#30446;&#31649;&#29702;&#30456;&#20851;&#26448;&#26009;-&#20219;20180711\&#25237;&#26631;\&#24278;&#21338;&#22763;&#36865;&#26816;&#26679;&#21697;&#25307;&#26631;\&#30465;&#36130;&#25919;&#19987;&#39033;&#36136;&#26816;&#26679;&#20998;&#26512;&#27979;&#35797;&#25307;&#26631;&#20070;&#65288;2018-01-04&#6528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省财政专项质检样分析测试招标书（2018-01-04）.dotx</Template>
  <Company>Microsoft</Company>
  <Pages>43</Pages>
  <Words>21120</Words>
  <Characters>22365</Characters>
  <Lines>205</Lines>
  <Paragraphs>57</Paragraphs>
  <TotalTime>6</TotalTime>
  <ScaleCrop>false</ScaleCrop>
  <LinksUpToDate>false</LinksUpToDate>
  <CharactersWithSpaces>23786</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2023-08-18T02:26:00Z</dcterms:created>
  <dc:creator>user</dc:creator>
  <cp:lastModifiedBy>hore ki</cp:lastModifiedBy>
  <cp:lastPrinted>2016-09-30T09:34:00Z</cp:lastPrinted>
  <dcterms:modified xsi:type="dcterms:W3CDTF">2024-11-18T07:58:15Z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695756AB22E748499EF29EFB737882E2_13</vt:lpwstr>
  </property>
</Properties>
</file>