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5"/>
        <w:jc w:val="both"/>
        <w:rPr>
          <w:rFonts w:hint="eastAsia" w:asciiTheme="majorEastAsia" w:hAnsiTheme="majorEastAsia" w:eastAsiaTheme="majorEastAsia" w:cstheme="majorEastAsia"/>
          <w:b/>
          <w:bCs/>
          <w:color w:val="auto"/>
          <w:sz w:val="84"/>
          <w:szCs w:val="84"/>
        </w:rPr>
      </w:pPr>
      <w:bookmarkStart w:id="0" w:name="_Toc383587456"/>
      <w:bookmarkStart w:id="1" w:name="_Toc390246905"/>
      <w:bookmarkStart w:id="2" w:name="_Toc390099018"/>
      <w:bookmarkStart w:id="3" w:name="_Toc426469868"/>
      <w:bookmarkStart w:id="4" w:name="_Toc383623944"/>
      <w:bookmarkStart w:id="5" w:name="_Toc383679746"/>
      <w:bookmarkStart w:id="6" w:name="_Toc383698647"/>
      <w:bookmarkStart w:id="7" w:name="_Toc390098840"/>
      <w:bookmarkStart w:id="8" w:name="_Toc383625993"/>
      <w:bookmarkStart w:id="9" w:name="_Toc383623672"/>
    </w:p>
    <w:p>
      <w:pPr>
        <w:pStyle w:val="35"/>
        <w:jc w:val="center"/>
        <w:rPr>
          <w:rFonts w:hint="eastAsia" w:asciiTheme="majorEastAsia" w:hAnsiTheme="majorEastAsia" w:eastAsiaTheme="majorEastAsia" w:cstheme="majorEastAsia"/>
          <w:b/>
          <w:bCs/>
          <w:color w:val="auto"/>
          <w:sz w:val="84"/>
          <w:szCs w:val="84"/>
        </w:rPr>
      </w:pPr>
      <w:r>
        <w:rPr>
          <w:rFonts w:hint="eastAsia" w:asciiTheme="majorEastAsia" w:hAnsiTheme="majorEastAsia" w:eastAsiaTheme="majorEastAsia" w:cstheme="majorEastAsia"/>
          <w:b/>
          <w:bCs/>
          <w:color w:val="auto"/>
          <w:sz w:val="72"/>
          <w:szCs w:val="72"/>
        </w:rPr>
        <w:t>招　标　文　件</w:t>
      </w:r>
    </w:p>
    <w:p>
      <w:pPr>
        <w:pStyle w:val="35"/>
        <w:spacing w:line="540" w:lineRule="exact"/>
        <w:rPr>
          <w:rFonts w:hint="eastAsia" w:asciiTheme="majorEastAsia" w:hAnsiTheme="majorEastAsia" w:eastAsiaTheme="majorEastAsia" w:cstheme="majorEastAsia"/>
          <w:b/>
          <w:bCs/>
          <w:color w:val="auto"/>
          <w:sz w:val="32"/>
          <w:szCs w:val="32"/>
        </w:rPr>
      </w:pPr>
    </w:p>
    <w:p>
      <w:pPr>
        <w:pStyle w:val="35"/>
        <w:spacing w:line="540" w:lineRule="exact"/>
        <w:rPr>
          <w:rFonts w:hint="eastAsia" w:asciiTheme="majorEastAsia" w:hAnsiTheme="majorEastAsia" w:eastAsiaTheme="majorEastAsia" w:cstheme="majorEastAsia"/>
          <w:b/>
          <w:bCs/>
          <w:color w:val="auto"/>
          <w:sz w:val="32"/>
          <w:szCs w:val="32"/>
        </w:rPr>
      </w:pPr>
    </w:p>
    <w:p>
      <w:pPr>
        <w:pStyle w:val="35"/>
        <w:spacing w:line="540" w:lineRule="exact"/>
        <w:rPr>
          <w:rFonts w:hint="eastAsia" w:asciiTheme="majorEastAsia" w:hAnsiTheme="majorEastAsia" w:eastAsiaTheme="majorEastAsia" w:cstheme="majorEastAsia"/>
          <w:b/>
          <w:bCs/>
          <w:color w:val="auto"/>
          <w:sz w:val="32"/>
          <w:szCs w:val="32"/>
        </w:rPr>
      </w:pPr>
    </w:p>
    <w:p>
      <w:pPr>
        <w:pStyle w:val="35"/>
        <w:spacing w:line="540" w:lineRule="exact"/>
        <w:rPr>
          <w:rFonts w:hint="eastAsia" w:asciiTheme="majorEastAsia" w:hAnsiTheme="majorEastAsia" w:eastAsiaTheme="majorEastAsia" w:cstheme="majorEastAsia"/>
          <w:b/>
          <w:bCs/>
          <w:color w:val="auto"/>
          <w:sz w:val="32"/>
          <w:szCs w:val="32"/>
        </w:rPr>
      </w:pPr>
      <w:r>
        <w:rPr>
          <w:rFonts w:hint="eastAsia" w:asciiTheme="majorEastAsia" w:hAnsiTheme="majorEastAsia" w:eastAsiaTheme="majorEastAsia" w:cstheme="majorEastAsia"/>
          <w:b/>
          <w:bCs/>
          <w:color w:val="auto"/>
          <w:sz w:val="32"/>
          <w:szCs w:val="32"/>
        </w:rPr>
        <w:t xml:space="preserve">                                                                                                                                                                                                                                                                                                                                                                                                                                                                                                                                                                                                                                                                                                                                                                                                                                                                                                                                                                                                                                                                                                                                                                                                                                                                                                                                                                                                                                                                                                                                                                                                                         </w:t>
      </w:r>
    </w:p>
    <w:p>
      <w:pPr>
        <w:widowControl/>
        <w:spacing w:line="360" w:lineRule="auto"/>
        <w:ind w:left="1855" w:leftChars="151" w:hanging="1493" w:hangingChars="413"/>
        <w:jc w:val="left"/>
        <w:rPr>
          <w:rFonts w:hint="eastAsia" w:asciiTheme="majorEastAsia" w:hAnsiTheme="majorEastAsia" w:eastAsiaTheme="majorEastAsia" w:cstheme="majorEastAsia"/>
          <w:b/>
          <w:bCs/>
          <w:color w:val="auto"/>
          <w:sz w:val="36"/>
          <w:szCs w:val="36"/>
        </w:rPr>
      </w:pPr>
      <w:r>
        <w:rPr>
          <w:rFonts w:hint="eastAsia" w:asciiTheme="majorEastAsia" w:hAnsiTheme="majorEastAsia" w:eastAsiaTheme="majorEastAsia" w:cstheme="majorEastAsia"/>
          <w:b/>
          <w:bCs/>
          <w:color w:val="auto"/>
          <w:sz w:val="36"/>
          <w:szCs w:val="36"/>
        </w:rPr>
        <w:t>项目名称</w:t>
      </w:r>
      <w:r>
        <w:rPr>
          <w:rFonts w:hint="eastAsia" w:asciiTheme="majorEastAsia" w:hAnsiTheme="majorEastAsia" w:eastAsiaTheme="majorEastAsia" w:cstheme="majorEastAsia"/>
          <w:color w:val="auto"/>
          <w:sz w:val="36"/>
          <w:szCs w:val="36"/>
        </w:rPr>
        <w:t>：</w:t>
      </w:r>
      <w:r>
        <w:rPr>
          <w:rFonts w:hint="eastAsia" w:asciiTheme="majorEastAsia" w:hAnsiTheme="majorEastAsia" w:eastAsiaTheme="majorEastAsia" w:cstheme="majorEastAsia"/>
          <w:b/>
          <w:bCs/>
          <w:color w:val="auto"/>
          <w:sz w:val="36"/>
          <w:szCs w:val="36"/>
          <w:lang w:eastAsia="zh-CN"/>
        </w:rPr>
        <w:t>泰兴市分界镇电商产业园冷库项目</w:t>
      </w:r>
      <w:r>
        <w:rPr>
          <w:rFonts w:hint="eastAsia" w:asciiTheme="majorEastAsia" w:hAnsiTheme="majorEastAsia" w:eastAsiaTheme="majorEastAsia" w:cstheme="majorEastAsia"/>
          <w:b/>
          <w:bCs/>
          <w:color w:val="auto"/>
          <w:sz w:val="36"/>
          <w:szCs w:val="36"/>
        </w:rPr>
        <w:t xml:space="preserve"> </w:t>
      </w:r>
    </w:p>
    <w:p>
      <w:pPr>
        <w:widowControl/>
        <w:spacing w:line="360" w:lineRule="auto"/>
        <w:rPr>
          <w:rFonts w:hint="eastAsia" w:asciiTheme="majorEastAsia" w:hAnsiTheme="majorEastAsia" w:eastAsiaTheme="majorEastAsia" w:cstheme="majorEastAsia"/>
          <w:b/>
          <w:bCs/>
          <w:color w:val="auto"/>
          <w:sz w:val="36"/>
          <w:szCs w:val="36"/>
        </w:rPr>
      </w:pPr>
    </w:p>
    <w:p>
      <w:pPr>
        <w:widowControl/>
        <w:spacing w:line="360" w:lineRule="auto"/>
        <w:ind w:firstLine="361" w:firstLineChars="100"/>
        <w:rPr>
          <w:rFonts w:hint="eastAsia" w:asciiTheme="majorEastAsia" w:hAnsiTheme="majorEastAsia" w:eastAsiaTheme="majorEastAsia" w:cstheme="majorEastAsia"/>
          <w:color w:val="auto"/>
          <w:sz w:val="44"/>
          <w:szCs w:val="44"/>
          <w:lang w:eastAsia="zh-CN"/>
        </w:rPr>
      </w:pPr>
      <w:r>
        <w:rPr>
          <w:rFonts w:hint="eastAsia" w:asciiTheme="majorEastAsia" w:hAnsiTheme="majorEastAsia" w:eastAsiaTheme="majorEastAsia" w:cstheme="majorEastAsia"/>
          <w:b/>
          <w:bCs/>
          <w:color w:val="auto"/>
          <w:sz w:val="36"/>
          <w:szCs w:val="36"/>
        </w:rPr>
        <w:t>项目编号：</w:t>
      </w:r>
      <w:r>
        <w:rPr>
          <w:rFonts w:hint="eastAsia" w:asciiTheme="majorEastAsia" w:hAnsiTheme="majorEastAsia" w:eastAsiaTheme="majorEastAsia" w:cstheme="majorEastAsia"/>
          <w:b/>
          <w:bCs/>
          <w:color w:val="auto"/>
          <w:sz w:val="36"/>
          <w:szCs w:val="36"/>
          <w:lang w:eastAsia="zh-CN"/>
        </w:rPr>
        <w:t>JSZC-321283-TZZN-G2024-0004</w:t>
      </w:r>
    </w:p>
    <w:p>
      <w:pPr>
        <w:pStyle w:val="35"/>
        <w:spacing w:line="540" w:lineRule="exact"/>
        <w:ind w:firstLine="643" w:firstLineChars="200"/>
        <w:jc w:val="center"/>
        <w:rPr>
          <w:rFonts w:hint="eastAsia" w:asciiTheme="majorEastAsia" w:hAnsiTheme="majorEastAsia" w:eastAsiaTheme="majorEastAsia" w:cstheme="majorEastAsia"/>
          <w:b/>
          <w:color w:val="auto"/>
          <w:sz w:val="32"/>
          <w:szCs w:val="32"/>
        </w:rPr>
      </w:pPr>
    </w:p>
    <w:p>
      <w:pPr>
        <w:pStyle w:val="35"/>
        <w:spacing w:line="540" w:lineRule="exact"/>
        <w:ind w:firstLine="643" w:firstLineChars="200"/>
        <w:jc w:val="center"/>
        <w:rPr>
          <w:rFonts w:hint="eastAsia" w:asciiTheme="majorEastAsia" w:hAnsiTheme="majorEastAsia" w:eastAsiaTheme="majorEastAsia" w:cstheme="majorEastAsia"/>
          <w:b/>
          <w:color w:val="auto"/>
          <w:sz w:val="32"/>
          <w:szCs w:val="32"/>
        </w:rPr>
      </w:pPr>
    </w:p>
    <w:p>
      <w:pPr>
        <w:pStyle w:val="35"/>
        <w:spacing w:line="540" w:lineRule="exact"/>
        <w:ind w:firstLine="643" w:firstLineChars="200"/>
        <w:jc w:val="center"/>
        <w:rPr>
          <w:rFonts w:hint="eastAsia" w:asciiTheme="majorEastAsia" w:hAnsiTheme="majorEastAsia" w:eastAsiaTheme="majorEastAsia" w:cstheme="majorEastAsia"/>
          <w:b/>
          <w:color w:val="auto"/>
          <w:sz w:val="32"/>
          <w:szCs w:val="32"/>
        </w:rPr>
      </w:pPr>
    </w:p>
    <w:p>
      <w:pPr>
        <w:pStyle w:val="35"/>
        <w:spacing w:line="540" w:lineRule="exact"/>
        <w:ind w:firstLine="643" w:firstLineChars="200"/>
        <w:jc w:val="center"/>
        <w:rPr>
          <w:rFonts w:hint="eastAsia" w:asciiTheme="majorEastAsia" w:hAnsiTheme="majorEastAsia" w:eastAsiaTheme="majorEastAsia" w:cstheme="majorEastAsia"/>
          <w:b/>
          <w:color w:val="auto"/>
          <w:sz w:val="32"/>
          <w:szCs w:val="32"/>
        </w:rPr>
      </w:pPr>
    </w:p>
    <w:p>
      <w:pPr>
        <w:pStyle w:val="35"/>
        <w:spacing w:line="540" w:lineRule="exact"/>
        <w:ind w:firstLine="643" w:firstLineChars="200"/>
        <w:jc w:val="center"/>
        <w:rPr>
          <w:rFonts w:hint="eastAsia" w:asciiTheme="majorEastAsia" w:hAnsiTheme="majorEastAsia" w:eastAsiaTheme="majorEastAsia" w:cstheme="majorEastAsia"/>
          <w:b/>
          <w:color w:val="auto"/>
          <w:sz w:val="32"/>
          <w:szCs w:val="32"/>
        </w:rPr>
      </w:pPr>
    </w:p>
    <w:p>
      <w:pPr>
        <w:pStyle w:val="35"/>
        <w:spacing w:line="540" w:lineRule="exact"/>
        <w:ind w:firstLine="643" w:firstLineChars="200"/>
        <w:jc w:val="center"/>
        <w:rPr>
          <w:rFonts w:hint="eastAsia" w:asciiTheme="majorEastAsia" w:hAnsiTheme="majorEastAsia" w:eastAsiaTheme="majorEastAsia" w:cstheme="majorEastAsia"/>
          <w:b/>
          <w:color w:val="auto"/>
          <w:sz w:val="32"/>
          <w:szCs w:val="32"/>
        </w:rPr>
      </w:pPr>
    </w:p>
    <w:p>
      <w:pPr>
        <w:pStyle w:val="35"/>
        <w:spacing w:line="540" w:lineRule="exact"/>
        <w:ind w:firstLine="643" w:firstLineChars="200"/>
        <w:jc w:val="center"/>
        <w:rPr>
          <w:rFonts w:hint="eastAsia" w:asciiTheme="majorEastAsia" w:hAnsiTheme="majorEastAsia" w:eastAsiaTheme="majorEastAsia" w:cstheme="majorEastAsia"/>
          <w:b/>
          <w:color w:val="auto"/>
          <w:sz w:val="32"/>
          <w:szCs w:val="32"/>
        </w:rPr>
      </w:pPr>
    </w:p>
    <w:p>
      <w:pPr>
        <w:pStyle w:val="53"/>
        <w:spacing w:before="0" w:after="0" w:line="500" w:lineRule="exact"/>
        <w:ind w:firstLine="0" w:firstLineChars="0"/>
        <w:jc w:val="center"/>
        <w:outlineLvl w:val="0"/>
        <w:rPr>
          <w:rFonts w:hint="eastAsia" w:asciiTheme="majorEastAsia" w:hAnsiTheme="majorEastAsia" w:eastAsiaTheme="majorEastAsia" w:cstheme="majorEastAsia"/>
          <w:b/>
          <w:bCs/>
          <w:color w:val="auto"/>
          <w:sz w:val="30"/>
          <w:szCs w:val="30"/>
          <w:lang w:val="en-US" w:eastAsia="zh-CN"/>
        </w:rPr>
      </w:pPr>
      <w:bookmarkStart w:id="10" w:name="_Toc8578"/>
      <w:r>
        <w:rPr>
          <w:rFonts w:hint="eastAsia" w:asciiTheme="majorEastAsia" w:hAnsiTheme="majorEastAsia" w:eastAsiaTheme="majorEastAsia" w:cstheme="majorEastAsia"/>
          <w:b/>
          <w:bCs/>
          <w:color w:val="auto"/>
          <w:sz w:val="30"/>
          <w:szCs w:val="30"/>
        </w:rPr>
        <w:t>采购人：</w:t>
      </w:r>
      <w:bookmarkEnd w:id="10"/>
      <w:r>
        <w:rPr>
          <w:rFonts w:hint="eastAsia" w:asciiTheme="majorEastAsia" w:hAnsiTheme="majorEastAsia" w:eastAsiaTheme="majorEastAsia" w:cstheme="majorEastAsia"/>
          <w:b/>
          <w:bCs/>
          <w:color w:val="auto"/>
          <w:sz w:val="30"/>
          <w:szCs w:val="30"/>
          <w:lang w:val="en-US" w:eastAsia="zh-CN"/>
        </w:rPr>
        <w:t>泰兴市分界镇人民政府</w:t>
      </w:r>
    </w:p>
    <w:p>
      <w:pPr>
        <w:pStyle w:val="53"/>
        <w:spacing w:before="0" w:after="0" w:line="500" w:lineRule="exact"/>
        <w:ind w:firstLine="0"/>
        <w:jc w:val="center"/>
        <w:rPr>
          <w:rFonts w:hint="eastAsia" w:asciiTheme="majorEastAsia" w:hAnsiTheme="majorEastAsia" w:eastAsiaTheme="majorEastAsia" w:cstheme="majorEastAsia"/>
          <w:b/>
          <w:bCs/>
          <w:color w:val="auto"/>
          <w:sz w:val="30"/>
          <w:szCs w:val="30"/>
        </w:rPr>
      </w:pPr>
    </w:p>
    <w:p>
      <w:pPr>
        <w:pStyle w:val="53"/>
        <w:spacing w:before="0" w:after="0" w:line="500" w:lineRule="exact"/>
        <w:ind w:firstLine="0"/>
        <w:jc w:val="center"/>
        <w:outlineLvl w:val="0"/>
        <w:rPr>
          <w:rFonts w:hint="eastAsia" w:asciiTheme="majorEastAsia" w:hAnsiTheme="majorEastAsia" w:eastAsiaTheme="majorEastAsia" w:cstheme="majorEastAsia"/>
          <w:b/>
          <w:bCs/>
          <w:color w:val="auto"/>
          <w:sz w:val="30"/>
          <w:szCs w:val="30"/>
          <w:lang w:eastAsia="zh-CN"/>
        </w:rPr>
      </w:pPr>
      <w:bookmarkStart w:id="11" w:name="_Toc16534"/>
      <w:r>
        <w:rPr>
          <w:rFonts w:hint="eastAsia" w:asciiTheme="majorEastAsia" w:hAnsiTheme="majorEastAsia" w:eastAsiaTheme="majorEastAsia" w:cstheme="majorEastAsia"/>
          <w:b/>
          <w:bCs/>
          <w:color w:val="auto"/>
          <w:sz w:val="30"/>
          <w:szCs w:val="30"/>
        </w:rPr>
        <w:t>代理机构：</w:t>
      </w:r>
      <w:bookmarkEnd w:id="11"/>
      <w:r>
        <w:rPr>
          <w:rFonts w:hint="eastAsia" w:asciiTheme="majorEastAsia" w:hAnsiTheme="majorEastAsia" w:eastAsiaTheme="majorEastAsia" w:cstheme="majorEastAsia"/>
          <w:b/>
          <w:bCs/>
          <w:color w:val="auto"/>
          <w:sz w:val="30"/>
          <w:szCs w:val="30"/>
          <w:lang w:eastAsia="zh-CN"/>
        </w:rPr>
        <w:t>江苏天择建设管理有限公司</w:t>
      </w:r>
    </w:p>
    <w:p>
      <w:pPr>
        <w:pStyle w:val="53"/>
        <w:spacing w:before="0" w:after="0" w:line="500" w:lineRule="exact"/>
        <w:ind w:firstLine="0"/>
        <w:rPr>
          <w:rFonts w:hint="eastAsia" w:asciiTheme="majorEastAsia" w:hAnsiTheme="majorEastAsia" w:eastAsiaTheme="majorEastAsia" w:cstheme="majorEastAsia"/>
          <w:b/>
          <w:bCs/>
          <w:color w:val="auto"/>
          <w:sz w:val="30"/>
          <w:szCs w:val="30"/>
        </w:rPr>
      </w:pPr>
    </w:p>
    <w:p>
      <w:pPr>
        <w:pStyle w:val="53"/>
        <w:spacing w:before="0" w:after="0" w:line="360" w:lineRule="exact"/>
        <w:ind w:left="0" w:firstLine="0" w:firstLineChars="0"/>
        <w:jc w:val="center"/>
        <w:rPr>
          <w:rFonts w:hint="eastAsia" w:asciiTheme="majorEastAsia" w:hAnsiTheme="majorEastAsia" w:eastAsiaTheme="majorEastAsia" w:cstheme="majorEastAsia"/>
          <w:b/>
          <w:color w:val="auto"/>
          <w:sz w:val="30"/>
          <w:szCs w:val="30"/>
        </w:rPr>
      </w:pPr>
      <w:r>
        <w:rPr>
          <w:rFonts w:hint="eastAsia" w:asciiTheme="majorEastAsia" w:hAnsiTheme="majorEastAsia" w:eastAsiaTheme="majorEastAsia" w:cstheme="majorEastAsia"/>
          <w:b/>
          <w:color w:val="auto"/>
          <w:sz w:val="30"/>
          <w:szCs w:val="30"/>
        </w:rPr>
        <w:t>二○二</w:t>
      </w:r>
      <w:r>
        <w:rPr>
          <w:rFonts w:hint="eastAsia" w:asciiTheme="majorEastAsia" w:hAnsiTheme="majorEastAsia" w:eastAsiaTheme="majorEastAsia" w:cstheme="majorEastAsia"/>
          <w:b/>
          <w:color w:val="auto"/>
          <w:sz w:val="30"/>
          <w:szCs w:val="30"/>
          <w:lang w:val="en-US" w:eastAsia="zh-CN"/>
        </w:rPr>
        <w:t>四</w:t>
      </w:r>
      <w:r>
        <w:rPr>
          <w:rFonts w:hint="eastAsia" w:asciiTheme="majorEastAsia" w:hAnsiTheme="majorEastAsia" w:eastAsiaTheme="majorEastAsia" w:cstheme="majorEastAsia"/>
          <w:b/>
          <w:color w:val="auto"/>
          <w:sz w:val="30"/>
          <w:szCs w:val="30"/>
        </w:rPr>
        <w:t>年</w:t>
      </w:r>
      <w:r>
        <w:rPr>
          <w:rFonts w:hint="eastAsia" w:asciiTheme="majorEastAsia" w:hAnsiTheme="majorEastAsia" w:eastAsiaTheme="majorEastAsia" w:cstheme="majorEastAsia"/>
          <w:b/>
          <w:color w:val="auto"/>
          <w:sz w:val="30"/>
          <w:szCs w:val="30"/>
          <w:lang w:val="en-US" w:eastAsia="zh-CN"/>
        </w:rPr>
        <w:t>七</w:t>
      </w:r>
      <w:r>
        <w:rPr>
          <w:rFonts w:hint="eastAsia" w:asciiTheme="majorEastAsia" w:hAnsiTheme="majorEastAsia" w:eastAsiaTheme="majorEastAsia" w:cstheme="majorEastAsia"/>
          <w:b/>
          <w:color w:val="auto"/>
          <w:sz w:val="30"/>
          <w:szCs w:val="30"/>
        </w:rPr>
        <w:t>月</w:t>
      </w:r>
    </w:p>
    <w:p>
      <w:pPr>
        <w:rPr>
          <w:rFonts w:hint="eastAsia" w:asciiTheme="majorEastAsia" w:hAnsiTheme="majorEastAsia" w:eastAsiaTheme="majorEastAsia" w:cstheme="majorEastAsia"/>
          <w:b/>
          <w:color w:val="auto"/>
          <w:sz w:val="30"/>
          <w:szCs w:val="30"/>
        </w:rPr>
      </w:pPr>
      <w:r>
        <w:rPr>
          <w:rFonts w:hint="eastAsia" w:asciiTheme="majorEastAsia" w:hAnsiTheme="majorEastAsia" w:eastAsiaTheme="majorEastAsia" w:cstheme="majorEastAsia"/>
          <w:b/>
          <w:color w:val="auto"/>
          <w:sz w:val="30"/>
          <w:szCs w:val="30"/>
        </w:rPr>
        <w:br w:type="page"/>
      </w:r>
    </w:p>
    <w:p>
      <w:pPr>
        <w:pStyle w:val="53"/>
        <w:spacing w:before="0" w:after="0" w:line="360" w:lineRule="exact"/>
        <w:ind w:left="1110" w:firstLine="2259" w:firstLineChars="750"/>
        <w:rPr>
          <w:rFonts w:hint="eastAsia" w:asciiTheme="majorEastAsia" w:hAnsiTheme="majorEastAsia" w:eastAsiaTheme="majorEastAsia" w:cstheme="majorEastAsia"/>
          <w:b/>
          <w:color w:val="auto"/>
          <w:sz w:val="30"/>
          <w:szCs w:val="30"/>
        </w:rPr>
      </w:pPr>
    </w:p>
    <w:sdt>
      <w:sdtPr>
        <w:rPr>
          <w:rFonts w:ascii="宋体" w:hAnsi="宋体" w:eastAsia="宋体" w:cs="Times New Roman"/>
          <w:color w:val="auto"/>
          <w:sz w:val="21"/>
          <w:szCs w:val="24"/>
          <w:lang w:val="en-US" w:eastAsia="zh-CN" w:bidi="ar-SA"/>
        </w:rPr>
        <w:id w:val="147467045"/>
        <w15:color w:val="DBDBDB"/>
        <w:docPartObj>
          <w:docPartGallery w:val="Table of Contents"/>
          <w:docPartUnique/>
        </w:docPartObj>
      </w:sdtPr>
      <w:sdtEndPr>
        <w:rPr>
          <w:rFonts w:ascii="宋体" w:hAnsi="宋体" w:eastAsia="宋体" w:cs="Times New Roman"/>
          <w:b/>
          <w:color w:val="auto"/>
          <w:sz w:val="21"/>
          <w:szCs w:val="24"/>
          <w:lang w:val="en-US" w:eastAsia="zh-CN" w:bidi="ar-SA"/>
        </w:rPr>
      </w:sdtEndPr>
      <w:sdtContent>
        <w:p>
          <w:pPr>
            <w:spacing w:before="0" w:beforeLines="0" w:after="0" w:afterLines="0" w:line="240" w:lineRule="auto"/>
            <w:ind w:left="0" w:leftChars="0" w:right="0" w:rightChars="0" w:firstLine="0" w:firstLineChars="0"/>
            <w:jc w:val="center"/>
            <w:rPr>
              <w:color w:val="auto"/>
            </w:rPr>
          </w:pPr>
          <w:r>
            <w:rPr>
              <w:rFonts w:hint="eastAsia" w:asciiTheme="majorEastAsia" w:hAnsiTheme="majorEastAsia" w:eastAsiaTheme="majorEastAsia" w:cstheme="majorEastAsia"/>
              <w:b/>
              <w:bCs/>
              <w:color w:val="auto"/>
              <w:sz w:val="32"/>
              <w:szCs w:val="32"/>
            </w:rPr>
            <w:t>目</w:t>
          </w:r>
          <w:r>
            <w:rPr>
              <w:rFonts w:hint="eastAsia" w:asciiTheme="majorEastAsia" w:hAnsiTheme="majorEastAsia" w:eastAsiaTheme="majorEastAsia" w:cstheme="majorEastAsia"/>
              <w:b/>
              <w:bCs/>
              <w:color w:val="auto"/>
              <w:sz w:val="32"/>
              <w:szCs w:val="32"/>
              <w:lang w:val="en-US" w:eastAsia="zh-CN"/>
            </w:rPr>
            <w:t xml:space="preserve">  </w:t>
          </w:r>
          <w:r>
            <w:rPr>
              <w:rFonts w:hint="eastAsia" w:asciiTheme="majorEastAsia" w:hAnsiTheme="majorEastAsia" w:eastAsiaTheme="majorEastAsia" w:cstheme="majorEastAsia"/>
              <w:b/>
              <w:bCs/>
              <w:color w:val="auto"/>
              <w:sz w:val="32"/>
              <w:szCs w:val="32"/>
            </w:rPr>
            <w:t>录</w:t>
          </w:r>
        </w:p>
        <w:p>
          <w:pPr>
            <w:pStyle w:val="57"/>
            <w:tabs>
              <w:tab w:val="right" w:leader="dot" w:pos="8548"/>
            </w:tabs>
            <w:rPr>
              <w:b/>
              <w:color w:val="auto"/>
            </w:rPr>
          </w:pPr>
          <w:r>
            <w:rPr>
              <w:color w:val="auto"/>
            </w:rPr>
            <w:fldChar w:fldCharType="begin"/>
          </w:r>
          <w:r>
            <w:rPr>
              <w:color w:val="auto"/>
            </w:rPr>
            <w:instrText xml:space="preserve">TOC \o "1-2" \h \u </w:instrText>
          </w:r>
          <w:r>
            <w:rPr>
              <w:color w:val="auto"/>
            </w:rPr>
            <w:fldChar w:fldCharType="separate"/>
          </w:r>
        </w:p>
        <w:p>
          <w:pPr>
            <w:pStyle w:val="57"/>
            <w:tabs>
              <w:tab w:val="right" w:leader="dot" w:pos="8548"/>
            </w:tabs>
            <w:rPr>
              <w:b/>
              <w:color w:val="auto"/>
              <w:sz w:val="24"/>
              <w:szCs w:val="24"/>
            </w:rPr>
          </w:pPr>
          <w:r>
            <w:rPr>
              <w:b/>
              <w:color w:val="auto"/>
              <w:sz w:val="24"/>
              <w:szCs w:val="24"/>
            </w:rPr>
            <w:fldChar w:fldCharType="begin"/>
          </w:r>
          <w:r>
            <w:rPr>
              <w:b/>
              <w:color w:val="auto"/>
              <w:sz w:val="24"/>
              <w:szCs w:val="24"/>
            </w:rPr>
            <w:instrText xml:space="preserve"> HYPERLINK \l _Toc24611 </w:instrText>
          </w:r>
          <w:r>
            <w:rPr>
              <w:b/>
              <w:color w:val="auto"/>
              <w:sz w:val="24"/>
              <w:szCs w:val="24"/>
            </w:rPr>
            <w:fldChar w:fldCharType="separate"/>
          </w:r>
          <w:r>
            <w:rPr>
              <w:rFonts w:hint="eastAsia" w:asciiTheme="majorEastAsia" w:hAnsiTheme="majorEastAsia" w:eastAsiaTheme="majorEastAsia" w:cstheme="majorEastAsia"/>
              <w:b/>
              <w:color w:val="auto"/>
              <w:sz w:val="24"/>
              <w:szCs w:val="24"/>
            </w:rPr>
            <w:t>第一章 招标公告</w:t>
          </w:r>
          <w:r>
            <w:rPr>
              <w:b/>
              <w:color w:val="auto"/>
              <w:sz w:val="24"/>
              <w:szCs w:val="24"/>
            </w:rPr>
            <w:tab/>
          </w:r>
          <w:r>
            <w:rPr>
              <w:b/>
              <w:color w:val="auto"/>
              <w:sz w:val="24"/>
              <w:szCs w:val="24"/>
            </w:rPr>
            <w:fldChar w:fldCharType="begin"/>
          </w:r>
          <w:r>
            <w:rPr>
              <w:b/>
              <w:color w:val="auto"/>
              <w:sz w:val="24"/>
              <w:szCs w:val="24"/>
            </w:rPr>
            <w:instrText xml:space="preserve"> PAGEREF _Toc24611 \h </w:instrText>
          </w:r>
          <w:r>
            <w:rPr>
              <w:b/>
              <w:color w:val="auto"/>
              <w:sz w:val="24"/>
              <w:szCs w:val="24"/>
            </w:rPr>
            <w:fldChar w:fldCharType="separate"/>
          </w:r>
          <w:r>
            <w:rPr>
              <w:b/>
              <w:color w:val="auto"/>
              <w:sz w:val="24"/>
              <w:szCs w:val="24"/>
            </w:rPr>
            <w:t>4</w:t>
          </w:r>
          <w:r>
            <w:rPr>
              <w:b/>
              <w:color w:val="auto"/>
              <w:sz w:val="24"/>
              <w:szCs w:val="24"/>
            </w:rPr>
            <w:fldChar w:fldCharType="end"/>
          </w:r>
          <w:r>
            <w:rPr>
              <w:b/>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_Toc8644 </w:instrText>
          </w:r>
          <w:r>
            <w:rPr>
              <w:color w:val="auto"/>
              <w:sz w:val="24"/>
              <w:szCs w:val="24"/>
            </w:rPr>
            <w:fldChar w:fldCharType="separate"/>
          </w:r>
          <w:r>
            <w:rPr>
              <w:rFonts w:hint="eastAsia" w:asciiTheme="majorEastAsia" w:hAnsiTheme="majorEastAsia" w:eastAsiaTheme="majorEastAsia" w:cstheme="majorEastAsia"/>
              <w:color w:val="auto"/>
              <w:sz w:val="24"/>
              <w:szCs w:val="24"/>
            </w:rPr>
            <w:t>一、项目基本情况</w:t>
          </w:r>
          <w:r>
            <w:rPr>
              <w:color w:val="auto"/>
              <w:sz w:val="24"/>
              <w:szCs w:val="24"/>
            </w:rPr>
            <w:tab/>
          </w:r>
          <w:r>
            <w:rPr>
              <w:color w:val="auto"/>
              <w:sz w:val="24"/>
              <w:szCs w:val="24"/>
            </w:rPr>
            <w:fldChar w:fldCharType="begin"/>
          </w:r>
          <w:r>
            <w:rPr>
              <w:color w:val="auto"/>
              <w:sz w:val="24"/>
              <w:szCs w:val="24"/>
            </w:rPr>
            <w:instrText xml:space="preserve"> PAGEREF _Toc8644 \h </w:instrText>
          </w:r>
          <w:r>
            <w:rPr>
              <w:color w:val="auto"/>
              <w:sz w:val="24"/>
              <w:szCs w:val="24"/>
            </w:rPr>
            <w:fldChar w:fldCharType="separate"/>
          </w:r>
          <w:r>
            <w:rPr>
              <w:color w:val="auto"/>
              <w:sz w:val="24"/>
              <w:szCs w:val="24"/>
            </w:rPr>
            <w:t>4</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_Toc24495 </w:instrText>
          </w:r>
          <w:r>
            <w:rPr>
              <w:color w:val="auto"/>
              <w:sz w:val="24"/>
              <w:szCs w:val="24"/>
            </w:rPr>
            <w:fldChar w:fldCharType="separate"/>
          </w:r>
          <w:r>
            <w:rPr>
              <w:rFonts w:hint="eastAsia" w:asciiTheme="majorEastAsia" w:hAnsiTheme="majorEastAsia" w:eastAsiaTheme="majorEastAsia" w:cstheme="majorEastAsia"/>
              <w:color w:val="auto"/>
              <w:sz w:val="24"/>
              <w:szCs w:val="24"/>
            </w:rPr>
            <w:t>二、申请人的资格要求：</w:t>
          </w:r>
          <w:r>
            <w:rPr>
              <w:color w:val="auto"/>
              <w:sz w:val="24"/>
              <w:szCs w:val="24"/>
            </w:rPr>
            <w:tab/>
          </w:r>
          <w:r>
            <w:rPr>
              <w:color w:val="auto"/>
              <w:sz w:val="24"/>
              <w:szCs w:val="24"/>
            </w:rPr>
            <w:fldChar w:fldCharType="begin"/>
          </w:r>
          <w:r>
            <w:rPr>
              <w:color w:val="auto"/>
              <w:sz w:val="24"/>
              <w:szCs w:val="24"/>
            </w:rPr>
            <w:instrText xml:space="preserve"> PAGEREF _Toc24495 \h </w:instrText>
          </w:r>
          <w:r>
            <w:rPr>
              <w:color w:val="auto"/>
              <w:sz w:val="24"/>
              <w:szCs w:val="24"/>
            </w:rPr>
            <w:fldChar w:fldCharType="separate"/>
          </w:r>
          <w:r>
            <w:rPr>
              <w:color w:val="auto"/>
              <w:sz w:val="24"/>
              <w:szCs w:val="24"/>
            </w:rPr>
            <w:t>4</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_Toc1657 </w:instrText>
          </w:r>
          <w:r>
            <w:rPr>
              <w:color w:val="auto"/>
              <w:sz w:val="24"/>
              <w:szCs w:val="24"/>
            </w:rPr>
            <w:fldChar w:fldCharType="separate"/>
          </w:r>
          <w:r>
            <w:rPr>
              <w:rFonts w:hint="eastAsia" w:asciiTheme="majorEastAsia" w:hAnsiTheme="majorEastAsia" w:eastAsiaTheme="majorEastAsia" w:cstheme="majorEastAsia"/>
              <w:color w:val="auto"/>
              <w:sz w:val="24"/>
              <w:szCs w:val="24"/>
            </w:rPr>
            <w:t>三、获取招标文件</w:t>
          </w:r>
          <w:r>
            <w:rPr>
              <w:color w:val="auto"/>
              <w:sz w:val="24"/>
              <w:szCs w:val="24"/>
            </w:rPr>
            <w:tab/>
          </w:r>
          <w:r>
            <w:rPr>
              <w:color w:val="auto"/>
              <w:sz w:val="24"/>
              <w:szCs w:val="24"/>
            </w:rPr>
            <w:fldChar w:fldCharType="begin"/>
          </w:r>
          <w:r>
            <w:rPr>
              <w:color w:val="auto"/>
              <w:sz w:val="24"/>
              <w:szCs w:val="24"/>
            </w:rPr>
            <w:instrText xml:space="preserve"> PAGEREF _Toc1657 \h </w:instrText>
          </w:r>
          <w:r>
            <w:rPr>
              <w:color w:val="auto"/>
              <w:sz w:val="24"/>
              <w:szCs w:val="24"/>
            </w:rPr>
            <w:fldChar w:fldCharType="separate"/>
          </w:r>
          <w:r>
            <w:rPr>
              <w:color w:val="auto"/>
              <w:sz w:val="24"/>
              <w:szCs w:val="24"/>
            </w:rPr>
            <w:t>4</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_Toc17642 </w:instrText>
          </w:r>
          <w:r>
            <w:rPr>
              <w:color w:val="auto"/>
              <w:sz w:val="24"/>
              <w:szCs w:val="24"/>
            </w:rPr>
            <w:fldChar w:fldCharType="separate"/>
          </w:r>
          <w:r>
            <w:rPr>
              <w:rFonts w:hint="eastAsia" w:asciiTheme="majorEastAsia" w:hAnsiTheme="majorEastAsia" w:eastAsiaTheme="majorEastAsia" w:cstheme="majorEastAsia"/>
              <w:color w:val="auto"/>
              <w:sz w:val="24"/>
              <w:szCs w:val="24"/>
            </w:rPr>
            <w:t>四、提交投标文件截止时间、开标时间和地点</w:t>
          </w:r>
          <w:r>
            <w:rPr>
              <w:color w:val="auto"/>
              <w:sz w:val="24"/>
              <w:szCs w:val="24"/>
            </w:rPr>
            <w:tab/>
          </w:r>
          <w:r>
            <w:rPr>
              <w:color w:val="auto"/>
              <w:sz w:val="24"/>
              <w:szCs w:val="24"/>
            </w:rPr>
            <w:fldChar w:fldCharType="begin"/>
          </w:r>
          <w:r>
            <w:rPr>
              <w:color w:val="auto"/>
              <w:sz w:val="24"/>
              <w:szCs w:val="24"/>
            </w:rPr>
            <w:instrText xml:space="preserve"> PAGEREF _Toc17642 \h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_Toc13270 </w:instrText>
          </w:r>
          <w:r>
            <w:rPr>
              <w:color w:val="auto"/>
              <w:sz w:val="24"/>
              <w:szCs w:val="24"/>
            </w:rPr>
            <w:fldChar w:fldCharType="separate"/>
          </w:r>
          <w:r>
            <w:rPr>
              <w:rFonts w:hint="eastAsia" w:asciiTheme="majorEastAsia" w:hAnsiTheme="majorEastAsia" w:eastAsiaTheme="majorEastAsia" w:cstheme="majorEastAsia"/>
              <w:color w:val="auto"/>
              <w:sz w:val="24"/>
              <w:szCs w:val="24"/>
            </w:rPr>
            <w:t>五、公告期限</w:t>
          </w:r>
          <w:r>
            <w:rPr>
              <w:color w:val="auto"/>
              <w:sz w:val="24"/>
              <w:szCs w:val="24"/>
            </w:rPr>
            <w:tab/>
          </w:r>
          <w:r>
            <w:rPr>
              <w:color w:val="auto"/>
              <w:sz w:val="24"/>
              <w:szCs w:val="24"/>
            </w:rPr>
            <w:fldChar w:fldCharType="begin"/>
          </w:r>
          <w:r>
            <w:rPr>
              <w:color w:val="auto"/>
              <w:sz w:val="24"/>
              <w:szCs w:val="24"/>
            </w:rPr>
            <w:instrText xml:space="preserve"> PAGEREF _Toc13270 \h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_Toc24651 </w:instrText>
          </w:r>
          <w:r>
            <w:rPr>
              <w:color w:val="auto"/>
              <w:sz w:val="24"/>
              <w:szCs w:val="24"/>
            </w:rPr>
            <w:fldChar w:fldCharType="separate"/>
          </w:r>
          <w:r>
            <w:rPr>
              <w:rFonts w:hint="eastAsia" w:asciiTheme="majorEastAsia" w:hAnsiTheme="majorEastAsia" w:eastAsiaTheme="majorEastAsia" w:cstheme="majorEastAsia"/>
              <w:color w:val="auto"/>
              <w:sz w:val="24"/>
              <w:szCs w:val="24"/>
            </w:rPr>
            <w:t>六、其他补充事宜</w:t>
          </w:r>
          <w:r>
            <w:rPr>
              <w:color w:val="auto"/>
              <w:sz w:val="24"/>
              <w:szCs w:val="24"/>
            </w:rPr>
            <w:tab/>
          </w:r>
          <w:r>
            <w:rPr>
              <w:color w:val="auto"/>
              <w:sz w:val="24"/>
              <w:szCs w:val="24"/>
            </w:rPr>
            <w:fldChar w:fldCharType="begin"/>
          </w:r>
          <w:r>
            <w:rPr>
              <w:color w:val="auto"/>
              <w:sz w:val="24"/>
              <w:szCs w:val="24"/>
            </w:rPr>
            <w:instrText xml:space="preserve"> PAGEREF _Toc24651 \h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_Toc18289 </w:instrText>
          </w:r>
          <w:r>
            <w:rPr>
              <w:color w:val="auto"/>
              <w:sz w:val="24"/>
              <w:szCs w:val="24"/>
            </w:rPr>
            <w:fldChar w:fldCharType="separate"/>
          </w:r>
          <w:r>
            <w:rPr>
              <w:rFonts w:hint="eastAsia" w:asciiTheme="majorEastAsia" w:hAnsiTheme="majorEastAsia" w:eastAsiaTheme="majorEastAsia" w:cstheme="majorEastAsia"/>
              <w:color w:val="auto"/>
              <w:sz w:val="24"/>
              <w:szCs w:val="24"/>
            </w:rPr>
            <w:t>七、对本次招标提出询问，请按以下方式联系。</w:t>
          </w:r>
          <w:r>
            <w:rPr>
              <w:color w:val="auto"/>
              <w:sz w:val="24"/>
              <w:szCs w:val="24"/>
            </w:rPr>
            <w:tab/>
          </w:r>
          <w:r>
            <w:rPr>
              <w:color w:val="auto"/>
              <w:sz w:val="24"/>
              <w:szCs w:val="24"/>
            </w:rPr>
            <w:fldChar w:fldCharType="begin"/>
          </w:r>
          <w:r>
            <w:rPr>
              <w:color w:val="auto"/>
              <w:sz w:val="24"/>
              <w:szCs w:val="24"/>
            </w:rPr>
            <w:instrText xml:space="preserve"> PAGEREF _Toc18289 \h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pPr>
            <w:pStyle w:val="57"/>
            <w:tabs>
              <w:tab w:val="right" w:leader="dot" w:pos="8548"/>
            </w:tabs>
            <w:rPr>
              <w:b/>
              <w:color w:val="auto"/>
              <w:sz w:val="24"/>
              <w:szCs w:val="24"/>
            </w:rPr>
          </w:pPr>
          <w:r>
            <w:rPr>
              <w:b/>
              <w:color w:val="auto"/>
              <w:sz w:val="24"/>
              <w:szCs w:val="24"/>
            </w:rPr>
            <w:fldChar w:fldCharType="begin"/>
          </w:r>
          <w:r>
            <w:rPr>
              <w:b/>
              <w:color w:val="auto"/>
              <w:sz w:val="24"/>
              <w:szCs w:val="24"/>
            </w:rPr>
            <w:instrText xml:space="preserve"> HYPERLINK \l _Toc987 </w:instrText>
          </w:r>
          <w:r>
            <w:rPr>
              <w:b/>
              <w:color w:val="auto"/>
              <w:sz w:val="24"/>
              <w:szCs w:val="24"/>
            </w:rPr>
            <w:fldChar w:fldCharType="separate"/>
          </w:r>
          <w:r>
            <w:rPr>
              <w:rFonts w:hint="eastAsia" w:asciiTheme="majorEastAsia" w:hAnsiTheme="majorEastAsia" w:eastAsiaTheme="majorEastAsia" w:cstheme="majorEastAsia"/>
              <w:b/>
              <w:color w:val="auto"/>
              <w:sz w:val="24"/>
              <w:szCs w:val="24"/>
            </w:rPr>
            <w:t>第二章 供应商须知</w:t>
          </w:r>
          <w:r>
            <w:rPr>
              <w:b/>
              <w:color w:val="auto"/>
              <w:sz w:val="24"/>
              <w:szCs w:val="24"/>
            </w:rPr>
            <w:tab/>
          </w:r>
          <w:r>
            <w:rPr>
              <w:b/>
              <w:color w:val="auto"/>
              <w:sz w:val="24"/>
              <w:szCs w:val="24"/>
            </w:rPr>
            <w:fldChar w:fldCharType="begin"/>
          </w:r>
          <w:r>
            <w:rPr>
              <w:b/>
              <w:color w:val="auto"/>
              <w:sz w:val="24"/>
              <w:szCs w:val="24"/>
            </w:rPr>
            <w:instrText xml:space="preserve"> PAGEREF _Toc987 \h </w:instrText>
          </w:r>
          <w:r>
            <w:rPr>
              <w:b/>
              <w:color w:val="auto"/>
              <w:sz w:val="24"/>
              <w:szCs w:val="24"/>
            </w:rPr>
            <w:fldChar w:fldCharType="separate"/>
          </w:r>
          <w:r>
            <w:rPr>
              <w:b/>
              <w:color w:val="auto"/>
              <w:sz w:val="24"/>
              <w:szCs w:val="24"/>
            </w:rPr>
            <w:t>7</w:t>
          </w:r>
          <w:r>
            <w:rPr>
              <w:b/>
              <w:color w:val="auto"/>
              <w:sz w:val="24"/>
              <w:szCs w:val="24"/>
            </w:rPr>
            <w:fldChar w:fldCharType="end"/>
          </w:r>
          <w:r>
            <w:rPr>
              <w:b/>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_Toc4797 </w:instrText>
          </w:r>
          <w:r>
            <w:rPr>
              <w:color w:val="auto"/>
              <w:sz w:val="24"/>
              <w:szCs w:val="24"/>
            </w:rPr>
            <w:fldChar w:fldCharType="separate"/>
          </w:r>
          <w:r>
            <w:rPr>
              <w:rFonts w:hint="eastAsia" w:asciiTheme="majorEastAsia" w:hAnsiTheme="majorEastAsia" w:eastAsiaTheme="majorEastAsia" w:cstheme="majorEastAsia"/>
              <w:color w:val="auto"/>
              <w:sz w:val="24"/>
              <w:szCs w:val="24"/>
            </w:rPr>
            <w:t>1.总则</w:t>
          </w:r>
          <w:r>
            <w:rPr>
              <w:color w:val="auto"/>
              <w:sz w:val="24"/>
              <w:szCs w:val="24"/>
            </w:rPr>
            <w:tab/>
          </w:r>
          <w:r>
            <w:rPr>
              <w:color w:val="auto"/>
              <w:sz w:val="24"/>
              <w:szCs w:val="24"/>
            </w:rPr>
            <w:fldChar w:fldCharType="begin"/>
          </w:r>
          <w:r>
            <w:rPr>
              <w:color w:val="auto"/>
              <w:sz w:val="24"/>
              <w:szCs w:val="24"/>
            </w:rPr>
            <w:instrText xml:space="preserve"> PAGEREF _Toc4797 \h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_Toc3240 </w:instrText>
          </w:r>
          <w:r>
            <w:rPr>
              <w:color w:val="auto"/>
              <w:sz w:val="24"/>
              <w:szCs w:val="24"/>
            </w:rPr>
            <w:fldChar w:fldCharType="separate"/>
          </w:r>
          <w:r>
            <w:rPr>
              <w:rFonts w:hint="eastAsia" w:asciiTheme="majorEastAsia" w:hAnsiTheme="majorEastAsia" w:eastAsiaTheme="majorEastAsia" w:cstheme="majorEastAsia"/>
              <w:color w:val="auto"/>
              <w:sz w:val="24"/>
              <w:szCs w:val="24"/>
            </w:rPr>
            <w:t>2. 招标文件</w:t>
          </w:r>
          <w:r>
            <w:rPr>
              <w:color w:val="auto"/>
              <w:sz w:val="24"/>
              <w:szCs w:val="24"/>
            </w:rPr>
            <w:tab/>
          </w:r>
          <w:r>
            <w:rPr>
              <w:color w:val="auto"/>
              <w:sz w:val="24"/>
              <w:szCs w:val="24"/>
            </w:rPr>
            <w:fldChar w:fldCharType="begin"/>
          </w:r>
          <w:r>
            <w:rPr>
              <w:color w:val="auto"/>
              <w:sz w:val="24"/>
              <w:szCs w:val="24"/>
            </w:rPr>
            <w:instrText xml:space="preserve"> PAGEREF _Toc3240 \h </w:instrText>
          </w:r>
          <w:r>
            <w:rPr>
              <w:color w:val="auto"/>
              <w:sz w:val="24"/>
              <w:szCs w:val="24"/>
            </w:rPr>
            <w:fldChar w:fldCharType="separate"/>
          </w:r>
          <w:r>
            <w:rPr>
              <w:color w:val="auto"/>
              <w:sz w:val="24"/>
              <w:szCs w:val="24"/>
            </w:rPr>
            <w:t>11</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_Toc4709 </w:instrText>
          </w:r>
          <w:r>
            <w:rPr>
              <w:color w:val="auto"/>
              <w:sz w:val="24"/>
              <w:szCs w:val="24"/>
            </w:rPr>
            <w:fldChar w:fldCharType="separate"/>
          </w:r>
          <w:r>
            <w:rPr>
              <w:rFonts w:hint="eastAsia" w:asciiTheme="majorEastAsia" w:hAnsiTheme="majorEastAsia" w:eastAsiaTheme="majorEastAsia" w:cstheme="majorEastAsia"/>
              <w:color w:val="auto"/>
              <w:sz w:val="24"/>
              <w:szCs w:val="24"/>
            </w:rPr>
            <w:t>3. 投标文件</w:t>
          </w:r>
          <w:r>
            <w:rPr>
              <w:color w:val="auto"/>
              <w:sz w:val="24"/>
              <w:szCs w:val="24"/>
            </w:rPr>
            <w:tab/>
          </w:r>
          <w:r>
            <w:rPr>
              <w:color w:val="auto"/>
              <w:sz w:val="24"/>
              <w:szCs w:val="24"/>
            </w:rPr>
            <w:fldChar w:fldCharType="begin"/>
          </w:r>
          <w:r>
            <w:rPr>
              <w:color w:val="auto"/>
              <w:sz w:val="24"/>
              <w:szCs w:val="24"/>
            </w:rPr>
            <w:instrText xml:space="preserve"> PAGEREF _Toc4709 \h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_Toc12576 </w:instrText>
          </w:r>
          <w:r>
            <w:rPr>
              <w:color w:val="auto"/>
              <w:sz w:val="24"/>
              <w:szCs w:val="24"/>
            </w:rPr>
            <w:fldChar w:fldCharType="separate"/>
          </w:r>
          <w:r>
            <w:rPr>
              <w:rFonts w:hint="eastAsia" w:asciiTheme="majorEastAsia" w:hAnsiTheme="majorEastAsia" w:eastAsiaTheme="majorEastAsia" w:cstheme="majorEastAsia"/>
              <w:color w:val="auto"/>
              <w:sz w:val="24"/>
              <w:szCs w:val="24"/>
            </w:rPr>
            <w:t>4.投标</w:t>
          </w:r>
          <w:r>
            <w:rPr>
              <w:color w:val="auto"/>
              <w:sz w:val="24"/>
              <w:szCs w:val="24"/>
            </w:rPr>
            <w:tab/>
          </w:r>
          <w:r>
            <w:rPr>
              <w:color w:val="auto"/>
              <w:sz w:val="24"/>
              <w:szCs w:val="24"/>
            </w:rPr>
            <w:fldChar w:fldCharType="begin"/>
          </w:r>
          <w:r>
            <w:rPr>
              <w:color w:val="auto"/>
              <w:sz w:val="24"/>
              <w:szCs w:val="24"/>
            </w:rPr>
            <w:instrText xml:space="preserve"> PAGEREF _Toc12576 \h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_Toc26062 </w:instrText>
          </w:r>
          <w:r>
            <w:rPr>
              <w:color w:val="auto"/>
              <w:sz w:val="24"/>
              <w:szCs w:val="24"/>
            </w:rPr>
            <w:fldChar w:fldCharType="separate"/>
          </w:r>
          <w:r>
            <w:rPr>
              <w:rFonts w:hint="eastAsia" w:asciiTheme="majorEastAsia" w:hAnsiTheme="majorEastAsia" w:eastAsiaTheme="majorEastAsia" w:cstheme="majorEastAsia"/>
              <w:color w:val="auto"/>
              <w:sz w:val="24"/>
              <w:szCs w:val="24"/>
            </w:rPr>
            <w:t>5. 开标</w:t>
          </w:r>
          <w:r>
            <w:rPr>
              <w:color w:val="auto"/>
              <w:sz w:val="24"/>
              <w:szCs w:val="24"/>
            </w:rPr>
            <w:tab/>
          </w:r>
          <w:r>
            <w:rPr>
              <w:color w:val="auto"/>
              <w:sz w:val="24"/>
              <w:szCs w:val="24"/>
            </w:rPr>
            <w:fldChar w:fldCharType="begin"/>
          </w:r>
          <w:r>
            <w:rPr>
              <w:color w:val="auto"/>
              <w:sz w:val="24"/>
              <w:szCs w:val="24"/>
            </w:rPr>
            <w:instrText xml:space="preserve"> PAGEREF _Toc26062 \h </w:instrText>
          </w:r>
          <w:r>
            <w:rPr>
              <w:color w:val="auto"/>
              <w:sz w:val="24"/>
              <w:szCs w:val="24"/>
            </w:rPr>
            <w:fldChar w:fldCharType="separate"/>
          </w:r>
          <w:r>
            <w:rPr>
              <w:color w:val="auto"/>
              <w:sz w:val="24"/>
              <w:szCs w:val="24"/>
            </w:rPr>
            <w:t>13</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_Toc29463 </w:instrText>
          </w:r>
          <w:r>
            <w:rPr>
              <w:color w:val="auto"/>
              <w:sz w:val="24"/>
              <w:szCs w:val="24"/>
            </w:rPr>
            <w:fldChar w:fldCharType="separate"/>
          </w:r>
          <w:r>
            <w:rPr>
              <w:rFonts w:hint="eastAsia" w:asciiTheme="majorEastAsia" w:hAnsiTheme="majorEastAsia" w:eastAsiaTheme="majorEastAsia" w:cstheme="majorEastAsia"/>
              <w:color w:val="auto"/>
              <w:sz w:val="24"/>
              <w:szCs w:val="24"/>
            </w:rPr>
            <w:t>6. 评标</w:t>
          </w:r>
          <w:r>
            <w:rPr>
              <w:color w:val="auto"/>
              <w:sz w:val="24"/>
              <w:szCs w:val="24"/>
            </w:rPr>
            <w:tab/>
          </w:r>
          <w:r>
            <w:rPr>
              <w:color w:val="auto"/>
              <w:sz w:val="24"/>
              <w:szCs w:val="24"/>
            </w:rPr>
            <w:fldChar w:fldCharType="begin"/>
          </w:r>
          <w:r>
            <w:rPr>
              <w:color w:val="auto"/>
              <w:sz w:val="24"/>
              <w:szCs w:val="24"/>
            </w:rPr>
            <w:instrText xml:space="preserve"> PAGEREF _Toc29463 \h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_Toc28529 </w:instrText>
          </w:r>
          <w:r>
            <w:rPr>
              <w:color w:val="auto"/>
              <w:sz w:val="24"/>
              <w:szCs w:val="24"/>
            </w:rPr>
            <w:fldChar w:fldCharType="separate"/>
          </w:r>
          <w:r>
            <w:rPr>
              <w:rFonts w:hint="eastAsia" w:asciiTheme="majorEastAsia" w:hAnsiTheme="majorEastAsia" w:eastAsiaTheme="majorEastAsia" w:cstheme="majorEastAsia"/>
              <w:color w:val="auto"/>
              <w:sz w:val="24"/>
              <w:szCs w:val="24"/>
            </w:rPr>
            <w:t>7.中标</w:t>
          </w:r>
          <w:r>
            <w:rPr>
              <w:color w:val="auto"/>
              <w:sz w:val="24"/>
              <w:szCs w:val="24"/>
            </w:rPr>
            <w:tab/>
          </w:r>
          <w:r>
            <w:rPr>
              <w:color w:val="auto"/>
              <w:sz w:val="24"/>
              <w:szCs w:val="24"/>
            </w:rPr>
            <w:fldChar w:fldCharType="begin"/>
          </w:r>
          <w:r>
            <w:rPr>
              <w:color w:val="auto"/>
              <w:sz w:val="24"/>
              <w:szCs w:val="24"/>
            </w:rPr>
            <w:instrText xml:space="preserve"> PAGEREF _Toc28529 \h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_Toc23349 </w:instrText>
          </w:r>
          <w:r>
            <w:rPr>
              <w:color w:val="auto"/>
              <w:sz w:val="24"/>
              <w:szCs w:val="24"/>
            </w:rPr>
            <w:fldChar w:fldCharType="separate"/>
          </w:r>
          <w:r>
            <w:rPr>
              <w:rFonts w:hint="eastAsia" w:asciiTheme="majorEastAsia" w:hAnsiTheme="majorEastAsia" w:eastAsiaTheme="majorEastAsia" w:cstheme="majorEastAsia"/>
              <w:color w:val="auto"/>
              <w:sz w:val="24"/>
              <w:szCs w:val="24"/>
            </w:rPr>
            <w:t>8.合同</w:t>
          </w:r>
          <w:r>
            <w:rPr>
              <w:color w:val="auto"/>
              <w:sz w:val="24"/>
              <w:szCs w:val="24"/>
            </w:rPr>
            <w:tab/>
          </w:r>
          <w:r>
            <w:rPr>
              <w:color w:val="auto"/>
              <w:sz w:val="24"/>
              <w:szCs w:val="24"/>
            </w:rPr>
            <w:fldChar w:fldCharType="begin"/>
          </w:r>
          <w:r>
            <w:rPr>
              <w:color w:val="auto"/>
              <w:sz w:val="24"/>
              <w:szCs w:val="24"/>
            </w:rPr>
            <w:instrText xml:space="preserve"> PAGEREF _Toc23349 \h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pPr>
            <w:pStyle w:val="58"/>
            <w:tabs>
              <w:tab w:val="right" w:leader="dot" w:pos="8548"/>
            </w:tabs>
            <w:rPr>
              <w:color w:val="auto"/>
              <w:sz w:val="24"/>
              <w:szCs w:val="24"/>
            </w:rPr>
          </w:pPr>
          <w:r>
            <w:rPr>
              <w:color w:val="auto"/>
              <w:sz w:val="24"/>
              <w:szCs w:val="24"/>
            </w:rPr>
            <w:fldChar w:fldCharType="begin"/>
          </w:r>
          <w:r>
            <w:rPr>
              <w:color w:val="auto"/>
              <w:sz w:val="24"/>
              <w:szCs w:val="24"/>
            </w:rPr>
            <w:instrText xml:space="preserve"> HYPERLINK \l _Toc19745 </w:instrText>
          </w:r>
          <w:r>
            <w:rPr>
              <w:color w:val="auto"/>
              <w:sz w:val="24"/>
              <w:szCs w:val="24"/>
            </w:rPr>
            <w:fldChar w:fldCharType="separate"/>
          </w:r>
          <w:r>
            <w:rPr>
              <w:rFonts w:hint="eastAsia" w:asciiTheme="majorEastAsia" w:hAnsiTheme="majorEastAsia" w:eastAsiaTheme="majorEastAsia" w:cstheme="majorEastAsia"/>
              <w:color w:val="auto"/>
              <w:sz w:val="24"/>
              <w:szCs w:val="24"/>
            </w:rPr>
            <w:t>9. 需要补充的其他内容</w:t>
          </w:r>
          <w:r>
            <w:rPr>
              <w:color w:val="auto"/>
              <w:sz w:val="24"/>
              <w:szCs w:val="24"/>
            </w:rPr>
            <w:tab/>
          </w:r>
          <w:r>
            <w:rPr>
              <w:color w:val="auto"/>
              <w:sz w:val="24"/>
              <w:szCs w:val="24"/>
            </w:rPr>
            <w:fldChar w:fldCharType="begin"/>
          </w:r>
          <w:r>
            <w:rPr>
              <w:color w:val="auto"/>
              <w:sz w:val="24"/>
              <w:szCs w:val="24"/>
            </w:rPr>
            <w:instrText xml:space="preserve"> PAGEREF _Toc19745 \h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pPr>
            <w:pStyle w:val="57"/>
            <w:tabs>
              <w:tab w:val="right" w:leader="dot" w:pos="8548"/>
            </w:tabs>
            <w:rPr>
              <w:b/>
              <w:color w:val="auto"/>
              <w:sz w:val="24"/>
              <w:szCs w:val="24"/>
            </w:rPr>
          </w:pPr>
          <w:r>
            <w:rPr>
              <w:b/>
              <w:color w:val="auto"/>
              <w:sz w:val="24"/>
              <w:szCs w:val="24"/>
            </w:rPr>
            <w:fldChar w:fldCharType="begin"/>
          </w:r>
          <w:r>
            <w:rPr>
              <w:b/>
              <w:color w:val="auto"/>
              <w:sz w:val="24"/>
              <w:szCs w:val="24"/>
            </w:rPr>
            <w:instrText xml:space="preserve"> HYPERLINK \l _Toc4258 </w:instrText>
          </w:r>
          <w:r>
            <w:rPr>
              <w:b/>
              <w:color w:val="auto"/>
              <w:sz w:val="24"/>
              <w:szCs w:val="24"/>
            </w:rPr>
            <w:fldChar w:fldCharType="separate"/>
          </w:r>
          <w:r>
            <w:rPr>
              <w:rFonts w:hint="eastAsia" w:asciiTheme="majorEastAsia" w:hAnsiTheme="majorEastAsia" w:eastAsiaTheme="majorEastAsia" w:cstheme="majorEastAsia"/>
              <w:b/>
              <w:color w:val="auto"/>
              <w:sz w:val="24"/>
              <w:szCs w:val="24"/>
            </w:rPr>
            <w:t>第三章 资格审查及评标办法</w:t>
          </w:r>
          <w:r>
            <w:rPr>
              <w:b/>
              <w:color w:val="auto"/>
              <w:sz w:val="24"/>
              <w:szCs w:val="24"/>
            </w:rPr>
            <w:tab/>
          </w:r>
          <w:r>
            <w:rPr>
              <w:b/>
              <w:color w:val="auto"/>
              <w:sz w:val="24"/>
              <w:szCs w:val="24"/>
            </w:rPr>
            <w:fldChar w:fldCharType="begin"/>
          </w:r>
          <w:r>
            <w:rPr>
              <w:b/>
              <w:color w:val="auto"/>
              <w:sz w:val="24"/>
              <w:szCs w:val="24"/>
            </w:rPr>
            <w:instrText xml:space="preserve"> PAGEREF _Toc4258 \h </w:instrText>
          </w:r>
          <w:r>
            <w:rPr>
              <w:b/>
              <w:color w:val="auto"/>
              <w:sz w:val="24"/>
              <w:szCs w:val="24"/>
            </w:rPr>
            <w:fldChar w:fldCharType="separate"/>
          </w:r>
          <w:r>
            <w:rPr>
              <w:b/>
              <w:color w:val="auto"/>
              <w:sz w:val="24"/>
              <w:szCs w:val="24"/>
            </w:rPr>
            <w:t>16</w:t>
          </w:r>
          <w:r>
            <w:rPr>
              <w:b/>
              <w:color w:val="auto"/>
              <w:sz w:val="24"/>
              <w:szCs w:val="24"/>
            </w:rPr>
            <w:fldChar w:fldCharType="end"/>
          </w:r>
          <w:r>
            <w:rPr>
              <w:b/>
              <w:color w:val="auto"/>
              <w:sz w:val="24"/>
              <w:szCs w:val="24"/>
            </w:rPr>
            <w:fldChar w:fldCharType="end"/>
          </w:r>
        </w:p>
        <w:p>
          <w:pPr>
            <w:pStyle w:val="57"/>
            <w:tabs>
              <w:tab w:val="right" w:leader="dot" w:pos="8548"/>
            </w:tabs>
            <w:rPr>
              <w:b/>
              <w:color w:val="auto"/>
              <w:sz w:val="24"/>
              <w:szCs w:val="24"/>
            </w:rPr>
          </w:pPr>
          <w:r>
            <w:rPr>
              <w:b/>
              <w:color w:val="auto"/>
              <w:sz w:val="24"/>
              <w:szCs w:val="24"/>
            </w:rPr>
            <w:fldChar w:fldCharType="begin"/>
          </w:r>
          <w:r>
            <w:rPr>
              <w:b/>
              <w:color w:val="auto"/>
              <w:sz w:val="24"/>
              <w:szCs w:val="24"/>
            </w:rPr>
            <w:instrText xml:space="preserve"> HYPERLINK \l _Toc7380 </w:instrText>
          </w:r>
          <w:r>
            <w:rPr>
              <w:b/>
              <w:color w:val="auto"/>
              <w:sz w:val="24"/>
              <w:szCs w:val="24"/>
            </w:rPr>
            <w:fldChar w:fldCharType="separate"/>
          </w:r>
          <w:r>
            <w:rPr>
              <w:rFonts w:hint="eastAsia" w:asciiTheme="majorEastAsia" w:hAnsiTheme="majorEastAsia" w:eastAsiaTheme="majorEastAsia" w:cstheme="majorEastAsia"/>
              <w:b/>
              <w:color w:val="auto"/>
              <w:sz w:val="24"/>
              <w:szCs w:val="24"/>
              <w:lang w:eastAsia="zh-CN"/>
            </w:rPr>
            <w:t xml:space="preserve">第四章 </w:t>
          </w:r>
          <w:r>
            <w:rPr>
              <w:rFonts w:hint="eastAsia" w:asciiTheme="majorEastAsia" w:hAnsiTheme="majorEastAsia" w:eastAsiaTheme="majorEastAsia" w:cstheme="majorEastAsia"/>
              <w:b/>
              <w:color w:val="auto"/>
              <w:sz w:val="24"/>
              <w:szCs w:val="24"/>
            </w:rPr>
            <w:t>合同条款</w:t>
          </w:r>
          <w:r>
            <w:rPr>
              <w:rFonts w:hint="eastAsia" w:asciiTheme="majorEastAsia" w:hAnsiTheme="majorEastAsia" w:eastAsiaTheme="majorEastAsia" w:cstheme="majorEastAsia"/>
              <w:b/>
              <w:color w:val="auto"/>
              <w:sz w:val="24"/>
              <w:szCs w:val="24"/>
              <w:lang w:eastAsia="zh-CN"/>
            </w:rPr>
            <w:t>（仅供参考）</w:t>
          </w:r>
          <w:r>
            <w:rPr>
              <w:b/>
              <w:color w:val="auto"/>
              <w:sz w:val="24"/>
              <w:szCs w:val="24"/>
            </w:rPr>
            <w:tab/>
          </w:r>
          <w:r>
            <w:rPr>
              <w:b/>
              <w:color w:val="auto"/>
              <w:sz w:val="24"/>
              <w:szCs w:val="24"/>
            </w:rPr>
            <w:fldChar w:fldCharType="begin"/>
          </w:r>
          <w:r>
            <w:rPr>
              <w:b/>
              <w:color w:val="auto"/>
              <w:sz w:val="24"/>
              <w:szCs w:val="24"/>
            </w:rPr>
            <w:instrText xml:space="preserve"> PAGEREF _Toc7380 \h </w:instrText>
          </w:r>
          <w:r>
            <w:rPr>
              <w:b/>
              <w:color w:val="auto"/>
              <w:sz w:val="24"/>
              <w:szCs w:val="24"/>
            </w:rPr>
            <w:fldChar w:fldCharType="separate"/>
          </w:r>
          <w:r>
            <w:rPr>
              <w:b/>
              <w:color w:val="auto"/>
              <w:sz w:val="24"/>
              <w:szCs w:val="24"/>
            </w:rPr>
            <w:t>22</w:t>
          </w:r>
          <w:r>
            <w:rPr>
              <w:b/>
              <w:color w:val="auto"/>
              <w:sz w:val="24"/>
              <w:szCs w:val="24"/>
            </w:rPr>
            <w:fldChar w:fldCharType="end"/>
          </w:r>
          <w:r>
            <w:rPr>
              <w:b/>
              <w:color w:val="auto"/>
              <w:sz w:val="24"/>
              <w:szCs w:val="24"/>
            </w:rPr>
            <w:fldChar w:fldCharType="end"/>
          </w:r>
        </w:p>
        <w:p>
          <w:pPr>
            <w:pStyle w:val="57"/>
            <w:tabs>
              <w:tab w:val="right" w:leader="dot" w:pos="8548"/>
            </w:tabs>
            <w:rPr>
              <w:rFonts w:ascii="Times New Roman" w:hAnsi="Times New Roman" w:eastAsia="宋体" w:cs="Times New Roman"/>
              <w:b/>
              <w:color w:val="auto"/>
              <w:sz w:val="24"/>
              <w:szCs w:val="24"/>
            </w:rPr>
          </w:pPr>
          <w:r>
            <w:rPr>
              <w:rFonts w:ascii="Times New Roman" w:hAnsi="Times New Roman" w:eastAsia="宋体" w:cs="Times New Roman"/>
              <w:b/>
              <w:color w:val="auto"/>
              <w:sz w:val="24"/>
              <w:szCs w:val="24"/>
            </w:rPr>
            <w:fldChar w:fldCharType="begin"/>
          </w:r>
          <w:r>
            <w:rPr>
              <w:rFonts w:ascii="Times New Roman" w:hAnsi="Times New Roman" w:eastAsia="宋体" w:cs="Times New Roman"/>
              <w:b/>
              <w:color w:val="auto"/>
              <w:sz w:val="24"/>
              <w:szCs w:val="24"/>
            </w:rPr>
            <w:instrText xml:space="preserve"> HYPERLINK \l _Toc25333 </w:instrText>
          </w:r>
          <w:r>
            <w:rPr>
              <w:rFonts w:ascii="Times New Roman" w:hAnsi="Times New Roman" w:eastAsia="宋体" w:cs="Times New Roman"/>
              <w:b/>
              <w:color w:val="auto"/>
              <w:sz w:val="24"/>
              <w:szCs w:val="24"/>
            </w:rPr>
            <w:fldChar w:fldCharType="separate"/>
          </w:r>
          <w:r>
            <w:rPr>
              <w:rFonts w:hint="default" w:ascii="Times New Roman" w:hAnsi="Times New Roman" w:eastAsia="宋体" w:cs="Times New Roman"/>
              <w:b/>
              <w:color w:val="auto"/>
              <w:sz w:val="24"/>
              <w:szCs w:val="24"/>
            </w:rPr>
            <w:t>第五章 采购需求</w:t>
          </w:r>
          <w:r>
            <w:rPr>
              <w:rFonts w:ascii="Times New Roman" w:hAnsi="Times New Roman" w:eastAsia="宋体" w:cs="Times New Roman"/>
              <w:b/>
              <w:color w:val="auto"/>
              <w:sz w:val="24"/>
              <w:szCs w:val="24"/>
            </w:rPr>
            <w:tab/>
          </w:r>
          <w:r>
            <w:rPr>
              <w:rFonts w:ascii="Times New Roman" w:hAnsi="Times New Roman" w:eastAsia="宋体" w:cs="Times New Roman"/>
              <w:b/>
              <w:color w:val="auto"/>
              <w:sz w:val="24"/>
              <w:szCs w:val="24"/>
            </w:rPr>
            <w:fldChar w:fldCharType="begin"/>
          </w:r>
          <w:r>
            <w:rPr>
              <w:rFonts w:ascii="Times New Roman" w:hAnsi="Times New Roman" w:eastAsia="宋体" w:cs="Times New Roman"/>
              <w:b/>
              <w:color w:val="auto"/>
              <w:sz w:val="24"/>
              <w:szCs w:val="24"/>
            </w:rPr>
            <w:instrText xml:space="preserve"> PAGEREF _Toc25333 \h </w:instrText>
          </w:r>
          <w:r>
            <w:rPr>
              <w:rFonts w:ascii="Times New Roman" w:hAnsi="Times New Roman" w:eastAsia="宋体" w:cs="Times New Roman"/>
              <w:b/>
              <w:color w:val="auto"/>
              <w:sz w:val="24"/>
              <w:szCs w:val="24"/>
            </w:rPr>
            <w:fldChar w:fldCharType="separate"/>
          </w:r>
          <w:r>
            <w:rPr>
              <w:rFonts w:ascii="Times New Roman" w:hAnsi="Times New Roman" w:eastAsia="宋体" w:cs="Times New Roman"/>
              <w:b/>
              <w:color w:val="auto"/>
              <w:sz w:val="24"/>
              <w:szCs w:val="24"/>
            </w:rPr>
            <w:t>28</w:t>
          </w:r>
          <w:r>
            <w:rPr>
              <w:rFonts w:ascii="Times New Roman" w:hAnsi="Times New Roman" w:eastAsia="宋体" w:cs="Times New Roman"/>
              <w:b/>
              <w:color w:val="auto"/>
              <w:sz w:val="24"/>
              <w:szCs w:val="24"/>
            </w:rPr>
            <w:fldChar w:fldCharType="end"/>
          </w:r>
          <w:r>
            <w:rPr>
              <w:rFonts w:ascii="Times New Roman" w:hAnsi="Times New Roman" w:eastAsia="宋体" w:cs="Times New Roman"/>
              <w:b/>
              <w:color w:val="auto"/>
              <w:sz w:val="24"/>
              <w:szCs w:val="24"/>
            </w:rPr>
            <w:fldChar w:fldCharType="end"/>
          </w:r>
        </w:p>
        <w:p>
          <w:pPr>
            <w:pStyle w:val="57"/>
            <w:tabs>
              <w:tab w:val="right" w:leader="dot" w:pos="8548"/>
            </w:tabs>
            <w:rPr>
              <w:b/>
              <w:color w:val="auto"/>
              <w:sz w:val="24"/>
              <w:szCs w:val="24"/>
            </w:rPr>
          </w:pPr>
          <w:r>
            <w:rPr>
              <w:rFonts w:ascii="Times New Roman" w:hAnsi="Times New Roman" w:eastAsia="宋体" w:cs="Times New Roman"/>
              <w:b/>
              <w:color w:val="auto"/>
              <w:sz w:val="24"/>
              <w:szCs w:val="24"/>
            </w:rPr>
            <w:fldChar w:fldCharType="begin"/>
          </w:r>
          <w:r>
            <w:rPr>
              <w:rFonts w:ascii="Times New Roman" w:hAnsi="Times New Roman" w:eastAsia="宋体" w:cs="Times New Roman"/>
              <w:b/>
              <w:color w:val="auto"/>
              <w:sz w:val="24"/>
              <w:szCs w:val="24"/>
            </w:rPr>
            <w:instrText xml:space="preserve"> HYPERLINK \l _Toc19231 </w:instrText>
          </w:r>
          <w:r>
            <w:rPr>
              <w:rFonts w:ascii="Times New Roman" w:hAnsi="Times New Roman" w:eastAsia="宋体" w:cs="Times New Roman"/>
              <w:b/>
              <w:color w:val="auto"/>
              <w:sz w:val="24"/>
              <w:szCs w:val="24"/>
            </w:rPr>
            <w:fldChar w:fldCharType="separate"/>
          </w:r>
          <w:r>
            <w:rPr>
              <w:rFonts w:hint="default" w:ascii="Times New Roman" w:hAnsi="Times New Roman" w:eastAsia="宋体" w:cs="Times New Roman"/>
              <w:b/>
              <w:color w:val="auto"/>
              <w:sz w:val="24"/>
              <w:szCs w:val="24"/>
            </w:rPr>
            <w:t>第六章 投标文件的编制要求及参考格式</w:t>
          </w:r>
          <w:r>
            <w:rPr>
              <w:rFonts w:ascii="Times New Roman" w:hAnsi="Times New Roman" w:eastAsia="宋体" w:cs="Times New Roman"/>
              <w:b/>
              <w:color w:val="auto"/>
              <w:sz w:val="24"/>
              <w:szCs w:val="24"/>
            </w:rPr>
            <w:tab/>
          </w:r>
          <w:r>
            <w:rPr>
              <w:rFonts w:ascii="Times New Roman" w:hAnsi="Times New Roman" w:eastAsia="宋体" w:cs="Times New Roman"/>
              <w:b/>
              <w:color w:val="auto"/>
              <w:sz w:val="24"/>
              <w:szCs w:val="24"/>
            </w:rPr>
            <w:fldChar w:fldCharType="begin"/>
          </w:r>
          <w:r>
            <w:rPr>
              <w:rFonts w:ascii="Times New Roman" w:hAnsi="Times New Roman" w:eastAsia="宋体" w:cs="Times New Roman"/>
              <w:b/>
              <w:color w:val="auto"/>
              <w:sz w:val="24"/>
              <w:szCs w:val="24"/>
            </w:rPr>
            <w:instrText xml:space="preserve"> PAGEREF _Toc19231 \h </w:instrText>
          </w:r>
          <w:r>
            <w:rPr>
              <w:rFonts w:ascii="Times New Roman" w:hAnsi="Times New Roman" w:eastAsia="宋体" w:cs="Times New Roman"/>
              <w:b/>
              <w:color w:val="auto"/>
              <w:sz w:val="24"/>
              <w:szCs w:val="24"/>
            </w:rPr>
            <w:fldChar w:fldCharType="separate"/>
          </w:r>
          <w:r>
            <w:rPr>
              <w:rFonts w:ascii="Times New Roman" w:hAnsi="Times New Roman" w:eastAsia="宋体" w:cs="Times New Roman"/>
              <w:b/>
              <w:color w:val="auto"/>
              <w:sz w:val="24"/>
              <w:szCs w:val="24"/>
            </w:rPr>
            <w:t>34</w:t>
          </w:r>
          <w:r>
            <w:rPr>
              <w:rFonts w:ascii="Times New Roman" w:hAnsi="Times New Roman" w:eastAsia="宋体" w:cs="Times New Roman"/>
              <w:b/>
              <w:color w:val="auto"/>
              <w:sz w:val="24"/>
              <w:szCs w:val="24"/>
            </w:rPr>
            <w:fldChar w:fldCharType="end"/>
          </w:r>
          <w:r>
            <w:rPr>
              <w:rFonts w:ascii="Times New Roman" w:hAnsi="Times New Roman" w:eastAsia="宋体" w:cs="Times New Roman"/>
              <w:b/>
              <w:color w:val="auto"/>
              <w:sz w:val="24"/>
              <w:szCs w:val="24"/>
            </w:rPr>
            <w:fldChar w:fldCharType="end"/>
          </w:r>
        </w:p>
        <w:p>
          <w:pPr>
            <w:rPr>
              <w:color w:val="auto"/>
            </w:rPr>
          </w:pPr>
          <w:r>
            <w:rPr>
              <w:b/>
              <w:color w:val="auto"/>
            </w:rPr>
            <w:fldChar w:fldCharType="end"/>
          </w:r>
        </w:p>
      </w:sdtContent>
    </w:sdt>
    <w:p>
      <w:pPr>
        <w:rPr>
          <w:rFonts w:hint="eastAsia" w:asciiTheme="majorEastAsia" w:hAnsiTheme="majorEastAsia" w:eastAsiaTheme="majorEastAsia" w:cstheme="majorEastAsia"/>
          <w:b/>
          <w:color w:val="auto"/>
        </w:rPr>
      </w:pPr>
      <w:r>
        <w:rPr>
          <w:rFonts w:hint="eastAsia" w:asciiTheme="majorEastAsia" w:hAnsiTheme="majorEastAsia" w:eastAsiaTheme="majorEastAsia" w:cstheme="majorEastAsia"/>
          <w:b/>
          <w:color w:val="auto"/>
        </w:rPr>
        <w:br w:type="page"/>
      </w:r>
    </w:p>
    <w:p>
      <w:pPr>
        <w:pStyle w:val="20"/>
        <w:tabs>
          <w:tab w:val="left" w:pos="3240"/>
        </w:tabs>
        <w:spacing w:line="500" w:lineRule="exact"/>
        <w:ind w:left="0" w:firstLine="0"/>
        <w:jc w:val="center"/>
        <w:outlineLvl w:val="0"/>
        <w:rPr>
          <w:rFonts w:hint="eastAsia" w:asciiTheme="majorEastAsia" w:hAnsiTheme="majorEastAsia" w:eastAsiaTheme="majorEastAsia" w:cstheme="majorEastAsia"/>
          <w:b/>
          <w:color w:val="auto"/>
        </w:rPr>
      </w:pPr>
      <w:bookmarkStart w:id="12" w:name="_Toc24611"/>
      <w:r>
        <w:rPr>
          <w:rFonts w:hint="eastAsia" w:asciiTheme="majorEastAsia" w:hAnsiTheme="majorEastAsia" w:eastAsiaTheme="majorEastAsia" w:cstheme="majorEastAsia"/>
          <w:b/>
          <w:color w:val="auto"/>
        </w:rPr>
        <w:t xml:space="preserve">第一章 </w:t>
      </w:r>
      <w:bookmarkEnd w:id="0"/>
      <w:bookmarkEnd w:id="1"/>
      <w:bookmarkEnd w:id="2"/>
      <w:bookmarkEnd w:id="3"/>
      <w:bookmarkEnd w:id="4"/>
      <w:bookmarkEnd w:id="5"/>
      <w:bookmarkEnd w:id="6"/>
      <w:bookmarkEnd w:id="7"/>
      <w:bookmarkEnd w:id="8"/>
      <w:bookmarkEnd w:id="9"/>
      <w:r>
        <w:rPr>
          <w:rFonts w:hint="eastAsia" w:asciiTheme="majorEastAsia" w:hAnsiTheme="majorEastAsia" w:eastAsiaTheme="majorEastAsia" w:cstheme="majorEastAsia"/>
          <w:b/>
          <w:color w:val="auto"/>
        </w:rPr>
        <w:t>招标公告</w:t>
      </w:r>
      <w:bookmarkEnd w:id="12"/>
    </w:p>
    <w:p>
      <w:pPr>
        <w:pBdr>
          <w:top w:val="single" w:color="auto" w:sz="4" w:space="1"/>
          <w:left w:val="single" w:color="auto" w:sz="4" w:space="4"/>
          <w:bottom w:val="single" w:color="auto" w:sz="4" w:space="1"/>
          <w:right w:val="single" w:color="auto" w:sz="4" w:space="4"/>
        </w:pBdr>
        <w:spacing w:line="460" w:lineRule="exact"/>
        <w:rPr>
          <w:rFonts w:hint="eastAsia" w:asciiTheme="majorEastAsia" w:hAnsiTheme="majorEastAsia" w:eastAsiaTheme="majorEastAsia" w:cstheme="majorEastAsia"/>
          <w:color w:val="auto"/>
          <w:kern w:val="2"/>
          <w:sz w:val="24"/>
          <w:szCs w:val="24"/>
        </w:rPr>
      </w:pPr>
      <w:r>
        <w:rPr>
          <w:rFonts w:hint="eastAsia" w:asciiTheme="majorEastAsia" w:hAnsiTheme="majorEastAsia" w:eastAsiaTheme="majorEastAsia" w:cstheme="majorEastAsia"/>
          <w:color w:val="auto"/>
          <w:kern w:val="2"/>
          <w:sz w:val="24"/>
          <w:szCs w:val="24"/>
        </w:rPr>
        <w:t>项目概况</w:t>
      </w:r>
    </w:p>
    <w:p>
      <w:pPr>
        <w:pBdr>
          <w:top w:val="single" w:color="auto" w:sz="4" w:space="1"/>
          <w:left w:val="single" w:color="auto" w:sz="4" w:space="4"/>
          <w:bottom w:val="single" w:color="auto" w:sz="4" w:space="1"/>
          <w:right w:val="single" w:color="auto" w:sz="4" w:space="4"/>
        </w:pBdr>
        <w:spacing w:line="460" w:lineRule="exact"/>
        <w:ind w:firstLine="480" w:firstLineChars="200"/>
        <w:rPr>
          <w:rFonts w:hint="eastAsia" w:asciiTheme="majorEastAsia" w:hAnsiTheme="majorEastAsia" w:eastAsiaTheme="majorEastAsia" w:cstheme="majorEastAsia"/>
          <w:color w:val="auto"/>
          <w:kern w:val="2"/>
          <w:sz w:val="24"/>
          <w:szCs w:val="24"/>
        </w:rPr>
      </w:pPr>
      <w:r>
        <w:rPr>
          <w:rFonts w:hint="eastAsia" w:asciiTheme="majorEastAsia" w:hAnsiTheme="majorEastAsia" w:eastAsiaTheme="majorEastAsia" w:cstheme="majorEastAsia"/>
          <w:color w:val="auto"/>
          <w:kern w:val="2"/>
          <w:sz w:val="24"/>
          <w:szCs w:val="24"/>
          <w:u w:val="single"/>
        </w:rPr>
        <w:t>泰兴市分界镇电商产业园冷库项目</w:t>
      </w:r>
      <w:r>
        <w:rPr>
          <w:rFonts w:hint="eastAsia" w:asciiTheme="majorEastAsia" w:hAnsiTheme="majorEastAsia" w:eastAsiaTheme="majorEastAsia" w:cstheme="majorEastAsia"/>
          <w:color w:val="auto"/>
          <w:kern w:val="2"/>
          <w:sz w:val="24"/>
          <w:szCs w:val="24"/>
        </w:rPr>
        <w:t>的潜在投标人应在</w:t>
      </w:r>
      <w:r>
        <w:rPr>
          <w:rFonts w:hint="eastAsia" w:asciiTheme="majorEastAsia" w:hAnsiTheme="majorEastAsia" w:eastAsiaTheme="majorEastAsia" w:cstheme="majorEastAsia"/>
          <w:color w:val="auto"/>
          <w:kern w:val="2"/>
          <w:sz w:val="24"/>
          <w:szCs w:val="24"/>
          <w:u w:val="single"/>
        </w:rPr>
        <w:t>“江苏政府采购网”获取招标文件</w:t>
      </w:r>
      <w:r>
        <w:rPr>
          <w:rFonts w:hint="eastAsia" w:asciiTheme="majorEastAsia" w:hAnsiTheme="majorEastAsia" w:eastAsiaTheme="majorEastAsia" w:cstheme="majorEastAsia"/>
          <w:color w:val="auto"/>
          <w:kern w:val="2"/>
          <w:sz w:val="24"/>
          <w:szCs w:val="24"/>
        </w:rPr>
        <w:t>，并于</w:t>
      </w:r>
      <w:r>
        <w:rPr>
          <w:rFonts w:hint="eastAsia" w:asciiTheme="majorEastAsia" w:hAnsiTheme="majorEastAsia" w:eastAsiaTheme="majorEastAsia" w:cstheme="majorEastAsia"/>
          <w:color w:val="auto"/>
          <w:kern w:val="2"/>
          <w:sz w:val="24"/>
          <w:szCs w:val="24"/>
          <w:u w:val="single"/>
        </w:rPr>
        <w:t>2024</w:t>
      </w:r>
      <w:r>
        <w:rPr>
          <w:rFonts w:hint="eastAsia" w:asciiTheme="majorEastAsia" w:hAnsiTheme="majorEastAsia" w:eastAsiaTheme="majorEastAsia" w:cstheme="majorEastAsia"/>
          <w:bCs/>
          <w:color w:val="auto"/>
          <w:kern w:val="2"/>
          <w:sz w:val="24"/>
          <w:szCs w:val="24"/>
          <w:u w:val="single"/>
        </w:rPr>
        <w:t>年</w:t>
      </w:r>
      <w:r>
        <w:rPr>
          <w:rFonts w:hint="eastAsia" w:asciiTheme="majorEastAsia" w:hAnsiTheme="majorEastAsia" w:eastAsiaTheme="majorEastAsia" w:cstheme="majorEastAsia"/>
          <w:bCs/>
          <w:color w:val="auto"/>
          <w:kern w:val="2"/>
          <w:sz w:val="24"/>
          <w:szCs w:val="24"/>
          <w:u w:val="single"/>
          <w:lang w:val="en-US" w:eastAsia="zh-CN"/>
        </w:rPr>
        <w:t>8月1日9</w:t>
      </w:r>
      <w:r>
        <w:rPr>
          <w:rFonts w:hint="eastAsia" w:asciiTheme="majorEastAsia" w:hAnsiTheme="majorEastAsia" w:eastAsiaTheme="majorEastAsia" w:cstheme="majorEastAsia"/>
          <w:bCs/>
          <w:color w:val="auto"/>
          <w:kern w:val="2"/>
          <w:sz w:val="24"/>
          <w:szCs w:val="24"/>
          <w:u w:val="single"/>
        </w:rPr>
        <w:t>点</w:t>
      </w:r>
      <w:r>
        <w:rPr>
          <w:rFonts w:hint="eastAsia" w:asciiTheme="majorEastAsia" w:hAnsiTheme="majorEastAsia" w:eastAsiaTheme="majorEastAsia" w:cstheme="majorEastAsia"/>
          <w:bCs/>
          <w:color w:val="auto"/>
          <w:kern w:val="2"/>
          <w:sz w:val="24"/>
          <w:szCs w:val="24"/>
          <w:u w:val="single"/>
          <w:lang w:val="en-US" w:eastAsia="zh-CN"/>
        </w:rPr>
        <w:t>0</w:t>
      </w:r>
      <w:r>
        <w:rPr>
          <w:rFonts w:hint="eastAsia" w:asciiTheme="majorEastAsia" w:hAnsiTheme="majorEastAsia" w:eastAsiaTheme="majorEastAsia" w:cstheme="majorEastAsia"/>
          <w:bCs/>
          <w:color w:val="auto"/>
          <w:kern w:val="2"/>
          <w:sz w:val="24"/>
          <w:szCs w:val="24"/>
          <w:u w:val="single"/>
        </w:rPr>
        <w:t>0分</w:t>
      </w:r>
      <w:r>
        <w:rPr>
          <w:rFonts w:hint="eastAsia" w:asciiTheme="majorEastAsia" w:hAnsiTheme="majorEastAsia" w:eastAsiaTheme="majorEastAsia" w:cstheme="majorEastAsia"/>
          <w:bCs/>
          <w:color w:val="auto"/>
          <w:kern w:val="2"/>
          <w:sz w:val="24"/>
          <w:szCs w:val="24"/>
          <w:u w:val="none"/>
        </w:rPr>
        <w:t>（</w:t>
      </w:r>
      <w:r>
        <w:rPr>
          <w:rFonts w:hint="eastAsia" w:asciiTheme="majorEastAsia" w:hAnsiTheme="majorEastAsia" w:eastAsiaTheme="majorEastAsia" w:cstheme="majorEastAsia"/>
          <w:bCs/>
          <w:color w:val="auto"/>
          <w:kern w:val="2"/>
          <w:sz w:val="24"/>
          <w:szCs w:val="24"/>
        </w:rPr>
        <w:t>北京时间）前递交投标文件</w:t>
      </w:r>
      <w:r>
        <w:rPr>
          <w:rFonts w:hint="eastAsia" w:asciiTheme="majorEastAsia" w:hAnsiTheme="majorEastAsia" w:eastAsiaTheme="majorEastAsia" w:cstheme="majorEastAsia"/>
          <w:color w:val="auto"/>
          <w:kern w:val="2"/>
          <w:sz w:val="24"/>
          <w:szCs w:val="24"/>
        </w:rPr>
        <w:t>。</w:t>
      </w:r>
      <w:bookmarkStart w:id="13" w:name="_Toc28359002"/>
      <w:bookmarkStart w:id="14" w:name="_Toc28359079"/>
      <w:bookmarkStart w:id="15" w:name="_Toc35393621"/>
      <w:bookmarkStart w:id="16" w:name="_Toc35393790"/>
      <w:bookmarkStart w:id="17" w:name="_Hlk24379207"/>
    </w:p>
    <w:p>
      <w:pPr>
        <w:spacing w:line="460" w:lineRule="exact"/>
        <w:ind w:firstLine="482" w:firstLineChars="200"/>
        <w:outlineLvl w:val="1"/>
        <w:rPr>
          <w:rFonts w:hint="eastAsia" w:asciiTheme="majorEastAsia" w:hAnsiTheme="majorEastAsia" w:eastAsiaTheme="majorEastAsia" w:cstheme="majorEastAsia"/>
          <w:b/>
          <w:color w:val="auto"/>
          <w:sz w:val="24"/>
          <w:szCs w:val="24"/>
        </w:rPr>
      </w:pPr>
      <w:bookmarkStart w:id="18" w:name="_Toc8644"/>
      <w:r>
        <w:rPr>
          <w:rFonts w:hint="eastAsia" w:asciiTheme="majorEastAsia" w:hAnsiTheme="majorEastAsia" w:eastAsiaTheme="majorEastAsia" w:cstheme="majorEastAsia"/>
          <w:b/>
          <w:color w:val="auto"/>
          <w:sz w:val="24"/>
          <w:szCs w:val="24"/>
        </w:rPr>
        <w:t>一、项目基本情况</w:t>
      </w:r>
      <w:bookmarkEnd w:id="13"/>
      <w:bookmarkEnd w:id="14"/>
      <w:bookmarkEnd w:id="15"/>
      <w:bookmarkEnd w:id="16"/>
      <w:bookmarkEnd w:id="18"/>
    </w:p>
    <w:p>
      <w:pPr>
        <w:spacing w:line="460" w:lineRule="exact"/>
        <w:ind w:firstLine="480" w:firstLineChars="200"/>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1.项目编号：</w:t>
      </w:r>
      <w:r>
        <w:rPr>
          <w:rFonts w:hint="eastAsia" w:asciiTheme="majorEastAsia" w:hAnsiTheme="majorEastAsia" w:eastAsiaTheme="majorEastAsia" w:cstheme="majorEastAsia"/>
          <w:color w:val="auto"/>
          <w:sz w:val="24"/>
          <w:szCs w:val="24"/>
          <w:lang w:eastAsia="zh-CN"/>
        </w:rPr>
        <w:t>JSZC-321283-TZZN-G2024-0004</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Theme="majorEastAsia" w:hAnsiTheme="majorEastAsia" w:eastAsiaTheme="majorEastAsia" w:cstheme="majorEastAsia"/>
          <w:color w:val="auto"/>
          <w:kern w:val="2"/>
          <w:sz w:val="24"/>
          <w:szCs w:val="24"/>
          <w:lang w:eastAsia="zh-CN"/>
        </w:rPr>
      </w:pPr>
      <w:r>
        <w:rPr>
          <w:rFonts w:hint="eastAsia" w:asciiTheme="majorEastAsia" w:hAnsiTheme="majorEastAsia" w:eastAsiaTheme="majorEastAsia" w:cstheme="majorEastAsia"/>
          <w:color w:val="auto"/>
          <w:sz w:val="24"/>
          <w:szCs w:val="24"/>
        </w:rPr>
        <w:t>2.项目名称：</w:t>
      </w:r>
      <w:bookmarkEnd w:id="17"/>
      <w:r>
        <w:rPr>
          <w:rFonts w:hint="eastAsia" w:asciiTheme="majorEastAsia" w:hAnsiTheme="majorEastAsia" w:eastAsiaTheme="majorEastAsia" w:cstheme="majorEastAsia"/>
          <w:color w:val="auto"/>
          <w:sz w:val="24"/>
          <w:szCs w:val="24"/>
          <w:lang w:eastAsia="zh-CN"/>
        </w:rPr>
        <w:t>泰兴市分界镇电商产业园冷库项目</w:t>
      </w:r>
    </w:p>
    <w:p>
      <w:pPr>
        <w:spacing w:line="460" w:lineRule="exact"/>
        <w:ind w:left="557" w:leftChars="232"/>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rPr>
        <w:t>3.采购方式：公开招标</w:t>
      </w:r>
      <w:r>
        <w:rPr>
          <w:rFonts w:hint="eastAsia" w:asciiTheme="majorEastAsia" w:hAnsiTheme="majorEastAsia" w:eastAsiaTheme="majorEastAsia" w:cstheme="majorEastAsia"/>
          <w:color w:val="auto"/>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Theme="majorEastAsia" w:hAnsiTheme="majorEastAsia" w:eastAsiaTheme="majorEastAsia" w:cstheme="majorEastAsia"/>
          <w:color w:val="auto"/>
          <w:sz w:val="24"/>
          <w:szCs w:val="24"/>
          <w:lang w:eastAsia="zh-CN"/>
        </w:rPr>
      </w:pPr>
      <w:bookmarkStart w:id="19" w:name="_Toc35393791"/>
      <w:bookmarkStart w:id="20" w:name="_Toc28359003"/>
      <w:bookmarkStart w:id="21" w:name="_Toc35393622"/>
      <w:bookmarkStart w:id="22" w:name="_Toc28359080"/>
      <w:r>
        <w:rPr>
          <w:rFonts w:hint="eastAsia" w:asciiTheme="majorEastAsia" w:hAnsiTheme="majorEastAsia" w:eastAsiaTheme="majorEastAsia" w:cstheme="majorEastAsia"/>
          <w:color w:val="auto"/>
          <w:sz w:val="24"/>
          <w:szCs w:val="24"/>
          <w:lang w:eastAsia="zh-CN"/>
        </w:rPr>
        <w:t>4.预算金额：</w:t>
      </w:r>
      <w:r>
        <w:rPr>
          <w:rFonts w:hint="eastAsia" w:asciiTheme="majorEastAsia" w:hAnsiTheme="majorEastAsia" w:eastAsiaTheme="majorEastAsia" w:cstheme="majorEastAsia"/>
          <w:color w:val="auto"/>
          <w:sz w:val="24"/>
          <w:szCs w:val="24"/>
          <w:lang w:val="en-US" w:eastAsia="zh-CN"/>
        </w:rPr>
        <w:t>350.47万</w:t>
      </w:r>
      <w:r>
        <w:rPr>
          <w:rFonts w:hint="eastAsia" w:asciiTheme="majorEastAsia" w:hAnsiTheme="majorEastAsia" w:eastAsiaTheme="majorEastAsia" w:cstheme="majorEastAsia"/>
          <w:color w:val="auto"/>
          <w:sz w:val="24"/>
          <w:szCs w:val="24"/>
          <w:lang w:eastAsia="zh-CN"/>
        </w:rPr>
        <w:t>元</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eastAsia="zh-CN"/>
        </w:rPr>
        <w:t>5.最高限价：</w:t>
      </w:r>
      <w:r>
        <w:rPr>
          <w:rFonts w:hint="eastAsia" w:asciiTheme="majorEastAsia" w:hAnsiTheme="majorEastAsia" w:eastAsiaTheme="majorEastAsia" w:cstheme="majorEastAsia"/>
          <w:color w:val="auto"/>
          <w:sz w:val="24"/>
          <w:szCs w:val="24"/>
          <w:lang w:val="en-US" w:eastAsia="zh-CN"/>
        </w:rPr>
        <w:t>350.47万</w:t>
      </w:r>
      <w:r>
        <w:rPr>
          <w:rFonts w:hint="eastAsia" w:asciiTheme="majorEastAsia" w:hAnsiTheme="majorEastAsia" w:eastAsiaTheme="majorEastAsia" w:cstheme="majorEastAsia"/>
          <w:color w:val="auto"/>
          <w:sz w:val="24"/>
          <w:szCs w:val="24"/>
          <w:lang w:eastAsia="zh-CN"/>
        </w:rPr>
        <w:t>元</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val="en-US" w:eastAsia="zh-CN"/>
        </w:rPr>
        <w:t>6.</w:t>
      </w:r>
      <w:r>
        <w:rPr>
          <w:rFonts w:hint="eastAsia" w:asciiTheme="majorEastAsia" w:hAnsiTheme="majorEastAsia" w:eastAsiaTheme="majorEastAsia" w:cstheme="majorEastAsia"/>
          <w:color w:val="auto"/>
          <w:sz w:val="24"/>
          <w:szCs w:val="24"/>
          <w:lang w:eastAsia="zh-CN"/>
        </w:rPr>
        <w:t>资金来源：财政</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7采购需求：</w:t>
      </w:r>
      <w:r>
        <w:rPr>
          <w:rFonts w:hint="eastAsia"/>
          <w:color w:val="auto"/>
          <w:lang w:val="en-US" w:eastAsia="zh-CN"/>
        </w:rPr>
        <w:t>主要包括一层冷库除楼梯电梯外，根据使用功能划分为配货穿堂区、两间速冻库、两间变温库、及两间低温冷藏库；均包括：墙面地面顶棚的保温、制冷系统的管路铺设及设备安装调试、室外叉车坡道等内容</w:t>
      </w:r>
      <w:r>
        <w:rPr>
          <w:rFonts w:hint="eastAsia" w:asciiTheme="majorEastAsia" w:hAnsiTheme="majorEastAsia" w:eastAsiaTheme="majorEastAsia" w:cstheme="majorEastAsia"/>
          <w:color w:val="auto"/>
          <w:sz w:val="24"/>
          <w:szCs w:val="24"/>
          <w:lang w:val="en-US" w:eastAsia="zh-CN"/>
        </w:rPr>
        <w:t>。</w:t>
      </w:r>
    </w:p>
    <w:p>
      <w:pPr>
        <w:pStyle w:val="21"/>
        <w:spacing w:before="0" w:beforeAutospacing="0" w:after="0" w:afterAutospacing="0" w:line="480" w:lineRule="exact"/>
        <w:ind w:firstLine="480" w:firstLineChars="200"/>
        <w:jc w:val="both"/>
        <w:rPr>
          <w:rFonts w:hint="eastAsia" w:ascii="宋体" w:hAnsi="宋体" w:cs="宋体"/>
          <w:color w:val="auto"/>
          <w:kern w:val="0"/>
          <w:sz w:val="24"/>
        </w:rPr>
      </w:pPr>
      <w:r>
        <w:rPr>
          <w:rFonts w:hint="eastAsia" w:ascii="宋体" w:hAnsi="宋体" w:cs="宋体"/>
          <w:color w:val="auto"/>
          <w:kern w:val="0"/>
          <w:sz w:val="24"/>
          <w:lang w:val="en-US" w:eastAsia="zh-CN"/>
        </w:rPr>
        <w:t>8</w:t>
      </w:r>
      <w:r>
        <w:rPr>
          <w:rFonts w:hint="eastAsia" w:ascii="宋体" w:hAnsi="宋体" w:cs="宋体"/>
          <w:color w:val="auto"/>
          <w:kern w:val="0"/>
          <w:sz w:val="24"/>
        </w:rPr>
        <w:t>.</w:t>
      </w:r>
      <w:r>
        <w:rPr>
          <w:rFonts w:hint="eastAsia" w:cs="宋体"/>
          <w:color w:val="auto"/>
          <w:kern w:val="0"/>
          <w:sz w:val="24"/>
          <w:lang w:val="en-US" w:eastAsia="zh-CN"/>
        </w:rPr>
        <w:t>服务</w:t>
      </w:r>
      <w:r>
        <w:rPr>
          <w:rFonts w:hint="eastAsia" w:ascii="宋体" w:hAnsi="宋体" w:cs="宋体"/>
          <w:color w:val="auto"/>
          <w:kern w:val="0"/>
          <w:sz w:val="24"/>
        </w:rPr>
        <w:t>期限：</w:t>
      </w:r>
      <w:r>
        <w:rPr>
          <w:rFonts w:hint="eastAsia"/>
          <w:color w:val="auto"/>
        </w:rPr>
        <w:t>合同签订之后</w:t>
      </w:r>
      <w:r>
        <w:rPr>
          <w:rFonts w:hint="eastAsia"/>
          <w:color w:val="auto"/>
          <w:lang w:val="en-US" w:eastAsia="zh-CN"/>
        </w:rPr>
        <w:t>四</w:t>
      </w:r>
      <w:r>
        <w:rPr>
          <w:rFonts w:hint="eastAsia"/>
          <w:color w:val="auto"/>
        </w:rPr>
        <w:t>十天内</w:t>
      </w:r>
      <w:r>
        <w:rPr>
          <w:rFonts w:hint="eastAsia"/>
          <w:color w:val="auto"/>
          <w:lang w:val="en-US" w:eastAsia="zh-CN"/>
        </w:rPr>
        <w:t>完工</w:t>
      </w:r>
      <w:r>
        <w:rPr>
          <w:rFonts w:hint="eastAsia"/>
          <w:color w:val="auto"/>
        </w:rPr>
        <w:t>。</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val="en-US" w:eastAsia="zh-CN"/>
        </w:rPr>
        <w:t>9</w:t>
      </w:r>
      <w:r>
        <w:rPr>
          <w:rFonts w:hint="eastAsia" w:asciiTheme="majorEastAsia" w:hAnsiTheme="majorEastAsia" w:eastAsiaTheme="majorEastAsia" w:cstheme="majorEastAsia"/>
          <w:color w:val="auto"/>
          <w:sz w:val="24"/>
          <w:szCs w:val="24"/>
          <w:lang w:eastAsia="zh-CN"/>
        </w:rPr>
        <w:t>.本项目不接受联合体投标。</w:t>
      </w:r>
    </w:p>
    <w:p>
      <w:pPr>
        <w:spacing w:line="460" w:lineRule="exact"/>
        <w:ind w:firstLine="482" w:firstLineChars="200"/>
        <w:outlineLvl w:val="1"/>
        <w:rPr>
          <w:rFonts w:hint="eastAsia" w:asciiTheme="majorEastAsia" w:hAnsiTheme="majorEastAsia" w:eastAsiaTheme="majorEastAsia" w:cstheme="majorEastAsia"/>
          <w:b/>
          <w:color w:val="auto"/>
          <w:sz w:val="24"/>
          <w:szCs w:val="24"/>
        </w:rPr>
      </w:pPr>
      <w:bookmarkStart w:id="23" w:name="_Toc24495"/>
      <w:r>
        <w:rPr>
          <w:rFonts w:hint="eastAsia" w:asciiTheme="majorEastAsia" w:hAnsiTheme="majorEastAsia" w:eastAsiaTheme="majorEastAsia" w:cstheme="majorEastAsia"/>
          <w:b/>
          <w:color w:val="auto"/>
          <w:sz w:val="24"/>
          <w:szCs w:val="24"/>
        </w:rPr>
        <w:t>二、申请人的资格要求：</w:t>
      </w:r>
      <w:bookmarkEnd w:id="19"/>
      <w:bookmarkEnd w:id="20"/>
      <w:bookmarkEnd w:id="21"/>
      <w:bookmarkEnd w:id="22"/>
      <w:bookmarkEnd w:id="23"/>
    </w:p>
    <w:p>
      <w:pPr>
        <w:spacing w:line="46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1.满足《中华人民共和国政府采购法》第二十二条规定：</w:t>
      </w:r>
    </w:p>
    <w:p>
      <w:pPr>
        <w:spacing w:line="460" w:lineRule="exact"/>
        <w:ind w:firstLine="480" w:firstLineChars="200"/>
        <w:rPr>
          <w:rFonts w:hint="eastAsia" w:asciiTheme="majorEastAsia" w:hAnsiTheme="majorEastAsia" w:eastAsiaTheme="majorEastAsia" w:cstheme="majorEastAsia"/>
          <w:color w:val="auto"/>
          <w:sz w:val="24"/>
          <w:szCs w:val="24"/>
        </w:rPr>
      </w:pPr>
      <w:bookmarkStart w:id="24" w:name="_Toc28359081"/>
      <w:bookmarkStart w:id="25" w:name="_Toc28359004"/>
      <w:r>
        <w:rPr>
          <w:rFonts w:hint="eastAsia" w:asciiTheme="majorEastAsia" w:hAnsiTheme="majorEastAsia" w:eastAsiaTheme="majorEastAsia" w:cstheme="majorEastAsia"/>
          <w:color w:val="auto"/>
          <w:sz w:val="24"/>
          <w:szCs w:val="24"/>
        </w:rPr>
        <w:t>2.落实政府采购政策需满足的资格要求：本项目为非专门面向中小企业的项目；</w:t>
      </w:r>
    </w:p>
    <w:p>
      <w:pPr>
        <w:spacing w:line="46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3.本项目的特定资格要求：</w:t>
      </w:r>
      <w:bookmarkEnd w:id="24"/>
      <w:bookmarkEnd w:id="25"/>
      <w:bookmarkStart w:id="26" w:name="_Toc28359085"/>
      <w:bookmarkStart w:id="27" w:name="_Toc35393627"/>
      <w:bookmarkStart w:id="28" w:name="_Toc35393796"/>
      <w:bookmarkStart w:id="29" w:name="_Toc28359008"/>
      <w:r>
        <w:rPr>
          <w:rFonts w:hint="eastAsia" w:asciiTheme="majorEastAsia" w:hAnsiTheme="majorEastAsia" w:eastAsiaTheme="majorEastAsia" w:cstheme="majorEastAsia"/>
          <w:color w:val="auto"/>
          <w:sz w:val="24"/>
          <w:szCs w:val="24"/>
        </w:rPr>
        <w:t>无</w:t>
      </w:r>
    </w:p>
    <w:p>
      <w:pPr>
        <w:spacing w:line="460" w:lineRule="exact"/>
        <w:ind w:firstLine="482" w:firstLineChars="200"/>
        <w:outlineLvl w:val="1"/>
        <w:rPr>
          <w:rFonts w:hint="eastAsia" w:asciiTheme="majorEastAsia" w:hAnsiTheme="majorEastAsia" w:eastAsiaTheme="majorEastAsia" w:cstheme="majorEastAsia"/>
          <w:b/>
          <w:color w:val="auto"/>
          <w:sz w:val="24"/>
          <w:szCs w:val="24"/>
        </w:rPr>
      </w:pPr>
      <w:bookmarkStart w:id="30" w:name="_Toc1657"/>
      <w:r>
        <w:rPr>
          <w:rFonts w:hint="eastAsia" w:asciiTheme="majorEastAsia" w:hAnsiTheme="majorEastAsia" w:eastAsiaTheme="majorEastAsia" w:cstheme="majorEastAsia"/>
          <w:b/>
          <w:color w:val="auto"/>
          <w:sz w:val="24"/>
          <w:szCs w:val="24"/>
        </w:rPr>
        <w:t>三、获取招标文件</w:t>
      </w:r>
      <w:bookmarkEnd w:id="30"/>
    </w:p>
    <w:p>
      <w:pPr>
        <w:spacing w:line="46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1.获取时间：202</w:t>
      </w: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年</w:t>
      </w:r>
      <w:r>
        <w:rPr>
          <w:rFonts w:hint="eastAsia" w:asciiTheme="majorEastAsia" w:hAnsiTheme="majorEastAsia" w:eastAsiaTheme="majorEastAsia" w:cstheme="majorEastAsia"/>
          <w:color w:val="auto"/>
          <w:sz w:val="24"/>
          <w:szCs w:val="24"/>
          <w:lang w:val="en-US" w:eastAsia="zh-CN"/>
        </w:rPr>
        <w:t>7</w:t>
      </w:r>
      <w:r>
        <w:rPr>
          <w:rFonts w:hint="eastAsia" w:asciiTheme="majorEastAsia" w:hAnsiTheme="majorEastAsia" w:eastAsiaTheme="majorEastAsia" w:cstheme="majorEastAsia"/>
          <w:color w:val="auto"/>
          <w:sz w:val="24"/>
          <w:szCs w:val="24"/>
        </w:rPr>
        <w:t>月</w:t>
      </w:r>
      <w:r>
        <w:rPr>
          <w:rFonts w:hint="eastAsia" w:asciiTheme="majorEastAsia" w:hAnsiTheme="majorEastAsia" w:eastAsiaTheme="majorEastAsia" w:cstheme="majorEastAsia"/>
          <w:color w:val="auto"/>
          <w:sz w:val="24"/>
          <w:szCs w:val="24"/>
          <w:lang w:val="en-US" w:eastAsia="zh-CN"/>
        </w:rPr>
        <w:t>12</w:t>
      </w:r>
      <w:r>
        <w:rPr>
          <w:rFonts w:hint="eastAsia" w:asciiTheme="majorEastAsia" w:hAnsiTheme="majorEastAsia" w:eastAsiaTheme="majorEastAsia" w:cstheme="majorEastAsia"/>
          <w:color w:val="auto"/>
          <w:sz w:val="24"/>
          <w:szCs w:val="24"/>
        </w:rPr>
        <w:t>日00时起，到2024年</w:t>
      </w:r>
      <w:r>
        <w:rPr>
          <w:rFonts w:hint="eastAsia" w:asciiTheme="majorEastAsia" w:hAnsiTheme="majorEastAsia" w:eastAsiaTheme="majorEastAsia" w:cstheme="majorEastAsia"/>
          <w:color w:val="auto"/>
          <w:sz w:val="24"/>
          <w:szCs w:val="24"/>
          <w:lang w:val="en-US" w:eastAsia="zh-CN"/>
        </w:rPr>
        <w:t>7</w:t>
      </w:r>
      <w:r>
        <w:rPr>
          <w:rFonts w:hint="eastAsia" w:asciiTheme="majorEastAsia" w:hAnsiTheme="majorEastAsia" w:eastAsiaTheme="majorEastAsia" w:cstheme="majorEastAsia"/>
          <w:color w:val="auto"/>
          <w:sz w:val="24"/>
          <w:szCs w:val="24"/>
        </w:rPr>
        <w:t>月</w:t>
      </w:r>
      <w:r>
        <w:rPr>
          <w:rFonts w:hint="eastAsia" w:asciiTheme="majorEastAsia" w:hAnsiTheme="majorEastAsia" w:eastAsiaTheme="majorEastAsia" w:cstheme="majorEastAsia"/>
          <w:color w:val="auto"/>
          <w:sz w:val="24"/>
          <w:szCs w:val="24"/>
          <w:lang w:val="en-US" w:eastAsia="zh-CN"/>
        </w:rPr>
        <w:t>18</w:t>
      </w:r>
      <w:r>
        <w:rPr>
          <w:rFonts w:hint="eastAsia" w:asciiTheme="majorEastAsia" w:hAnsiTheme="majorEastAsia" w:eastAsiaTheme="majorEastAsia" w:cstheme="majorEastAsia"/>
          <w:color w:val="auto"/>
          <w:sz w:val="24"/>
          <w:szCs w:val="24"/>
        </w:rPr>
        <w:t>日23时59分59秒止；</w:t>
      </w:r>
    </w:p>
    <w:p>
      <w:pPr>
        <w:spacing w:line="46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2.获取方式：</w:t>
      </w:r>
      <w:r>
        <w:rPr>
          <w:rFonts w:hint="eastAsia" w:asciiTheme="majorEastAsia" w:hAnsiTheme="majorEastAsia" w:eastAsiaTheme="majorEastAsia" w:cstheme="majorEastAsia"/>
          <w:b/>
          <w:color w:val="auto"/>
          <w:sz w:val="24"/>
          <w:szCs w:val="24"/>
        </w:rPr>
        <w:t>投标人完成注册并办理CA证书后，登录江苏省政府采购管理交易系统（苏采云）（http://jszfcg.jsczt.cn/）获取本项目的招标文件及有关资料。</w:t>
      </w:r>
    </w:p>
    <w:p>
      <w:pPr>
        <w:spacing w:line="46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3.售价：</w:t>
      </w:r>
      <w:r>
        <w:rPr>
          <w:rFonts w:hint="eastAsia" w:asciiTheme="majorEastAsia" w:hAnsiTheme="majorEastAsia" w:eastAsiaTheme="majorEastAsia" w:cstheme="majorEastAsia"/>
          <w:color w:val="auto"/>
          <w:sz w:val="24"/>
          <w:szCs w:val="24"/>
          <w:lang w:val="en-US" w:eastAsia="zh-CN"/>
        </w:rPr>
        <w:t>免费</w:t>
      </w:r>
      <w:bookmarkStart w:id="588" w:name="_GoBack"/>
      <w:bookmarkEnd w:id="588"/>
      <w:r>
        <w:rPr>
          <w:rFonts w:hint="eastAsia" w:asciiTheme="majorEastAsia" w:hAnsiTheme="majorEastAsia" w:eastAsiaTheme="majorEastAsia" w:cstheme="majorEastAsia"/>
          <w:color w:val="auto"/>
          <w:sz w:val="24"/>
          <w:szCs w:val="24"/>
        </w:rPr>
        <w:t>。</w:t>
      </w:r>
    </w:p>
    <w:p>
      <w:pPr>
        <w:spacing w:line="460" w:lineRule="exact"/>
        <w:ind w:firstLine="482" w:firstLineChars="200"/>
        <w:outlineLvl w:val="1"/>
        <w:rPr>
          <w:rFonts w:hint="eastAsia" w:asciiTheme="majorEastAsia" w:hAnsiTheme="majorEastAsia" w:eastAsiaTheme="majorEastAsia" w:cstheme="majorEastAsia"/>
          <w:b/>
          <w:color w:val="auto"/>
          <w:sz w:val="24"/>
          <w:szCs w:val="24"/>
        </w:rPr>
      </w:pPr>
      <w:bookmarkStart w:id="31" w:name="_Toc28359005"/>
      <w:bookmarkStart w:id="32" w:name="_Toc28359082"/>
      <w:bookmarkStart w:id="33" w:name="_Toc17642"/>
      <w:bookmarkStart w:id="34" w:name="_Toc35393793"/>
      <w:bookmarkStart w:id="35" w:name="_Toc35393624"/>
      <w:r>
        <w:rPr>
          <w:rFonts w:hint="eastAsia" w:asciiTheme="majorEastAsia" w:hAnsiTheme="majorEastAsia" w:eastAsiaTheme="majorEastAsia" w:cstheme="majorEastAsia"/>
          <w:b/>
          <w:color w:val="auto"/>
          <w:sz w:val="24"/>
          <w:szCs w:val="24"/>
        </w:rPr>
        <w:t>四、提交投标文件</w:t>
      </w:r>
      <w:bookmarkEnd w:id="31"/>
      <w:bookmarkEnd w:id="32"/>
      <w:r>
        <w:rPr>
          <w:rFonts w:hint="eastAsia" w:asciiTheme="majorEastAsia" w:hAnsiTheme="majorEastAsia" w:eastAsiaTheme="majorEastAsia" w:cstheme="majorEastAsia"/>
          <w:b/>
          <w:color w:val="auto"/>
          <w:sz w:val="24"/>
          <w:szCs w:val="24"/>
        </w:rPr>
        <w:t>截止时间、开标时间和地点</w:t>
      </w:r>
      <w:bookmarkEnd w:id="33"/>
      <w:bookmarkEnd w:id="34"/>
      <w:bookmarkEnd w:id="35"/>
    </w:p>
    <w:p>
      <w:pPr>
        <w:spacing w:line="46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1.提交投标文件截止时间：2024年</w:t>
      </w:r>
      <w:r>
        <w:rPr>
          <w:rFonts w:hint="eastAsia" w:asciiTheme="majorEastAsia" w:hAnsiTheme="majorEastAsia" w:eastAsiaTheme="majorEastAsia" w:cstheme="majorEastAsia"/>
          <w:color w:val="auto"/>
          <w:sz w:val="24"/>
          <w:szCs w:val="24"/>
          <w:lang w:val="en-US" w:eastAsia="zh-CN"/>
        </w:rPr>
        <w:t>8月1日9</w:t>
      </w:r>
      <w:r>
        <w:rPr>
          <w:rFonts w:hint="eastAsia" w:asciiTheme="majorEastAsia" w:hAnsiTheme="majorEastAsia" w:eastAsiaTheme="majorEastAsia" w:cstheme="majorEastAsia"/>
          <w:color w:val="auto"/>
          <w:sz w:val="24"/>
          <w:szCs w:val="24"/>
        </w:rPr>
        <w:t xml:space="preserve">点 </w:t>
      </w:r>
      <w:r>
        <w:rPr>
          <w:rFonts w:hint="eastAsia" w:asciiTheme="majorEastAsia" w:hAnsiTheme="majorEastAsia" w:eastAsiaTheme="majorEastAsia" w:cstheme="majorEastAsia"/>
          <w:color w:val="auto"/>
          <w:sz w:val="24"/>
          <w:szCs w:val="24"/>
          <w:lang w:val="en-US" w:eastAsia="zh-CN"/>
        </w:rPr>
        <w:t>0</w:t>
      </w:r>
      <w:r>
        <w:rPr>
          <w:rFonts w:hint="eastAsia" w:asciiTheme="majorEastAsia" w:hAnsiTheme="majorEastAsia" w:eastAsiaTheme="majorEastAsia" w:cstheme="majorEastAsia"/>
          <w:color w:val="auto"/>
          <w:sz w:val="24"/>
          <w:szCs w:val="24"/>
        </w:rPr>
        <w:t>0分止（北京时间）；</w:t>
      </w:r>
    </w:p>
    <w:p>
      <w:pPr>
        <w:spacing w:line="46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2.开标时间：同投标文件递交截止时间；</w:t>
      </w:r>
    </w:p>
    <w:p>
      <w:pPr>
        <w:spacing w:line="46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3.开标地点：“苏采云”系统“开标大厅”。</w:t>
      </w:r>
    </w:p>
    <w:p>
      <w:pPr>
        <w:spacing w:line="460" w:lineRule="exact"/>
        <w:ind w:firstLine="482" w:firstLineChars="200"/>
        <w:outlineLvl w:val="1"/>
        <w:rPr>
          <w:rFonts w:hint="eastAsia" w:asciiTheme="majorEastAsia" w:hAnsiTheme="majorEastAsia" w:eastAsiaTheme="majorEastAsia" w:cstheme="majorEastAsia"/>
          <w:b/>
          <w:color w:val="auto"/>
          <w:sz w:val="24"/>
          <w:szCs w:val="24"/>
        </w:rPr>
      </w:pPr>
      <w:bookmarkStart w:id="36" w:name="_Toc13270"/>
      <w:bookmarkStart w:id="37" w:name="_Toc28359007"/>
      <w:bookmarkStart w:id="38" w:name="_Toc35393625"/>
      <w:bookmarkStart w:id="39" w:name="_Toc28359084"/>
      <w:bookmarkStart w:id="40" w:name="_Toc35393794"/>
      <w:r>
        <w:rPr>
          <w:rFonts w:hint="eastAsia" w:asciiTheme="majorEastAsia" w:hAnsiTheme="majorEastAsia" w:eastAsiaTheme="majorEastAsia" w:cstheme="majorEastAsia"/>
          <w:b/>
          <w:color w:val="auto"/>
          <w:sz w:val="24"/>
          <w:szCs w:val="24"/>
        </w:rPr>
        <w:t>五、公告期限</w:t>
      </w:r>
      <w:bookmarkEnd w:id="36"/>
      <w:bookmarkEnd w:id="37"/>
      <w:bookmarkEnd w:id="38"/>
      <w:bookmarkEnd w:id="39"/>
      <w:bookmarkEnd w:id="40"/>
    </w:p>
    <w:p>
      <w:pPr>
        <w:spacing w:line="46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自本公告发布之日起5个工作日。</w:t>
      </w:r>
    </w:p>
    <w:p>
      <w:pPr>
        <w:spacing w:line="460" w:lineRule="exact"/>
        <w:ind w:firstLine="482" w:firstLineChars="200"/>
        <w:outlineLvl w:val="1"/>
        <w:rPr>
          <w:rFonts w:hint="eastAsia" w:asciiTheme="majorEastAsia" w:hAnsiTheme="majorEastAsia" w:eastAsiaTheme="majorEastAsia" w:cstheme="majorEastAsia"/>
          <w:b/>
          <w:color w:val="auto"/>
          <w:sz w:val="24"/>
          <w:szCs w:val="24"/>
        </w:rPr>
      </w:pPr>
      <w:bookmarkStart w:id="41" w:name="_Toc35393795"/>
      <w:bookmarkStart w:id="42" w:name="_Toc35393626"/>
      <w:bookmarkStart w:id="43" w:name="_Toc24651"/>
      <w:r>
        <w:rPr>
          <w:rFonts w:hint="eastAsia" w:asciiTheme="majorEastAsia" w:hAnsiTheme="majorEastAsia" w:eastAsiaTheme="majorEastAsia" w:cstheme="majorEastAsia"/>
          <w:b/>
          <w:color w:val="auto"/>
          <w:sz w:val="24"/>
          <w:szCs w:val="24"/>
        </w:rPr>
        <w:t>六、其他补充事宜</w:t>
      </w:r>
      <w:bookmarkEnd w:id="41"/>
      <w:bookmarkEnd w:id="42"/>
      <w:bookmarkEnd w:id="43"/>
    </w:p>
    <w:p>
      <w:pPr>
        <w:spacing w:line="46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1.投标保证金：无。</w:t>
      </w:r>
    </w:p>
    <w:p>
      <w:pPr>
        <w:spacing w:line="46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2.公告发布媒介：江苏政府采购网（www.ccgp-jiangsu.gov.cn）</w:t>
      </w:r>
    </w:p>
    <w:p>
      <w:pPr>
        <w:spacing w:line="46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3.</w:t>
      </w:r>
      <w:r>
        <w:rPr>
          <w:rFonts w:hint="eastAsia" w:asciiTheme="majorEastAsia" w:hAnsiTheme="majorEastAsia" w:eastAsiaTheme="majorEastAsia" w:cstheme="majorEastAsia"/>
          <w:b/>
          <w:color w:val="auto"/>
        </w:rPr>
        <w:t xml:space="preserve"> </w:t>
      </w:r>
      <w:r>
        <w:rPr>
          <w:rFonts w:hint="eastAsia" w:asciiTheme="majorEastAsia" w:hAnsiTheme="majorEastAsia" w:eastAsiaTheme="majorEastAsia" w:cstheme="majorEastAsia"/>
          <w:b/>
          <w:color w:val="auto"/>
          <w:sz w:val="24"/>
          <w:szCs w:val="24"/>
        </w:rPr>
        <w:t>注意事项：</w:t>
      </w:r>
    </w:p>
    <w:p>
      <w:pPr>
        <w:spacing w:line="46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pPr>
        <w:spacing w:line="46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2）本项目采用电子化投标，投标人应根据《江苏省政府采购管理交易系统（苏采云）供应商操作手册》（“泰州市政府采购网—下载中心”下载）规定，制作、上传电子投标文件（技术支持电话：0523-87633965、0523-86897512；客服QQ709339244、QQ：1810179072）。</w:t>
      </w:r>
    </w:p>
    <w:p>
      <w:pPr>
        <w:spacing w:line="460" w:lineRule="exact"/>
        <w:ind w:firstLine="482"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（3）有关本次招标的事项若存在变动或修改，敬请及时关注“江苏政府采购网”发布的更正公告。</w:t>
      </w:r>
    </w:p>
    <w:p>
      <w:pPr>
        <w:spacing w:line="460" w:lineRule="exact"/>
        <w:ind w:firstLine="482"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如潜在投标人未按上述要求操作，将自行承担所产生的风险。</w:t>
      </w:r>
    </w:p>
    <w:p>
      <w:pPr>
        <w:spacing w:line="460" w:lineRule="exact"/>
        <w:ind w:firstLine="482" w:firstLineChars="200"/>
        <w:outlineLvl w:val="1"/>
        <w:rPr>
          <w:rFonts w:hint="eastAsia" w:asciiTheme="majorEastAsia" w:hAnsiTheme="majorEastAsia" w:eastAsiaTheme="majorEastAsia" w:cstheme="majorEastAsia"/>
          <w:color w:val="auto"/>
          <w:sz w:val="24"/>
          <w:szCs w:val="24"/>
        </w:rPr>
      </w:pPr>
      <w:bookmarkStart w:id="44" w:name="_Toc18289"/>
      <w:r>
        <w:rPr>
          <w:rFonts w:hint="eastAsia" w:asciiTheme="majorEastAsia" w:hAnsiTheme="majorEastAsia" w:eastAsiaTheme="majorEastAsia" w:cstheme="majorEastAsia"/>
          <w:b/>
          <w:color w:val="auto"/>
          <w:sz w:val="24"/>
          <w:szCs w:val="24"/>
        </w:rPr>
        <w:t>七、对本次招标提出询问，请按以下方式联系。</w:t>
      </w:r>
      <w:bookmarkEnd w:id="26"/>
      <w:bookmarkEnd w:id="27"/>
      <w:bookmarkEnd w:id="28"/>
      <w:bookmarkEnd w:id="29"/>
      <w:bookmarkEnd w:id="44"/>
    </w:p>
    <w:p>
      <w:pPr>
        <w:widowControl/>
        <w:spacing w:line="480" w:lineRule="exact"/>
        <w:ind w:firstLine="560"/>
        <w:jc w:val="left"/>
        <w:rPr>
          <w:rFonts w:ascii="宋体" w:hAnsi="宋体" w:cs="Calibri"/>
          <w:color w:val="auto"/>
          <w:kern w:val="0"/>
          <w:sz w:val="24"/>
        </w:rPr>
      </w:pPr>
      <w:r>
        <w:rPr>
          <w:rFonts w:hint="eastAsia" w:ascii="宋体" w:hAnsi="宋体" w:cs="Calibri"/>
          <w:color w:val="auto"/>
          <w:kern w:val="0"/>
          <w:sz w:val="24"/>
        </w:rPr>
        <w:t>1.采购人信息</w:t>
      </w:r>
    </w:p>
    <w:p>
      <w:pPr>
        <w:widowControl/>
        <w:spacing w:line="480" w:lineRule="exact"/>
        <w:ind w:firstLine="560"/>
        <w:jc w:val="left"/>
        <w:rPr>
          <w:rFonts w:hint="eastAsia" w:ascii="宋体" w:hAnsi="宋体" w:eastAsia="宋体" w:cs="Calibri"/>
          <w:color w:val="auto"/>
          <w:kern w:val="0"/>
          <w:sz w:val="24"/>
          <w:lang w:eastAsia="zh-CN"/>
        </w:rPr>
      </w:pPr>
      <w:r>
        <w:rPr>
          <w:rFonts w:hint="eastAsia" w:ascii="宋体" w:hAnsi="宋体" w:cs="Calibri"/>
          <w:color w:val="auto"/>
          <w:kern w:val="0"/>
          <w:sz w:val="24"/>
        </w:rPr>
        <w:t>名称：</w:t>
      </w:r>
      <w:r>
        <w:rPr>
          <w:rFonts w:hint="eastAsia" w:ascii="宋体" w:hAnsi="宋体" w:cs="Calibri"/>
          <w:color w:val="auto"/>
          <w:kern w:val="0"/>
          <w:sz w:val="24"/>
          <w:u w:val="single"/>
          <w:lang w:eastAsia="zh-CN"/>
        </w:rPr>
        <w:t>泰兴市分界镇人民政府</w:t>
      </w:r>
    </w:p>
    <w:p>
      <w:pPr>
        <w:widowControl/>
        <w:spacing w:line="480" w:lineRule="exact"/>
        <w:ind w:firstLine="560"/>
        <w:jc w:val="left"/>
        <w:rPr>
          <w:rFonts w:ascii="宋体" w:hAnsi="宋体" w:cs="Calibri"/>
          <w:color w:val="auto"/>
          <w:kern w:val="0"/>
          <w:sz w:val="24"/>
        </w:rPr>
      </w:pPr>
      <w:r>
        <w:rPr>
          <w:rFonts w:hint="eastAsia" w:ascii="宋体" w:hAnsi="宋体" w:cs="Calibri"/>
          <w:color w:val="auto"/>
          <w:kern w:val="0"/>
          <w:sz w:val="24"/>
        </w:rPr>
        <w:t>地址：</w:t>
      </w:r>
      <w:r>
        <w:rPr>
          <w:rFonts w:hint="eastAsia" w:ascii="宋体" w:hAnsi="宋体" w:cs="Calibri"/>
          <w:color w:val="auto"/>
          <w:kern w:val="0"/>
          <w:sz w:val="24"/>
          <w:u w:val="single"/>
        </w:rPr>
        <w:t>泰兴市</w:t>
      </w:r>
      <w:r>
        <w:rPr>
          <w:rFonts w:hint="eastAsia" w:ascii="宋体" w:hAnsi="宋体" w:cs="Calibri"/>
          <w:color w:val="auto"/>
          <w:kern w:val="0"/>
          <w:sz w:val="24"/>
          <w:u w:val="single"/>
          <w:lang w:val="en-US" w:eastAsia="zh-CN"/>
        </w:rPr>
        <w:t>分界镇</w:t>
      </w:r>
    </w:p>
    <w:p>
      <w:pPr>
        <w:widowControl/>
        <w:spacing w:line="480" w:lineRule="exact"/>
        <w:ind w:firstLine="560"/>
        <w:jc w:val="left"/>
        <w:rPr>
          <w:rFonts w:hint="default" w:ascii="宋体" w:hAnsi="宋体" w:eastAsia="宋体" w:cs="Calibri"/>
          <w:color w:val="auto"/>
          <w:kern w:val="0"/>
          <w:sz w:val="24"/>
          <w:lang w:val="en-US" w:eastAsia="zh-CN"/>
        </w:rPr>
      </w:pPr>
      <w:r>
        <w:rPr>
          <w:rFonts w:hint="eastAsia" w:ascii="宋体" w:hAnsi="宋体" w:cs="Calibri"/>
          <w:color w:val="auto"/>
          <w:kern w:val="0"/>
          <w:sz w:val="24"/>
        </w:rPr>
        <w:t>联系方式：</w:t>
      </w:r>
      <w:r>
        <w:rPr>
          <w:rFonts w:ascii="宋体" w:hAnsi="宋体" w:cs="Calibri"/>
          <w:color w:val="auto"/>
          <w:kern w:val="0"/>
          <w:sz w:val="24"/>
          <w:u w:val="single"/>
          <w:lang w:val="zh-CN"/>
        </w:rPr>
        <w:t>0523-87</w:t>
      </w:r>
      <w:r>
        <w:rPr>
          <w:rFonts w:hint="eastAsia" w:ascii="宋体" w:hAnsi="宋体" w:cs="Calibri"/>
          <w:color w:val="auto"/>
          <w:kern w:val="0"/>
          <w:sz w:val="24"/>
          <w:u w:val="single"/>
          <w:lang w:val="en-US" w:eastAsia="zh-CN"/>
        </w:rPr>
        <w:t>553559</w:t>
      </w:r>
    </w:p>
    <w:p>
      <w:pPr>
        <w:widowControl/>
        <w:spacing w:line="480" w:lineRule="exact"/>
        <w:ind w:firstLine="560"/>
        <w:jc w:val="left"/>
        <w:rPr>
          <w:rFonts w:ascii="宋体" w:hAnsi="宋体" w:cs="Calibri"/>
          <w:color w:val="auto"/>
          <w:kern w:val="0"/>
          <w:sz w:val="24"/>
        </w:rPr>
      </w:pPr>
      <w:r>
        <w:rPr>
          <w:rFonts w:hint="eastAsia" w:ascii="宋体" w:hAnsi="宋体" w:cs="Calibri"/>
          <w:color w:val="auto"/>
          <w:kern w:val="0"/>
          <w:sz w:val="24"/>
        </w:rPr>
        <w:t>2.采购代理机构信息</w:t>
      </w:r>
    </w:p>
    <w:p>
      <w:pPr>
        <w:widowControl/>
        <w:spacing w:line="480" w:lineRule="exact"/>
        <w:ind w:firstLine="560"/>
        <w:rPr>
          <w:rFonts w:hint="eastAsia" w:ascii="宋体" w:hAnsi="宋体" w:eastAsia="宋体" w:cs="Calibri"/>
          <w:color w:val="auto"/>
          <w:kern w:val="0"/>
          <w:sz w:val="24"/>
          <w:lang w:eastAsia="zh-CN"/>
        </w:rPr>
      </w:pPr>
      <w:r>
        <w:rPr>
          <w:rFonts w:hint="eastAsia" w:ascii="宋体" w:hAnsi="宋体" w:cs="Calibri"/>
          <w:color w:val="auto"/>
          <w:kern w:val="0"/>
          <w:sz w:val="24"/>
        </w:rPr>
        <w:t>名 称：</w:t>
      </w:r>
      <w:r>
        <w:rPr>
          <w:rFonts w:hint="eastAsia" w:ascii="宋体" w:hAnsi="宋体" w:cs="宋体"/>
          <w:color w:val="auto"/>
          <w:sz w:val="24"/>
          <w:u w:val="single"/>
          <w:lang w:eastAsia="zh-CN"/>
        </w:rPr>
        <w:t>江苏天择建设管理有限公司</w:t>
      </w:r>
    </w:p>
    <w:p>
      <w:pPr>
        <w:widowControl/>
        <w:spacing w:line="480" w:lineRule="exact"/>
        <w:ind w:firstLine="560"/>
        <w:rPr>
          <w:rFonts w:hint="default" w:ascii="宋体" w:hAnsi="宋体" w:eastAsia="宋体" w:cs="宋体"/>
          <w:color w:val="auto"/>
          <w:sz w:val="24"/>
          <w:u w:val="single"/>
          <w:lang w:val="en-US" w:eastAsia="zh-CN"/>
        </w:rPr>
      </w:pPr>
      <w:r>
        <w:rPr>
          <w:rFonts w:hint="eastAsia" w:ascii="宋体" w:hAnsi="宋体" w:cs="Calibri"/>
          <w:color w:val="auto"/>
          <w:kern w:val="0"/>
          <w:sz w:val="24"/>
        </w:rPr>
        <w:t>地　址：</w:t>
      </w:r>
      <w:r>
        <w:rPr>
          <w:rFonts w:hint="eastAsia" w:ascii="宋体" w:hAnsi="宋体" w:cs="宋体"/>
          <w:color w:val="auto"/>
          <w:sz w:val="24"/>
          <w:u w:val="single"/>
          <w:lang w:val="en-US" w:eastAsia="zh-CN"/>
        </w:rPr>
        <w:t>泰兴市金融中心2号楼621</w:t>
      </w:r>
    </w:p>
    <w:p>
      <w:pPr>
        <w:widowControl/>
        <w:spacing w:line="480" w:lineRule="exact"/>
        <w:ind w:firstLine="560"/>
        <w:rPr>
          <w:rFonts w:hint="default" w:ascii="宋体" w:hAnsi="宋体" w:eastAsia="宋体" w:cs="宋体"/>
          <w:color w:val="auto"/>
          <w:sz w:val="24"/>
          <w:u w:val="single"/>
          <w:lang w:val="en-US" w:eastAsia="zh-CN"/>
        </w:rPr>
      </w:pPr>
      <w:r>
        <w:rPr>
          <w:rFonts w:hint="eastAsia" w:ascii="宋体" w:hAnsi="宋体" w:cs="Calibri"/>
          <w:color w:val="auto"/>
          <w:kern w:val="0"/>
          <w:sz w:val="24"/>
        </w:rPr>
        <w:t>联系方式：</w:t>
      </w:r>
      <w:r>
        <w:rPr>
          <w:rFonts w:hint="eastAsia" w:ascii="宋体" w:cs="宋体"/>
          <w:color w:val="auto"/>
          <w:sz w:val="24"/>
          <w:u w:val="single"/>
          <w:lang w:val="en-US" w:eastAsia="zh-CN"/>
        </w:rPr>
        <w:t>15195273897</w:t>
      </w:r>
    </w:p>
    <w:p>
      <w:pPr>
        <w:widowControl/>
        <w:spacing w:line="480" w:lineRule="exact"/>
        <w:ind w:firstLine="560"/>
        <w:rPr>
          <w:rFonts w:ascii="宋体" w:hAnsi="宋体" w:cs="Calibri"/>
          <w:color w:val="auto"/>
          <w:kern w:val="0"/>
          <w:sz w:val="24"/>
        </w:rPr>
      </w:pPr>
      <w:r>
        <w:rPr>
          <w:rFonts w:hint="eastAsia" w:ascii="宋体" w:hAnsi="宋体" w:cs="Calibri"/>
          <w:color w:val="auto"/>
          <w:kern w:val="0"/>
          <w:sz w:val="24"/>
        </w:rPr>
        <w:t>3.项目联系方式</w:t>
      </w:r>
    </w:p>
    <w:p>
      <w:pPr>
        <w:widowControl/>
        <w:spacing w:line="480" w:lineRule="exact"/>
        <w:ind w:firstLine="560"/>
        <w:jc w:val="left"/>
        <w:rPr>
          <w:rFonts w:hint="eastAsia" w:ascii="宋体" w:hAnsi="宋体" w:eastAsia="宋体" w:cs="Calibri"/>
          <w:color w:val="auto"/>
          <w:kern w:val="0"/>
          <w:sz w:val="24"/>
          <w:lang w:eastAsia="zh-CN"/>
        </w:rPr>
      </w:pPr>
      <w:r>
        <w:rPr>
          <w:rFonts w:hint="eastAsia" w:ascii="宋体" w:hAnsi="宋体" w:cs="Calibri"/>
          <w:color w:val="auto"/>
          <w:kern w:val="0"/>
          <w:sz w:val="24"/>
        </w:rPr>
        <w:t>项目联系人：</w:t>
      </w:r>
      <w:r>
        <w:rPr>
          <w:rFonts w:hint="eastAsia" w:ascii="宋体" w:hAnsi="宋体" w:cs="Calibri"/>
          <w:color w:val="auto"/>
          <w:kern w:val="0"/>
          <w:sz w:val="24"/>
          <w:u w:val="single"/>
          <w:lang w:eastAsia="zh-CN"/>
        </w:rPr>
        <w:t>泰兴市分界镇人民政府</w:t>
      </w:r>
      <w:r>
        <w:rPr>
          <w:rFonts w:hint="eastAsia" w:ascii="宋体" w:hAnsi="宋体" w:cs="Calibri"/>
          <w:color w:val="auto"/>
          <w:kern w:val="0"/>
          <w:sz w:val="24"/>
          <w:u w:val="single"/>
        </w:rPr>
        <w:t xml:space="preserve"> </w:t>
      </w:r>
      <w:r>
        <w:rPr>
          <w:rFonts w:ascii="宋体" w:hAnsi="宋体" w:cs="Calibri"/>
          <w:color w:val="auto"/>
          <w:kern w:val="0"/>
          <w:sz w:val="24"/>
          <w:u w:val="single"/>
        </w:rPr>
        <w:t xml:space="preserve"> </w:t>
      </w:r>
      <w:r>
        <w:rPr>
          <w:rFonts w:hint="eastAsia" w:ascii="宋体" w:hAnsi="宋体"/>
          <w:color w:val="auto"/>
          <w:kern w:val="0"/>
          <w:szCs w:val="21"/>
          <w:u w:val="single"/>
          <w:lang w:val="en-US" w:eastAsia="zh-CN"/>
        </w:rPr>
        <w:t>何先生</w:t>
      </w:r>
    </w:p>
    <w:p>
      <w:pPr>
        <w:widowControl/>
        <w:spacing w:line="480" w:lineRule="exact"/>
        <w:ind w:firstLine="560"/>
        <w:rPr>
          <w:rFonts w:ascii="宋体" w:hAnsi="宋体" w:cs="Calibri"/>
          <w:color w:val="auto"/>
          <w:kern w:val="0"/>
          <w:sz w:val="24"/>
          <w:u w:val="single"/>
        </w:rPr>
      </w:pPr>
      <w:r>
        <w:rPr>
          <w:rFonts w:hint="eastAsia" w:ascii="宋体" w:hAnsi="宋体" w:cs="Calibri"/>
          <w:color w:val="auto"/>
          <w:kern w:val="0"/>
          <w:sz w:val="24"/>
        </w:rPr>
        <w:t>电　话：</w:t>
      </w:r>
      <w:r>
        <w:rPr>
          <w:rFonts w:ascii="宋体" w:hAnsi="宋体" w:cs="Calibri"/>
          <w:color w:val="auto"/>
          <w:kern w:val="0"/>
          <w:sz w:val="24"/>
          <w:u w:val="single"/>
          <w:lang w:val="zh-CN"/>
        </w:rPr>
        <w:t>0523-87</w:t>
      </w:r>
      <w:r>
        <w:rPr>
          <w:rFonts w:hint="eastAsia" w:ascii="宋体" w:hAnsi="宋体" w:cs="Calibri"/>
          <w:color w:val="auto"/>
          <w:kern w:val="0"/>
          <w:sz w:val="24"/>
          <w:u w:val="single"/>
          <w:lang w:val="en-US" w:eastAsia="zh-CN"/>
        </w:rPr>
        <w:t>553559</w:t>
      </w:r>
    </w:p>
    <w:p>
      <w:pPr>
        <w:widowControl/>
        <w:spacing w:line="480" w:lineRule="exact"/>
        <w:ind w:firstLine="560"/>
        <w:rPr>
          <w:rFonts w:hint="eastAsia" w:ascii="宋体" w:hAnsi="宋体" w:eastAsia="宋体" w:cs="Calibri"/>
          <w:color w:val="auto"/>
          <w:kern w:val="0"/>
          <w:sz w:val="24"/>
          <w:lang w:eastAsia="zh-CN"/>
        </w:rPr>
      </w:pPr>
      <w:r>
        <w:rPr>
          <w:rFonts w:hint="eastAsia" w:ascii="宋体" w:hAnsi="宋体" w:cs="Calibri"/>
          <w:color w:val="auto"/>
          <w:kern w:val="0"/>
          <w:sz w:val="24"/>
        </w:rPr>
        <w:t>项目联系人：</w:t>
      </w:r>
      <w:r>
        <w:rPr>
          <w:rFonts w:hint="eastAsia" w:ascii="宋体" w:hAnsi="宋体" w:cs="宋体"/>
          <w:color w:val="auto"/>
          <w:sz w:val="24"/>
          <w:u w:val="single"/>
          <w:lang w:eastAsia="zh-CN"/>
        </w:rPr>
        <w:t>江苏天择建设管理有限公司</w:t>
      </w:r>
      <w:r>
        <w:rPr>
          <w:rFonts w:hint="eastAsia" w:ascii="宋体" w:hAnsi="宋体" w:cs="Calibri"/>
          <w:color w:val="auto"/>
          <w:kern w:val="0"/>
          <w:sz w:val="24"/>
          <w:u w:val="single"/>
        </w:rPr>
        <w:t xml:space="preserve"> </w:t>
      </w:r>
      <w:r>
        <w:rPr>
          <w:rFonts w:ascii="宋体" w:hAnsi="宋体" w:cs="Calibri"/>
          <w:color w:val="auto"/>
          <w:kern w:val="0"/>
          <w:sz w:val="24"/>
          <w:u w:val="single"/>
        </w:rPr>
        <w:t xml:space="preserve"> </w:t>
      </w:r>
      <w:r>
        <w:rPr>
          <w:rFonts w:hint="eastAsia" w:ascii="宋体" w:hAnsi="宋体" w:cs="Calibri"/>
          <w:color w:val="auto"/>
          <w:kern w:val="0"/>
          <w:sz w:val="24"/>
          <w:u w:val="single"/>
          <w:lang w:val="en-US" w:eastAsia="zh-CN"/>
        </w:rPr>
        <w:t>朱宁</w:t>
      </w:r>
    </w:p>
    <w:p>
      <w:pPr>
        <w:widowControl/>
        <w:spacing w:line="480" w:lineRule="exact"/>
        <w:ind w:firstLine="560"/>
        <w:rPr>
          <w:rFonts w:hint="default" w:ascii="宋体" w:hAnsi="宋体" w:eastAsia="宋体" w:cs="宋体"/>
          <w:color w:val="auto"/>
          <w:sz w:val="24"/>
          <w:u w:val="single"/>
          <w:lang w:val="en-US" w:eastAsia="zh-CN"/>
        </w:rPr>
      </w:pPr>
      <w:r>
        <w:rPr>
          <w:rFonts w:hint="eastAsia" w:ascii="宋体" w:hAnsi="宋体" w:cs="Calibri"/>
          <w:color w:val="auto"/>
          <w:kern w:val="0"/>
          <w:sz w:val="24"/>
        </w:rPr>
        <w:t>电　话：</w:t>
      </w:r>
      <w:r>
        <w:rPr>
          <w:rFonts w:hint="eastAsia" w:ascii="宋体" w:hAnsi="宋体" w:cs="宋体"/>
          <w:color w:val="auto"/>
          <w:sz w:val="24"/>
          <w:u w:val="single"/>
          <w:lang w:val="en-US" w:eastAsia="zh-CN"/>
        </w:rPr>
        <w:t>15195273897</w:t>
      </w:r>
    </w:p>
    <w:p>
      <w:pPr>
        <w:pStyle w:val="9"/>
        <w:rPr>
          <w:rFonts w:hint="eastAsia" w:asciiTheme="majorEastAsia" w:hAnsiTheme="majorEastAsia" w:eastAsiaTheme="majorEastAsia" w:cstheme="majorEastAsia"/>
          <w:color w:val="auto"/>
        </w:rPr>
      </w:pPr>
    </w:p>
    <w:p>
      <w:pPr>
        <w:widowControl/>
        <w:jc w:val="center"/>
        <w:outlineLvl w:val="0"/>
        <w:rPr>
          <w:rFonts w:hint="eastAsia" w:asciiTheme="majorEastAsia" w:hAnsiTheme="majorEastAsia" w:eastAsiaTheme="majorEastAsia" w:cstheme="majorEastAsia"/>
          <w:b/>
          <w:color w:val="auto"/>
          <w:sz w:val="32"/>
          <w:szCs w:val="32"/>
        </w:rPr>
      </w:pPr>
      <w:bookmarkStart w:id="45" w:name="_Toc426469869"/>
      <w:bookmarkStart w:id="46" w:name="_Toc382813966"/>
      <w:bookmarkStart w:id="47" w:name="_Toc523127445"/>
      <w:bookmarkStart w:id="48" w:name="_Toc513029200"/>
      <w:bookmarkStart w:id="49" w:name="_Toc20823272"/>
      <w:bookmarkStart w:id="50" w:name="_Toc382812472"/>
      <w:bookmarkStart w:id="51" w:name="_Toc16938516"/>
      <w:bookmarkStart w:id="52" w:name="_Toc382813885"/>
      <w:bookmarkStart w:id="53" w:name="_Toc479757206"/>
      <w:r>
        <w:rPr>
          <w:rFonts w:hint="eastAsia" w:asciiTheme="majorEastAsia" w:hAnsiTheme="majorEastAsia" w:eastAsiaTheme="majorEastAsia" w:cstheme="majorEastAsia"/>
          <w:b/>
          <w:color w:val="auto"/>
          <w:sz w:val="32"/>
          <w:szCs w:val="32"/>
        </w:rPr>
        <w:br w:type="page"/>
      </w:r>
      <w:bookmarkStart w:id="54" w:name="_Toc987"/>
      <w:r>
        <w:rPr>
          <w:rFonts w:hint="eastAsia" w:asciiTheme="majorEastAsia" w:hAnsiTheme="majorEastAsia" w:eastAsiaTheme="majorEastAsia" w:cstheme="majorEastAsia"/>
          <w:b/>
          <w:color w:val="auto"/>
          <w:sz w:val="32"/>
          <w:szCs w:val="32"/>
        </w:rPr>
        <w:t>第二章 供应商须知</w:t>
      </w:r>
      <w:bookmarkEnd w:id="45"/>
      <w:bookmarkEnd w:id="54"/>
    </w:p>
    <w:p>
      <w:pPr>
        <w:rPr>
          <w:rFonts w:hint="eastAsia" w:asciiTheme="majorEastAsia" w:hAnsiTheme="majorEastAsia" w:eastAsiaTheme="majorEastAsia" w:cstheme="majorEastAsia"/>
          <w:color w:val="auto"/>
          <w:sz w:val="24"/>
          <w:szCs w:val="24"/>
        </w:rPr>
      </w:pPr>
      <w:bookmarkStart w:id="55" w:name="_Toc426469870"/>
      <w:r>
        <w:rPr>
          <w:rFonts w:hint="eastAsia" w:asciiTheme="majorEastAsia" w:hAnsiTheme="majorEastAsia" w:eastAsiaTheme="majorEastAsia" w:cstheme="majorEastAsia"/>
          <w:color w:val="auto"/>
          <w:sz w:val="24"/>
          <w:szCs w:val="24"/>
        </w:rPr>
        <w:t>供应商须知前附表</w:t>
      </w:r>
      <w:bookmarkEnd w:id="55"/>
    </w:p>
    <w:tbl>
      <w:tblPr>
        <w:tblStyle w:val="25"/>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381"/>
        <w:gridCol w:w="140"/>
        <w:gridCol w:w="60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pPr>
              <w:spacing w:line="360" w:lineRule="exact"/>
              <w:jc w:val="center"/>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条款号</w:t>
            </w:r>
          </w:p>
        </w:tc>
        <w:tc>
          <w:tcPr>
            <w:tcW w:w="2381" w:type="dxa"/>
            <w:vAlign w:val="center"/>
          </w:tcPr>
          <w:p>
            <w:pPr>
              <w:spacing w:line="360" w:lineRule="exact"/>
              <w:jc w:val="center"/>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条 款 名 称</w:t>
            </w:r>
          </w:p>
        </w:tc>
        <w:tc>
          <w:tcPr>
            <w:tcW w:w="6158" w:type="dxa"/>
            <w:gridSpan w:val="2"/>
            <w:vAlign w:val="center"/>
          </w:tcPr>
          <w:p>
            <w:pPr>
              <w:spacing w:line="360" w:lineRule="exact"/>
              <w:jc w:val="center"/>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1.1.2</w:t>
            </w:r>
          </w:p>
        </w:tc>
        <w:tc>
          <w:tcPr>
            <w:tcW w:w="2381"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招标人</w:t>
            </w:r>
          </w:p>
        </w:tc>
        <w:tc>
          <w:tcPr>
            <w:tcW w:w="6158" w:type="dxa"/>
            <w:gridSpan w:val="2"/>
            <w:vAlign w:val="top"/>
          </w:tcPr>
          <w:p>
            <w:pPr>
              <w:spacing w:line="400" w:lineRule="exact"/>
              <w:rPr>
                <w:rFonts w:hint="eastAsia" w:ascii="宋体" w:hAnsi="宋体" w:eastAsia="宋体"/>
                <w:color w:val="auto"/>
                <w:szCs w:val="21"/>
                <w:lang w:eastAsia="zh-CN"/>
              </w:rPr>
            </w:pPr>
            <w:r>
              <w:rPr>
                <w:rFonts w:ascii="宋体" w:hAnsi="宋体"/>
                <w:color w:val="auto"/>
                <w:szCs w:val="21"/>
                <w:highlight w:val="white"/>
              </w:rPr>
              <w:t>名称</w:t>
            </w:r>
            <w:r>
              <w:rPr>
                <w:rFonts w:ascii="宋体" w:hAnsi="宋体"/>
                <w:color w:val="auto"/>
                <w:szCs w:val="21"/>
              </w:rPr>
              <w:t>：</w:t>
            </w:r>
            <w:r>
              <w:rPr>
                <w:rFonts w:hint="eastAsia" w:ascii="宋体" w:hAnsi="宋体"/>
                <w:color w:val="auto"/>
                <w:szCs w:val="21"/>
                <w:lang w:eastAsia="zh-CN"/>
              </w:rPr>
              <w:t>泰兴市分界镇人民政府</w:t>
            </w:r>
          </w:p>
          <w:p>
            <w:pPr>
              <w:spacing w:line="400" w:lineRule="exact"/>
              <w:rPr>
                <w:rFonts w:hint="default" w:ascii="宋体" w:hAnsi="宋体"/>
                <w:color w:val="auto"/>
                <w:szCs w:val="21"/>
                <w:lang w:val="en-US"/>
              </w:rPr>
            </w:pPr>
            <w:r>
              <w:rPr>
                <w:rFonts w:ascii="宋体" w:hAnsi="宋体"/>
                <w:color w:val="auto"/>
                <w:szCs w:val="21"/>
              </w:rPr>
              <w:t>地址：</w:t>
            </w:r>
            <w:r>
              <w:rPr>
                <w:rFonts w:hint="eastAsia" w:ascii="宋体" w:hAnsi="宋体"/>
                <w:color w:val="auto"/>
                <w:szCs w:val="21"/>
              </w:rPr>
              <w:t>泰兴市</w:t>
            </w:r>
            <w:r>
              <w:rPr>
                <w:rFonts w:hint="eastAsia" w:ascii="宋体" w:hAnsi="宋体"/>
                <w:color w:val="auto"/>
                <w:szCs w:val="21"/>
                <w:lang w:val="en-US" w:eastAsia="zh-CN"/>
              </w:rPr>
              <w:t>分界镇</w:t>
            </w:r>
          </w:p>
          <w:p>
            <w:pPr>
              <w:spacing w:line="360" w:lineRule="exact"/>
              <w:rPr>
                <w:rFonts w:hint="eastAsia" w:ascii="宋体" w:hAnsi="宋体" w:eastAsia="宋体"/>
                <w:color w:val="auto"/>
                <w:szCs w:val="21"/>
                <w:lang w:eastAsia="zh-CN"/>
              </w:rPr>
            </w:pPr>
            <w:r>
              <w:rPr>
                <w:rFonts w:hint="eastAsia" w:ascii="宋体" w:hAnsi="宋体"/>
                <w:color w:val="auto"/>
                <w:szCs w:val="21"/>
              </w:rPr>
              <w:t>联系人：</w:t>
            </w:r>
            <w:r>
              <w:rPr>
                <w:rFonts w:hint="eastAsia" w:ascii="宋体" w:hAnsi="宋体"/>
                <w:color w:val="auto"/>
                <w:szCs w:val="21"/>
                <w:u w:val="none"/>
              </w:rPr>
              <w:t>何先生</w:t>
            </w:r>
          </w:p>
          <w:p>
            <w:pPr>
              <w:adjustRightInd w:val="0"/>
              <w:snapToGrid w:val="0"/>
              <w:spacing w:line="420" w:lineRule="exact"/>
              <w:jc w:val="left"/>
              <w:rPr>
                <w:rFonts w:hint="eastAsia" w:asciiTheme="majorEastAsia" w:hAnsiTheme="majorEastAsia" w:eastAsiaTheme="majorEastAsia" w:cstheme="majorEastAsia"/>
                <w:color w:val="auto"/>
                <w:sz w:val="24"/>
                <w:szCs w:val="24"/>
                <w:highlight w:val="none"/>
              </w:rPr>
            </w:pPr>
            <w:r>
              <w:rPr>
                <w:rFonts w:hint="eastAsia" w:ascii="宋体" w:hAnsi="宋体"/>
                <w:color w:val="auto"/>
                <w:szCs w:val="21"/>
              </w:rPr>
              <w:t>电话：0523-87553559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1.1.3</w:t>
            </w:r>
          </w:p>
        </w:tc>
        <w:tc>
          <w:tcPr>
            <w:tcW w:w="2381"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采购代理机构</w:t>
            </w:r>
          </w:p>
        </w:tc>
        <w:tc>
          <w:tcPr>
            <w:tcW w:w="6158" w:type="dxa"/>
            <w:gridSpan w:val="2"/>
            <w:vAlign w:val="top"/>
          </w:tcPr>
          <w:p>
            <w:pPr>
              <w:adjustRightInd w:val="0"/>
              <w:snapToGrid w:val="0"/>
              <w:spacing w:line="420" w:lineRule="exact"/>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名称：</w:t>
            </w:r>
            <w:r>
              <w:rPr>
                <w:rFonts w:hint="eastAsia" w:asciiTheme="majorEastAsia" w:hAnsiTheme="majorEastAsia" w:eastAsiaTheme="majorEastAsia" w:cstheme="majorEastAsia"/>
                <w:color w:val="auto"/>
                <w:sz w:val="24"/>
                <w:szCs w:val="24"/>
                <w:highlight w:val="none"/>
                <w:lang w:eastAsia="zh-CN"/>
              </w:rPr>
              <w:t>江苏天择建设管理有限公司</w:t>
            </w:r>
          </w:p>
          <w:p>
            <w:pPr>
              <w:adjustRightInd w:val="0"/>
              <w:snapToGrid w:val="0"/>
              <w:spacing w:line="420" w:lineRule="exact"/>
              <w:jc w:val="left"/>
              <w:rPr>
                <w:rFonts w:hint="eastAsia" w:asciiTheme="majorEastAsia" w:hAnsiTheme="majorEastAsia" w:eastAsiaTheme="majorEastAsia" w:cstheme="majorEastAsia"/>
                <w:color w:val="auto"/>
                <w:sz w:val="24"/>
                <w:szCs w:val="24"/>
                <w:highlight w:val="none"/>
                <w:lang w:val="en-US"/>
              </w:rPr>
            </w:pPr>
            <w:r>
              <w:rPr>
                <w:rFonts w:hint="eastAsia" w:asciiTheme="majorEastAsia" w:hAnsiTheme="majorEastAsia" w:eastAsiaTheme="majorEastAsia" w:cstheme="majorEastAsia"/>
                <w:color w:val="auto"/>
                <w:sz w:val="24"/>
                <w:szCs w:val="24"/>
                <w:highlight w:val="none"/>
              </w:rPr>
              <w:t>地址：</w:t>
            </w:r>
            <w:r>
              <w:rPr>
                <w:rFonts w:hint="eastAsia" w:asciiTheme="majorEastAsia" w:hAnsiTheme="majorEastAsia" w:eastAsiaTheme="majorEastAsia" w:cstheme="majorEastAsia"/>
                <w:color w:val="auto"/>
                <w:highlight w:val="none"/>
              </w:rPr>
              <w:t>泰兴市金融中心2号楼621</w:t>
            </w:r>
          </w:p>
          <w:p>
            <w:pPr>
              <w:adjustRightInd w:val="0"/>
              <w:snapToGrid w:val="0"/>
              <w:spacing w:line="420" w:lineRule="exact"/>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联系人：</w:t>
            </w:r>
            <w:r>
              <w:rPr>
                <w:rFonts w:hint="eastAsia" w:asciiTheme="majorEastAsia" w:hAnsiTheme="majorEastAsia" w:eastAsiaTheme="majorEastAsia" w:cstheme="majorEastAsia"/>
                <w:color w:val="auto"/>
                <w:sz w:val="24"/>
                <w:szCs w:val="24"/>
                <w:highlight w:val="none"/>
                <w:lang w:val="en-US" w:eastAsia="zh-CN"/>
              </w:rPr>
              <w:t>朱宁</w:t>
            </w:r>
          </w:p>
          <w:p>
            <w:pPr>
              <w:adjustRightInd w:val="0"/>
              <w:snapToGrid w:val="0"/>
              <w:spacing w:line="420" w:lineRule="exact"/>
              <w:jc w:val="left"/>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联系电话：</w:t>
            </w:r>
            <w:r>
              <w:rPr>
                <w:rFonts w:hint="eastAsia" w:asciiTheme="majorEastAsia" w:hAnsiTheme="majorEastAsia" w:eastAsiaTheme="majorEastAsia" w:cstheme="majorEastAsia"/>
                <w:color w:val="auto"/>
                <w:sz w:val="24"/>
                <w:szCs w:val="24"/>
                <w:highlight w:val="none"/>
                <w:lang w:val="en-US" w:eastAsia="zh-CN"/>
              </w:rPr>
              <w:t>15195273897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1.1.4</w:t>
            </w:r>
          </w:p>
        </w:tc>
        <w:tc>
          <w:tcPr>
            <w:tcW w:w="2381" w:type="dxa"/>
            <w:vAlign w:val="center"/>
          </w:tcPr>
          <w:p>
            <w:pPr>
              <w:adjustRightInd w:val="0"/>
              <w:snapToGrid w:val="0"/>
              <w:spacing w:line="42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项目名称及</w:t>
            </w:r>
          </w:p>
          <w:p>
            <w:pPr>
              <w:adjustRightInd w:val="0"/>
              <w:snapToGrid w:val="0"/>
              <w:spacing w:line="42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项目编号</w:t>
            </w:r>
          </w:p>
        </w:tc>
        <w:tc>
          <w:tcPr>
            <w:tcW w:w="6158" w:type="dxa"/>
            <w:gridSpan w:val="2"/>
            <w:vAlign w:val="top"/>
          </w:tcPr>
          <w:p>
            <w:pPr>
              <w:adjustRightInd w:val="0"/>
              <w:snapToGrid w:val="0"/>
              <w:spacing w:line="420" w:lineRule="exact"/>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项目名称：泰兴市分界镇电商产业园冷库项目</w:t>
            </w:r>
          </w:p>
          <w:p>
            <w:pPr>
              <w:adjustRightInd w:val="0"/>
              <w:snapToGrid w:val="0"/>
              <w:spacing w:line="420" w:lineRule="exact"/>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项目编号：JSZC-321283-TZZN-G2024-0004</w:t>
            </w:r>
            <w:r>
              <w:rPr>
                <w:rFonts w:hint="eastAsia" w:asciiTheme="majorEastAsia" w:hAnsiTheme="majorEastAsia" w:eastAsiaTheme="majorEastAsia" w:cstheme="majorEastAsia"/>
                <w:color w:val="auto"/>
                <w:sz w:val="24"/>
                <w:szCs w:val="24"/>
                <w:highlight w:val="none"/>
                <w:lang w:eastAsia="zh-CN"/>
              </w:rPr>
              <w:fldChar w:fldCharType="begin"/>
            </w:r>
            <w:r>
              <w:rPr>
                <w:rFonts w:hint="eastAsia" w:asciiTheme="majorEastAsia" w:hAnsiTheme="majorEastAsia" w:eastAsiaTheme="majorEastAsia" w:cstheme="majorEastAsia"/>
                <w:color w:val="auto"/>
                <w:sz w:val="24"/>
                <w:szCs w:val="24"/>
                <w:highlight w:val="none"/>
                <w:lang w:eastAsia="zh-CN"/>
              </w:rPr>
              <w:instrText xml:space="preserve"> HYPERLINK "javascript:void(0);" </w:instrText>
            </w:r>
            <w:r>
              <w:rPr>
                <w:rFonts w:hint="eastAsia" w:asciiTheme="majorEastAsia" w:hAnsiTheme="majorEastAsia" w:eastAsiaTheme="majorEastAsia" w:cstheme="majorEastAsia"/>
                <w:color w:val="auto"/>
                <w:sz w:val="24"/>
                <w:szCs w:val="24"/>
                <w:highlight w:val="none"/>
                <w:lang w:eastAsia="zh-CN"/>
              </w:rPr>
              <w:fldChar w:fldCharType="separate"/>
            </w:r>
            <w:r>
              <w:rPr>
                <w:rFonts w:hint="eastAsia" w:asciiTheme="majorEastAsia" w:hAnsiTheme="majorEastAsia" w:eastAsiaTheme="majorEastAsia" w:cstheme="majorEastAsia"/>
                <w:color w:val="auto"/>
                <w:sz w:val="24"/>
                <w:szCs w:val="24"/>
                <w:highlight w:val="none"/>
                <w:lang w:eastAsia="zh-CN"/>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pPr>
              <w:spacing w:line="38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1.2.1</w:t>
            </w:r>
          </w:p>
        </w:tc>
        <w:tc>
          <w:tcPr>
            <w:tcW w:w="2381" w:type="dxa"/>
            <w:vAlign w:val="center"/>
          </w:tcPr>
          <w:p>
            <w:pPr>
              <w:spacing w:line="38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付款方式</w:t>
            </w:r>
          </w:p>
        </w:tc>
        <w:tc>
          <w:tcPr>
            <w:tcW w:w="6158" w:type="dxa"/>
            <w:gridSpan w:val="2"/>
            <w:vAlign w:val="center"/>
          </w:tcPr>
          <w:p>
            <w:pPr>
              <w:adjustRightInd w:val="0"/>
              <w:snapToGrid w:val="0"/>
              <w:spacing w:line="42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highlight w:val="none"/>
              </w:rPr>
              <w:t>合同签订后十个工作日内支付10%首付款，进场施工结束后经工程审计、财务审计及市级主管部门验收合格后，十个工作日内支付到合同额90%，剩余10%质保到期后一个月内支付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1.3.1</w:t>
            </w:r>
          </w:p>
        </w:tc>
        <w:tc>
          <w:tcPr>
            <w:tcW w:w="2381"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采购范围</w:t>
            </w:r>
          </w:p>
        </w:tc>
        <w:tc>
          <w:tcPr>
            <w:tcW w:w="6158" w:type="dxa"/>
            <w:gridSpan w:val="2"/>
            <w:vAlign w:val="center"/>
          </w:tcPr>
          <w:p>
            <w:pPr>
              <w:adjustRightInd w:val="0"/>
              <w:snapToGrid w:val="0"/>
              <w:spacing w:line="42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见采购需求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1.3.2</w:t>
            </w:r>
          </w:p>
        </w:tc>
        <w:tc>
          <w:tcPr>
            <w:tcW w:w="2381" w:type="dxa"/>
            <w:vAlign w:val="center"/>
          </w:tcPr>
          <w:p>
            <w:pPr>
              <w:adjustRightInd w:val="0"/>
              <w:snapToGrid w:val="0"/>
              <w:spacing w:line="42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服务期限</w:t>
            </w:r>
          </w:p>
        </w:tc>
        <w:tc>
          <w:tcPr>
            <w:tcW w:w="6158" w:type="dxa"/>
            <w:gridSpan w:val="2"/>
            <w:vAlign w:val="center"/>
          </w:tcPr>
          <w:p>
            <w:pPr>
              <w:adjustRightInd w:val="0"/>
              <w:snapToGrid w:val="0"/>
              <w:spacing w:line="420" w:lineRule="exact"/>
              <w:jc w:val="left"/>
              <w:rPr>
                <w:rFonts w:hint="eastAsia" w:asciiTheme="majorEastAsia" w:hAnsiTheme="majorEastAsia" w:eastAsiaTheme="majorEastAsia" w:cstheme="majorEastAsia"/>
                <w:color w:val="auto"/>
                <w:sz w:val="24"/>
                <w:szCs w:val="24"/>
                <w:highlight w:val="none"/>
                <w:lang w:eastAsia="zh-CN"/>
              </w:rPr>
            </w:pPr>
            <w:r>
              <w:rPr>
                <w:rFonts w:hint="eastAsia" w:ascii="宋体" w:hAnsi="宋体"/>
                <w:color w:val="auto"/>
                <w:szCs w:val="21"/>
              </w:rPr>
              <w:t>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w:t>
            </w:r>
          </w:p>
        </w:tc>
        <w:tc>
          <w:tcPr>
            <w:tcW w:w="2381"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要求供应商具备的特定条件</w:t>
            </w:r>
          </w:p>
        </w:tc>
        <w:tc>
          <w:tcPr>
            <w:tcW w:w="6158" w:type="dxa"/>
            <w:gridSpan w:val="2"/>
            <w:vAlign w:val="center"/>
          </w:tcPr>
          <w:p>
            <w:pPr>
              <w:spacing w:line="42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见招标公告“申请人的资格要求”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89" w:type="dxa"/>
            <w:vAlign w:val="center"/>
          </w:tcPr>
          <w:p>
            <w:pPr>
              <w:spacing w:line="32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w:t>
            </w:r>
          </w:p>
        </w:tc>
        <w:tc>
          <w:tcPr>
            <w:tcW w:w="2381" w:type="dxa"/>
            <w:vAlign w:val="center"/>
          </w:tcPr>
          <w:p>
            <w:pPr>
              <w:spacing w:line="32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偏离</w:t>
            </w:r>
          </w:p>
        </w:tc>
        <w:tc>
          <w:tcPr>
            <w:tcW w:w="6158" w:type="dxa"/>
            <w:gridSpan w:val="2"/>
            <w:vAlign w:val="center"/>
          </w:tcPr>
          <w:p>
            <w:pPr>
              <w:pStyle w:val="8"/>
              <w:spacing w:line="320" w:lineRule="exact"/>
              <w:rPr>
                <w:rFonts w:hint="eastAsia" w:asciiTheme="majorEastAsia" w:hAnsiTheme="majorEastAsia" w:eastAsiaTheme="majorEastAsia" w:cstheme="majorEastAsia"/>
                <w:color w:val="auto"/>
                <w:sz w:val="24"/>
                <w:szCs w:val="24"/>
                <w:highlight w:val="none"/>
              </w:rPr>
            </w:pPr>
            <w:bookmarkStart w:id="56" w:name="FEfe800446baa24252acf6b14953dc4897"/>
            <w:bookmarkEnd w:id="56"/>
            <w:bookmarkStart w:id="57" w:name="FBfe800446baa24252acf6b14953dc4897"/>
            <w:bookmarkEnd w:id="57"/>
            <w:r>
              <w:rPr>
                <w:rFonts w:hint="eastAsia" w:asciiTheme="majorEastAsia" w:hAnsiTheme="majorEastAsia" w:eastAsiaTheme="majorEastAsia" w:cstheme="majorEastAsia"/>
                <w:color w:val="auto"/>
                <w:sz w:val="24"/>
                <w:szCs w:val="24"/>
                <w:highlight w:val="none"/>
                <w:lang w:val="en-US" w:eastAsia="zh-CN"/>
              </w:rPr>
              <w:t>不</w:t>
            </w:r>
            <w:r>
              <w:rPr>
                <w:rFonts w:hint="eastAsia" w:asciiTheme="majorEastAsia" w:hAnsiTheme="majorEastAsia" w:eastAsiaTheme="majorEastAsia" w:cstheme="majorEastAsia"/>
                <w:color w:val="auto"/>
                <w:sz w:val="24"/>
                <w:szCs w:val="24"/>
                <w:highlight w:val="none"/>
              </w:rPr>
              <w:t>允许</w:t>
            </w:r>
            <w:r>
              <w:rPr>
                <w:rFonts w:hint="eastAsia" w:asciiTheme="majorEastAsia" w:hAnsiTheme="majorEastAsia" w:eastAsiaTheme="majorEastAsia" w:cstheme="majorEastAsia"/>
                <w:color w:val="auto"/>
                <w:sz w:val="24"/>
                <w:szCs w:val="24"/>
                <w:highlight w:val="none"/>
                <w:lang w:val="en-US" w:eastAsia="zh-CN"/>
              </w:rPr>
              <w:t>负</w:t>
            </w:r>
            <w:r>
              <w:rPr>
                <w:rFonts w:hint="eastAsia" w:asciiTheme="majorEastAsia" w:hAnsiTheme="majorEastAsia" w:eastAsiaTheme="majorEastAsia" w:cstheme="majorEastAsia"/>
                <w:color w:val="auto"/>
                <w:sz w:val="24"/>
                <w:szCs w:val="24"/>
                <w:highlight w:val="none"/>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w:t>
            </w:r>
          </w:p>
        </w:tc>
        <w:tc>
          <w:tcPr>
            <w:tcW w:w="2381" w:type="dxa"/>
            <w:vAlign w:val="center"/>
          </w:tcPr>
          <w:p>
            <w:pPr>
              <w:spacing w:line="32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构成招标文件的其他材料</w:t>
            </w:r>
          </w:p>
        </w:tc>
        <w:tc>
          <w:tcPr>
            <w:tcW w:w="6158" w:type="dxa"/>
            <w:gridSpan w:val="2"/>
            <w:vAlign w:val="center"/>
          </w:tcPr>
          <w:p>
            <w:pPr>
              <w:spacing w:line="360" w:lineRule="exact"/>
              <w:jc w:val="left"/>
              <w:rPr>
                <w:rFonts w:hint="eastAsia" w:asciiTheme="majorEastAsia" w:hAnsiTheme="majorEastAsia" w:eastAsiaTheme="majorEastAsia" w:cstheme="majorEastAsia"/>
                <w:color w:val="auto"/>
                <w:sz w:val="24"/>
                <w:szCs w:val="24"/>
                <w:highlight w:val="none"/>
              </w:rPr>
            </w:pPr>
            <w:bookmarkStart w:id="58" w:name="EB35ced2e8f8364f63a510bf246ff979f0"/>
            <w:bookmarkEnd w:id="58"/>
            <w:r>
              <w:rPr>
                <w:rFonts w:hint="eastAsia" w:asciiTheme="majorEastAsia" w:hAnsiTheme="majorEastAsia" w:eastAsiaTheme="majorEastAsia" w:cstheme="majorEastAsia"/>
                <w:color w:val="auto"/>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w:t>
            </w:r>
          </w:p>
        </w:tc>
        <w:tc>
          <w:tcPr>
            <w:tcW w:w="2381"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供应商要求澄清招标文件的截止时间</w:t>
            </w:r>
          </w:p>
        </w:tc>
        <w:tc>
          <w:tcPr>
            <w:tcW w:w="6158" w:type="dxa"/>
            <w:gridSpan w:val="2"/>
            <w:vAlign w:val="center"/>
          </w:tcPr>
          <w:p>
            <w:pPr>
              <w:spacing w:line="44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highlight w:val="none"/>
              </w:rPr>
              <w:t>2024年</w:t>
            </w:r>
            <w:r>
              <w:rPr>
                <w:rFonts w:hint="eastAsia" w:asciiTheme="majorEastAsia" w:hAnsiTheme="majorEastAsia" w:eastAsiaTheme="majorEastAsia" w:cstheme="majorEastAsia"/>
                <w:color w:val="auto"/>
                <w:sz w:val="24"/>
                <w:highlight w:val="none"/>
                <w:lang w:val="en-US" w:eastAsia="zh-CN"/>
              </w:rPr>
              <w:t>7</w:t>
            </w:r>
            <w:r>
              <w:rPr>
                <w:rFonts w:hint="eastAsia" w:asciiTheme="majorEastAsia" w:hAnsiTheme="majorEastAsia" w:eastAsiaTheme="majorEastAsia" w:cstheme="majorEastAsia"/>
                <w:color w:val="auto"/>
                <w:sz w:val="24"/>
                <w:highlight w:val="none"/>
              </w:rPr>
              <w:t>月</w:t>
            </w:r>
            <w:r>
              <w:rPr>
                <w:rFonts w:hint="eastAsia" w:asciiTheme="majorEastAsia" w:hAnsiTheme="majorEastAsia" w:eastAsiaTheme="majorEastAsia" w:cstheme="majorEastAsia"/>
                <w:color w:val="auto"/>
                <w:sz w:val="24"/>
                <w:highlight w:val="none"/>
                <w:lang w:val="en-US" w:eastAsia="zh-CN"/>
              </w:rPr>
              <w:t>19</w:t>
            </w:r>
            <w:r>
              <w:rPr>
                <w:rFonts w:hint="eastAsia" w:asciiTheme="majorEastAsia" w:hAnsiTheme="majorEastAsia" w:eastAsiaTheme="majorEastAsia" w:cstheme="majorEastAsia"/>
                <w:color w:val="auto"/>
                <w:sz w:val="24"/>
                <w:highlight w:val="none"/>
              </w:rPr>
              <w:t>日17时30分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pPr>
              <w:spacing w:line="38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w:t>
            </w:r>
          </w:p>
        </w:tc>
        <w:tc>
          <w:tcPr>
            <w:tcW w:w="2381" w:type="dxa"/>
            <w:vAlign w:val="center"/>
          </w:tcPr>
          <w:p>
            <w:pPr>
              <w:spacing w:line="38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投标文件的组成</w:t>
            </w:r>
          </w:p>
        </w:tc>
        <w:tc>
          <w:tcPr>
            <w:tcW w:w="6158" w:type="dxa"/>
            <w:gridSpan w:val="2"/>
            <w:vAlign w:val="center"/>
          </w:tcPr>
          <w:p>
            <w:pPr>
              <w:spacing w:line="4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（1）开标一览表；</w:t>
            </w:r>
          </w:p>
          <w:p>
            <w:pPr>
              <w:spacing w:line="4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（2）投标函；</w:t>
            </w:r>
          </w:p>
          <w:p>
            <w:pPr>
              <w:spacing w:line="4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（3）中小企业声明函（若有）；</w:t>
            </w:r>
          </w:p>
          <w:p>
            <w:pPr>
              <w:spacing w:line="4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（4）投标报价明细表及分析说明</w:t>
            </w:r>
            <w:r>
              <w:rPr>
                <w:rFonts w:hint="eastAsia" w:asciiTheme="majorEastAsia" w:hAnsiTheme="majorEastAsia" w:eastAsiaTheme="majorEastAsia" w:cstheme="majorEastAsia"/>
                <w:color w:val="auto"/>
                <w:sz w:val="24"/>
                <w:highlight w:val="none"/>
                <w:lang w:eastAsia="zh-CN"/>
              </w:rPr>
              <w:t>（若有）</w:t>
            </w:r>
            <w:r>
              <w:rPr>
                <w:rFonts w:hint="eastAsia" w:asciiTheme="majorEastAsia" w:hAnsiTheme="majorEastAsia" w:eastAsiaTheme="majorEastAsia" w:cstheme="majorEastAsia"/>
                <w:color w:val="auto"/>
                <w:sz w:val="24"/>
                <w:highlight w:val="none"/>
              </w:rPr>
              <w:t>；</w:t>
            </w:r>
          </w:p>
          <w:p>
            <w:pPr>
              <w:spacing w:line="4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（5）资格性审查和符合性评审文件；</w:t>
            </w:r>
          </w:p>
          <w:p>
            <w:pPr>
              <w:spacing w:line="4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（6）</w:t>
            </w:r>
            <w:r>
              <w:rPr>
                <w:rFonts w:hint="eastAsia" w:asciiTheme="majorEastAsia" w:hAnsiTheme="majorEastAsia" w:eastAsiaTheme="majorEastAsia" w:cstheme="majorEastAsia"/>
                <w:color w:val="auto"/>
                <w:sz w:val="24"/>
                <w:highlight w:val="none"/>
                <w:lang w:eastAsia="zh-CN"/>
              </w:rPr>
              <w:t>投标偏离表</w:t>
            </w:r>
            <w:r>
              <w:rPr>
                <w:rFonts w:hint="eastAsia" w:asciiTheme="majorEastAsia" w:hAnsiTheme="majorEastAsia" w:eastAsiaTheme="majorEastAsia" w:cstheme="majorEastAsia"/>
                <w:color w:val="auto"/>
                <w:sz w:val="24"/>
                <w:highlight w:val="none"/>
              </w:rPr>
              <w:t>；</w:t>
            </w:r>
          </w:p>
          <w:p>
            <w:pPr>
              <w:spacing w:line="4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（7）对照第三章评标办法，认为应列入投标文件的其他材料。</w:t>
            </w:r>
          </w:p>
          <w:p>
            <w:pPr>
              <w:pStyle w:val="15"/>
              <w:keepNext w:val="0"/>
              <w:keepLines w:val="0"/>
              <w:pageBreakBefore w:val="0"/>
              <w:widowControl w:val="0"/>
              <w:kinsoku/>
              <w:wordWrap/>
              <w:overflowPunct/>
              <w:topLinePunct w:val="0"/>
              <w:autoSpaceDE/>
              <w:autoSpaceDN/>
              <w:bidi w:val="0"/>
              <w:adjustRightInd/>
              <w:snapToGrid/>
              <w:spacing w:after="0" w:line="400" w:lineRule="exact"/>
              <w:ind w:left="0" w:leftChars="0"/>
              <w:textAlignment w:val="auto"/>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sz w:val="24"/>
                <w:highlight w:val="none"/>
                <w:lang w:eastAsia="zh-CN"/>
              </w:rPr>
              <w:t>（</w:t>
            </w:r>
            <w:r>
              <w:rPr>
                <w:rFonts w:hint="eastAsia" w:asciiTheme="majorEastAsia" w:hAnsiTheme="majorEastAsia" w:eastAsiaTheme="majorEastAsia" w:cstheme="majorEastAsia"/>
                <w:color w:val="auto"/>
                <w:sz w:val="24"/>
                <w:highlight w:val="none"/>
                <w:lang w:val="en-US" w:eastAsia="zh-CN"/>
              </w:rPr>
              <w:t>8</w:t>
            </w:r>
            <w:r>
              <w:rPr>
                <w:rFonts w:hint="eastAsia" w:asciiTheme="majorEastAsia" w:hAnsiTheme="majorEastAsia" w:eastAsiaTheme="majorEastAsia" w:cstheme="majorEastAsia"/>
                <w:color w:val="auto"/>
                <w:sz w:val="24"/>
                <w:highlight w:val="none"/>
                <w:lang w:eastAsia="zh-CN"/>
              </w:rPr>
              <w:t>）法定代表人身份证明书或法定代表人授权委托书（附身份证复印件）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pPr>
              <w:spacing w:line="38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3.3.1</w:t>
            </w:r>
          </w:p>
        </w:tc>
        <w:tc>
          <w:tcPr>
            <w:tcW w:w="2381" w:type="dxa"/>
            <w:vAlign w:val="center"/>
          </w:tcPr>
          <w:p>
            <w:pPr>
              <w:spacing w:line="38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投标有效期</w:t>
            </w:r>
          </w:p>
        </w:tc>
        <w:tc>
          <w:tcPr>
            <w:tcW w:w="6158" w:type="dxa"/>
            <w:gridSpan w:val="2"/>
            <w:vAlign w:val="center"/>
          </w:tcPr>
          <w:p>
            <w:pPr>
              <w:spacing w:line="44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highlight w:val="none"/>
              </w:rPr>
              <w:t>60天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pPr>
              <w:spacing w:line="38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3.4.3</w:t>
            </w:r>
          </w:p>
        </w:tc>
        <w:tc>
          <w:tcPr>
            <w:tcW w:w="2381" w:type="dxa"/>
            <w:vAlign w:val="center"/>
          </w:tcPr>
          <w:p>
            <w:pPr>
              <w:spacing w:line="38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投标文件的份数</w:t>
            </w:r>
          </w:p>
        </w:tc>
        <w:tc>
          <w:tcPr>
            <w:tcW w:w="6158" w:type="dxa"/>
            <w:gridSpan w:val="2"/>
            <w:vAlign w:val="center"/>
          </w:tcPr>
          <w:p>
            <w:pPr>
              <w:spacing w:line="38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电子投标文件壹份；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3.4.4</w:t>
            </w:r>
          </w:p>
        </w:tc>
        <w:tc>
          <w:tcPr>
            <w:tcW w:w="2381" w:type="dxa"/>
            <w:vAlign w:val="center"/>
          </w:tcPr>
          <w:p>
            <w:pPr>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投标文件的签署</w:t>
            </w:r>
          </w:p>
        </w:tc>
        <w:tc>
          <w:tcPr>
            <w:tcW w:w="6158" w:type="dxa"/>
            <w:gridSpan w:val="2"/>
            <w:vAlign w:val="center"/>
          </w:tcPr>
          <w:p>
            <w:pPr>
              <w:spacing w:line="44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1.投标函、供应商基本资格条件承诺函中须加盖供应商法人章并经法定代表人签字或签章。</w:t>
            </w:r>
          </w:p>
          <w:p>
            <w:pPr>
              <w:spacing w:line="44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2.投标文件中的任何重要的插字、涂改和增删，修改处须有法定代表人签章或签字。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5.1.1</w:t>
            </w:r>
          </w:p>
        </w:tc>
        <w:tc>
          <w:tcPr>
            <w:tcW w:w="2381" w:type="dxa"/>
            <w:vAlign w:val="center"/>
          </w:tcPr>
          <w:p>
            <w:pPr>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开标时间和地点</w:t>
            </w:r>
          </w:p>
        </w:tc>
        <w:tc>
          <w:tcPr>
            <w:tcW w:w="6158" w:type="dxa"/>
            <w:gridSpan w:val="2"/>
            <w:vAlign w:val="center"/>
          </w:tcPr>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开标时间：</w:t>
            </w:r>
            <w:bookmarkStart w:id="59" w:name="EB72e20e40757d438698d0d924b6237fcc"/>
            <w:bookmarkEnd w:id="59"/>
            <w:r>
              <w:rPr>
                <w:rFonts w:hint="eastAsia" w:asciiTheme="majorEastAsia" w:hAnsiTheme="majorEastAsia" w:eastAsiaTheme="majorEastAsia" w:cstheme="majorEastAsia"/>
                <w:color w:val="auto"/>
                <w:sz w:val="24"/>
                <w:szCs w:val="24"/>
                <w:highlight w:val="none"/>
              </w:rPr>
              <w:t>同投标截止时间</w:t>
            </w:r>
          </w:p>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开标地点：“苏采云”系统“开标大厅”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5.1.2</w:t>
            </w:r>
          </w:p>
        </w:tc>
        <w:tc>
          <w:tcPr>
            <w:tcW w:w="2381" w:type="dxa"/>
            <w:vAlign w:val="center"/>
          </w:tcPr>
          <w:p>
            <w:pPr>
              <w:spacing w:line="4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供应商参与开标要求</w:t>
            </w:r>
          </w:p>
        </w:tc>
        <w:tc>
          <w:tcPr>
            <w:tcW w:w="6158" w:type="dxa"/>
            <w:gridSpan w:val="2"/>
            <w:vAlign w:val="center"/>
          </w:tcPr>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开标活动将在招标公告中规定的时间和地点进行。供应商应当按照</w:t>
            </w:r>
            <w:r>
              <w:rPr>
                <w:rFonts w:hint="eastAsia" w:asciiTheme="majorEastAsia" w:hAnsiTheme="majorEastAsia" w:eastAsiaTheme="majorEastAsia" w:cstheme="majorEastAsia"/>
                <w:b/>
                <w:color w:val="auto"/>
                <w:sz w:val="24"/>
                <w:szCs w:val="24"/>
                <w:highlight w:val="none"/>
              </w:rPr>
              <w:t>《江苏省政府采购管理交易系统（苏采云）供应商操作手册》</w:t>
            </w:r>
            <w:r>
              <w:rPr>
                <w:rFonts w:hint="eastAsia" w:asciiTheme="majorEastAsia" w:hAnsiTheme="majorEastAsia" w:eastAsiaTheme="majorEastAsia" w:cstheme="majorEastAsia"/>
                <w:color w:val="auto"/>
                <w:sz w:val="24"/>
                <w:szCs w:val="24"/>
                <w:highlight w:val="none"/>
              </w:rPr>
              <w:t>规定，参加开标活动。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7.2.1</w:t>
            </w:r>
          </w:p>
        </w:tc>
        <w:tc>
          <w:tcPr>
            <w:tcW w:w="2381" w:type="dxa"/>
            <w:vAlign w:val="center"/>
          </w:tcPr>
          <w:p>
            <w:pPr>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中标公告媒介</w:t>
            </w:r>
          </w:p>
        </w:tc>
        <w:tc>
          <w:tcPr>
            <w:tcW w:w="6158" w:type="dxa"/>
            <w:gridSpan w:val="2"/>
            <w:vAlign w:val="center"/>
          </w:tcPr>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江苏政府采购网（www.ccgp-jiangsu.gov.cn）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pPr>
              <w:spacing w:line="34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8.1.1</w:t>
            </w:r>
          </w:p>
        </w:tc>
        <w:tc>
          <w:tcPr>
            <w:tcW w:w="2381" w:type="dxa"/>
            <w:vAlign w:val="center"/>
          </w:tcPr>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履约保证金</w:t>
            </w:r>
          </w:p>
        </w:tc>
        <w:tc>
          <w:tcPr>
            <w:tcW w:w="6158" w:type="dxa"/>
            <w:gridSpan w:val="2"/>
            <w:vAlign w:val="center"/>
          </w:tcPr>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（1）履约保证金形成：支票、汇票、本票或者金融机构、担保机构出具的保函（保险）等非现金形式；</w:t>
            </w:r>
          </w:p>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（2）金额：合同价的</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w:t>
            </w:r>
          </w:p>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（3）缴纳时间：在确定成交供应商之后，签订采购合同前。</w:t>
            </w:r>
          </w:p>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（4）退还时间：合同履约结束验收合格后退还。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8.2.1</w:t>
            </w:r>
          </w:p>
        </w:tc>
        <w:tc>
          <w:tcPr>
            <w:tcW w:w="2381" w:type="dxa"/>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签订合同的</w:t>
            </w:r>
          </w:p>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时间要求</w:t>
            </w:r>
          </w:p>
        </w:tc>
        <w:tc>
          <w:tcPr>
            <w:tcW w:w="6158" w:type="dxa"/>
            <w:gridSpan w:val="2"/>
            <w:vAlign w:val="center"/>
          </w:tcPr>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自中标通知书发出之日起</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30</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pPr>
              <w:spacing w:line="360" w:lineRule="exact"/>
              <w:jc w:val="center"/>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9</w:t>
            </w:r>
          </w:p>
        </w:tc>
        <w:tc>
          <w:tcPr>
            <w:tcW w:w="8539" w:type="dxa"/>
            <w:gridSpan w:val="3"/>
            <w:vAlign w:val="center"/>
          </w:tcPr>
          <w:p>
            <w:pPr>
              <w:spacing w:line="360" w:lineRule="exact"/>
              <w:jc w:val="center"/>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pPr>
              <w:spacing w:line="360" w:lineRule="exact"/>
              <w:jc w:val="center"/>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9.1</w:t>
            </w:r>
          </w:p>
        </w:tc>
        <w:tc>
          <w:tcPr>
            <w:tcW w:w="2521" w:type="dxa"/>
            <w:gridSpan w:val="2"/>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质疑和投诉</w:t>
            </w:r>
          </w:p>
        </w:tc>
        <w:tc>
          <w:tcPr>
            <w:tcW w:w="6018" w:type="dxa"/>
            <w:vAlign w:val="center"/>
          </w:tcPr>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按照《政府采购质疑和投诉办法》（财政部第94号令）处理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pPr>
              <w:spacing w:line="360" w:lineRule="exact"/>
              <w:jc w:val="center"/>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9.2</w:t>
            </w:r>
          </w:p>
        </w:tc>
        <w:tc>
          <w:tcPr>
            <w:tcW w:w="2521" w:type="dxa"/>
            <w:gridSpan w:val="2"/>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招标文件的解释</w:t>
            </w:r>
          </w:p>
        </w:tc>
        <w:tc>
          <w:tcPr>
            <w:tcW w:w="6018" w:type="dxa"/>
            <w:vAlign w:val="center"/>
          </w:tcPr>
          <w:p>
            <w:pPr>
              <w:spacing w:line="360" w:lineRule="exac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由招标人负责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pPr>
              <w:spacing w:line="360" w:lineRule="exact"/>
              <w:jc w:val="center"/>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9.3</w:t>
            </w:r>
          </w:p>
        </w:tc>
        <w:tc>
          <w:tcPr>
            <w:tcW w:w="2521" w:type="dxa"/>
            <w:gridSpan w:val="2"/>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落实政府采购政策</w:t>
            </w:r>
          </w:p>
        </w:tc>
        <w:tc>
          <w:tcPr>
            <w:tcW w:w="6018" w:type="dxa"/>
          </w:tcPr>
          <w:p>
            <w:pPr>
              <w:pStyle w:val="36"/>
              <w:spacing w:line="380" w:lineRule="exact"/>
              <w:textAlignment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根据《政府采购促进中小企业发展管理办法》（财库【2020】46号）规定，对小型和微型生产企业生产的产品或承接的服务价格给予10%的扣除，扣除后的价格参与评审。供应商应当提供《中小企业声明函》（格式见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pPr>
              <w:spacing w:line="360" w:lineRule="exact"/>
              <w:jc w:val="center"/>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9.4</w:t>
            </w:r>
          </w:p>
        </w:tc>
        <w:tc>
          <w:tcPr>
            <w:tcW w:w="2521" w:type="dxa"/>
            <w:gridSpan w:val="2"/>
            <w:vAlign w:val="center"/>
          </w:tcPr>
          <w:p>
            <w:pPr>
              <w:spacing w:line="360" w:lineRule="exact"/>
              <w:jc w:val="center"/>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w:t>
            </w:r>
          </w:p>
        </w:tc>
        <w:tc>
          <w:tcPr>
            <w:tcW w:w="6018" w:type="dxa"/>
            <w:vAlign w:val="center"/>
          </w:tcPr>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1.供应商应仔细阅读和充分理解招标文件的采购需求和合同主要条款，根据自身实际情况并综合考虑合同履行过程中的各类风险，理性报价。</w:t>
            </w:r>
          </w:p>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2.中标</w:t>
            </w:r>
            <w:r>
              <w:rPr>
                <w:rFonts w:hint="eastAsia" w:asciiTheme="majorEastAsia" w:hAnsiTheme="majorEastAsia" w:eastAsiaTheme="majorEastAsia" w:cstheme="majorEastAsia"/>
                <w:color w:val="auto"/>
                <w:sz w:val="24"/>
                <w:szCs w:val="24"/>
                <w:highlight w:val="none"/>
                <w:lang w:val="en-US" w:eastAsia="zh-CN"/>
              </w:rPr>
              <w:t>单价</w:t>
            </w:r>
            <w:r>
              <w:rPr>
                <w:rFonts w:hint="eastAsia" w:asciiTheme="majorEastAsia" w:hAnsiTheme="majorEastAsia" w:eastAsiaTheme="majorEastAsia" w:cstheme="majorEastAsia"/>
                <w:color w:val="auto"/>
                <w:sz w:val="24"/>
                <w:szCs w:val="24"/>
                <w:highlight w:val="none"/>
              </w:rPr>
              <w:t>即为合同</w:t>
            </w:r>
            <w:r>
              <w:rPr>
                <w:rFonts w:hint="eastAsia" w:asciiTheme="majorEastAsia" w:hAnsiTheme="majorEastAsia" w:eastAsiaTheme="majorEastAsia" w:cstheme="majorEastAsia"/>
                <w:color w:val="auto"/>
                <w:sz w:val="24"/>
                <w:szCs w:val="24"/>
                <w:highlight w:val="none"/>
                <w:lang w:val="en-US" w:eastAsia="zh-CN"/>
              </w:rPr>
              <w:t>单价</w:t>
            </w:r>
            <w:r>
              <w:rPr>
                <w:rFonts w:hint="eastAsia" w:asciiTheme="majorEastAsia" w:hAnsiTheme="majorEastAsia" w:eastAsiaTheme="majorEastAsia" w:cstheme="majorEastAsia"/>
                <w:color w:val="auto"/>
                <w:sz w:val="24"/>
                <w:szCs w:val="24"/>
                <w:highlight w:val="none"/>
              </w:rPr>
              <w:t>，在合同期内不予调增。</w:t>
            </w:r>
          </w:p>
          <w:p>
            <w:pPr>
              <w:spacing w:line="360" w:lineRule="exact"/>
              <w:jc w:val="lef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color w:val="auto"/>
                <w:sz w:val="24"/>
                <w:szCs w:val="24"/>
                <w:highlight w:val="none"/>
              </w:rPr>
              <w:t>3.异常的低价可能会导致投标无效。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pPr>
              <w:spacing w:line="360" w:lineRule="exact"/>
              <w:jc w:val="center"/>
              <w:rPr>
                <w:rFonts w:hint="eastAsia" w:asciiTheme="majorEastAsia" w:hAnsiTheme="majorEastAsia" w:eastAsiaTheme="majorEastAsia" w:cstheme="majorEastAsia"/>
                <w:b/>
                <w:color w:val="auto"/>
                <w:sz w:val="24"/>
                <w:szCs w:val="24"/>
                <w:highlight w:val="none"/>
                <w:lang w:val="en-US" w:eastAsia="zh-CN"/>
              </w:rPr>
            </w:pPr>
            <w:bookmarkStart w:id="60" w:name="_Toc367784995"/>
            <w:bookmarkStart w:id="61" w:name="_Toc426469871"/>
            <w:r>
              <w:rPr>
                <w:rFonts w:hint="eastAsia" w:asciiTheme="majorEastAsia" w:hAnsiTheme="majorEastAsia" w:eastAsiaTheme="majorEastAsia" w:cstheme="majorEastAsia"/>
                <w:b/>
                <w:color w:val="auto"/>
                <w:sz w:val="24"/>
                <w:szCs w:val="24"/>
                <w:highlight w:val="none"/>
                <w:lang w:val="en-US" w:eastAsia="zh-CN"/>
              </w:rPr>
              <w:t>9.5</w:t>
            </w:r>
          </w:p>
        </w:tc>
        <w:tc>
          <w:tcPr>
            <w:tcW w:w="2521" w:type="dxa"/>
            <w:gridSpan w:val="2"/>
            <w:vAlign w:val="center"/>
          </w:tcPr>
          <w:p>
            <w:pPr>
              <w:spacing w:line="36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eastAsia="zh-CN"/>
              </w:rPr>
              <w:t>其他内容</w:t>
            </w:r>
          </w:p>
        </w:tc>
        <w:tc>
          <w:tcPr>
            <w:tcW w:w="6018" w:type="dxa"/>
            <w:vAlign w:val="center"/>
          </w:tcPr>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b/>
                <w:bCs/>
                <w:color w:val="auto"/>
                <w:highlight w:val="none"/>
              </w:rPr>
              <w:t>本项目招标代理服务费由成交供应商在领取成交通知书前</w:t>
            </w:r>
            <w:r>
              <w:rPr>
                <w:rFonts w:hint="eastAsia" w:asciiTheme="majorEastAsia" w:hAnsiTheme="majorEastAsia" w:eastAsiaTheme="majorEastAsia" w:cstheme="majorEastAsia"/>
                <w:b/>
                <w:bCs/>
                <w:color w:val="auto"/>
                <w:highlight w:val="none"/>
                <w:lang w:val="en-US" w:eastAsia="zh-CN"/>
              </w:rPr>
              <w:t>支</w:t>
            </w:r>
            <w:r>
              <w:rPr>
                <w:rFonts w:hint="eastAsia" w:asciiTheme="majorEastAsia" w:hAnsiTheme="majorEastAsia" w:eastAsiaTheme="majorEastAsia" w:cstheme="majorEastAsia"/>
                <w:b/>
                <w:bCs/>
                <w:color w:val="auto"/>
                <w:highlight w:val="none"/>
              </w:rPr>
              <w:t>付，招标代理服务费参照苏招协[2022]002号文件规定收费标准的60%计取（中标价10万元以下的项目，招标代理服务费按1000元计取；中标价10-50万元的项目，招标代理服务费按中标价的1%计取）</w:t>
            </w:r>
            <w:r>
              <w:rPr>
                <w:rFonts w:hint="eastAsia" w:asciiTheme="majorEastAsia" w:hAnsiTheme="majorEastAsia" w:eastAsiaTheme="majorEastAsia" w:cstheme="majorEastAsia"/>
                <w:b/>
                <w:bCs/>
                <w:color w:val="auto"/>
                <w:sz w:val="24"/>
                <w:szCs w:val="24"/>
                <w:highlight w:val="none"/>
              </w:rPr>
              <w:t>。以上费用包含在总报价中，无需单列，采购人不另外支付。投标人应充分考虑投标所发生的所有费用。</w:t>
            </w:r>
          </w:p>
          <w:p>
            <w:pPr>
              <w:spacing w:line="360" w:lineRule="exact"/>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2、评审费：按苏财购〔2016〕48号规定，外加路费补贴。</w:t>
            </w:r>
          </w:p>
          <w:p>
            <w:pPr>
              <w:pStyle w:val="59"/>
              <w:ind w:firstLine="0"/>
              <w:rPr>
                <w:rFonts w:hint="eastAsia" w:asciiTheme="majorEastAsia" w:hAnsiTheme="majorEastAsia" w:eastAsiaTheme="majorEastAsia" w:cstheme="majorEastAsia"/>
                <w:b/>
                <w:bCs/>
                <w:color w:val="auto"/>
                <w:szCs w:val="24"/>
                <w:highlight w:val="none"/>
              </w:rPr>
            </w:pPr>
            <w:r>
              <w:rPr>
                <w:rFonts w:hint="eastAsia" w:asciiTheme="majorEastAsia" w:hAnsiTheme="majorEastAsia" w:eastAsiaTheme="majorEastAsia" w:cstheme="majorEastAsia"/>
                <w:b/>
                <w:bCs/>
                <w:color w:val="auto"/>
                <w:sz w:val="24"/>
                <w:szCs w:val="24"/>
                <w:highlight w:val="none"/>
                <w:lang w:val="en-US" w:eastAsia="zh-CN"/>
              </w:rPr>
              <w:t>3、</w:t>
            </w:r>
            <w:r>
              <w:rPr>
                <w:rFonts w:hint="eastAsia" w:asciiTheme="majorEastAsia" w:hAnsiTheme="majorEastAsia" w:eastAsiaTheme="majorEastAsia" w:cstheme="majorEastAsia"/>
                <w:b/>
                <w:bCs/>
                <w:color w:val="auto"/>
                <w:szCs w:val="24"/>
                <w:highlight w:val="none"/>
              </w:rPr>
              <w:t>投标人自行组织现场踏勘，了解项目情况，根据勘察结果自行报价。施工期间的用水、用电、取用方式由投标人自行考虑，考虑在投标报价中（自行解决脚手架）。</w:t>
            </w:r>
          </w:p>
          <w:p>
            <w:pPr>
              <w:pStyle w:val="59"/>
              <w:ind w:firstLine="0"/>
              <w:rPr>
                <w:rFonts w:hint="eastAsia" w:asciiTheme="majorEastAsia" w:hAnsiTheme="majorEastAsia" w:eastAsiaTheme="majorEastAsia" w:cstheme="majorEastAsia"/>
                <w:b/>
                <w:bCs/>
                <w:color w:val="auto"/>
                <w:szCs w:val="24"/>
                <w:highlight w:val="none"/>
              </w:rPr>
            </w:pPr>
            <w:r>
              <w:rPr>
                <w:rFonts w:hint="eastAsia" w:asciiTheme="majorEastAsia" w:hAnsiTheme="majorEastAsia" w:eastAsiaTheme="majorEastAsia" w:cstheme="majorEastAsia"/>
                <w:b/>
                <w:bCs/>
                <w:color w:val="auto"/>
                <w:szCs w:val="24"/>
                <w:highlight w:val="none"/>
                <w:lang w:eastAsia="zh-CN"/>
              </w:rPr>
              <w:t>4</w:t>
            </w:r>
            <w:r>
              <w:rPr>
                <w:rFonts w:hint="eastAsia" w:asciiTheme="majorEastAsia" w:hAnsiTheme="majorEastAsia" w:eastAsiaTheme="majorEastAsia" w:cstheme="majorEastAsia"/>
                <w:b/>
                <w:bCs/>
                <w:color w:val="auto"/>
                <w:szCs w:val="24"/>
                <w:highlight w:val="none"/>
              </w:rPr>
              <w:t>.本项目含专业工程暂估价（设计费用）4.28万元由中标单位领取中标通知前支付给设计单位。</w:t>
            </w:r>
          </w:p>
          <w:p>
            <w:pPr>
              <w:pStyle w:val="59"/>
              <w:ind w:firstLine="0"/>
              <w:rPr>
                <w:rFonts w:hint="eastAsia" w:eastAsiaTheme="majorEastAsia"/>
                <w:lang w:val="en-US" w:eastAsia="zh-CN"/>
              </w:rPr>
            </w:pPr>
            <w:r>
              <w:rPr>
                <w:rFonts w:hint="eastAsia" w:asciiTheme="majorEastAsia" w:hAnsiTheme="majorEastAsia" w:eastAsiaTheme="majorEastAsia" w:cstheme="majorEastAsia"/>
                <w:b/>
                <w:bCs/>
                <w:color w:val="auto"/>
                <w:szCs w:val="24"/>
                <w:highlight w:val="none"/>
                <w:lang w:val="en-US" w:eastAsia="zh-CN"/>
              </w:rPr>
              <w:t>5.</w:t>
            </w:r>
            <w:r>
              <w:rPr>
                <w:rFonts w:hint="eastAsia" w:asciiTheme="majorEastAsia" w:hAnsiTheme="majorEastAsia" w:eastAsiaTheme="majorEastAsia" w:cstheme="majorEastAsia"/>
                <w:b/>
                <w:bCs/>
                <w:color w:val="auto"/>
                <w:szCs w:val="24"/>
                <w:highlight w:val="none"/>
              </w:rPr>
              <w:t>本项目投标人原件材料需单独密封随投标文件开标时一同提交。</w:t>
            </w:r>
          </w:p>
        </w:tc>
      </w:tr>
    </w:tbl>
    <w:p>
      <w:pPr>
        <w:adjustRightInd w:val="0"/>
        <w:snapToGrid w:val="0"/>
        <w:spacing w:line="490" w:lineRule="exact"/>
        <w:outlineLvl w:val="1"/>
        <w:rPr>
          <w:rFonts w:hint="eastAsia" w:asciiTheme="majorEastAsia" w:hAnsiTheme="majorEastAsia" w:eastAsiaTheme="majorEastAsia" w:cstheme="majorEastAsia"/>
          <w:color w:val="auto"/>
          <w:sz w:val="24"/>
          <w:szCs w:val="24"/>
        </w:rPr>
      </w:pPr>
      <w:bookmarkStart w:id="62" w:name="_Toc4797"/>
      <w:r>
        <w:rPr>
          <w:rFonts w:hint="eastAsia" w:asciiTheme="majorEastAsia" w:hAnsiTheme="majorEastAsia" w:eastAsiaTheme="majorEastAsia" w:cstheme="majorEastAsia"/>
          <w:color w:val="auto"/>
          <w:sz w:val="24"/>
          <w:szCs w:val="24"/>
        </w:rPr>
        <w:t>1.总则</w:t>
      </w:r>
      <w:bookmarkEnd w:id="60"/>
      <w:bookmarkEnd w:id="61"/>
      <w:bookmarkEnd w:id="62"/>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63" w:name="_Toc246996919"/>
      <w:bookmarkStart w:id="64" w:name="_Toc152042306"/>
      <w:bookmarkStart w:id="65" w:name="_Toc383438593"/>
      <w:bookmarkStart w:id="66" w:name="_Toc152045530"/>
      <w:bookmarkStart w:id="67" w:name="_Toc246996176"/>
      <w:bookmarkStart w:id="68" w:name="_Toc426469872"/>
      <w:bookmarkStart w:id="69" w:name="_Toc144974498"/>
      <w:bookmarkStart w:id="70" w:name="_Toc247085690"/>
      <w:bookmarkStart w:id="71" w:name="_Toc343525506"/>
      <w:bookmarkStart w:id="72" w:name="_Toc179632547"/>
      <w:bookmarkStart w:id="73" w:name="_Toc367784996"/>
      <w:r>
        <w:rPr>
          <w:rFonts w:hint="eastAsia" w:asciiTheme="majorEastAsia" w:hAnsiTheme="majorEastAsia" w:eastAsiaTheme="majorEastAsia" w:cstheme="majorEastAsia"/>
          <w:b/>
          <w:color w:val="auto"/>
          <w:sz w:val="24"/>
          <w:szCs w:val="24"/>
        </w:rPr>
        <w:t>1.1 项目概况</w:t>
      </w:r>
      <w:bookmarkEnd w:id="63"/>
      <w:bookmarkEnd w:id="64"/>
      <w:bookmarkEnd w:id="65"/>
      <w:bookmarkEnd w:id="66"/>
      <w:bookmarkEnd w:id="67"/>
      <w:bookmarkEnd w:id="68"/>
      <w:bookmarkEnd w:id="69"/>
      <w:bookmarkEnd w:id="70"/>
      <w:bookmarkEnd w:id="71"/>
      <w:bookmarkEnd w:id="72"/>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1.1.1根据《中华人民共和国政府采购法》、《中华人民共和国政府采购法实施条例》等有关法律、法规和规章的规定，本采购项目已具备采购条件，现对本项目进行公开招标。</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1.1.2 招标人：见供应商须知前附表。</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1.1.3 采购代理机构：见供应商须知前附表。</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1.1.4 项目名称及项目编号：见供应商须知前附表。</w:t>
      </w:r>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74" w:name="_Toc246996177"/>
      <w:bookmarkStart w:id="75" w:name="_Toc152042307"/>
      <w:bookmarkStart w:id="76" w:name="_Toc246996920"/>
      <w:bookmarkStart w:id="77" w:name="_Toc179632548"/>
      <w:bookmarkStart w:id="78" w:name="_Toc426469873"/>
      <w:bookmarkStart w:id="79" w:name="_Toc152045531"/>
      <w:bookmarkStart w:id="80" w:name="_Toc144974499"/>
      <w:bookmarkStart w:id="81" w:name="_Toc343525507"/>
      <w:bookmarkStart w:id="82" w:name="_Toc383438594"/>
      <w:bookmarkStart w:id="83" w:name="_Toc247085691"/>
      <w:r>
        <w:rPr>
          <w:rFonts w:hint="eastAsia" w:asciiTheme="majorEastAsia" w:hAnsiTheme="majorEastAsia" w:eastAsiaTheme="majorEastAsia" w:cstheme="majorEastAsia"/>
          <w:b/>
          <w:color w:val="auto"/>
          <w:sz w:val="24"/>
          <w:szCs w:val="24"/>
        </w:rPr>
        <w:t>1.2</w:t>
      </w:r>
      <w:bookmarkEnd w:id="74"/>
      <w:bookmarkEnd w:id="75"/>
      <w:bookmarkEnd w:id="76"/>
      <w:bookmarkEnd w:id="77"/>
      <w:bookmarkEnd w:id="78"/>
      <w:bookmarkEnd w:id="79"/>
      <w:bookmarkEnd w:id="80"/>
      <w:bookmarkEnd w:id="81"/>
      <w:bookmarkEnd w:id="82"/>
      <w:bookmarkEnd w:id="83"/>
      <w:r>
        <w:rPr>
          <w:rFonts w:hint="eastAsia" w:asciiTheme="majorEastAsia" w:hAnsiTheme="majorEastAsia" w:eastAsiaTheme="majorEastAsia" w:cstheme="majorEastAsia"/>
          <w:b/>
          <w:color w:val="auto"/>
          <w:sz w:val="24"/>
          <w:szCs w:val="24"/>
        </w:rPr>
        <w:t>付款方式</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1.2.1付款方式：见供应商须知前附表。</w:t>
      </w:r>
    </w:p>
    <w:p>
      <w:pPr>
        <w:adjustRightInd w:val="0"/>
        <w:snapToGrid w:val="0"/>
        <w:spacing w:line="490" w:lineRule="exact"/>
        <w:rPr>
          <w:rFonts w:hint="eastAsia" w:asciiTheme="majorEastAsia" w:hAnsiTheme="majorEastAsia" w:eastAsiaTheme="majorEastAsia" w:cstheme="majorEastAsia"/>
          <w:b/>
          <w:color w:val="auto"/>
          <w:sz w:val="24"/>
          <w:szCs w:val="24"/>
          <w:lang w:eastAsia="zh-CN"/>
        </w:rPr>
      </w:pPr>
      <w:bookmarkStart w:id="84" w:name="_Toc144974500"/>
      <w:bookmarkStart w:id="85" w:name="_Toc179632549"/>
      <w:bookmarkStart w:id="86" w:name="_Toc246996178"/>
      <w:bookmarkStart w:id="87" w:name="_Toc246996921"/>
      <w:bookmarkStart w:id="88" w:name="_Toc247085692"/>
      <w:bookmarkStart w:id="89" w:name="_Toc343525508"/>
      <w:bookmarkStart w:id="90" w:name="_Toc152045532"/>
      <w:bookmarkStart w:id="91" w:name="_Toc383438595"/>
      <w:bookmarkStart w:id="92" w:name="_Toc152042308"/>
      <w:bookmarkStart w:id="93" w:name="_Toc426469874"/>
      <w:r>
        <w:rPr>
          <w:rFonts w:hint="eastAsia" w:asciiTheme="majorEastAsia" w:hAnsiTheme="majorEastAsia" w:eastAsiaTheme="majorEastAsia" w:cstheme="majorEastAsia"/>
          <w:b/>
          <w:color w:val="auto"/>
          <w:sz w:val="24"/>
          <w:szCs w:val="24"/>
        </w:rPr>
        <w:t xml:space="preserve">1.3 </w:t>
      </w:r>
      <w:bookmarkEnd w:id="84"/>
      <w:bookmarkEnd w:id="85"/>
      <w:bookmarkEnd w:id="86"/>
      <w:bookmarkEnd w:id="87"/>
      <w:bookmarkEnd w:id="88"/>
      <w:bookmarkEnd w:id="89"/>
      <w:bookmarkEnd w:id="90"/>
      <w:bookmarkEnd w:id="91"/>
      <w:bookmarkEnd w:id="92"/>
      <w:r>
        <w:rPr>
          <w:rFonts w:hint="eastAsia" w:asciiTheme="majorEastAsia" w:hAnsiTheme="majorEastAsia" w:eastAsiaTheme="majorEastAsia" w:cstheme="majorEastAsia"/>
          <w:b/>
          <w:color w:val="auto"/>
          <w:sz w:val="24"/>
          <w:szCs w:val="24"/>
        </w:rPr>
        <w:t>采购范围</w:t>
      </w:r>
      <w:bookmarkEnd w:id="93"/>
      <w:r>
        <w:rPr>
          <w:rFonts w:hint="eastAsia" w:asciiTheme="majorEastAsia" w:hAnsiTheme="majorEastAsia" w:eastAsiaTheme="majorEastAsia" w:cstheme="majorEastAsia"/>
          <w:b/>
          <w:color w:val="auto"/>
          <w:sz w:val="24"/>
          <w:szCs w:val="24"/>
        </w:rPr>
        <w:t>与</w:t>
      </w:r>
      <w:r>
        <w:rPr>
          <w:rFonts w:hint="eastAsia" w:asciiTheme="majorEastAsia" w:hAnsiTheme="majorEastAsia" w:eastAsiaTheme="majorEastAsia" w:cstheme="majorEastAsia"/>
          <w:b/>
          <w:color w:val="auto"/>
          <w:sz w:val="24"/>
          <w:szCs w:val="24"/>
          <w:lang w:eastAsia="zh-CN"/>
        </w:rPr>
        <w:t>服务期限</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1.3.1 采购范围：见供应商须知前附表。</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1.3.2 </w:t>
      </w:r>
      <w:r>
        <w:rPr>
          <w:rFonts w:hint="eastAsia" w:asciiTheme="majorEastAsia" w:hAnsiTheme="majorEastAsia" w:eastAsiaTheme="majorEastAsia" w:cstheme="majorEastAsia"/>
          <w:color w:val="auto"/>
          <w:sz w:val="24"/>
          <w:szCs w:val="24"/>
          <w:lang w:eastAsia="zh-CN"/>
        </w:rPr>
        <w:t>服务期限</w:t>
      </w:r>
      <w:r>
        <w:rPr>
          <w:rFonts w:hint="eastAsia" w:asciiTheme="majorEastAsia" w:hAnsiTheme="majorEastAsia" w:eastAsiaTheme="majorEastAsia" w:cstheme="majorEastAsia"/>
          <w:color w:val="auto"/>
          <w:sz w:val="24"/>
          <w:szCs w:val="24"/>
        </w:rPr>
        <w:t>：见供应商须知前附表。</w:t>
      </w:r>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94" w:name="_Toc152045534"/>
      <w:bookmarkStart w:id="95" w:name="_Toc179632551"/>
      <w:bookmarkStart w:id="96" w:name="_Toc247085693"/>
      <w:bookmarkStart w:id="97" w:name="_Toc152042310"/>
      <w:bookmarkStart w:id="98" w:name="_Toc246996179"/>
      <w:bookmarkStart w:id="99" w:name="_Toc144974502"/>
      <w:bookmarkStart w:id="100" w:name="_Toc383438596"/>
      <w:bookmarkStart w:id="101" w:name="_Toc343525509"/>
      <w:bookmarkStart w:id="102" w:name="_Toc246996922"/>
      <w:bookmarkStart w:id="103" w:name="_Toc426469875"/>
      <w:r>
        <w:rPr>
          <w:rFonts w:hint="eastAsia" w:asciiTheme="majorEastAsia" w:hAnsiTheme="majorEastAsia" w:eastAsiaTheme="majorEastAsia" w:cstheme="majorEastAsia"/>
          <w:b/>
          <w:color w:val="auto"/>
          <w:sz w:val="24"/>
          <w:szCs w:val="24"/>
        </w:rPr>
        <w:t>1.4 供应商资格要求</w:t>
      </w:r>
      <w:bookmarkEnd w:id="94"/>
      <w:bookmarkEnd w:id="95"/>
      <w:bookmarkEnd w:id="96"/>
      <w:bookmarkEnd w:id="97"/>
      <w:bookmarkEnd w:id="98"/>
      <w:bookmarkEnd w:id="99"/>
      <w:bookmarkEnd w:id="100"/>
      <w:bookmarkEnd w:id="101"/>
      <w:bookmarkEnd w:id="102"/>
      <w:bookmarkEnd w:id="103"/>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1.4.1 供应商参加政府采购活动应当具备下列条件：</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（1）具有独立承担民事责任的能力；</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（2）具有良好的商业信誉和健全的财务会计制度；</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（3）具有履行合同所必需的设备和专业技术能力；</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（4）有依法缴纳税收和社会保障资金的良好记录；</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（5）参加政府采购活动前三年内，在经营活动中没有重大违法记录；</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（6）法律、行政法规规定的其他条件。</w:t>
      </w:r>
    </w:p>
    <w:p>
      <w:pPr>
        <w:adjustRightInd w:val="0"/>
        <w:snapToGrid w:val="0"/>
        <w:spacing w:line="49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1.4.2根据采购项目特殊要求，要求供应商具备的特定条件：见供应商须知前附表。</w:t>
      </w:r>
    </w:p>
    <w:p>
      <w:pPr>
        <w:adjustRightInd w:val="0"/>
        <w:snapToGrid w:val="0"/>
        <w:spacing w:line="49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1.4.3供应商不得存在下列情形之一：</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（l）与招标人或采购代理机构存在隶属关系或者其他利害关系；</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（2）为采购项目提供了整体设计、规范编制或者项目管理、监理、检测等服务；</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（3）单位负责人为同一人或者存在直接控股、管理关系的不同供应商，参加同一合同项下的政府采购活动。</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（4）以联合体形式参加政府采购活动的，联合体各方再单独参加或者与其他供应商另外组成联合体参加同一合同项下的政府采购活动。</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（5）法律、行政法规规定的其他条件。</w:t>
      </w:r>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104" w:name="_Toc152042311"/>
      <w:bookmarkStart w:id="105" w:name="_Toc152045535"/>
      <w:bookmarkStart w:id="106" w:name="_Toc246996923"/>
      <w:bookmarkStart w:id="107" w:name="_Toc343525510"/>
      <w:bookmarkStart w:id="108" w:name="_Toc179632552"/>
      <w:bookmarkStart w:id="109" w:name="_Toc426469876"/>
      <w:bookmarkStart w:id="110" w:name="_Toc383438597"/>
      <w:bookmarkStart w:id="111" w:name="_Toc246996180"/>
      <w:bookmarkStart w:id="112" w:name="_Toc144974503"/>
      <w:bookmarkStart w:id="113" w:name="_Toc247085694"/>
      <w:r>
        <w:rPr>
          <w:rFonts w:hint="eastAsia" w:asciiTheme="majorEastAsia" w:hAnsiTheme="majorEastAsia" w:eastAsiaTheme="majorEastAsia" w:cstheme="majorEastAsia"/>
          <w:b/>
          <w:color w:val="auto"/>
          <w:sz w:val="24"/>
          <w:szCs w:val="24"/>
        </w:rPr>
        <w:t>1.5费用承担</w:t>
      </w:r>
      <w:bookmarkEnd w:id="104"/>
      <w:bookmarkEnd w:id="105"/>
      <w:bookmarkEnd w:id="106"/>
      <w:bookmarkEnd w:id="107"/>
      <w:bookmarkEnd w:id="108"/>
      <w:bookmarkEnd w:id="109"/>
      <w:bookmarkEnd w:id="110"/>
      <w:bookmarkEnd w:id="111"/>
      <w:bookmarkEnd w:id="112"/>
      <w:bookmarkEnd w:id="113"/>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无论采购结果如何，供应商为准备和参加投标活动发生的费用自理。</w:t>
      </w:r>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114" w:name="_Toc144974505"/>
      <w:bookmarkStart w:id="115" w:name="_Toc383438599"/>
      <w:bookmarkStart w:id="116" w:name="_Toc152042313"/>
      <w:bookmarkStart w:id="117" w:name="_Toc247085696"/>
      <w:bookmarkStart w:id="118" w:name="_Toc343525512"/>
      <w:bookmarkStart w:id="119" w:name="_Toc179632554"/>
      <w:bookmarkStart w:id="120" w:name="_Toc426469878"/>
      <w:bookmarkStart w:id="121" w:name="_Toc246996925"/>
      <w:bookmarkStart w:id="122" w:name="_Toc246996182"/>
      <w:bookmarkStart w:id="123" w:name="_Toc152045537"/>
      <w:r>
        <w:rPr>
          <w:rFonts w:hint="eastAsia" w:asciiTheme="majorEastAsia" w:hAnsiTheme="majorEastAsia" w:eastAsiaTheme="majorEastAsia" w:cstheme="majorEastAsia"/>
          <w:b/>
          <w:color w:val="auto"/>
          <w:sz w:val="24"/>
          <w:szCs w:val="24"/>
        </w:rPr>
        <w:t>1.6语言</w:t>
      </w:r>
      <w:bookmarkEnd w:id="114"/>
      <w:r>
        <w:rPr>
          <w:rFonts w:hint="eastAsia" w:asciiTheme="majorEastAsia" w:hAnsiTheme="majorEastAsia" w:eastAsiaTheme="majorEastAsia" w:cstheme="majorEastAsia"/>
          <w:b/>
          <w:color w:val="auto"/>
          <w:sz w:val="24"/>
          <w:szCs w:val="24"/>
        </w:rPr>
        <w:t>文字</w:t>
      </w:r>
      <w:bookmarkEnd w:id="115"/>
      <w:bookmarkEnd w:id="116"/>
      <w:bookmarkEnd w:id="117"/>
      <w:bookmarkEnd w:id="118"/>
      <w:bookmarkEnd w:id="119"/>
      <w:bookmarkEnd w:id="120"/>
      <w:bookmarkEnd w:id="121"/>
      <w:bookmarkEnd w:id="122"/>
      <w:bookmarkEnd w:id="123"/>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bookmarkStart w:id="124" w:name="_Toc144974506"/>
      <w:bookmarkStart w:id="125" w:name="_Toc246996926"/>
      <w:bookmarkStart w:id="126" w:name="_Toc152042314"/>
      <w:bookmarkStart w:id="127" w:name="_Toc152045538"/>
      <w:bookmarkStart w:id="128" w:name="_Toc179632555"/>
      <w:bookmarkStart w:id="129" w:name="_Toc247085697"/>
      <w:bookmarkStart w:id="130" w:name="_Toc246996183"/>
      <w:r>
        <w:rPr>
          <w:rFonts w:hint="eastAsia" w:asciiTheme="majorEastAsia" w:hAnsiTheme="majorEastAsia" w:eastAsiaTheme="majorEastAsia" w:cstheme="majorEastAsia"/>
          <w:color w:val="auto"/>
          <w:sz w:val="24"/>
          <w:szCs w:val="24"/>
        </w:rPr>
        <w:t>招投标文件使用的语言文字为中文。专用术语使用外文的，应附有中文注释。</w:t>
      </w:r>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131" w:name="_Toc426469879"/>
      <w:bookmarkStart w:id="132" w:name="_Toc343525513"/>
      <w:bookmarkStart w:id="133" w:name="_Toc383438600"/>
      <w:r>
        <w:rPr>
          <w:rFonts w:hint="eastAsia" w:asciiTheme="majorEastAsia" w:hAnsiTheme="majorEastAsia" w:eastAsiaTheme="majorEastAsia" w:cstheme="majorEastAsia"/>
          <w:b/>
          <w:color w:val="auto"/>
          <w:sz w:val="24"/>
          <w:szCs w:val="24"/>
        </w:rPr>
        <w:t>1.7 计量单位</w:t>
      </w:r>
      <w:bookmarkEnd w:id="124"/>
      <w:bookmarkEnd w:id="125"/>
      <w:bookmarkEnd w:id="126"/>
      <w:bookmarkEnd w:id="127"/>
      <w:bookmarkEnd w:id="128"/>
      <w:bookmarkEnd w:id="129"/>
      <w:bookmarkEnd w:id="130"/>
      <w:bookmarkEnd w:id="131"/>
      <w:bookmarkEnd w:id="132"/>
      <w:bookmarkEnd w:id="133"/>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所有计量均采用中华人民共和国法定计量单位。</w:t>
      </w:r>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134" w:name="_Toc426469881"/>
      <w:r>
        <w:rPr>
          <w:rFonts w:hint="eastAsia" w:asciiTheme="majorEastAsia" w:hAnsiTheme="majorEastAsia" w:eastAsiaTheme="majorEastAsia" w:cstheme="majorEastAsia"/>
          <w:b/>
          <w:color w:val="auto"/>
          <w:sz w:val="24"/>
          <w:szCs w:val="24"/>
        </w:rPr>
        <w:t>1.8偏离</w:t>
      </w:r>
      <w:bookmarkEnd w:id="134"/>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1.8.1偏离是指投标文件中的内容与招标文件中规定的技术参数、标准、服务要求等不一致的情形。优于招标文件规定的技术参数、标准、服务要求的为正偏离，反之为负偏离。</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1.8.2偏离的具体要求见供应商须知前附表。</w:t>
      </w:r>
    </w:p>
    <w:p>
      <w:pPr>
        <w:adjustRightInd w:val="0"/>
        <w:snapToGrid w:val="0"/>
        <w:spacing w:line="490" w:lineRule="exact"/>
        <w:outlineLvl w:val="1"/>
        <w:rPr>
          <w:rFonts w:hint="eastAsia" w:asciiTheme="majorEastAsia" w:hAnsiTheme="majorEastAsia" w:eastAsiaTheme="majorEastAsia" w:cstheme="majorEastAsia"/>
          <w:color w:val="auto"/>
          <w:sz w:val="24"/>
          <w:szCs w:val="24"/>
        </w:rPr>
      </w:pPr>
      <w:bookmarkStart w:id="135" w:name="_Toc3240"/>
      <w:bookmarkStart w:id="136" w:name="_Toc383438604"/>
      <w:bookmarkStart w:id="137" w:name="_Toc426469882"/>
      <w:bookmarkStart w:id="138" w:name="_Toc343525517"/>
      <w:r>
        <w:rPr>
          <w:rFonts w:hint="eastAsia" w:asciiTheme="majorEastAsia" w:hAnsiTheme="majorEastAsia" w:eastAsiaTheme="majorEastAsia" w:cstheme="majorEastAsia"/>
          <w:color w:val="auto"/>
          <w:sz w:val="24"/>
          <w:szCs w:val="24"/>
        </w:rPr>
        <w:t>2. 招标文件</w:t>
      </w:r>
      <w:bookmarkEnd w:id="135"/>
      <w:bookmarkEnd w:id="136"/>
      <w:bookmarkEnd w:id="137"/>
      <w:bookmarkEnd w:id="138"/>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139" w:name="_Toc246996188"/>
      <w:bookmarkStart w:id="140" w:name="_Toc152042319"/>
      <w:bookmarkStart w:id="141" w:name="_Toc152045543"/>
      <w:bookmarkStart w:id="142" w:name="_Toc144974511"/>
      <w:bookmarkStart w:id="143" w:name="_Toc426469883"/>
      <w:bookmarkStart w:id="144" w:name="_Toc383438605"/>
      <w:bookmarkStart w:id="145" w:name="_Toc343525518"/>
      <w:bookmarkStart w:id="146" w:name="_Toc246996931"/>
      <w:bookmarkStart w:id="147" w:name="_Toc247085702"/>
      <w:bookmarkStart w:id="148" w:name="_Toc179632561"/>
      <w:r>
        <w:rPr>
          <w:rFonts w:hint="eastAsia" w:asciiTheme="majorEastAsia" w:hAnsiTheme="majorEastAsia" w:eastAsiaTheme="majorEastAsia" w:cstheme="majorEastAsia"/>
          <w:b/>
          <w:color w:val="auto"/>
          <w:sz w:val="24"/>
          <w:szCs w:val="24"/>
        </w:rPr>
        <w:t>2.1 招标文件的组成</w:t>
      </w:r>
      <w:bookmarkEnd w:id="139"/>
      <w:bookmarkEnd w:id="140"/>
      <w:bookmarkEnd w:id="141"/>
      <w:bookmarkEnd w:id="142"/>
      <w:bookmarkEnd w:id="143"/>
      <w:bookmarkEnd w:id="144"/>
      <w:bookmarkEnd w:id="145"/>
      <w:bookmarkEnd w:id="146"/>
      <w:bookmarkEnd w:id="147"/>
      <w:bookmarkEnd w:id="148"/>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2.1.1 本招标文件包括：</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（1）招标公告；</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（2）供应商须知；</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（3）评标办法；</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（4）合同条款及格式；</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（5）采购需求； </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（6）投标文件的编制要求及参考格式；</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（7）供应商须知前附表规定的构成招标文件的其他材料。</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2.1.2根据本章第2.2款和第2.3款对招标文件所作的澄清、修改，构成招标文件的组成部分。</w:t>
      </w:r>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149" w:name="_Toc247085703"/>
      <w:bookmarkStart w:id="150" w:name="_Toc426469884"/>
      <w:bookmarkStart w:id="151" w:name="_Toc246996189"/>
      <w:bookmarkStart w:id="152" w:name="_Toc343525519"/>
      <w:bookmarkStart w:id="153" w:name="_Toc152045544"/>
      <w:bookmarkStart w:id="154" w:name="_Toc152042320"/>
      <w:bookmarkStart w:id="155" w:name="_Toc179632562"/>
      <w:bookmarkStart w:id="156" w:name="_Toc383438606"/>
      <w:bookmarkStart w:id="157" w:name="_Toc246996932"/>
      <w:bookmarkStart w:id="158" w:name="_Toc144974512"/>
      <w:r>
        <w:rPr>
          <w:rFonts w:hint="eastAsia" w:asciiTheme="majorEastAsia" w:hAnsiTheme="majorEastAsia" w:eastAsiaTheme="majorEastAsia" w:cstheme="majorEastAsia"/>
          <w:b/>
          <w:color w:val="auto"/>
          <w:sz w:val="24"/>
          <w:szCs w:val="24"/>
        </w:rPr>
        <w:t>2.2 招标文件的澄清</w:t>
      </w:r>
      <w:bookmarkEnd w:id="149"/>
      <w:bookmarkEnd w:id="150"/>
      <w:bookmarkEnd w:id="151"/>
      <w:bookmarkEnd w:id="152"/>
      <w:bookmarkEnd w:id="153"/>
      <w:bookmarkEnd w:id="154"/>
      <w:bookmarkEnd w:id="155"/>
      <w:bookmarkEnd w:id="156"/>
      <w:bookmarkEnd w:id="157"/>
      <w:bookmarkEnd w:id="158"/>
      <w:r>
        <w:rPr>
          <w:rFonts w:hint="eastAsia" w:asciiTheme="majorEastAsia" w:hAnsiTheme="majorEastAsia" w:eastAsiaTheme="majorEastAsia" w:cstheme="majorEastAsia"/>
          <w:b/>
          <w:color w:val="auto"/>
          <w:sz w:val="24"/>
          <w:szCs w:val="24"/>
        </w:rPr>
        <w:t xml:space="preserve"> </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招标文件的澄清将在投标截止时间15天前在原公告信息发布媒体公开发布,但不指明问题的来源。如果澄清发布的时间距投标截止时间不足15天，并且澄清内容影响投标文件编制的，将相应延长投标截止时间。</w:t>
      </w:r>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159" w:name="_Toc343525520"/>
      <w:bookmarkStart w:id="160" w:name="_Toc246996190"/>
      <w:bookmarkStart w:id="161" w:name="_Toc179632563"/>
      <w:bookmarkStart w:id="162" w:name="_Toc247085704"/>
      <w:bookmarkStart w:id="163" w:name="_Toc246996933"/>
      <w:bookmarkStart w:id="164" w:name="_Toc426469885"/>
      <w:bookmarkStart w:id="165" w:name="_Toc383438607"/>
      <w:bookmarkStart w:id="166" w:name="_Toc144974513"/>
      <w:bookmarkStart w:id="167" w:name="_Toc152042321"/>
      <w:bookmarkStart w:id="168" w:name="_Toc152045545"/>
      <w:r>
        <w:rPr>
          <w:rFonts w:hint="eastAsia" w:asciiTheme="majorEastAsia" w:hAnsiTheme="majorEastAsia" w:eastAsiaTheme="majorEastAsia" w:cstheme="majorEastAsia"/>
          <w:b/>
          <w:color w:val="auto"/>
          <w:sz w:val="24"/>
          <w:szCs w:val="24"/>
        </w:rPr>
        <w:t>2.3 招标文件的修改</w:t>
      </w:r>
      <w:bookmarkEnd w:id="159"/>
      <w:bookmarkEnd w:id="160"/>
      <w:bookmarkEnd w:id="161"/>
      <w:bookmarkEnd w:id="162"/>
      <w:bookmarkEnd w:id="163"/>
      <w:bookmarkEnd w:id="164"/>
      <w:bookmarkEnd w:id="165"/>
      <w:bookmarkEnd w:id="166"/>
      <w:bookmarkEnd w:id="167"/>
      <w:bookmarkEnd w:id="168"/>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2.4招标文件的重新发布</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招标文件的澄清或修改涉及到申请人的资格条件、评标办法、采购需求等实质性内容时，将重新发布招标公告。</w:t>
      </w:r>
    </w:p>
    <w:p>
      <w:pPr>
        <w:adjustRightInd w:val="0"/>
        <w:snapToGrid w:val="0"/>
        <w:spacing w:line="490" w:lineRule="exact"/>
        <w:outlineLvl w:val="1"/>
        <w:rPr>
          <w:rFonts w:hint="eastAsia" w:asciiTheme="majorEastAsia" w:hAnsiTheme="majorEastAsia" w:eastAsiaTheme="majorEastAsia" w:cstheme="majorEastAsia"/>
          <w:b/>
          <w:color w:val="auto"/>
          <w:sz w:val="24"/>
          <w:szCs w:val="24"/>
        </w:rPr>
      </w:pPr>
      <w:bookmarkStart w:id="169" w:name="_Toc343525522"/>
      <w:bookmarkStart w:id="170" w:name="_Toc383438609"/>
      <w:bookmarkStart w:id="171" w:name="_Toc246996191"/>
      <w:bookmarkStart w:id="172" w:name="_Toc246996934"/>
      <w:bookmarkStart w:id="173" w:name="_Toc247085705"/>
      <w:bookmarkStart w:id="174" w:name="_Toc179632564"/>
      <w:bookmarkStart w:id="175" w:name="_Toc152042322"/>
      <w:bookmarkStart w:id="176" w:name="_Toc152045546"/>
      <w:bookmarkStart w:id="177" w:name="_Toc144974514"/>
      <w:bookmarkStart w:id="178" w:name="_Toc426469887"/>
      <w:bookmarkStart w:id="179" w:name="_Toc4709"/>
      <w:r>
        <w:rPr>
          <w:rFonts w:hint="eastAsia" w:asciiTheme="majorEastAsia" w:hAnsiTheme="majorEastAsia" w:eastAsiaTheme="majorEastAsia" w:cstheme="majorEastAsia"/>
          <w:b/>
          <w:color w:val="auto"/>
          <w:sz w:val="24"/>
          <w:szCs w:val="24"/>
        </w:rPr>
        <w:t>3. 投标</w:t>
      </w:r>
      <w:bookmarkEnd w:id="169"/>
      <w:bookmarkEnd w:id="170"/>
      <w:bookmarkEnd w:id="171"/>
      <w:bookmarkEnd w:id="172"/>
      <w:bookmarkEnd w:id="173"/>
      <w:bookmarkEnd w:id="174"/>
      <w:bookmarkEnd w:id="175"/>
      <w:bookmarkEnd w:id="176"/>
      <w:bookmarkEnd w:id="177"/>
      <w:r>
        <w:rPr>
          <w:rFonts w:hint="eastAsia" w:asciiTheme="majorEastAsia" w:hAnsiTheme="majorEastAsia" w:eastAsiaTheme="majorEastAsia" w:cstheme="majorEastAsia"/>
          <w:b/>
          <w:color w:val="auto"/>
          <w:sz w:val="24"/>
          <w:szCs w:val="24"/>
        </w:rPr>
        <w:t>文件</w:t>
      </w:r>
      <w:bookmarkEnd w:id="178"/>
      <w:bookmarkEnd w:id="179"/>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180" w:name="_Toc179632565"/>
      <w:bookmarkStart w:id="181" w:name="_Toc246996935"/>
      <w:bookmarkStart w:id="182" w:name="_Toc383438610"/>
      <w:bookmarkStart w:id="183" w:name="_Toc246996192"/>
      <w:bookmarkStart w:id="184" w:name="_Toc247085706"/>
      <w:bookmarkStart w:id="185" w:name="_Toc144974515"/>
      <w:bookmarkStart w:id="186" w:name="_Toc152042323"/>
      <w:bookmarkStart w:id="187" w:name="_Toc152045547"/>
      <w:bookmarkStart w:id="188" w:name="_Toc343525523"/>
      <w:bookmarkStart w:id="189" w:name="_Toc426469888"/>
      <w:r>
        <w:rPr>
          <w:rFonts w:hint="eastAsia" w:asciiTheme="majorEastAsia" w:hAnsiTheme="majorEastAsia" w:eastAsiaTheme="majorEastAsia" w:cstheme="majorEastAsia"/>
          <w:b/>
          <w:color w:val="auto"/>
          <w:sz w:val="24"/>
          <w:szCs w:val="24"/>
        </w:rPr>
        <w:t>3.1</w:t>
      </w:r>
      <w:bookmarkEnd w:id="180"/>
      <w:bookmarkEnd w:id="181"/>
      <w:bookmarkEnd w:id="182"/>
      <w:bookmarkEnd w:id="183"/>
      <w:bookmarkEnd w:id="184"/>
      <w:bookmarkEnd w:id="185"/>
      <w:bookmarkEnd w:id="186"/>
      <w:bookmarkEnd w:id="187"/>
      <w:bookmarkEnd w:id="188"/>
      <w:r>
        <w:rPr>
          <w:rFonts w:hint="eastAsia" w:asciiTheme="majorEastAsia" w:hAnsiTheme="majorEastAsia" w:eastAsiaTheme="majorEastAsia" w:cstheme="majorEastAsia"/>
          <w:b/>
          <w:color w:val="auto"/>
          <w:sz w:val="24"/>
          <w:szCs w:val="24"/>
        </w:rPr>
        <w:t>投标文件的组成</w:t>
      </w:r>
      <w:bookmarkEnd w:id="189"/>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投标文件的组成：见供应商须知前附表。</w:t>
      </w:r>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190" w:name="_Toc367785004"/>
      <w:bookmarkStart w:id="191" w:name="_Toc426469889"/>
      <w:r>
        <w:rPr>
          <w:rFonts w:hint="eastAsia" w:asciiTheme="majorEastAsia" w:hAnsiTheme="majorEastAsia" w:eastAsiaTheme="majorEastAsia" w:cstheme="majorEastAsia"/>
          <w:b/>
          <w:color w:val="auto"/>
          <w:sz w:val="24"/>
          <w:szCs w:val="24"/>
        </w:rPr>
        <w:t>3.2</w:t>
      </w:r>
      <w:bookmarkEnd w:id="190"/>
      <w:r>
        <w:rPr>
          <w:rFonts w:hint="eastAsia" w:asciiTheme="majorEastAsia" w:hAnsiTheme="majorEastAsia" w:eastAsiaTheme="majorEastAsia" w:cstheme="majorEastAsia"/>
          <w:b/>
          <w:color w:val="auto"/>
          <w:sz w:val="24"/>
          <w:szCs w:val="24"/>
        </w:rPr>
        <w:t>投标报价</w:t>
      </w:r>
      <w:bookmarkEnd w:id="191"/>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3.2.1供应商应按招标文件规定的供货及服务要求、责任范围和合同条件，以人民币进行报价。</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3.2.2供应商在投标文件中只能有一个投标报价，且不得超过招标公告中载明的最高限价。任何包含价格调整要求和条件的投标报价均将视为无效报价。</w:t>
      </w:r>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192" w:name="_Toc383438612"/>
      <w:bookmarkStart w:id="193" w:name="_Toc152045549"/>
      <w:bookmarkStart w:id="194" w:name="_Toc343525525"/>
      <w:bookmarkStart w:id="195" w:name="_Toc426469890"/>
      <w:bookmarkStart w:id="196" w:name="_Toc246996194"/>
      <w:bookmarkStart w:id="197" w:name="_Toc152042325"/>
      <w:bookmarkStart w:id="198" w:name="_Toc179632567"/>
      <w:bookmarkStart w:id="199" w:name="_Toc247085708"/>
      <w:bookmarkStart w:id="200" w:name="_Toc144974517"/>
      <w:bookmarkStart w:id="201" w:name="_Toc246996937"/>
      <w:r>
        <w:rPr>
          <w:rFonts w:hint="eastAsia" w:asciiTheme="majorEastAsia" w:hAnsiTheme="majorEastAsia" w:eastAsiaTheme="majorEastAsia" w:cstheme="majorEastAsia"/>
          <w:b/>
          <w:color w:val="auto"/>
          <w:sz w:val="24"/>
          <w:szCs w:val="24"/>
        </w:rPr>
        <w:t>3.3投标有效期</w:t>
      </w:r>
      <w:bookmarkEnd w:id="192"/>
      <w:bookmarkEnd w:id="193"/>
      <w:bookmarkEnd w:id="194"/>
      <w:bookmarkEnd w:id="195"/>
      <w:bookmarkEnd w:id="196"/>
      <w:bookmarkEnd w:id="197"/>
      <w:bookmarkEnd w:id="198"/>
      <w:bookmarkEnd w:id="199"/>
      <w:bookmarkEnd w:id="200"/>
      <w:bookmarkEnd w:id="201"/>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3.3.1在供应商须知前附表规定的投标有效期内，供应商不得要求撤销或修改其投标文件。</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3.3.2出现特殊情况需要延长投标有效期的，招标人将以书面形式通知供应商。供应商拒绝延长投标有效期的，其投标失效。</w:t>
      </w:r>
    </w:p>
    <w:p>
      <w:pPr>
        <w:adjustRightInd w:val="0"/>
        <w:snapToGrid w:val="0"/>
        <w:spacing w:line="490" w:lineRule="exact"/>
        <w:rPr>
          <w:rFonts w:hint="eastAsia" w:asciiTheme="majorEastAsia" w:hAnsiTheme="majorEastAsia" w:eastAsiaTheme="majorEastAsia" w:cstheme="majorEastAsia"/>
          <w:b/>
          <w:color w:val="auto"/>
          <w:sz w:val="24"/>
          <w:szCs w:val="24"/>
        </w:rPr>
      </w:pPr>
      <w:bookmarkStart w:id="202" w:name="_Toc426469892"/>
      <w:r>
        <w:rPr>
          <w:rFonts w:hint="eastAsia" w:asciiTheme="majorEastAsia" w:hAnsiTheme="majorEastAsia" w:eastAsiaTheme="majorEastAsia" w:cstheme="majorEastAsia"/>
          <w:b/>
          <w:color w:val="auto"/>
          <w:sz w:val="24"/>
          <w:szCs w:val="24"/>
        </w:rPr>
        <w:t>3.4投标文件的编制</w:t>
      </w:r>
      <w:bookmarkEnd w:id="202"/>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3.4.1供应商可以按照第六章“投标文件的编制要求及参考格式”要求编制投标文件。需另行增加的相关内容和材料应编入投标文件相应章节，作为投标文件的组成部分。</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3.4.2供应商应对招标文件中的资格要求、</w:t>
      </w:r>
      <w:r>
        <w:rPr>
          <w:rFonts w:hint="eastAsia" w:asciiTheme="majorEastAsia" w:hAnsiTheme="majorEastAsia" w:eastAsiaTheme="majorEastAsia" w:cstheme="majorEastAsia"/>
          <w:color w:val="auto"/>
          <w:sz w:val="24"/>
          <w:szCs w:val="24"/>
          <w:lang w:eastAsia="zh-CN"/>
        </w:rPr>
        <w:t>服务期限</w:t>
      </w:r>
      <w:r>
        <w:rPr>
          <w:rFonts w:hint="eastAsia" w:asciiTheme="majorEastAsia" w:hAnsiTheme="majorEastAsia" w:eastAsiaTheme="majorEastAsia" w:cstheme="majorEastAsia"/>
          <w:color w:val="auto"/>
          <w:sz w:val="24"/>
          <w:szCs w:val="24"/>
        </w:rPr>
        <w:t>、投标有效期、技术、服务标准和要求等实质性内容作出响应，并根据评审因素提供相应的证明材料。</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3.4.3 投标文件的数量：见供应商须知前附表</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bookmarkStart w:id="203" w:name="_Toc367785016"/>
      <w:bookmarkStart w:id="204" w:name="_Toc426469894"/>
      <w:r>
        <w:rPr>
          <w:rFonts w:hint="eastAsia" w:asciiTheme="majorEastAsia" w:hAnsiTheme="majorEastAsia" w:eastAsiaTheme="majorEastAsia" w:cstheme="majorEastAsia"/>
          <w:color w:val="auto"/>
          <w:sz w:val="24"/>
          <w:szCs w:val="24"/>
        </w:rPr>
        <w:t>3.4.4投标文件的签署：见供应商须知前附表</w:t>
      </w:r>
    </w:p>
    <w:bookmarkEnd w:id="73"/>
    <w:bookmarkEnd w:id="203"/>
    <w:bookmarkEnd w:id="204"/>
    <w:p>
      <w:pPr>
        <w:adjustRightInd w:val="0"/>
        <w:snapToGrid w:val="0"/>
        <w:spacing w:line="490" w:lineRule="exact"/>
        <w:outlineLvl w:val="1"/>
        <w:rPr>
          <w:rFonts w:hint="eastAsia" w:asciiTheme="majorEastAsia" w:hAnsiTheme="majorEastAsia" w:eastAsiaTheme="majorEastAsia" w:cstheme="majorEastAsia"/>
          <w:color w:val="auto"/>
          <w:sz w:val="24"/>
          <w:szCs w:val="24"/>
        </w:rPr>
      </w:pPr>
      <w:bookmarkStart w:id="205" w:name="_Toc12576"/>
      <w:bookmarkStart w:id="206" w:name="_Toc390099019"/>
      <w:bookmarkStart w:id="207" w:name="_Toc152042364"/>
      <w:bookmarkStart w:id="208" w:name="_Toc247085745"/>
      <w:bookmarkStart w:id="209" w:name="_Toc343525562"/>
      <w:bookmarkStart w:id="210" w:name="_Toc383625994"/>
      <w:bookmarkStart w:id="211" w:name="_Toc383623673"/>
      <w:bookmarkStart w:id="212" w:name="_Toc390098841"/>
      <w:bookmarkStart w:id="213" w:name="_Toc390246906"/>
      <w:bookmarkStart w:id="214" w:name="_Toc246996230"/>
      <w:bookmarkStart w:id="215" w:name="_Toc383623945"/>
      <w:bookmarkStart w:id="216" w:name="_Toc246996973"/>
      <w:bookmarkStart w:id="217" w:name="_Toc179632605"/>
      <w:bookmarkStart w:id="218" w:name="_Toc144974554"/>
      <w:bookmarkStart w:id="219" w:name="_Toc383679747"/>
      <w:bookmarkStart w:id="220" w:name="_Toc383587457"/>
      <w:bookmarkStart w:id="221" w:name="_Toc152045587"/>
      <w:bookmarkStart w:id="222" w:name="_Toc383698648"/>
      <w:bookmarkStart w:id="223" w:name="_Toc383438646"/>
      <w:r>
        <w:rPr>
          <w:rFonts w:hint="eastAsia" w:asciiTheme="majorEastAsia" w:hAnsiTheme="majorEastAsia" w:eastAsiaTheme="majorEastAsia" w:cstheme="majorEastAsia"/>
          <w:color w:val="auto"/>
          <w:sz w:val="24"/>
          <w:szCs w:val="24"/>
        </w:rPr>
        <w:t>4.投标</w:t>
      </w:r>
      <w:bookmarkEnd w:id="205"/>
    </w:p>
    <w:p>
      <w:pPr>
        <w:adjustRightInd w:val="0"/>
        <w:snapToGrid w:val="0"/>
        <w:spacing w:line="490" w:lineRule="exact"/>
        <w:rPr>
          <w:rFonts w:hint="eastAsia" w:asciiTheme="majorEastAsia" w:hAnsiTheme="majorEastAsia" w:eastAsiaTheme="majorEastAsia" w:cstheme="majorEastAsia"/>
          <w:b/>
          <w:bCs/>
          <w:color w:val="auto"/>
          <w:sz w:val="24"/>
          <w:szCs w:val="24"/>
        </w:rPr>
      </w:pPr>
      <w:r>
        <w:rPr>
          <w:rFonts w:hint="eastAsia" w:asciiTheme="majorEastAsia" w:hAnsiTheme="majorEastAsia" w:eastAsiaTheme="majorEastAsia" w:cstheme="majorEastAsia"/>
          <w:b/>
          <w:color w:val="auto"/>
          <w:sz w:val="24"/>
          <w:szCs w:val="24"/>
        </w:rPr>
        <w:t>4.1</w:t>
      </w:r>
      <w:r>
        <w:rPr>
          <w:rFonts w:hint="eastAsia" w:asciiTheme="majorEastAsia" w:hAnsiTheme="majorEastAsia" w:eastAsiaTheme="majorEastAsia" w:cstheme="majorEastAsia"/>
          <w:b/>
          <w:bCs/>
          <w:color w:val="auto"/>
          <w:sz w:val="24"/>
          <w:szCs w:val="24"/>
        </w:rPr>
        <w:t>投标文件的上传</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供应商应充分考虑网络及系统平台可能存在的非正常情况等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4.2投标文件的修改与撤回</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4.2.1在投标截止时间前，供应商可以修改或撤回已递交的投标文件。具体操作方法见《江苏省政府采购管理交易系统（苏采云）供应商操作手册》。</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4.2.2修改的投标文件应按照本招标文件规定进行编制和重新上传。</w:t>
      </w:r>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4.3投标文件的确认</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供应商可以通过江苏省政府采购管理交易系统（苏采云）多次上传投标文件，以招标文件规定的投标截止时间前，江苏省政府采购管理交易系统（苏采云）接受到的最后一份投标文件为准。</w:t>
      </w:r>
    </w:p>
    <w:p>
      <w:pPr>
        <w:adjustRightInd w:val="0"/>
        <w:snapToGrid w:val="0"/>
        <w:spacing w:line="490" w:lineRule="exact"/>
        <w:outlineLvl w:val="1"/>
        <w:rPr>
          <w:rFonts w:hint="eastAsia" w:asciiTheme="majorEastAsia" w:hAnsiTheme="majorEastAsia" w:eastAsiaTheme="majorEastAsia" w:cstheme="majorEastAsia"/>
          <w:color w:val="auto"/>
          <w:sz w:val="24"/>
          <w:szCs w:val="24"/>
        </w:rPr>
      </w:pPr>
      <w:bookmarkStart w:id="224" w:name="_Toc26062"/>
      <w:r>
        <w:rPr>
          <w:rFonts w:hint="eastAsia" w:asciiTheme="majorEastAsia" w:hAnsiTheme="majorEastAsia" w:eastAsiaTheme="majorEastAsia" w:cstheme="majorEastAsia"/>
          <w:color w:val="auto"/>
          <w:sz w:val="24"/>
          <w:szCs w:val="24"/>
        </w:rPr>
        <w:t>5. 开标</w:t>
      </w:r>
      <w:bookmarkEnd w:id="224"/>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5.1 开标时间和地点</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5.1.1开标时间和地点：见供应商须知前附表。</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5.1.2开标活动在江苏政府采购“苏采云”系统“开标大厅”内公开进行，供应商应当按照《江苏省政府采购管理交易系统（苏采云）供应商操作手册》规定，参加开标活动。</w:t>
      </w:r>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5.2 不见面开标程序</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（1）系统登录。供应商应在投标截止时间前登录开标大厅。</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（2）供应商解密投标文件。按照系统内提示，在规定的时间内完成投标文件的解密。</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（3）唱标。</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（4）开标记录确认。</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（5）开标结束。</w:t>
      </w:r>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5.3特殊情况的处置</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5.3.1在投标截止时间后，开标系统出现下列情况之一时，项目未开标的，暂停开标活动；正在开标的，立即暂停开标，待系统恢复正常后再组织开标。</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（1）系统服务器发生故障，无法访问或无法使用系统； </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（2）系统的软件或数据库出现错误，不能进行正常操作； </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（3）系统发现有安全漏洞，有潜在的泄密危险； </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（4）其他无法保证招投标过程公平和信息安全的情形。</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5.3.2因供应商自身原因造成投标文件无法解密的，视为撤销投标文件。</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5.3.3供应商对开标过程和开标记录有疑义的，可向招标人或者采购代理机构提出。</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5.3.4供应商未在开标系统中确认开标结果的，视同认可开标结果。</w:t>
      </w:r>
    </w:p>
    <w:p>
      <w:pPr>
        <w:adjustRightInd w:val="0"/>
        <w:snapToGrid w:val="0"/>
        <w:spacing w:line="490" w:lineRule="exact"/>
        <w:outlineLvl w:val="1"/>
        <w:rPr>
          <w:rFonts w:hint="eastAsia" w:asciiTheme="majorEastAsia" w:hAnsiTheme="majorEastAsia" w:eastAsiaTheme="majorEastAsia" w:cstheme="majorEastAsia"/>
          <w:color w:val="auto"/>
          <w:sz w:val="24"/>
          <w:szCs w:val="24"/>
        </w:rPr>
      </w:pPr>
      <w:bookmarkStart w:id="225" w:name="_Toc29463"/>
      <w:r>
        <w:rPr>
          <w:rFonts w:hint="eastAsia" w:asciiTheme="majorEastAsia" w:hAnsiTheme="majorEastAsia" w:eastAsiaTheme="majorEastAsia" w:cstheme="majorEastAsia"/>
          <w:color w:val="auto"/>
          <w:sz w:val="24"/>
          <w:szCs w:val="24"/>
        </w:rPr>
        <w:t>6. 评标</w:t>
      </w:r>
      <w:bookmarkEnd w:id="225"/>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6.1 评标委员会</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6.1.1评标由招标人依法组建的评标委员会负责。评标委员会由招标人代表，以及有关技术、经济等方面的专家组成。具体人数见供应商须知前附表。</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6.1.2评标委员会成员有下列情形之一的，应当回避：</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（1）参加采购活动前三年内,与供应商存在劳动关系,或者担任过供应商的董事、监事,或者是供应商的控股股东或实际控制人；</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（2）与供应商的法定代表人或者负责人有夫妻、直系血亲、三代以内旁系血亲或者近姻亲关系；</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（3）与供应商有其他可能影响政府采购活动公平、公正进行的关系；</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（4）法律、行政法规规定的其他条件。</w:t>
      </w:r>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6.2 评标</w:t>
      </w:r>
    </w:p>
    <w:p>
      <w:pPr>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rPr>
        <w:t>评标活动遵循公正、客观、审慎的原则。</w:t>
      </w:r>
      <w:r>
        <w:rPr>
          <w:rFonts w:hint="eastAsia" w:asciiTheme="majorEastAsia" w:hAnsiTheme="majorEastAsia" w:eastAsiaTheme="majorEastAsia" w:cstheme="majorEastAsia"/>
          <w:color w:val="auto"/>
          <w:sz w:val="24"/>
          <w:szCs w:val="24"/>
        </w:rPr>
        <w:t>评标委员会严格按照第三章“评标办法”规定的评标方法、评标程序和评标标准进行独立评审。第三章“评标办法”没有规定的评标标准，不得作为评标依据。</w:t>
      </w:r>
    </w:p>
    <w:p>
      <w:pPr>
        <w:adjustRightInd w:val="0"/>
        <w:snapToGrid w:val="0"/>
        <w:spacing w:line="490" w:lineRule="exact"/>
        <w:outlineLvl w:val="1"/>
        <w:rPr>
          <w:rFonts w:hint="eastAsia" w:asciiTheme="majorEastAsia" w:hAnsiTheme="majorEastAsia" w:eastAsiaTheme="majorEastAsia" w:cstheme="majorEastAsia"/>
          <w:color w:val="auto"/>
          <w:sz w:val="24"/>
          <w:szCs w:val="24"/>
        </w:rPr>
      </w:pPr>
      <w:bookmarkStart w:id="226" w:name="_Toc28529"/>
      <w:r>
        <w:rPr>
          <w:rFonts w:hint="eastAsia" w:asciiTheme="majorEastAsia" w:hAnsiTheme="majorEastAsia" w:eastAsiaTheme="majorEastAsia" w:cstheme="majorEastAsia"/>
          <w:color w:val="auto"/>
          <w:sz w:val="24"/>
          <w:szCs w:val="24"/>
        </w:rPr>
        <w:t>7.中标</w:t>
      </w:r>
      <w:bookmarkEnd w:id="226"/>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7.1确定中标人</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7.1.1自收到评标报告之日起５个工作日内，在评标报告确定的中标候选人名单中按顺序确定中标人。</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7.1.2排名第一的中标候选人出现下列情形之一的，除合格供应商的数量不符合法定的要求外，招标人将按照评标委员会提出的中标候选人名单排序依次确定其他中标候选人为中标人。</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（1）因不可抗力或者自身原因不能履行合同的；</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（2）经过财政部门处理投诉举报、监督检查，认定中标无效的；</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（3）拒绝与招标人签订合同的。</w:t>
      </w:r>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7.2中标公告及中标通知书</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7.2.1自中标人确定之日起2个工作日内，在供应商须知前附表规定的媒介上公告中标结果，公告期限为1个工作日。</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7.2.2在公告中标结果的同时，向中标人发出中标通知书。中标通知书对招标人和中标人具有同等法律效力。  </w:t>
      </w:r>
    </w:p>
    <w:p>
      <w:pPr>
        <w:adjustRightInd w:val="0"/>
        <w:snapToGrid w:val="0"/>
        <w:spacing w:line="490" w:lineRule="exact"/>
        <w:outlineLvl w:val="1"/>
        <w:rPr>
          <w:rFonts w:hint="eastAsia" w:asciiTheme="majorEastAsia" w:hAnsiTheme="majorEastAsia" w:eastAsiaTheme="majorEastAsia" w:cstheme="majorEastAsia"/>
          <w:color w:val="auto"/>
          <w:sz w:val="24"/>
          <w:szCs w:val="24"/>
        </w:rPr>
      </w:pPr>
      <w:bookmarkStart w:id="227" w:name="_Toc23349"/>
      <w:r>
        <w:rPr>
          <w:rFonts w:hint="eastAsia" w:asciiTheme="majorEastAsia" w:hAnsiTheme="majorEastAsia" w:eastAsiaTheme="majorEastAsia" w:cstheme="majorEastAsia"/>
          <w:color w:val="auto"/>
          <w:sz w:val="24"/>
          <w:szCs w:val="24"/>
        </w:rPr>
        <w:t>8.合同</w:t>
      </w:r>
      <w:bookmarkEnd w:id="227"/>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8.1 履约保证金</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8.1.1中标人应按供应商须知前附表规定的履约保证金的形式、金额和提交时间向招标人提交履约保证金。</w:t>
      </w:r>
    </w:p>
    <w:p>
      <w:pPr>
        <w:adjustRightInd w:val="0"/>
        <w:snapToGrid w:val="0"/>
        <w:spacing w:line="490" w:lineRule="exact"/>
        <w:ind w:firstLine="480"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color w:val="auto"/>
          <w:sz w:val="24"/>
          <w:szCs w:val="24"/>
        </w:rPr>
        <w:t>8.1.2中标人不能按本招标文件要求提交履约保证金的，视为放弃中标，给招标人造成损失的，中标人还应当予以赔偿。</w:t>
      </w:r>
    </w:p>
    <w:p>
      <w:pPr>
        <w:adjustRightInd w:val="0"/>
        <w:snapToGrid w:val="0"/>
        <w:spacing w:line="49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8.2签订合同</w:t>
      </w:r>
    </w:p>
    <w:p>
      <w:pPr>
        <w:adjustRightInd w:val="0"/>
        <w:snapToGrid w:val="0"/>
        <w:spacing w:line="49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招标人和中标人在供应商须知前附表规定的时间内，根据招标文件和中标人的投标文件订立书面合同。中标人无正当理由拒签合同的，招标人取消其中标资格；给招标人造成损失的，中标人还应当对予以赔偿。</w:t>
      </w:r>
    </w:p>
    <w:p>
      <w:pPr>
        <w:adjustRightInd w:val="0"/>
        <w:snapToGrid w:val="0"/>
        <w:spacing w:line="490" w:lineRule="exact"/>
        <w:outlineLvl w:val="1"/>
        <w:rPr>
          <w:rFonts w:hint="eastAsia" w:asciiTheme="majorEastAsia" w:hAnsiTheme="majorEastAsia" w:eastAsiaTheme="majorEastAsia" w:cstheme="majorEastAsia"/>
          <w:color w:val="auto"/>
          <w:sz w:val="24"/>
          <w:szCs w:val="24"/>
        </w:rPr>
      </w:pPr>
      <w:bookmarkStart w:id="228" w:name="_Toc19745"/>
      <w:r>
        <w:rPr>
          <w:rFonts w:hint="eastAsia" w:asciiTheme="majorEastAsia" w:hAnsiTheme="majorEastAsia" w:eastAsiaTheme="majorEastAsia" w:cstheme="majorEastAsia"/>
          <w:color w:val="auto"/>
          <w:sz w:val="24"/>
          <w:szCs w:val="24"/>
        </w:rPr>
        <w:t>9. 需要补充的其他内容</w:t>
      </w:r>
      <w:bookmarkEnd w:id="228"/>
    </w:p>
    <w:p>
      <w:pPr>
        <w:spacing w:line="490" w:lineRule="exact"/>
        <w:ind w:firstLine="480"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color w:val="auto"/>
          <w:sz w:val="24"/>
        </w:rPr>
        <w:t>需要补充的其他内容：见供应商须知前附表。</w:t>
      </w:r>
      <w:bookmarkEnd w:id="46"/>
      <w:bookmarkEnd w:id="47"/>
      <w:bookmarkEnd w:id="48"/>
      <w:bookmarkEnd w:id="49"/>
      <w:bookmarkEnd w:id="50"/>
      <w:bookmarkEnd w:id="51"/>
      <w:bookmarkEnd w:id="52"/>
      <w:bookmarkEnd w:id="53"/>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Start w:id="229" w:name="_Hlt26580838"/>
      <w:bookmarkEnd w:id="229"/>
      <w:bookmarkStart w:id="230" w:name="_Hlt26671343"/>
      <w:bookmarkEnd w:id="230"/>
      <w:bookmarkStart w:id="231" w:name="_Hlt26609391"/>
      <w:bookmarkEnd w:id="231"/>
      <w:bookmarkStart w:id="232" w:name="_Hlt26782999"/>
      <w:bookmarkEnd w:id="232"/>
      <w:bookmarkStart w:id="233" w:name="_Hlt26955064"/>
      <w:bookmarkEnd w:id="233"/>
      <w:bookmarkStart w:id="234" w:name="_Hlt26671372"/>
      <w:bookmarkEnd w:id="234"/>
      <w:bookmarkStart w:id="235" w:name="_Hlt24879081"/>
      <w:bookmarkEnd w:id="235"/>
      <w:bookmarkStart w:id="236" w:name="_Hlt26955056"/>
      <w:bookmarkEnd w:id="236"/>
    </w:p>
    <w:p>
      <w:pPr>
        <w:widowControl/>
        <w:jc w:val="left"/>
        <w:rPr>
          <w:rFonts w:hint="eastAsia" w:asciiTheme="majorEastAsia" w:hAnsiTheme="majorEastAsia" w:eastAsiaTheme="majorEastAsia" w:cstheme="majorEastAsia"/>
          <w:color w:val="auto"/>
        </w:rPr>
      </w:pPr>
    </w:p>
    <w:p>
      <w:pPr>
        <w:rPr>
          <w:rFonts w:hint="eastAsia" w:asciiTheme="majorEastAsia" w:hAnsiTheme="majorEastAsia" w:eastAsiaTheme="majorEastAsia" w:cstheme="majorEastAsia"/>
          <w:b/>
          <w:color w:val="auto"/>
          <w:sz w:val="32"/>
          <w:szCs w:val="32"/>
        </w:rPr>
      </w:pPr>
      <w:r>
        <w:rPr>
          <w:rFonts w:hint="eastAsia" w:asciiTheme="majorEastAsia" w:hAnsiTheme="majorEastAsia" w:eastAsiaTheme="majorEastAsia" w:cstheme="majorEastAsia"/>
          <w:b/>
          <w:color w:val="auto"/>
          <w:sz w:val="32"/>
          <w:szCs w:val="32"/>
        </w:rPr>
        <w:br w:type="page"/>
      </w:r>
    </w:p>
    <w:p>
      <w:pPr>
        <w:pStyle w:val="35"/>
        <w:spacing w:line="360" w:lineRule="exact"/>
        <w:ind w:left="-2" w:leftChars="-1" w:firstLine="643" w:firstLineChars="200"/>
        <w:jc w:val="center"/>
        <w:outlineLvl w:val="0"/>
        <w:rPr>
          <w:rFonts w:hint="eastAsia" w:asciiTheme="majorEastAsia" w:hAnsiTheme="majorEastAsia" w:eastAsiaTheme="majorEastAsia" w:cstheme="majorEastAsia"/>
          <w:b/>
          <w:color w:val="auto"/>
          <w:sz w:val="32"/>
          <w:szCs w:val="32"/>
        </w:rPr>
      </w:pPr>
      <w:bookmarkStart w:id="237" w:name="_Toc4258"/>
      <w:r>
        <w:rPr>
          <w:rFonts w:hint="eastAsia" w:asciiTheme="majorEastAsia" w:hAnsiTheme="majorEastAsia" w:eastAsiaTheme="majorEastAsia" w:cstheme="majorEastAsia"/>
          <w:b/>
          <w:color w:val="auto"/>
          <w:sz w:val="32"/>
          <w:szCs w:val="32"/>
        </w:rPr>
        <w:t>第三章 资格审查及评标办法</w:t>
      </w:r>
      <w:bookmarkEnd w:id="237"/>
    </w:p>
    <w:p>
      <w:pPr>
        <w:rPr>
          <w:rFonts w:hint="eastAsia" w:ascii="宋体" w:hAnsi="宋体" w:eastAsia="宋体" w:cs="宋体"/>
          <w:color w:val="auto"/>
          <w:sz w:val="28"/>
          <w:szCs w:val="28"/>
        </w:rPr>
      </w:pPr>
      <w:bookmarkStart w:id="238" w:name="_Toc247085746"/>
      <w:bookmarkStart w:id="239" w:name="_Toc383438647"/>
      <w:bookmarkStart w:id="240" w:name="_Toc426469920"/>
      <w:bookmarkStart w:id="241" w:name="_Toc152045588"/>
      <w:bookmarkStart w:id="242" w:name="_Toc343525563"/>
      <w:bookmarkStart w:id="243" w:name="_Toc152042365"/>
      <w:bookmarkStart w:id="244" w:name="_Toc246996974"/>
      <w:bookmarkStart w:id="245" w:name="_Toc246996231"/>
      <w:bookmarkStart w:id="246" w:name="_Toc179632606"/>
      <w:bookmarkStart w:id="247" w:name="_Toc144974555"/>
      <w:r>
        <w:rPr>
          <w:rFonts w:hint="eastAsia" w:asciiTheme="majorEastAsia" w:hAnsiTheme="majorEastAsia" w:eastAsiaTheme="majorEastAsia" w:cstheme="majorEastAsia"/>
          <w:color w:val="auto"/>
          <w:sz w:val="28"/>
          <w:szCs w:val="28"/>
        </w:rPr>
        <w:t>资</w:t>
      </w:r>
      <w:r>
        <w:rPr>
          <w:rFonts w:hint="eastAsia" w:ascii="宋体" w:hAnsi="宋体" w:eastAsia="宋体" w:cs="宋体"/>
          <w:color w:val="auto"/>
          <w:sz w:val="28"/>
          <w:szCs w:val="28"/>
        </w:rPr>
        <w:t>格审查和评标办法前附表</w:t>
      </w:r>
      <w:bookmarkEnd w:id="238"/>
      <w:bookmarkEnd w:id="239"/>
      <w:bookmarkEnd w:id="240"/>
      <w:bookmarkEnd w:id="241"/>
      <w:bookmarkEnd w:id="242"/>
      <w:bookmarkEnd w:id="243"/>
      <w:bookmarkEnd w:id="244"/>
      <w:bookmarkEnd w:id="245"/>
      <w:bookmarkEnd w:id="246"/>
      <w:bookmarkEnd w:id="247"/>
      <w:bookmarkStart w:id="248" w:name="_Toc247085747"/>
      <w:bookmarkStart w:id="249" w:name="_Toc179632607"/>
      <w:bookmarkStart w:id="250" w:name="_Toc343525564"/>
      <w:bookmarkStart w:id="251" w:name="_Toc246996975"/>
      <w:bookmarkStart w:id="252" w:name="_Toc152045589"/>
      <w:bookmarkStart w:id="253" w:name="_Toc246996232"/>
      <w:bookmarkStart w:id="254" w:name="_Toc152042366"/>
      <w:bookmarkStart w:id="255" w:name="_Toc144974556"/>
    </w:p>
    <w:tbl>
      <w:tblPr>
        <w:tblStyle w:val="25"/>
        <w:tblW w:w="8709"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546"/>
        <w:gridCol w:w="666"/>
        <w:gridCol w:w="2533"/>
        <w:gridCol w:w="4964"/>
      </w:tblGrid>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212" w:type="dxa"/>
            <w:gridSpan w:val="2"/>
            <w:tcBorders>
              <w:top w:val="outset" w:color="auto" w:sz="6" w:space="0"/>
              <w:left w:val="outset" w:color="auto" w:sz="6" w:space="0"/>
              <w:bottom w:val="outset" w:color="auto" w:sz="6" w:space="0"/>
              <w:right w:val="outset" w:color="auto" w:sz="6" w:space="0"/>
            </w:tcBorders>
            <w:vAlign w:val="center"/>
          </w:tcPr>
          <w:p>
            <w:pPr>
              <w:spacing w:line="400" w:lineRule="exact"/>
              <w:jc w:val="center"/>
              <w:rPr>
                <w:rFonts w:hint="eastAsia" w:ascii="宋体" w:hAnsi="宋体" w:eastAsia="宋体" w:cs="宋体"/>
                <w:color w:val="auto"/>
              </w:rPr>
            </w:pPr>
            <w:r>
              <w:rPr>
                <w:rFonts w:hint="eastAsia" w:ascii="宋体" w:hAnsi="宋体" w:eastAsia="宋体" w:cs="宋体"/>
                <w:color w:val="auto"/>
              </w:rPr>
              <w:t>条款号</w:t>
            </w:r>
          </w:p>
        </w:tc>
        <w:tc>
          <w:tcPr>
            <w:tcW w:w="2533" w:type="dxa"/>
            <w:tcBorders>
              <w:top w:val="outset" w:color="auto" w:sz="6" w:space="0"/>
              <w:left w:val="outset" w:color="auto" w:sz="6" w:space="0"/>
              <w:bottom w:val="outset" w:color="auto" w:sz="6" w:space="0"/>
              <w:right w:val="outset" w:color="auto" w:sz="6" w:space="0"/>
            </w:tcBorders>
            <w:vAlign w:val="center"/>
          </w:tcPr>
          <w:p>
            <w:pPr>
              <w:spacing w:line="400" w:lineRule="exact"/>
              <w:jc w:val="center"/>
              <w:rPr>
                <w:rFonts w:hint="eastAsia" w:ascii="宋体" w:hAnsi="宋体" w:eastAsia="宋体" w:cs="宋体"/>
                <w:color w:val="auto"/>
              </w:rPr>
            </w:pPr>
            <w:r>
              <w:rPr>
                <w:rFonts w:hint="eastAsia" w:ascii="宋体" w:hAnsi="宋体" w:eastAsia="宋体" w:cs="宋体"/>
                <w:color w:val="auto"/>
              </w:rPr>
              <w:t>评审因素</w:t>
            </w:r>
          </w:p>
        </w:tc>
        <w:tc>
          <w:tcPr>
            <w:tcW w:w="4964" w:type="dxa"/>
            <w:tcBorders>
              <w:top w:val="outset" w:color="auto" w:sz="6" w:space="0"/>
              <w:left w:val="outset" w:color="auto" w:sz="6" w:space="0"/>
              <w:bottom w:val="outset" w:color="auto" w:sz="6" w:space="0"/>
              <w:right w:val="outset" w:color="auto" w:sz="6" w:space="0"/>
            </w:tcBorders>
            <w:vAlign w:val="center"/>
          </w:tcPr>
          <w:p>
            <w:pPr>
              <w:spacing w:line="400" w:lineRule="exact"/>
              <w:jc w:val="center"/>
              <w:rPr>
                <w:rFonts w:hint="eastAsia" w:ascii="宋体" w:hAnsi="宋体" w:eastAsia="宋体" w:cs="宋体"/>
                <w:color w:val="auto"/>
              </w:rPr>
            </w:pPr>
            <w:r>
              <w:rPr>
                <w:rFonts w:hint="eastAsia" w:ascii="宋体" w:hAnsi="宋体" w:eastAsia="宋体" w:cs="宋体"/>
                <w:color w:val="auto"/>
              </w:rPr>
              <w:t>评审标准</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546" w:type="dxa"/>
            <w:vMerge w:val="restart"/>
            <w:tcBorders>
              <w:top w:val="outset" w:color="auto" w:sz="6" w:space="0"/>
              <w:left w:val="outset" w:color="auto" w:sz="6" w:space="0"/>
              <w:right w:val="outset" w:color="auto" w:sz="6" w:space="0"/>
            </w:tcBorders>
            <w:vAlign w:val="center"/>
          </w:tcPr>
          <w:p>
            <w:pPr>
              <w:spacing w:line="360" w:lineRule="exact"/>
              <w:jc w:val="center"/>
              <w:rPr>
                <w:rFonts w:hint="eastAsia" w:ascii="宋体" w:hAnsi="宋体" w:eastAsia="宋体" w:cs="宋体"/>
                <w:color w:val="auto"/>
                <w:spacing w:val="-40"/>
              </w:rPr>
            </w:pPr>
            <w:r>
              <w:rPr>
                <w:rFonts w:hint="eastAsia" w:ascii="宋体" w:hAnsi="宋体" w:eastAsia="宋体" w:cs="宋体"/>
                <w:color w:val="auto"/>
                <w:spacing w:val="-14"/>
              </w:rPr>
              <w:t>1.2</w:t>
            </w:r>
          </w:p>
        </w:tc>
        <w:tc>
          <w:tcPr>
            <w:tcW w:w="666" w:type="dxa"/>
            <w:vMerge w:val="restart"/>
            <w:tcBorders>
              <w:top w:val="outset" w:color="auto" w:sz="6" w:space="0"/>
              <w:left w:val="outset" w:color="auto" w:sz="6" w:space="0"/>
              <w:right w:val="outset" w:color="auto" w:sz="6" w:space="0"/>
            </w:tcBorders>
            <w:vAlign w:val="center"/>
          </w:tcPr>
          <w:p>
            <w:pPr>
              <w:jc w:val="center"/>
              <w:rPr>
                <w:rFonts w:hint="eastAsia" w:ascii="宋体" w:hAnsi="宋体" w:eastAsia="宋体" w:cs="宋体"/>
                <w:color w:val="auto"/>
              </w:rPr>
            </w:pPr>
            <w:r>
              <w:rPr>
                <w:rFonts w:hint="eastAsia" w:ascii="宋体" w:hAnsi="宋体" w:eastAsia="宋体" w:cs="宋体"/>
                <w:color w:val="auto"/>
              </w:rPr>
              <w:t>资格审查</w:t>
            </w:r>
          </w:p>
        </w:tc>
        <w:tc>
          <w:tcPr>
            <w:tcW w:w="2533" w:type="dxa"/>
            <w:tcBorders>
              <w:top w:val="outset" w:color="auto" w:sz="6" w:space="0"/>
              <w:left w:val="outset" w:color="auto" w:sz="6" w:space="0"/>
              <w:bottom w:val="outset" w:color="auto" w:sz="6" w:space="0"/>
              <w:right w:val="outset" w:color="auto" w:sz="6" w:space="0"/>
            </w:tcBorders>
            <w:vAlign w:val="center"/>
          </w:tcPr>
          <w:p>
            <w:pPr>
              <w:spacing w:line="320" w:lineRule="exact"/>
              <w:jc w:val="left"/>
              <w:rPr>
                <w:rFonts w:hint="eastAsia" w:ascii="宋体" w:hAnsi="宋体" w:eastAsia="宋体" w:cs="宋体"/>
                <w:color w:val="auto"/>
              </w:rPr>
            </w:pPr>
            <w:r>
              <w:rPr>
                <w:rFonts w:hint="eastAsia" w:ascii="宋体" w:hAnsi="宋体" w:eastAsia="宋体" w:cs="宋体"/>
                <w:color w:val="auto"/>
              </w:rPr>
              <w:t>基本资格条件的承诺</w:t>
            </w:r>
          </w:p>
        </w:tc>
        <w:tc>
          <w:tcPr>
            <w:tcW w:w="4964" w:type="dxa"/>
            <w:tcBorders>
              <w:top w:val="outset" w:color="auto" w:sz="6" w:space="0"/>
              <w:left w:val="outset" w:color="auto" w:sz="6" w:space="0"/>
              <w:bottom w:val="outset" w:color="auto" w:sz="6" w:space="0"/>
              <w:right w:val="outset" w:color="auto" w:sz="6" w:space="0"/>
            </w:tcBorders>
            <w:vAlign w:val="center"/>
          </w:tcPr>
          <w:p>
            <w:pPr>
              <w:spacing w:line="320" w:lineRule="exact"/>
              <w:jc w:val="left"/>
              <w:rPr>
                <w:rFonts w:hint="eastAsia" w:ascii="宋体" w:hAnsi="宋体" w:eastAsia="宋体" w:cs="宋体"/>
                <w:color w:val="auto"/>
              </w:rPr>
            </w:pPr>
            <w:r>
              <w:rPr>
                <w:rFonts w:hint="eastAsia" w:ascii="宋体" w:hAnsi="宋体" w:eastAsia="宋体" w:cs="宋体"/>
                <w:color w:val="auto"/>
              </w:rPr>
              <w:t>根据供应商提供的承诺函，内容完整且具有法人及法定代表人的印章。（内容及格式参照第六章）</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546" w:type="dxa"/>
            <w:vMerge w:val="continue"/>
            <w:tcBorders>
              <w:left w:val="outset" w:color="auto" w:sz="6" w:space="0"/>
              <w:right w:val="outset" w:color="auto" w:sz="6" w:space="0"/>
            </w:tcBorders>
            <w:vAlign w:val="center"/>
          </w:tcPr>
          <w:p>
            <w:pPr>
              <w:jc w:val="center"/>
              <w:rPr>
                <w:rFonts w:hint="eastAsia" w:ascii="宋体" w:hAnsi="宋体" w:eastAsia="宋体" w:cs="宋体"/>
                <w:color w:val="auto"/>
              </w:rPr>
            </w:pPr>
          </w:p>
        </w:tc>
        <w:tc>
          <w:tcPr>
            <w:tcW w:w="666" w:type="dxa"/>
            <w:vMerge w:val="continue"/>
            <w:tcBorders>
              <w:left w:val="outset" w:color="auto" w:sz="6" w:space="0"/>
              <w:right w:val="outset" w:color="auto" w:sz="6" w:space="0"/>
            </w:tcBorders>
            <w:vAlign w:val="center"/>
          </w:tcPr>
          <w:p>
            <w:pPr>
              <w:jc w:val="left"/>
              <w:rPr>
                <w:rFonts w:hint="eastAsia" w:ascii="宋体" w:hAnsi="宋体" w:eastAsia="宋体" w:cs="宋体"/>
                <w:color w:val="auto"/>
              </w:rPr>
            </w:pPr>
          </w:p>
        </w:tc>
        <w:tc>
          <w:tcPr>
            <w:tcW w:w="2533" w:type="dxa"/>
            <w:tcBorders>
              <w:top w:val="outset" w:color="auto" w:sz="6" w:space="0"/>
              <w:left w:val="outset" w:color="auto" w:sz="6" w:space="0"/>
              <w:bottom w:val="outset" w:color="auto" w:sz="6" w:space="0"/>
              <w:right w:val="outset" w:color="auto" w:sz="6" w:space="0"/>
            </w:tcBorders>
            <w:vAlign w:val="center"/>
          </w:tcPr>
          <w:p>
            <w:pPr>
              <w:spacing w:line="320" w:lineRule="exact"/>
              <w:jc w:val="left"/>
              <w:rPr>
                <w:rFonts w:hint="eastAsia" w:ascii="宋体" w:hAnsi="宋体" w:eastAsia="宋体" w:cs="宋体"/>
                <w:color w:val="auto"/>
              </w:rPr>
            </w:pPr>
            <w:r>
              <w:rPr>
                <w:rFonts w:hint="eastAsia" w:ascii="宋体" w:hAnsi="宋体" w:eastAsia="宋体" w:cs="宋体"/>
                <w:color w:val="auto"/>
              </w:rPr>
              <w:t>招标人根据本项目特点，要求投标人具备的条件</w:t>
            </w:r>
          </w:p>
        </w:tc>
        <w:tc>
          <w:tcPr>
            <w:tcW w:w="4964" w:type="dxa"/>
            <w:tcBorders>
              <w:top w:val="outset" w:color="auto" w:sz="6" w:space="0"/>
              <w:left w:val="outset" w:color="auto" w:sz="6" w:space="0"/>
              <w:bottom w:val="outset" w:color="auto" w:sz="6" w:space="0"/>
              <w:right w:val="outset" w:color="auto" w:sz="6" w:space="0"/>
            </w:tcBorders>
            <w:vAlign w:val="center"/>
          </w:tcPr>
          <w:p>
            <w:pPr>
              <w:spacing w:line="380" w:lineRule="exact"/>
              <w:jc w:val="left"/>
              <w:rPr>
                <w:rFonts w:hint="eastAsia" w:ascii="宋体" w:hAnsi="宋体" w:eastAsia="宋体" w:cs="宋体"/>
                <w:color w:val="auto"/>
              </w:rPr>
            </w:pPr>
            <w:r>
              <w:rPr>
                <w:rFonts w:hint="eastAsia" w:ascii="宋体" w:hAnsi="宋体" w:eastAsia="宋体" w:cs="宋体"/>
                <w:color w:val="auto"/>
              </w:rPr>
              <w:t>无</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pPr>
              <w:spacing w:line="460" w:lineRule="exact"/>
              <w:jc w:val="center"/>
              <w:rPr>
                <w:rFonts w:hint="eastAsia" w:ascii="宋体" w:hAnsi="宋体" w:eastAsia="宋体" w:cs="宋体"/>
                <w:b/>
                <w:color w:val="auto"/>
                <w:spacing w:val="-14"/>
              </w:rPr>
            </w:pPr>
            <w:r>
              <w:rPr>
                <w:rFonts w:hint="eastAsia" w:ascii="宋体" w:hAnsi="宋体" w:eastAsia="宋体" w:cs="宋体"/>
                <w:b/>
                <w:color w:val="auto"/>
                <w:spacing w:val="-14"/>
              </w:rPr>
              <w:t>1.2项评审内容由采购人负责，投标文件不符合1.2项评审标准的，作无效标处理。</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restart"/>
            <w:tcBorders>
              <w:top w:val="outset" w:color="auto" w:sz="6" w:space="0"/>
              <w:left w:val="outset" w:color="auto" w:sz="6" w:space="0"/>
              <w:bottom w:val="outset" w:color="auto" w:sz="6" w:space="0"/>
              <w:right w:val="outset" w:color="auto" w:sz="6" w:space="0"/>
            </w:tcBorders>
            <w:vAlign w:val="center"/>
          </w:tcPr>
          <w:p>
            <w:pPr>
              <w:spacing w:line="360" w:lineRule="exact"/>
              <w:jc w:val="center"/>
              <w:rPr>
                <w:rFonts w:hint="eastAsia" w:ascii="宋体" w:hAnsi="宋体" w:eastAsia="宋体" w:cs="宋体"/>
                <w:color w:val="auto"/>
              </w:rPr>
            </w:pPr>
            <w:r>
              <w:rPr>
                <w:rFonts w:hint="eastAsia" w:ascii="宋体" w:hAnsi="宋体" w:eastAsia="宋体" w:cs="宋体"/>
                <w:color w:val="auto"/>
                <w:spacing w:val="-14"/>
              </w:rPr>
              <w:t>2.2.2</w:t>
            </w:r>
          </w:p>
        </w:tc>
        <w:tc>
          <w:tcPr>
            <w:tcW w:w="666" w:type="dxa"/>
            <w:vMerge w:val="restart"/>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eastAsia="宋体" w:cs="宋体"/>
                <w:color w:val="auto"/>
              </w:rPr>
            </w:pPr>
            <w:r>
              <w:rPr>
                <w:rFonts w:hint="eastAsia" w:ascii="宋体" w:hAnsi="宋体" w:eastAsia="宋体" w:cs="宋体"/>
                <w:color w:val="auto"/>
              </w:rPr>
              <w:t>符</w:t>
            </w:r>
          </w:p>
          <w:p>
            <w:pPr>
              <w:jc w:val="center"/>
              <w:rPr>
                <w:rFonts w:hint="eastAsia" w:ascii="宋体" w:hAnsi="宋体" w:eastAsia="宋体" w:cs="宋体"/>
                <w:color w:val="auto"/>
              </w:rPr>
            </w:pPr>
            <w:r>
              <w:rPr>
                <w:rFonts w:hint="eastAsia" w:ascii="宋体" w:hAnsi="宋体" w:eastAsia="宋体" w:cs="宋体"/>
                <w:color w:val="auto"/>
              </w:rPr>
              <w:t>合</w:t>
            </w:r>
          </w:p>
          <w:p>
            <w:pPr>
              <w:jc w:val="center"/>
              <w:rPr>
                <w:rFonts w:hint="eastAsia" w:ascii="宋体" w:hAnsi="宋体" w:eastAsia="宋体" w:cs="宋体"/>
                <w:color w:val="auto"/>
              </w:rPr>
            </w:pPr>
            <w:r>
              <w:rPr>
                <w:rFonts w:hint="eastAsia" w:ascii="宋体" w:hAnsi="宋体" w:eastAsia="宋体" w:cs="宋体"/>
                <w:color w:val="auto"/>
              </w:rPr>
              <w:t>性</w:t>
            </w:r>
          </w:p>
          <w:p>
            <w:pPr>
              <w:jc w:val="center"/>
              <w:rPr>
                <w:rFonts w:hint="eastAsia" w:ascii="宋体" w:hAnsi="宋体" w:eastAsia="宋体" w:cs="宋体"/>
                <w:color w:val="auto"/>
              </w:rPr>
            </w:pPr>
            <w:r>
              <w:rPr>
                <w:rFonts w:hint="eastAsia" w:ascii="宋体" w:hAnsi="宋体" w:eastAsia="宋体" w:cs="宋体"/>
                <w:color w:val="auto"/>
              </w:rPr>
              <w:t>评</w:t>
            </w:r>
          </w:p>
          <w:p>
            <w:pPr>
              <w:jc w:val="center"/>
              <w:rPr>
                <w:rFonts w:hint="eastAsia" w:ascii="宋体" w:hAnsi="宋体" w:eastAsia="宋体" w:cs="宋体"/>
                <w:color w:val="auto"/>
              </w:rPr>
            </w:pPr>
            <w:r>
              <w:rPr>
                <w:rFonts w:hint="eastAsia" w:ascii="宋体" w:hAnsi="宋体" w:eastAsia="宋体" w:cs="宋体"/>
                <w:color w:val="auto"/>
              </w:rPr>
              <w:t>审</w:t>
            </w:r>
          </w:p>
        </w:tc>
        <w:tc>
          <w:tcPr>
            <w:tcW w:w="2533" w:type="dxa"/>
            <w:tcBorders>
              <w:top w:val="outset" w:color="auto" w:sz="6" w:space="0"/>
              <w:left w:val="outset" w:color="auto" w:sz="6" w:space="0"/>
              <w:bottom w:val="outset" w:color="auto" w:sz="6" w:space="0"/>
              <w:right w:val="outset" w:color="auto" w:sz="6" w:space="0"/>
            </w:tcBorders>
            <w:vAlign w:val="center"/>
          </w:tcPr>
          <w:p>
            <w:pPr>
              <w:spacing w:line="380" w:lineRule="exact"/>
              <w:jc w:val="left"/>
              <w:rPr>
                <w:rFonts w:hint="eastAsia" w:ascii="宋体" w:hAnsi="宋体" w:eastAsia="宋体" w:cs="宋体"/>
                <w:color w:val="auto"/>
              </w:rPr>
            </w:pPr>
            <w:r>
              <w:rPr>
                <w:rFonts w:hint="eastAsia" w:ascii="宋体" w:hAnsi="宋体" w:eastAsia="宋体" w:cs="宋体"/>
                <w:color w:val="auto"/>
              </w:rPr>
              <w:t>投标文件的签署</w:t>
            </w:r>
          </w:p>
        </w:tc>
        <w:tc>
          <w:tcPr>
            <w:tcW w:w="4964" w:type="dxa"/>
            <w:tcBorders>
              <w:top w:val="outset" w:color="auto" w:sz="6" w:space="0"/>
              <w:left w:val="outset" w:color="auto" w:sz="6" w:space="0"/>
              <w:bottom w:val="outset" w:color="auto" w:sz="6" w:space="0"/>
              <w:right w:val="outset" w:color="auto" w:sz="6" w:space="0"/>
            </w:tcBorders>
            <w:vAlign w:val="center"/>
          </w:tcPr>
          <w:p>
            <w:pPr>
              <w:spacing w:line="380" w:lineRule="exact"/>
              <w:jc w:val="left"/>
              <w:rPr>
                <w:rFonts w:hint="eastAsia" w:ascii="宋体" w:hAnsi="宋体" w:eastAsia="宋体" w:cs="宋体"/>
                <w:color w:val="auto"/>
              </w:rPr>
            </w:pPr>
            <w:r>
              <w:rPr>
                <w:rFonts w:hint="eastAsia" w:ascii="宋体" w:hAnsi="宋体" w:eastAsia="宋体" w:cs="宋体"/>
                <w:color w:val="auto"/>
              </w:rPr>
              <w:t>符合第二章第3.4.4项规定</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eastAsia="宋体" w:cs="宋体"/>
                <w:color w:val="auto"/>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pPr>
              <w:jc w:val="left"/>
              <w:rPr>
                <w:rFonts w:hint="eastAsia" w:ascii="宋体" w:hAnsi="宋体" w:eastAsia="宋体" w:cs="宋体"/>
                <w:color w:val="auto"/>
              </w:rPr>
            </w:pPr>
          </w:p>
        </w:tc>
        <w:tc>
          <w:tcPr>
            <w:tcW w:w="2533" w:type="dxa"/>
            <w:tcBorders>
              <w:top w:val="outset" w:color="auto" w:sz="6" w:space="0"/>
              <w:left w:val="outset" w:color="auto" w:sz="6" w:space="0"/>
              <w:bottom w:val="outset" w:color="auto" w:sz="6" w:space="0"/>
              <w:right w:val="outset" w:color="auto" w:sz="6" w:space="0"/>
            </w:tcBorders>
            <w:vAlign w:val="center"/>
          </w:tcPr>
          <w:p>
            <w:pPr>
              <w:spacing w:line="380" w:lineRule="exact"/>
              <w:jc w:val="left"/>
              <w:rPr>
                <w:rFonts w:hint="eastAsia" w:ascii="宋体" w:hAnsi="宋体" w:eastAsia="宋体" w:cs="宋体"/>
                <w:color w:val="auto"/>
              </w:rPr>
            </w:pPr>
            <w:r>
              <w:rPr>
                <w:rFonts w:hint="eastAsia" w:ascii="宋体" w:hAnsi="宋体" w:eastAsia="宋体" w:cs="宋体"/>
                <w:color w:val="auto"/>
              </w:rPr>
              <w:t>报价</w:t>
            </w:r>
          </w:p>
        </w:tc>
        <w:tc>
          <w:tcPr>
            <w:tcW w:w="4964" w:type="dxa"/>
            <w:tcBorders>
              <w:top w:val="outset" w:color="auto" w:sz="6" w:space="0"/>
              <w:left w:val="outset" w:color="auto" w:sz="6" w:space="0"/>
              <w:bottom w:val="outset" w:color="auto" w:sz="6" w:space="0"/>
              <w:right w:val="outset" w:color="auto" w:sz="6" w:space="0"/>
            </w:tcBorders>
            <w:vAlign w:val="center"/>
          </w:tcPr>
          <w:p>
            <w:pPr>
              <w:spacing w:line="320" w:lineRule="exact"/>
              <w:jc w:val="left"/>
              <w:rPr>
                <w:rFonts w:hint="eastAsia" w:ascii="宋体" w:hAnsi="宋体" w:eastAsia="宋体" w:cs="宋体"/>
                <w:color w:val="auto"/>
              </w:rPr>
            </w:pPr>
            <w:r>
              <w:rPr>
                <w:rFonts w:hint="eastAsia" w:ascii="宋体" w:hAnsi="宋体" w:eastAsia="宋体" w:cs="宋体"/>
                <w:color w:val="auto"/>
              </w:rPr>
              <w:t>有且只有一个有效报价；未超过采购预算或最高限价；</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eastAsia="宋体" w:cs="宋体"/>
                <w:color w:val="auto"/>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pPr>
              <w:jc w:val="left"/>
              <w:rPr>
                <w:rFonts w:hint="eastAsia" w:ascii="宋体" w:hAnsi="宋体" w:eastAsia="宋体" w:cs="宋体"/>
                <w:color w:val="auto"/>
              </w:rPr>
            </w:pPr>
          </w:p>
        </w:tc>
        <w:tc>
          <w:tcPr>
            <w:tcW w:w="2533" w:type="dxa"/>
            <w:tcBorders>
              <w:top w:val="outset" w:color="auto" w:sz="6" w:space="0"/>
              <w:left w:val="outset" w:color="auto" w:sz="6" w:space="0"/>
              <w:bottom w:val="outset" w:color="auto" w:sz="6" w:space="0"/>
              <w:right w:val="outset" w:color="auto" w:sz="6" w:space="0"/>
            </w:tcBorders>
            <w:vAlign w:val="center"/>
          </w:tcPr>
          <w:p>
            <w:pPr>
              <w:spacing w:line="380" w:lineRule="exact"/>
              <w:jc w:val="left"/>
              <w:rPr>
                <w:rFonts w:hint="eastAsia" w:ascii="宋体" w:hAnsi="宋体" w:eastAsia="宋体" w:cs="宋体"/>
                <w:color w:val="auto"/>
              </w:rPr>
            </w:pPr>
            <w:r>
              <w:rPr>
                <w:rFonts w:hint="eastAsia" w:ascii="宋体" w:hAnsi="宋体" w:eastAsia="宋体" w:cs="宋体"/>
                <w:color w:val="auto"/>
                <w:lang w:eastAsia="zh-CN"/>
              </w:rPr>
              <w:t>服务期限</w:t>
            </w:r>
            <w:r>
              <w:rPr>
                <w:rFonts w:hint="eastAsia" w:ascii="宋体" w:hAnsi="宋体" w:eastAsia="宋体" w:cs="宋体"/>
                <w:color w:val="auto"/>
              </w:rPr>
              <w:t>（合同工期）</w:t>
            </w:r>
          </w:p>
        </w:tc>
        <w:tc>
          <w:tcPr>
            <w:tcW w:w="4964" w:type="dxa"/>
            <w:tcBorders>
              <w:top w:val="outset" w:color="auto" w:sz="6" w:space="0"/>
              <w:left w:val="outset" w:color="auto" w:sz="6" w:space="0"/>
              <w:bottom w:val="outset" w:color="auto" w:sz="6" w:space="0"/>
              <w:right w:val="outset" w:color="auto" w:sz="6" w:space="0"/>
            </w:tcBorders>
            <w:vAlign w:val="center"/>
          </w:tcPr>
          <w:p>
            <w:pPr>
              <w:spacing w:line="380" w:lineRule="exact"/>
              <w:jc w:val="left"/>
              <w:rPr>
                <w:rFonts w:hint="eastAsia" w:ascii="宋体" w:hAnsi="宋体" w:eastAsia="宋体" w:cs="宋体"/>
                <w:color w:val="auto"/>
              </w:rPr>
            </w:pPr>
            <w:r>
              <w:rPr>
                <w:rFonts w:hint="eastAsia" w:ascii="宋体" w:hAnsi="宋体" w:eastAsia="宋体" w:cs="宋体"/>
                <w:color w:val="auto"/>
              </w:rPr>
              <w:t>符合第二章第1.3.2项规定</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eastAsia="宋体" w:cs="宋体"/>
                <w:color w:val="auto"/>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pPr>
              <w:jc w:val="left"/>
              <w:rPr>
                <w:rFonts w:hint="eastAsia" w:ascii="宋体" w:hAnsi="宋体" w:eastAsia="宋体" w:cs="宋体"/>
                <w:color w:val="auto"/>
              </w:rPr>
            </w:pPr>
          </w:p>
        </w:tc>
        <w:tc>
          <w:tcPr>
            <w:tcW w:w="2533" w:type="dxa"/>
            <w:tcBorders>
              <w:top w:val="outset" w:color="auto" w:sz="6" w:space="0"/>
              <w:left w:val="outset" w:color="auto" w:sz="6" w:space="0"/>
              <w:bottom w:val="outset" w:color="auto" w:sz="6" w:space="0"/>
              <w:right w:val="outset" w:color="auto" w:sz="6" w:space="0"/>
            </w:tcBorders>
            <w:vAlign w:val="center"/>
          </w:tcPr>
          <w:p>
            <w:pPr>
              <w:spacing w:line="380" w:lineRule="exact"/>
              <w:jc w:val="left"/>
              <w:rPr>
                <w:rFonts w:hint="eastAsia" w:ascii="宋体" w:hAnsi="宋体" w:eastAsia="宋体" w:cs="宋体"/>
                <w:color w:val="auto"/>
              </w:rPr>
            </w:pPr>
            <w:r>
              <w:rPr>
                <w:rFonts w:hint="eastAsia" w:ascii="宋体" w:hAnsi="宋体" w:eastAsia="宋体" w:cs="宋体"/>
                <w:color w:val="auto"/>
              </w:rPr>
              <w:t>投标有效期</w:t>
            </w:r>
          </w:p>
        </w:tc>
        <w:tc>
          <w:tcPr>
            <w:tcW w:w="4964" w:type="dxa"/>
            <w:tcBorders>
              <w:top w:val="outset" w:color="auto" w:sz="6" w:space="0"/>
              <w:left w:val="outset" w:color="auto" w:sz="6" w:space="0"/>
              <w:bottom w:val="outset" w:color="auto" w:sz="6" w:space="0"/>
              <w:right w:val="outset" w:color="auto" w:sz="6" w:space="0"/>
            </w:tcBorders>
            <w:vAlign w:val="center"/>
          </w:tcPr>
          <w:p>
            <w:pPr>
              <w:spacing w:line="380" w:lineRule="exact"/>
              <w:jc w:val="left"/>
              <w:rPr>
                <w:rFonts w:hint="eastAsia" w:ascii="宋体" w:hAnsi="宋体" w:eastAsia="宋体" w:cs="宋体"/>
                <w:color w:val="auto"/>
              </w:rPr>
            </w:pPr>
            <w:r>
              <w:rPr>
                <w:rFonts w:hint="eastAsia" w:ascii="宋体" w:hAnsi="宋体" w:eastAsia="宋体" w:cs="宋体"/>
                <w:color w:val="auto"/>
              </w:rPr>
              <w:t>符合第二章第3.3.1项规定</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46" w:hRule="atLeast"/>
          <w:jc w:val="center"/>
        </w:trPr>
        <w:tc>
          <w:tcPr>
            <w:tcW w:w="546" w:type="dxa"/>
            <w:vMerge w:val="continue"/>
            <w:tcBorders>
              <w:top w:val="outset" w:color="auto" w:sz="6" w:space="0"/>
              <w:left w:val="outset" w:color="auto" w:sz="6" w:space="0"/>
              <w:bottom w:val="outset" w:color="auto" w:sz="6" w:space="0"/>
              <w:right w:val="outset" w:color="auto" w:sz="6" w:space="0"/>
            </w:tcBorders>
            <w:vAlign w:val="center"/>
          </w:tcPr>
          <w:p>
            <w:pPr>
              <w:jc w:val="left"/>
              <w:rPr>
                <w:rFonts w:hint="eastAsia" w:ascii="宋体" w:hAnsi="宋体" w:eastAsia="宋体" w:cs="宋体"/>
                <w:color w:val="auto"/>
              </w:rPr>
            </w:pPr>
          </w:p>
        </w:tc>
        <w:tc>
          <w:tcPr>
            <w:tcW w:w="666" w:type="dxa"/>
            <w:vMerge w:val="continue"/>
            <w:tcBorders>
              <w:top w:val="outset" w:color="auto" w:sz="6" w:space="0"/>
              <w:left w:val="outset" w:color="auto" w:sz="6" w:space="0"/>
              <w:bottom w:val="outset" w:color="auto" w:sz="6" w:space="0"/>
              <w:right w:val="outset" w:color="auto" w:sz="6" w:space="0"/>
            </w:tcBorders>
            <w:vAlign w:val="center"/>
          </w:tcPr>
          <w:p>
            <w:pPr>
              <w:jc w:val="left"/>
              <w:rPr>
                <w:rFonts w:hint="eastAsia" w:ascii="宋体" w:hAnsi="宋体" w:eastAsia="宋体" w:cs="宋体"/>
                <w:color w:val="auto"/>
              </w:rPr>
            </w:pPr>
          </w:p>
        </w:tc>
        <w:tc>
          <w:tcPr>
            <w:tcW w:w="2533" w:type="dxa"/>
            <w:tcBorders>
              <w:top w:val="outset" w:color="auto" w:sz="6" w:space="0"/>
              <w:left w:val="outset" w:color="auto" w:sz="6" w:space="0"/>
              <w:bottom w:val="outset" w:color="auto" w:sz="6" w:space="0"/>
              <w:right w:val="outset" w:color="auto" w:sz="6" w:space="0"/>
            </w:tcBorders>
            <w:vAlign w:val="center"/>
          </w:tcPr>
          <w:p>
            <w:pPr>
              <w:spacing w:line="380" w:lineRule="exact"/>
              <w:jc w:val="left"/>
              <w:rPr>
                <w:rFonts w:hint="eastAsia" w:ascii="宋体" w:hAnsi="宋体" w:eastAsia="宋体" w:cs="宋体"/>
                <w:color w:val="auto"/>
              </w:rPr>
            </w:pPr>
            <w:r>
              <w:rPr>
                <w:rFonts w:hint="eastAsia" w:ascii="宋体" w:hAnsi="宋体" w:eastAsia="宋体" w:cs="宋体"/>
                <w:color w:val="auto"/>
              </w:rPr>
              <w:t>偏离</w:t>
            </w:r>
          </w:p>
        </w:tc>
        <w:tc>
          <w:tcPr>
            <w:tcW w:w="4964" w:type="dxa"/>
            <w:tcBorders>
              <w:top w:val="outset" w:color="auto" w:sz="6" w:space="0"/>
              <w:left w:val="outset" w:color="auto" w:sz="6" w:space="0"/>
              <w:bottom w:val="outset" w:color="auto" w:sz="6" w:space="0"/>
              <w:right w:val="outset" w:color="auto" w:sz="6" w:space="0"/>
            </w:tcBorders>
            <w:vAlign w:val="center"/>
          </w:tcPr>
          <w:p>
            <w:pPr>
              <w:spacing w:line="380" w:lineRule="exact"/>
              <w:jc w:val="left"/>
              <w:rPr>
                <w:rFonts w:hint="eastAsia" w:ascii="宋体" w:hAnsi="宋体" w:eastAsia="宋体" w:cs="宋体"/>
                <w:color w:val="auto"/>
                <w:lang w:val="en-US" w:eastAsia="zh-CN"/>
              </w:rPr>
            </w:pPr>
            <w:r>
              <w:rPr>
                <w:rFonts w:hint="eastAsia" w:ascii="宋体" w:hAnsi="宋体" w:eastAsia="宋体" w:cs="宋体"/>
                <w:color w:val="auto"/>
              </w:rPr>
              <w:t>符合第二章“投标人须知”第1.8项规定</w:t>
            </w:r>
          </w:p>
        </w:tc>
      </w:tr>
      <w:tr>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8709" w:type="dxa"/>
            <w:gridSpan w:val="4"/>
            <w:tcBorders>
              <w:top w:val="outset" w:color="auto" w:sz="6" w:space="0"/>
              <w:left w:val="outset" w:color="auto" w:sz="6" w:space="0"/>
              <w:bottom w:val="outset" w:color="auto" w:sz="6" w:space="0"/>
              <w:right w:val="outset" w:color="auto" w:sz="6" w:space="0"/>
            </w:tcBorders>
            <w:vAlign w:val="center"/>
          </w:tcPr>
          <w:p>
            <w:pPr>
              <w:spacing w:line="460" w:lineRule="exact"/>
              <w:jc w:val="center"/>
              <w:rPr>
                <w:rFonts w:hint="eastAsia" w:ascii="宋体" w:hAnsi="宋体" w:eastAsia="宋体" w:cs="宋体"/>
                <w:color w:val="auto"/>
                <w:spacing w:val="-18"/>
              </w:rPr>
            </w:pPr>
            <w:r>
              <w:rPr>
                <w:rFonts w:hint="eastAsia" w:ascii="宋体" w:hAnsi="宋体" w:eastAsia="宋体" w:cs="宋体"/>
                <w:b/>
                <w:color w:val="auto"/>
                <w:spacing w:val="-14"/>
              </w:rPr>
              <w:t>2.2.2项评审内容由评标委员会负责，投标文件不符合2.2.2项评审标准的，作无效标处理。</w:t>
            </w:r>
          </w:p>
        </w:tc>
      </w:tr>
    </w:tbl>
    <w:p>
      <w:pPr>
        <w:adjustRightInd w:val="0"/>
        <w:snapToGrid w:val="0"/>
        <w:spacing w:line="500" w:lineRule="exact"/>
        <w:jc w:val="left"/>
        <w:outlineLvl w:val="1"/>
        <w:rPr>
          <w:rFonts w:hint="eastAsia" w:ascii="宋体" w:hAnsi="宋体" w:eastAsia="宋体" w:cs="宋体"/>
          <w:b/>
          <w:color w:val="auto"/>
        </w:rPr>
      </w:pPr>
      <w:bookmarkStart w:id="256" w:name="_Toc3972"/>
      <w:bookmarkStart w:id="257" w:name="_Toc426469921"/>
      <w:r>
        <w:rPr>
          <w:rFonts w:hint="eastAsia" w:ascii="宋体" w:hAnsi="宋体" w:eastAsia="宋体" w:cs="宋体"/>
          <w:b/>
          <w:color w:val="auto"/>
        </w:rPr>
        <w:t>2.3详细评审</w:t>
      </w:r>
      <w:bookmarkEnd w:id="256"/>
    </w:p>
    <w:tbl>
      <w:tblPr>
        <w:tblStyle w:val="25"/>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2"/>
        <w:gridCol w:w="1157"/>
        <w:gridCol w:w="7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272" w:type="dxa"/>
            <w:vAlign w:val="center"/>
          </w:tcPr>
          <w:p>
            <w:pPr>
              <w:rPr>
                <w:rFonts w:hint="eastAsia" w:ascii="宋体" w:hAnsi="宋体" w:eastAsia="宋体" w:cs="宋体"/>
                <w:color w:val="auto"/>
              </w:rPr>
            </w:pPr>
            <w:r>
              <w:rPr>
                <w:rFonts w:hint="eastAsia" w:ascii="宋体" w:hAnsi="宋体" w:eastAsia="宋体" w:cs="宋体"/>
                <w:color w:val="auto"/>
              </w:rPr>
              <w:t>条款号</w:t>
            </w:r>
          </w:p>
        </w:tc>
        <w:tc>
          <w:tcPr>
            <w:tcW w:w="1157" w:type="dxa"/>
            <w:vAlign w:val="center"/>
          </w:tcPr>
          <w:p>
            <w:pPr>
              <w:rPr>
                <w:rFonts w:hint="eastAsia" w:ascii="宋体" w:hAnsi="宋体" w:eastAsia="宋体" w:cs="宋体"/>
                <w:color w:val="auto"/>
              </w:rPr>
            </w:pPr>
            <w:r>
              <w:rPr>
                <w:rFonts w:hint="eastAsia" w:ascii="宋体" w:hAnsi="宋体" w:eastAsia="宋体" w:cs="宋体"/>
                <w:color w:val="auto"/>
              </w:rPr>
              <w:t>条款内容</w:t>
            </w:r>
          </w:p>
        </w:tc>
        <w:tc>
          <w:tcPr>
            <w:tcW w:w="7465" w:type="dxa"/>
            <w:vAlign w:val="center"/>
          </w:tcPr>
          <w:p>
            <w:pPr>
              <w:rPr>
                <w:rFonts w:hint="eastAsia" w:ascii="宋体" w:hAnsi="宋体" w:eastAsia="宋体" w:cs="宋体"/>
                <w:color w:val="auto"/>
              </w:rPr>
            </w:pPr>
            <w:r>
              <w:rPr>
                <w:rFonts w:hint="eastAsia" w:ascii="宋体" w:hAnsi="宋体" w:eastAsia="宋体" w:cs="宋体"/>
                <w:color w:val="auto"/>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4" w:hRule="atLeast"/>
          <w:jc w:val="center"/>
        </w:trPr>
        <w:tc>
          <w:tcPr>
            <w:tcW w:w="1272" w:type="dxa"/>
            <w:vAlign w:val="center"/>
          </w:tcPr>
          <w:p>
            <w:pPr>
              <w:rPr>
                <w:rFonts w:hint="eastAsia" w:ascii="宋体" w:hAnsi="宋体" w:eastAsia="宋体" w:cs="宋体"/>
                <w:color w:val="auto"/>
              </w:rPr>
            </w:pPr>
            <w:r>
              <w:rPr>
                <w:rFonts w:hint="eastAsia" w:ascii="宋体" w:hAnsi="宋体" w:eastAsia="宋体" w:cs="宋体"/>
                <w:color w:val="auto"/>
              </w:rPr>
              <w:t>2.</w:t>
            </w:r>
            <w:r>
              <w:rPr>
                <w:rFonts w:hint="eastAsia" w:ascii="宋体" w:hAnsi="宋体" w:eastAsia="宋体" w:cs="宋体"/>
                <w:color w:val="auto"/>
                <w:lang w:val="en-US" w:eastAsia="zh-CN"/>
              </w:rPr>
              <w:t>3</w:t>
            </w:r>
            <w:r>
              <w:rPr>
                <w:rFonts w:hint="eastAsia" w:ascii="宋体" w:hAnsi="宋体" w:eastAsia="宋体" w:cs="宋体"/>
                <w:color w:val="auto"/>
              </w:rPr>
              <w:t>.1</w:t>
            </w:r>
          </w:p>
        </w:tc>
        <w:tc>
          <w:tcPr>
            <w:tcW w:w="1157" w:type="dxa"/>
            <w:vAlign w:val="center"/>
          </w:tcPr>
          <w:p>
            <w:pPr>
              <w:ind w:firstLine="0" w:firstLineChars="0"/>
              <w:jc w:val="center"/>
              <w:rPr>
                <w:rFonts w:hint="eastAsia" w:ascii="宋体" w:hAnsi="宋体" w:eastAsia="宋体" w:cs="宋体"/>
                <w:color w:val="auto"/>
              </w:rPr>
            </w:pPr>
            <w:r>
              <w:rPr>
                <w:rFonts w:hint="eastAsia" w:ascii="宋体" w:hAnsi="宋体" w:eastAsia="宋体" w:cs="宋体"/>
                <w:color w:val="auto"/>
              </w:rPr>
              <w:t>分值构成</w:t>
            </w:r>
          </w:p>
          <w:p>
            <w:pPr>
              <w:ind w:firstLine="0" w:firstLineChars="0"/>
              <w:jc w:val="center"/>
              <w:rPr>
                <w:rFonts w:hint="eastAsia" w:ascii="宋体" w:hAnsi="宋体" w:eastAsia="宋体" w:cs="宋体"/>
                <w:b/>
                <w:bCs/>
                <w:color w:val="auto"/>
              </w:rPr>
            </w:pPr>
            <w:r>
              <w:rPr>
                <w:rFonts w:hint="eastAsia" w:ascii="宋体" w:hAnsi="宋体" w:eastAsia="宋体" w:cs="宋体"/>
                <w:color w:val="auto"/>
              </w:rPr>
              <w:t>（总分100分）</w:t>
            </w:r>
          </w:p>
        </w:tc>
        <w:tc>
          <w:tcPr>
            <w:tcW w:w="7465" w:type="dxa"/>
            <w:vAlign w:val="center"/>
          </w:tcPr>
          <w:p>
            <w:pPr>
              <w:rPr>
                <w:rFonts w:hint="eastAsia" w:ascii="宋体" w:hAnsi="宋体" w:eastAsia="宋体" w:cs="宋体"/>
                <w:color w:val="auto"/>
                <w:u w:val="single"/>
              </w:rPr>
            </w:pPr>
            <w:r>
              <w:rPr>
                <w:rFonts w:hint="eastAsia" w:ascii="宋体" w:hAnsi="宋体" w:eastAsia="宋体" w:cs="宋体"/>
                <w:color w:val="auto"/>
              </w:rPr>
              <w:t>（1）投标报价：</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3</w:t>
            </w:r>
            <w:r>
              <w:rPr>
                <w:rFonts w:hint="eastAsia" w:ascii="宋体" w:hAnsi="宋体" w:eastAsia="宋体" w:cs="宋体"/>
                <w:color w:val="auto"/>
                <w:u w:val="single"/>
              </w:rPr>
              <w:t xml:space="preserve">0 </w:t>
            </w:r>
            <w:r>
              <w:rPr>
                <w:rFonts w:hint="eastAsia" w:ascii="宋体" w:hAnsi="宋体" w:eastAsia="宋体" w:cs="宋体"/>
                <w:color w:val="auto"/>
              </w:rPr>
              <w:t>分</w:t>
            </w:r>
          </w:p>
          <w:p>
            <w:pPr>
              <w:rPr>
                <w:rFonts w:hint="eastAsia" w:ascii="宋体" w:hAnsi="宋体" w:eastAsia="宋体" w:cs="宋体"/>
                <w:color w:val="auto"/>
              </w:rPr>
            </w:pPr>
            <w:r>
              <w:rPr>
                <w:rFonts w:hint="eastAsia" w:ascii="宋体" w:hAnsi="宋体" w:eastAsia="宋体" w:cs="宋体"/>
                <w:color w:val="auto"/>
              </w:rPr>
              <w:t>（2）商务部分：</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20</w:t>
            </w:r>
            <w:r>
              <w:rPr>
                <w:rFonts w:hint="eastAsia" w:ascii="宋体" w:hAnsi="宋体" w:eastAsia="宋体" w:cs="宋体"/>
                <w:color w:val="auto"/>
              </w:rPr>
              <w:t xml:space="preserve">分 </w:t>
            </w:r>
          </w:p>
          <w:p>
            <w:pPr>
              <w:rPr>
                <w:rFonts w:hint="eastAsia" w:ascii="宋体" w:hAnsi="宋体" w:eastAsia="宋体" w:cs="宋体"/>
                <w:b/>
                <w:bCs/>
                <w:color w:val="auto"/>
              </w:rPr>
            </w:pPr>
            <w:r>
              <w:rPr>
                <w:rFonts w:hint="eastAsia" w:ascii="宋体" w:hAnsi="宋体" w:eastAsia="宋体" w:cs="宋体"/>
                <w:color w:val="auto"/>
              </w:rPr>
              <w:t>（3）技术部分：</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50</w:t>
            </w:r>
            <w:r>
              <w:rPr>
                <w:rFonts w:hint="eastAsia" w:ascii="宋体" w:hAnsi="宋体" w:eastAsia="宋体" w:cs="宋体"/>
                <w:color w:val="auto"/>
                <w:u w:val="single"/>
              </w:rPr>
              <w:t xml:space="preserve"> </w:t>
            </w:r>
            <w:r>
              <w:rPr>
                <w:rFonts w:hint="eastAsia" w:ascii="宋体" w:hAnsi="宋体" w:eastAsia="宋体" w:cs="宋体"/>
                <w:color w:val="auto"/>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1272" w:type="dxa"/>
            <w:vAlign w:val="center"/>
          </w:tcPr>
          <w:p>
            <w:pPr>
              <w:rPr>
                <w:rFonts w:hint="eastAsia" w:ascii="宋体" w:hAnsi="宋体" w:eastAsia="宋体" w:cs="宋体"/>
                <w:color w:val="auto"/>
              </w:rPr>
            </w:pPr>
            <w:r>
              <w:rPr>
                <w:rFonts w:hint="eastAsia" w:ascii="宋体" w:hAnsi="宋体" w:eastAsia="宋体" w:cs="宋体"/>
                <w:color w:val="auto"/>
              </w:rPr>
              <w:t>条款号</w:t>
            </w:r>
          </w:p>
        </w:tc>
        <w:tc>
          <w:tcPr>
            <w:tcW w:w="1157" w:type="dxa"/>
            <w:vAlign w:val="center"/>
          </w:tcPr>
          <w:p>
            <w:pPr>
              <w:ind w:firstLine="0" w:firstLineChars="0"/>
              <w:jc w:val="center"/>
              <w:rPr>
                <w:rFonts w:hint="eastAsia" w:ascii="宋体" w:hAnsi="宋体" w:eastAsia="宋体" w:cs="宋体"/>
                <w:color w:val="auto"/>
              </w:rPr>
            </w:pPr>
            <w:r>
              <w:rPr>
                <w:rFonts w:hint="eastAsia" w:ascii="宋体" w:hAnsi="宋体" w:eastAsia="宋体" w:cs="宋体"/>
                <w:color w:val="auto"/>
              </w:rPr>
              <w:t>评分因素</w:t>
            </w:r>
          </w:p>
        </w:tc>
        <w:tc>
          <w:tcPr>
            <w:tcW w:w="7465" w:type="dxa"/>
            <w:vAlign w:val="center"/>
          </w:tcPr>
          <w:p>
            <w:pPr>
              <w:rPr>
                <w:rFonts w:hint="eastAsia" w:ascii="宋体" w:hAnsi="宋体" w:eastAsia="宋体" w:cs="宋体"/>
                <w:color w:val="auto"/>
              </w:rPr>
            </w:pPr>
            <w:r>
              <w:rPr>
                <w:rFonts w:hint="eastAsia" w:ascii="宋体" w:hAnsi="宋体" w:eastAsia="宋体" w:cs="宋体"/>
                <w:color w:val="auto"/>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38" w:hRule="atLeast"/>
          <w:jc w:val="center"/>
        </w:trPr>
        <w:tc>
          <w:tcPr>
            <w:tcW w:w="1272" w:type="dxa"/>
            <w:vAlign w:val="center"/>
          </w:tcPr>
          <w:p>
            <w:pPr>
              <w:ind w:firstLine="0" w:firstLineChars="0"/>
              <w:rPr>
                <w:rFonts w:hint="eastAsia" w:ascii="宋体" w:hAnsi="宋体" w:eastAsia="宋体" w:cs="宋体"/>
                <w:color w:val="auto"/>
              </w:rPr>
            </w:pPr>
            <w:r>
              <w:rPr>
                <w:rFonts w:hint="eastAsia" w:ascii="宋体" w:hAnsi="宋体" w:eastAsia="宋体" w:cs="宋体"/>
                <w:color w:val="auto"/>
              </w:rPr>
              <w:t>投标报价</w:t>
            </w:r>
          </w:p>
          <w:p>
            <w:pPr>
              <w:ind w:firstLine="0" w:firstLineChars="0"/>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3</w:t>
            </w:r>
            <w:r>
              <w:rPr>
                <w:rFonts w:hint="eastAsia" w:ascii="宋体" w:hAnsi="宋体" w:eastAsia="宋体" w:cs="宋体"/>
                <w:color w:val="auto"/>
              </w:rPr>
              <w:t>0分）</w:t>
            </w:r>
          </w:p>
        </w:tc>
        <w:tc>
          <w:tcPr>
            <w:tcW w:w="1157" w:type="dxa"/>
            <w:vAlign w:val="center"/>
          </w:tcPr>
          <w:p>
            <w:pPr>
              <w:ind w:firstLine="0" w:firstLineChars="0"/>
              <w:jc w:val="center"/>
              <w:rPr>
                <w:rFonts w:hint="eastAsia" w:ascii="宋体" w:hAnsi="宋体" w:eastAsia="宋体" w:cs="宋体"/>
                <w:color w:val="auto"/>
              </w:rPr>
            </w:pPr>
            <w:r>
              <w:rPr>
                <w:rFonts w:hint="eastAsia" w:ascii="宋体" w:hAnsi="宋体" w:eastAsia="宋体" w:cs="宋体"/>
                <w:color w:val="auto"/>
              </w:rPr>
              <w:t>投标报价</w:t>
            </w:r>
          </w:p>
          <w:p>
            <w:pPr>
              <w:ind w:firstLine="0" w:firstLineChars="0"/>
              <w:jc w:val="center"/>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3</w:t>
            </w:r>
            <w:r>
              <w:rPr>
                <w:rFonts w:hint="eastAsia" w:ascii="宋体" w:hAnsi="宋体" w:eastAsia="宋体" w:cs="宋体"/>
                <w:color w:val="auto"/>
              </w:rPr>
              <w:t>0分）</w:t>
            </w:r>
          </w:p>
        </w:tc>
        <w:tc>
          <w:tcPr>
            <w:tcW w:w="7465" w:type="dxa"/>
            <w:vAlign w:val="center"/>
          </w:tcPr>
          <w:p>
            <w:pPr>
              <w:ind w:firstLine="480" w:firstLineChars="200"/>
              <w:rPr>
                <w:rFonts w:hint="eastAsia" w:ascii="宋体" w:hAnsi="宋体" w:eastAsia="宋体" w:cs="宋体"/>
                <w:color w:val="auto"/>
              </w:rPr>
            </w:pPr>
            <w:r>
              <w:rPr>
                <w:rFonts w:hint="eastAsia" w:ascii="宋体" w:hAnsi="宋体" w:eastAsia="宋体" w:cs="宋体"/>
                <w:color w:val="auto"/>
              </w:rPr>
              <w:t>在所有通过符合性审查的报价中，以报价最低的报价为基准价，其价格分为满分，其他供应商的价格得分统一按照下列公式计算：</w:t>
            </w:r>
          </w:p>
          <w:p>
            <w:pPr>
              <w:ind w:firstLine="480" w:firstLineChars="200"/>
              <w:rPr>
                <w:rFonts w:hint="eastAsia" w:ascii="宋体" w:hAnsi="宋体" w:eastAsia="宋体" w:cs="宋体"/>
                <w:color w:val="auto"/>
              </w:rPr>
            </w:pPr>
            <w:r>
              <w:rPr>
                <w:rFonts w:hint="eastAsia" w:ascii="宋体" w:hAnsi="宋体" w:eastAsia="宋体" w:cs="宋体"/>
                <w:color w:val="auto"/>
              </w:rPr>
              <w:t>价格得分＝（评标基准价/投标报价）×30分（小数点后保留两位）</w:t>
            </w:r>
          </w:p>
          <w:p>
            <w:pPr>
              <w:ind w:firstLine="480" w:firstLineChars="200"/>
              <w:rPr>
                <w:rFonts w:hint="eastAsia" w:ascii="宋体" w:hAnsi="宋体" w:eastAsia="宋体" w:cs="宋体"/>
                <w:color w:val="auto"/>
              </w:rPr>
            </w:pPr>
            <w:r>
              <w:rPr>
                <w:rFonts w:hint="eastAsia" w:ascii="宋体" w:hAnsi="宋体" w:eastAsia="宋体" w:cs="宋体"/>
                <w:color w:val="auto"/>
              </w:rPr>
              <w:t>（根据《政府采购促进中小企业发展管理办法》（财库﹝2020﹞46 号）规定，对小型和微型企业的产品价格给予10%的扣除，扣除后的价格参与评审。）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272" w:type="dxa"/>
            <w:vMerge w:val="restart"/>
            <w:vAlign w:val="center"/>
          </w:tcPr>
          <w:p>
            <w:pPr>
              <w:ind w:firstLine="0" w:firstLineChars="0"/>
              <w:rPr>
                <w:rFonts w:hint="eastAsia" w:ascii="宋体" w:hAnsi="宋体" w:eastAsia="宋体" w:cs="宋体"/>
                <w:color w:val="auto"/>
              </w:rPr>
            </w:pPr>
            <w:r>
              <w:rPr>
                <w:rFonts w:hint="eastAsia" w:ascii="宋体" w:hAnsi="宋体" w:eastAsia="宋体" w:cs="宋体"/>
                <w:color w:val="auto"/>
              </w:rPr>
              <w:t>商务部分</w:t>
            </w:r>
          </w:p>
          <w:p>
            <w:pPr>
              <w:ind w:firstLine="0" w:firstLineChars="0"/>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20</w:t>
            </w:r>
            <w:r>
              <w:rPr>
                <w:rFonts w:hint="eastAsia" w:ascii="宋体" w:hAnsi="宋体" w:eastAsia="宋体" w:cs="宋体"/>
                <w:color w:val="auto"/>
              </w:rPr>
              <w:t>分）</w:t>
            </w:r>
          </w:p>
        </w:tc>
        <w:tc>
          <w:tcPr>
            <w:tcW w:w="1157" w:type="dxa"/>
            <w:vAlign w:val="center"/>
          </w:tcPr>
          <w:p>
            <w:pPr>
              <w:ind w:firstLine="28"/>
              <w:jc w:val="center"/>
              <w:rPr>
                <w:rFonts w:hint="eastAsia" w:ascii="宋体" w:hAnsi="宋体" w:eastAsia="宋体" w:cs="宋体"/>
              </w:rPr>
            </w:pPr>
            <w:r>
              <w:rPr>
                <w:rFonts w:hint="eastAsia" w:ascii="宋体" w:hAnsi="宋体" w:eastAsia="宋体" w:cs="宋体"/>
              </w:rPr>
              <w:t>业绩</w:t>
            </w:r>
          </w:p>
          <w:p>
            <w:pPr>
              <w:ind w:firstLine="0" w:firstLineChars="0"/>
              <w:jc w:val="center"/>
              <w:rPr>
                <w:rFonts w:hint="eastAsia" w:ascii="宋体" w:hAnsi="宋体" w:eastAsia="宋体" w:cs="宋体"/>
                <w:color w:val="auto"/>
              </w:rPr>
            </w:pPr>
            <w:r>
              <w:rPr>
                <w:rFonts w:hint="eastAsia" w:ascii="宋体" w:hAnsi="宋体" w:eastAsia="宋体" w:cs="宋体"/>
              </w:rPr>
              <w:t>（3分）</w:t>
            </w:r>
          </w:p>
        </w:tc>
        <w:tc>
          <w:tcPr>
            <w:tcW w:w="7465" w:type="dxa"/>
            <w:vAlign w:val="center"/>
          </w:tcPr>
          <w:p>
            <w:pPr>
              <w:ind w:firstLine="480" w:firstLineChars="200"/>
              <w:rPr>
                <w:rFonts w:hint="eastAsia" w:ascii="宋体" w:hAnsi="宋体" w:eastAsia="宋体" w:cs="宋体"/>
              </w:rPr>
            </w:pPr>
            <w:r>
              <w:rPr>
                <w:rFonts w:hint="eastAsia" w:ascii="宋体" w:hAnsi="宋体" w:eastAsia="宋体" w:cs="宋体"/>
              </w:rPr>
              <w:t>自2019年1月1日以来承接过类似项目业绩，每提供1个项目业绩得1分，最高得3分。不提供不得分。（投标人的业绩应该是都满足的）</w:t>
            </w:r>
          </w:p>
          <w:p>
            <w:pPr>
              <w:ind w:firstLine="480" w:firstLineChars="200"/>
              <w:rPr>
                <w:rFonts w:hint="eastAsia" w:ascii="宋体" w:hAnsi="宋体" w:eastAsia="宋体" w:cs="宋体"/>
                <w:color w:val="auto"/>
                <w:lang w:val="en-US" w:eastAsia="zh-CN"/>
              </w:rPr>
            </w:pPr>
            <w:r>
              <w:rPr>
                <w:rFonts w:hint="eastAsia" w:ascii="宋体" w:hAnsi="宋体" w:eastAsia="宋体" w:cs="宋体"/>
              </w:rPr>
              <w:t>（须提供中标通知书及合同复印件并加盖公章。）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0" w:hRule="atLeast"/>
          <w:jc w:val="center"/>
        </w:trPr>
        <w:tc>
          <w:tcPr>
            <w:tcW w:w="1272" w:type="dxa"/>
            <w:vMerge w:val="continue"/>
            <w:vAlign w:val="center"/>
          </w:tcPr>
          <w:p>
            <w:pPr>
              <w:ind w:firstLine="0" w:firstLineChars="0"/>
              <w:rPr>
                <w:rFonts w:hint="eastAsia" w:ascii="宋体" w:hAnsi="宋体" w:eastAsia="宋体" w:cs="宋体"/>
                <w:color w:val="auto"/>
              </w:rPr>
            </w:pPr>
          </w:p>
        </w:tc>
        <w:tc>
          <w:tcPr>
            <w:tcW w:w="1157" w:type="dxa"/>
            <w:vAlign w:val="center"/>
          </w:tcPr>
          <w:p>
            <w:pPr>
              <w:ind w:firstLine="0" w:firstLineChars="0"/>
              <w:jc w:val="center"/>
              <w:rPr>
                <w:rFonts w:hint="eastAsia" w:ascii="宋体" w:hAnsi="宋体" w:eastAsia="宋体" w:cs="宋体"/>
                <w:color w:val="auto"/>
              </w:rPr>
            </w:pPr>
            <w:r>
              <w:rPr>
                <w:rFonts w:hint="eastAsia" w:ascii="宋体" w:hAnsi="宋体" w:eastAsia="宋体" w:cs="宋体"/>
                <w:color w:val="auto"/>
              </w:rPr>
              <w:t>资质证书（8分)</w:t>
            </w:r>
          </w:p>
        </w:tc>
        <w:tc>
          <w:tcPr>
            <w:tcW w:w="7465" w:type="dxa"/>
            <w:vAlign w:val="center"/>
          </w:tcPr>
          <w:p>
            <w:pPr>
              <w:pStyle w:val="37"/>
              <w:numPr>
                <w:ilvl w:val="0"/>
                <w:numId w:val="1"/>
              </w:numPr>
              <w:ind w:left="0" w:firstLine="480" w:firstLineChars="200"/>
              <w:rPr>
                <w:rFonts w:hint="eastAsia" w:ascii="宋体" w:hAnsi="宋体" w:eastAsia="宋体" w:cs="宋体"/>
                <w:color w:val="auto"/>
              </w:rPr>
            </w:pPr>
            <w:r>
              <w:rPr>
                <w:rFonts w:hint="eastAsia" w:ascii="宋体" w:hAnsi="宋体" w:eastAsia="宋体" w:cs="宋体"/>
                <w:color w:val="auto"/>
              </w:rPr>
              <w:t>投标单位具备有效的质量管理体系认证证书、环境管理体系认证证书、职业健康安全管理体系认证，有一个得1分，最高得3分，应当年审而未年审的，该认证不得分。（提供证书复印件加盖投标人公章）</w:t>
            </w:r>
          </w:p>
          <w:p>
            <w:pPr>
              <w:pStyle w:val="37"/>
              <w:numPr>
                <w:ilvl w:val="0"/>
                <w:numId w:val="1"/>
              </w:numPr>
              <w:ind w:left="0" w:firstLine="480" w:firstLineChars="200"/>
              <w:rPr>
                <w:rFonts w:hint="eastAsia" w:ascii="宋体" w:hAnsi="宋体" w:eastAsia="宋体" w:cs="宋体"/>
                <w:color w:val="auto"/>
              </w:rPr>
            </w:pPr>
            <w:r>
              <w:rPr>
                <w:rFonts w:hint="eastAsia" w:ascii="宋体" w:hAnsi="宋体" w:eastAsia="宋体" w:cs="宋体"/>
                <w:color w:val="000000" w:themeColor="text1"/>
                <w14:textFill>
                  <w14:solidFill>
                    <w14:schemeClr w14:val="tx1"/>
                  </w14:solidFill>
                </w14:textFill>
              </w:rPr>
              <w:t>投标单位具备有效的信息系统服务交付能力证书(CCID)一级及以上的得3分，二级得2分，其余不得分，提供证书复印件并加盖投标人公章；</w:t>
            </w:r>
          </w:p>
          <w:p>
            <w:pPr>
              <w:pStyle w:val="37"/>
              <w:numPr>
                <w:ilvl w:val="0"/>
                <w:numId w:val="0"/>
              </w:numPr>
              <w:ind w:left="0" w:leftChars="0" w:firstLine="480" w:firstLineChars="200"/>
              <w:rPr>
                <w:rFonts w:hint="eastAsia" w:ascii="宋体" w:hAnsi="宋体" w:eastAsia="宋体" w:cs="宋体"/>
                <w:color w:val="auto"/>
                <w:lang w:eastAsia="zh-CN"/>
              </w:rPr>
            </w:pPr>
            <w:r>
              <w:rPr>
                <w:rFonts w:hint="eastAsia" w:ascii="宋体" w:hAnsi="宋体" w:eastAsia="宋体" w:cs="宋体"/>
                <w:color w:val="000000" w:themeColor="text1"/>
                <w:lang w:val="en-US" w:eastAsia="zh-CN"/>
                <w14:textFill>
                  <w14:solidFill>
                    <w14:schemeClr w14:val="tx1"/>
                  </w14:solidFill>
                </w14:textFill>
              </w:rPr>
              <w:t>3.</w:t>
            </w:r>
            <w:r>
              <w:rPr>
                <w:rFonts w:hint="eastAsia" w:ascii="宋体" w:hAnsi="宋体" w:eastAsia="宋体" w:cs="宋体"/>
                <w:color w:val="000000" w:themeColor="text1"/>
                <w14:textFill>
                  <w14:solidFill>
                    <w14:schemeClr w14:val="tx1"/>
                  </w14:solidFill>
                </w14:textFill>
              </w:rPr>
              <w:t>投标单位具备有效的售后服务认证证书（GB/T27922-2011《商品售后服务评价体系》），五星级的，得2分；其它不得分，提供证书复印件并加盖投标人公章</w:t>
            </w:r>
            <w:r>
              <w:rPr>
                <w:rFonts w:hint="eastAsia" w:ascii="宋体" w:hAnsi="宋体" w:eastAsia="宋体" w:cs="宋体"/>
                <w:color w:val="000000" w:themeColor="text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30" w:hRule="atLeast"/>
          <w:jc w:val="center"/>
        </w:trPr>
        <w:tc>
          <w:tcPr>
            <w:tcW w:w="1272" w:type="dxa"/>
            <w:vMerge w:val="continue"/>
            <w:vAlign w:val="center"/>
          </w:tcPr>
          <w:p>
            <w:pPr>
              <w:ind w:firstLine="0" w:firstLineChars="0"/>
              <w:rPr>
                <w:rFonts w:hint="eastAsia" w:ascii="宋体" w:hAnsi="宋体" w:eastAsia="宋体" w:cs="宋体"/>
                <w:color w:val="auto"/>
              </w:rPr>
            </w:pPr>
          </w:p>
        </w:tc>
        <w:tc>
          <w:tcPr>
            <w:tcW w:w="1157" w:type="dxa"/>
            <w:vAlign w:val="center"/>
          </w:tcPr>
          <w:p>
            <w:pPr>
              <w:ind w:firstLine="0" w:firstLineChars="0"/>
              <w:jc w:val="center"/>
              <w:rPr>
                <w:rFonts w:hint="eastAsia" w:ascii="宋体" w:hAnsi="宋体" w:eastAsia="宋体" w:cs="宋体"/>
                <w:color w:val="auto"/>
                <w:szCs w:val="24"/>
              </w:rPr>
            </w:pPr>
            <w:r>
              <w:rPr>
                <w:rFonts w:hint="eastAsia" w:ascii="宋体" w:hAnsi="宋体" w:eastAsia="宋体" w:cs="宋体"/>
                <w:color w:val="auto"/>
                <w:szCs w:val="24"/>
                <w:lang w:val="zh-CN"/>
              </w:rPr>
              <w:t>项目</w:t>
            </w:r>
            <w:r>
              <w:rPr>
                <w:rFonts w:hint="eastAsia" w:ascii="宋体" w:hAnsi="宋体" w:eastAsia="宋体" w:cs="宋体"/>
                <w:color w:val="auto"/>
                <w:szCs w:val="24"/>
              </w:rPr>
              <w:t>组</w:t>
            </w:r>
            <w:r>
              <w:rPr>
                <w:rFonts w:hint="eastAsia" w:ascii="宋体" w:hAnsi="宋体" w:eastAsia="宋体" w:cs="宋体"/>
                <w:color w:val="auto"/>
                <w:szCs w:val="24"/>
                <w:lang w:val="zh-CN"/>
              </w:rPr>
              <w:t>人员</w:t>
            </w:r>
            <w:r>
              <w:rPr>
                <w:rFonts w:hint="eastAsia" w:ascii="宋体" w:hAnsi="宋体" w:eastAsia="宋体" w:cs="宋体"/>
                <w:color w:val="auto"/>
                <w:szCs w:val="24"/>
              </w:rPr>
              <w:t>资质</w:t>
            </w:r>
          </w:p>
          <w:p>
            <w:pPr>
              <w:ind w:firstLine="0" w:firstLineChars="0"/>
              <w:jc w:val="center"/>
              <w:rPr>
                <w:rFonts w:hint="eastAsia" w:ascii="宋体" w:hAnsi="宋体" w:eastAsia="宋体" w:cs="宋体"/>
                <w:color w:val="auto"/>
              </w:rPr>
            </w:pPr>
            <w:r>
              <w:rPr>
                <w:rFonts w:hint="eastAsia" w:ascii="宋体" w:hAnsi="宋体" w:eastAsia="宋体" w:cs="宋体"/>
                <w:color w:val="auto"/>
                <w:szCs w:val="24"/>
              </w:rPr>
              <w:t>（9分）</w:t>
            </w:r>
          </w:p>
        </w:tc>
        <w:tc>
          <w:tcPr>
            <w:tcW w:w="7465" w:type="dxa"/>
            <w:vAlign w:val="center"/>
          </w:tcPr>
          <w:p>
            <w:pPr>
              <w:snapToGrid w:val="0"/>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w:t>
            </w:r>
            <w:r>
              <w:rPr>
                <w:rFonts w:hint="eastAsia" w:ascii="宋体" w:hAnsi="宋体" w:eastAsia="宋体" w:cs="宋体"/>
                <w:color w:val="000000" w:themeColor="text1"/>
                <w:szCs w:val="21"/>
                <w14:textFill>
                  <w14:solidFill>
                    <w14:schemeClr w14:val="tx1"/>
                  </w14:solidFill>
                </w14:textFill>
              </w:rPr>
              <w:t>拟派项目经理具有中级工程师得3分；</w:t>
            </w:r>
          </w:p>
          <w:p>
            <w:pPr>
              <w:snapToGrid w:val="0"/>
              <w:ind w:firstLine="480" w:firstLineChars="200"/>
              <w:rPr>
                <w:rFonts w:hint="eastAsia"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w:t>
            </w:r>
            <w:r>
              <w:rPr>
                <w:rFonts w:hint="eastAsia" w:ascii="宋体" w:hAnsi="宋体" w:eastAsia="宋体" w:cs="宋体"/>
                <w:color w:val="000000" w:themeColor="text1"/>
                <w:szCs w:val="21"/>
                <w14:textFill>
                  <w14:solidFill>
                    <w14:schemeClr w14:val="tx1"/>
                  </w14:solidFill>
                </w14:textFill>
              </w:rPr>
              <w:t>拟派项目技术负责人具有一级建造师（机电工程）得3分同时具备高级工程师职称得6分，没有不得分；</w:t>
            </w:r>
          </w:p>
          <w:p>
            <w:pPr>
              <w:pStyle w:val="37"/>
              <w:numPr>
                <w:ilvl w:val="0"/>
                <w:numId w:val="0"/>
              </w:numPr>
              <w:ind w:left="0" w:leftChars="0" w:firstLine="480" w:firstLineChars="200"/>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注：（所有人员须提供近三个月社保缴费证明、相关证书复印件等材料加盖公章，原件备查，未提供不得分）。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8" w:hRule="atLeast"/>
          <w:jc w:val="center"/>
        </w:trPr>
        <w:tc>
          <w:tcPr>
            <w:tcW w:w="1272" w:type="dxa"/>
            <w:vMerge w:val="restart"/>
            <w:vAlign w:val="center"/>
          </w:tcPr>
          <w:p>
            <w:pPr>
              <w:rPr>
                <w:rFonts w:hint="eastAsia" w:ascii="宋体" w:hAnsi="宋体" w:eastAsia="宋体" w:cs="宋体"/>
                <w:color w:val="auto"/>
              </w:rPr>
            </w:pPr>
            <w:r>
              <w:rPr>
                <w:rFonts w:hint="eastAsia" w:ascii="宋体" w:hAnsi="宋体" w:eastAsia="宋体" w:cs="宋体"/>
                <w:color w:val="auto"/>
              </w:rPr>
              <w:t>技术部分</w:t>
            </w:r>
          </w:p>
          <w:p>
            <w:pPr>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50</w:t>
            </w:r>
            <w:r>
              <w:rPr>
                <w:rFonts w:hint="eastAsia" w:ascii="宋体" w:hAnsi="宋体" w:eastAsia="宋体" w:cs="宋体"/>
                <w:color w:val="auto"/>
              </w:rPr>
              <w:t>分）</w:t>
            </w:r>
          </w:p>
          <w:p>
            <w:pPr>
              <w:rPr>
                <w:rFonts w:hint="eastAsia" w:ascii="宋体" w:hAnsi="宋体" w:eastAsia="宋体" w:cs="宋体"/>
                <w:color w:val="auto"/>
              </w:rPr>
            </w:pPr>
          </w:p>
        </w:tc>
        <w:tc>
          <w:tcPr>
            <w:tcW w:w="1157" w:type="dxa"/>
            <w:vAlign w:val="center"/>
          </w:tcPr>
          <w:p>
            <w:pPr>
              <w:ind w:firstLine="0"/>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技术要求响应</w:t>
            </w:r>
          </w:p>
          <w:p>
            <w:pPr>
              <w:jc w:val="center"/>
              <w:rPr>
                <w:rFonts w:hint="eastAsia" w:ascii="宋体" w:hAnsi="宋体" w:eastAsia="宋体" w:cs="宋体"/>
                <w:color w:val="auto"/>
              </w:rPr>
            </w:pPr>
            <w:r>
              <w:rPr>
                <w:rFonts w:hint="eastAsia" w:ascii="宋体" w:hAnsi="宋体" w:eastAsia="宋体" w:cs="宋体"/>
                <w:color w:val="000000" w:themeColor="text1"/>
                <w:szCs w:val="21"/>
                <w14:textFill>
                  <w14:solidFill>
                    <w14:schemeClr w14:val="tx1"/>
                  </w14:solidFill>
                </w14:textFill>
              </w:rPr>
              <w:t>（30分）</w:t>
            </w:r>
          </w:p>
        </w:tc>
        <w:tc>
          <w:tcPr>
            <w:tcW w:w="7465" w:type="dxa"/>
            <w:vAlign w:val="center"/>
          </w:tcPr>
          <w:p>
            <w:pPr>
              <w:pStyle w:val="59"/>
              <w:ind w:firstLine="480" w:firstLineChars="200"/>
              <w:rPr>
                <w:rFonts w:hint="eastAsia" w:ascii="宋体" w:hAnsi="宋体" w:eastAsia="宋体" w:cs="宋体"/>
                <w:lang w:val="en-US" w:eastAsia="zh-CN"/>
              </w:rPr>
            </w:pPr>
            <w:r>
              <w:rPr>
                <w:rFonts w:hint="eastAsia" w:ascii="宋体" w:hAnsi="宋体" w:eastAsia="宋体" w:cs="宋体"/>
                <w:color w:val="000000" w:themeColor="text1"/>
                <w14:textFill>
                  <w14:solidFill>
                    <w14:schemeClr w14:val="tx1"/>
                  </w14:solidFill>
                </w14:textFill>
              </w:rPr>
              <w:t>根据投标单位所投产品的技术参数与招标文件要求比较，完全响应招标文件要求（即未偏离或正偏离）的得30分；每有一项关键标“▲”技术参数存在负偏离的扣2分；其他标准和要求存在负偏离的扣 1分；本项最高30分，扣完为止。（标“▲”技术参数需提供证明材料并加盖投标人公章，否则视为负偏离）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8" w:hRule="atLeast"/>
          <w:jc w:val="center"/>
        </w:trPr>
        <w:tc>
          <w:tcPr>
            <w:tcW w:w="1272" w:type="dxa"/>
            <w:vMerge w:val="continue"/>
            <w:vAlign w:val="center"/>
          </w:tcPr>
          <w:p>
            <w:pPr>
              <w:rPr>
                <w:rFonts w:hint="eastAsia" w:ascii="宋体" w:hAnsi="宋体" w:eastAsia="宋体" w:cs="宋体"/>
                <w:color w:val="auto"/>
              </w:rPr>
            </w:pPr>
          </w:p>
        </w:tc>
        <w:tc>
          <w:tcPr>
            <w:tcW w:w="1157" w:type="dxa"/>
            <w:vAlign w:val="center"/>
          </w:tcPr>
          <w:p>
            <w:pPr>
              <w:widowControl/>
              <w:ind w:firstLine="0" w:firstLineChars="0"/>
              <w:jc w:val="center"/>
              <w:textAlignment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售后服务能力</w:t>
            </w:r>
          </w:p>
          <w:p>
            <w:pPr>
              <w:widowControl/>
              <w:jc w:val="left"/>
              <w:textAlignment w:val="center"/>
              <w:rPr>
                <w:rFonts w:hint="eastAsia" w:ascii="宋体" w:hAnsi="宋体" w:eastAsia="宋体" w:cs="宋体"/>
                <w:color w:val="auto"/>
              </w:rPr>
            </w:pPr>
            <w:r>
              <w:rPr>
                <w:rFonts w:hint="eastAsia" w:ascii="宋体" w:hAnsi="宋体" w:eastAsia="宋体" w:cs="宋体"/>
                <w:color w:val="000000" w:themeColor="text1"/>
                <w:szCs w:val="21"/>
                <w14:textFill>
                  <w14:solidFill>
                    <w14:schemeClr w14:val="tx1"/>
                  </w14:solidFill>
                </w14:textFill>
              </w:rPr>
              <w:t>（10分）</w:t>
            </w:r>
          </w:p>
        </w:tc>
        <w:tc>
          <w:tcPr>
            <w:tcW w:w="7465" w:type="dxa"/>
            <w:vAlign w:val="center"/>
          </w:tcPr>
          <w:p>
            <w:pPr>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w:t>
            </w:r>
            <w:r>
              <w:rPr>
                <w:rFonts w:hint="eastAsia" w:ascii="宋体" w:hAnsi="宋体" w:eastAsia="宋体" w:cs="宋体"/>
                <w:color w:val="000000" w:themeColor="text1"/>
                <w:szCs w:val="21"/>
                <w14:textFill>
                  <w14:solidFill>
                    <w14:schemeClr w14:val="tx1"/>
                  </w14:solidFill>
                </w14:textFill>
              </w:rPr>
              <w:t>提供完善的项目技术服务方案；测试及配合全程调试方案；故障、应急处理保障方案（包括售后服务机构、售后服务机构装备、备品备件、故障响应时间、维护承诺等）；项目的服务人员培训计划的描述；服务人员配置计划；定期性检查方案；</w:t>
            </w:r>
          </w:p>
          <w:p>
            <w:pPr>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w:t>
            </w:r>
            <w:r>
              <w:rPr>
                <w:rFonts w:hint="eastAsia" w:ascii="宋体" w:hAnsi="宋体" w:eastAsia="宋体" w:cs="宋体"/>
                <w:color w:val="000000" w:themeColor="text1"/>
                <w:szCs w:val="21"/>
                <w14:textFill>
                  <w14:solidFill>
                    <w14:schemeClr w14:val="tx1"/>
                  </w14:solidFill>
                </w14:textFill>
              </w:rPr>
              <w:t>所提供的方案内容完整、合理得10分；</w:t>
            </w:r>
          </w:p>
          <w:p>
            <w:pPr>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w:t>
            </w:r>
            <w:r>
              <w:rPr>
                <w:rFonts w:hint="eastAsia" w:ascii="宋体" w:hAnsi="宋体" w:eastAsia="宋体" w:cs="宋体"/>
                <w:color w:val="000000" w:themeColor="text1"/>
                <w:szCs w:val="21"/>
                <w14:textFill>
                  <w14:solidFill>
                    <w14:schemeClr w14:val="tx1"/>
                  </w14:solidFill>
                </w14:textFill>
              </w:rPr>
              <w:t>所提供的方案内容较完整、较合理得6分；</w:t>
            </w:r>
          </w:p>
          <w:p>
            <w:pPr>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w:t>
            </w:r>
            <w:r>
              <w:rPr>
                <w:rFonts w:hint="eastAsia" w:ascii="宋体" w:hAnsi="宋体" w:eastAsia="宋体" w:cs="宋体"/>
                <w:color w:val="000000" w:themeColor="text1"/>
                <w:szCs w:val="21"/>
                <w14:textFill>
                  <w14:solidFill>
                    <w14:schemeClr w14:val="tx1"/>
                  </w14:solidFill>
                </w14:textFill>
              </w:rPr>
              <w:t>所提供的方案内容一般得2分；</w:t>
            </w:r>
          </w:p>
          <w:p>
            <w:pPr>
              <w:widowControl/>
              <w:jc w:val="left"/>
              <w:textAlignment w:val="center"/>
              <w:rPr>
                <w:rFonts w:hint="eastAsia" w:ascii="宋体" w:hAnsi="宋体" w:eastAsia="宋体" w:cs="宋体"/>
                <w:color w:val="auto"/>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单位不提供方案或理解差的不得分。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jc w:val="center"/>
        </w:trPr>
        <w:tc>
          <w:tcPr>
            <w:tcW w:w="1272" w:type="dxa"/>
            <w:vMerge w:val="continue"/>
            <w:vAlign w:val="center"/>
          </w:tcPr>
          <w:p>
            <w:pPr>
              <w:rPr>
                <w:rFonts w:hint="eastAsia" w:ascii="宋体" w:hAnsi="宋体" w:eastAsia="宋体" w:cs="宋体"/>
                <w:color w:val="auto"/>
              </w:rPr>
            </w:pPr>
          </w:p>
        </w:tc>
        <w:tc>
          <w:tcPr>
            <w:tcW w:w="1157" w:type="dxa"/>
            <w:vAlign w:val="center"/>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实施方案能力</w:t>
            </w:r>
          </w:p>
          <w:p>
            <w:pPr>
              <w:jc w:val="center"/>
              <w:rPr>
                <w:rFonts w:hint="eastAsia" w:ascii="宋体" w:hAnsi="宋体" w:eastAsia="宋体" w:cs="宋体"/>
                <w:color w:val="auto"/>
              </w:rPr>
            </w:pPr>
            <w:r>
              <w:rPr>
                <w:rFonts w:hint="eastAsia" w:ascii="宋体" w:hAnsi="宋体" w:eastAsia="宋体" w:cs="宋体"/>
                <w:color w:val="000000" w:themeColor="text1"/>
                <w14:textFill>
                  <w14:solidFill>
                    <w14:schemeClr w14:val="tx1"/>
                  </w14:solidFill>
                </w14:textFill>
              </w:rPr>
              <w:t>（10</w:t>
            </w:r>
            <w:r>
              <w:rPr>
                <w:rFonts w:hint="eastAsia" w:ascii="宋体" w:hAnsi="宋体" w:eastAsia="宋体" w:cs="宋体"/>
                <w:color w:val="000000" w:themeColor="text1"/>
                <w:lang w:val="en-US" w:eastAsia="zh-CN"/>
                <w14:textFill>
                  <w14:solidFill>
                    <w14:schemeClr w14:val="tx1"/>
                  </w14:solidFill>
                </w14:textFill>
              </w:rPr>
              <w:t>分</w:t>
            </w:r>
            <w:r>
              <w:rPr>
                <w:rFonts w:hint="eastAsia" w:ascii="宋体" w:hAnsi="宋体" w:eastAsia="宋体" w:cs="宋体"/>
                <w:color w:val="000000" w:themeColor="text1"/>
                <w14:textFill>
                  <w14:solidFill>
                    <w14:schemeClr w14:val="tx1"/>
                  </w14:solidFill>
                </w14:textFill>
              </w:rPr>
              <w:t>）</w:t>
            </w:r>
          </w:p>
        </w:tc>
        <w:tc>
          <w:tcPr>
            <w:tcW w:w="7465" w:type="dxa"/>
            <w:vAlign w:val="center"/>
          </w:tcPr>
          <w:p>
            <w:pPr>
              <w:pStyle w:val="8"/>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w:t>
            </w:r>
            <w:r>
              <w:rPr>
                <w:rFonts w:hint="eastAsia" w:ascii="宋体" w:hAnsi="宋体" w:eastAsia="宋体" w:cs="宋体"/>
                <w:color w:val="000000" w:themeColor="text1"/>
                <w:szCs w:val="21"/>
                <w14:textFill>
                  <w14:solidFill>
                    <w14:schemeClr w14:val="tx1"/>
                  </w14:solidFill>
                </w14:textFill>
              </w:rPr>
              <w:t>提供完善的项目实施方案、进度计划管理方案、测试方案、培训方案、验收方案，并提供先进的项目管理手段，能够方便用户的参与管理。根据实施方案的完整性、可行性，与招标文件符合度进行综合评分。内容不可行或没有的不得分。</w:t>
            </w:r>
          </w:p>
          <w:p>
            <w:pPr>
              <w:pStyle w:val="8"/>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w:t>
            </w:r>
            <w:r>
              <w:rPr>
                <w:rFonts w:hint="eastAsia" w:ascii="宋体" w:hAnsi="宋体" w:eastAsia="宋体" w:cs="宋体"/>
                <w:color w:val="000000" w:themeColor="text1"/>
                <w:szCs w:val="21"/>
                <w14:textFill>
                  <w14:solidFill>
                    <w14:schemeClr w14:val="tx1"/>
                  </w14:solidFill>
                </w14:textFill>
              </w:rPr>
              <w:t>所提供的实施方案内容完整、合理得10分；</w:t>
            </w:r>
          </w:p>
          <w:p>
            <w:pPr>
              <w:pStyle w:val="8"/>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w:t>
            </w:r>
            <w:r>
              <w:rPr>
                <w:rFonts w:hint="eastAsia" w:ascii="宋体" w:hAnsi="宋体" w:eastAsia="宋体" w:cs="宋体"/>
                <w:color w:val="000000" w:themeColor="text1"/>
                <w:szCs w:val="21"/>
                <w14:textFill>
                  <w14:solidFill>
                    <w14:schemeClr w14:val="tx1"/>
                  </w14:solidFill>
                </w14:textFill>
              </w:rPr>
              <w:t>所提供的实施方案内容较完整、较合理得6分；</w:t>
            </w:r>
          </w:p>
          <w:p>
            <w:pPr>
              <w:pStyle w:val="8"/>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w:t>
            </w:r>
            <w:r>
              <w:rPr>
                <w:rFonts w:hint="eastAsia" w:ascii="宋体" w:hAnsi="宋体" w:eastAsia="宋体" w:cs="宋体"/>
                <w:color w:val="000000" w:themeColor="text1"/>
                <w:szCs w:val="21"/>
                <w14:textFill>
                  <w14:solidFill>
                    <w14:schemeClr w14:val="tx1"/>
                  </w14:solidFill>
                </w14:textFill>
              </w:rPr>
              <w:t>所提供的实施方案内容一般得2分；</w:t>
            </w:r>
          </w:p>
          <w:p>
            <w:pPr>
              <w:pStyle w:val="59"/>
              <w:ind w:firstLine="0"/>
              <w:rPr>
                <w:rFonts w:hint="eastAsia" w:ascii="宋体" w:hAnsi="宋体" w:eastAsia="宋体" w:cs="宋体"/>
                <w:lang w:val="en-US" w:eastAsia="zh-CN"/>
              </w:rPr>
            </w:pPr>
            <w:r>
              <w:rPr>
                <w:rFonts w:hint="eastAsia" w:ascii="宋体" w:hAnsi="宋体" w:eastAsia="宋体" w:cs="宋体"/>
                <w:color w:val="000000" w:themeColor="text1"/>
                <w:szCs w:val="21"/>
                <w14:textFill>
                  <w14:solidFill>
                    <w14:schemeClr w14:val="tx1"/>
                  </w14:solidFill>
                </w14:textFill>
              </w:rPr>
              <w:t>投标</w:t>
            </w:r>
            <w:r>
              <w:rPr>
                <w:rFonts w:hint="eastAsia" w:ascii="宋体" w:hAnsi="宋体" w:eastAsia="宋体" w:cs="宋体"/>
                <w:color w:val="000000" w:themeColor="text1"/>
                <w14:textFill>
                  <w14:solidFill>
                    <w14:schemeClr w14:val="tx1"/>
                  </w14:solidFill>
                </w14:textFill>
              </w:rPr>
              <w:t>单位不提供方案或理解差的不得分。</w:t>
            </w:r>
          </w:p>
        </w:tc>
      </w:tr>
    </w:tbl>
    <w:p>
      <w:pPr>
        <w:adjustRightInd w:val="0"/>
        <w:snapToGrid w:val="0"/>
        <w:spacing w:line="500" w:lineRule="exact"/>
        <w:jc w:val="lef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1.资格审查</w:t>
      </w:r>
    </w:p>
    <w:p>
      <w:pPr>
        <w:pStyle w:val="9"/>
        <w:adjustRightInd w:val="0"/>
        <w:snapToGrid w:val="0"/>
        <w:spacing w:line="50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1.1项目开标结束后，招标人对投标人的资格进行审查。</w:t>
      </w:r>
    </w:p>
    <w:p>
      <w:pPr>
        <w:pStyle w:val="9"/>
        <w:adjustRightInd w:val="0"/>
        <w:snapToGrid w:val="0"/>
        <w:spacing w:line="50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1.2资格审查的内容和标准：见资格审查和评标办法前附表。</w:t>
      </w:r>
    </w:p>
    <w:p>
      <w:pPr>
        <w:adjustRightInd w:val="0"/>
        <w:snapToGrid w:val="0"/>
        <w:spacing w:line="500" w:lineRule="exact"/>
        <w:jc w:val="lef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2.评标</w:t>
      </w:r>
    </w:p>
    <w:bookmarkEnd w:id="257"/>
    <w:p>
      <w:pPr>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58" w:name="_Toc14109"/>
      <w:r>
        <w:rPr>
          <w:rFonts w:hint="eastAsia" w:asciiTheme="majorEastAsia" w:hAnsiTheme="majorEastAsia" w:eastAsiaTheme="majorEastAsia" w:cstheme="majorEastAsia"/>
          <w:b/>
          <w:color w:val="auto"/>
          <w:sz w:val="24"/>
          <w:szCs w:val="24"/>
        </w:rPr>
        <w:t>2.1评标方法</w:t>
      </w:r>
      <w:bookmarkEnd w:id="258"/>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评标采用综合评分法，评标委员会对满足招标文件实质要求的投标文件，按照本章规定的程序和方法进行评审，并按总得分由高到低顺序推荐中标候选人。</w:t>
      </w:r>
    </w:p>
    <w:p>
      <w:pPr>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59" w:name="_Toc4675"/>
      <w:r>
        <w:rPr>
          <w:rFonts w:hint="eastAsia" w:asciiTheme="majorEastAsia" w:hAnsiTheme="majorEastAsia" w:eastAsiaTheme="majorEastAsia" w:cstheme="majorEastAsia"/>
          <w:b/>
          <w:color w:val="auto"/>
          <w:sz w:val="24"/>
          <w:szCs w:val="24"/>
        </w:rPr>
        <w:t>2.2初步评审</w:t>
      </w:r>
      <w:bookmarkEnd w:id="259"/>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2.2.1评标委员会对通过资格审查的投标人进行初步评审。</w:t>
      </w:r>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2.2.2初步评审的内容为投标文件的符合性评审。符合性评审的内容及标准：见资格审查和评标办法前附表。</w:t>
      </w:r>
    </w:p>
    <w:p>
      <w:pPr>
        <w:pStyle w:val="9"/>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60" w:name="_Toc3825"/>
      <w:r>
        <w:rPr>
          <w:rFonts w:hint="eastAsia" w:asciiTheme="majorEastAsia" w:hAnsiTheme="majorEastAsia" w:eastAsiaTheme="majorEastAsia" w:cstheme="majorEastAsia"/>
          <w:b/>
          <w:color w:val="auto"/>
          <w:sz w:val="24"/>
          <w:szCs w:val="24"/>
        </w:rPr>
        <w:t>2.3详细评审</w:t>
      </w:r>
      <w:bookmarkEnd w:id="260"/>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2.3.1评标委员会对通过初步评审的投标人进行详细评审。</w:t>
      </w:r>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2.3.2详细评审的内容及标准：见资格审查和评标办法前附表。</w:t>
      </w:r>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2.3.3因落实政府采购政策进行价格调整的，以调整后的价格计算评标基准价和投标报价。</w:t>
      </w:r>
    </w:p>
    <w:p>
      <w:pPr>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61" w:name="_Toc8887"/>
      <w:bookmarkStart w:id="262" w:name="_Toc426469924"/>
      <w:r>
        <w:rPr>
          <w:rFonts w:hint="eastAsia" w:asciiTheme="majorEastAsia" w:hAnsiTheme="majorEastAsia" w:eastAsiaTheme="majorEastAsia" w:cstheme="majorEastAsia"/>
          <w:b/>
          <w:color w:val="auto"/>
          <w:sz w:val="24"/>
          <w:szCs w:val="24"/>
        </w:rPr>
        <w:t>2.4评标报告</w:t>
      </w:r>
      <w:bookmarkEnd w:id="261"/>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2.4.1详细评审结束后，评标委员会负责编写评标报告。</w:t>
      </w:r>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2.4.2采购代理机构自评审结束之日起2个工作日内将评标报告送交招标人。</w:t>
      </w:r>
    </w:p>
    <w:p>
      <w:pPr>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63" w:name="_Toc27999"/>
      <w:r>
        <w:rPr>
          <w:rFonts w:hint="eastAsia" w:asciiTheme="majorEastAsia" w:hAnsiTheme="majorEastAsia" w:eastAsiaTheme="majorEastAsia" w:cstheme="majorEastAsia"/>
          <w:b/>
          <w:color w:val="auto"/>
          <w:sz w:val="24"/>
          <w:szCs w:val="24"/>
        </w:rPr>
        <w:t>2.5澄清、说明或补正</w:t>
      </w:r>
      <w:bookmarkEnd w:id="263"/>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2.5.1评标委员会在评审过程中，可以要求投标人对投标文件中含义不明确、同类问题表述不一致或者有明显文字和计算错误的内容等作出必要的澄清、说明或者更正。</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2.5.2评标委员会要求投标人澄清、说明或者更正投标文件应当以书面形式作出。</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2.5.3投标人的澄清、说明或者更正应当由法定代表人或其授权代表签字或者加盖公章。由授权代表签字的，应当附法定代表人授权书。投标人的书面澄清材料作为投标文件的补充。</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2.5.4投标人的澄清、说明或者更正不得超出投标文件的范围或者改变投标文件的实质性内容。</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2.5.5评标委员会不得接受投标人主动提出的澄清、说明或补正。</w:t>
      </w:r>
    </w:p>
    <w:p>
      <w:pPr>
        <w:adjustRightInd w:val="0"/>
        <w:snapToGrid w:val="0"/>
        <w:spacing w:line="5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3.评标过程中特殊情况的处理规定</w:t>
      </w:r>
    </w:p>
    <w:p>
      <w:pPr>
        <w:pStyle w:val="9"/>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64" w:name="_Toc20779"/>
      <w:r>
        <w:rPr>
          <w:rFonts w:hint="eastAsia" w:asciiTheme="majorEastAsia" w:hAnsiTheme="majorEastAsia" w:eastAsiaTheme="majorEastAsia" w:cstheme="majorEastAsia"/>
          <w:b/>
          <w:color w:val="auto"/>
          <w:sz w:val="24"/>
          <w:szCs w:val="24"/>
        </w:rPr>
        <w:t>3.1投标报价的修正</w:t>
      </w:r>
      <w:bookmarkEnd w:id="264"/>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投标文件报价出现前后不一致的，按照下列规定修正： </w:t>
      </w:r>
    </w:p>
    <w:p>
      <w:pPr>
        <w:pStyle w:val="9"/>
        <w:adjustRightInd w:val="0"/>
        <w:snapToGrid w:val="0"/>
        <w:spacing w:line="440" w:lineRule="exact"/>
        <w:ind w:firstLine="240" w:firstLineChars="1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（1）投标文件中开标一览表内容与投标文件中相应内容不一致的，以开标一览表为准； </w:t>
      </w:r>
    </w:p>
    <w:p>
      <w:pPr>
        <w:pStyle w:val="9"/>
        <w:adjustRightInd w:val="0"/>
        <w:snapToGrid w:val="0"/>
        <w:spacing w:line="440" w:lineRule="exact"/>
        <w:ind w:firstLine="240" w:firstLineChars="1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（2）大写金额和小写金额不一致的，以大写金额为准； </w:t>
      </w:r>
    </w:p>
    <w:p>
      <w:pPr>
        <w:pStyle w:val="9"/>
        <w:adjustRightInd w:val="0"/>
        <w:snapToGrid w:val="0"/>
        <w:spacing w:line="440" w:lineRule="exact"/>
        <w:ind w:firstLine="240" w:firstLineChars="1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（3）单价金额小数点或者百分比有明显错位的，以开标一览表的总价为准，并修改单价； </w:t>
      </w:r>
    </w:p>
    <w:p>
      <w:pPr>
        <w:pStyle w:val="9"/>
        <w:adjustRightInd w:val="0"/>
        <w:snapToGrid w:val="0"/>
        <w:spacing w:line="440" w:lineRule="exact"/>
        <w:ind w:firstLine="240" w:firstLineChars="1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（4）总价金额与按单价汇总金额不一致的，以单价金额计算结果为准。 </w:t>
      </w:r>
    </w:p>
    <w:p>
      <w:pPr>
        <w:pStyle w:val="9"/>
        <w:adjustRightInd w:val="0"/>
        <w:snapToGrid w:val="0"/>
        <w:spacing w:line="44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同时出现两种以上不一致的，按照前款规定的顺序修正。修正后的报价按照本章第2.5条的规定经投标人确认后产生约束力，投标人不确认的，其投标无效。</w:t>
      </w:r>
    </w:p>
    <w:p>
      <w:pPr>
        <w:pStyle w:val="9"/>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65" w:name="_Toc6511"/>
      <w:r>
        <w:rPr>
          <w:rFonts w:hint="eastAsia" w:asciiTheme="majorEastAsia" w:hAnsiTheme="majorEastAsia" w:eastAsiaTheme="majorEastAsia" w:cstheme="majorEastAsia"/>
          <w:b/>
          <w:color w:val="auto"/>
          <w:sz w:val="24"/>
          <w:szCs w:val="24"/>
        </w:rPr>
        <w:t>3.2评标委员会成员的更换</w:t>
      </w:r>
      <w:bookmarkEnd w:id="265"/>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3.2.1评标过程中，因评标委员会成员缺席、回避或者健康等特殊原因导致评标委员会组成不符合规定的，招标人将依法补足后继续评标。被更换的评标委员会成员所作出的评标意见无效。 </w:t>
      </w:r>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3.2.2无法及时补足评标委员会成员的，招标人将停止评标活动，封存所有投标文件和开标、评标资料，依法重新组建评标委员会进行评标。原评标委员会所作出的评标意见无效。</w:t>
      </w:r>
    </w:p>
    <w:p>
      <w:pPr>
        <w:pStyle w:val="9"/>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66" w:name="_Toc26846"/>
      <w:r>
        <w:rPr>
          <w:rFonts w:hint="eastAsia" w:asciiTheme="majorEastAsia" w:hAnsiTheme="majorEastAsia" w:eastAsiaTheme="majorEastAsia" w:cstheme="majorEastAsia"/>
          <w:b/>
          <w:color w:val="auto"/>
          <w:sz w:val="24"/>
          <w:szCs w:val="24"/>
        </w:rPr>
        <w:t>3.3异常低价的处理</w:t>
      </w:r>
      <w:bookmarkEnd w:id="266"/>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pStyle w:val="9"/>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67" w:name="_Toc14415"/>
      <w:r>
        <w:rPr>
          <w:rFonts w:hint="eastAsia" w:asciiTheme="majorEastAsia" w:hAnsiTheme="majorEastAsia" w:eastAsiaTheme="majorEastAsia" w:cstheme="majorEastAsia"/>
          <w:b/>
          <w:color w:val="auto"/>
          <w:sz w:val="24"/>
          <w:szCs w:val="24"/>
        </w:rPr>
        <w:t>3.4争议解决</w:t>
      </w:r>
      <w:bookmarkEnd w:id="267"/>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评标委员会成员对需要共同认定的事项存在争议的，按照少数服从多数的原则作出结论。持不同意见的评标委员会成员须在评标报告上签署不同意见及理由。</w:t>
      </w:r>
    </w:p>
    <w:p>
      <w:pPr>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68" w:name="_Toc11631"/>
      <w:r>
        <w:rPr>
          <w:rFonts w:hint="eastAsia" w:asciiTheme="majorEastAsia" w:hAnsiTheme="majorEastAsia" w:eastAsiaTheme="majorEastAsia" w:cstheme="majorEastAsia"/>
          <w:b/>
          <w:color w:val="auto"/>
          <w:sz w:val="24"/>
          <w:szCs w:val="24"/>
        </w:rPr>
        <w:t>3.5评标终止</w:t>
      </w:r>
      <w:bookmarkEnd w:id="268"/>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pPr>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69" w:name="_Toc3496"/>
      <w:r>
        <w:rPr>
          <w:rFonts w:hint="eastAsia" w:asciiTheme="majorEastAsia" w:hAnsiTheme="majorEastAsia" w:eastAsiaTheme="majorEastAsia" w:cstheme="majorEastAsia"/>
          <w:b/>
          <w:color w:val="auto"/>
          <w:sz w:val="24"/>
          <w:szCs w:val="24"/>
        </w:rPr>
        <w:t>3.6修改评标结果</w:t>
      </w:r>
      <w:bookmarkEnd w:id="269"/>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评审组长负责汇总和核对各评标委员会成员的评审结果。在评标报告签署前，出现下列情形之一的，可以要求其当场修改评审结果：</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（1）分值汇总计算错误；</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（2）分项评分超出评分标准范围；</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（3）评标委员会成员对客观评审因素评分不一致；</w:t>
      </w:r>
    </w:p>
    <w:p>
      <w:pPr>
        <w:pStyle w:val="9"/>
        <w:adjustRightInd w:val="0"/>
        <w:snapToGrid w:val="0"/>
        <w:spacing w:line="500" w:lineRule="exact"/>
        <w:ind w:firstLine="480" w:firstLineChars="200"/>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sz w:val="24"/>
          <w:szCs w:val="24"/>
        </w:rPr>
        <w:t>（4）经评标委员会认定评分畸高或畸低。</w:t>
      </w:r>
    </w:p>
    <w:p>
      <w:pPr>
        <w:pStyle w:val="9"/>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70" w:name="_Toc12381"/>
      <w:r>
        <w:rPr>
          <w:rFonts w:hint="eastAsia" w:asciiTheme="majorEastAsia" w:hAnsiTheme="majorEastAsia" w:eastAsiaTheme="majorEastAsia" w:cstheme="majorEastAsia"/>
          <w:b/>
          <w:color w:val="auto"/>
          <w:sz w:val="24"/>
          <w:szCs w:val="24"/>
        </w:rPr>
        <w:t>3.7 投标人总分相同</w:t>
      </w:r>
      <w:bookmarkEnd w:id="270"/>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投标人总分相同时，投标报价低的排名优先；如投标报价也相同，由招标人抽签确定排序。</w:t>
      </w:r>
    </w:p>
    <w:p>
      <w:pPr>
        <w:pStyle w:val="9"/>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71" w:name="_Toc14222"/>
      <w:r>
        <w:rPr>
          <w:rFonts w:hint="eastAsia" w:asciiTheme="majorEastAsia" w:hAnsiTheme="majorEastAsia" w:eastAsiaTheme="majorEastAsia" w:cstheme="majorEastAsia"/>
          <w:b/>
          <w:color w:val="auto"/>
          <w:sz w:val="24"/>
          <w:szCs w:val="24"/>
        </w:rPr>
        <w:t>3.8评标报告签署</w:t>
      </w:r>
      <w:bookmarkEnd w:id="271"/>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pPr>
        <w:pStyle w:val="9"/>
        <w:adjustRightInd w:val="0"/>
        <w:snapToGrid w:val="0"/>
        <w:spacing w:line="5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4.判定无效投标的规定</w:t>
      </w:r>
    </w:p>
    <w:p>
      <w:pPr>
        <w:pStyle w:val="9"/>
        <w:adjustRightInd w:val="0"/>
        <w:snapToGrid w:val="0"/>
        <w:spacing w:line="500" w:lineRule="exact"/>
        <w:outlineLvl w:val="1"/>
        <w:rPr>
          <w:rFonts w:hint="eastAsia" w:asciiTheme="majorEastAsia" w:hAnsiTheme="majorEastAsia" w:eastAsiaTheme="majorEastAsia" w:cstheme="majorEastAsia"/>
          <w:b/>
          <w:color w:val="auto"/>
          <w:sz w:val="24"/>
          <w:szCs w:val="24"/>
        </w:rPr>
      </w:pPr>
      <w:bookmarkStart w:id="272" w:name="_Toc26552"/>
      <w:r>
        <w:rPr>
          <w:rFonts w:hint="eastAsia" w:asciiTheme="majorEastAsia" w:hAnsiTheme="majorEastAsia" w:eastAsiaTheme="majorEastAsia" w:cstheme="majorEastAsia"/>
          <w:b/>
          <w:color w:val="auto"/>
          <w:sz w:val="24"/>
          <w:szCs w:val="24"/>
        </w:rPr>
        <w:t>4.1开标过程中，有下列情形之一的，作无效投标处理。</w:t>
      </w:r>
      <w:bookmarkEnd w:id="272"/>
    </w:p>
    <w:p>
      <w:pPr>
        <w:pStyle w:val="9"/>
        <w:adjustRightInd w:val="0"/>
        <w:snapToGrid w:val="0"/>
        <w:spacing w:after="0"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（1）投标文件无法解密；</w:t>
      </w:r>
    </w:p>
    <w:p>
      <w:pPr>
        <w:pStyle w:val="9"/>
        <w:adjustRightInd w:val="0"/>
        <w:snapToGrid w:val="0"/>
        <w:spacing w:after="0"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（2）投标文件未在规定的时间内解密成功。</w:t>
      </w:r>
    </w:p>
    <w:p>
      <w:pPr>
        <w:pStyle w:val="9"/>
        <w:adjustRightInd w:val="0"/>
        <w:snapToGrid w:val="0"/>
        <w:spacing w:after="0" w:line="500" w:lineRule="exact"/>
        <w:rPr>
          <w:rFonts w:hint="eastAsia" w:asciiTheme="majorEastAsia" w:hAnsiTheme="majorEastAsia" w:eastAsiaTheme="majorEastAsia" w:cstheme="majorEastAsia"/>
          <w:b/>
          <w:color w:val="auto"/>
          <w:spacing w:val="-14"/>
          <w:sz w:val="24"/>
          <w:szCs w:val="24"/>
        </w:rPr>
      </w:pPr>
      <w:r>
        <w:rPr>
          <w:rFonts w:hint="eastAsia" w:asciiTheme="majorEastAsia" w:hAnsiTheme="majorEastAsia" w:eastAsiaTheme="majorEastAsia" w:cstheme="majorEastAsia"/>
          <w:b/>
          <w:color w:val="auto"/>
          <w:sz w:val="24"/>
          <w:szCs w:val="24"/>
        </w:rPr>
        <w:t>4.2资格审查过程中，</w:t>
      </w:r>
      <w:r>
        <w:rPr>
          <w:rFonts w:hint="eastAsia" w:asciiTheme="majorEastAsia" w:hAnsiTheme="majorEastAsia" w:eastAsiaTheme="majorEastAsia" w:cstheme="majorEastAsia"/>
          <w:b/>
          <w:color w:val="auto"/>
          <w:spacing w:val="-14"/>
          <w:sz w:val="24"/>
          <w:szCs w:val="24"/>
        </w:rPr>
        <w:t>投标文件出现不符合1.2项评审标准之一的，作无效标处理。</w:t>
      </w:r>
    </w:p>
    <w:p>
      <w:pPr>
        <w:pStyle w:val="9"/>
        <w:adjustRightInd w:val="0"/>
        <w:snapToGrid w:val="0"/>
        <w:spacing w:after="0" w:line="500" w:lineRule="exact"/>
        <w:outlineLvl w:val="1"/>
        <w:rPr>
          <w:rFonts w:hint="eastAsia" w:asciiTheme="majorEastAsia" w:hAnsiTheme="majorEastAsia" w:eastAsiaTheme="majorEastAsia" w:cstheme="majorEastAsia"/>
          <w:b/>
          <w:color w:val="auto"/>
          <w:spacing w:val="-14"/>
          <w:sz w:val="24"/>
          <w:szCs w:val="24"/>
        </w:rPr>
      </w:pPr>
      <w:bookmarkStart w:id="273" w:name="_Toc2805"/>
      <w:r>
        <w:rPr>
          <w:rFonts w:hint="eastAsia" w:asciiTheme="majorEastAsia" w:hAnsiTheme="majorEastAsia" w:eastAsiaTheme="majorEastAsia" w:cstheme="majorEastAsia"/>
          <w:b/>
          <w:color w:val="auto"/>
          <w:spacing w:val="-14"/>
          <w:sz w:val="24"/>
          <w:szCs w:val="24"/>
        </w:rPr>
        <w:t>4.3</w:t>
      </w:r>
      <w:r>
        <w:rPr>
          <w:rFonts w:hint="eastAsia" w:asciiTheme="majorEastAsia" w:hAnsiTheme="majorEastAsia" w:eastAsiaTheme="majorEastAsia" w:cstheme="majorEastAsia"/>
          <w:b/>
          <w:color w:val="auto"/>
          <w:sz w:val="24"/>
          <w:szCs w:val="24"/>
        </w:rPr>
        <w:t>评标过程中，有下列情形之一的，作无效投标处理。</w:t>
      </w:r>
      <w:bookmarkEnd w:id="273"/>
    </w:p>
    <w:p>
      <w:pPr>
        <w:pStyle w:val="9"/>
        <w:adjustRightInd w:val="0"/>
        <w:snapToGrid w:val="0"/>
        <w:spacing w:after="0"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（1）符合性评审时，投标文件出现不符合2.2.2项评审标准之一的；</w:t>
      </w:r>
    </w:p>
    <w:p>
      <w:pPr>
        <w:pStyle w:val="9"/>
        <w:adjustRightInd w:val="0"/>
        <w:snapToGrid w:val="0"/>
        <w:spacing w:after="0"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（2）投标人不确认评标委员会提出的投标报价修正意见的；</w:t>
      </w:r>
    </w:p>
    <w:p>
      <w:pPr>
        <w:pStyle w:val="9"/>
        <w:adjustRightInd w:val="0"/>
        <w:snapToGrid w:val="0"/>
        <w:spacing w:after="0"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（3）未按照评标委员会要求提供书面说明及相关证明材料证明其报价合理性的；</w:t>
      </w:r>
    </w:p>
    <w:p>
      <w:pPr>
        <w:pStyle w:val="9"/>
        <w:adjustRightInd w:val="0"/>
        <w:snapToGrid w:val="0"/>
        <w:spacing w:after="0"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（4）投标文件含有采购人不能接受的附加条件的。</w:t>
      </w:r>
    </w:p>
    <w:p>
      <w:pPr>
        <w:pStyle w:val="9"/>
        <w:adjustRightInd w:val="0"/>
        <w:snapToGrid w:val="0"/>
        <w:spacing w:after="0" w:line="500" w:lineRule="exact"/>
        <w:outlineLvl w:val="1"/>
        <w:rPr>
          <w:rFonts w:hint="eastAsia" w:asciiTheme="majorEastAsia" w:hAnsiTheme="majorEastAsia" w:eastAsiaTheme="majorEastAsia" w:cstheme="majorEastAsia"/>
          <w:b/>
          <w:color w:val="auto"/>
          <w:sz w:val="24"/>
          <w:szCs w:val="24"/>
        </w:rPr>
      </w:pPr>
      <w:bookmarkStart w:id="274" w:name="_Toc14142"/>
      <w:r>
        <w:rPr>
          <w:rFonts w:hint="eastAsia" w:asciiTheme="majorEastAsia" w:hAnsiTheme="majorEastAsia" w:eastAsiaTheme="majorEastAsia" w:cstheme="majorEastAsia"/>
          <w:b/>
          <w:color w:val="auto"/>
          <w:sz w:val="24"/>
          <w:szCs w:val="24"/>
        </w:rPr>
        <w:t>4.4法律、法规规定的其他投标无效情形。</w:t>
      </w:r>
      <w:bookmarkEnd w:id="248"/>
      <w:bookmarkEnd w:id="249"/>
      <w:bookmarkEnd w:id="250"/>
      <w:bookmarkEnd w:id="251"/>
      <w:bookmarkEnd w:id="252"/>
      <w:bookmarkEnd w:id="253"/>
      <w:bookmarkEnd w:id="254"/>
      <w:bookmarkEnd w:id="255"/>
      <w:bookmarkEnd w:id="262"/>
      <w:bookmarkEnd w:id="274"/>
    </w:p>
    <w:p>
      <w:pPr>
        <w:pStyle w:val="9"/>
        <w:rPr>
          <w:rFonts w:hint="eastAsia" w:asciiTheme="majorEastAsia" w:hAnsiTheme="majorEastAsia" w:eastAsiaTheme="majorEastAsia" w:cstheme="majorEastAsia"/>
          <w:color w:val="auto"/>
        </w:rPr>
      </w:pPr>
    </w:p>
    <w:p>
      <w:pPr>
        <w:adjustRightInd w:val="0"/>
        <w:snapToGrid w:val="0"/>
        <w:spacing w:line="500" w:lineRule="exact"/>
        <w:ind w:left="0"/>
        <w:jc w:val="center"/>
        <w:outlineLvl w:val="0"/>
        <w:rPr>
          <w:rFonts w:hint="eastAsia" w:asciiTheme="majorEastAsia" w:hAnsiTheme="majorEastAsia" w:eastAsiaTheme="majorEastAsia" w:cstheme="majorEastAsia"/>
          <w:b/>
          <w:color w:val="auto"/>
          <w:lang w:eastAsia="zh-CN"/>
        </w:rPr>
      </w:pPr>
      <w:bookmarkStart w:id="275" w:name="_Toc7380"/>
      <w:bookmarkStart w:id="276" w:name="_Toc390098908"/>
      <w:bookmarkStart w:id="277" w:name="_Toc383698715"/>
      <w:bookmarkStart w:id="278" w:name="_Toc383623741"/>
      <w:bookmarkStart w:id="279" w:name="_Toc383624013"/>
      <w:bookmarkStart w:id="280" w:name="_Toc425871381"/>
      <w:bookmarkStart w:id="281" w:name="_Toc390246973"/>
      <w:bookmarkStart w:id="282" w:name="_Toc390099086"/>
      <w:bookmarkStart w:id="283" w:name="_Toc383626062"/>
      <w:bookmarkStart w:id="284" w:name="_Toc383679815"/>
      <w:r>
        <w:rPr>
          <w:rFonts w:hint="eastAsia" w:asciiTheme="majorEastAsia" w:hAnsiTheme="majorEastAsia" w:eastAsiaTheme="majorEastAsia" w:cstheme="majorEastAsia"/>
          <w:b/>
          <w:color w:val="auto"/>
        </w:rPr>
        <w:br w:type="page"/>
      </w:r>
    </w:p>
    <w:p>
      <w:pPr>
        <w:pStyle w:val="20"/>
        <w:numPr>
          <w:ilvl w:val="0"/>
          <w:numId w:val="2"/>
        </w:numPr>
        <w:adjustRightInd w:val="0"/>
        <w:snapToGrid w:val="0"/>
        <w:spacing w:line="360" w:lineRule="auto"/>
        <w:ind w:left="0" w:firstLine="0"/>
        <w:jc w:val="center"/>
        <w:outlineLvl w:val="0"/>
        <w:rPr>
          <w:rFonts w:hint="eastAsia" w:asciiTheme="majorEastAsia" w:hAnsiTheme="majorEastAsia" w:eastAsiaTheme="majorEastAsia" w:cstheme="majorEastAsia"/>
          <w:b/>
          <w:color w:val="auto"/>
          <w:lang w:eastAsia="zh-CN"/>
        </w:rPr>
      </w:pPr>
      <w:r>
        <w:rPr>
          <w:rFonts w:hint="eastAsia" w:asciiTheme="majorEastAsia" w:hAnsiTheme="majorEastAsia" w:eastAsiaTheme="majorEastAsia" w:cstheme="majorEastAsia"/>
          <w:b/>
          <w:color w:val="auto"/>
        </w:rPr>
        <w:t>合同条款</w:t>
      </w:r>
      <w:bookmarkStart w:id="285" w:name="_Toc288030332"/>
      <w:bookmarkStart w:id="286" w:name="_Toc16938559"/>
      <w:bookmarkStart w:id="287" w:name="_Toc382812484"/>
      <w:bookmarkStart w:id="288" w:name="_Toc383587505"/>
      <w:bookmarkStart w:id="289" w:name="_Toc120614222"/>
      <w:bookmarkStart w:id="290" w:name="_Toc390098887"/>
      <w:bookmarkStart w:id="291" w:name="_Toc382812295"/>
      <w:bookmarkStart w:id="292" w:name="_Toc382814014"/>
      <w:bookmarkStart w:id="293" w:name="_Toc390099065"/>
      <w:bookmarkStart w:id="294" w:name="_Toc425871366"/>
      <w:bookmarkStart w:id="295" w:name="_Toc383679794"/>
      <w:bookmarkStart w:id="296" w:name="_Toc383623720"/>
      <w:bookmarkStart w:id="297" w:name="_Toc390246952"/>
      <w:bookmarkStart w:id="298" w:name="_Toc383698694"/>
      <w:bookmarkStart w:id="299" w:name="_Toc382811181"/>
      <w:bookmarkStart w:id="300" w:name="_Toc282446296"/>
      <w:bookmarkStart w:id="301" w:name="_Toc383626041"/>
      <w:bookmarkStart w:id="302" w:name="_Toc383623992"/>
      <w:bookmarkStart w:id="303" w:name="_Toc382813933"/>
      <w:bookmarkStart w:id="304" w:name="_Toc20823315"/>
      <w:bookmarkStart w:id="305" w:name="_Toc513029243"/>
      <w:bookmarkStart w:id="306" w:name="_Toc382811586"/>
      <w:r>
        <w:rPr>
          <w:rFonts w:hint="eastAsia" w:asciiTheme="majorEastAsia" w:hAnsiTheme="majorEastAsia" w:eastAsiaTheme="majorEastAsia" w:cstheme="majorEastAsia"/>
          <w:b/>
          <w:color w:val="auto"/>
          <w:lang w:eastAsia="zh-CN"/>
        </w:rPr>
        <w:t>（仅供参考）</w:t>
      </w:r>
      <w:bookmarkEnd w:id="275"/>
    </w:p>
    <w:p>
      <w:pPr>
        <w:widowControl/>
        <w:shd w:val="clear" w:color="auto" w:fill="FFFFFF"/>
        <w:spacing w:line="360" w:lineRule="auto"/>
        <w:jc w:val="center"/>
        <w:outlineLvl w:val="1"/>
        <w:rPr>
          <w:rFonts w:hint="eastAsia" w:asciiTheme="majorEastAsia" w:hAnsiTheme="majorEastAsia" w:eastAsiaTheme="majorEastAsia" w:cstheme="majorEastAsia"/>
          <w:b/>
          <w:bCs/>
          <w:color w:val="auto"/>
          <w:kern w:val="0"/>
          <w:sz w:val="24"/>
          <w:szCs w:val="24"/>
        </w:rPr>
      </w:pPr>
      <w:bookmarkStart w:id="307" w:name="_Toc26484"/>
      <w:r>
        <w:rPr>
          <w:rFonts w:hint="eastAsia" w:asciiTheme="majorEastAsia" w:hAnsiTheme="majorEastAsia" w:eastAsiaTheme="majorEastAsia" w:cstheme="majorEastAsia"/>
          <w:b/>
          <w:bCs/>
          <w:color w:val="auto"/>
          <w:kern w:val="0"/>
          <w:sz w:val="24"/>
          <w:szCs w:val="24"/>
        </w:rPr>
        <w:t>（本项目最终签订的合同由合同双方协商后确定）</w:t>
      </w:r>
      <w:bookmarkEnd w:id="307"/>
    </w:p>
    <w:p>
      <w:pPr>
        <w:widowControl/>
        <w:shd w:val="clear" w:color="auto" w:fill="FFFFFF"/>
        <w:spacing w:line="360" w:lineRule="auto"/>
        <w:ind w:firstLine="315"/>
        <w:rPr>
          <w:rFonts w:hint="eastAsia" w:asciiTheme="majorEastAsia" w:hAnsiTheme="majorEastAsia" w:eastAsiaTheme="majorEastAsia" w:cstheme="majorEastAsia"/>
          <w:color w:val="auto"/>
          <w:kern w:val="0"/>
          <w:szCs w:val="24"/>
        </w:rPr>
      </w:pPr>
      <w:r>
        <w:rPr>
          <w:rFonts w:hint="eastAsia" w:asciiTheme="majorEastAsia" w:hAnsiTheme="majorEastAsia" w:eastAsiaTheme="majorEastAsia" w:cstheme="majorEastAsia"/>
          <w:b/>
          <w:bCs/>
          <w:color w:val="auto"/>
          <w:kern w:val="0"/>
          <w:sz w:val="24"/>
          <w:szCs w:val="24"/>
        </w:rPr>
        <w:t> </w:t>
      </w:r>
    </w:p>
    <w:p>
      <w:pPr>
        <w:widowControl/>
        <w:shd w:val="clear" w:color="auto" w:fill="FFFFFF"/>
        <w:spacing w:line="360" w:lineRule="auto"/>
        <w:rPr>
          <w:rFonts w:hint="eastAsia" w:asciiTheme="majorEastAsia" w:hAnsiTheme="majorEastAsia" w:eastAsiaTheme="majorEastAsia" w:cstheme="majorEastAsia"/>
          <w:b/>
          <w:bCs/>
          <w:color w:val="auto"/>
          <w:kern w:val="0"/>
          <w:sz w:val="24"/>
          <w:szCs w:val="24"/>
        </w:rPr>
      </w:pPr>
    </w:p>
    <w:p>
      <w:pPr>
        <w:widowControl/>
        <w:shd w:val="clear" w:color="auto" w:fill="FFFFFF"/>
        <w:spacing w:line="360" w:lineRule="auto"/>
        <w:rPr>
          <w:rFonts w:hint="eastAsia" w:asciiTheme="majorEastAsia" w:hAnsiTheme="majorEastAsia" w:eastAsiaTheme="majorEastAsia" w:cstheme="majorEastAsia"/>
          <w:color w:val="auto"/>
          <w:kern w:val="0"/>
          <w:sz w:val="24"/>
          <w:szCs w:val="24"/>
        </w:rPr>
      </w:pPr>
    </w:p>
    <w:p>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b/>
          <w:bCs/>
          <w:color w:val="auto"/>
          <w:kern w:val="0"/>
          <w:sz w:val="24"/>
          <w:szCs w:val="24"/>
        </w:rPr>
        <w:t>合同编号 ：</w:t>
      </w:r>
      <w:r>
        <w:rPr>
          <w:rFonts w:hint="eastAsia" w:asciiTheme="majorEastAsia" w:hAnsiTheme="majorEastAsia" w:eastAsiaTheme="majorEastAsia" w:cstheme="majorEastAsia"/>
          <w:b/>
          <w:bCs/>
          <w:color w:val="auto"/>
          <w:kern w:val="0"/>
          <w:sz w:val="24"/>
          <w:szCs w:val="24"/>
          <w:u w:val="single"/>
        </w:rPr>
        <w:t>          </w:t>
      </w:r>
    </w:p>
    <w:p>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b/>
          <w:bCs/>
          <w:color w:val="auto"/>
          <w:kern w:val="0"/>
          <w:sz w:val="24"/>
          <w:szCs w:val="24"/>
        </w:rPr>
        <w:t>项目名称 ：</w:t>
      </w:r>
      <w:r>
        <w:rPr>
          <w:rFonts w:hint="eastAsia" w:asciiTheme="majorEastAsia" w:hAnsiTheme="majorEastAsia" w:eastAsiaTheme="majorEastAsia" w:cstheme="majorEastAsia"/>
          <w:b/>
          <w:bCs/>
          <w:color w:val="auto"/>
          <w:kern w:val="0"/>
          <w:sz w:val="24"/>
          <w:szCs w:val="24"/>
          <w:u w:val="single"/>
        </w:rPr>
        <w:t>          </w:t>
      </w:r>
    </w:p>
    <w:p>
      <w:pPr>
        <w:widowControl/>
        <w:shd w:val="clear" w:color="auto" w:fill="FFFFFF"/>
        <w:spacing w:line="420" w:lineRule="auto"/>
        <w:ind w:firstLine="1918"/>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b/>
          <w:bCs/>
          <w:color w:val="auto"/>
          <w:kern w:val="0"/>
          <w:sz w:val="24"/>
          <w:szCs w:val="24"/>
        </w:rPr>
        <w:t>甲  方 ：</w:t>
      </w:r>
      <w:r>
        <w:rPr>
          <w:rFonts w:hint="eastAsia" w:asciiTheme="majorEastAsia" w:hAnsiTheme="majorEastAsia" w:eastAsiaTheme="majorEastAsia" w:cstheme="majorEastAsia"/>
          <w:b/>
          <w:bCs/>
          <w:color w:val="auto"/>
          <w:kern w:val="0"/>
          <w:sz w:val="24"/>
          <w:szCs w:val="24"/>
          <w:u w:val="single"/>
        </w:rPr>
        <w:t>          </w:t>
      </w:r>
    </w:p>
    <w:p>
      <w:pPr>
        <w:widowControl/>
        <w:shd w:val="clear" w:color="auto" w:fill="FFFFFF"/>
        <w:spacing w:line="420" w:lineRule="auto"/>
        <w:ind w:firstLine="1916"/>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b/>
          <w:bCs/>
          <w:color w:val="auto"/>
          <w:kern w:val="0"/>
          <w:sz w:val="24"/>
          <w:szCs w:val="24"/>
        </w:rPr>
        <w:t>乙  方 ：</w:t>
      </w:r>
      <w:r>
        <w:rPr>
          <w:rFonts w:hint="eastAsia" w:asciiTheme="majorEastAsia" w:hAnsiTheme="majorEastAsia" w:eastAsiaTheme="majorEastAsia" w:cstheme="majorEastAsia"/>
          <w:b/>
          <w:bCs/>
          <w:color w:val="auto"/>
          <w:kern w:val="0"/>
          <w:sz w:val="24"/>
          <w:szCs w:val="24"/>
          <w:u w:val="single"/>
        </w:rPr>
        <w:t>          </w:t>
      </w:r>
    </w:p>
    <w:p>
      <w:pPr>
        <w:widowControl/>
        <w:shd w:val="clear" w:color="auto" w:fill="FFFFFF"/>
        <w:spacing w:line="420" w:lineRule="auto"/>
        <w:ind w:firstLine="1916"/>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b/>
          <w:bCs/>
          <w:color w:val="auto"/>
          <w:kern w:val="0"/>
          <w:sz w:val="24"/>
          <w:szCs w:val="24"/>
        </w:rPr>
        <w:t>签订日期 ：</w:t>
      </w:r>
      <w:r>
        <w:rPr>
          <w:rFonts w:hint="eastAsia" w:asciiTheme="majorEastAsia" w:hAnsiTheme="majorEastAsia" w:eastAsiaTheme="majorEastAsia" w:cstheme="majorEastAsia"/>
          <w:b/>
          <w:bCs/>
          <w:color w:val="auto"/>
          <w:kern w:val="0"/>
          <w:sz w:val="24"/>
          <w:szCs w:val="24"/>
          <w:u w:val="single"/>
        </w:rPr>
        <w:t>          </w:t>
      </w:r>
    </w:p>
    <w:p>
      <w:pPr>
        <w:widowControl/>
        <w:shd w:val="clear" w:color="auto" w:fill="FFFFFF"/>
        <w:spacing w:line="360" w:lineRule="auto"/>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      </w:t>
      </w:r>
      <w:r>
        <w:rPr>
          <w:rFonts w:hint="eastAsia" w:asciiTheme="majorEastAsia" w:hAnsiTheme="majorEastAsia" w:eastAsiaTheme="majorEastAsia" w:cstheme="majorEastAsia"/>
          <w:b/>
          <w:bCs/>
          <w:color w:val="auto"/>
          <w:kern w:val="0"/>
          <w:sz w:val="24"/>
          <w:szCs w:val="24"/>
        </w:rPr>
        <w:t>   </w:t>
      </w:r>
    </w:p>
    <w:p>
      <w:pPr>
        <w:widowControl/>
        <w:shd w:val="clear" w:color="auto" w:fill="FFFFFF"/>
        <w:spacing w:line="360" w:lineRule="auto"/>
        <w:ind w:firstLine="2984"/>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b/>
          <w:bCs/>
          <w:color w:val="auto"/>
          <w:kern w:val="0"/>
          <w:sz w:val="24"/>
          <w:szCs w:val="24"/>
        </w:rPr>
        <w:t> </w:t>
      </w:r>
    </w:p>
    <w:p>
      <w:pPr>
        <w:spacing w:line="800" w:lineRule="exact"/>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kern w:val="0"/>
          <w:sz w:val="24"/>
        </w:rPr>
        <w:br w:type="page"/>
      </w:r>
    </w:p>
    <w:p>
      <w:pPr>
        <w:widowControl/>
        <w:jc w:val="left"/>
        <w:rPr>
          <w:rFonts w:hint="eastAsia" w:asciiTheme="majorEastAsia" w:hAnsiTheme="majorEastAsia" w:eastAsiaTheme="majorEastAsia" w:cstheme="majorEastAsia"/>
          <w:color w:val="auto"/>
          <w:szCs w:val="24"/>
        </w:rPr>
      </w:pPr>
    </w:p>
    <w:p>
      <w:pPr>
        <w:pStyle w:val="3"/>
        <w:numPr>
          <w:ilvl w:val="0"/>
          <w:numId w:val="0"/>
        </w:numPr>
        <w:spacing w:line="360" w:lineRule="auto"/>
        <w:ind w:left="0" w:leftChars="0" w:firstLine="2711" w:firstLineChars="900"/>
        <w:jc w:val="both"/>
        <w:rPr>
          <w:rFonts w:hint="eastAsia" w:ascii="宋体" w:hAnsi="宋体" w:eastAsia="宋体" w:cs="宋体"/>
          <w:b/>
          <w:bCs/>
          <w:sz w:val="30"/>
          <w:szCs w:val="30"/>
        </w:rPr>
      </w:pPr>
      <w:r>
        <w:rPr>
          <w:rFonts w:hint="eastAsia" w:ascii="宋体" w:hAnsi="宋体" w:eastAsia="宋体" w:cs="宋体"/>
          <w:b/>
          <w:bCs/>
          <w:sz w:val="30"/>
          <w:szCs w:val="30"/>
        </w:rPr>
        <w:t>一、通用合同条款部分</w:t>
      </w:r>
    </w:p>
    <w:p>
      <w:pPr>
        <w:spacing w:line="360" w:lineRule="auto"/>
        <w:ind w:firstLine="480" w:firstLineChars="200"/>
        <w:rPr>
          <w:rFonts w:hint="eastAsia" w:ascii="宋体" w:hAnsi="宋体" w:eastAsia="宋体" w:cs="宋体"/>
          <w:sz w:val="24"/>
          <w:szCs w:val="24"/>
        </w:rPr>
      </w:pPr>
      <w:bookmarkStart w:id="308" w:name="_Toc382811588"/>
      <w:bookmarkStart w:id="309" w:name="_Toc382812486"/>
      <w:bookmarkStart w:id="310" w:name="_Toc383698695"/>
      <w:bookmarkStart w:id="311" w:name="_Toc382814016"/>
      <w:bookmarkStart w:id="312" w:name="_Toc390246953"/>
      <w:bookmarkStart w:id="313" w:name="_Toc425871367"/>
      <w:bookmarkStart w:id="314" w:name="_Toc120614224"/>
      <w:bookmarkStart w:id="315" w:name="_Toc382812297"/>
      <w:bookmarkStart w:id="316" w:name="_Toc288030334"/>
      <w:bookmarkStart w:id="317" w:name="_Toc382811183"/>
      <w:bookmarkStart w:id="318" w:name="_Toc16938561"/>
      <w:bookmarkStart w:id="319" w:name="_Toc382813935"/>
      <w:bookmarkStart w:id="320" w:name="_Toc282446298"/>
      <w:bookmarkStart w:id="321" w:name="_Toc383587507"/>
      <w:bookmarkStart w:id="322" w:name="_Toc383623993"/>
      <w:bookmarkStart w:id="323" w:name="_Toc383679795"/>
      <w:bookmarkStart w:id="324" w:name="_Toc390098888"/>
      <w:bookmarkStart w:id="325" w:name="_Toc383623721"/>
      <w:bookmarkStart w:id="326" w:name="_Toc390099066"/>
      <w:bookmarkStart w:id="327" w:name="_Toc513029245"/>
      <w:bookmarkStart w:id="328" w:name="_Toc383626042"/>
      <w:bookmarkStart w:id="329" w:name="_Toc20823317"/>
      <w:r>
        <w:rPr>
          <w:rFonts w:hint="eastAsia" w:ascii="宋体" w:hAnsi="宋体" w:eastAsia="宋体" w:cs="宋体"/>
          <w:sz w:val="24"/>
          <w:szCs w:val="24"/>
        </w:rPr>
        <w:t>1、定义</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本合同中的下列术语应解释为：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（1）“合同”系指买方、见证方与卖方签署的、合同格式中载明的买方与卖方所达成的协议，包括所有的附件、附录和构成合同的所有文件。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（2）“合同价”系指根据合同规定，卖方在正确地完全履行合同义务后买方应支付给卖方的价格。</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（3）“服务”系指根据合同规定卖方承担与供货有关所有的辅助服务，如运输、保险以及其它的伴随服务，比如安装、调试、测试、提供技术服务、培训和其他所有的卖方应承担的义务。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（4）“买方”系指购买服务的</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（5）“卖方”系指提供服务的中标供应商。</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（6）“见证方”系指招标人。</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（7）“采购人”系指购买服务的</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spacing w:line="360" w:lineRule="auto"/>
        <w:ind w:firstLine="480" w:firstLineChars="200"/>
        <w:rPr>
          <w:rFonts w:hint="eastAsia" w:ascii="宋体" w:hAnsi="宋体" w:eastAsia="宋体" w:cs="宋体"/>
          <w:sz w:val="24"/>
          <w:szCs w:val="24"/>
        </w:rPr>
      </w:pPr>
      <w:bookmarkStart w:id="330" w:name="_Toc288030335"/>
      <w:bookmarkStart w:id="331" w:name="_Toc120614225"/>
      <w:bookmarkStart w:id="332" w:name="_Toc282446299"/>
      <w:bookmarkStart w:id="333" w:name="_Toc513029246"/>
      <w:bookmarkStart w:id="334" w:name="_Toc16938562"/>
      <w:bookmarkStart w:id="335" w:name="_Toc20823318"/>
      <w:bookmarkStart w:id="336" w:name="_Toc383587508"/>
      <w:bookmarkStart w:id="337" w:name="_Toc383679796"/>
      <w:bookmarkStart w:id="338" w:name="_Toc383698696"/>
      <w:bookmarkStart w:id="339" w:name="_Toc390099067"/>
      <w:bookmarkStart w:id="340" w:name="_Toc425871368"/>
      <w:bookmarkStart w:id="341" w:name="_Toc382814017"/>
      <w:bookmarkStart w:id="342" w:name="_Toc382811184"/>
      <w:bookmarkStart w:id="343" w:name="_Toc383623722"/>
      <w:bookmarkStart w:id="344" w:name="_Toc390098889"/>
      <w:bookmarkStart w:id="345" w:name="_Toc382812487"/>
      <w:bookmarkStart w:id="346" w:name="_Toc382812298"/>
      <w:bookmarkStart w:id="347" w:name="_Toc383623994"/>
      <w:bookmarkStart w:id="348" w:name="_Toc382811589"/>
      <w:bookmarkStart w:id="349" w:name="_Toc382813936"/>
      <w:bookmarkStart w:id="350" w:name="_Toc390246954"/>
      <w:bookmarkStart w:id="351" w:name="_Toc383626043"/>
      <w:r>
        <w:rPr>
          <w:rFonts w:hint="eastAsia" w:ascii="宋体" w:hAnsi="宋体" w:eastAsia="宋体" w:cs="宋体"/>
          <w:sz w:val="24"/>
          <w:szCs w:val="24"/>
        </w:rPr>
        <w:t>2、技术</w:t>
      </w:r>
      <w:bookmarkEnd w:id="330"/>
      <w:bookmarkEnd w:id="331"/>
      <w:bookmarkEnd w:id="332"/>
      <w:bookmarkEnd w:id="333"/>
      <w:bookmarkEnd w:id="334"/>
      <w:bookmarkEnd w:id="335"/>
      <w:r>
        <w:rPr>
          <w:rFonts w:hint="eastAsia" w:ascii="宋体" w:hAnsi="宋体" w:eastAsia="宋体" w:cs="宋体"/>
          <w:sz w:val="24"/>
          <w:szCs w:val="24"/>
        </w:rPr>
        <w:t>规范</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卖方所提供服务的技术规格、内容应与招标文件规定的业务要求相一致；若技术性能无相应说明，则按国家有关部门最新颁布的标准及规范为准。</w:t>
      </w:r>
    </w:p>
    <w:p>
      <w:pPr>
        <w:spacing w:line="360" w:lineRule="auto"/>
        <w:ind w:firstLine="480" w:firstLineChars="200"/>
        <w:rPr>
          <w:rFonts w:hint="eastAsia" w:ascii="宋体" w:hAnsi="宋体" w:eastAsia="宋体" w:cs="宋体"/>
          <w:sz w:val="24"/>
          <w:szCs w:val="24"/>
        </w:rPr>
      </w:pPr>
      <w:bookmarkStart w:id="352" w:name="_Toc383623995"/>
      <w:bookmarkStart w:id="353" w:name="_Toc288030336"/>
      <w:bookmarkStart w:id="354" w:name="_Toc382812488"/>
      <w:bookmarkStart w:id="355" w:name="_Toc383626044"/>
      <w:bookmarkStart w:id="356" w:name="_Toc425871369"/>
      <w:bookmarkStart w:id="357" w:name="_Toc382811590"/>
      <w:bookmarkStart w:id="358" w:name="_Toc282446300"/>
      <w:bookmarkStart w:id="359" w:name="_Toc120614226"/>
      <w:bookmarkStart w:id="360" w:name="_Toc390098890"/>
      <w:bookmarkStart w:id="361" w:name="_Toc382813937"/>
      <w:bookmarkStart w:id="362" w:name="_Toc383623723"/>
      <w:bookmarkStart w:id="363" w:name="_Toc513029247"/>
      <w:bookmarkStart w:id="364" w:name="_Toc382814018"/>
      <w:bookmarkStart w:id="365" w:name="_Toc382812299"/>
      <w:bookmarkStart w:id="366" w:name="_Toc16938563"/>
      <w:bookmarkStart w:id="367" w:name="_Toc383698697"/>
      <w:bookmarkStart w:id="368" w:name="_Toc390099068"/>
      <w:bookmarkStart w:id="369" w:name="_Toc20823319"/>
      <w:bookmarkStart w:id="370" w:name="_Toc383679797"/>
      <w:bookmarkStart w:id="371" w:name="_Toc390246955"/>
      <w:bookmarkStart w:id="372" w:name="_Toc382811185"/>
      <w:bookmarkStart w:id="373" w:name="_Toc383587509"/>
      <w:r>
        <w:rPr>
          <w:rFonts w:hint="eastAsia" w:ascii="宋体" w:hAnsi="宋体" w:eastAsia="宋体" w:cs="宋体"/>
          <w:sz w:val="24"/>
          <w:szCs w:val="24"/>
        </w:rPr>
        <w:t>3、专利权及版权</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p>
    <w:p>
      <w:pPr>
        <w:spacing w:line="360" w:lineRule="auto"/>
        <w:ind w:firstLine="480" w:firstLineChars="200"/>
        <w:rPr>
          <w:rFonts w:hint="eastAsia" w:ascii="宋体" w:hAnsi="宋体" w:eastAsia="宋体" w:cs="宋体"/>
          <w:sz w:val="24"/>
          <w:szCs w:val="24"/>
        </w:rPr>
      </w:pPr>
      <w:bookmarkStart w:id="374" w:name="_Toc16938564"/>
      <w:bookmarkStart w:id="375" w:name="_Toc288030337"/>
      <w:bookmarkStart w:id="376" w:name="_Toc20823320"/>
      <w:bookmarkStart w:id="377" w:name="_Toc513029248"/>
      <w:bookmarkStart w:id="378" w:name="_Toc282446301"/>
      <w:bookmarkStart w:id="379" w:name="_Toc120614227"/>
      <w:bookmarkStart w:id="380" w:name="_Toc383626045"/>
      <w:bookmarkStart w:id="381" w:name="_Toc383623724"/>
      <w:bookmarkStart w:id="382" w:name="_Toc383679798"/>
      <w:bookmarkStart w:id="383" w:name="_Toc390099069"/>
      <w:bookmarkStart w:id="384" w:name="_Toc382813938"/>
      <w:bookmarkStart w:id="385" w:name="_Toc383587510"/>
      <w:bookmarkStart w:id="386" w:name="_Toc383623996"/>
      <w:bookmarkStart w:id="387" w:name="_Toc382814019"/>
      <w:bookmarkStart w:id="388" w:name="_Toc390098891"/>
      <w:bookmarkStart w:id="389" w:name="_Toc390246956"/>
      <w:bookmarkStart w:id="390" w:name="_Toc425871370"/>
      <w:bookmarkStart w:id="391" w:name="_Toc383698698"/>
      <w:r>
        <w:rPr>
          <w:rFonts w:hint="eastAsia" w:ascii="宋体" w:hAnsi="宋体" w:eastAsia="宋体" w:cs="宋体"/>
          <w:sz w:val="24"/>
          <w:szCs w:val="24"/>
        </w:rPr>
        <w:t>4、</w:t>
      </w:r>
      <w:bookmarkEnd w:id="374"/>
      <w:bookmarkEnd w:id="375"/>
      <w:bookmarkEnd w:id="376"/>
      <w:bookmarkEnd w:id="377"/>
      <w:bookmarkEnd w:id="378"/>
      <w:bookmarkEnd w:id="379"/>
      <w:bookmarkStart w:id="392" w:name="_Toc288030339"/>
      <w:bookmarkStart w:id="393" w:name="_Toc16938566"/>
      <w:bookmarkStart w:id="394" w:name="_Toc513029250"/>
      <w:bookmarkStart w:id="395" w:name="_Toc282446303"/>
      <w:bookmarkStart w:id="396" w:name="_Toc20823322"/>
      <w:bookmarkStart w:id="397" w:name="_Toc120614229"/>
      <w:r>
        <w:rPr>
          <w:rFonts w:hint="eastAsia" w:ascii="宋体" w:hAnsi="宋体" w:eastAsia="宋体" w:cs="宋体"/>
          <w:sz w:val="24"/>
          <w:szCs w:val="24"/>
        </w:rPr>
        <w:t>付款</w:t>
      </w:r>
      <w:bookmarkEnd w:id="392"/>
      <w:bookmarkEnd w:id="393"/>
      <w:bookmarkEnd w:id="394"/>
      <w:bookmarkEnd w:id="395"/>
      <w:bookmarkEnd w:id="396"/>
      <w:bookmarkEnd w:id="397"/>
      <w:r>
        <w:rPr>
          <w:rFonts w:hint="eastAsia" w:ascii="宋体" w:hAnsi="宋体" w:eastAsia="宋体" w:cs="宋体"/>
          <w:sz w:val="24"/>
          <w:szCs w:val="24"/>
        </w:rPr>
        <w:t>方式</w:t>
      </w:r>
      <w:bookmarkEnd w:id="380"/>
      <w:bookmarkEnd w:id="381"/>
      <w:bookmarkEnd w:id="382"/>
      <w:bookmarkEnd w:id="383"/>
      <w:bookmarkEnd w:id="384"/>
      <w:bookmarkEnd w:id="385"/>
      <w:bookmarkEnd w:id="386"/>
      <w:bookmarkEnd w:id="387"/>
      <w:bookmarkEnd w:id="388"/>
      <w:bookmarkEnd w:id="389"/>
      <w:bookmarkEnd w:id="390"/>
      <w:bookmarkEnd w:id="391"/>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4.1本合同以人民币付款。</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4.2付款方式见合同专用条款。</w:t>
      </w:r>
    </w:p>
    <w:p>
      <w:pPr>
        <w:spacing w:line="360" w:lineRule="auto"/>
        <w:ind w:firstLine="480" w:firstLineChars="200"/>
        <w:rPr>
          <w:rFonts w:hint="eastAsia" w:ascii="宋体" w:hAnsi="宋体" w:eastAsia="宋体" w:cs="宋体"/>
          <w:sz w:val="24"/>
          <w:szCs w:val="24"/>
        </w:rPr>
      </w:pPr>
      <w:bookmarkStart w:id="398" w:name="_Toc382811186"/>
      <w:bookmarkStart w:id="399" w:name="_Toc288030340"/>
      <w:bookmarkStart w:id="400" w:name="_Toc120614230"/>
      <w:bookmarkStart w:id="401" w:name="_Toc382813939"/>
      <w:bookmarkStart w:id="402" w:name="_Toc383698699"/>
      <w:bookmarkStart w:id="403" w:name="_Toc383587511"/>
      <w:bookmarkStart w:id="404" w:name="_Toc16938567"/>
      <w:bookmarkStart w:id="405" w:name="_Toc382811591"/>
      <w:bookmarkStart w:id="406" w:name="_Toc383626046"/>
      <w:bookmarkStart w:id="407" w:name="_Toc425871371"/>
      <w:bookmarkStart w:id="408" w:name="_Toc390099070"/>
      <w:bookmarkStart w:id="409" w:name="_Toc383679799"/>
      <w:bookmarkStart w:id="410" w:name="_Toc382812489"/>
      <w:bookmarkStart w:id="411" w:name="_Toc390246957"/>
      <w:bookmarkStart w:id="412" w:name="_Toc383623725"/>
      <w:bookmarkStart w:id="413" w:name="_Toc282446304"/>
      <w:bookmarkStart w:id="414" w:name="_Toc513029251"/>
      <w:bookmarkStart w:id="415" w:name="_Toc382814020"/>
      <w:bookmarkStart w:id="416" w:name="_Toc390098892"/>
      <w:bookmarkStart w:id="417" w:name="_Toc20823323"/>
      <w:bookmarkStart w:id="418" w:name="_Toc383623997"/>
      <w:bookmarkStart w:id="419" w:name="_Toc382812300"/>
      <w:r>
        <w:rPr>
          <w:rFonts w:hint="eastAsia" w:ascii="宋体" w:hAnsi="宋体" w:eastAsia="宋体" w:cs="宋体"/>
          <w:sz w:val="24"/>
          <w:szCs w:val="24"/>
        </w:rPr>
        <w:t>5、伴随服务</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5.1卖方应按照投标文件的承诺和合同中所附的服务承诺提供服务。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5.2 除本章第5.1条规定外，卖方还应提供下列服务：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 服务的现场质量管理与监督；</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)在合同中卖方承诺的期限内对所提供服务实施运行监督、维护，但前提条件是该服务并不能免除卖方在质量保证期内应承担的义务；</w:t>
      </w:r>
    </w:p>
    <w:p>
      <w:pPr>
        <w:autoSpaceDE w:val="0"/>
        <w:autoSpaceDN w:val="0"/>
        <w:adjustRightInd w:val="0"/>
        <w:spacing w:line="340" w:lineRule="exact"/>
        <w:ind w:firstLine="420"/>
        <w:rPr>
          <w:szCs w:val="21"/>
          <w:lang w:val="zh-CN"/>
        </w:rPr>
      </w:pPr>
      <w:r>
        <w:rPr>
          <w:rFonts w:hint="eastAsia" w:ascii="宋体" w:hAnsi="宋体" w:eastAsia="宋体" w:cs="宋体"/>
          <w:sz w:val="24"/>
          <w:szCs w:val="24"/>
        </w:rPr>
        <w:t xml:space="preserve">5.3 </w:t>
      </w:r>
      <w:r>
        <w:rPr>
          <w:rFonts w:hint="eastAsia"/>
          <w:szCs w:val="21"/>
          <w:lang w:val="zh-CN"/>
        </w:rPr>
        <w:t>本合同总价款还包含乙方应当提供的伴随服务</w:t>
      </w:r>
      <w:r>
        <w:rPr>
          <w:szCs w:val="21"/>
          <w:lang w:val="zh-CN"/>
        </w:rPr>
        <w:t>/</w:t>
      </w:r>
      <w:r>
        <w:rPr>
          <w:rFonts w:hint="eastAsia"/>
          <w:szCs w:val="21"/>
          <w:lang w:val="zh-CN"/>
        </w:rPr>
        <w:t>售后服务费用。</w:t>
      </w:r>
    </w:p>
    <w:p>
      <w:pPr>
        <w:spacing w:line="360" w:lineRule="auto"/>
        <w:ind w:firstLine="480" w:firstLineChars="200"/>
        <w:rPr>
          <w:rFonts w:hint="eastAsia" w:ascii="宋体" w:hAnsi="宋体" w:eastAsia="宋体" w:cs="宋体"/>
          <w:sz w:val="24"/>
          <w:szCs w:val="24"/>
        </w:rPr>
      </w:pPr>
      <w:bookmarkStart w:id="420" w:name="_Toc390246958"/>
      <w:bookmarkStart w:id="421" w:name="_Toc16938568"/>
      <w:bookmarkStart w:id="422" w:name="_Toc425871372"/>
      <w:bookmarkStart w:id="423" w:name="_Toc383679800"/>
      <w:bookmarkStart w:id="424" w:name="_Toc20823324"/>
      <w:bookmarkStart w:id="425" w:name="_Toc383623998"/>
      <w:bookmarkStart w:id="426" w:name="_Toc382813940"/>
      <w:bookmarkStart w:id="427" w:name="_Toc383698700"/>
      <w:bookmarkStart w:id="428" w:name="_Toc282446305"/>
      <w:bookmarkStart w:id="429" w:name="_Toc383587512"/>
      <w:bookmarkStart w:id="430" w:name="_Toc120614231"/>
      <w:bookmarkStart w:id="431" w:name="_Toc382814021"/>
      <w:bookmarkStart w:id="432" w:name="_Toc383623726"/>
      <w:bookmarkStart w:id="433" w:name="_Toc390098893"/>
      <w:bookmarkStart w:id="434" w:name="_Toc390099071"/>
      <w:bookmarkStart w:id="435" w:name="_Toc513029252"/>
      <w:bookmarkStart w:id="436" w:name="_Toc383626047"/>
      <w:bookmarkStart w:id="437" w:name="_Toc288030341"/>
      <w:bookmarkStart w:id="438" w:name="_Toc382811187"/>
      <w:bookmarkStart w:id="439" w:name="_Toc382812301"/>
      <w:bookmarkStart w:id="440" w:name="_Toc382811592"/>
      <w:bookmarkStart w:id="441" w:name="_Toc382812490"/>
      <w:r>
        <w:rPr>
          <w:rFonts w:hint="eastAsia" w:ascii="宋体" w:hAnsi="宋体" w:eastAsia="宋体" w:cs="宋体"/>
          <w:sz w:val="24"/>
          <w:szCs w:val="24"/>
        </w:rPr>
        <w:t>6、质量保证</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6.1投标人所提供服务必须遵守各种国家和部颁标准及有关规定。</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6.2投标人所提供服务必须达到本招标文件中规定的要求。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6.3履行本合同的过程中，确因在现有水平和条件下难以克服的技术困难，导致部分或全部达不到招标规定的服务标准，乙方应当承担违约责任。</w:t>
      </w:r>
    </w:p>
    <w:p>
      <w:pPr>
        <w:spacing w:line="360" w:lineRule="auto"/>
        <w:ind w:firstLine="480" w:firstLineChars="200"/>
        <w:rPr>
          <w:rFonts w:hint="eastAsia" w:ascii="宋体" w:hAnsi="宋体" w:eastAsia="宋体" w:cs="宋体"/>
          <w:sz w:val="24"/>
          <w:szCs w:val="24"/>
        </w:rPr>
      </w:pPr>
      <w:bookmarkStart w:id="442" w:name="_Toc16938570"/>
      <w:bookmarkStart w:id="443" w:name="_Toc120614233"/>
      <w:bookmarkStart w:id="444" w:name="_Toc513029254"/>
      <w:bookmarkStart w:id="445" w:name="_Toc282446307"/>
      <w:bookmarkStart w:id="446" w:name="_Toc20823326"/>
      <w:bookmarkStart w:id="447" w:name="_Toc288030343"/>
      <w:bookmarkStart w:id="448" w:name="_Toc399227843"/>
      <w:bookmarkStart w:id="449" w:name="_Toc399658018"/>
      <w:bookmarkStart w:id="450" w:name="_Toc399228176"/>
      <w:bookmarkStart w:id="451" w:name="_Toc425871373"/>
      <w:bookmarkStart w:id="452" w:name="_Toc399853485"/>
      <w:r>
        <w:rPr>
          <w:rFonts w:hint="eastAsia" w:ascii="宋体" w:hAnsi="宋体" w:eastAsia="宋体" w:cs="宋体"/>
          <w:sz w:val="24"/>
          <w:szCs w:val="24"/>
        </w:rPr>
        <w:t>7、</w:t>
      </w:r>
      <w:bookmarkEnd w:id="442"/>
      <w:bookmarkEnd w:id="443"/>
      <w:bookmarkEnd w:id="444"/>
      <w:bookmarkEnd w:id="445"/>
      <w:bookmarkEnd w:id="446"/>
      <w:bookmarkEnd w:id="447"/>
      <w:bookmarkStart w:id="453" w:name="_Toc282446310"/>
      <w:bookmarkStart w:id="454" w:name="_Toc288030346"/>
      <w:bookmarkStart w:id="455" w:name="_Toc120614236"/>
      <w:bookmarkStart w:id="456" w:name="_Toc20823329"/>
      <w:bookmarkStart w:id="457" w:name="_Toc513029257"/>
      <w:bookmarkStart w:id="458" w:name="_Toc16938573"/>
      <w:r>
        <w:rPr>
          <w:rFonts w:hint="eastAsia" w:ascii="宋体" w:hAnsi="宋体" w:eastAsia="宋体" w:cs="宋体"/>
          <w:sz w:val="24"/>
          <w:szCs w:val="24"/>
        </w:rPr>
        <w:t>不可抗力</w:t>
      </w:r>
      <w:bookmarkEnd w:id="448"/>
      <w:bookmarkEnd w:id="449"/>
      <w:bookmarkEnd w:id="450"/>
      <w:bookmarkEnd w:id="451"/>
      <w:bookmarkEnd w:id="452"/>
      <w:bookmarkEnd w:id="453"/>
      <w:bookmarkEnd w:id="454"/>
      <w:bookmarkEnd w:id="455"/>
      <w:bookmarkEnd w:id="456"/>
      <w:bookmarkEnd w:id="457"/>
      <w:bookmarkEnd w:id="458"/>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7.1尽管有合同条款第11条、12条的规定，如果卖方因不可抗力而导致合同实施延误或不能履行合同义务的话，不应该被没收履约保证金，也不应该承担误期赔偿的责任。</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7.2本条所述的“不可抗力”系指那些卖方无法控制、不可预见的事件，但不包括卖方的违约或疏忽。这些事件包括：战争、严重火灾、洪水、台风、地震以及其它买方和卖方商定的事件。</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7.3在不可抗力事件发生后，卖方应尽快以书面形式将不可抗力的情况和原因通知买方并提供证明遭受不可抗力的有效文件。除买方书面另行要求外，卖方应尽实际可能继续履行合同义务，以及寻求采取合理的方案履行不受不可抗力影响的其他事项。如果不可抗力事件影响时间持续</w:t>
      </w:r>
      <w:r>
        <w:rPr>
          <w:rFonts w:hint="eastAsia" w:ascii="宋体" w:hAnsi="宋体" w:eastAsia="宋体" w:cs="宋体"/>
          <w:sz w:val="24"/>
          <w:szCs w:val="24"/>
          <w:u w:val="single"/>
        </w:rPr>
        <w:t xml:space="preserve">    </w:t>
      </w:r>
      <w:r>
        <w:rPr>
          <w:rFonts w:hint="eastAsia" w:ascii="宋体" w:hAnsi="宋体" w:eastAsia="宋体" w:cs="宋体"/>
          <w:sz w:val="24"/>
          <w:szCs w:val="24"/>
        </w:rPr>
        <w:t>天以上时，买方有权终止与卖方的合同，买方也可以和卖方通过友好协商在合理的时间内达成进一步履行合同的协议。</w:t>
      </w:r>
    </w:p>
    <w:p>
      <w:pPr>
        <w:spacing w:line="360" w:lineRule="auto"/>
        <w:ind w:firstLine="480" w:firstLineChars="200"/>
        <w:rPr>
          <w:rFonts w:hint="eastAsia" w:ascii="宋体" w:hAnsi="宋体" w:eastAsia="宋体" w:cs="宋体"/>
          <w:sz w:val="24"/>
          <w:szCs w:val="24"/>
        </w:rPr>
      </w:pPr>
      <w:bookmarkStart w:id="459" w:name="_Toc399227844"/>
      <w:bookmarkStart w:id="460" w:name="_Toc513029258"/>
      <w:bookmarkStart w:id="461" w:name="_Toc399853486"/>
      <w:bookmarkStart w:id="462" w:name="_Toc120614237"/>
      <w:bookmarkStart w:id="463" w:name="_Toc425871374"/>
      <w:bookmarkStart w:id="464" w:name="_Toc282446311"/>
      <w:bookmarkStart w:id="465" w:name="_Toc20823330"/>
      <w:bookmarkStart w:id="466" w:name="_Toc288030347"/>
      <w:bookmarkStart w:id="467" w:name="_Toc16938574"/>
      <w:bookmarkStart w:id="468" w:name="_Toc399658019"/>
      <w:bookmarkStart w:id="469" w:name="_Toc399228177"/>
      <w:r>
        <w:rPr>
          <w:rFonts w:hint="eastAsia" w:ascii="宋体" w:hAnsi="宋体" w:eastAsia="宋体" w:cs="宋体"/>
          <w:sz w:val="24"/>
          <w:szCs w:val="24"/>
        </w:rPr>
        <w:t>8、税费</w:t>
      </w:r>
      <w:bookmarkEnd w:id="459"/>
      <w:bookmarkEnd w:id="460"/>
      <w:bookmarkEnd w:id="461"/>
      <w:bookmarkEnd w:id="462"/>
      <w:bookmarkEnd w:id="463"/>
      <w:bookmarkEnd w:id="464"/>
      <w:bookmarkEnd w:id="465"/>
      <w:bookmarkEnd w:id="466"/>
      <w:bookmarkEnd w:id="467"/>
      <w:bookmarkEnd w:id="468"/>
      <w:bookmarkEnd w:id="469"/>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8.1本项目实施过程中发生的一切税费均由</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负担。</w:t>
      </w:r>
    </w:p>
    <w:p>
      <w:pPr>
        <w:spacing w:line="360" w:lineRule="auto"/>
        <w:ind w:firstLine="480" w:firstLineChars="200"/>
        <w:rPr>
          <w:rFonts w:hint="eastAsia" w:ascii="宋体" w:hAnsi="宋体" w:eastAsia="宋体" w:cs="宋体"/>
          <w:sz w:val="24"/>
          <w:szCs w:val="24"/>
        </w:rPr>
      </w:pPr>
      <w:bookmarkStart w:id="470" w:name="_Toc513029259"/>
      <w:bookmarkStart w:id="471" w:name="_Toc399853487"/>
      <w:bookmarkStart w:id="472" w:name="_Toc399658020"/>
      <w:bookmarkStart w:id="473" w:name="_Toc288030348"/>
      <w:bookmarkStart w:id="474" w:name="_Toc399227845"/>
      <w:bookmarkStart w:id="475" w:name="_Toc425871375"/>
      <w:bookmarkStart w:id="476" w:name="_Toc120614238"/>
      <w:bookmarkStart w:id="477" w:name="_Toc399228178"/>
      <w:bookmarkStart w:id="478" w:name="_Toc16938575"/>
      <w:bookmarkStart w:id="479" w:name="_Toc20823331"/>
      <w:bookmarkStart w:id="480" w:name="_Toc282446312"/>
      <w:r>
        <w:rPr>
          <w:rFonts w:hint="eastAsia" w:ascii="宋体" w:hAnsi="宋体" w:eastAsia="宋体" w:cs="宋体"/>
          <w:sz w:val="24"/>
          <w:szCs w:val="24"/>
        </w:rPr>
        <w:t>9、履约保证金</w:t>
      </w:r>
      <w:bookmarkEnd w:id="470"/>
      <w:bookmarkEnd w:id="471"/>
      <w:bookmarkEnd w:id="472"/>
      <w:bookmarkEnd w:id="473"/>
      <w:bookmarkEnd w:id="474"/>
      <w:bookmarkEnd w:id="475"/>
      <w:bookmarkEnd w:id="476"/>
      <w:bookmarkEnd w:id="477"/>
      <w:bookmarkEnd w:id="478"/>
      <w:bookmarkEnd w:id="479"/>
      <w:bookmarkEnd w:id="480"/>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9.1</w:t>
      </w:r>
      <w:r>
        <w:rPr>
          <w:rFonts w:hint="eastAsia" w:ascii="宋体" w:hAnsi="宋体" w:eastAsia="宋体" w:cs="宋体"/>
          <w:sz w:val="24"/>
          <w:szCs w:val="24"/>
          <w:lang w:eastAsia="zh-CN"/>
        </w:rPr>
        <w:t>成交供应商</w:t>
      </w:r>
      <w:r>
        <w:rPr>
          <w:rFonts w:hint="eastAsia" w:ascii="宋体" w:hAnsi="宋体" w:eastAsia="宋体" w:cs="宋体"/>
          <w:sz w:val="24"/>
          <w:szCs w:val="24"/>
        </w:rPr>
        <w:t>与采购人签订政府采购合同前，须提交履约保证金，否则视为放弃中标，给采购人造成损失的，</w:t>
      </w:r>
      <w:r>
        <w:rPr>
          <w:rFonts w:hint="eastAsia" w:ascii="宋体" w:hAnsi="宋体" w:eastAsia="宋体" w:cs="宋体"/>
          <w:sz w:val="24"/>
          <w:szCs w:val="24"/>
          <w:lang w:eastAsia="zh-CN"/>
        </w:rPr>
        <w:t>成交供应商</w:t>
      </w:r>
      <w:r>
        <w:rPr>
          <w:rFonts w:hint="eastAsia" w:ascii="宋体" w:hAnsi="宋体" w:eastAsia="宋体" w:cs="宋体"/>
          <w:sz w:val="24"/>
          <w:szCs w:val="24"/>
        </w:rPr>
        <w:t>还应当予以赔偿。</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履约保证金的形式：支票、汇票、本票、转账等非现金形式</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履约保证金的金额：合同价的</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9.2如卖方未能履行合同规定的义务，买方有权从履约保证金中取得补偿。</w:t>
      </w:r>
    </w:p>
    <w:p>
      <w:pPr>
        <w:spacing w:line="360" w:lineRule="auto"/>
        <w:ind w:firstLine="480" w:firstLineChars="200"/>
        <w:rPr>
          <w:rFonts w:hint="eastAsia" w:ascii="宋体" w:hAnsi="宋体" w:eastAsia="宋体" w:cs="宋体"/>
          <w:sz w:val="24"/>
          <w:szCs w:val="24"/>
        </w:rPr>
      </w:pPr>
      <w:bookmarkStart w:id="481" w:name="_Toc20823332"/>
      <w:bookmarkStart w:id="482" w:name="_Toc288030349"/>
      <w:bookmarkStart w:id="483" w:name="_Toc399227846"/>
      <w:bookmarkStart w:id="484" w:name="_Toc513029260"/>
      <w:bookmarkStart w:id="485" w:name="_Toc282446313"/>
      <w:bookmarkStart w:id="486" w:name="_Toc399853488"/>
      <w:bookmarkStart w:id="487" w:name="_Toc462564119"/>
      <w:bookmarkStart w:id="488" w:name="_Toc399658021"/>
      <w:bookmarkStart w:id="489" w:name="_Toc16938576"/>
      <w:bookmarkStart w:id="490" w:name="_Toc399228179"/>
      <w:bookmarkStart w:id="491" w:name="_Toc120614239"/>
      <w:bookmarkStart w:id="492" w:name="_Toc425871376"/>
      <w:r>
        <w:rPr>
          <w:rFonts w:hint="eastAsia" w:ascii="宋体" w:hAnsi="宋体" w:eastAsia="宋体" w:cs="宋体"/>
          <w:sz w:val="24"/>
          <w:szCs w:val="24"/>
        </w:rPr>
        <w:t>10、仲裁</w:t>
      </w:r>
      <w:bookmarkEnd w:id="481"/>
      <w:bookmarkEnd w:id="482"/>
      <w:bookmarkEnd w:id="483"/>
      <w:bookmarkEnd w:id="484"/>
      <w:bookmarkEnd w:id="485"/>
      <w:bookmarkEnd w:id="486"/>
      <w:bookmarkEnd w:id="487"/>
      <w:bookmarkEnd w:id="488"/>
      <w:bookmarkEnd w:id="489"/>
      <w:bookmarkEnd w:id="490"/>
      <w:bookmarkEnd w:id="491"/>
      <w:bookmarkEnd w:id="492"/>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10.1在执行本合同中所发生的或与本合同有关的一切争端，买方和卖方应通过友好协商的办法进行解决。如从协商开始</w:t>
      </w:r>
      <w:r>
        <w:rPr>
          <w:rFonts w:hint="eastAsia" w:ascii="宋体" w:hAnsi="宋体" w:eastAsia="宋体" w:cs="宋体"/>
          <w:sz w:val="24"/>
          <w:szCs w:val="24"/>
          <w:u w:val="single"/>
        </w:rPr>
        <w:t xml:space="preserve">    </w:t>
      </w:r>
      <w:r>
        <w:rPr>
          <w:rFonts w:hint="eastAsia" w:ascii="宋体" w:hAnsi="宋体" w:eastAsia="宋体" w:cs="宋体"/>
          <w:sz w:val="24"/>
          <w:szCs w:val="24"/>
        </w:rPr>
        <w:t>天内仍不能解决，应将争端提交有关省、市政府或行业主管部门寻求可能解决的办法。如果提交有关省、市政府或行业主管部门后</w:t>
      </w:r>
      <w:r>
        <w:rPr>
          <w:rFonts w:hint="eastAsia" w:ascii="宋体" w:hAnsi="宋体" w:eastAsia="宋体" w:cs="宋体"/>
          <w:sz w:val="24"/>
          <w:szCs w:val="24"/>
          <w:u w:val="single"/>
        </w:rPr>
        <w:t xml:space="preserve">   </w:t>
      </w:r>
      <w:r>
        <w:rPr>
          <w:rFonts w:hint="eastAsia" w:ascii="宋体" w:hAnsi="宋体" w:eastAsia="宋体" w:cs="宋体"/>
          <w:sz w:val="24"/>
          <w:szCs w:val="24"/>
        </w:rPr>
        <w:t>天内仍得不到解决，则应申请仲裁。</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10.2仲裁应根据《中华人民共和国仲裁法》的规定向泰州仲裁委员会申请仲裁。</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10.3仲裁裁决为最终裁决，对买方和卖方均有约束力。</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10.4在仲裁期间，本合同应继续执行。</w:t>
      </w:r>
    </w:p>
    <w:p>
      <w:pPr>
        <w:spacing w:line="360" w:lineRule="auto"/>
        <w:ind w:firstLine="480" w:firstLineChars="200"/>
        <w:rPr>
          <w:rFonts w:hint="eastAsia" w:ascii="宋体" w:hAnsi="宋体" w:eastAsia="宋体" w:cs="宋体"/>
          <w:sz w:val="24"/>
          <w:szCs w:val="24"/>
        </w:rPr>
      </w:pPr>
      <w:bookmarkStart w:id="493" w:name="_Toc16938577"/>
      <w:bookmarkStart w:id="494" w:name="_Toc288030350"/>
      <w:bookmarkStart w:id="495" w:name="_Toc282446314"/>
      <w:bookmarkStart w:id="496" w:name="_Toc120614240"/>
      <w:bookmarkStart w:id="497" w:name="_Toc399227847"/>
      <w:bookmarkStart w:id="498" w:name="_Toc399228180"/>
      <w:bookmarkStart w:id="499" w:name="_Toc399658022"/>
      <w:bookmarkStart w:id="500" w:name="_Toc425871377"/>
      <w:bookmarkStart w:id="501" w:name="_Toc399853489"/>
      <w:bookmarkStart w:id="502" w:name="_Toc513029261"/>
      <w:bookmarkStart w:id="503" w:name="_Toc462564120"/>
      <w:bookmarkStart w:id="504" w:name="_Toc20823333"/>
      <w:r>
        <w:rPr>
          <w:rFonts w:hint="eastAsia" w:ascii="宋体" w:hAnsi="宋体" w:eastAsia="宋体" w:cs="宋体"/>
          <w:sz w:val="24"/>
          <w:szCs w:val="24"/>
        </w:rPr>
        <w:t>11、违约终止合同</w:t>
      </w:r>
      <w:bookmarkEnd w:id="493"/>
      <w:bookmarkEnd w:id="494"/>
      <w:bookmarkEnd w:id="495"/>
      <w:bookmarkEnd w:id="496"/>
      <w:bookmarkEnd w:id="497"/>
      <w:bookmarkEnd w:id="498"/>
      <w:bookmarkEnd w:id="499"/>
      <w:bookmarkEnd w:id="500"/>
      <w:bookmarkEnd w:id="501"/>
      <w:bookmarkEnd w:id="502"/>
      <w:bookmarkEnd w:id="503"/>
      <w:bookmarkEnd w:id="504"/>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11.1在买方对卖方违约而采取的任何补救措施不受影响的情况下，买方可向卖方发出终止部分或全部合同的书面通知书。</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(1)如果卖方未能按合同规定的期限或买方同意延长的限期内提供部分或全部服务；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(2)卖方在收到买方发出的违约通知后</w:t>
      </w:r>
      <w:r>
        <w:rPr>
          <w:rFonts w:hint="eastAsia" w:ascii="宋体" w:hAnsi="宋体" w:eastAsia="宋体" w:cs="宋体"/>
          <w:sz w:val="24"/>
          <w:szCs w:val="24"/>
          <w:u w:val="single"/>
        </w:rPr>
        <w:t xml:space="preserve">     </w:t>
      </w:r>
      <w:r>
        <w:rPr>
          <w:rFonts w:hint="eastAsia" w:ascii="宋体" w:hAnsi="宋体" w:eastAsia="宋体" w:cs="宋体"/>
          <w:sz w:val="24"/>
          <w:szCs w:val="24"/>
        </w:rPr>
        <w:t>天内，或经买方书面认可延长的时间内未能纠正其过失；</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(3)如果卖方未能履行合同规定的其他义务。</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11.2在买方根据上述规定，终止了全部或部分合同后，买方可以依其认为适当的条件和方法购买与未提供服务类似的服务，卖方应对买方购买类似服务所超出的那部分费用负责。但是，卖方应继续执行合同中未终止的部分。</w:t>
      </w:r>
    </w:p>
    <w:p>
      <w:pPr>
        <w:spacing w:line="360" w:lineRule="auto"/>
        <w:ind w:firstLine="480" w:firstLineChars="200"/>
        <w:rPr>
          <w:rFonts w:hint="eastAsia" w:ascii="宋体" w:hAnsi="宋体" w:eastAsia="宋体" w:cs="宋体"/>
          <w:sz w:val="24"/>
          <w:szCs w:val="24"/>
        </w:rPr>
      </w:pPr>
      <w:bookmarkStart w:id="505" w:name="_Toc399853490"/>
      <w:bookmarkStart w:id="506" w:name="_Toc399658023"/>
      <w:bookmarkStart w:id="507" w:name="_Toc282446315"/>
      <w:bookmarkStart w:id="508" w:name="_Toc288030351"/>
      <w:bookmarkStart w:id="509" w:name="_Toc425871378"/>
      <w:bookmarkStart w:id="510" w:name="_Toc462564121"/>
      <w:bookmarkStart w:id="511" w:name="_Toc20823334"/>
      <w:bookmarkStart w:id="512" w:name="_Toc399228181"/>
      <w:bookmarkStart w:id="513" w:name="_Toc513029262"/>
      <w:bookmarkStart w:id="514" w:name="_Toc399227848"/>
      <w:bookmarkStart w:id="515" w:name="_Toc120614241"/>
      <w:bookmarkStart w:id="516" w:name="_Toc16938578"/>
      <w:r>
        <w:rPr>
          <w:rFonts w:hint="eastAsia" w:ascii="宋体" w:hAnsi="宋体" w:eastAsia="宋体" w:cs="宋体"/>
          <w:sz w:val="24"/>
          <w:szCs w:val="24"/>
        </w:rPr>
        <w:t>12、破产中止合同</w:t>
      </w:r>
      <w:bookmarkEnd w:id="505"/>
      <w:bookmarkEnd w:id="506"/>
      <w:bookmarkEnd w:id="507"/>
      <w:bookmarkEnd w:id="508"/>
      <w:bookmarkEnd w:id="509"/>
      <w:bookmarkEnd w:id="510"/>
      <w:bookmarkEnd w:id="511"/>
      <w:bookmarkEnd w:id="512"/>
      <w:bookmarkEnd w:id="513"/>
      <w:bookmarkEnd w:id="514"/>
      <w:bookmarkEnd w:id="515"/>
      <w:bookmarkEnd w:id="516"/>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12.1如果卖方破产或无清偿能力时，买方在任何时候书面通知卖方中止合同而不给卖方补偿。该中止合同将不损害或影响买方已经或将要采取的补救措施的权利。</w:t>
      </w:r>
    </w:p>
    <w:p>
      <w:pPr>
        <w:spacing w:line="360" w:lineRule="auto"/>
        <w:ind w:firstLine="480" w:firstLineChars="200"/>
        <w:rPr>
          <w:rFonts w:hint="eastAsia" w:ascii="宋体" w:hAnsi="宋体" w:eastAsia="宋体" w:cs="宋体"/>
          <w:sz w:val="24"/>
          <w:szCs w:val="24"/>
        </w:rPr>
      </w:pPr>
      <w:bookmarkStart w:id="517" w:name="_Toc513029263"/>
      <w:bookmarkStart w:id="518" w:name="_Toc399658024"/>
      <w:bookmarkStart w:id="519" w:name="_Toc282446316"/>
      <w:bookmarkStart w:id="520" w:name="_Toc20823335"/>
      <w:bookmarkStart w:id="521" w:name="_Toc425871379"/>
      <w:bookmarkStart w:id="522" w:name="_Toc120614242"/>
      <w:bookmarkStart w:id="523" w:name="_Toc288030352"/>
      <w:bookmarkStart w:id="524" w:name="_Toc399853491"/>
      <w:bookmarkStart w:id="525" w:name="_Toc16938579"/>
      <w:bookmarkStart w:id="526" w:name="_Toc399228182"/>
      <w:bookmarkStart w:id="527" w:name="_Toc462564122"/>
      <w:bookmarkStart w:id="528" w:name="_Toc399227849"/>
      <w:r>
        <w:rPr>
          <w:rFonts w:hint="eastAsia" w:ascii="宋体" w:hAnsi="宋体" w:eastAsia="宋体" w:cs="宋体"/>
          <w:sz w:val="24"/>
          <w:szCs w:val="24"/>
        </w:rPr>
        <w:t>13、转让</w:t>
      </w:r>
      <w:bookmarkEnd w:id="517"/>
      <w:bookmarkEnd w:id="518"/>
      <w:bookmarkEnd w:id="519"/>
      <w:bookmarkEnd w:id="520"/>
      <w:bookmarkEnd w:id="521"/>
      <w:bookmarkEnd w:id="522"/>
      <w:bookmarkEnd w:id="523"/>
      <w:bookmarkEnd w:id="524"/>
      <w:bookmarkEnd w:id="525"/>
      <w:bookmarkEnd w:id="526"/>
      <w:bookmarkEnd w:id="527"/>
      <w:bookmarkEnd w:id="528"/>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13.1除买方事先书面同意外，卖方不得部分转让或全部转让其应履行的合同义务。</w:t>
      </w:r>
    </w:p>
    <w:p>
      <w:pPr>
        <w:spacing w:line="360" w:lineRule="auto"/>
        <w:ind w:firstLine="480" w:firstLineChars="200"/>
        <w:rPr>
          <w:rFonts w:hint="eastAsia" w:ascii="宋体" w:hAnsi="宋体" w:eastAsia="宋体" w:cs="宋体"/>
          <w:sz w:val="24"/>
          <w:szCs w:val="24"/>
        </w:rPr>
      </w:pPr>
      <w:bookmarkStart w:id="529" w:name="_Toc20823336"/>
      <w:bookmarkStart w:id="530" w:name="_Toc513029264"/>
      <w:bookmarkStart w:id="531" w:name="_Toc16938580"/>
      <w:bookmarkStart w:id="532" w:name="_Toc120614243"/>
      <w:bookmarkStart w:id="533" w:name="_Toc462564123"/>
      <w:bookmarkStart w:id="534" w:name="_Toc399227850"/>
      <w:bookmarkStart w:id="535" w:name="_Toc399228183"/>
      <w:bookmarkStart w:id="536" w:name="_Toc399658025"/>
      <w:bookmarkStart w:id="537" w:name="_Toc282446317"/>
      <w:bookmarkStart w:id="538" w:name="_Toc399853492"/>
      <w:bookmarkStart w:id="539" w:name="_Toc288030353"/>
      <w:bookmarkStart w:id="540" w:name="_Toc425871380"/>
      <w:r>
        <w:rPr>
          <w:rFonts w:hint="eastAsia" w:ascii="宋体" w:hAnsi="宋体" w:eastAsia="宋体" w:cs="宋体"/>
          <w:sz w:val="24"/>
          <w:szCs w:val="24"/>
        </w:rPr>
        <w:t>14、合同生效及其它</w:t>
      </w:r>
      <w:bookmarkEnd w:id="529"/>
      <w:bookmarkEnd w:id="530"/>
      <w:bookmarkEnd w:id="531"/>
      <w:bookmarkEnd w:id="532"/>
      <w:bookmarkEnd w:id="533"/>
      <w:bookmarkEnd w:id="534"/>
      <w:bookmarkEnd w:id="535"/>
      <w:bookmarkEnd w:id="536"/>
      <w:bookmarkEnd w:id="537"/>
      <w:bookmarkEnd w:id="538"/>
      <w:bookmarkEnd w:id="539"/>
      <w:bookmarkEnd w:id="540"/>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14.1合同应在买方、卖方、见证方签字，并在卖方向见证方交纳履约保证金后生效。</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14.2本合同一式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份，以中文书写，买方</w:t>
      </w:r>
      <w:r>
        <w:rPr>
          <w:rFonts w:hint="eastAsia" w:ascii="宋体" w:hAnsi="宋体" w:eastAsia="宋体" w:cs="宋体"/>
          <w:sz w:val="24"/>
          <w:szCs w:val="24"/>
          <w:u w:val="single"/>
        </w:rPr>
        <w:t xml:space="preserve">   </w:t>
      </w:r>
      <w:r>
        <w:rPr>
          <w:rFonts w:hint="eastAsia" w:ascii="宋体" w:hAnsi="宋体" w:eastAsia="宋体" w:cs="宋体"/>
          <w:sz w:val="24"/>
          <w:szCs w:val="24"/>
        </w:rPr>
        <w:t>份，卖方、见证方、各执</w:t>
      </w:r>
      <w:r>
        <w:rPr>
          <w:rFonts w:hint="eastAsia" w:ascii="宋体" w:hAnsi="宋体" w:eastAsia="宋体" w:cs="宋体"/>
          <w:sz w:val="24"/>
          <w:szCs w:val="24"/>
          <w:u w:val="single"/>
        </w:rPr>
        <w:t xml:space="preserve">       </w:t>
      </w:r>
      <w:r>
        <w:rPr>
          <w:rFonts w:hint="eastAsia" w:ascii="宋体" w:hAnsi="宋体" w:eastAsia="宋体" w:cs="宋体"/>
          <w:sz w:val="24"/>
          <w:szCs w:val="24"/>
        </w:rPr>
        <w:t>份。</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14.3如需修改或补充合同内容，应经买方、卖方、见证方协商一致，签署书面修改或补充协议。该协议将作为本合同不可分割的一部分。</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14.4本合同应按照中华人民共和国的现行法律进行解释。</w:t>
      </w:r>
    </w:p>
    <w:p>
      <w:pPr>
        <w:pStyle w:val="23"/>
        <w:rPr>
          <w:rFonts w:hint="eastAsia" w:ascii="宋体" w:hAnsi="宋体" w:cs="宋体"/>
        </w:rPr>
      </w:pPr>
      <w:r>
        <w:rPr>
          <w:rFonts w:hint="eastAsia" w:ascii="宋体" w:hAnsi="宋体" w:cs="宋体"/>
        </w:rPr>
        <w:br w:type="page"/>
      </w:r>
    </w:p>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Pr>
        <w:numPr>
          <w:ilvl w:val="0"/>
          <w:numId w:val="3"/>
        </w:numPr>
        <w:jc w:val="center"/>
        <w:outlineLvl w:val="0"/>
        <w:rPr>
          <w:rFonts w:hint="eastAsia" w:asciiTheme="majorEastAsia" w:hAnsiTheme="majorEastAsia" w:eastAsiaTheme="majorEastAsia" w:cstheme="majorEastAsia"/>
          <w:color w:val="auto"/>
          <w:sz w:val="32"/>
          <w:szCs w:val="32"/>
        </w:rPr>
      </w:pPr>
      <w:bookmarkStart w:id="541" w:name="_Toc25333"/>
      <w:r>
        <w:rPr>
          <w:rFonts w:hint="eastAsia" w:asciiTheme="majorEastAsia" w:hAnsiTheme="majorEastAsia" w:eastAsiaTheme="majorEastAsia" w:cstheme="majorEastAsia"/>
          <w:color w:val="auto"/>
          <w:sz w:val="32"/>
          <w:szCs w:val="32"/>
        </w:rPr>
        <w:t>采购需求</w:t>
      </w:r>
      <w:bookmarkEnd w:id="541"/>
    </w:p>
    <w:p>
      <w:pPr>
        <w:adjustRightInd w:val="0"/>
        <w:snapToGrid w:val="0"/>
        <w:spacing w:line="360" w:lineRule="auto"/>
        <w:ind w:firstLine="480" w:firstLineChars="200"/>
        <w:jc w:val="left"/>
        <w:rPr>
          <w:rFonts w:ascii="宋体" w:hAnsi="宋体" w:cs="宋体"/>
          <w:color w:val="000000" w:themeColor="text1"/>
          <w14:textFill>
            <w14:solidFill>
              <w14:schemeClr w14:val="tx1"/>
            </w14:solidFill>
          </w14:textFill>
        </w:rPr>
      </w:pPr>
      <w:bookmarkStart w:id="542" w:name="_Toc2276"/>
      <w:r>
        <w:rPr>
          <w:rFonts w:hint="eastAsia" w:ascii="宋体" w:hAnsi="宋体" w:cs="宋体"/>
          <w:color w:val="000000" w:themeColor="text1"/>
          <w14:textFill>
            <w14:solidFill>
              <w14:schemeClr w14:val="tx1"/>
            </w14:solidFill>
          </w14:textFill>
        </w:rPr>
        <w:t xml:space="preserve">1.根据《关于规范政府采购进口产品有关工作的通知》及政府采购管理部门的相关规定，下列采购需求中标注进口产品的货物均已履行相关论证手续，经核准采购进口产品，但不限制满足磋商文件要求的国内产品参与竞争。未标注进口产品的货物均为拒绝采购进口产品。 </w:t>
      </w:r>
    </w:p>
    <w:p>
      <w:pPr>
        <w:adjustRightInd w:val="0"/>
        <w:snapToGrid w:val="0"/>
        <w:spacing w:line="360" w:lineRule="auto"/>
        <w:ind w:firstLine="48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下列采购需求中：如属于《节能产品政府采购品目清单》中政府强制采购的节能产品，则供应商所投产品须具有市场监管总局公布的《参与实施政府采购节能产品认证机构目录》中的认证机构出具的、处于有效期内的节能产品认证证书。 </w:t>
      </w:r>
    </w:p>
    <w:p>
      <w:pPr>
        <w:spacing w:line="560" w:lineRule="exact"/>
        <w:ind w:firstLine="482" w:firstLineChars="200"/>
        <w:rPr>
          <w:rFonts w:ascii="宋体" w:hAnsi="宋体" w:cs="宋体"/>
          <w:b/>
          <w:color w:val="000000" w:themeColor="text1"/>
          <w:sz w:val="24"/>
          <w:lang w:val="zh-CN" w:bidi="ar"/>
          <w14:textFill>
            <w14:solidFill>
              <w14:schemeClr w14:val="tx1"/>
            </w14:solidFill>
          </w14:textFill>
        </w:rPr>
      </w:pPr>
      <w:r>
        <w:rPr>
          <w:rFonts w:hint="eastAsia" w:ascii="宋体" w:hAnsi="宋体" w:cs="宋体"/>
          <w:b/>
          <w:color w:val="000000" w:themeColor="text1"/>
          <w:sz w:val="24"/>
          <w:lang w:val="zh-CN" w:bidi="ar"/>
          <w14:textFill>
            <w14:solidFill>
              <w14:schemeClr w14:val="tx1"/>
            </w14:solidFill>
          </w14:textFill>
        </w:rPr>
        <w:t xml:space="preserve">一、采购需求前附表 </w:t>
      </w:r>
    </w:p>
    <w:tbl>
      <w:tblPr>
        <w:tblStyle w:val="25"/>
        <w:tblW w:w="87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8"/>
        <w:gridCol w:w="2031"/>
        <w:gridCol w:w="57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 w:hRule="atLeast"/>
        </w:trPr>
        <w:tc>
          <w:tcPr>
            <w:tcW w:w="1008" w:type="dxa"/>
            <w:vAlign w:val="top"/>
          </w:tcPr>
          <w:p>
            <w:pPr>
              <w:pStyle w:val="52"/>
              <w:spacing w:line="360" w:lineRule="auto"/>
              <w:ind w:left="239" w:right="112"/>
              <w:jc w:val="center"/>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序号</w:t>
            </w:r>
            <w:r>
              <w:rPr>
                <w:rFonts w:hint="eastAsia" w:ascii="宋体" w:hAnsi="宋体" w:cs="宋体"/>
                <w:bCs/>
                <w:color w:val="000000" w:themeColor="text1"/>
                <w:w w:val="167"/>
                <w:kern w:val="0"/>
                <w:szCs w:val="21"/>
                <w14:textFill>
                  <w14:solidFill>
                    <w14:schemeClr w14:val="tx1"/>
                  </w14:solidFill>
                </w14:textFill>
              </w:rPr>
              <w:t xml:space="preserve"> </w:t>
            </w:r>
          </w:p>
        </w:tc>
        <w:tc>
          <w:tcPr>
            <w:tcW w:w="2031" w:type="dxa"/>
            <w:vAlign w:val="top"/>
          </w:tcPr>
          <w:p>
            <w:pPr>
              <w:pStyle w:val="52"/>
              <w:spacing w:line="360" w:lineRule="auto"/>
              <w:ind w:left="215" w:right="86"/>
              <w:jc w:val="center"/>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条款名称</w:t>
            </w:r>
            <w:r>
              <w:rPr>
                <w:rFonts w:hint="eastAsia" w:ascii="宋体" w:hAnsi="宋体" w:cs="宋体"/>
                <w:bCs/>
                <w:color w:val="000000" w:themeColor="text1"/>
                <w:w w:val="167"/>
                <w:kern w:val="0"/>
                <w:szCs w:val="21"/>
                <w14:textFill>
                  <w14:solidFill>
                    <w14:schemeClr w14:val="tx1"/>
                  </w14:solidFill>
                </w14:textFill>
              </w:rPr>
              <w:t xml:space="preserve"> </w:t>
            </w:r>
          </w:p>
        </w:tc>
        <w:tc>
          <w:tcPr>
            <w:tcW w:w="5733" w:type="dxa"/>
            <w:vAlign w:val="top"/>
          </w:tcPr>
          <w:p>
            <w:pPr>
              <w:pStyle w:val="52"/>
              <w:spacing w:line="360" w:lineRule="auto"/>
              <w:ind w:left="1778"/>
              <w:jc w:val="left"/>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内容、说明与要求</w:t>
            </w:r>
            <w:r>
              <w:rPr>
                <w:rFonts w:hint="eastAsia" w:ascii="宋体" w:hAnsi="宋体" w:cs="宋体"/>
                <w:bCs/>
                <w:color w:val="000000" w:themeColor="text1"/>
                <w:w w:val="167"/>
                <w:kern w:val="0"/>
                <w:szCs w:val="21"/>
                <w14:textFill>
                  <w14:solidFill>
                    <w14:schemeClr w14:val="tx1"/>
                  </w14:solidFill>
                </w14:textFill>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5" w:hRule="atLeast"/>
        </w:trPr>
        <w:tc>
          <w:tcPr>
            <w:tcW w:w="1008" w:type="dxa"/>
            <w:vAlign w:val="top"/>
          </w:tcPr>
          <w:p>
            <w:pPr>
              <w:pStyle w:val="52"/>
              <w:spacing w:line="360" w:lineRule="auto"/>
              <w:jc w:val="left"/>
              <w:rPr>
                <w:rFonts w:ascii="宋体" w:hAnsi="宋体" w:cs="宋体"/>
                <w:b/>
                <w:color w:val="000000" w:themeColor="text1"/>
                <w:kern w:val="0"/>
                <w:szCs w:val="21"/>
                <w14:textFill>
                  <w14:solidFill>
                    <w14:schemeClr w14:val="tx1"/>
                  </w14:solidFill>
                </w14:textFill>
              </w:rPr>
            </w:pPr>
          </w:p>
          <w:p>
            <w:pPr>
              <w:pStyle w:val="52"/>
              <w:spacing w:line="360" w:lineRule="auto"/>
              <w:ind w:left="239" w:right="11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1 </w:t>
            </w:r>
          </w:p>
        </w:tc>
        <w:tc>
          <w:tcPr>
            <w:tcW w:w="2031" w:type="dxa"/>
            <w:vAlign w:val="top"/>
          </w:tcPr>
          <w:p>
            <w:pPr>
              <w:pStyle w:val="52"/>
              <w:spacing w:line="360" w:lineRule="auto"/>
              <w:jc w:val="left"/>
              <w:rPr>
                <w:rFonts w:ascii="宋体" w:hAnsi="宋体" w:cs="宋体"/>
                <w:b/>
                <w:color w:val="000000" w:themeColor="text1"/>
                <w:kern w:val="0"/>
                <w:szCs w:val="21"/>
                <w14:textFill>
                  <w14:solidFill>
                    <w14:schemeClr w14:val="tx1"/>
                  </w14:solidFill>
                </w14:textFill>
              </w:rPr>
            </w:pPr>
          </w:p>
          <w:p>
            <w:pPr>
              <w:pStyle w:val="52"/>
              <w:spacing w:line="360" w:lineRule="auto"/>
              <w:ind w:left="215" w:right="86"/>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付款方式 </w:t>
            </w:r>
          </w:p>
        </w:tc>
        <w:tc>
          <w:tcPr>
            <w:tcW w:w="5733" w:type="dxa"/>
            <w:vAlign w:val="top"/>
          </w:tcPr>
          <w:p>
            <w:pPr>
              <w:pStyle w:val="52"/>
              <w:spacing w:line="360" w:lineRule="auto"/>
              <w:ind w:left="107"/>
              <w:jc w:val="left"/>
              <w:rPr>
                <w:rFonts w:ascii="宋体" w:hAnsi="宋体" w:cs="宋体"/>
                <w:color w:val="000000" w:themeColor="text1"/>
                <w:kern w:val="0"/>
                <w:szCs w:val="21"/>
                <w14:textFill>
                  <w14:solidFill>
                    <w14:schemeClr w14:val="tx1"/>
                  </w14:solidFill>
                </w14:textFill>
              </w:rPr>
            </w:pPr>
            <w:r>
              <w:rPr>
                <w:color w:val="000000" w:themeColor="text1"/>
                <w:szCs w:val="21"/>
                <w:highlight w:val="none"/>
                <w14:textFill>
                  <w14:solidFill>
                    <w14:schemeClr w14:val="tx1"/>
                  </w14:solidFill>
                </w14:textFill>
              </w:rPr>
              <w:t>合同签订后十个工作日内支付10%首付款，进场施工结束后经工程审计、财务审计及市级主管部门验收合格后，十个工作日内支付到合同额90%，剩余10%质保到期后一个月内支付。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08" w:type="dxa"/>
            <w:vAlign w:val="top"/>
          </w:tcPr>
          <w:p>
            <w:pPr>
              <w:pStyle w:val="52"/>
              <w:spacing w:line="360" w:lineRule="auto"/>
              <w:ind w:left="239" w:right="11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2 </w:t>
            </w:r>
          </w:p>
        </w:tc>
        <w:tc>
          <w:tcPr>
            <w:tcW w:w="2031" w:type="dxa"/>
            <w:vAlign w:val="top"/>
          </w:tcPr>
          <w:p>
            <w:pPr>
              <w:pStyle w:val="52"/>
              <w:spacing w:line="360" w:lineRule="auto"/>
              <w:ind w:left="215" w:right="86"/>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供货及安装地点 </w:t>
            </w:r>
          </w:p>
        </w:tc>
        <w:tc>
          <w:tcPr>
            <w:tcW w:w="5733" w:type="dxa"/>
            <w:vAlign w:val="top"/>
          </w:tcPr>
          <w:p>
            <w:pPr>
              <w:pStyle w:val="52"/>
              <w:spacing w:line="360" w:lineRule="auto"/>
              <w:ind w:left="107"/>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泰兴市分界镇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7" w:hRule="atLeast"/>
        </w:trPr>
        <w:tc>
          <w:tcPr>
            <w:tcW w:w="1008" w:type="dxa"/>
            <w:vAlign w:val="top"/>
          </w:tcPr>
          <w:p>
            <w:pPr>
              <w:pStyle w:val="52"/>
              <w:spacing w:line="360" w:lineRule="auto"/>
              <w:ind w:left="239" w:right="11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3 </w:t>
            </w:r>
          </w:p>
        </w:tc>
        <w:tc>
          <w:tcPr>
            <w:tcW w:w="2031" w:type="dxa"/>
            <w:vAlign w:val="top"/>
          </w:tcPr>
          <w:p>
            <w:pPr>
              <w:pStyle w:val="52"/>
              <w:spacing w:line="360" w:lineRule="auto"/>
              <w:ind w:left="215" w:right="86"/>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供货及安装期限 </w:t>
            </w:r>
          </w:p>
        </w:tc>
        <w:tc>
          <w:tcPr>
            <w:tcW w:w="5733" w:type="dxa"/>
            <w:vAlign w:val="top"/>
          </w:tcPr>
          <w:p>
            <w:pPr>
              <w:pStyle w:val="52"/>
              <w:spacing w:line="360" w:lineRule="auto"/>
              <w:ind w:left="215" w:right="86"/>
              <w:rPr>
                <w:rFonts w:ascii="宋体" w:hAnsi="宋体" w:cs="宋体"/>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 xml:space="preserve">合同签订后 40 天完工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008" w:type="dxa"/>
            <w:vAlign w:val="top"/>
          </w:tcPr>
          <w:p>
            <w:pPr>
              <w:pStyle w:val="52"/>
              <w:spacing w:line="360" w:lineRule="auto"/>
              <w:ind w:left="239" w:right="110"/>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4 </w:t>
            </w:r>
          </w:p>
        </w:tc>
        <w:tc>
          <w:tcPr>
            <w:tcW w:w="2031" w:type="dxa"/>
            <w:vAlign w:val="top"/>
          </w:tcPr>
          <w:p>
            <w:pPr>
              <w:pStyle w:val="52"/>
              <w:spacing w:line="360" w:lineRule="auto"/>
              <w:ind w:left="215" w:right="86"/>
              <w:jc w:val="center"/>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 xml:space="preserve">免费质保期 </w:t>
            </w:r>
          </w:p>
        </w:tc>
        <w:tc>
          <w:tcPr>
            <w:tcW w:w="5733" w:type="dxa"/>
            <w:vAlign w:val="top"/>
          </w:tcPr>
          <w:p>
            <w:pPr>
              <w:pStyle w:val="52"/>
              <w:spacing w:line="360" w:lineRule="auto"/>
              <w:ind w:left="107" w:firstLine="241" w:firstLineChars="100"/>
              <w:jc w:val="left"/>
              <w:rPr>
                <w:rFonts w:ascii="宋体" w:hAnsi="宋体" w:cs="宋体"/>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 xml:space="preserve">1年 </w:t>
            </w:r>
          </w:p>
        </w:tc>
      </w:tr>
    </w:tbl>
    <w:p>
      <w:pPr>
        <w:spacing w:line="360" w:lineRule="auto"/>
        <w:ind w:firstLine="482" w:firstLineChars="200"/>
        <w:rPr>
          <w:rFonts w:ascii="宋体" w:hAnsi="宋体" w:cs="宋体"/>
          <w:b/>
          <w:color w:val="000000" w:themeColor="text1"/>
          <w:szCs w:val="21"/>
          <w:lang w:bidi="ar"/>
          <w14:textFill>
            <w14:solidFill>
              <w14:schemeClr w14:val="tx1"/>
            </w14:solidFill>
          </w14:textFill>
        </w:rPr>
      </w:pPr>
      <w:r>
        <w:rPr>
          <w:rFonts w:hint="eastAsia" w:ascii="宋体" w:hAnsi="宋体" w:cs="宋体"/>
          <w:b/>
          <w:color w:val="000000" w:themeColor="text1"/>
          <w:szCs w:val="21"/>
          <w:lang w:bidi="ar"/>
          <w14:textFill>
            <w14:solidFill>
              <w14:schemeClr w14:val="tx1"/>
            </w14:solidFill>
          </w14:textFill>
        </w:rPr>
        <w:t xml:space="preserve">二、需求一览表 </w:t>
      </w:r>
    </w:p>
    <w:tbl>
      <w:tblPr>
        <w:tblStyle w:val="25"/>
        <w:tblW w:w="8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
        <w:gridCol w:w="1373"/>
        <w:gridCol w:w="5499"/>
        <w:gridCol w:w="1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784"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jc w:val="center"/>
              <w:rPr>
                <w:rFonts w:ascii="宋体" w:hAnsi="宋体" w:eastAsia="宋体" w:cs="宋体"/>
                <w:color w:val="000000" w:themeColor="text1"/>
                <w:kern w:val="0"/>
                <w:sz w:val="24"/>
                <w:szCs w:val="24"/>
                <w14:textFill>
                  <w14:solidFill>
                    <w14:schemeClr w14:val="tx1"/>
                  </w14:solidFill>
                </w14:textFill>
              </w:rPr>
            </w:pPr>
            <w:bookmarkStart w:id="543" w:name="_Toc15248"/>
            <w:bookmarkStart w:id="544" w:name="_Toc25782"/>
            <w:r>
              <w:rPr>
                <w:rFonts w:hint="eastAsia" w:ascii="宋体" w:hAnsi="宋体" w:eastAsia="宋体" w:cs="宋体"/>
                <w:color w:val="000000" w:themeColor="text1"/>
                <w:kern w:val="0"/>
                <w:sz w:val="24"/>
                <w:szCs w:val="24"/>
                <w14:textFill>
                  <w14:solidFill>
                    <w14:schemeClr w14:val="tx1"/>
                  </w14:solidFill>
                </w14:textFill>
              </w:rPr>
              <w:t>序号</w:t>
            </w:r>
          </w:p>
        </w:tc>
        <w:tc>
          <w:tcPr>
            <w:tcW w:w="1373"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货物名称</w:t>
            </w:r>
          </w:p>
        </w:tc>
        <w:tc>
          <w:tcPr>
            <w:tcW w:w="5499"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ind w:firstLine="480"/>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功能要求及技术参数</w:t>
            </w:r>
          </w:p>
        </w:tc>
        <w:tc>
          <w:tcPr>
            <w:tcW w:w="1078"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jc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4"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ind w:firstLine="174" w:firstLineChars="83"/>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1</w:t>
            </w:r>
          </w:p>
        </w:tc>
        <w:tc>
          <w:tcPr>
            <w:tcW w:w="137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冷库库体</w:t>
            </w:r>
          </w:p>
        </w:tc>
        <w:tc>
          <w:tcPr>
            <w:tcW w:w="549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一、技术要求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1、库板采用双面喷塑镀锌彩钢板；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2、双面彩钢钢板厚度均要≥0.6mm，冷冻库库板厚度≥150mm，速冻库库板厚度≥200mm，发泡密度≥40±2Kg/m3，防火等级为 B1 级（供货前需提供相应质量检测报告）；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共6个冷库，其中2个变温库、2个冷冻库、2个速冻库以及配货库穿堂1个，2个变温库库温要求为：0度至-18度，尺寸分别为：长31.2米*宽18米*高4.8米；低温冷藏库库温要求为-18度；尺寸为：长31.2米*宽18米*高4.8米，速度库库温要求为-40度；单个面积分别为50平方高度为4.8米，配货区穿堂尺寸为54米*4.8米*4.8米。</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二、其他要求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1、▲投标单位需提供现场勘查的冷库图纸及冷库详细布局图，图纸内容必须标注配电箱位置、道路与库门通行位置、冷库尺寸、库门尺寸、外机位置等。通行位置需设计合理，同其他操作位无干涉。</w:t>
            </w:r>
          </w:p>
        </w:tc>
        <w:tc>
          <w:tcPr>
            <w:tcW w:w="1078"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1 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4"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ind w:firstLine="174" w:firstLineChars="83"/>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2</w:t>
            </w:r>
          </w:p>
        </w:tc>
        <w:tc>
          <w:tcPr>
            <w:tcW w:w="137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冷库库门</w:t>
            </w:r>
          </w:p>
        </w:tc>
        <w:tc>
          <w:tcPr>
            <w:tcW w:w="549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1、配备聚氨酯整体发泡低温电动平移门；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2、配备专用冷库门锁防锁死脱险装置，可从冷库内部开启，防止发生操作人员被误关在库内；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3、保鲜库冷库门的尺寸：1800MM*2000MM*150MM；</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冷冻库冷库门的尺寸：2000MM*2800MM*150MM；</w:t>
            </w:r>
          </w:p>
        </w:tc>
        <w:tc>
          <w:tcPr>
            <w:tcW w:w="1078"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6 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4"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ind w:firstLine="174" w:firstLineChars="83"/>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3</w:t>
            </w:r>
          </w:p>
        </w:tc>
        <w:tc>
          <w:tcPr>
            <w:tcW w:w="137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制冷系统</w:t>
            </w:r>
          </w:p>
        </w:tc>
        <w:tc>
          <w:tcPr>
            <w:tcW w:w="549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1、制冷使用螺杆机组：采用全封闭风冷箱式结构制冷压缩机组或者使用螺杆机组，制冷压缩机选用知名品牌，供货前提供产品质量合格证；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 制冷机组的温度控制系统、冷链温湿度监测系统需为同一品牌，两个系统软件需为正版 （提供所投产品的温度控制系统和冷链温湿度监测系统的软件著作权登记证书及《温湿度传感器温度系数测试报告》盖章复印件，原件备查）；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3、压缩机采用高强度的 DU 轴承。保证在没有完全润滑的情况下延长运行时间，聚四氟乙烯 PTFE 涂层，具有非常小的摩擦系数；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4、压缩机具备独特卸载启动技术：压缩机在停机后，压缩机内部全面的压力平衡，无需附加启动装置；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5、制冷机组≥3 套，选用知名品牌，供货前提供产品质量合格证；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6、▲速冻库蒸发器使用高效工业冷风机，满足招投标制冷量要求；采用吊顶式侧出风后回风的工作方式，带热保护装置，大间距纹状铝箔翅片，内螺纹铜管选用知名品牌，供货前提供产品质量合格证； 机组厂家必须通过国家ISO9001质量管理体系认证；</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7、▲冷风机配备电加热化霜，需要与压缩机组制冷量相匹配； 冷风机必供冷量、供冷消耗功率、洁净度、气密性必须有国家认可的监测机构出具的带CNAS认证的检测报告。</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8、制冷配件：膨胀阀，压控，电磁阀，电器件等相</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关配件全部选用知名品牌；  </w:t>
            </w:r>
          </w:p>
        </w:tc>
        <w:tc>
          <w:tcPr>
            <w:tcW w:w="1078"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3 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84"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ind w:firstLine="174" w:firstLineChars="83"/>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4</w:t>
            </w:r>
          </w:p>
        </w:tc>
        <w:tc>
          <w:tcPr>
            <w:tcW w:w="137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制冷控</w:t>
            </w:r>
          </w:p>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制系统</w:t>
            </w:r>
          </w:p>
        </w:tc>
        <w:tc>
          <w:tcPr>
            <w:tcW w:w="549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冷库的温度控制系统采用智能控制系统，配备10寸彩色液晶触摸屏显示和控制；触摸屏安装在冷库方便操作的位置，与电控箱独立分开；可实现制冷系统的开、停机，风机化霜，温度控制、记录、报警、显示、操控；（提供所投产品相关参数证明资料）；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2、所有冷库具有库内设备异常报警：具有温度异常报警，设备故障报警，冷凝器过热报警等；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3、▲冷库物联网远程控制平台软件需为正版软件（所投产品需提供物联网远程控制软件的软件著作权登记证书盖章复印件，原件备查）</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4、具有物联网模块，具有故障远程诊断功能，可实现故障远程报警及处理；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5、具备过热、过载、缺相、系统高低压多种保护装置， 空气开关、接触器等电器元件、电线等应选用知名品牌；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6、▲冷库物联网远程控制平台软件能够跟冷库的温湿度冷链监测系统软件数据互联互通，实现监测和控制的联动操作； （所投产品需提供能够证明数据对接能力的相关证明材料，原件备查）；</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7、▲冷库需要具有农产品仓储保鲜冷链监管平台服务支持能力（提供所投产品厂商的平台软件著作权登记证书盖章复印件，原件备查。）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8、▲须具备农业农村部重点农产品市场信息平台农产品产地仓储保鲜冷链物流信息系统的软件研发能力，满足冷库的数字化改造要求。（提供所投产品厂商的软件著作权登记证书盖章复印件，原件备查）；</w:t>
            </w:r>
          </w:p>
        </w:tc>
        <w:tc>
          <w:tcPr>
            <w:tcW w:w="1078"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1 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4"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ind w:firstLine="174" w:firstLineChars="83"/>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5</w:t>
            </w:r>
          </w:p>
        </w:tc>
        <w:tc>
          <w:tcPr>
            <w:tcW w:w="137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冷链温湿度监测设备</w:t>
            </w:r>
          </w:p>
        </w:tc>
        <w:tc>
          <w:tcPr>
            <w:tcW w:w="549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无线温湿度采集模块</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1、基于2.4G的RFID技术，温度传感器与数据传输密封一体，可布署在不同区域；</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2、采用高容量电池，无需外接电源供电，电池使用寿命达3年以上时间；</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设备表面无物理按键；（提供产品图片证明,且投标方需承诺中标后3个工作日内提供产品实物核查，如不能依法依规提供，采购人有权取消中标人资格并追究其虚假应标责任，投标方需在投标文件中提供承诺函说明）</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4、温度测量范围满足：-35～75℃；温度测量精度：±0.5℃；</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无线温湿度探头需做过第三方低温试验测试，低温测试的温度环境≤-40°C，且温度变化速率≥1°C/min,且持续时间大于等于15个小时以上；（所投产品需具有第三方具有CMA和CNAS标识的证书报告复印件加盖公章，原件备查）</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6、可自动检测电池剩余容量，低于指定容量后设备自动发送电量告警短信；</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7、自动检测采集器故障，并报告故障；</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8、无线测温标签用户可自行拆卸维护以便于探头精度年度校准；</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9、▲产品的防护等级（防尘、防水）≥IP68；（具有所投产品认证证书的证明材料，原件备查）</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冷链监测主机模块</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1、用于接收无线测温标签发射的温度数据，并通过内置的无线通讯模块上传数据至云平台，内置SIM卡；</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2、▲必须采用支持FDD-LTE 4G、CDMA2000 3G的无线通讯模块，并提供运营商授权的证明材料；</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3、冷链监测主机至少能够显示40个温度数据以上；</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主机具有TFT彩屏模块，当超温时，主机屏幕的字体可以通过红色字体显示，便于提醒现场操作人员（需提供产品图片证明，且投标方需承诺中标后3个工作日内提供产品实物核查，如不能依法依规提供，采购人有权取消中标人资格并追究其虚假应标责任，投标方需在投标文件中提供承诺函说明）；</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5、▲冷链监测主机具有抗跌落性，在1米及以上的高度跌落产品性能正常且能够稳定工作；（需提供第三方具有CMA和CNAS标识的证书报告复印件并加盖公章）；</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6、自带数据存储功能（内存≥50000条记录），在服务器宕机时，设备可自行存储接收的实时数据，并在网络恢复时自动上传存储的数据；</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7、具有高容量后备电池，容量≥5000毫安，能够在断电情况下继续工作24小时以上；</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8、支持本地声光报警系统：灯光指示、蜂鸣器报警；</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汇聚接入设备</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1、提供24个千兆电口，4千兆自适应SFP+光口；</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2、交换容量≥256Gbps，包转发能力≥51Mpps；</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3、支持IEEE 802.1d（STP）、802.1w（RSTP）、802.1s(MSTP)，支持BPDU保护、根保护、环路保护，支持EAPS以太网链路自动保护协议，支持ERPS以太网环网保护协议；</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4、支持802.1q VLAN,支持QINQ；</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5、支持802.3ad端口聚合每组最大8个、支持动态LACP或静态聚合；</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6、支持802.1p，支持SP、WRR算法队列；</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7、支持DHCP snooping，DHCP server，DHCP raleay；支持DHCP Snooping有效防范欺骗攻击；</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8、支持IGMPv1/v2/v3、PIM-SM、PIM-DM，支持组播流量跨VLAN复制功能；</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9、▲支持静态路由，rip/ospf动态路由；提供官网截图链接并加盖投标人公章</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10、支持802.1X/Radius认证，支持IP+MAC+端口绑定，支持标准和扩展ACL，支持IP ACL、支持基于源/目的IP、三层IP协议号、TCP/UDP四层端口号、IP优先级、ToS、时间范围对数据进行过滤，实现IP、MAC地址进行访问控制的过滤技术；</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11、▲支持ZTP零接触配置开通（Zero Touch Provisioning）；提供官网截图链接并加盖投标人公章</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12、支持Console、Telnet、SSH、WEB；</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13、▲工作温度-30°C~75°C，防护等级不低于IP40，提供符合CNAS标准的第三方测试机构出具的报告并加盖投标人公章；</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14、▲为保障设备受到外部机械碰撞仍可以保持结构完整、功能完备，要求至少支持IK05碰撞防护等级，提供符合CNAS标准的第三方测试机构出具的报告并加盖投标人公章</w:t>
            </w:r>
          </w:p>
        </w:tc>
        <w:tc>
          <w:tcPr>
            <w:tcW w:w="1078"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1 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784"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ind w:firstLine="174" w:firstLineChars="83"/>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6</w:t>
            </w:r>
          </w:p>
        </w:tc>
        <w:tc>
          <w:tcPr>
            <w:tcW w:w="137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冷库冷链监测软件</w:t>
            </w:r>
          </w:p>
        </w:tc>
        <w:tc>
          <w:tcPr>
            <w:tcW w:w="549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1、实时显示：全程实时监控温湿度数据的同时，数据传输到管理平台并存为历史记录；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限值报警：可设置温湿度上下限报警值，并根据设定的值进行报警；如冷链温度升级报警可电话语音报警；可设置多级报警，在一定时间内没有及时处理的报警信息可自动升级并通知相关负责人，升级报警时间可设、报警级别支持≥3 个级别；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3、报警管理：需支持报警事件处理和报警备案功能和管理人员登录及操作日志查询功能；实时显示产生的报警信息，可对报警信息进行处理（处理内容包括： 报警原因、处理措施、处理时间以及处理人员等信息）</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冷链装备评估报表：分析冰箱制冷系统运行的稳定性和制冷效果；建立数据方差模型，通过数据模型分析冷库的压缩机性能，同时判定冷库的制冷效果。（提供所投产品厂商的数学模型的算法方案证明材料）</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5、冷链信息化软件平台必须满足农产品保鲜冷链数据3 年以上（自系统安装之日计算）储存和备份需求；</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6、▲该冷库冷链监测系统须具备与大型云服务器厂家（阿里云、华为云、天翼云及腾讯云）的云资源部署的兼容能力，并提供相关证明材料。（提供所投产品的兼容性认证报告盖章复印件）。</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7、▲冷链监测系统报表必须满足温度平均动力学温度（MKT算法）的计算报表。（提供所投产品厂商的数学模型的算法方案证明材料）。</w:t>
            </w:r>
          </w:p>
        </w:tc>
        <w:tc>
          <w:tcPr>
            <w:tcW w:w="1078"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1 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4"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ind w:firstLine="174" w:firstLineChars="83"/>
              <w:jc w:val="center"/>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7</w:t>
            </w:r>
          </w:p>
        </w:tc>
        <w:tc>
          <w:tcPr>
            <w:tcW w:w="1373"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其他</w:t>
            </w:r>
          </w:p>
        </w:tc>
        <w:tc>
          <w:tcPr>
            <w:tcW w:w="5499"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1、冷库灯：库内灯具有防潮、防撞、防爆的 LED 灯，库门前开关按钮控制，电源耗损寿命≥8 万小时，具备防水、防尘、低热功能；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2、所有安装电线均要求正品大厂国标电线；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3、整个系统采用 R507 等环保型制冷剂；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4、制冷管道冷凝器、蒸发器管及所有管道连接均为国标铜管,成套使用的铜管厚度≥1.0mm；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5、冷库内动力和照明线路所使用的电线均为明敷。穿过冷库隔热层的电气线路，应集中敷设且需采取防火和防止产生“冷桥”的措施；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6、气密检漏实验：在冷冻机和冷却器的连接完成以后，在隔热施工前，要对配管系统进行气密实验，以确认管线是否有泄漏； </w:t>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7、气密实验后，为除去管内的空气及水份，必须抽真空。</w:t>
            </w:r>
          </w:p>
        </w:tc>
        <w:tc>
          <w:tcPr>
            <w:tcW w:w="1078" w:type="dxa"/>
            <w:tcBorders>
              <w:top w:val="single" w:color="auto" w:sz="4" w:space="0"/>
              <w:left w:val="single" w:color="auto" w:sz="4" w:space="0"/>
              <w:bottom w:val="single" w:color="auto" w:sz="4" w:space="0"/>
              <w:right w:val="single" w:color="auto" w:sz="4" w:space="0"/>
            </w:tcBorders>
            <w:vAlign w:val="center"/>
          </w:tcPr>
          <w:p>
            <w:pPr>
              <w:pStyle w:val="21"/>
              <w:wordWrap w:val="0"/>
              <w:spacing w:before="0" w:beforeAutospacing="0" w:after="0" w:afterAutospacing="0" w:line="240" w:lineRule="auto"/>
              <w:jc w:val="both"/>
              <w:rPr>
                <w:rFonts w:ascii="宋体" w:hAnsi="宋体" w:eastAsia="宋体" w:cs="宋体"/>
                <w:color w:val="000000" w:themeColor="text1"/>
                <w:kern w:val="2"/>
                <w:sz w:val="21"/>
                <w:szCs w:val="21"/>
                <w14:textFill>
                  <w14:solidFill>
                    <w14:schemeClr w14:val="tx1"/>
                  </w14:solidFill>
                </w14:textFill>
              </w:rPr>
            </w:pPr>
            <w:r>
              <w:rPr>
                <w:rFonts w:hint="eastAsia" w:ascii="宋体" w:hAnsi="宋体" w:eastAsia="宋体" w:cs="宋体"/>
                <w:color w:val="000000" w:themeColor="text1"/>
                <w:kern w:val="2"/>
                <w:sz w:val="21"/>
                <w:szCs w:val="21"/>
                <w14:textFill>
                  <w14:solidFill>
                    <w14:schemeClr w14:val="tx1"/>
                  </w14:solidFill>
                </w14:textFill>
              </w:rPr>
              <w:t>1 项</w:t>
            </w:r>
          </w:p>
        </w:tc>
      </w:tr>
      <w:bookmarkEnd w:id="543"/>
      <w:bookmarkEnd w:id="544"/>
    </w:tbl>
    <w:p>
      <w:pPr>
        <w:spacing w:line="560" w:lineRule="exact"/>
        <w:ind w:firstLine="482" w:firstLineChars="200"/>
        <w:rPr>
          <w:rFonts w:ascii="方正仿宋简体" w:eastAsia="方正仿宋简体"/>
          <w:b/>
          <w:color w:val="000000" w:themeColor="text1"/>
          <w:sz w:val="28"/>
          <w:szCs w:val="28"/>
          <w14:textFill>
            <w14:solidFill>
              <w14:schemeClr w14:val="tx1"/>
            </w14:solidFill>
          </w14:textFill>
        </w:rPr>
      </w:pPr>
      <w:r>
        <w:rPr>
          <w:rFonts w:hint="eastAsia" w:ascii="宋体" w:hAnsi="宋体" w:cs="宋体"/>
          <w:b/>
          <w:color w:val="000000" w:themeColor="text1"/>
          <w:sz w:val="24"/>
          <w:lang w:bidi="ar"/>
          <w14:textFill>
            <w14:solidFill>
              <w14:schemeClr w14:val="tx1"/>
            </w14:solidFill>
          </w14:textFill>
        </w:rPr>
        <w:t>三、其他要求</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3.1、冷库实施要求</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1、在投标文件中提供人员配置计划，包括项目经理、设计人员、开发人员、测试人员等，并注明人员分工职责，实施期间所有人员持证上岗。</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2、在试运行期间，投标人应当根据采购人的要求，不断修改和完善软件的功能和性能，直至采购人满意。</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3、项目验收前，需向采购人提出书面验收申请，并提供包括但不限于以下内容：设备安装说明、设备使用手册、设备维护手册、培训文档、安装调试文档及等。</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4、冷库冷链监测软件的数据安全与备份/恢复要求：应从数据的完整性、保密性、备份/恢复的机制与途径等方面进行设计。</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3.2、项目培训要求</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中标人对系统应用相关人员进行不少于 2 次的操作培训。、充分考虑到系统使用人员实际水平，提出详细的系统培训方案。培训目标为： 通过培训达到人员能够独立管理设备日常操作。</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3.3、项目售后服务要求</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本项目需提供免费质保不少于1年。</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响应时间：硬件设备发生故障，接到需要服务或者故障通知后4小时内做出响应，8小时内到达现场，24小时内完成服务或者维修。</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3.4、维保要求</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（1）确保冷库正常运行，包括制冷机组、冷风机、智能电箱、冷库冷链监测系统等；</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（2）全天候（24 小时X7 天）实时电话响应；</w:t>
      </w:r>
    </w:p>
    <w:p>
      <w:pPr>
        <w:spacing w:line="360" w:lineRule="auto"/>
        <w:ind w:firstLine="48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（3）设备故障 3 日内修复；</w:t>
      </w:r>
    </w:p>
    <w:p>
      <w:pPr>
        <w:spacing w:line="360" w:lineRule="auto"/>
        <w:ind w:firstLine="480" w:firstLineChars="20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（4）提供维修备件或替换件，确保故障及时修复；</w:t>
      </w:r>
    </w:p>
    <w:p>
      <w:pPr>
        <w:spacing w:line="360" w:lineRule="auto"/>
        <w:ind w:firstLine="480" w:firstLineChars="200"/>
        <w:rPr>
          <w:rFonts w:hint="default" w:asciiTheme="majorEastAsia" w:hAnsiTheme="majorEastAsia" w:eastAsiaTheme="majorEastAsia" w:cstheme="majorEastAsia"/>
          <w:color w:val="FF0000"/>
          <w:sz w:val="24"/>
          <w:szCs w:val="24"/>
          <w:lang w:val="en-US" w:eastAsia="zh-CN"/>
        </w:rPr>
      </w:pPr>
      <w:r>
        <w:rPr>
          <w:rFonts w:hint="eastAsia" w:ascii="宋体" w:hAnsi="宋体" w:cs="宋体"/>
          <w:color w:val="000000" w:themeColor="text1"/>
          <w:szCs w:val="21"/>
          <w14:textFill>
            <w14:solidFill>
              <w14:schemeClr w14:val="tx1"/>
            </w14:solidFill>
          </w14:textFill>
        </w:rPr>
        <w:t>（5）定期巡检，及时发现故障和隐患。</w:t>
      </w:r>
    </w:p>
    <w:bookmarkEnd w:id="542"/>
    <w:p>
      <w:pPr>
        <w:pStyle w:val="10"/>
        <w:keepNext w:val="0"/>
        <w:pageBreakBefore w:val="0"/>
        <w:kinsoku/>
        <w:wordWrap/>
        <w:overflowPunct/>
        <w:topLinePunct w:val="0"/>
        <w:autoSpaceDE/>
        <w:autoSpaceDN/>
        <w:bidi w:val="0"/>
        <w:adjustRightInd/>
        <w:snapToGrid/>
        <w:spacing w:line="500" w:lineRule="exact"/>
        <w:textAlignment w:val="auto"/>
        <w:rPr>
          <w:rFonts w:hint="eastAsia" w:asciiTheme="majorEastAsia" w:hAnsiTheme="majorEastAsia" w:eastAsiaTheme="majorEastAsia" w:cstheme="majorEastAsia"/>
          <w:color w:val="auto"/>
          <w:sz w:val="24"/>
          <w:szCs w:val="24"/>
        </w:rPr>
        <w:sectPr>
          <w:footerReference r:id="rId3" w:type="default"/>
          <w:pgSz w:w="11906" w:h="16838"/>
          <w:pgMar w:top="1440" w:right="1800" w:bottom="1440" w:left="1800" w:header="851" w:footer="992" w:gutter="0"/>
          <w:cols w:space="425" w:num="1"/>
          <w:docGrid w:type="lines" w:linePitch="312" w:charSpace="0"/>
        </w:sectPr>
      </w:pPr>
    </w:p>
    <w:p>
      <w:pPr>
        <w:jc w:val="center"/>
        <w:outlineLvl w:val="0"/>
        <w:rPr>
          <w:rFonts w:hint="eastAsia" w:asciiTheme="majorEastAsia" w:hAnsiTheme="majorEastAsia" w:eastAsiaTheme="majorEastAsia" w:cstheme="majorEastAsia"/>
          <w:b/>
          <w:color w:val="auto"/>
        </w:rPr>
      </w:pPr>
      <w:bookmarkStart w:id="545" w:name="_Toc19231"/>
      <w:r>
        <w:rPr>
          <w:rFonts w:hint="eastAsia" w:asciiTheme="majorEastAsia" w:hAnsiTheme="majorEastAsia" w:eastAsiaTheme="majorEastAsia" w:cstheme="majorEastAsia"/>
          <w:color w:val="auto"/>
          <w:sz w:val="44"/>
          <w:szCs w:val="44"/>
        </w:rPr>
        <w:t xml:space="preserve">第六章 </w:t>
      </w:r>
      <w:r>
        <w:rPr>
          <w:rFonts w:hint="eastAsia" w:asciiTheme="majorEastAsia" w:hAnsiTheme="majorEastAsia" w:eastAsiaTheme="majorEastAsia" w:cstheme="majorEastAsia"/>
          <w:b/>
          <w:color w:val="auto"/>
          <w:sz w:val="44"/>
          <w:szCs w:val="44"/>
        </w:rPr>
        <w:t>投标文件的编制要求及参考格式</w:t>
      </w:r>
      <w:bookmarkEnd w:id="545"/>
      <w:r>
        <w:rPr>
          <w:rFonts w:hint="eastAsia" w:asciiTheme="majorEastAsia" w:hAnsiTheme="majorEastAsia" w:eastAsiaTheme="majorEastAsia" w:cstheme="majorEastAsia"/>
          <w:b/>
          <w:color w:val="auto"/>
        </w:rPr>
        <w:t xml:space="preserve"> </w:t>
      </w:r>
      <w:bookmarkStart w:id="546" w:name="_Hlt26671244"/>
      <w:bookmarkEnd w:id="546"/>
      <w:bookmarkStart w:id="547" w:name="_Hlt26955039"/>
      <w:bookmarkEnd w:id="547"/>
      <w:bookmarkStart w:id="548" w:name="_Toc282446331"/>
      <w:bookmarkStart w:id="549" w:name="_Toc49090576"/>
      <w:bookmarkStart w:id="550" w:name="_Toc288030359"/>
      <w:bookmarkStart w:id="551" w:name="_Toc26554094"/>
      <w:bookmarkStart w:id="552" w:name="_Toc120614282"/>
    </w:p>
    <w:p>
      <w:pPr>
        <w:pStyle w:val="20"/>
        <w:spacing w:line="360" w:lineRule="exact"/>
        <w:ind w:left="646" w:firstLine="0"/>
        <w:jc w:val="center"/>
        <w:outlineLvl w:val="9"/>
        <w:rPr>
          <w:rFonts w:hint="eastAsia" w:asciiTheme="majorEastAsia" w:hAnsiTheme="majorEastAsia" w:eastAsiaTheme="majorEastAsia" w:cstheme="majorEastAsia"/>
          <w:b/>
          <w:color w:val="auto"/>
          <w:sz w:val="44"/>
          <w:szCs w:val="44"/>
        </w:rPr>
      </w:pPr>
    </w:p>
    <w:p>
      <w:pPr>
        <w:spacing w:line="500" w:lineRule="exact"/>
        <w:outlineLvl w:val="1"/>
        <w:rPr>
          <w:rFonts w:hint="eastAsia" w:asciiTheme="majorEastAsia" w:hAnsiTheme="majorEastAsia" w:eastAsiaTheme="majorEastAsia" w:cstheme="majorEastAsia"/>
          <w:color w:val="auto"/>
          <w:sz w:val="24"/>
          <w:szCs w:val="24"/>
        </w:rPr>
      </w:pPr>
      <w:bookmarkStart w:id="553" w:name="_Toc26281"/>
      <w:bookmarkStart w:id="554" w:name="_Toc426469932"/>
      <w:r>
        <w:rPr>
          <w:rFonts w:hint="eastAsia" w:asciiTheme="majorEastAsia" w:hAnsiTheme="majorEastAsia" w:eastAsiaTheme="majorEastAsia" w:cstheme="majorEastAsia"/>
          <w:color w:val="auto"/>
          <w:sz w:val="24"/>
          <w:szCs w:val="24"/>
        </w:rPr>
        <w:t>1.投标文件的组成</w:t>
      </w:r>
      <w:bookmarkEnd w:id="553"/>
      <w:bookmarkEnd w:id="554"/>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bookmarkStart w:id="555" w:name="_Toc426469933"/>
      <w:r>
        <w:rPr>
          <w:rFonts w:hint="eastAsia" w:asciiTheme="majorEastAsia" w:hAnsiTheme="majorEastAsia" w:eastAsiaTheme="majorEastAsia" w:cstheme="majorEastAsia"/>
          <w:color w:val="auto"/>
          <w:sz w:val="24"/>
          <w:szCs w:val="24"/>
        </w:rPr>
        <w:t>见本招标文件第二章3.1条。</w:t>
      </w:r>
    </w:p>
    <w:p>
      <w:pPr>
        <w:spacing w:line="500" w:lineRule="exact"/>
        <w:outlineLvl w:val="1"/>
        <w:rPr>
          <w:rFonts w:hint="eastAsia" w:asciiTheme="majorEastAsia" w:hAnsiTheme="majorEastAsia" w:eastAsiaTheme="majorEastAsia" w:cstheme="majorEastAsia"/>
          <w:color w:val="auto"/>
          <w:sz w:val="24"/>
          <w:szCs w:val="24"/>
        </w:rPr>
      </w:pPr>
      <w:bookmarkStart w:id="556" w:name="_Toc10906"/>
      <w:r>
        <w:rPr>
          <w:rFonts w:hint="eastAsia" w:asciiTheme="majorEastAsia" w:hAnsiTheme="majorEastAsia" w:eastAsiaTheme="majorEastAsia" w:cstheme="majorEastAsia"/>
          <w:color w:val="auto"/>
          <w:sz w:val="24"/>
          <w:szCs w:val="24"/>
        </w:rPr>
        <w:t>2.投标文件的编制内容及编制要求</w:t>
      </w:r>
      <w:bookmarkEnd w:id="555"/>
      <w:bookmarkEnd w:id="556"/>
    </w:p>
    <w:p>
      <w:pPr>
        <w:spacing w:line="5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2.1开标一览表</w:t>
      </w:r>
    </w:p>
    <w:p>
      <w:pPr>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2.1.1 投标人应按表中格式完整、清晰、正确填写；</w:t>
      </w:r>
    </w:p>
    <w:p>
      <w:pPr>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2.1.2开标一览表中的价格应与投标文件中</w:t>
      </w:r>
      <w:bookmarkStart w:id="557" w:name="OLE_LINK8"/>
      <w:r>
        <w:rPr>
          <w:rFonts w:hint="eastAsia" w:asciiTheme="majorEastAsia" w:hAnsiTheme="majorEastAsia" w:eastAsiaTheme="majorEastAsia" w:cstheme="majorEastAsia"/>
          <w:color w:val="auto"/>
          <w:sz w:val="24"/>
          <w:szCs w:val="24"/>
        </w:rPr>
        <w:t>投标报价明细表</w:t>
      </w:r>
      <w:bookmarkEnd w:id="557"/>
      <w:r>
        <w:rPr>
          <w:rFonts w:hint="eastAsia" w:asciiTheme="majorEastAsia" w:hAnsiTheme="majorEastAsia" w:eastAsiaTheme="majorEastAsia" w:cstheme="majorEastAsia"/>
          <w:color w:val="auto"/>
          <w:sz w:val="24"/>
          <w:szCs w:val="24"/>
        </w:rPr>
        <w:t>中的价格一致。</w:t>
      </w:r>
    </w:p>
    <w:p>
      <w:pPr>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2.1.3开标一览表格式见附件。</w:t>
      </w:r>
    </w:p>
    <w:p>
      <w:pPr>
        <w:spacing w:line="5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2.2 投标函</w:t>
      </w:r>
    </w:p>
    <w:p>
      <w:pPr>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2.2.1投标人应按表中规定格式完整、清晰、正确填写；</w:t>
      </w:r>
    </w:p>
    <w:p>
      <w:pPr>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2.2.2投标函必须加盖投标人法人公章并经法定代表人签字或签章。</w:t>
      </w:r>
    </w:p>
    <w:p>
      <w:pPr>
        <w:spacing w:line="5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2.3资格条件证明文件</w:t>
      </w:r>
    </w:p>
    <w:p>
      <w:pPr>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（1）供应商基本资格条件承诺函；</w:t>
      </w:r>
    </w:p>
    <w:p>
      <w:pPr>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（2）招标文件要求的其他资格条件证明材料。</w:t>
      </w:r>
    </w:p>
    <w:p>
      <w:pPr>
        <w:spacing w:line="500" w:lineRule="exact"/>
        <w:rPr>
          <w:rFonts w:hint="eastAsia" w:asciiTheme="majorEastAsia" w:hAnsiTheme="majorEastAsia" w:eastAsiaTheme="majorEastAsia" w:cstheme="majorEastAsia"/>
          <w:b/>
          <w:color w:val="auto"/>
          <w:sz w:val="24"/>
          <w:szCs w:val="24"/>
          <w:lang w:eastAsia="zh-CN"/>
        </w:rPr>
      </w:pPr>
      <w:r>
        <w:rPr>
          <w:rFonts w:hint="eastAsia" w:asciiTheme="majorEastAsia" w:hAnsiTheme="majorEastAsia" w:eastAsiaTheme="majorEastAsia" w:cstheme="majorEastAsia"/>
          <w:b/>
          <w:color w:val="auto"/>
          <w:sz w:val="24"/>
          <w:szCs w:val="24"/>
        </w:rPr>
        <w:t>2.4</w:t>
      </w:r>
      <w:r>
        <w:rPr>
          <w:rFonts w:hint="eastAsia" w:asciiTheme="majorEastAsia" w:hAnsiTheme="majorEastAsia" w:eastAsiaTheme="majorEastAsia" w:cstheme="majorEastAsia"/>
          <w:b/>
          <w:color w:val="auto"/>
          <w:sz w:val="24"/>
          <w:szCs w:val="24"/>
          <w:lang w:eastAsia="zh-CN"/>
        </w:rPr>
        <w:t>投标偏离表</w:t>
      </w:r>
    </w:p>
    <w:p>
      <w:pPr>
        <w:spacing w:line="500" w:lineRule="exact"/>
        <w:ind w:firstLine="480"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color w:val="auto"/>
          <w:sz w:val="24"/>
          <w:szCs w:val="24"/>
        </w:rPr>
        <w:t>投标人应仔细阅读招标文件第五章采购需求，结合自身的实际情况，如实编制，格式自拟。</w:t>
      </w:r>
      <w:r>
        <w:rPr>
          <w:rFonts w:hint="eastAsia" w:asciiTheme="majorEastAsia" w:hAnsiTheme="majorEastAsia" w:eastAsiaTheme="majorEastAsia" w:cstheme="majorEastAsia"/>
          <w:b/>
          <w:color w:val="auto"/>
          <w:sz w:val="24"/>
          <w:szCs w:val="24"/>
          <w:lang w:eastAsia="zh-CN"/>
        </w:rPr>
        <w:t>投标偏离表</w:t>
      </w:r>
      <w:r>
        <w:rPr>
          <w:rFonts w:hint="eastAsia" w:asciiTheme="majorEastAsia" w:hAnsiTheme="majorEastAsia" w:eastAsiaTheme="majorEastAsia" w:cstheme="majorEastAsia"/>
          <w:b/>
          <w:color w:val="auto"/>
          <w:sz w:val="24"/>
          <w:szCs w:val="24"/>
        </w:rPr>
        <w:t>须详细说明实际提供的服务及其他采购需求中相关要求的响应情况。</w:t>
      </w:r>
    </w:p>
    <w:p>
      <w:pPr>
        <w:spacing w:line="5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2.5投标人认为应列入投标文件的其他材料</w:t>
      </w:r>
    </w:p>
    <w:p>
      <w:pPr>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投标人应对照第三章评标办法中的评审因素，结合自身的实际情况，如实编制，格式自拟。</w:t>
      </w:r>
    </w:p>
    <w:p>
      <w:pPr>
        <w:spacing w:line="500" w:lineRule="exact"/>
        <w:outlineLvl w:val="1"/>
        <w:rPr>
          <w:rFonts w:hint="eastAsia" w:asciiTheme="majorEastAsia" w:hAnsiTheme="majorEastAsia" w:eastAsiaTheme="majorEastAsia" w:cstheme="majorEastAsia"/>
          <w:color w:val="auto"/>
          <w:sz w:val="32"/>
          <w:szCs w:val="32"/>
        </w:rPr>
      </w:pPr>
      <w:bookmarkStart w:id="558" w:name="_Toc426469934"/>
      <w:r>
        <w:rPr>
          <w:rFonts w:hint="eastAsia" w:asciiTheme="majorEastAsia" w:hAnsiTheme="majorEastAsia" w:eastAsiaTheme="majorEastAsia" w:cstheme="majorEastAsia"/>
          <w:color w:val="auto"/>
          <w:sz w:val="32"/>
          <w:szCs w:val="32"/>
        </w:rPr>
        <w:br w:type="page"/>
      </w:r>
      <w:bookmarkStart w:id="559" w:name="_Toc9930"/>
      <w:r>
        <w:rPr>
          <w:rFonts w:hint="eastAsia" w:asciiTheme="majorEastAsia" w:hAnsiTheme="majorEastAsia" w:eastAsiaTheme="majorEastAsia" w:cstheme="majorEastAsia"/>
          <w:color w:val="auto"/>
          <w:sz w:val="32"/>
          <w:szCs w:val="32"/>
        </w:rPr>
        <w:t>3. 投标文件参考格式</w:t>
      </w:r>
      <w:bookmarkEnd w:id="548"/>
      <w:bookmarkEnd w:id="549"/>
      <w:bookmarkEnd w:id="550"/>
      <w:bookmarkEnd w:id="551"/>
      <w:bookmarkEnd w:id="552"/>
      <w:bookmarkEnd w:id="558"/>
      <w:bookmarkEnd w:id="559"/>
      <w:bookmarkStart w:id="560" w:name="_Toc426469936"/>
      <w:bookmarkStart w:id="561" w:name="_Toc426469937"/>
      <w:bookmarkStart w:id="562" w:name="_Toc390098915"/>
      <w:bookmarkStart w:id="563" w:name="_Toc382811202"/>
      <w:bookmarkStart w:id="564" w:name="_Toc382811607"/>
      <w:bookmarkStart w:id="565" w:name="_Toc383624021"/>
      <w:bookmarkStart w:id="566" w:name="_Toc382813957"/>
      <w:bookmarkStart w:id="567" w:name="_Toc390099111"/>
      <w:bookmarkStart w:id="568" w:name="_Toc382812507"/>
      <w:bookmarkStart w:id="569" w:name="_Toc383626069"/>
      <w:bookmarkStart w:id="570" w:name="_Toc383587529"/>
      <w:bookmarkStart w:id="571" w:name="_Toc382814038"/>
      <w:bookmarkStart w:id="572" w:name="_Toc383698722"/>
      <w:bookmarkStart w:id="573" w:name="_Toc390246998"/>
      <w:bookmarkStart w:id="574" w:name="_Toc382812316"/>
      <w:bookmarkStart w:id="575" w:name="_Toc383623749"/>
      <w:bookmarkStart w:id="576" w:name="_Toc383679822"/>
    </w:p>
    <w:p>
      <w:pPr>
        <w:rPr>
          <w:rFonts w:hint="eastAsia" w:asciiTheme="majorEastAsia" w:hAnsiTheme="majorEastAsia" w:eastAsiaTheme="majorEastAsia" w:cstheme="majorEastAsia"/>
          <w:b/>
          <w:color w:val="auto"/>
          <w:sz w:val="28"/>
          <w:szCs w:val="28"/>
        </w:rPr>
      </w:pPr>
      <w:r>
        <w:rPr>
          <w:rFonts w:hint="eastAsia" w:asciiTheme="majorEastAsia" w:hAnsiTheme="majorEastAsia" w:eastAsiaTheme="majorEastAsia" w:cstheme="majorEastAsia"/>
          <w:b/>
          <w:color w:val="auto"/>
          <w:sz w:val="28"/>
          <w:szCs w:val="28"/>
        </w:rPr>
        <w:t>3.1投标文件封面格式</w:t>
      </w:r>
      <w:bookmarkEnd w:id="560"/>
    </w:p>
    <w:p>
      <w:pPr>
        <w:spacing w:line="360" w:lineRule="exact"/>
        <w:ind w:firstLine="480" w:firstLineChars="200"/>
        <w:jc w:val="center"/>
        <w:rPr>
          <w:rFonts w:hint="eastAsia" w:asciiTheme="majorEastAsia" w:hAnsiTheme="majorEastAsia" w:eastAsiaTheme="majorEastAsia" w:cstheme="majorEastAsia"/>
          <w:color w:val="auto"/>
        </w:rPr>
      </w:pPr>
    </w:p>
    <w:p>
      <w:pPr>
        <w:spacing w:line="360" w:lineRule="exact"/>
        <w:ind w:firstLine="480" w:firstLineChars="200"/>
        <w:jc w:val="center"/>
        <w:rPr>
          <w:rFonts w:hint="eastAsia" w:asciiTheme="majorEastAsia" w:hAnsiTheme="majorEastAsia" w:eastAsiaTheme="majorEastAsia" w:cstheme="majorEastAsia"/>
          <w:color w:val="auto"/>
        </w:rPr>
      </w:pPr>
    </w:p>
    <w:p>
      <w:pPr>
        <w:jc w:val="center"/>
        <w:rPr>
          <w:rFonts w:hint="eastAsia" w:asciiTheme="majorEastAsia" w:hAnsiTheme="majorEastAsia" w:eastAsiaTheme="majorEastAsia" w:cstheme="majorEastAsia"/>
          <w:b/>
          <w:color w:val="auto"/>
          <w:sz w:val="48"/>
          <w:szCs w:val="48"/>
        </w:rPr>
      </w:pPr>
      <w:r>
        <w:rPr>
          <w:rFonts w:hint="eastAsia" w:asciiTheme="majorEastAsia" w:hAnsiTheme="majorEastAsia" w:eastAsiaTheme="majorEastAsia" w:cstheme="majorEastAsia"/>
          <w:b/>
          <w:color w:val="auto"/>
          <w:sz w:val="48"/>
          <w:szCs w:val="48"/>
        </w:rPr>
        <w:t>投标文件</w:t>
      </w:r>
    </w:p>
    <w:p>
      <w:pPr>
        <w:pStyle w:val="9"/>
        <w:rPr>
          <w:rFonts w:hint="eastAsia" w:asciiTheme="majorEastAsia" w:hAnsiTheme="majorEastAsia" w:eastAsiaTheme="majorEastAsia" w:cstheme="majorEastAsia"/>
          <w:color w:val="auto"/>
        </w:rPr>
      </w:pPr>
    </w:p>
    <w:p>
      <w:pPr>
        <w:spacing w:line="360" w:lineRule="exact"/>
        <w:ind w:firstLine="2040" w:firstLineChars="85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项 目 名 称：</w:t>
      </w:r>
      <w:r>
        <w:rPr>
          <w:rFonts w:hint="eastAsia" w:asciiTheme="majorEastAsia" w:hAnsiTheme="majorEastAsia" w:eastAsiaTheme="majorEastAsia" w:cstheme="majorEastAsia"/>
          <w:color w:val="auto"/>
          <w:sz w:val="24"/>
          <w:szCs w:val="24"/>
          <w:u w:val="single"/>
        </w:rPr>
        <w:t>          </w:t>
      </w:r>
      <w:r>
        <w:rPr>
          <w:rFonts w:hint="eastAsia" w:asciiTheme="majorEastAsia" w:hAnsiTheme="majorEastAsia" w:eastAsiaTheme="majorEastAsia" w:cstheme="majorEastAsia"/>
          <w:color w:val="auto"/>
          <w:sz w:val="24"/>
          <w:szCs w:val="24"/>
        </w:rPr>
        <w:t>   </w:t>
      </w:r>
    </w:p>
    <w:p>
      <w:pPr>
        <w:spacing w:line="360" w:lineRule="exact"/>
        <w:ind w:firstLine="2040" w:firstLineChars="85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招 标 编 号：</w:t>
      </w:r>
      <w:r>
        <w:rPr>
          <w:rFonts w:hint="eastAsia" w:asciiTheme="majorEastAsia" w:hAnsiTheme="majorEastAsia" w:eastAsiaTheme="majorEastAsia" w:cstheme="majorEastAsia"/>
          <w:color w:val="auto"/>
          <w:sz w:val="24"/>
          <w:szCs w:val="24"/>
          <w:u w:val="single"/>
        </w:rPr>
        <w:t>          </w:t>
      </w:r>
      <w:r>
        <w:rPr>
          <w:rFonts w:hint="eastAsia" w:asciiTheme="majorEastAsia" w:hAnsiTheme="majorEastAsia" w:eastAsiaTheme="majorEastAsia" w:cstheme="majorEastAsia"/>
          <w:color w:val="auto"/>
          <w:sz w:val="24"/>
          <w:szCs w:val="24"/>
        </w:rPr>
        <w:t>   </w:t>
      </w:r>
    </w:p>
    <w:p>
      <w:pPr>
        <w:spacing w:line="360" w:lineRule="exact"/>
        <w:ind w:firstLine="480" w:firstLineChars="200"/>
        <w:rPr>
          <w:rFonts w:hint="eastAsia" w:asciiTheme="majorEastAsia" w:hAnsiTheme="majorEastAsia" w:eastAsiaTheme="majorEastAsia" w:cstheme="majorEastAsia"/>
          <w:color w:val="auto"/>
          <w:sz w:val="24"/>
          <w:szCs w:val="24"/>
        </w:rPr>
      </w:pPr>
    </w:p>
    <w:p>
      <w:pPr>
        <w:spacing w:line="400" w:lineRule="exact"/>
        <w:ind w:firstLine="2160" w:firstLineChars="9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投标人名称 ：</w:t>
      </w:r>
      <w:r>
        <w:rPr>
          <w:rFonts w:hint="eastAsia" w:asciiTheme="majorEastAsia" w:hAnsiTheme="majorEastAsia" w:eastAsiaTheme="majorEastAsia" w:cstheme="majorEastAsia"/>
          <w:color w:val="auto"/>
          <w:sz w:val="24"/>
          <w:szCs w:val="24"/>
          <w:u w:val="single"/>
        </w:rPr>
        <w:t>          </w:t>
      </w:r>
      <w:r>
        <w:rPr>
          <w:rFonts w:hint="eastAsia" w:asciiTheme="majorEastAsia" w:hAnsiTheme="majorEastAsia" w:eastAsiaTheme="majorEastAsia" w:cstheme="majorEastAsia"/>
          <w:color w:val="auto"/>
          <w:sz w:val="24"/>
          <w:szCs w:val="24"/>
        </w:rPr>
        <w:t>   </w:t>
      </w:r>
    </w:p>
    <w:p>
      <w:pPr>
        <w:spacing w:line="400" w:lineRule="exact"/>
        <w:ind w:firstLine="2160" w:firstLineChars="9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日   期 ：</w:t>
      </w:r>
      <w:r>
        <w:rPr>
          <w:rFonts w:hint="eastAsia" w:asciiTheme="majorEastAsia" w:hAnsiTheme="majorEastAsia" w:eastAsiaTheme="majorEastAsia" w:cstheme="majorEastAsia"/>
          <w:color w:val="auto"/>
          <w:sz w:val="24"/>
          <w:szCs w:val="24"/>
          <w:u w:val="single"/>
        </w:rPr>
        <w:t>   年  月  日 </w:t>
      </w:r>
    </w:p>
    <w:p>
      <w:pPr>
        <w:spacing w:line="400" w:lineRule="exact"/>
        <w:ind w:firstLine="2520" w:firstLineChars="900"/>
        <w:rPr>
          <w:rFonts w:hint="eastAsia" w:asciiTheme="majorEastAsia" w:hAnsiTheme="majorEastAsia" w:eastAsiaTheme="majorEastAsia" w:cstheme="majorEastAsia"/>
          <w:color w:val="auto"/>
          <w:sz w:val="28"/>
          <w:szCs w:val="28"/>
        </w:rPr>
      </w:pPr>
    </w:p>
    <w:p>
      <w:pPr>
        <w:spacing w:line="400" w:lineRule="exact"/>
        <w:rPr>
          <w:rFonts w:hint="eastAsia" w:asciiTheme="majorEastAsia" w:hAnsiTheme="majorEastAsia" w:eastAsiaTheme="majorEastAsia" w:cstheme="majorEastAsia"/>
          <w:color w:val="auto"/>
          <w:sz w:val="28"/>
          <w:szCs w:val="28"/>
        </w:rPr>
      </w:pPr>
    </w:p>
    <w:p>
      <w:pPr>
        <w:spacing w:line="400" w:lineRule="exact"/>
        <w:rPr>
          <w:rFonts w:hint="eastAsia" w:asciiTheme="majorEastAsia" w:hAnsiTheme="majorEastAsia" w:eastAsiaTheme="majorEastAsia" w:cstheme="majorEastAsia"/>
          <w:color w:val="auto"/>
          <w:sz w:val="28"/>
          <w:szCs w:val="28"/>
        </w:rPr>
      </w:pPr>
    </w:p>
    <w:p>
      <w:pPr>
        <w:spacing w:line="400" w:lineRule="exact"/>
        <w:rPr>
          <w:rFonts w:hint="eastAsia" w:asciiTheme="majorEastAsia" w:hAnsiTheme="majorEastAsia" w:eastAsiaTheme="majorEastAsia" w:cstheme="majorEastAsia"/>
          <w:b/>
          <w:color w:val="auto"/>
          <w:sz w:val="28"/>
          <w:szCs w:val="28"/>
        </w:rPr>
      </w:pPr>
      <w:r>
        <w:rPr>
          <w:rFonts w:hint="eastAsia" w:asciiTheme="majorEastAsia" w:hAnsiTheme="majorEastAsia" w:eastAsiaTheme="majorEastAsia" w:cstheme="majorEastAsia"/>
          <w:b/>
          <w:color w:val="auto"/>
          <w:sz w:val="28"/>
          <w:szCs w:val="28"/>
        </w:rPr>
        <w:t>3.2 开标一览表</w:t>
      </w:r>
      <w:bookmarkEnd w:id="561"/>
    </w:p>
    <w:p>
      <w:pPr>
        <w:rPr>
          <w:rFonts w:hint="eastAsia" w:asciiTheme="majorEastAsia" w:hAnsiTheme="majorEastAsia" w:eastAsiaTheme="majorEastAsia" w:cstheme="majorEastAsia"/>
          <w:b/>
          <w:color w:val="auto"/>
          <w:sz w:val="32"/>
          <w:szCs w:val="32"/>
        </w:rPr>
      </w:pPr>
      <w:bookmarkStart w:id="577" w:name="_Toc426469938"/>
      <w:r>
        <w:rPr>
          <w:rFonts w:hint="eastAsia" w:asciiTheme="majorEastAsia" w:hAnsiTheme="majorEastAsia" w:eastAsiaTheme="majorEastAsia" w:cstheme="majorEastAsia"/>
          <w:color w:val="auto"/>
        </w:rPr>
        <w:t xml:space="preserve">                  </w:t>
      </w:r>
      <w:r>
        <w:rPr>
          <w:rFonts w:hint="eastAsia" w:asciiTheme="majorEastAsia" w:hAnsiTheme="majorEastAsia" w:eastAsiaTheme="majorEastAsia" w:cstheme="majorEastAsia"/>
          <w:b/>
          <w:color w:val="auto"/>
          <w:sz w:val="32"/>
          <w:szCs w:val="32"/>
        </w:rPr>
        <w:t>开标一览表</w:t>
      </w:r>
    </w:p>
    <w:p>
      <w:pPr>
        <w:pStyle w:val="21"/>
        <w:keepNext w:val="0"/>
        <w:keepLines w:val="0"/>
        <w:widowControl/>
        <w:suppressLineNumbers w:val="0"/>
      </w:pPr>
      <w:r>
        <w:t xml:space="preserve">项目编号： </w:t>
      </w:r>
      <w:r>
        <w:rPr>
          <w:shd w:val="clear" w:fill="FFFFFF"/>
        </w:rPr>
        <w:t>项目编号</w:t>
      </w:r>
      <w:r>
        <w:t> </w:t>
      </w:r>
    </w:p>
    <w:p>
      <w:pPr>
        <w:pStyle w:val="21"/>
        <w:keepNext w:val="0"/>
        <w:keepLines w:val="0"/>
        <w:widowControl/>
        <w:suppressLineNumbers w:val="0"/>
      </w:pPr>
      <w:r>
        <w:t>货币单位：人民币元</w:t>
      </w:r>
    </w:p>
    <w:tbl>
      <w:tblPr>
        <w:tblStyle w:val="25"/>
        <w:tblW w:w="4554" w:type="pct"/>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2572"/>
        <w:gridCol w:w="2389"/>
        <w:gridCol w:w="302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blCellSpacing w:w="15" w:type="dxa"/>
        </w:trPr>
        <w:tc>
          <w:tcPr>
            <w:tcW w:w="1521" w:type="pct"/>
            <w:shd w:val="clear" w:color="auto" w:fill="auto"/>
            <w:vAlign w:val="center"/>
          </w:tcPr>
          <w:p>
            <w:pPr>
              <w:pStyle w:val="21"/>
              <w:keepNext w:val="0"/>
              <w:keepLines w:val="0"/>
              <w:widowControl/>
              <w:suppressLineNumbers w:val="0"/>
            </w:pPr>
            <w:r>
              <w:t>项目名称</w:t>
            </w:r>
          </w:p>
        </w:tc>
        <w:tc>
          <w:tcPr>
            <w:tcW w:w="1420" w:type="pct"/>
            <w:shd w:val="clear" w:color="auto" w:fill="auto"/>
            <w:vAlign w:val="center"/>
          </w:tcPr>
          <w:p>
            <w:pPr>
              <w:pStyle w:val="21"/>
              <w:keepNext w:val="0"/>
              <w:keepLines w:val="0"/>
              <w:widowControl/>
              <w:suppressLineNumbers w:val="0"/>
            </w:pPr>
            <w:r>
              <w:t>项目内容</w:t>
            </w:r>
          </w:p>
        </w:tc>
        <w:tc>
          <w:tcPr>
            <w:tcW w:w="1792" w:type="pct"/>
            <w:shd w:val="clear" w:color="auto" w:fill="auto"/>
            <w:vAlign w:val="center"/>
          </w:tcPr>
          <w:p>
            <w:pPr>
              <w:pStyle w:val="21"/>
              <w:keepNext w:val="0"/>
              <w:keepLines w:val="0"/>
              <w:widowControl/>
              <w:suppressLineNumbers w:val="0"/>
            </w:pPr>
            <w:r>
              <w:t>总价（小写）</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blCellSpacing w:w="15" w:type="dxa"/>
        </w:trPr>
        <w:tc>
          <w:tcPr>
            <w:tcW w:w="1521" w:type="pct"/>
            <w:shd w:val="clear" w:color="auto" w:fill="auto"/>
            <w:vAlign w:val="center"/>
          </w:tcPr>
          <w:p>
            <w:pPr>
              <w:pStyle w:val="21"/>
              <w:keepNext w:val="0"/>
              <w:keepLines w:val="0"/>
              <w:widowControl/>
              <w:suppressLineNumbers w:val="0"/>
            </w:pPr>
            <w:r>
              <w:rPr>
                <w:shd w:val="clear" w:fill="FFFFFF"/>
              </w:rPr>
              <w:t>项目名称</w:t>
            </w:r>
            <w:r>
              <w:t> </w:t>
            </w:r>
          </w:p>
        </w:tc>
        <w:tc>
          <w:tcPr>
            <w:tcW w:w="1420" w:type="pct"/>
            <w:shd w:val="clear" w:color="auto" w:fill="auto"/>
            <w:vAlign w:val="center"/>
          </w:tcPr>
          <w:p>
            <w:pPr>
              <w:pStyle w:val="21"/>
              <w:keepNext w:val="0"/>
              <w:keepLines w:val="0"/>
              <w:widowControl/>
              <w:suppressLineNumbers w:val="0"/>
            </w:pPr>
            <w:r>
              <w:t>详见投标文件</w:t>
            </w:r>
          </w:p>
        </w:tc>
        <w:tc>
          <w:tcPr>
            <w:tcW w:w="1792" w:type="pct"/>
            <w:shd w:val="clear" w:color="auto" w:fill="auto"/>
            <w:vAlign w:val="center"/>
          </w:tcPr>
          <w:p>
            <w:pPr>
              <w:pStyle w:val="21"/>
              <w:keepNext w:val="0"/>
              <w:keepLines w:val="0"/>
              <w:widowControl/>
              <w:suppressLineNumbers w:val="0"/>
            </w:pPr>
            <w:r>
              <w:t xml:space="preserve">  </w:t>
            </w:r>
            <w:r>
              <w:rPr>
                <w:rFonts w:hint="eastAsia"/>
                <w:lang w:val="en-US" w:eastAsia="zh-CN"/>
              </w:rPr>
              <w:t xml:space="preserve">       </w:t>
            </w:r>
            <w:r>
              <w:t>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1521" w:type="pct"/>
            <w:shd w:val="clear" w:color="auto" w:fill="auto"/>
            <w:vAlign w:val="center"/>
          </w:tcPr>
          <w:p>
            <w:pPr>
              <w:pStyle w:val="21"/>
              <w:keepNext w:val="0"/>
              <w:keepLines w:val="0"/>
              <w:widowControl/>
              <w:suppressLineNumbers w:val="0"/>
            </w:pPr>
            <w:r>
              <w:t>总价（大写）：</w:t>
            </w:r>
          </w:p>
        </w:tc>
        <w:tc>
          <w:tcPr>
            <w:tcW w:w="3213" w:type="pct"/>
            <w:gridSpan w:val="2"/>
            <w:shd w:val="clear" w:color="auto" w:fill="auto"/>
            <w:vAlign w:val="center"/>
          </w:tcPr>
          <w:p>
            <w:pPr>
              <w:pStyle w:val="21"/>
              <w:keepNext w:val="0"/>
              <w:keepLines w:val="0"/>
              <w:widowControl/>
              <w:suppressLineNumbers w:val="0"/>
            </w:pPr>
            <w:r>
              <w:rPr>
                <w:shd w:val="clear" w:fill="FFFFFF"/>
              </w:rPr>
              <w:t>金额大写</w:t>
            </w:r>
            <w:r>
              <w:t> </w:t>
            </w:r>
          </w:p>
        </w:tc>
      </w:tr>
    </w:tbl>
    <w:p>
      <w:pPr>
        <w:pStyle w:val="21"/>
        <w:keepNext w:val="0"/>
        <w:keepLines w:val="0"/>
        <w:widowControl/>
        <w:suppressLineNumbers w:val="0"/>
      </w:pPr>
      <w:r>
        <w:t>投标人公章：</w:t>
      </w:r>
    </w:p>
    <w:p>
      <w:pPr>
        <w:rPr>
          <w:rFonts w:hint="eastAsia" w:asciiTheme="majorEastAsia" w:hAnsiTheme="majorEastAsia" w:eastAsiaTheme="majorEastAsia" w:cstheme="majorEastAsia"/>
          <w:color w:val="auto"/>
          <w:sz w:val="24"/>
          <w:szCs w:val="24"/>
        </w:rPr>
      </w:pPr>
    </w:p>
    <w:p>
      <w:pPr>
        <w:rPr>
          <w:rFonts w:hint="eastAsia" w:asciiTheme="majorEastAsia" w:hAnsiTheme="majorEastAsia" w:eastAsiaTheme="majorEastAsia" w:cstheme="majorEastAsia"/>
          <w:color w:val="auto"/>
        </w:rPr>
      </w:pPr>
    </w:p>
    <w:p>
      <w:pPr>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rPr>
        <w:br w:type="page"/>
      </w:r>
      <w:r>
        <w:rPr>
          <w:rFonts w:hint="eastAsia" w:asciiTheme="majorEastAsia" w:hAnsiTheme="majorEastAsia" w:eastAsiaTheme="majorEastAsia" w:cstheme="majorEastAsia"/>
          <w:b/>
          <w:color w:val="auto"/>
          <w:sz w:val="28"/>
          <w:szCs w:val="28"/>
        </w:rPr>
        <w:t>3.3 投标函</w:t>
      </w:r>
      <w:bookmarkEnd w:id="577"/>
    </w:p>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p>
      <w:pPr>
        <w:jc w:val="center"/>
        <w:rPr>
          <w:rFonts w:hint="eastAsia" w:asciiTheme="majorEastAsia" w:hAnsiTheme="majorEastAsia" w:eastAsiaTheme="majorEastAsia" w:cstheme="majorEastAsia"/>
          <w:color w:val="auto"/>
          <w:sz w:val="44"/>
          <w:szCs w:val="44"/>
        </w:rPr>
      </w:pPr>
      <w:bookmarkStart w:id="578" w:name="_Toc367785041"/>
      <w:r>
        <w:rPr>
          <w:rFonts w:hint="eastAsia" w:asciiTheme="majorEastAsia" w:hAnsiTheme="majorEastAsia" w:eastAsiaTheme="majorEastAsia" w:cstheme="majorEastAsia"/>
          <w:color w:val="auto"/>
          <w:sz w:val="44"/>
          <w:szCs w:val="44"/>
        </w:rPr>
        <w:t>投 标 函</w:t>
      </w:r>
      <w:bookmarkEnd w:id="578"/>
    </w:p>
    <w:p>
      <w:pP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致：</w:t>
      </w:r>
      <w:r>
        <w:rPr>
          <w:rFonts w:hint="eastAsia" w:asciiTheme="majorEastAsia" w:hAnsiTheme="majorEastAsia" w:eastAsiaTheme="majorEastAsia" w:cstheme="majorEastAsia"/>
          <w:color w:val="auto"/>
          <w:sz w:val="24"/>
          <w:szCs w:val="24"/>
          <w:u w:val="single"/>
        </w:rPr>
        <w:t>(采购人名称)</w:t>
      </w:r>
      <w:r>
        <w:rPr>
          <w:rFonts w:hint="eastAsia" w:asciiTheme="majorEastAsia" w:hAnsiTheme="majorEastAsia" w:eastAsiaTheme="majorEastAsia" w:cstheme="majorEastAsia"/>
          <w:color w:val="auto"/>
          <w:sz w:val="24"/>
          <w:szCs w:val="24"/>
        </w:rPr>
        <w:t>：</w:t>
      </w:r>
    </w:p>
    <w:p>
      <w:pPr>
        <w:spacing w:line="52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根据</w:t>
      </w:r>
      <w:r>
        <w:rPr>
          <w:rFonts w:hint="eastAsia" w:asciiTheme="majorEastAsia" w:hAnsiTheme="majorEastAsia" w:eastAsiaTheme="majorEastAsia" w:cstheme="majorEastAsia"/>
          <w:color w:val="auto"/>
          <w:sz w:val="24"/>
          <w:szCs w:val="24"/>
          <w:u w:val="single"/>
        </w:rPr>
        <w:t xml:space="preserve">   （项目名称）    </w:t>
      </w:r>
      <w:r>
        <w:rPr>
          <w:rFonts w:hint="eastAsia" w:asciiTheme="majorEastAsia" w:hAnsiTheme="majorEastAsia" w:eastAsiaTheme="majorEastAsia" w:cstheme="majorEastAsia"/>
          <w:color w:val="auto"/>
          <w:sz w:val="24"/>
          <w:szCs w:val="24"/>
        </w:rPr>
        <w:t>招标文件的所有条款要求，遵照《中华人民共和国政府采购法》、《中华人民共和国政府采购法实施条例》等有关规定，我方承诺如下：</w:t>
      </w:r>
    </w:p>
    <w:p>
      <w:pPr>
        <w:spacing w:line="52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1、投标价格为（大写）：</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。如我方中标，投标总价即为合同价，在履行合同约定的责任和义务的过程中不再要求调增。</w:t>
      </w:r>
    </w:p>
    <w:p>
      <w:pPr>
        <w:spacing w:line="520" w:lineRule="exact"/>
        <w:ind w:firstLine="480" w:firstLineChars="200"/>
        <w:outlineLvl w:val="1"/>
        <w:rPr>
          <w:rFonts w:hint="eastAsia" w:asciiTheme="majorEastAsia" w:hAnsiTheme="majorEastAsia" w:eastAsiaTheme="majorEastAsia" w:cstheme="majorEastAsia"/>
          <w:color w:val="auto"/>
          <w:sz w:val="24"/>
          <w:szCs w:val="24"/>
        </w:rPr>
      </w:pPr>
      <w:bookmarkStart w:id="579" w:name="_Toc30498"/>
      <w:r>
        <w:rPr>
          <w:rFonts w:hint="eastAsia" w:asciiTheme="majorEastAsia" w:hAnsiTheme="majorEastAsia" w:eastAsiaTheme="majorEastAsia" w:cstheme="majorEastAsia"/>
          <w:color w:val="auto"/>
          <w:sz w:val="24"/>
          <w:szCs w:val="24"/>
        </w:rPr>
        <w:t>2、</w:t>
      </w:r>
      <w:r>
        <w:rPr>
          <w:rFonts w:hint="eastAsia" w:asciiTheme="majorEastAsia" w:hAnsiTheme="majorEastAsia" w:eastAsiaTheme="majorEastAsia" w:cstheme="majorEastAsia"/>
          <w:color w:val="auto"/>
          <w:sz w:val="24"/>
          <w:szCs w:val="24"/>
          <w:lang w:eastAsia="zh-CN"/>
        </w:rPr>
        <w:t>服务期限</w:t>
      </w:r>
      <w:r>
        <w:rPr>
          <w:rFonts w:hint="eastAsia" w:asciiTheme="majorEastAsia" w:hAnsiTheme="majorEastAsia" w:eastAsiaTheme="majorEastAsia" w:cstheme="majorEastAsia"/>
          <w:color w:val="auto"/>
          <w:sz w:val="24"/>
          <w:szCs w:val="24"/>
        </w:rPr>
        <w:t>（工期）：</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w:t>
      </w:r>
      <w:bookmarkEnd w:id="579"/>
      <w:r>
        <w:rPr>
          <w:rFonts w:hint="eastAsia" w:asciiTheme="majorEastAsia" w:hAnsiTheme="majorEastAsia" w:eastAsiaTheme="majorEastAsia" w:cstheme="majorEastAsia"/>
          <w:color w:val="auto"/>
          <w:sz w:val="24"/>
          <w:szCs w:val="24"/>
        </w:rPr>
        <w:t xml:space="preserve"> </w:t>
      </w:r>
    </w:p>
    <w:p>
      <w:pPr>
        <w:spacing w:line="52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3、投标有效期：</w:t>
      </w:r>
      <w:r>
        <w:rPr>
          <w:rFonts w:hint="eastAsia" w:asciiTheme="majorEastAsia" w:hAnsiTheme="majorEastAsia" w:eastAsiaTheme="majorEastAsia" w:cstheme="majorEastAsia"/>
          <w:color w:val="auto"/>
          <w:sz w:val="24"/>
          <w:szCs w:val="24"/>
          <w:u w:val="single"/>
        </w:rPr>
        <w:t xml:space="preserve"> 60天 </w:t>
      </w:r>
      <w:r>
        <w:rPr>
          <w:rFonts w:hint="eastAsia" w:asciiTheme="majorEastAsia" w:hAnsiTheme="majorEastAsia" w:eastAsiaTheme="majorEastAsia" w:cstheme="majorEastAsia"/>
          <w:color w:val="auto"/>
          <w:sz w:val="24"/>
          <w:szCs w:val="24"/>
        </w:rPr>
        <w:t>。在投标有效期内我方同意遵守本投标文件中的承诺且在此期限期满之前投标文件对我方具有法律约束力。</w:t>
      </w:r>
    </w:p>
    <w:p>
      <w:pPr>
        <w:spacing w:line="52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4、我方已详细审查全部招标文件。我们完全理解并同意放弃对这方面有不明及误解的权力。</w:t>
      </w:r>
    </w:p>
    <w:p>
      <w:pPr>
        <w:spacing w:line="52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pPr>
        <w:pStyle w:val="9"/>
        <w:rPr>
          <w:rFonts w:hint="eastAsia" w:asciiTheme="majorEastAsia" w:hAnsiTheme="majorEastAsia" w:eastAsiaTheme="majorEastAsia" w:cstheme="majorEastAsia"/>
          <w:color w:val="auto"/>
        </w:rPr>
      </w:pPr>
    </w:p>
    <w:p>
      <w:pPr>
        <w:spacing w:line="520" w:lineRule="exact"/>
        <w:ind w:right="560" w:firstLine="2640" w:firstLineChars="11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投标人名称(盖法人章)：</w:t>
      </w:r>
    </w:p>
    <w:p>
      <w:pPr>
        <w:spacing w:line="520" w:lineRule="exact"/>
        <w:ind w:firstLine="2640" w:firstLineChars="11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法定代表人 (签字或签章)：</w:t>
      </w:r>
    </w:p>
    <w:p>
      <w:pPr>
        <w:spacing w:line="520" w:lineRule="exact"/>
        <w:ind w:firstLine="2640" w:firstLineChars="11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日期：   年  月   日</w:t>
      </w:r>
    </w:p>
    <w:p>
      <w:pPr>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br w:type="page"/>
      </w:r>
    </w:p>
    <w:p>
      <w:pPr>
        <w:widowControl/>
        <w:spacing w:line="500" w:lineRule="exact"/>
        <w:jc w:val="lef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3.4供应商资格条件证明文件</w:t>
      </w:r>
    </w:p>
    <w:p>
      <w:pPr>
        <w:pStyle w:val="7"/>
        <w:spacing w:line="5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（1）供应商基本资格条件承诺函</w:t>
      </w:r>
    </w:p>
    <w:p>
      <w:pPr>
        <w:pStyle w:val="7"/>
        <w:spacing w:line="500" w:lineRule="exact"/>
        <w:jc w:val="center"/>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供应商基本资格条件承诺函</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一、按照《政府采购法》第二十二条规定的供应商基本资格条件，我公司郑重承诺如下：</w:t>
      </w:r>
    </w:p>
    <w:p>
      <w:pPr>
        <w:pStyle w:val="7"/>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shd w:val="clear" w:color="auto" w:fill="FFFFFF"/>
        </w:rPr>
      </w:pPr>
      <w:r>
        <w:rPr>
          <w:rFonts w:hint="eastAsia" w:asciiTheme="majorEastAsia" w:hAnsiTheme="majorEastAsia" w:eastAsiaTheme="majorEastAsia" w:cstheme="majorEastAsia"/>
          <w:color w:val="auto"/>
          <w:sz w:val="24"/>
          <w:szCs w:val="24"/>
        </w:rPr>
        <w:t>1.我公司具有</w:t>
      </w:r>
      <w:r>
        <w:rPr>
          <w:rFonts w:hint="eastAsia" w:asciiTheme="majorEastAsia" w:hAnsiTheme="majorEastAsia" w:eastAsiaTheme="majorEastAsia" w:cstheme="majorEastAsia"/>
          <w:color w:val="auto"/>
          <w:sz w:val="24"/>
          <w:szCs w:val="24"/>
          <w:shd w:val="clear" w:color="auto" w:fill="FFFFFF"/>
        </w:rPr>
        <w:t>良好的商业信誉和健全的财务制度；</w:t>
      </w:r>
    </w:p>
    <w:p>
      <w:pPr>
        <w:pStyle w:val="7"/>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shd w:val="clear" w:color="auto" w:fill="FFFFFF"/>
        </w:rPr>
      </w:pPr>
      <w:r>
        <w:rPr>
          <w:rFonts w:hint="eastAsia" w:asciiTheme="majorEastAsia" w:hAnsiTheme="majorEastAsia" w:eastAsiaTheme="majorEastAsia" w:cstheme="majorEastAsia"/>
          <w:color w:val="auto"/>
          <w:sz w:val="24"/>
          <w:szCs w:val="24"/>
          <w:shd w:val="clear" w:color="auto" w:fill="FFFFFF"/>
        </w:rPr>
        <w:t>2.我公司具有履行合同所必须的设备和专业技术能力；</w:t>
      </w:r>
    </w:p>
    <w:p>
      <w:pPr>
        <w:pStyle w:val="7"/>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shd w:val="clear" w:color="auto" w:fill="FFFFFF"/>
        </w:rPr>
      </w:pPr>
      <w:r>
        <w:rPr>
          <w:rFonts w:hint="eastAsia" w:asciiTheme="majorEastAsia" w:hAnsiTheme="majorEastAsia" w:eastAsiaTheme="majorEastAsia" w:cstheme="majorEastAsia"/>
          <w:color w:val="auto"/>
          <w:sz w:val="24"/>
          <w:szCs w:val="24"/>
          <w:shd w:val="clear" w:color="auto" w:fill="FFFFFF"/>
        </w:rPr>
        <w:t>3.我公司具有依法缴纳税收和社会保障资金的良好记录；</w:t>
      </w:r>
    </w:p>
    <w:p>
      <w:pPr>
        <w:pStyle w:val="7"/>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shd w:val="clear" w:color="auto" w:fill="FFFFFF"/>
        </w:rPr>
      </w:pPr>
      <w:r>
        <w:rPr>
          <w:rFonts w:hint="eastAsia" w:asciiTheme="majorEastAsia" w:hAnsiTheme="majorEastAsia" w:eastAsiaTheme="majorEastAsia" w:cstheme="majorEastAsia"/>
          <w:color w:val="auto"/>
          <w:sz w:val="24"/>
          <w:szCs w:val="24"/>
          <w:shd w:val="clear" w:color="auto" w:fill="FFFFFF"/>
        </w:rPr>
        <w:t>4.我公司参加政府采购活动前三年内，在经营活动中没有重大违法记录；</w:t>
      </w:r>
    </w:p>
    <w:p>
      <w:pPr>
        <w:pStyle w:val="7"/>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shd w:val="clear" w:color="auto" w:fill="FFFFFF"/>
        </w:rPr>
      </w:pPr>
      <w:r>
        <w:rPr>
          <w:rFonts w:hint="eastAsia" w:asciiTheme="majorEastAsia" w:hAnsiTheme="majorEastAsia" w:eastAsiaTheme="majorEastAsia" w:cstheme="majorEastAsia"/>
          <w:color w:val="auto"/>
          <w:sz w:val="24"/>
          <w:szCs w:val="24"/>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Theme="majorEastAsia" w:hAnsiTheme="majorEastAsia" w:eastAsiaTheme="majorEastAsia" w:cstheme="majorEastAsia"/>
          <w:color w:val="auto"/>
          <w:sz w:val="24"/>
          <w:szCs w:val="24"/>
        </w:rPr>
        <w:t>。</w:t>
      </w:r>
    </w:p>
    <w:p>
      <w:pPr>
        <w:pStyle w:val="7"/>
        <w:adjustRightInd w:val="0"/>
        <w:snapToGrid w:val="0"/>
        <w:spacing w:line="500" w:lineRule="exact"/>
        <w:ind w:firstLine="480" w:firstLineChars="200"/>
        <w:rPr>
          <w:rFonts w:hint="eastAsia" w:asciiTheme="majorEastAsia" w:hAnsiTheme="majorEastAsia" w:eastAsiaTheme="majorEastAsia" w:cstheme="majorEastAsia"/>
          <w:color w:val="auto"/>
          <w:kern w:val="2"/>
          <w:sz w:val="24"/>
          <w:szCs w:val="24"/>
        </w:rPr>
      </w:pPr>
      <w:r>
        <w:rPr>
          <w:rFonts w:hint="eastAsia" w:asciiTheme="majorEastAsia" w:hAnsiTheme="majorEastAsia" w:eastAsiaTheme="majorEastAsia" w:cstheme="majorEastAsia"/>
          <w:color w:val="auto"/>
          <w:sz w:val="24"/>
          <w:szCs w:val="24"/>
          <w:shd w:val="clear" w:color="auto" w:fill="FFFFFF"/>
        </w:rPr>
        <w:t>二、</w:t>
      </w:r>
      <w:r>
        <w:rPr>
          <w:rFonts w:hint="eastAsia" w:asciiTheme="majorEastAsia" w:hAnsiTheme="majorEastAsia" w:eastAsiaTheme="majorEastAsia" w:cstheme="majorEastAsia"/>
          <w:color w:val="auto"/>
          <w:sz w:val="24"/>
          <w:szCs w:val="24"/>
        </w:rPr>
        <w:t>我公司承诺：在本次投标过程中，我公司不存在本项目招标文件第二章第1.4.3条所列情形之一。</w:t>
      </w:r>
    </w:p>
    <w:p>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sz w:val="24"/>
          <w:szCs w:val="24"/>
        </w:rPr>
      </w:pPr>
    </w:p>
    <w:p>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投标人名称(盖法人章)：</w:t>
      </w:r>
    </w:p>
    <w:p>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法定代表人 (签字或签章)：</w:t>
      </w:r>
    </w:p>
    <w:p>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日期：   年  月   日</w:t>
      </w:r>
    </w:p>
    <w:p>
      <w:pPr>
        <w:pStyle w:val="7"/>
        <w:adjustRightInd w:val="0"/>
        <w:snapToGrid w:val="0"/>
        <w:spacing w:line="500" w:lineRule="exact"/>
        <w:rPr>
          <w:rFonts w:hint="eastAsia" w:asciiTheme="majorEastAsia" w:hAnsiTheme="majorEastAsia" w:eastAsiaTheme="majorEastAsia" w:cstheme="majorEastAsia"/>
          <w:b/>
          <w:color w:val="auto"/>
          <w:sz w:val="24"/>
          <w:szCs w:val="24"/>
        </w:rPr>
      </w:pPr>
    </w:p>
    <w:p>
      <w:pPr>
        <w:pStyle w:val="7"/>
        <w:adjustRightInd w:val="0"/>
        <w:snapToGrid w:val="0"/>
        <w:spacing w:line="500" w:lineRule="exac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（2）招标文件要求的其他资格条件及证明材料</w:t>
      </w:r>
    </w:p>
    <w:p>
      <w:pPr>
        <w:pStyle w:val="7"/>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1.具有有效的营业执照（附证书的复印件）；</w:t>
      </w:r>
    </w:p>
    <w:p>
      <w:pPr>
        <w:pStyle w:val="7"/>
        <w:adjustRightInd w:val="0"/>
        <w:snapToGrid w:val="0"/>
        <w:spacing w:line="500" w:lineRule="exact"/>
        <w:ind w:firstLine="480" w:firstLineChars="200"/>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color w:val="auto"/>
          <w:sz w:val="24"/>
          <w:szCs w:val="24"/>
        </w:rPr>
        <w:t>2.中小企业声明函（参考格式附后）。</w:t>
      </w:r>
    </w:p>
    <w:p>
      <w:pPr>
        <w:widowControl/>
        <w:jc w:val="lef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br w:type="page"/>
      </w:r>
      <w:r>
        <w:rPr>
          <w:rFonts w:hint="eastAsia" w:asciiTheme="majorEastAsia" w:hAnsiTheme="majorEastAsia" w:eastAsiaTheme="majorEastAsia" w:cstheme="majorEastAsia"/>
          <w:b/>
          <w:color w:val="auto"/>
          <w:sz w:val="24"/>
          <w:szCs w:val="24"/>
        </w:rPr>
        <w:t>附件：中小企业声明函</w:t>
      </w:r>
    </w:p>
    <w:p>
      <w:pPr>
        <w:spacing w:line="440" w:lineRule="exact"/>
        <w:jc w:val="center"/>
        <w:rPr>
          <w:rFonts w:hint="eastAsia" w:asciiTheme="majorEastAsia" w:hAnsiTheme="majorEastAsia" w:eastAsiaTheme="majorEastAsia" w:cstheme="majorEastAsia"/>
          <w:bCs/>
          <w:color w:val="auto"/>
          <w:sz w:val="24"/>
          <w:szCs w:val="24"/>
        </w:rPr>
      </w:pPr>
      <w:r>
        <w:rPr>
          <w:rFonts w:hint="eastAsia" w:asciiTheme="majorEastAsia" w:hAnsiTheme="majorEastAsia" w:eastAsiaTheme="majorEastAsia" w:cstheme="majorEastAsia"/>
          <w:bCs/>
          <w:color w:val="auto"/>
          <w:sz w:val="24"/>
          <w:szCs w:val="24"/>
        </w:rPr>
        <w:t>中小企业声明函</w:t>
      </w:r>
    </w:p>
    <w:p>
      <w:pPr>
        <w:spacing w:line="440" w:lineRule="exact"/>
        <w:ind w:firstLine="57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本公司（联合体）郑重声明，根据《政府采购促进中小企业发展管理办法》（财库[2020]46号）的规定，本公司（联合体）参加</w:t>
      </w:r>
      <w:r>
        <w:rPr>
          <w:rFonts w:hint="eastAsia" w:asciiTheme="majorEastAsia" w:hAnsiTheme="majorEastAsia" w:eastAsiaTheme="majorEastAsia" w:cstheme="majorEastAsia"/>
          <w:color w:val="auto"/>
          <w:sz w:val="24"/>
          <w:szCs w:val="24"/>
          <w:u w:val="single"/>
        </w:rPr>
        <w:t xml:space="preserve"> （单位名称）      </w:t>
      </w:r>
      <w:r>
        <w:rPr>
          <w:rFonts w:hint="eastAsia" w:asciiTheme="majorEastAsia" w:hAnsiTheme="majorEastAsia" w:eastAsiaTheme="majorEastAsia" w:cstheme="majorEastAsia"/>
          <w:color w:val="auto"/>
          <w:sz w:val="24"/>
          <w:szCs w:val="24"/>
        </w:rPr>
        <w:t>的</w:t>
      </w:r>
      <w:r>
        <w:rPr>
          <w:rFonts w:hint="eastAsia" w:asciiTheme="majorEastAsia" w:hAnsiTheme="majorEastAsia" w:eastAsiaTheme="majorEastAsia" w:cstheme="majorEastAsia"/>
          <w:color w:val="auto"/>
          <w:sz w:val="24"/>
          <w:szCs w:val="24"/>
          <w:u w:val="single"/>
        </w:rPr>
        <w:t xml:space="preserve"> （标的名称）       </w:t>
      </w:r>
      <w:r>
        <w:rPr>
          <w:rFonts w:hint="eastAsia" w:asciiTheme="majorEastAsia" w:hAnsiTheme="majorEastAsia" w:eastAsiaTheme="majorEastAsia" w:cstheme="majorEastAsia"/>
          <w:color w:val="auto"/>
          <w:sz w:val="24"/>
          <w:szCs w:val="24"/>
        </w:rPr>
        <w:t>采购活动，提供的货物或服务全部由符合政策要求的小微企业提供。相关企业（含联合体中的中小企业、签订分包意向协议的中小企业）的具体情况如下：</w:t>
      </w:r>
    </w:p>
    <w:p>
      <w:pPr>
        <w:spacing w:line="440" w:lineRule="exact"/>
        <w:ind w:firstLine="480" w:firstLineChars="200"/>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1.</w:t>
      </w:r>
      <w:r>
        <w:rPr>
          <w:rFonts w:hint="eastAsia" w:asciiTheme="majorEastAsia" w:hAnsiTheme="majorEastAsia" w:eastAsiaTheme="majorEastAsia" w:cstheme="majorEastAsia"/>
          <w:color w:val="auto"/>
          <w:sz w:val="24"/>
          <w:szCs w:val="24"/>
          <w:u w:val="single"/>
        </w:rPr>
        <w:t xml:space="preserve"> （标的名称）        </w:t>
      </w:r>
      <w:r>
        <w:rPr>
          <w:rFonts w:hint="eastAsia" w:asciiTheme="majorEastAsia" w:hAnsiTheme="majorEastAsia" w:eastAsiaTheme="majorEastAsia" w:cstheme="majorEastAsia"/>
          <w:color w:val="auto"/>
          <w:sz w:val="24"/>
          <w:szCs w:val="24"/>
        </w:rPr>
        <w:t>，属于</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lang w:val="en-US" w:eastAsia="zh-CN"/>
        </w:rPr>
        <w:t xml:space="preserve">       </w:t>
      </w:r>
      <w:r>
        <w:rPr>
          <w:rFonts w:hint="eastAsia" w:asciiTheme="majorEastAsia" w:hAnsiTheme="majorEastAsia" w:eastAsiaTheme="majorEastAsia" w:cstheme="majorEastAsia"/>
          <w:color w:val="auto"/>
          <w:sz w:val="24"/>
          <w:szCs w:val="24"/>
          <w:u w:val="single"/>
        </w:rPr>
        <w:t>行业</w:t>
      </w:r>
      <w:r>
        <w:rPr>
          <w:rFonts w:hint="eastAsia" w:asciiTheme="majorEastAsia" w:hAnsiTheme="majorEastAsia" w:eastAsiaTheme="majorEastAsia" w:cstheme="majorEastAsia"/>
          <w:color w:val="auto"/>
          <w:sz w:val="24"/>
          <w:szCs w:val="24"/>
          <w:u w:val="single"/>
          <w:lang w:val="en-US" w:eastAsia="zh-CN"/>
        </w:rPr>
        <w:t xml:space="preserve"> </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；承建（承接）企业为</w:t>
      </w:r>
      <w:r>
        <w:rPr>
          <w:rFonts w:hint="eastAsia" w:asciiTheme="majorEastAsia" w:hAnsiTheme="majorEastAsia" w:eastAsiaTheme="majorEastAsia" w:cstheme="majorEastAsia"/>
          <w:color w:val="auto"/>
          <w:sz w:val="24"/>
          <w:szCs w:val="24"/>
          <w:u w:val="single"/>
        </w:rPr>
        <w:t xml:space="preserve"> （企业名称）</w:t>
      </w:r>
      <w:r>
        <w:rPr>
          <w:rFonts w:hint="eastAsia" w:asciiTheme="majorEastAsia" w:hAnsiTheme="majorEastAsia" w:eastAsiaTheme="majorEastAsia" w:cstheme="majorEastAsia"/>
          <w:color w:val="auto"/>
          <w:sz w:val="24"/>
          <w:szCs w:val="24"/>
        </w:rPr>
        <w:t>，从业人员</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人，营业收入</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万元，资产总额</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万元，属于</w:t>
      </w:r>
      <w:r>
        <w:rPr>
          <w:rFonts w:hint="eastAsia" w:asciiTheme="majorEastAsia" w:hAnsiTheme="majorEastAsia" w:eastAsiaTheme="majorEastAsia" w:cstheme="majorEastAsia"/>
          <w:color w:val="auto"/>
          <w:sz w:val="24"/>
          <w:szCs w:val="24"/>
          <w:u w:val="single"/>
        </w:rPr>
        <w:t xml:space="preserve"> （中型企业、小型企业、微型企业）       </w:t>
      </w:r>
      <w:r>
        <w:rPr>
          <w:rFonts w:hint="eastAsia" w:asciiTheme="majorEastAsia" w:hAnsiTheme="majorEastAsia" w:eastAsiaTheme="majorEastAsia" w:cstheme="majorEastAsia"/>
          <w:color w:val="auto"/>
          <w:sz w:val="24"/>
          <w:szCs w:val="24"/>
        </w:rPr>
        <w:t>；</w:t>
      </w:r>
    </w:p>
    <w:p>
      <w:pPr>
        <w:spacing w:line="440" w:lineRule="exact"/>
        <w:ind w:firstLine="480" w:firstLineChars="200"/>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2.</w:t>
      </w:r>
      <w:r>
        <w:rPr>
          <w:rFonts w:hint="eastAsia" w:asciiTheme="majorEastAsia" w:hAnsiTheme="majorEastAsia" w:eastAsiaTheme="majorEastAsia" w:cstheme="majorEastAsia"/>
          <w:color w:val="auto"/>
          <w:sz w:val="24"/>
          <w:szCs w:val="24"/>
          <w:u w:val="single"/>
        </w:rPr>
        <w:t xml:space="preserve">（标的名称）        </w:t>
      </w:r>
      <w:r>
        <w:rPr>
          <w:rFonts w:hint="eastAsia" w:asciiTheme="majorEastAsia" w:hAnsiTheme="majorEastAsia" w:eastAsiaTheme="majorEastAsia" w:cstheme="majorEastAsia"/>
          <w:color w:val="auto"/>
          <w:sz w:val="24"/>
          <w:szCs w:val="24"/>
        </w:rPr>
        <w:t>，属于</w:t>
      </w:r>
      <w:r>
        <w:rPr>
          <w:rFonts w:hint="eastAsia" w:asciiTheme="majorEastAsia" w:hAnsiTheme="majorEastAsia" w:eastAsiaTheme="majorEastAsia" w:cstheme="majorEastAsia"/>
          <w:color w:val="auto"/>
          <w:sz w:val="24"/>
          <w:szCs w:val="24"/>
          <w:u w:val="single"/>
        </w:rPr>
        <w:t xml:space="preserve">  （采购文件中明确的所属行业） </w:t>
      </w:r>
      <w:r>
        <w:rPr>
          <w:rFonts w:hint="eastAsia" w:asciiTheme="majorEastAsia" w:hAnsiTheme="majorEastAsia" w:eastAsiaTheme="majorEastAsia" w:cstheme="majorEastAsia"/>
          <w:color w:val="auto"/>
          <w:sz w:val="24"/>
          <w:szCs w:val="24"/>
        </w:rPr>
        <w:t>；承建（承接）企业为</w:t>
      </w:r>
      <w:r>
        <w:rPr>
          <w:rFonts w:hint="eastAsia" w:asciiTheme="majorEastAsia" w:hAnsiTheme="majorEastAsia" w:eastAsiaTheme="majorEastAsia" w:cstheme="majorEastAsia"/>
          <w:color w:val="auto"/>
          <w:sz w:val="24"/>
          <w:szCs w:val="24"/>
          <w:u w:val="single"/>
        </w:rPr>
        <w:t xml:space="preserve"> （企业名称）</w:t>
      </w:r>
      <w:r>
        <w:rPr>
          <w:rFonts w:hint="eastAsia" w:asciiTheme="majorEastAsia" w:hAnsiTheme="majorEastAsia" w:eastAsiaTheme="majorEastAsia" w:cstheme="majorEastAsia"/>
          <w:color w:val="auto"/>
          <w:sz w:val="24"/>
          <w:szCs w:val="24"/>
        </w:rPr>
        <w:t>，从业人员</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人，营业收入</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万元，资产总额</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万元，属于</w:t>
      </w:r>
      <w:r>
        <w:rPr>
          <w:rFonts w:hint="eastAsia" w:asciiTheme="majorEastAsia" w:hAnsiTheme="majorEastAsia" w:eastAsiaTheme="majorEastAsia" w:cstheme="majorEastAsia"/>
          <w:color w:val="auto"/>
          <w:sz w:val="24"/>
          <w:szCs w:val="24"/>
          <w:u w:val="single"/>
        </w:rPr>
        <w:t xml:space="preserve"> （中型企业、小型企业、微型企业）       </w:t>
      </w:r>
      <w:r>
        <w:rPr>
          <w:rFonts w:hint="eastAsia" w:asciiTheme="majorEastAsia" w:hAnsiTheme="majorEastAsia" w:eastAsiaTheme="majorEastAsia" w:cstheme="majorEastAsia"/>
          <w:color w:val="auto"/>
          <w:sz w:val="24"/>
          <w:szCs w:val="24"/>
        </w:rPr>
        <w:t>；</w:t>
      </w:r>
    </w:p>
    <w:p>
      <w:pPr>
        <w:pStyle w:val="37"/>
        <w:spacing w:line="440" w:lineRule="exact"/>
        <w:ind w:left="930" w:firstLine="0" w:firstLineChars="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w:t>
      </w:r>
    </w:p>
    <w:p>
      <w:pPr>
        <w:spacing w:line="44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以上企业，不属于大企业的分支机构，不存在控股股东为大企业的情形，也不存在与大企业的负责人为同一人的情形。</w:t>
      </w:r>
    </w:p>
    <w:p>
      <w:pPr>
        <w:spacing w:line="440" w:lineRule="exact"/>
        <w:ind w:firstLine="57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本企业对上述声明内容的真实性负责。如有虚假，将依法承担相应责任。</w:t>
      </w:r>
    </w:p>
    <w:p>
      <w:pPr>
        <w:spacing w:line="440" w:lineRule="exact"/>
        <w:ind w:firstLine="4080" w:firstLineChars="17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企业名称（盖章）：</w:t>
      </w:r>
    </w:p>
    <w:p>
      <w:pPr>
        <w:spacing w:line="440" w:lineRule="exact"/>
        <w:ind w:firstLine="4080" w:firstLineChars="17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日  期：</w:t>
      </w:r>
    </w:p>
    <w:p>
      <w:pPr>
        <w:pStyle w:val="36"/>
        <w:spacing w:line="440" w:lineRule="exact"/>
        <w:textAlignment w:val="center"/>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注：1、从业人员、营业收入填报上一年度数据，无上一年度数据的新成立企业可不填报。</w:t>
      </w:r>
    </w:p>
    <w:p>
      <w:pPr>
        <w:spacing w:line="440" w:lineRule="exact"/>
        <w:ind w:firstLine="480" w:firstLineChars="200"/>
        <w:outlineLvl w:val="1"/>
        <w:rPr>
          <w:rFonts w:hint="eastAsia" w:asciiTheme="majorEastAsia" w:hAnsiTheme="majorEastAsia" w:eastAsiaTheme="majorEastAsia" w:cstheme="majorEastAsia"/>
          <w:color w:val="auto"/>
          <w:sz w:val="24"/>
          <w:szCs w:val="24"/>
        </w:rPr>
      </w:pPr>
      <w:bookmarkStart w:id="580" w:name="_Toc8336"/>
      <w:r>
        <w:rPr>
          <w:rFonts w:hint="eastAsia" w:asciiTheme="majorEastAsia" w:hAnsiTheme="majorEastAsia" w:eastAsiaTheme="majorEastAsia" w:cstheme="majorEastAsia"/>
          <w:color w:val="auto"/>
          <w:sz w:val="24"/>
          <w:szCs w:val="24"/>
        </w:rPr>
        <w:t>2、供应商如不提供此声明函，价格将不做相应扣除。</w:t>
      </w:r>
      <w:bookmarkEnd w:id="580"/>
    </w:p>
    <w:p>
      <w:pPr>
        <w:spacing w:line="440" w:lineRule="exact"/>
        <w:ind w:firstLine="480" w:firstLineChars="20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3、供应商提供的声明函内容不实的，属于提供虚假材料谋取中标，依照《中华人民共和国政府采购法》等国家有关规定追究相应责任。</w:t>
      </w:r>
    </w:p>
    <w:p>
      <w:pPr>
        <w:widowControl/>
        <w:spacing w:line="440" w:lineRule="exact"/>
        <w:jc w:val="left"/>
        <w:rPr>
          <w:rFonts w:hint="eastAsia" w:asciiTheme="majorEastAsia" w:hAnsiTheme="majorEastAsia" w:eastAsiaTheme="majorEastAsia" w:cstheme="majorEastAsia"/>
          <w:b/>
          <w:color w:val="auto"/>
          <w:sz w:val="24"/>
          <w:szCs w:val="24"/>
        </w:rPr>
      </w:pPr>
    </w:p>
    <w:p>
      <w:pPr>
        <w:widowControl/>
        <w:spacing w:line="440" w:lineRule="exact"/>
        <w:jc w:val="left"/>
        <w:rPr>
          <w:rFonts w:hint="eastAsia" w:asciiTheme="majorEastAsia" w:hAnsiTheme="majorEastAsia" w:eastAsiaTheme="majorEastAsia" w:cstheme="majorEastAsia"/>
          <w:b/>
          <w:color w:val="auto"/>
          <w:sz w:val="24"/>
          <w:szCs w:val="24"/>
        </w:rPr>
      </w:pPr>
    </w:p>
    <w:p>
      <w:pPr>
        <w:widowControl/>
        <w:spacing w:line="240" w:lineRule="auto"/>
        <w:jc w:val="lef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br w:type="page"/>
      </w:r>
    </w:p>
    <w:p>
      <w:pPr>
        <w:widowControl/>
        <w:spacing w:line="440" w:lineRule="exact"/>
        <w:jc w:val="left"/>
        <w:rPr>
          <w:rFonts w:hint="eastAsia" w:asciiTheme="majorEastAsia" w:hAnsiTheme="majorEastAsia" w:eastAsiaTheme="majorEastAsia" w:cstheme="majorEastAsia"/>
          <w:b/>
          <w:color w:val="auto"/>
          <w:sz w:val="24"/>
          <w:szCs w:val="24"/>
        </w:rPr>
      </w:pPr>
      <w:r>
        <w:rPr>
          <w:rFonts w:hint="eastAsia" w:asciiTheme="majorEastAsia" w:hAnsiTheme="majorEastAsia" w:eastAsiaTheme="majorEastAsia" w:cstheme="majorEastAsia"/>
          <w:b/>
          <w:color w:val="auto"/>
          <w:sz w:val="24"/>
          <w:szCs w:val="24"/>
        </w:rPr>
        <w:t>3.5</w:t>
      </w:r>
      <w:r>
        <w:rPr>
          <w:rFonts w:hint="eastAsia" w:asciiTheme="majorEastAsia" w:hAnsiTheme="majorEastAsia" w:eastAsiaTheme="majorEastAsia" w:cstheme="majorEastAsia"/>
          <w:b/>
          <w:color w:val="auto"/>
          <w:sz w:val="24"/>
          <w:szCs w:val="24"/>
          <w:lang w:eastAsia="zh-CN"/>
        </w:rPr>
        <w:t>投标偏离表</w:t>
      </w:r>
      <w:r>
        <w:rPr>
          <w:rFonts w:hint="eastAsia" w:asciiTheme="majorEastAsia" w:hAnsiTheme="majorEastAsia" w:eastAsiaTheme="majorEastAsia" w:cstheme="majorEastAsia"/>
          <w:b/>
          <w:color w:val="auto"/>
          <w:sz w:val="24"/>
          <w:szCs w:val="24"/>
        </w:rPr>
        <w:t>（格式自拟）</w:t>
      </w:r>
    </w:p>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90"/>
        <w:jc w:val="center"/>
      </w:pPr>
      <w:r>
        <w:rPr>
          <w:rFonts w:ascii="黑体" w:hAnsi="宋体" w:eastAsia="黑体" w:cs="黑体"/>
          <w:color w:val="000000"/>
          <w:sz w:val="28"/>
          <w:szCs w:val="28"/>
        </w:rPr>
        <w:t>投标偏离表</w:t>
      </w:r>
    </w:p>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黑体" w:hAnsi="宋体" w:eastAsia="黑体" w:cs="黑体"/>
          <w:color w:val="000000"/>
          <w:sz w:val="28"/>
          <w:szCs w:val="28"/>
        </w:rPr>
        <w:t> </w:t>
      </w:r>
    </w:p>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center"/>
      </w:pPr>
      <w:r>
        <w:rPr>
          <w:rFonts w:ascii="黑体" w:hAnsi="宋体" w:eastAsia="黑体" w:cs="黑体"/>
          <w:color w:val="000000"/>
          <w:sz w:val="28"/>
          <w:szCs w:val="28"/>
        </w:rPr>
        <w:t> </w:t>
      </w:r>
    </w:p>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黑体" w:hAnsi="宋体" w:eastAsia="黑体" w:cs="黑体"/>
          <w:color w:val="000000"/>
          <w:sz w:val="24"/>
          <w:szCs w:val="24"/>
        </w:rPr>
        <w:t>投标人名称（盖章）                  采购项目编号：</w:t>
      </w:r>
    </w:p>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400" w:lineRule="atLeast"/>
        <w:jc w:val="both"/>
      </w:pPr>
      <w:r>
        <w:rPr>
          <w:rFonts w:ascii="黑体" w:hAnsi="宋体" w:eastAsia="黑体" w:cs="黑体"/>
          <w:color w:val="000000"/>
          <w:sz w:val="24"/>
          <w:szCs w:val="24"/>
        </w:rPr>
        <w:t> </w:t>
      </w:r>
    </w:p>
    <w:tbl>
      <w:tblPr>
        <w:tblStyle w:val="25"/>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81"/>
        <w:gridCol w:w="2486"/>
        <w:gridCol w:w="2486"/>
        <w:gridCol w:w="20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blCellSpacing w:w="0" w:type="dxa"/>
        </w:trPr>
        <w:tc>
          <w:tcPr>
            <w:tcW w:w="1803"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24"/>
                <w:szCs w:val="24"/>
              </w:rPr>
              <w:t>名称</w:t>
            </w:r>
          </w:p>
        </w:tc>
        <w:tc>
          <w:tcPr>
            <w:tcW w:w="2683"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24"/>
                <w:szCs w:val="24"/>
              </w:rPr>
              <w:t>采购要求</w:t>
            </w:r>
          </w:p>
        </w:tc>
        <w:tc>
          <w:tcPr>
            <w:tcW w:w="2683"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24"/>
                <w:szCs w:val="24"/>
              </w:rPr>
              <w:t>实报内容</w:t>
            </w:r>
          </w:p>
        </w:tc>
        <w:tc>
          <w:tcPr>
            <w:tcW w:w="2186" w:type="dxa"/>
            <w:tcBorders>
              <w:top w:val="single" w:color="000000" w:sz="8" w:space="0"/>
              <w:left w:val="nil"/>
              <w:bottom w:val="single" w:color="000000" w:sz="8" w:space="0"/>
              <w:right w:val="single" w:color="000000" w:sz="8" w:space="0"/>
            </w:tcBorders>
            <w:shd w:val="clear" w:color="auto" w:fill="auto"/>
            <w:tcMar>
              <w:left w:w="0" w:type="dxa"/>
              <w:right w:w="0"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b/>
                <w:bCs/>
                <w:color w:val="000000"/>
                <w:sz w:val="24"/>
                <w:szCs w:val="24"/>
              </w:rPr>
              <w:t>偏离说明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blCellSpacing w:w="0" w:type="dxa"/>
        </w:trPr>
        <w:tc>
          <w:tcPr>
            <w:tcW w:w="1803" w:type="dxa"/>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1"/>
                <w:szCs w:val="21"/>
              </w:rPr>
              <w:t> </w:t>
            </w:r>
          </w:p>
        </w:tc>
        <w:tc>
          <w:tcPr>
            <w:tcW w:w="2683" w:type="dxa"/>
            <w:tcBorders>
              <w:top w:val="nil"/>
              <w:left w:val="nil"/>
              <w:bottom w:val="single" w:color="000000" w:sz="8" w:space="0"/>
              <w:right w:val="single" w:color="000000" w:sz="8" w:space="0"/>
            </w:tcBorders>
            <w:shd w:val="clear" w:color="auto" w:fill="auto"/>
            <w:tcMar>
              <w:left w:w="0" w:type="dxa"/>
              <w:right w:w="0"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21"/>
                <w:szCs w:val="21"/>
              </w:rPr>
              <w:t> </w:t>
            </w:r>
          </w:p>
        </w:tc>
        <w:tc>
          <w:tcPr>
            <w:tcW w:w="2683" w:type="dxa"/>
            <w:tcBorders>
              <w:top w:val="nil"/>
              <w:left w:val="nil"/>
              <w:bottom w:val="single" w:color="000000" w:sz="8" w:space="0"/>
              <w:right w:val="single" w:color="000000" w:sz="8" w:space="0"/>
            </w:tcBorders>
            <w:shd w:val="clear" w:color="auto" w:fill="auto"/>
            <w:tcMar>
              <w:left w:w="0" w:type="dxa"/>
              <w:right w:w="0"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1"/>
                <w:szCs w:val="21"/>
              </w:rPr>
              <w:t> </w:t>
            </w:r>
          </w:p>
        </w:tc>
        <w:tc>
          <w:tcPr>
            <w:tcW w:w="2186" w:type="dxa"/>
            <w:tcBorders>
              <w:top w:val="nil"/>
              <w:left w:val="nil"/>
              <w:bottom w:val="single" w:color="000000" w:sz="8" w:space="0"/>
              <w:right w:val="single" w:color="000000" w:sz="8" w:space="0"/>
            </w:tcBorders>
            <w:shd w:val="clear" w:color="auto" w:fill="auto"/>
            <w:tcMar>
              <w:left w:w="0" w:type="dxa"/>
              <w:right w:w="0" w:type="dxa"/>
            </w:tcMar>
            <w:vAlign w:val="center"/>
          </w:tcPr>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rPr>
                <w:rFonts w:ascii="宋体" w:hAnsi="宋体" w:eastAsia="宋体" w:cs="宋体"/>
                <w:color w:val="000000"/>
                <w:sz w:val="21"/>
                <w:szCs w:val="21"/>
              </w:rPr>
              <w:t> </w:t>
            </w:r>
          </w:p>
        </w:tc>
      </w:tr>
    </w:tbl>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24"/>
          <w:szCs w:val="24"/>
        </w:rPr>
        <w:t> </w:t>
      </w:r>
    </w:p>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b/>
          <w:bCs/>
          <w:color w:val="000000"/>
          <w:sz w:val="24"/>
          <w:szCs w:val="24"/>
        </w:rPr>
        <w:t>法定代表人或法定代表人授权代表签字或盖章：</w:t>
      </w:r>
    </w:p>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rPr>
          <w:rFonts w:ascii="宋体" w:hAnsi="宋体" w:eastAsia="宋体" w:cs="宋体"/>
          <w:color w:val="000000"/>
          <w:sz w:val="30"/>
          <w:szCs w:val="30"/>
        </w:rPr>
        <w:t> </w:t>
      </w:r>
    </w:p>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宋体" w:hAnsi="宋体" w:eastAsia="宋体" w:cs="宋体"/>
          <w:color w:val="000000"/>
          <w:sz w:val="24"/>
          <w:szCs w:val="24"/>
        </w:rPr>
        <w:t>注：（1）本表不得删除；</w:t>
      </w:r>
    </w:p>
    <w:p>
      <w:pPr>
        <w:pStyle w:val="2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宋体" w:hAnsi="宋体" w:eastAsia="宋体" w:cs="宋体"/>
          <w:color w:val="000000"/>
          <w:sz w:val="24"/>
          <w:szCs w:val="24"/>
        </w:rPr>
        <w:t>   （2）如无任何技术偏离，请于本表 “偏离说明”中注明“无偏离”；</w:t>
      </w:r>
    </w:p>
    <w:p>
      <w:pPr>
        <w:widowControl/>
        <w:spacing w:line="440" w:lineRule="exact"/>
        <w:jc w:val="left"/>
        <w:rPr>
          <w:rFonts w:hint="eastAsia" w:asciiTheme="majorEastAsia" w:hAnsiTheme="majorEastAsia" w:eastAsiaTheme="majorEastAsia" w:cstheme="majorEastAsia"/>
          <w:b/>
          <w:color w:val="auto"/>
          <w:sz w:val="24"/>
          <w:szCs w:val="24"/>
        </w:rPr>
      </w:pPr>
      <w:r>
        <w:rPr>
          <w:rFonts w:ascii="宋体" w:hAnsi="宋体" w:eastAsia="宋体" w:cs="宋体"/>
          <w:color w:val="000000"/>
          <w:sz w:val="24"/>
          <w:szCs w:val="24"/>
        </w:rPr>
        <w:t>   （3）如有技术偏离项，请于本表中列明偏离内容，如需要可自行延长，其余无偏离内容不须赘述。</w:t>
      </w:r>
    </w:p>
    <w:p>
      <w:pPr>
        <w:pStyle w:val="15"/>
        <w:rPr>
          <w:rFonts w:hint="eastAsia" w:asciiTheme="majorEastAsia" w:hAnsiTheme="majorEastAsia" w:eastAsiaTheme="majorEastAsia" w:cstheme="majorEastAsia"/>
          <w:b/>
          <w:color w:val="auto"/>
          <w:sz w:val="32"/>
          <w:szCs w:val="32"/>
        </w:rPr>
      </w:pPr>
    </w:p>
    <w:p>
      <w:pPr>
        <w:rPr>
          <w:rFonts w:hint="eastAsia" w:asciiTheme="majorEastAsia" w:hAnsiTheme="majorEastAsia" w:eastAsiaTheme="majorEastAsia" w:cstheme="majorEastAsia"/>
          <w:b/>
          <w:color w:val="auto"/>
          <w:kern w:val="0"/>
          <w:sz w:val="32"/>
          <w:szCs w:val="32"/>
          <w:lang w:val="en-US" w:eastAsia="zh-CN" w:bidi="ar-SA"/>
        </w:rPr>
      </w:pPr>
      <w:r>
        <w:rPr>
          <w:rFonts w:hint="eastAsia" w:asciiTheme="majorEastAsia" w:hAnsiTheme="majorEastAsia" w:eastAsiaTheme="majorEastAsia" w:cstheme="majorEastAsia"/>
          <w:b/>
          <w:color w:val="auto"/>
          <w:kern w:val="0"/>
          <w:sz w:val="32"/>
          <w:szCs w:val="32"/>
          <w:lang w:val="en-US" w:eastAsia="zh-CN" w:bidi="ar-SA"/>
        </w:rPr>
        <w:br w:type="page"/>
      </w:r>
    </w:p>
    <w:p>
      <w:pPr>
        <w:pStyle w:val="53"/>
        <w:spacing w:line="400" w:lineRule="exact"/>
        <w:ind w:left="0" w:leftChars="0" w:firstLine="0" w:firstLineChars="0"/>
        <w:jc w:val="both"/>
        <w:rPr>
          <w:rFonts w:hint="eastAsia" w:asciiTheme="majorEastAsia" w:hAnsiTheme="majorEastAsia" w:eastAsiaTheme="majorEastAsia" w:cstheme="majorEastAsia"/>
          <w:b/>
          <w:color w:val="auto"/>
          <w:kern w:val="0"/>
          <w:sz w:val="24"/>
          <w:szCs w:val="24"/>
          <w:lang w:val="en-US" w:eastAsia="zh-CN" w:bidi="ar-SA"/>
        </w:rPr>
      </w:pPr>
      <w:r>
        <w:rPr>
          <w:rFonts w:hint="eastAsia" w:asciiTheme="majorEastAsia" w:hAnsiTheme="majorEastAsia" w:eastAsiaTheme="majorEastAsia" w:cstheme="majorEastAsia"/>
          <w:b/>
          <w:color w:val="auto"/>
          <w:kern w:val="0"/>
          <w:sz w:val="24"/>
          <w:szCs w:val="24"/>
          <w:lang w:val="en-US" w:eastAsia="zh-CN" w:bidi="ar-SA"/>
        </w:rPr>
        <w:t>3.6附件：</w:t>
      </w:r>
    </w:p>
    <w:p>
      <w:pPr>
        <w:pStyle w:val="23"/>
        <w:spacing w:line="400" w:lineRule="exact"/>
        <w:ind w:firstLine="0" w:firstLineChars="0"/>
        <w:rPr>
          <w:rFonts w:hint="eastAsia" w:asciiTheme="majorEastAsia" w:hAnsiTheme="majorEastAsia" w:eastAsiaTheme="majorEastAsia" w:cstheme="majorEastAsia"/>
          <w:color w:val="auto"/>
          <w:sz w:val="24"/>
          <w:szCs w:val="24"/>
        </w:rPr>
      </w:pPr>
    </w:p>
    <w:p>
      <w:pPr>
        <w:widowControl/>
        <w:spacing w:line="400" w:lineRule="exact"/>
        <w:jc w:val="center"/>
        <w:outlineLvl w:val="0"/>
        <w:rPr>
          <w:rFonts w:hint="eastAsia" w:asciiTheme="majorEastAsia" w:hAnsiTheme="majorEastAsia" w:eastAsiaTheme="majorEastAsia" w:cstheme="majorEastAsia"/>
          <w:b/>
          <w:color w:val="auto"/>
          <w:sz w:val="24"/>
          <w:szCs w:val="24"/>
        </w:rPr>
      </w:pPr>
      <w:bookmarkStart w:id="581" w:name="_Toc22867"/>
      <w:r>
        <w:rPr>
          <w:rFonts w:hint="eastAsia" w:asciiTheme="majorEastAsia" w:hAnsiTheme="majorEastAsia" w:eastAsiaTheme="majorEastAsia" w:cstheme="majorEastAsia"/>
          <w:b/>
          <w:color w:val="auto"/>
          <w:sz w:val="24"/>
          <w:szCs w:val="24"/>
        </w:rPr>
        <w:t>法定代表人身份证明书</w:t>
      </w:r>
      <w:bookmarkEnd w:id="581"/>
    </w:p>
    <w:p>
      <w:pPr>
        <w:spacing w:line="400" w:lineRule="exact"/>
        <w:rPr>
          <w:rFonts w:hint="eastAsia" w:asciiTheme="majorEastAsia" w:hAnsiTheme="majorEastAsia" w:eastAsiaTheme="majorEastAsia" w:cstheme="majorEastAsia"/>
          <w:b/>
          <w:color w:val="auto"/>
          <w:sz w:val="24"/>
          <w:szCs w:val="24"/>
        </w:rPr>
      </w:pPr>
    </w:p>
    <w:p>
      <w:pPr>
        <w:spacing w:line="400" w:lineRule="exact"/>
        <w:ind w:firstLine="612"/>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单位名称：</w:t>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p>
    <w:p>
      <w:pPr>
        <w:spacing w:line="400" w:lineRule="exact"/>
        <w:ind w:firstLine="610"/>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单位性质：</w:t>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p>
    <w:p>
      <w:pPr>
        <w:spacing w:line="400" w:lineRule="exact"/>
        <w:ind w:firstLine="610"/>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地    址：</w:t>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ab/>
      </w:r>
    </w:p>
    <w:p>
      <w:pPr>
        <w:spacing w:line="400" w:lineRule="exact"/>
        <w:ind w:firstLine="61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成立时间：</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年</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月</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日</w:t>
      </w:r>
    </w:p>
    <w:p>
      <w:pPr>
        <w:spacing w:line="400" w:lineRule="exact"/>
        <w:ind w:firstLine="610"/>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经营期限：</w:t>
      </w:r>
      <w:r>
        <w:rPr>
          <w:rFonts w:hint="eastAsia" w:asciiTheme="majorEastAsia" w:hAnsiTheme="majorEastAsia" w:eastAsiaTheme="majorEastAsia" w:cstheme="majorEastAsia"/>
          <w:color w:val="auto"/>
          <w:sz w:val="24"/>
          <w:szCs w:val="24"/>
          <w:u w:val="single"/>
        </w:rPr>
        <w:tab/>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rPr>
        <w:tab/>
      </w:r>
    </w:p>
    <w:p>
      <w:pPr>
        <w:spacing w:line="400" w:lineRule="exact"/>
        <w:ind w:firstLine="61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姓    名：</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 xml:space="preserve"> 性别：</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年龄：</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 xml:space="preserve"> </w:t>
      </w:r>
    </w:p>
    <w:p>
      <w:pPr>
        <w:spacing w:line="400" w:lineRule="exact"/>
        <w:ind w:firstLine="610"/>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身份证号码</w:t>
      </w:r>
      <w:r>
        <w:rPr>
          <w:rFonts w:hint="eastAsia" w:asciiTheme="majorEastAsia" w:hAnsiTheme="majorEastAsia" w:eastAsiaTheme="majorEastAsia" w:cstheme="majorEastAsia"/>
          <w:color w:val="auto"/>
          <w:sz w:val="24"/>
          <w:szCs w:val="24"/>
          <w:u w:val="single"/>
        </w:rPr>
        <w:t xml:space="preserve">                                 </w:t>
      </w:r>
    </w:p>
    <w:p>
      <w:pPr>
        <w:spacing w:line="400" w:lineRule="exact"/>
        <w:ind w:firstLine="61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联系方式：</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邮箱：</w:t>
      </w:r>
      <w:r>
        <w:rPr>
          <w:rFonts w:hint="eastAsia" w:asciiTheme="majorEastAsia" w:hAnsiTheme="majorEastAsia" w:eastAsiaTheme="majorEastAsia" w:cstheme="majorEastAsia"/>
          <w:color w:val="auto"/>
          <w:sz w:val="24"/>
          <w:szCs w:val="24"/>
          <w:u w:val="single"/>
        </w:rPr>
        <w:t xml:space="preserve">                    </w:t>
      </w:r>
    </w:p>
    <w:p>
      <w:pPr>
        <w:spacing w:line="400" w:lineRule="exact"/>
        <w:ind w:firstLine="61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系</w:t>
      </w:r>
      <w:r>
        <w:rPr>
          <w:rFonts w:hint="eastAsia" w:asciiTheme="majorEastAsia" w:hAnsiTheme="majorEastAsia" w:eastAsiaTheme="majorEastAsia" w:cstheme="majorEastAsia"/>
          <w:color w:val="auto"/>
          <w:sz w:val="24"/>
          <w:szCs w:val="24"/>
          <w:u w:val="single"/>
        </w:rPr>
        <w:t xml:space="preserve">          （供应商单位名称）         </w:t>
      </w:r>
      <w:r>
        <w:rPr>
          <w:rFonts w:hint="eastAsia" w:asciiTheme="majorEastAsia" w:hAnsiTheme="majorEastAsia" w:eastAsiaTheme="majorEastAsia" w:cstheme="majorEastAsia"/>
          <w:color w:val="auto"/>
          <w:sz w:val="24"/>
          <w:szCs w:val="24"/>
        </w:rPr>
        <w:t>的法定代表人。</w:t>
      </w:r>
    </w:p>
    <w:p>
      <w:pPr>
        <w:spacing w:line="400" w:lineRule="exact"/>
        <w:ind w:firstLine="61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特此证明。</w:t>
      </w:r>
    </w:p>
    <w:p>
      <w:pPr>
        <w:spacing w:line="400" w:lineRule="exact"/>
        <w:ind w:firstLine="61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u w:val="single"/>
        </w:rPr>
        <w:t xml:space="preserve">          附身份证复印件                         </w:t>
      </w:r>
    </w:p>
    <w:p>
      <w:pPr>
        <w:tabs>
          <w:tab w:val="left" w:pos="720"/>
          <w:tab w:val="left" w:pos="900"/>
        </w:tabs>
        <w:spacing w:line="400" w:lineRule="exact"/>
        <w:ind w:firstLine="480" w:firstLineChars="200"/>
        <w:rPr>
          <w:rFonts w:hint="eastAsia" w:asciiTheme="majorEastAsia" w:hAnsiTheme="majorEastAsia" w:eastAsiaTheme="majorEastAsia" w:cstheme="majorEastAsia"/>
          <w:color w:val="auto"/>
          <w:sz w:val="24"/>
          <w:szCs w:val="24"/>
        </w:rPr>
      </w:pPr>
    </w:p>
    <w:p>
      <w:pPr>
        <w:tabs>
          <w:tab w:val="left" w:pos="720"/>
          <w:tab w:val="left" w:pos="900"/>
        </w:tabs>
        <w:spacing w:line="400" w:lineRule="exact"/>
        <w:ind w:firstLine="4440" w:firstLineChars="1850"/>
        <w:rPr>
          <w:rFonts w:hint="eastAsia" w:asciiTheme="majorEastAsia" w:hAnsiTheme="majorEastAsia" w:eastAsiaTheme="majorEastAsia" w:cstheme="majorEastAsia"/>
          <w:color w:val="auto"/>
          <w:sz w:val="24"/>
          <w:szCs w:val="24"/>
          <w:u w:val="single"/>
        </w:rPr>
      </w:pPr>
      <w:r>
        <w:rPr>
          <w:rFonts w:hint="eastAsia" w:asciiTheme="majorEastAsia" w:hAnsiTheme="majorEastAsia" w:eastAsiaTheme="majorEastAsia" w:cstheme="majorEastAsia"/>
          <w:color w:val="auto"/>
          <w:sz w:val="24"/>
          <w:szCs w:val="24"/>
        </w:rPr>
        <w:t>供应商：</w:t>
      </w:r>
      <w:r>
        <w:rPr>
          <w:rFonts w:hint="eastAsia" w:asciiTheme="majorEastAsia" w:hAnsiTheme="majorEastAsia" w:eastAsiaTheme="majorEastAsia" w:cstheme="majorEastAsia"/>
          <w:color w:val="auto"/>
          <w:sz w:val="24"/>
          <w:szCs w:val="24"/>
          <w:u w:val="single"/>
        </w:rPr>
        <w:t xml:space="preserve">         （盖公章）</w:t>
      </w:r>
    </w:p>
    <w:p>
      <w:pPr>
        <w:tabs>
          <w:tab w:val="left" w:pos="720"/>
          <w:tab w:val="left" w:pos="900"/>
        </w:tabs>
        <w:spacing w:line="400" w:lineRule="exact"/>
        <w:ind w:firstLine="4440" w:firstLineChars="185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法定代表人签名</w:t>
      </w:r>
      <w:r>
        <w:rPr>
          <w:rFonts w:hint="eastAsia" w:asciiTheme="majorEastAsia" w:hAnsiTheme="majorEastAsia" w:eastAsiaTheme="majorEastAsia" w:cstheme="majorEastAsia"/>
          <w:color w:val="auto"/>
          <w:sz w:val="24"/>
          <w:szCs w:val="24"/>
          <w:u w:val="none"/>
        </w:rPr>
        <w:t>：</w:t>
      </w:r>
      <w:r>
        <w:rPr>
          <w:rFonts w:hint="eastAsia" w:asciiTheme="majorEastAsia" w:hAnsiTheme="majorEastAsia" w:eastAsiaTheme="majorEastAsia" w:cstheme="majorEastAsia"/>
          <w:color w:val="auto"/>
          <w:sz w:val="24"/>
          <w:szCs w:val="24"/>
          <w:u w:val="single"/>
        </w:rPr>
        <w:t xml:space="preserve">           </w:t>
      </w:r>
    </w:p>
    <w:p>
      <w:pPr>
        <w:tabs>
          <w:tab w:val="left" w:pos="720"/>
          <w:tab w:val="left" w:pos="900"/>
        </w:tabs>
        <w:spacing w:line="400" w:lineRule="exact"/>
        <w:ind w:firstLine="4440" w:firstLineChars="185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日 期：</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lang w:val="en-US" w:eastAsia="zh-CN"/>
        </w:rPr>
        <w:t xml:space="preserve"> </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年</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u w:val="single"/>
          <w:lang w:val="en-US" w:eastAsia="zh-CN"/>
        </w:rPr>
        <w:t xml:space="preserve"> </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月</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日</w:t>
      </w:r>
    </w:p>
    <w:p>
      <w:pPr>
        <w:widowControl/>
        <w:jc w:val="center"/>
        <w:outlineLvl w:val="9"/>
        <w:rPr>
          <w:rFonts w:hint="eastAsia" w:asciiTheme="majorEastAsia" w:hAnsiTheme="majorEastAsia" w:eastAsiaTheme="majorEastAsia" w:cstheme="majorEastAsia"/>
          <w:b/>
          <w:color w:val="auto"/>
          <w:kern w:val="0"/>
          <w:sz w:val="32"/>
          <w:szCs w:val="32"/>
        </w:rPr>
      </w:pPr>
      <w:bookmarkStart w:id="582" w:name="_Toc18831"/>
      <w:bookmarkStart w:id="583" w:name="_Toc7171"/>
      <w:bookmarkStart w:id="584" w:name="_Toc27790"/>
      <w:bookmarkStart w:id="585" w:name="_Toc25165"/>
      <w:bookmarkStart w:id="586" w:name="_Toc263"/>
    </w:p>
    <w:p>
      <w:pPr>
        <w:widowControl/>
        <w:jc w:val="center"/>
        <w:outlineLvl w:val="0"/>
        <w:rPr>
          <w:rFonts w:hint="eastAsia" w:asciiTheme="majorEastAsia" w:hAnsiTheme="majorEastAsia" w:eastAsiaTheme="majorEastAsia" w:cstheme="majorEastAsia"/>
          <w:color w:val="auto"/>
          <w:kern w:val="0"/>
          <w:sz w:val="32"/>
          <w:szCs w:val="32"/>
        </w:rPr>
      </w:pPr>
      <w:r>
        <w:rPr>
          <w:rFonts w:hint="eastAsia" w:asciiTheme="majorEastAsia" w:hAnsiTheme="majorEastAsia" w:eastAsiaTheme="majorEastAsia" w:cstheme="majorEastAsia"/>
          <w:b/>
          <w:color w:val="auto"/>
          <w:kern w:val="0"/>
          <w:sz w:val="32"/>
          <w:szCs w:val="32"/>
        </w:rPr>
        <w:br w:type="page"/>
      </w:r>
      <w:bookmarkStart w:id="587" w:name="_Toc17045"/>
      <w:r>
        <w:rPr>
          <w:rFonts w:hint="eastAsia" w:asciiTheme="majorEastAsia" w:hAnsiTheme="majorEastAsia" w:eastAsiaTheme="majorEastAsia" w:cstheme="majorEastAsia"/>
          <w:b/>
          <w:color w:val="auto"/>
          <w:kern w:val="0"/>
          <w:sz w:val="32"/>
          <w:szCs w:val="32"/>
        </w:rPr>
        <w:t>授权委托书</w:t>
      </w:r>
      <w:bookmarkEnd w:id="582"/>
      <w:bookmarkEnd w:id="583"/>
      <w:bookmarkEnd w:id="584"/>
      <w:bookmarkEnd w:id="585"/>
      <w:bookmarkEnd w:id="586"/>
      <w:bookmarkEnd w:id="587"/>
    </w:p>
    <w:p>
      <w:pPr>
        <w:widowControl/>
        <w:spacing w:line="420" w:lineRule="exact"/>
        <w:jc w:val="left"/>
        <w:rPr>
          <w:rFonts w:hint="eastAsia" w:asciiTheme="majorEastAsia" w:hAnsiTheme="majorEastAsia" w:eastAsiaTheme="majorEastAsia" w:cstheme="majorEastAsia"/>
          <w:color w:val="auto"/>
          <w:kern w:val="0"/>
          <w:sz w:val="18"/>
          <w:szCs w:val="18"/>
        </w:rPr>
      </w:pPr>
      <w:r>
        <w:rPr>
          <w:rFonts w:hint="eastAsia" w:asciiTheme="majorEastAsia" w:hAnsiTheme="majorEastAsia" w:eastAsiaTheme="majorEastAsia" w:cstheme="majorEastAsia"/>
          <w:color w:val="auto"/>
          <w:kern w:val="0"/>
          <w:sz w:val="32"/>
          <w:szCs w:val="32"/>
        </w:rPr>
        <w:t> </w:t>
      </w:r>
    </w:p>
    <w:p>
      <w:pPr>
        <w:widowControl/>
        <w:spacing w:line="420" w:lineRule="exact"/>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委托人（供应商）：</w:t>
      </w:r>
      <w:r>
        <w:rPr>
          <w:rFonts w:hint="eastAsia" w:asciiTheme="majorEastAsia" w:hAnsiTheme="majorEastAsia" w:eastAsiaTheme="majorEastAsia" w:cstheme="majorEastAsia"/>
          <w:color w:val="auto"/>
          <w:kern w:val="0"/>
          <w:sz w:val="24"/>
          <w:szCs w:val="24"/>
          <w:u w:val="single"/>
        </w:rPr>
        <w:t xml:space="preserve">                         </w:t>
      </w:r>
    </w:p>
    <w:p>
      <w:pPr>
        <w:widowControl/>
        <w:spacing w:line="420" w:lineRule="exact"/>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地    址：</w:t>
      </w:r>
      <w:r>
        <w:rPr>
          <w:rFonts w:hint="eastAsia" w:asciiTheme="majorEastAsia" w:hAnsiTheme="majorEastAsia" w:eastAsiaTheme="majorEastAsia" w:cstheme="majorEastAsia"/>
          <w:color w:val="auto"/>
          <w:kern w:val="0"/>
          <w:sz w:val="24"/>
          <w:szCs w:val="24"/>
          <w:u w:val="single"/>
        </w:rPr>
        <w:t xml:space="preserve">                               </w:t>
      </w:r>
    </w:p>
    <w:p>
      <w:pPr>
        <w:widowControl/>
        <w:spacing w:line="420" w:lineRule="exact"/>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法定代表人：</w:t>
      </w:r>
      <w:r>
        <w:rPr>
          <w:rFonts w:hint="eastAsia" w:asciiTheme="majorEastAsia" w:hAnsiTheme="majorEastAsia" w:eastAsiaTheme="majorEastAsia" w:cstheme="majorEastAsia"/>
          <w:color w:val="auto"/>
          <w:kern w:val="0"/>
          <w:sz w:val="24"/>
          <w:szCs w:val="24"/>
          <w:u w:val="single"/>
        </w:rPr>
        <w:t xml:space="preserve">                             </w:t>
      </w:r>
    </w:p>
    <w:p>
      <w:pPr>
        <w:widowControl/>
        <w:spacing w:line="420" w:lineRule="exact"/>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受委托人（一）：</w:t>
      </w:r>
      <w:r>
        <w:rPr>
          <w:rFonts w:hint="eastAsia" w:asciiTheme="majorEastAsia" w:hAnsiTheme="majorEastAsia" w:eastAsiaTheme="majorEastAsia" w:cstheme="majorEastAsia"/>
          <w:color w:val="auto"/>
          <w:kern w:val="0"/>
          <w:sz w:val="24"/>
          <w:szCs w:val="24"/>
          <w:u w:val="single"/>
        </w:rPr>
        <w:t xml:space="preserve">               </w:t>
      </w:r>
      <w:r>
        <w:rPr>
          <w:rFonts w:hint="eastAsia" w:asciiTheme="majorEastAsia" w:hAnsiTheme="majorEastAsia" w:eastAsiaTheme="majorEastAsia" w:cstheme="majorEastAsia"/>
          <w:color w:val="auto"/>
          <w:kern w:val="0"/>
          <w:sz w:val="24"/>
          <w:szCs w:val="24"/>
        </w:rPr>
        <w:t>职务：</w:t>
      </w:r>
      <w:r>
        <w:rPr>
          <w:rFonts w:hint="eastAsia" w:asciiTheme="majorEastAsia" w:hAnsiTheme="majorEastAsia" w:eastAsiaTheme="majorEastAsia" w:cstheme="majorEastAsia"/>
          <w:color w:val="auto"/>
          <w:kern w:val="0"/>
          <w:sz w:val="24"/>
          <w:szCs w:val="24"/>
          <w:u w:val="single"/>
        </w:rPr>
        <w:t xml:space="preserve">        </w:t>
      </w:r>
    </w:p>
    <w:p>
      <w:pPr>
        <w:widowControl/>
        <w:spacing w:line="420" w:lineRule="exact"/>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受委托人（一）身份证号码：</w:t>
      </w:r>
      <w:r>
        <w:rPr>
          <w:rFonts w:hint="eastAsia" w:asciiTheme="majorEastAsia" w:hAnsiTheme="majorEastAsia" w:eastAsiaTheme="majorEastAsia" w:cstheme="majorEastAsia"/>
          <w:color w:val="auto"/>
          <w:kern w:val="0"/>
          <w:sz w:val="24"/>
          <w:szCs w:val="24"/>
          <w:u w:val="single"/>
        </w:rPr>
        <w:t>                   </w:t>
      </w:r>
    </w:p>
    <w:p>
      <w:pPr>
        <w:spacing w:line="400" w:lineRule="exact"/>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联系方式：</w:t>
      </w:r>
      <w:r>
        <w:rPr>
          <w:rFonts w:hint="eastAsia" w:asciiTheme="majorEastAsia" w:hAnsiTheme="majorEastAsia" w:eastAsiaTheme="majorEastAsia" w:cstheme="majorEastAsia"/>
          <w:color w:val="auto"/>
          <w:sz w:val="24"/>
          <w:szCs w:val="24"/>
          <w:u w:val="single"/>
        </w:rPr>
        <w:t xml:space="preserve">                         </w:t>
      </w:r>
      <w:r>
        <w:rPr>
          <w:rFonts w:hint="eastAsia" w:asciiTheme="majorEastAsia" w:hAnsiTheme="majorEastAsia" w:eastAsiaTheme="majorEastAsia" w:cstheme="majorEastAsia"/>
          <w:color w:val="auto"/>
          <w:sz w:val="24"/>
          <w:szCs w:val="24"/>
        </w:rPr>
        <w:t>邮箱：</w:t>
      </w:r>
      <w:r>
        <w:rPr>
          <w:rFonts w:hint="eastAsia" w:asciiTheme="majorEastAsia" w:hAnsiTheme="majorEastAsia" w:eastAsiaTheme="majorEastAsia" w:cstheme="majorEastAsia"/>
          <w:color w:val="auto"/>
          <w:sz w:val="24"/>
          <w:szCs w:val="24"/>
          <w:u w:val="single"/>
        </w:rPr>
        <w:t xml:space="preserve">                            </w:t>
      </w:r>
    </w:p>
    <w:p>
      <w:pPr>
        <w:widowControl/>
        <w:spacing w:line="420" w:lineRule="exact"/>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 </w:t>
      </w: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现委托上述受委托人在</w:t>
      </w:r>
      <w:r>
        <w:rPr>
          <w:rFonts w:hint="eastAsia" w:asciiTheme="majorEastAsia" w:hAnsiTheme="majorEastAsia" w:eastAsiaTheme="majorEastAsia" w:cstheme="majorEastAsia"/>
          <w:color w:val="auto"/>
          <w:kern w:val="0"/>
          <w:sz w:val="24"/>
          <w:szCs w:val="24"/>
          <w:u w:val="single"/>
        </w:rPr>
        <w:t>   （招标项目名称）     </w:t>
      </w:r>
      <w:r>
        <w:rPr>
          <w:rFonts w:hint="eastAsia" w:asciiTheme="majorEastAsia" w:hAnsiTheme="majorEastAsia" w:eastAsiaTheme="majorEastAsia" w:cstheme="majorEastAsia"/>
          <w:color w:val="auto"/>
          <w:kern w:val="0"/>
          <w:sz w:val="24"/>
          <w:szCs w:val="24"/>
        </w:rPr>
        <w:t>招标投标活动中，作为委托人的授权委托人。</w:t>
      </w: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委托事项：领取采购文件、编制、签署、递交、说明补正响应文件、签订合同和处理有关事宜等特别授权。受委托人联合行使或独立行使的委托权限，其法律后果由委托人承担。</w:t>
      </w: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投标事务负责人无转委托权。采购人（采购代理机构）有权拒绝其他任何代表委托人行使的投标事宜，以及超出本授权范围的其他事宜。</w:t>
      </w: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委托期限：</w:t>
      </w:r>
      <w:r>
        <w:rPr>
          <w:rFonts w:hint="eastAsia" w:asciiTheme="majorEastAsia" w:hAnsiTheme="majorEastAsia" w:eastAsiaTheme="majorEastAsia" w:cstheme="majorEastAsia"/>
          <w:color w:val="auto"/>
          <w:kern w:val="0"/>
          <w:sz w:val="24"/>
          <w:szCs w:val="24"/>
          <w:u w:val="single"/>
        </w:rPr>
        <w:t xml:space="preserve">   </w:t>
      </w:r>
      <w:r>
        <w:rPr>
          <w:rFonts w:hint="eastAsia" w:asciiTheme="majorEastAsia" w:hAnsiTheme="majorEastAsia" w:eastAsiaTheme="majorEastAsia" w:cstheme="majorEastAsia"/>
          <w:color w:val="auto"/>
          <w:kern w:val="0"/>
          <w:sz w:val="24"/>
          <w:szCs w:val="24"/>
        </w:rPr>
        <w:t>日，自</w:t>
      </w:r>
      <w:r>
        <w:rPr>
          <w:rFonts w:hint="eastAsia" w:asciiTheme="majorEastAsia" w:hAnsiTheme="majorEastAsia" w:eastAsiaTheme="majorEastAsia" w:cstheme="majorEastAsia"/>
          <w:color w:val="auto"/>
          <w:kern w:val="0"/>
          <w:sz w:val="24"/>
          <w:szCs w:val="24"/>
          <w:u w:val="single"/>
        </w:rPr>
        <w:t>  </w:t>
      </w:r>
      <w:r>
        <w:rPr>
          <w:rFonts w:hint="eastAsia" w:asciiTheme="majorEastAsia" w:hAnsiTheme="majorEastAsia" w:eastAsiaTheme="majorEastAsia" w:cstheme="majorEastAsia"/>
          <w:color w:val="auto"/>
          <w:kern w:val="0"/>
          <w:sz w:val="24"/>
          <w:szCs w:val="24"/>
        </w:rPr>
        <w:t>年</w:t>
      </w:r>
      <w:r>
        <w:rPr>
          <w:rFonts w:hint="eastAsia" w:asciiTheme="majorEastAsia" w:hAnsiTheme="majorEastAsia" w:eastAsiaTheme="majorEastAsia" w:cstheme="majorEastAsia"/>
          <w:color w:val="auto"/>
          <w:kern w:val="0"/>
          <w:sz w:val="24"/>
          <w:szCs w:val="24"/>
          <w:u w:val="single"/>
        </w:rPr>
        <w:t>  </w:t>
      </w:r>
      <w:r>
        <w:rPr>
          <w:rFonts w:hint="eastAsia" w:asciiTheme="majorEastAsia" w:hAnsiTheme="majorEastAsia" w:eastAsiaTheme="majorEastAsia" w:cstheme="majorEastAsia"/>
          <w:color w:val="auto"/>
          <w:kern w:val="0"/>
          <w:sz w:val="24"/>
          <w:szCs w:val="24"/>
        </w:rPr>
        <w:t>月</w:t>
      </w:r>
      <w:r>
        <w:rPr>
          <w:rFonts w:hint="eastAsia" w:asciiTheme="majorEastAsia" w:hAnsiTheme="majorEastAsia" w:eastAsiaTheme="majorEastAsia" w:cstheme="majorEastAsia"/>
          <w:color w:val="auto"/>
          <w:kern w:val="0"/>
          <w:sz w:val="24"/>
          <w:szCs w:val="24"/>
          <w:u w:val="single"/>
        </w:rPr>
        <w:t>  </w:t>
      </w:r>
      <w:r>
        <w:rPr>
          <w:rFonts w:hint="eastAsia" w:asciiTheme="majorEastAsia" w:hAnsiTheme="majorEastAsia" w:eastAsiaTheme="majorEastAsia" w:cstheme="majorEastAsia"/>
          <w:color w:val="auto"/>
          <w:kern w:val="0"/>
          <w:sz w:val="24"/>
          <w:szCs w:val="24"/>
        </w:rPr>
        <w:t>日至</w:t>
      </w:r>
      <w:r>
        <w:rPr>
          <w:rFonts w:hint="eastAsia" w:asciiTheme="majorEastAsia" w:hAnsiTheme="majorEastAsia" w:eastAsiaTheme="majorEastAsia" w:cstheme="majorEastAsia"/>
          <w:color w:val="auto"/>
          <w:kern w:val="0"/>
          <w:sz w:val="24"/>
          <w:szCs w:val="24"/>
          <w:u w:val="single"/>
        </w:rPr>
        <w:t>  </w:t>
      </w:r>
      <w:r>
        <w:rPr>
          <w:rFonts w:hint="eastAsia" w:asciiTheme="majorEastAsia" w:hAnsiTheme="majorEastAsia" w:eastAsiaTheme="majorEastAsia" w:cstheme="majorEastAsia"/>
          <w:color w:val="auto"/>
          <w:kern w:val="0"/>
          <w:sz w:val="24"/>
          <w:szCs w:val="24"/>
        </w:rPr>
        <w:t>年</w:t>
      </w:r>
      <w:r>
        <w:rPr>
          <w:rFonts w:hint="eastAsia" w:asciiTheme="majorEastAsia" w:hAnsiTheme="majorEastAsia" w:eastAsiaTheme="majorEastAsia" w:cstheme="majorEastAsia"/>
          <w:color w:val="auto"/>
          <w:kern w:val="0"/>
          <w:sz w:val="24"/>
          <w:szCs w:val="24"/>
          <w:u w:val="single"/>
        </w:rPr>
        <w:t>  </w:t>
      </w:r>
      <w:r>
        <w:rPr>
          <w:rFonts w:hint="eastAsia" w:asciiTheme="majorEastAsia" w:hAnsiTheme="majorEastAsia" w:eastAsiaTheme="majorEastAsia" w:cstheme="majorEastAsia"/>
          <w:color w:val="auto"/>
          <w:kern w:val="0"/>
          <w:sz w:val="24"/>
          <w:szCs w:val="24"/>
        </w:rPr>
        <w:t>月</w:t>
      </w:r>
      <w:r>
        <w:rPr>
          <w:rFonts w:hint="eastAsia" w:asciiTheme="majorEastAsia" w:hAnsiTheme="majorEastAsia" w:eastAsiaTheme="majorEastAsia" w:cstheme="majorEastAsia"/>
          <w:color w:val="auto"/>
          <w:kern w:val="0"/>
          <w:sz w:val="24"/>
          <w:szCs w:val="24"/>
          <w:u w:val="single"/>
        </w:rPr>
        <w:t>  </w:t>
      </w:r>
      <w:r>
        <w:rPr>
          <w:rFonts w:hint="eastAsia" w:asciiTheme="majorEastAsia" w:hAnsiTheme="majorEastAsia" w:eastAsiaTheme="majorEastAsia" w:cstheme="majorEastAsia"/>
          <w:color w:val="auto"/>
          <w:kern w:val="0"/>
          <w:sz w:val="24"/>
          <w:szCs w:val="24"/>
        </w:rPr>
        <w:t>日。</w:t>
      </w: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p>
    <w:p>
      <w:pPr>
        <w:spacing w:line="420" w:lineRule="exact"/>
        <w:ind w:firstLine="610"/>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u w:val="single"/>
        </w:rPr>
        <w:t xml:space="preserve">          附身份证复印件                             </w:t>
      </w: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 </w:t>
      </w: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委托人：</w:t>
      </w:r>
      <w:r>
        <w:rPr>
          <w:rFonts w:hint="eastAsia" w:asciiTheme="majorEastAsia" w:hAnsiTheme="majorEastAsia" w:eastAsiaTheme="majorEastAsia" w:cstheme="majorEastAsia"/>
          <w:color w:val="auto"/>
          <w:kern w:val="0"/>
          <w:sz w:val="24"/>
          <w:szCs w:val="24"/>
          <w:u w:val="single"/>
        </w:rPr>
        <w:t xml:space="preserve">                        </w:t>
      </w:r>
      <w:r>
        <w:rPr>
          <w:rFonts w:hint="eastAsia" w:asciiTheme="majorEastAsia" w:hAnsiTheme="majorEastAsia" w:eastAsiaTheme="majorEastAsia" w:cstheme="majorEastAsia"/>
          <w:color w:val="auto"/>
          <w:kern w:val="0"/>
          <w:sz w:val="24"/>
          <w:szCs w:val="24"/>
        </w:rPr>
        <w:t>（盖单位章）</w:t>
      </w: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 </w:t>
      </w: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法定代表人：</w:t>
      </w:r>
      <w:r>
        <w:rPr>
          <w:rFonts w:hint="eastAsia" w:asciiTheme="majorEastAsia" w:hAnsiTheme="majorEastAsia" w:eastAsiaTheme="majorEastAsia" w:cstheme="majorEastAsia"/>
          <w:color w:val="auto"/>
          <w:kern w:val="0"/>
          <w:sz w:val="24"/>
          <w:szCs w:val="24"/>
          <w:u w:val="single"/>
        </w:rPr>
        <w:t xml:space="preserve">                      </w:t>
      </w:r>
      <w:r>
        <w:rPr>
          <w:rFonts w:hint="eastAsia" w:asciiTheme="majorEastAsia" w:hAnsiTheme="majorEastAsia" w:eastAsiaTheme="majorEastAsia" w:cstheme="majorEastAsia"/>
          <w:color w:val="auto"/>
          <w:kern w:val="0"/>
          <w:sz w:val="24"/>
          <w:szCs w:val="24"/>
        </w:rPr>
        <w:t>（签字）</w:t>
      </w:r>
    </w:p>
    <w:p>
      <w:pPr>
        <w:widowControl/>
        <w:spacing w:line="420" w:lineRule="exact"/>
        <w:ind w:firstLine="480" w:firstLineChars="200"/>
        <w:jc w:val="left"/>
        <w:rPr>
          <w:rFonts w:hint="eastAsia" w:asciiTheme="majorEastAsia" w:hAnsiTheme="majorEastAsia" w:eastAsiaTheme="majorEastAsia" w:cstheme="majorEastAsia"/>
          <w:color w:val="auto"/>
          <w:kern w:val="0"/>
          <w:sz w:val="24"/>
          <w:szCs w:val="24"/>
        </w:rPr>
      </w:pPr>
      <w:r>
        <w:rPr>
          <w:rFonts w:hint="eastAsia" w:asciiTheme="majorEastAsia" w:hAnsiTheme="majorEastAsia" w:eastAsiaTheme="majorEastAsia" w:cstheme="majorEastAsia"/>
          <w:color w:val="auto"/>
          <w:kern w:val="0"/>
          <w:sz w:val="24"/>
          <w:szCs w:val="24"/>
        </w:rPr>
        <w:t> </w:t>
      </w:r>
    </w:p>
    <w:p>
      <w:pPr>
        <w:pStyle w:val="53"/>
        <w:spacing w:line="360" w:lineRule="exact"/>
        <w:ind w:left="-2" w:leftChars="-1" w:firstLineChars="200"/>
        <w:jc w:val="both"/>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sz w:val="24"/>
          <w:szCs w:val="24"/>
        </w:rPr>
        <w:t>受委托人：</w:t>
      </w:r>
      <w:r>
        <w:rPr>
          <w:rFonts w:hint="eastAsia" w:asciiTheme="majorEastAsia" w:hAnsiTheme="majorEastAsia" w:eastAsiaTheme="majorEastAsia" w:cstheme="majorEastAsia"/>
          <w:color w:val="auto"/>
          <w:sz w:val="24"/>
          <w:szCs w:val="24"/>
          <w:u w:val="single"/>
        </w:rPr>
        <w:t>                    </w:t>
      </w:r>
      <w:r>
        <w:rPr>
          <w:rFonts w:hint="eastAsia" w:asciiTheme="majorEastAsia" w:hAnsiTheme="majorEastAsia" w:eastAsiaTheme="majorEastAsia" w:cstheme="majorEastAsia"/>
          <w:color w:val="auto"/>
          <w:sz w:val="24"/>
          <w:szCs w:val="24"/>
        </w:rPr>
        <w:t>（签字）</w:t>
      </w:r>
    </w:p>
    <w:p>
      <w:pPr>
        <w:pStyle w:val="15"/>
        <w:rPr>
          <w:rFonts w:hint="eastAsia" w:asciiTheme="majorEastAsia" w:hAnsiTheme="majorEastAsia" w:eastAsiaTheme="majorEastAsia" w:cstheme="majorEastAsia"/>
          <w:b/>
          <w:color w:val="auto"/>
          <w:sz w:val="24"/>
          <w:szCs w:val="24"/>
        </w:rPr>
      </w:pPr>
    </w:p>
    <w:sectPr>
      <w:footerReference r:id="rId4" w:type="default"/>
      <w:pgSz w:w="11906" w:h="16838"/>
      <w:pgMar w:top="1213" w:right="1558" w:bottom="115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2000000000000000000"/>
    <w:charset w:val="86"/>
    <w:family w:val="auto"/>
    <w:pitch w:val="default"/>
    <w:sig w:usb0="00000000" w:usb1="0000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71460182"/>
      <w:docPartObj>
        <w:docPartGallery w:val="autotext"/>
      </w:docPartObj>
    </w:sdtPr>
    <w:sdtContent>
      <w:p>
        <w:pPr>
          <w:pStyle w:val="17"/>
          <w:jc w:val="center"/>
        </w:pPr>
        <w:r>
          <w:fldChar w:fldCharType="begin"/>
        </w:r>
        <w:r>
          <w:instrText xml:space="preserve">PAGE   \* MERGEFORMAT</w:instrText>
        </w:r>
        <w:r>
          <w:fldChar w:fldCharType="separate"/>
        </w:r>
        <w:r>
          <w:rPr>
            <w:lang w:val="zh-CN"/>
          </w:rPr>
          <w:t>1</w:t>
        </w:r>
        <w:r>
          <w:fldChar w:fldCharType="end"/>
        </w:r>
      </w:p>
    </w:sdtContent>
  </w:sdt>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60973525"/>
      <w:docPartObj>
        <w:docPartGallery w:val="autotext"/>
      </w:docPartObj>
    </w:sdtPr>
    <w:sdtContent>
      <w:p>
        <w:pPr>
          <w:pStyle w:val="17"/>
          <w:jc w:val="center"/>
        </w:pPr>
        <w:r>
          <w:fldChar w:fldCharType="begin"/>
        </w:r>
        <w:r>
          <w:instrText xml:space="preserve">PAGE   \* MERGEFORMAT</w:instrText>
        </w:r>
        <w:r>
          <w:fldChar w:fldCharType="separate"/>
        </w:r>
        <w:r>
          <w:rPr>
            <w:lang w:val="zh-CN"/>
          </w:rPr>
          <w:t>50</w:t>
        </w:r>
        <w:r>
          <w:fldChar w:fldCharType="end"/>
        </w:r>
      </w:p>
    </w:sdtContent>
  </w:sdt>
  <w:p>
    <w:pPr>
      <w:pStyle w:val="1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5983E"/>
    <w:multiLevelType w:val="singleLevel"/>
    <w:tmpl w:val="B045983E"/>
    <w:lvl w:ilvl="0" w:tentative="0">
      <w:start w:val="1"/>
      <w:numFmt w:val="decimal"/>
      <w:lvlText w:val="%1."/>
      <w:lvlJc w:val="left"/>
      <w:pPr>
        <w:tabs>
          <w:tab w:val="left" w:pos="312"/>
        </w:tabs>
      </w:pPr>
    </w:lvl>
  </w:abstractNum>
  <w:abstractNum w:abstractNumId="1">
    <w:nsid w:val="E72B6572"/>
    <w:multiLevelType w:val="singleLevel"/>
    <w:tmpl w:val="E72B6572"/>
    <w:lvl w:ilvl="0" w:tentative="0">
      <w:start w:val="4"/>
      <w:numFmt w:val="chineseCounting"/>
      <w:suff w:val="space"/>
      <w:lvlText w:val="第%1章"/>
      <w:lvlJc w:val="left"/>
      <w:rPr>
        <w:rFonts w:hint="eastAsia"/>
      </w:rPr>
    </w:lvl>
  </w:abstractNum>
  <w:abstractNum w:abstractNumId="2">
    <w:nsid w:val="3964E114"/>
    <w:multiLevelType w:val="singleLevel"/>
    <w:tmpl w:val="3964E114"/>
    <w:lvl w:ilvl="0" w:tentative="0">
      <w:start w:val="5"/>
      <w:numFmt w:val="chineseCounting"/>
      <w:suff w:val="space"/>
      <w:lvlText w:val="第%1章"/>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JjM2E5OGZhYjc0YWU4YmY5YjZlNWI0NTNiODc2ZWIifQ=="/>
  </w:docVars>
  <w:rsids>
    <w:rsidRoot w:val="00F24CD4"/>
    <w:rsid w:val="00016641"/>
    <w:rsid w:val="00030D30"/>
    <w:rsid w:val="00043A56"/>
    <w:rsid w:val="00056D7A"/>
    <w:rsid w:val="00061954"/>
    <w:rsid w:val="00062627"/>
    <w:rsid w:val="0006601B"/>
    <w:rsid w:val="00081434"/>
    <w:rsid w:val="00084A19"/>
    <w:rsid w:val="00091566"/>
    <w:rsid w:val="0009699F"/>
    <w:rsid w:val="000A0E3B"/>
    <w:rsid w:val="000B36D7"/>
    <w:rsid w:val="000D0035"/>
    <w:rsid w:val="000F02B8"/>
    <w:rsid w:val="000F4C80"/>
    <w:rsid w:val="000F7203"/>
    <w:rsid w:val="00114A5C"/>
    <w:rsid w:val="00121DDC"/>
    <w:rsid w:val="00130DF9"/>
    <w:rsid w:val="00150FED"/>
    <w:rsid w:val="0016448A"/>
    <w:rsid w:val="0017591F"/>
    <w:rsid w:val="00177EE0"/>
    <w:rsid w:val="0019223D"/>
    <w:rsid w:val="001A071D"/>
    <w:rsid w:val="001A4B04"/>
    <w:rsid w:val="001A65D1"/>
    <w:rsid w:val="001C3EE0"/>
    <w:rsid w:val="001C48F9"/>
    <w:rsid w:val="001D076C"/>
    <w:rsid w:val="001E276B"/>
    <w:rsid w:val="001F3FFA"/>
    <w:rsid w:val="001F6455"/>
    <w:rsid w:val="00220DE6"/>
    <w:rsid w:val="0022576E"/>
    <w:rsid w:val="00242E7C"/>
    <w:rsid w:val="002562A9"/>
    <w:rsid w:val="00260CE9"/>
    <w:rsid w:val="00270BE5"/>
    <w:rsid w:val="00274C87"/>
    <w:rsid w:val="00281479"/>
    <w:rsid w:val="002C1E07"/>
    <w:rsid w:val="002C5D00"/>
    <w:rsid w:val="00321BEE"/>
    <w:rsid w:val="003225BB"/>
    <w:rsid w:val="003340F4"/>
    <w:rsid w:val="0033630F"/>
    <w:rsid w:val="003637D2"/>
    <w:rsid w:val="0037724D"/>
    <w:rsid w:val="003805D0"/>
    <w:rsid w:val="003A2CB1"/>
    <w:rsid w:val="003A6119"/>
    <w:rsid w:val="003A798E"/>
    <w:rsid w:val="003B6A16"/>
    <w:rsid w:val="003D00F1"/>
    <w:rsid w:val="003F4A6D"/>
    <w:rsid w:val="004227B7"/>
    <w:rsid w:val="00422F99"/>
    <w:rsid w:val="004300BC"/>
    <w:rsid w:val="0043186A"/>
    <w:rsid w:val="004825D9"/>
    <w:rsid w:val="00487A3C"/>
    <w:rsid w:val="00495D48"/>
    <w:rsid w:val="00496D1D"/>
    <w:rsid w:val="004A133D"/>
    <w:rsid w:val="004A1E85"/>
    <w:rsid w:val="004C1448"/>
    <w:rsid w:val="004C266E"/>
    <w:rsid w:val="004D1A7D"/>
    <w:rsid w:val="004E6288"/>
    <w:rsid w:val="004E637D"/>
    <w:rsid w:val="004F674A"/>
    <w:rsid w:val="00511A86"/>
    <w:rsid w:val="00532CCE"/>
    <w:rsid w:val="0053456B"/>
    <w:rsid w:val="00545818"/>
    <w:rsid w:val="00562B2E"/>
    <w:rsid w:val="00563375"/>
    <w:rsid w:val="0056756E"/>
    <w:rsid w:val="00571146"/>
    <w:rsid w:val="00573FC2"/>
    <w:rsid w:val="005845F5"/>
    <w:rsid w:val="005C3349"/>
    <w:rsid w:val="005C3762"/>
    <w:rsid w:val="005D62FA"/>
    <w:rsid w:val="00602CB8"/>
    <w:rsid w:val="006375D2"/>
    <w:rsid w:val="00644F30"/>
    <w:rsid w:val="00647AF0"/>
    <w:rsid w:val="00650B20"/>
    <w:rsid w:val="00682B15"/>
    <w:rsid w:val="00696C1C"/>
    <w:rsid w:val="006A35DB"/>
    <w:rsid w:val="006E23DF"/>
    <w:rsid w:val="006F6E5D"/>
    <w:rsid w:val="007078FC"/>
    <w:rsid w:val="0071261D"/>
    <w:rsid w:val="0074119A"/>
    <w:rsid w:val="00741B2E"/>
    <w:rsid w:val="007471EF"/>
    <w:rsid w:val="007F2883"/>
    <w:rsid w:val="00832566"/>
    <w:rsid w:val="0085221E"/>
    <w:rsid w:val="00873257"/>
    <w:rsid w:val="00874B4B"/>
    <w:rsid w:val="00884752"/>
    <w:rsid w:val="008923D8"/>
    <w:rsid w:val="008B7CF4"/>
    <w:rsid w:val="008C257A"/>
    <w:rsid w:val="008C2736"/>
    <w:rsid w:val="008D5504"/>
    <w:rsid w:val="008E024C"/>
    <w:rsid w:val="008E250D"/>
    <w:rsid w:val="00904B62"/>
    <w:rsid w:val="009378D4"/>
    <w:rsid w:val="00952547"/>
    <w:rsid w:val="009848B3"/>
    <w:rsid w:val="009856BB"/>
    <w:rsid w:val="0099207E"/>
    <w:rsid w:val="00992340"/>
    <w:rsid w:val="00996796"/>
    <w:rsid w:val="00997C8E"/>
    <w:rsid w:val="009B781D"/>
    <w:rsid w:val="009C779F"/>
    <w:rsid w:val="009E4540"/>
    <w:rsid w:val="009F6FBC"/>
    <w:rsid w:val="00A06AEA"/>
    <w:rsid w:val="00A16F4E"/>
    <w:rsid w:val="00A1767A"/>
    <w:rsid w:val="00A21AE0"/>
    <w:rsid w:val="00A301DD"/>
    <w:rsid w:val="00A33089"/>
    <w:rsid w:val="00A36F47"/>
    <w:rsid w:val="00A46E79"/>
    <w:rsid w:val="00A56B1E"/>
    <w:rsid w:val="00A668E1"/>
    <w:rsid w:val="00A8781E"/>
    <w:rsid w:val="00A92B5D"/>
    <w:rsid w:val="00A92B82"/>
    <w:rsid w:val="00A94FFD"/>
    <w:rsid w:val="00AA07F0"/>
    <w:rsid w:val="00AA5695"/>
    <w:rsid w:val="00AF16F4"/>
    <w:rsid w:val="00B22B7F"/>
    <w:rsid w:val="00B2654F"/>
    <w:rsid w:val="00B72F9A"/>
    <w:rsid w:val="00B80030"/>
    <w:rsid w:val="00B83EBC"/>
    <w:rsid w:val="00B93086"/>
    <w:rsid w:val="00BB46CC"/>
    <w:rsid w:val="00BB6EFF"/>
    <w:rsid w:val="00BC758A"/>
    <w:rsid w:val="00BD6078"/>
    <w:rsid w:val="00BE4092"/>
    <w:rsid w:val="00C0745E"/>
    <w:rsid w:val="00C21E0B"/>
    <w:rsid w:val="00C27B7E"/>
    <w:rsid w:val="00C345A1"/>
    <w:rsid w:val="00C43EE5"/>
    <w:rsid w:val="00C57323"/>
    <w:rsid w:val="00C61A2C"/>
    <w:rsid w:val="00C70C0F"/>
    <w:rsid w:val="00C72133"/>
    <w:rsid w:val="00C73680"/>
    <w:rsid w:val="00C97304"/>
    <w:rsid w:val="00CA70E0"/>
    <w:rsid w:val="00CA7EEA"/>
    <w:rsid w:val="00CB5140"/>
    <w:rsid w:val="00CC04F8"/>
    <w:rsid w:val="00CC4EA0"/>
    <w:rsid w:val="00CE25FF"/>
    <w:rsid w:val="00CE2AE3"/>
    <w:rsid w:val="00CE2ED5"/>
    <w:rsid w:val="00CE5DC4"/>
    <w:rsid w:val="00CF19E6"/>
    <w:rsid w:val="00D04BBA"/>
    <w:rsid w:val="00D164D4"/>
    <w:rsid w:val="00D23952"/>
    <w:rsid w:val="00D85650"/>
    <w:rsid w:val="00D87EEB"/>
    <w:rsid w:val="00D93B90"/>
    <w:rsid w:val="00D93FCB"/>
    <w:rsid w:val="00DA553D"/>
    <w:rsid w:val="00DA7A8D"/>
    <w:rsid w:val="00DB4BA2"/>
    <w:rsid w:val="00DE1084"/>
    <w:rsid w:val="00DF034E"/>
    <w:rsid w:val="00DF0EFB"/>
    <w:rsid w:val="00E036A7"/>
    <w:rsid w:val="00E123D2"/>
    <w:rsid w:val="00E271C9"/>
    <w:rsid w:val="00E27970"/>
    <w:rsid w:val="00E41917"/>
    <w:rsid w:val="00E60A9C"/>
    <w:rsid w:val="00E70C4D"/>
    <w:rsid w:val="00E80FDE"/>
    <w:rsid w:val="00E846D9"/>
    <w:rsid w:val="00EB0902"/>
    <w:rsid w:val="00ED19B1"/>
    <w:rsid w:val="00ED296B"/>
    <w:rsid w:val="00EE1722"/>
    <w:rsid w:val="00EF369D"/>
    <w:rsid w:val="00F038B5"/>
    <w:rsid w:val="00F06C37"/>
    <w:rsid w:val="00F13A48"/>
    <w:rsid w:val="00F13BC3"/>
    <w:rsid w:val="00F153D1"/>
    <w:rsid w:val="00F24CD4"/>
    <w:rsid w:val="00F3547E"/>
    <w:rsid w:val="00F57104"/>
    <w:rsid w:val="00F73ACC"/>
    <w:rsid w:val="00F75D40"/>
    <w:rsid w:val="00F80386"/>
    <w:rsid w:val="00F82EA7"/>
    <w:rsid w:val="00F96656"/>
    <w:rsid w:val="00F96F60"/>
    <w:rsid w:val="00F978C6"/>
    <w:rsid w:val="00FA081C"/>
    <w:rsid w:val="00FA4AE3"/>
    <w:rsid w:val="00FC60C2"/>
    <w:rsid w:val="00FF304F"/>
    <w:rsid w:val="01350223"/>
    <w:rsid w:val="015C115D"/>
    <w:rsid w:val="01BB5A85"/>
    <w:rsid w:val="01C35DFF"/>
    <w:rsid w:val="022278B2"/>
    <w:rsid w:val="02445A7A"/>
    <w:rsid w:val="026E6F9B"/>
    <w:rsid w:val="02784461"/>
    <w:rsid w:val="02994018"/>
    <w:rsid w:val="035A1A92"/>
    <w:rsid w:val="03E17915"/>
    <w:rsid w:val="040E6340"/>
    <w:rsid w:val="041A2F36"/>
    <w:rsid w:val="0429076D"/>
    <w:rsid w:val="042948F2"/>
    <w:rsid w:val="042C2C6A"/>
    <w:rsid w:val="04CB5FDF"/>
    <w:rsid w:val="04CB6828"/>
    <w:rsid w:val="052838D4"/>
    <w:rsid w:val="052A284F"/>
    <w:rsid w:val="053A45A8"/>
    <w:rsid w:val="0593210B"/>
    <w:rsid w:val="05976809"/>
    <w:rsid w:val="059E1945"/>
    <w:rsid w:val="05A54A82"/>
    <w:rsid w:val="05C869C2"/>
    <w:rsid w:val="05F8235F"/>
    <w:rsid w:val="06031841"/>
    <w:rsid w:val="062260D2"/>
    <w:rsid w:val="063D4CBA"/>
    <w:rsid w:val="066B5CCB"/>
    <w:rsid w:val="067A5F0E"/>
    <w:rsid w:val="06A765D7"/>
    <w:rsid w:val="06C62F02"/>
    <w:rsid w:val="06C75DF5"/>
    <w:rsid w:val="06CE1EF9"/>
    <w:rsid w:val="06D66EBD"/>
    <w:rsid w:val="06E15AD9"/>
    <w:rsid w:val="06EB6E0C"/>
    <w:rsid w:val="07506C6F"/>
    <w:rsid w:val="07746E01"/>
    <w:rsid w:val="07E44876"/>
    <w:rsid w:val="083E4D1A"/>
    <w:rsid w:val="08931509"/>
    <w:rsid w:val="08A55394"/>
    <w:rsid w:val="08A76D63"/>
    <w:rsid w:val="08B56EC5"/>
    <w:rsid w:val="08C947B1"/>
    <w:rsid w:val="08EB4EA1"/>
    <w:rsid w:val="08FA01CF"/>
    <w:rsid w:val="08FC0E5C"/>
    <w:rsid w:val="091A4CC9"/>
    <w:rsid w:val="0972111F"/>
    <w:rsid w:val="0A083831"/>
    <w:rsid w:val="0A543B62"/>
    <w:rsid w:val="0B2C17A1"/>
    <w:rsid w:val="0B751115"/>
    <w:rsid w:val="0B7E1CB6"/>
    <w:rsid w:val="0B955598"/>
    <w:rsid w:val="0BAF665A"/>
    <w:rsid w:val="0BCA2A97"/>
    <w:rsid w:val="0BEB340A"/>
    <w:rsid w:val="0C2D57D1"/>
    <w:rsid w:val="0C3703FE"/>
    <w:rsid w:val="0C4A4FFD"/>
    <w:rsid w:val="0C5965C6"/>
    <w:rsid w:val="0CA4630A"/>
    <w:rsid w:val="0CA75583"/>
    <w:rsid w:val="0CFC2B46"/>
    <w:rsid w:val="0D1150F2"/>
    <w:rsid w:val="0D166265"/>
    <w:rsid w:val="0D466B4A"/>
    <w:rsid w:val="0DAE2B79"/>
    <w:rsid w:val="0DC7755F"/>
    <w:rsid w:val="0DD74222"/>
    <w:rsid w:val="0E056A05"/>
    <w:rsid w:val="0E150EAB"/>
    <w:rsid w:val="0E172295"/>
    <w:rsid w:val="0E2B5D40"/>
    <w:rsid w:val="0E6D45AA"/>
    <w:rsid w:val="0E72545B"/>
    <w:rsid w:val="0E965864"/>
    <w:rsid w:val="0E96765D"/>
    <w:rsid w:val="0EA026CC"/>
    <w:rsid w:val="0EF02396"/>
    <w:rsid w:val="0F093F3B"/>
    <w:rsid w:val="0F110441"/>
    <w:rsid w:val="0F16061D"/>
    <w:rsid w:val="0F5512C6"/>
    <w:rsid w:val="0FA20284"/>
    <w:rsid w:val="0FB0474F"/>
    <w:rsid w:val="0FB415D5"/>
    <w:rsid w:val="10204215"/>
    <w:rsid w:val="104B3917"/>
    <w:rsid w:val="10593038"/>
    <w:rsid w:val="11032084"/>
    <w:rsid w:val="11535CDA"/>
    <w:rsid w:val="11716160"/>
    <w:rsid w:val="117B581C"/>
    <w:rsid w:val="11AC0F46"/>
    <w:rsid w:val="11D87F8D"/>
    <w:rsid w:val="1205646C"/>
    <w:rsid w:val="122E4051"/>
    <w:rsid w:val="12324082"/>
    <w:rsid w:val="12541D09"/>
    <w:rsid w:val="12A8305E"/>
    <w:rsid w:val="12A8611D"/>
    <w:rsid w:val="12B10F0A"/>
    <w:rsid w:val="12CA1FCB"/>
    <w:rsid w:val="133B3CA6"/>
    <w:rsid w:val="13525B1D"/>
    <w:rsid w:val="13CF0812"/>
    <w:rsid w:val="13E175CD"/>
    <w:rsid w:val="13EE6AF0"/>
    <w:rsid w:val="1432532D"/>
    <w:rsid w:val="1447609C"/>
    <w:rsid w:val="14942891"/>
    <w:rsid w:val="14991C55"/>
    <w:rsid w:val="14E7475B"/>
    <w:rsid w:val="150C68CB"/>
    <w:rsid w:val="15175270"/>
    <w:rsid w:val="156B35A8"/>
    <w:rsid w:val="158E72E0"/>
    <w:rsid w:val="15A46B04"/>
    <w:rsid w:val="15B900D5"/>
    <w:rsid w:val="165E3157"/>
    <w:rsid w:val="16AA5140"/>
    <w:rsid w:val="16FBB2D8"/>
    <w:rsid w:val="170F4451"/>
    <w:rsid w:val="17441DA1"/>
    <w:rsid w:val="17542220"/>
    <w:rsid w:val="179E7583"/>
    <w:rsid w:val="17A81C09"/>
    <w:rsid w:val="17AE342C"/>
    <w:rsid w:val="17C23271"/>
    <w:rsid w:val="17F13B56"/>
    <w:rsid w:val="180649CC"/>
    <w:rsid w:val="181D2B9D"/>
    <w:rsid w:val="187B4002"/>
    <w:rsid w:val="1910625E"/>
    <w:rsid w:val="19377E5F"/>
    <w:rsid w:val="1943335F"/>
    <w:rsid w:val="19ED16E8"/>
    <w:rsid w:val="1A116732"/>
    <w:rsid w:val="1A5F124B"/>
    <w:rsid w:val="1A646862"/>
    <w:rsid w:val="1A9B5FFB"/>
    <w:rsid w:val="1AA807B0"/>
    <w:rsid w:val="1ABC3B86"/>
    <w:rsid w:val="1AC15A62"/>
    <w:rsid w:val="1AD87250"/>
    <w:rsid w:val="1ADD6614"/>
    <w:rsid w:val="1B762CF0"/>
    <w:rsid w:val="1B8D5C0E"/>
    <w:rsid w:val="1BA333BA"/>
    <w:rsid w:val="1BF7653F"/>
    <w:rsid w:val="1C241E60"/>
    <w:rsid w:val="1C7D0846"/>
    <w:rsid w:val="1CA53161"/>
    <w:rsid w:val="1CD04987"/>
    <w:rsid w:val="1DAD0F97"/>
    <w:rsid w:val="1DCB4E4A"/>
    <w:rsid w:val="1DD65CC8"/>
    <w:rsid w:val="1DE25885"/>
    <w:rsid w:val="1E9179DF"/>
    <w:rsid w:val="1EBF689B"/>
    <w:rsid w:val="1EE60968"/>
    <w:rsid w:val="1EFB350D"/>
    <w:rsid w:val="1F0028D1"/>
    <w:rsid w:val="1F5F584A"/>
    <w:rsid w:val="1F7C464D"/>
    <w:rsid w:val="1F9050D7"/>
    <w:rsid w:val="1FDF9778"/>
    <w:rsid w:val="20196410"/>
    <w:rsid w:val="202C6073"/>
    <w:rsid w:val="204D5FEA"/>
    <w:rsid w:val="208732AA"/>
    <w:rsid w:val="20ED1916"/>
    <w:rsid w:val="215313DE"/>
    <w:rsid w:val="21B53E47"/>
    <w:rsid w:val="220F79FB"/>
    <w:rsid w:val="2229482B"/>
    <w:rsid w:val="22462CF1"/>
    <w:rsid w:val="23052BAC"/>
    <w:rsid w:val="232623FE"/>
    <w:rsid w:val="23626704"/>
    <w:rsid w:val="238E3BA3"/>
    <w:rsid w:val="23A2644A"/>
    <w:rsid w:val="23A3664D"/>
    <w:rsid w:val="23F15084"/>
    <w:rsid w:val="242B6642"/>
    <w:rsid w:val="24311EAA"/>
    <w:rsid w:val="24442C50"/>
    <w:rsid w:val="254038D8"/>
    <w:rsid w:val="25973F8F"/>
    <w:rsid w:val="259A6743"/>
    <w:rsid w:val="259B3353"/>
    <w:rsid w:val="25A14E0E"/>
    <w:rsid w:val="25C64134"/>
    <w:rsid w:val="26121868"/>
    <w:rsid w:val="26812549"/>
    <w:rsid w:val="26D27249"/>
    <w:rsid w:val="270C1E69"/>
    <w:rsid w:val="271D6716"/>
    <w:rsid w:val="27271343"/>
    <w:rsid w:val="2744545C"/>
    <w:rsid w:val="27750300"/>
    <w:rsid w:val="27DA086F"/>
    <w:rsid w:val="286C6BA3"/>
    <w:rsid w:val="286D0FD7"/>
    <w:rsid w:val="28946B3B"/>
    <w:rsid w:val="28BE0379"/>
    <w:rsid w:val="28ED036A"/>
    <w:rsid w:val="28F416F8"/>
    <w:rsid w:val="294A2B7B"/>
    <w:rsid w:val="29DC0A3C"/>
    <w:rsid w:val="29F01EC0"/>
    <w:rsid w:val="2A1F09F7"/>
    <w:rsid w:val="2A491CFE"/>
    <w:rsid w:val="2A585CB7"/>
    <w:rsid w:val="2A8B7E3A"/>
    <w:rsid w:val="2AAD252D"/>
    <w:rsid w:val="2AC84BEB"/>
    <w:rsid w:val="2AEC1E8B"/>
    <w:rsid w:val="2B0B536D"/>
    <w:rsid w:val="2B147E30"/>
    <w:rsid w:val="2B8C2DFF"/>
    <w:rsid w:val="2B920D55"/>
    <w:rsid w:val="2BC52ED8"/>
    <w:rsid w:val="2C293A4E"/>
    <w:rsid w:val="2C7212B2"/>
    <w:rsid w:val="2CF10822"/>
    <w:rsid w:val="2D1F51E0"/>
    <w:rsid w:val="2D4A7B39"/>
    <w:rsid w:val="2D74105A"/>
    <w:rsid w:val="2DA07759"/>
    <w:rsid w:val="2DE0049D"/>
    <w:rsid w:val="2E0929AB"/>
    <w:rsid w:val="2E6E69EE"/>
    <w:rsid w:val="2E864BA1"/>
    <w:rsid w:val="2EA4771D"/>
    <w:rsid w:val="2F1A59E5"/>
    <w:rsid w:val="2F320885"/>
    <w:rsid w:val="2F3E3B50"/>
    <w:rsid w:val="2F6267AB"/>
    <w:rsid w:val="2F642A08"/>
    <w:rsid w:val="2FBB6ACC"/>
    <w:rsid w:val="301461DC"/>
    <w:rsid w:val="308928A7"/>
    <w:rsid w:val="308E41E1"/>
    <w:rsid w:val="30DC47B7"/>
    <w:rsid w:val="30FA690C"/>
    <w:rsid w:val="312F0409"/>
    <w:rsid w:val="3149291E"/>
    <w:rsid w:val="315E7BB3"/>
    <w:rsid w:val="318C6F4C"/>
    <w:rsid w:val="31B163D9"/>
    <w:rsid w:val="31E14E3B"/>
    <w:rsid w:val="31F43832"/>
    <w:rsid w:val="322B4EB9"/>
    <w:rsid w:val="324059AE"/>
    <w:rsid w:val="327318E0"/>
    <w:rsid w:val="32D700C1"/>
    <w:rsid w:val="32E60ABA"/>
    <w:rsid w:val="33272C01"/>
    <w:rsid w:val="3341553A"/>
    <w:rsid w:val="336F654B"/>
    <w:rsid w:val="341727DA"/>
    <w:rsid w:val="3422536C"/>
    <w:rsid w:val="34442374"/>
    <w:rsid w:val="34A17A33"/>
    <w:rsid w:val="34CB5A03"/>
    <w:rsid w:val="35335914"/>
    <w:rsid w:val="35586B6B"/>
    <w:rsid w:val="356B4AF0"/>
    <w:rsid w:val="357C0AAC"/>
    <w:rsid w:val="357D4786"/>
    <w:rsid w:val="35BC165C"/>
    <w:rsid w:val="35C10BB4"/>
    <w:rsid w:val="362F5B1E"/>
    <w:rsid w:val="364C66D0"/>
    <w:rsid w:val="36AA2B75"/>
    <w:rsid w:val="36BC1539"/>
    <w:rsid w:val="36C721FA"/>
    <w:rsid w:val="36DD1A1E"/>
    <w:rsid w:val="36F87A99"/>
    <w:rsid w:val="37661A13"/>
    <w:rsid w:val="37773C20"/>
    <w:rsid w:val="378E7394"/>
    <w:rsid w:val="379C3687"/>
    <w:rsid w:val="37A442EA"/>
    <w:rsid w:val="37CB536B"/>
    <w:rsid w:val="387B329C"/>
    <w:rsid w:val="38CA1FBC"/>
    <w:rsid w:val="38E54BBA"/>
    <w:rsid w:val="391159AF"/>
    <w:rsid w:val="39180AEB"/>
    <w:rsid w:val="392A616D"/>
    <w:rsid w:val="3936665A"/>
    <w:rsid w:val="3946272A"/>
    <w:rsid w:val="39644A2A"/>
    <w:rsid w:val="399379B2"/>
    <w:rsid w:val="39966F3E"/>
    <w:rsid w:val="39A607ED"/>
    <w:rsid w:val="39AE31FE"/>
    <w:rsid w:val="3A26548A"/>
    <w:rsid w:val="3A976388"/>
    <w:rsid w:val="3AC802EF"/>
    <w:rsid w:val="3BBD03F4"/>
    <w:rsid w:val="3BE15B0C"/>
    <w:rsid w:val="3BFF2C3E"/>
    <w:rsid w:val="3C047A4D"/>
    <w:rsid w:val="3C2B322B"/>
    <w:rsid w:val="3C5F3E57"/>
    <w:rsid w:val="3C931926"/>
    <w:rsid w:val="3D401E19"/>
    <w:rsid w:val="3D683537"/>
    <w:rsid w:val="3DE33F6B"/>
    <w:rsid w:val="3E6B3DB3"/>
    <w:rsid w:val="3F7647BE"/>
    <w:rsid w:val="3FEDC342"/>
    <w:rsid w:val="406C133E"/>
    <w:rsid w:val="40980764"/>
    <w:rsid w:val="40BE01CA"/>
    <w:rsid w:val="40F75247"/>
    <w:rsid w:val="41210759"/>
    <w:rsid w:val="41361918"/>
    <w:rsid w:val="41F93484"/>
    <w:rsid w:val="423F576B"/>
    <w:rsid w:val="427174BE"/>
    <w:rsid w:val="428D254A"/>
    <w:rsid w:val="42AB6E74"/>
    <w:rsid w:val="42F00D2B"/>
    <w:rsid w:val="42F92F33"/>
    <w:rsid w:val="43763B0B"/>
    <w:rsid w:val="43A23DD3"/>
    <w:rsid w:val="43B117D6"/>
    <w:rsid w:val="43B12268"/>
    <w:rsid w:val="43C20EE5"/>
    <w:rsid w:val="444634F5"/>
    <w:rsid w:val="444E5D09"/>
    <w:rsid w:val="44550E45"/>
    <w:rsid w:val="44703ED1"/>
    <w:rsid w:val="4475773A"/>
    <w:rsid w:val="449000D0"/>
    <w:rsid w:val="44BA794A"/>
    <w:rsid w:val="44D426B2"/>
    <w:rsid w:val="45097E82"/>
    <w:rsid w:val="45232CF2"/>
    <w:rsid w:val="45254284"/>
    <w:rsid w:val="45563B4C"/>
    <w:rsid w:val="45CB4971"/>
    <w:rsid w:val="45FE72BB"/>
    <w:rsid w:val="46A41E3A"/>
    <w:rsid w:val="46F96400"/>
    <w:rsid w:val="46FE394B"/>
    <w:rsid w:val="47134FE8"/>
    <w:rsid w:val="4723522B"/>
    <w:rsid w:val="47767A51"/>
    <w:rsid w:val="485E2293"/>
    <w:rsid w:val="48AC6673"/>
    <w:rsid w:val="49A14B2D"/>
    <w:rsid w:val="49C32CF5"/>
    <w:rsid w:val="49E1317B"/>
    <w:rsid w:val="4A2E7CBC"/>
    <w:rsid w:val="4A660114"/>
    <w:rsid w:val="4B107C37"/>
    <w:rsid w:val="4B1F03FF"/>
    <w:rsid w:val="4B35377F"/>
    <w:rsid w:val="4B3A6FE7"/>
    <w:rsid w:val="4BA95F1B"/>
    <w:rsid w:val="4BE64A79"/>
    <w:rsid w:val="4BEC797C"/>
    <w:rsid w:val="4C1A4723"/>
    <w:rsid w:val="4C8207A3"/>
    <w:rsid w:val="4C8F3CB7"/>
    <w:rsid w:val="4CD3324F"/>
    <w:rsid w:val="4CDB2104"/>
    <w:rsid w:val="4CE87A1F"/>
    <w:rsid w:val="4D0B3391"/>
    <w:rsid w:val="4D551EB6"/>
    <w:rsid w:val="4D9C7768"/>
    <w:rsid w:val="4DAE5A6A"/>
    <w:rsid w:val="4DD454D1"/>
    <w:rsid w:val="4DE167DD"/>
    <w:rsid w:val="4DE44FE8"/>
    <w:rsid w:val="4E0905AD"/>
    <w:rsid w:val="4E2468B8"/>
    <w:rsid w:val="4E315298"/>
    <w:rsid w:val="4E6A7BE3"/>
    <w:rsid w:val="4E751761"/>
    <w:rsid w:val="4EAA0E63"/>
    <w:rsid w:val="4EAF109B"/>
    <w:rsid w:val="4EFC0A88"/>
    <w:rsid w:val="4F1A33B7"/>
    <w:rsid w:val="4F1B52F5"/>
    <w:rsid w:val="4F367AC5"/>
    <w:rsid w:val="4F412C02"/>
    <w:rsid w:val="4F4977F9"/>
    <w:rsid w:val="4F7306F5"/>
    <w:rsid w:val="4F7F146C"/>
    <w:rsid w:val="5001466E"/>
    <w:rsid w:val="50642410"/>
    <w:rsid w:val="506A3ECB"/>
    <w:rsid w:val="506A5C79"/>
    <w:rsid w:val="50CC0757"/>
    <w:rsid w:val="50EF3D93"/>
    <w:rsid w:val="513D513B"/>
    <w:rsid w:val="51A647D1"/>
    <w:rsid w:val="52262073"/>
    <w:rsid w:val="523D453F"/>
    <w:rsid w:val="524A3FB4"/>
    <w:rsid w:val="5251113A"/>
    <w:rsid w:val="53370074"/>
    <w:rsid w:val="537E739A"/>
    <w:rsid w:val="538E7ED0"/>
    <w:rsid w:val="53D855EF"/>
    <w:rsid w:val="543C5B7E"/>
    <w:rsid w:val="549F610D"/>
    <w:rsid w:val="54FD0A7F"/>
    <w:rsid w:val="5503254D"/>
    <w:rsid w:val="55967510"/>
    <w:rsid w:val="55E91F5E"/>
    <w:rsid w:val="55F66200"/>
    <w:rsid w:val="55F873F7"/>
    <w:rsid w:val="560B3A5A"/>
    <w:rsid w:val="5672166B"/>
    <w:rsid w:val="56A17F1A"/>
    <w:rsid w:val="56FF2E93"/>
    <w:rsid w:val="570566FB"/>
    <w:rsid w:val="5718669A"/>
    <w:rsid w:val="573174F0"/>
    <w:rsid w:val="573D15CA"/>
    <w:rsid w:val="57476D14"/>
    <w:rsid w:val="575E3FB3"/>
    <w:rsid w:val="57672F12"/>
    <w:rsid w:val="57970874"/>
    <w:rsid w:val="57A31A70"/>
    <w:rsid w:val="57A8352A"/>
    <w:rsid w:val="57CA4760"/>
    <w:rsid w:val="5805272B"/>
    <w:rsid w:val="580764A3"/>
    <w:rsid w:val="58353010"/>
    <w:rsid w:val="58647451"/>
    <w:rsid w:val="588875E4"/>
    <w:rsid w:val="58B26EC7"/>
    <w:rsid w:val="58D77CE7"/>
    <w:rsid w:val="59480B21"/>
    <w:rsid w:val="5963158C"/>
    <w:rsid w:val="59943D66"/>
    <w:rsid w:val="599D12DF"/>
    <w:rsid w:val="59C06909"/>
    <w:rsid w:val="59FB307A"/>
    <w:rsid w:val="5A1629CD"/>
    <w:rsid w:val="5A1B4488"/>
    <w:rsid w:val="5A1E1882"/>
    <w:rsid w:val="5A1F25C7"/>
    <w:rsid w:val="5A4A5AF5"/>
    <w:rsid w:val="5A4B3A12"/>
    <w:rsid w:val="5AA4447D"/>
    <w:rsid w:val="5ABA17E4"/>
    <w:rsid w:val="5ABF613D"/>
    <w:rsid w:val="5AC62DF4"/>
    <w:rsid w:val="5AE12FDB"/>
    <w:rsid w:val="5AFF7905"/>
    <w:rsid w:val="5B060B3A"/>
    <w:rsid w:val="5B8C73EB"/>
    <w:rsid w:val="5B90055D"/>
    <w:rsid w:val="5BCFBEFA"/>
    <w:rsid w:val="5C0276AD"/>
    <w:rsid w:val="5C9B540C"/>
    <w:rsid w:val="5CB36BF9"/>
    <w:rsid w:val="5CCB5CF1"/>
    <w:rsid w:val="5D323FC2"/>
    <w:rsid w:val="5D4B6E32"/>
    <w:rsid w:val="5D956FF3"/>
    <w:rsid w:val="5D9E298B"/>
    <w:rsid w:val="5DA14CA4"/>
    <w:rsid w:val="5DBF5C0A"/>
    <w:rsid w:val="5DF41277"/>
    <w:rsid w:val="5DFE5C52"/>
    <w:rsid w:val="5E2558D5"/>
    <w:rsid w:val="5E5E4943"/>
    <w:rsid w:val="5E604B5F"/>
    <w:rsid w:val="5EC818D1"/>
    <w:rsid w:val="5F593A09"/>
    <w:rsid w:val="5F645F89"/>
    <w:rsid w:val="5FAF875C"/>
    <w:rsid w:val="5FBC0587"/>
    <w:rsid w:val="5FD2383A"/>
    <w:rsid w:val="5FE570CA"/>
    <w:rsid w:val="5FFBDC7B"/>
    <w:rsid w:val="602C4CF9"/>
    <w:rsid w:val="60692C88"/>
    <w:rsid w:val="609C15A0"/>
    <w:rsid w:val="60AD6EA0"/>
    <w:rsid w:val="60C211B9"/>
    <w:rsid w:val="61040DDC"/>
    <w:rsid w:val="612D18A0"/>
    <w:rsid w:val="614B4ACA"/>
    <w:rsid w:val="61A30FEA"/>
    <w:rsid w:val="62231FBA"/>
    <w:rsid w:val="62392FA5"/>
    <w:rsid w:val="624665A5"/>
    <w:rsid w:val="625422E5"/>
    <w:rsid w:val="628C7CD0"/>
    <w:rsid w:val="62BB05B6"/>
    <w:rsid w:val="62BE2E26"/>
    <w:rsid w:val="632D18E1"/>
    <w:rsid w:val="637F5A87"/>
    <w:rsid w:val="63911317"/>
    <w:rsid w:val="63A2248B"/>
    <w:rsid w:val="63C57BFC"/>
    <w:rsid w:val="63D4732D"/>
    <w:rsid w:val="63DF02D4"/>
    <w:rsid w:val="63FD075A"/>
    <w:rsid w:val="64033FC2"/>
    <w:rsid w:val="645446EA"/>
    <w:rsid w:val="645B0956"/>
    <w:rsid w:val="64836EB1"/>
    <w:rsid w:val="64C86FBA"/>
    <w:rsid w:val="64F83738"/>
    <w:rsid w:val="65EF30FE"/>
    <w:rsid w:val="66033642"/>
    <w:rsid w:val="660B3602"/>
    <w:rsid w:val="665C2657"/>
    <w:rsid w:val="66884C53"/>
    <w:rsid w:val="66BD3534"/>
    <w:rsid w:val="67550FD9"/>
    <w:rsid w:val="676463C0"/>
    <w:rsid w:val="6787498A"/>
    <w:rsid w:val="67BF28F6"/>
    <w:rsid w:val="67C82386"/>
    <w:rsid w:val="67CE48E7"/>
    <w:rsid w:val="68467214"/>
    <w:rsid w:val="686F65EC"/>
    <w:rsid w:val="687011B3"/>
    <w:rsid w:val="68755967"/>
    <w:rsid w:val="687922FA"/>
    <w:rsid w:val="687C1304"/>
    <w:rsid w:val="68863282"/>
    <w:rsid w:val="689E250C"/>
    <w:rsid w:val="68A51AEC"/>
    <w:rsid w:val="68B327D3"/>
    <w:rsid w:val="690F51B7"/>
    <w:rsid w:val="6948013B"/>
    <w:rsid w:val="694D7B54"/>
    <w:rsid w:val="696E39D9"/>
    <w:rsid w:val="697257F6"/>
    <w:rsid w:val="69D106BF"/>
    <w:rsid w:val="69D56401"/>
    <w:rsid w:val="69E331D0"/>
    <w:rsid w:val="6A0171F6"/>
    <w:rsid w:val="6A7774B8"/>
    <w:rsid w:val="6ABD413D"/>
    <w:rsid w:val="6ADE3093"/>
    <w:rsid w:val="6AF40B09"/>
    <w:rsid w:val="6AFFCE1C"/>
    <w:rsid w:val="6B1C3BBC"/>
    <w:rsid w:val="6B234F4A"/>
    <w:rsid w:val="6B791801"/>
    <w:rsid w:val="6B99750F"/>
    <w:rsid w:val="6BAE0CB8"/>
    <w:rsid w:val="6C4909E0"/>
    <w:rsid w:val="6C7353BC"/>
    <w:rsid w:val="6CBE5332"/>
    <w:rsid w:val="6CCF5389"/>
    <w:rsid w:val="6CE34991"/>
    <w:rsid w:val="6D2D20B0"/>
    <w:rsid w:val="6D633D24"/>
    <w:rsid w:val="6D7442E5"/>
    <w:rsid w:val="6E0258B9"/>
    <w:rsid w:val="6E22598D"/>
    <w:rsid w:val="6E9D582D"/>
    <w:rsid w:val="6ED07197"/>
    <w:rsid w:val="6EDF5173"/>
    <w:rsid w:val="6EF015E7"/>
    <w:rsid w:val="6EF47DBD"/>
    <w:rsid w:val="6EFB3F03"/>
    <w:rsid w:val="6F060E0B"/>
    <w:rsid w:val="6F503DBF"/>
    <w:rsid w:val="6F616041"/>
    <w:rsid w:val="6F685621"/>
    <w:rsid w:val="6F927E36"/>
    <w:rsid w:val="6F99623C"/>
    <w:rsid w:val="6FB940CF"/>
    <w:rsid w:val="6FEF7AF1"/>
    <w:rsid w:val="6FF70753"/>
    <w:rsid w:val="6FFE5F86"/>
    <w:rsid w:val="700B573B"/>
    <w:rsid w:val="7060609A"/>
    <w:rsid w:val="707B3132"/>
    <w:rsid w:val="70A8705E"/>
    <w:rsid w:val="70B14278"/>
    <w:rsid w:val="70BC0AB7"/>
    <w:rsid w:val="711F7F62"/>
    <w:rsid w:val="7121017E"/>
    <w:rsid w:val="718F50E7"/>
    <w:rsid w:val="722D66AE"/>
    <w:rsid w:val="7271448E"/>
    <w:rsid w:val="72A414C0"/>
    <w:rsid w:val="72AF5EFB"/>
    <w:rsid w:val="72B0293D"/>
    <w:rsid w:val="72BA1C74"/>
    <w:rsid w:val="73607BE6"/>
    <w:rsid w:val="736B2CCA"/>
    <w:rsid w:val="73972979"/>
    <w:rsid w:val="73D019E7"/>
    <w:rsid w:val="73F43B4B"/>
    <w:rsid w:val="74081181"/>
    <w:rsid w:val="7417146C"/>
    <w:rsid w:val="74253AE1"/>
    <w:rsid w:val="7429582C"/>
    <w:rsid w:val="74850A24"/>
    <w:rsid w:val="750202C6"/>
    <w:rsid w:val="752972CF"/>
    <w:rsid w:val="75565D41"/>
    <w:rsid w:val="75644ADD"/>
    <w:rsid w:val="765E777E"/>
    <w:rsid w:val="76961786"/>
    <w:rsid w:val="76AF247D"/>
    <w:rsid w:val="76CE656D"/>
    <w:rsid w:val="76D661A1"/>
    <w:rsid w:val="772F0D4F"/>
    <w:rsid w:val="77768EA8"/>
    <w:rsid w:val="777C7EBC"/>
    <w:rsid w:val="777F7DA9"/>
    <w:rsid w:val="77C35AEB"/>
    <w:rsid w:val="77DFFAD1"/>
    <w:rsid w:val="77E617D9"/>
    <w:rsid w:val="77FA6202"/>
    <w:rsid w:val="78144598"/>
    <w:rsid w:val="783C3AEF"/>
    <w:rsid w:val="78564BB1"/>
    <w:rsid w:val="78852686"/>
    <w:rsid w:val="78882890"/>
    <w:rsid w:val="79202AC9"/>
    <w:rsid w:val="794B6EF7"/>
    <w:rsid w:val="797D616D"/>
    <w:rsid w:val="79EE4DDF"/>
    <w:rsid w:val="7AA339B1"/>
    <w:rsid w:val="7AB91427"/>
    <w:rsid w:val="7ACF310D"/>
    <w:rsid w:val="7ADF33E3"/>
    <w:rsid w:val="7AFF32B2"/>
    <w:rsid w:val="7B334D35"/>
    <w:rsid w:val="7B7D4202"/>
    <w:rsid w:val="7BAE07F2"/>
    <w:rsid w:val="7BB7BBBD"/>
    <w:rsid w:val="7C1F175E"/>
    <w:rsid w:val="7CB023B6"/>
    <w:rsid w:val="7CBB3234"/>
    <w:rsid w:val="7D060228"/>
    <w:rsid w:val="7D2376F2"/>
    <w:rsid w:val="7D337C89"/>
    <w:rsid w:val="7D4C6582"/>
    <w:rsid w:val="7D8A0E59"/>
    <w:rsid w:val="7DB80DA2"/>
    <w:rsid w:val="7DBF4FA6"/>
    <w:rsid w:val="7DC83905"/>
    <w:rsid w:val="7DD5FE74"/>
    <w:rsid w:val="7DFF880D"/>
    <w:rsid w:val="7E353C4D"/>
    <w:rsid w:val="7E4454AB"/>
    <w:rsid w:val="7EEC1DCB"/>
    <w:rsid w:val="7F3217A8"/>
    <w:rsid w:val="7F3D2627"/>
    <w:rsid w:val="7F583CA8"/>
    <w:rsid w:val="7F5F6901"/>
    <w:rsid w:val="7F681A51"/>
    <w:rsid w:val="7F6A7194"/>
    <w:rsid w:val="7FB7CC7B"/>
    <w:rsid w:val="7FBF303C"/>
    <w:rsid w:val="7FCF6FF7"/>
    <w:rsid w:val="7FF7C71E"/>
    <w:rsid w:val="7FFFC4A7"/>
    <w:rsid w:val="89DFBF2A"/>
    <w:rsid w:val="93F54DDD"/>
    <w:rsid w:val="9EFF0B64"/>
    <w:rsid w:val="9FDD4387"/>
    <w:rsid w:val="9FEB8BD9"/>
    <w:rsid w:val="AFAAE5FF"/>
    <w:rsid w:val="BEAF8244"/>
    <w:rsid w:val="BF3F8CAF"/>
    <w:rsid w:val="C7DE3745"/>
    <w:rsid w:val="DCCB93E2"/>
    <w:rsid w:val="DF7B59C2"/>
    <w:rsid w:val="E1FBF14B"/>
    <w:rsid w:val="E7DF81EB"/>
    <w:rsid w:val="EBEC75FB"/>
    <w:rsid w:val="EDCBA2CB"/>
    <w:rsid w:val="EFE66E24"/>
    <w:rsid w:val="F5FF7A82"/>
    <w:rsid w:val="F7FB9123"/>
    <w:rsid w:val="F9BAB811"/>
    <w:rsid w:val="FB3E5588"/>
    <w:rsid w:val="FDFBEED4"/>
    <w:rsid w:val="FE3F2846"/>
    <w:rsid w:val="FE7C0A7E"/>
    <w:rsid w:val="FE7F936E"/>
    <w:rsid w:val="FEFC161E"/>
    <w:rsid w:val="FFD795B5"/>
    <w:rsid w:val="FFFF74D6"/>
    <w:rsid w:val="FFFFC9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qFormat="1" w:uiPriority="39" w:semiHidden="0"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qFormat/>
    <w:uiPriority w:val="9"/>
    <w:pPr>
      <w:keepNext/>
      <w:keepLines/>
      <w:autoSpaceDE w:val="0"/>
      <w:autoSpaceDN w:val="0"/>
      <w:adjustRightInd w:val="0"/>
      <w:spacing w:before="360" w:after="120"/>
      <w:jc w:val="left"/>
      <w:outlineLvl w:val="2"/>
    </w:pPr>
    <w:rPr>
      <w:rFonts w:ascii="宋体"/>
      <w:b/>
      <w:szCs w:val="20"/>
      <w:u w:val="single"/>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rFonts w:ascii="Times New Roman" w:hAnsi="Times New Roman" w:eastAsia="宋体" w:cs="Times New Roman"/>
      <w:szCs w:val="21"/>
    </w:rPr>
  </w:style>
  <w:style w:type="paragraph" w:styleId="6">
    <w:name w:val="toc 7"/>
    <w:basedOn w:val="1"/>
    <w:next w:val="1"/>
    <w:unhideWhenUsed/>
    <w:qFormat/>
    <w:uiPriority w:val="39"/>
    <w:pPr>
      <w:ind w:left="1260"/>
      <w:jc w:val="left"/>
    </w:pPr>
    <w:rPr>
      <w:rFonts w:ascii="Times New Roman" w:hAnsi="Times New Roman"/>
      <w:sz w:val="18"/>
      <w:szCs w:val="18"/>
    </w:rPr>
  </w:style>
  <w:style w:type="paragraph" w:styleId="7">
    <w:name w:val="Document Map"/>
    <w:basedOn w:val="1"/>
    <w:link w:val="41"/>
    <w:unhideWhenUsed/>
    <w:qFormat/>
    <w:uiPriority w:val="99"/>
    <w:rPr>
      <w:rFonts w:ascii="宋体"/>
      <w:sz w:val="18"/>
      <w:szCs w:val="18"/>
    </w:rPr>
  </w:style>
  <w:style w:type="paragraph" w:styleId="8">
    <w:name w:val="annotation text"/>
    <w:basedOn w:val="1"/>
    <w:link w:val="42"/>
    <w:unhideWhenUsed/>
    <w:qFormat/>
    <w:uiPriority w:val="99"/>
    <w:pPr>
      <w:jc w:val="left"/>
    </w:pPr>
  </w:style>
  <w:style w:type="paragraph" w:styleId="9">
    <w:name w:val="Body Text"/>
    <w:basedOn w:val="1"/>
    <w:next w:val="10"/>
    <w:link w:val="33"/>
    <w:qFormat/>
    <w:uiPriority w:val="99"/>
    <w:pPr>
      <w:spacing w:after="120"/>
    </w:pPr>
  </w:style>
  <w:style w:type="paragraph" w:styleId="10">
    <w:name w:val="toc 2"/>
    <w:basedOn w:val="1"/>
    <w:next w:val="1"/>
    <w:qFormat/>
    <w:uiPriority w:val="39"/>
    <w:pPr>
      <w:ind w:left="210"/>
      <w:jc w:val="left"/>
    </w:pPr>
    <w:rPr>
      <w:smallCaps/>
      <w:sz w:val="20"/>
      <w:szCs w:val="20"/>
    </w:rPr>
  </w:style>
  <w:style w:type="paragraph" w:styleId="11">
    <w:name w:val="Body Text Indent"/>
    <w:basedOn w:val="1"/>
    <w:next w:val="12"/>
    <w:qFormat/>
    <w:uiPriority w:val="0"/>
    <w:pPr>
      <w:spacing w:after="120"/>
      <w:ind w:left="420"/>
    </w:pPr>
    <w:rPr>
      <w:rFonts w:ascii="Calibri" w:hAnsi="Calibri"/>
    </w:rPr>
  </w:style>
  <w:style w:type="paragraph" w:styleId="12">
    <w:name w:val="envelope return"/>
    <w:basedOn w:val="1"/>
    <w:next w:val="6"/>
    <w:qFormat/>
    <w:uiPriority w:val="0"/>
  </w:style>
  <w:style w:type="paragraph" w:styleId="13">
    <w:name w:val="index 4"/>
    <w:basedOn w:val="1"/>
    <w:next w:val="1"/>
    <w:unhideWhenUsed/>
    <w:qFormat/>
    <w:uiPriority w:val="99"/>
    <w:pPr>
      <w:ind w:firstLineChars="200"/>
    </w:pPr>
  </w:style>
  <w:style w:type="paragraph" w:styleId="14">
    <w:name w:val="Plain Text"/>
    <w:basedOn w:val="1"/>
    <w:qFormat/>
    <w:uiPriority w:val="99"/>
    <w:rPr>
      <w:rFonts w:ascii="宋体" w:hAnsi="Courier New"/>
      <w:szCs w:val="21"/>
    </w:rPr>
  </w:style>
  <w:style w:type="paragraph" w:styleId="15">
    <w:name w:val="Body Text Indent 2"/>
    <w:basedOn w:val="1"/>
    <w:qFormat/>
    <w:uiPriority w:val="0"/>
    <w:pPr>
      <w:spacing w:after="120" w:line="480" w:lineRule="auto"/>
      <w:ind w:left="420" w:leftChars="200"/>
    </w:pPr>
  </w:style>
  <w:style w:type="paragraph" w:styleId="16">
    <w:name w:val="Balloon Text"/>
    <w:basedOn w:val="1"/>
    <w:link w:val="40"/>
    <w:semiHidden/>
    <w:unhideWhenUsed/>
    <w:qFormat/>
    <w:uiPriority w:val="99"/>
    <w:rPr>
      <w:sz w:val="18"/>
      <w:szCs w:val="18"/>
    </w:rPr>
  </w:style>
  <w:style w:type="paragraph" w:styleId="17">
    <w:name w:val="footer"/>
    <w:basedOn w:val="1"/>
    <w:link w:val="39"/>
    <w:unhideWhenUsed/>
    <w:qFormat/>
    <w:uiPriority w:val="99"/>
    <w:pPr>
      <w:tabs>
        <w:tab w:val="center" w:pos="4153"/>
        <w:tab w:val="right" w:pos="8306"/>
      </w:tabs>
      <w:snapToGrid w:val="0"/>
      <w:jc w:val="left"/>
    </w:pPr>
    <w:rPr>
      <w:sz w:val="18"/>
      <w:szCs w:val="18"/>
    </w:rPr>
  </w:style>
  <w:style w:type="paragraph" w:styleId="18">
    <w:name w:val="header"/>
    <w:basedOn w:val="1"/>
    <w:link w:val="38"/>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List"/>
    <w:basedOn w:val="1"/>
    <w:next w:val="1"/>
    <w:qFormat/>
    <w:uiPriority w:val="0"/>
    <w:pPr>
      <w:ind w:left="420" w:hanging="420"/>
    </w:pPr>
    <w:rPr>
      <w:rFonts w:ascii="Arial" w:hAnsi="Arial" w:eastAsia="楷体_GB2312"/>
      <w:sz w:val="28"/>
    </w:rPr>
  </w:style>
  <w:style w:type="paragraph" w:styleId="20">
    <w:name w:val="Body Text Indent 3"/>
    <w:basedOn w:val="1"/>
    <w:link w:val="34"/>
    <w:qFormat/>
    <w:uiPriority w:val="99"/>
    <w:pPr>
      <w:ind w:left="645" w:firstLine="645"/>
    </w:pPr>
    <w:rPr>
      <w:rFonts w:ascii="Arial" w:hAnsi="Arial" w:eastAsia="仿宋_GB2312"/>
      <w:color w:val="FFFF00"/>
      <w:sz w:val="32"/>
      <w:szCs w:val="20"/>
    </w:rPr>
  </w:style>
  <w:style w:type="paragraph" w:styleId="21">
    <w:name w:val="Normal (Web)"/>
    <w:basedOn w:val="1"/>
    <w:qFormat/>
    <w:uiPriority w:val="99"/>
    <w:pPr>
      <w:spacing w:before="150" w:after="150" w:line="480" w:lineRule="auto"/>
      <w:jc w:val="left"/>
    </w:pPr>
    <w:rPr>
      <w:rFonts w:hint="eastAsia" w:ascii="宋体" w:hAnsi="宋体"/>
      <w:color w:val="000000"/>
    </w:rPr>
  </w:style>
  <w:style w:type="paragraph" w:styleId="22">
    <w:name w:val="annotation subject"/>
    <w:basedOn w:val="8"/>
    <w:next w:val="8"/>
    <w:link w:val="43"/>
    <w:semiHidden/>
    <w:unhideWhenUsed/>
    <w:qFormat/>
    <w:uiPriority w:val="99"/>
    <w:rPr>
      <w:b/>
      <w:bCs/>
    </w:rPr>
  </w:style>
  <w:style w:type="paragraph" w:styleId="23">
    <w:name w:val="Body Text First Indent"/>
    <w:basedOn w:val="9"/>
    <w:qFormat/>
    <w:uiPriority w:val="0"/>
    <w:pPr>
      <w:spacing w:line="360" w:lineRule="auto"/>
      <w:ind w:firstLine="200" w:firstLineChars="200"/>
    </w:pPr>
    <w:rPr>
      <w:rFonts w:ascii="仿宋_GB2312" w:hAnsi="Arial" w:eastAsia="仿宋_GB2312"/>
      <w:sz w:val="30"/>
      <w:szCs w:val="30"/>
    </w:rPr>
  </w:style>
  <w:style w:type="paragraph" w:styleId="24">
    <w:name w:val="Body Text First Indent 2"/>
    <w:basedOn w:val="11"/>
    <w:next w:val="19"/>
    <w:qFormat/>
    <w:uiPriority w:val="0"/>
    <w:pPr>
      <w:spacing w:after="0" w:line="360" w:lineRule="auto"/>
      <w:ind w:left="0" w:firstLine="420"/>
    </w:pPr>
    <w:rPr>
      <w:rFonts w:ascii="宋体" w:hAnsi="宋体"/>
      <w:sz w:val="20"/>
      <w:szCs w:val="20"/>
    </w:rPr>
  </w:style>
  <w:style w:type="table" w:styleId="26">
    <w:name w:val="Table Grid"/>
    <w:basedOn w:val="2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Hyperlink"/>
    <w:qFormat/>
    <w:uiPriority w:val="99"/>
    <w:rPr>
      <w:rFonts w:cs="Times New Roman"/>
      <w:color w:val="336699"/>
      <w:sz w:val="18"/>
      <w:u w:val="none"/>
    </w:rPr>
  </w:style>
  <w:style w:type="character" w:styleId="29">
    <w:name w:val="annotation reference"/>
    <w:basedOn w:val="27"/>
    <w:semiHidden/>
    <w:unhideWhenUsed/>
    <w:qFormat/>
    <w:uiPriority w:val="99"/>
    <w:rPr>
      <w:sz w:val="21"/>
      <w:szCs w:val="21"/>
    </w:rPr>
  </w:style>
  <w:style w:type="paragraph" w:customStyle="1" w:styleId="30">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31">
    <w:name w:val="正文文本 Char"/>
    <w:basedOn w:val="27"/>
    <w:semiHidden/>
    <w:qFormat/>
    <w:uiPriority w:val="99"/>
    <w:rPr>
      <w:rFonts w:ascii="Times New Roman" w:hAnsi="Times New Roman" w:eastAsia="宋体" w:cs="Times New Roman"/>
      <w:kern w:val="0"/>
      <w:sz w:val="24"/>
      <w:szCs w:val="24"/>
    </w:rPr>
  </w:style>
  <w:style w:type="character" w:customStyle="1" w:styleId="32">
    <w:name w:val="正文文本缩进 3 Char"/>
    <w:basedOn w:val="27"/>
    <w:semiHidden/>
    <w:qFormat/>
    <w:uiPriority w:val="99"/>
    <w:rPr>
      <w:rFonts w:ascii="Times New Roman" w:hAnsi="Times New Roman" w:eastAsia="宋体" w:cs="Times New Roman"/>
      <w:kern w:val="0"/>
      <w:sz w:val="16"/>
      <w:szCs w:val="16"/>
    </w:rPr>
  </w:style>
  <w:style w:type="character" w:customStyle="1" w:styleId="33">
    <w:name w:val="正文文本 Char1"/>
    <w:link w:val="9"/>
    <w:qFormat/>
    <w:locked/>
    <w:uiPriority w:val="99"/>
    <w:rPr>
      <w:rFonts w:ascii="Times New Roman" w:hAnsi="Times New Roman" w:eastAsia="宋体" w:cs="Times New Roman"/>
      <w:kern w:val="0"/>
      <w:sz w:val="24"/>
      <w:szCs w:val="24"/>
    </w:rPr>
  </w:style>
  <w:style w:type="character" w:customStyle="1" w:styleId="34">
    <w:name w:val="正文文本缩进 3 Char1"/>
    <w:link w:val="20"/>
    <w:qFormat/>
    <w:locked/>
    <w:uiPriority w:val="99"/>
    <w:rPr>
      <w:rFonts w:ascii="Arial" w:hAnsi="Arial" w:eastAsia="仿宋_GB2312" w:cs="Times New Roman"/>
      <w:color w:val="FFFF00"/>
      <w:kern w:val="0"/>
      <w:sz w:val="32"/>
      <w:szCs w:val="20"/>
    </w:rPr>
  </w:style>
  <w:style w:type="paragraph" w:customStyle="1" w:styleId="35">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36">
    <w:name w:val="WPS Plain"/>
    <w:qFormat/>
    <w:uiPriority w:val="0"/>
    <w:rPr>
      <w:rFonts w:ascii="Times New Roman" w:hAnsi="Times New Roman" w:eastAsia="宋体" w:cs="Times New Roman"/>
      <w:lang w:val="en-US" w:eastAsia="zh-CN" w:bidi="ar-SA"/>
    </w:rPr>
  </w:style>
  <w:style w:type="paragraph" w:styleId="37">
    <w:name w:val="List Paragraph"/>
    <w:basedOn w:val="1"/>
    <w:qFormat/>
    <w:uiPriority w:val="34"/>
    <w:pPr>
      <w:ind w:firstLine="420" w:firstLineChars="200"/>
    </w:pPr>
    <w:rPr>
      <w:rFonts w:eastAsia="Times New Roman"/>
    </w:rPr>
  </w:style>
  <w:style w:type="character" w:customStyle="1" w:styleId="38">
    <w:name w:val="页眉 Char"/>
    <w:basedOn w:val="27"/>
    <w:link w:val="18"/>
    <w:qFormat/>
    <w:uiPriority w:val="99"/>
    <w:rPr>
      <w:rFonts w:ascii="Times New Roman" w:hAnsi="Times New Roman" w:eastAsia="宋体" w:cs="Times New Roman"/>
      <w:sz w:val="18"/>
      <w:szCs w:val="18"/>
    </w:rPr>
  </w:style>
  <w:style w:type="character" w:customStyle="1" w:styleId="39">
    <w:name w:val="页脚 Char"/>
    <w:basedOn w:val="27"/>
    <w:link w:val="17"/>
    <w:qFormat/>
    <w:uiPriority w:val="99"/>
    <w:rPr>
      <w:rFonts w:ascii="Times New Roman" w:hAnsi="Times New Roman" w:eastAsia="宋体" w:cs="Times New Roman"/>
      <w:sz w:val="18"/>
      <w:szCs w:val="18"/>
    </w:rPr>
  </w:style>
  <w:style w:type="character" w:customStyle="1" w:styleId="40">
    <w:name w:val="批注框文本 Char"/>
    <w:basedOn w:val="27"/>
    <w:link w:val="16"/>
    <w:semiHidden/>
    <w:qFormat/>
    <w:uiPriority w:val="99"/>
    <w:rPr>
      <w:rFonts w:ascii="Times New Roman" w:hAnsi="Times New Roman" w:eastAsia="宋体" w:cs="Times New Roman"/>
      <w:sz w:val="18"/>
      <w:szCs w:val="18"/>
    </w:rPr>
  </w:style>
  <w:style w:type="character" w:customStyle="1" w:styleId="41">
    <w:name w:val="文档结构图 Char"/>
    <w:basedOn w:val="27"/>
    <w:link w:val="7"/>
    <w:qFormat/>
    <w:uiPriority w:val="99"/>
    <w:rPr>
      <w:rFonts w:ascii="宋体" w:hAnsi="Times New Roman" w:eastAsia="宋体" w:cs="Times New Roman"/>
      <w:sz w:val="18"/>
      <w:szCs w:val="18"/>
    </w:rPr>
  </w:style>
  <w:style w:type="character" w:customStyle="1" w:styleId="42">
    <w:name w:val="批注文字 Char"/>
    <w:basedOn w:val="27"/>
    <w:link w:val="8"/>
    <w:qFormat/>
    <w:uiPriority w:val="99"/>
    <w:rPr>
      <w:rFonts w:ascii="Times New Roman" w:hAnsi="Times New Roman" w:eastAsia="宋体" w:cs="Times New Roman"/>
      <w:sz w:val="24"/>
      <w:szCs w:val="24"/>
    </w:rPr>
  </w:style>
  <w:style w:type="character" w:customStyle="1" w:styleId="43">
    <w:name w:val="批注主题 Char"/>
    <w:basedOn w:val="42"/>
    <w:link w:val="22"/>
    <w:semiHidden/>
    <w:qFormat/>
    <w:uiPriority w:val="99"/>
    <w:rPr>
      <w:rFonts w:ascii="Times New Roman" w:hAnsi="Times New Roman" w:eastAsia="宋体" w:cs="Times New Roman"/>
      <w:b/>
      <w:bCs/>
      <w:sz w:val="24"/>
      <w:szCs w:val="24"/>
    </w:rPr>
  </w:style>
  <w:style w:type="paragraph" w:customStyle="1" w:styleId="44">
    <w:name w:val="正文首行缩进2字符"/>
    <w:basedOn w:val="1"/>
    <w:qFormat/>
    <w:uiPriority w:val="0"/>
    <w:pPr>
      <w:ind w:firstLine="482"/>
    </w:pPr>
  </w:style>
  <w:style w:type="character" w:customStyle="1" w:styleId="45">
    <w:name w:val="current"/>
    <w:basedOn w:val="27"/>
    <w:qFormat/>
    <w:uiPriority w:val="0"/>
    <w:rPr>
      <w:b/>
      <w:bCs/>
      <w:color w:val="05A7D8"/>
      <w:sz w:val="18"/>
      <w:szCs w:val="18"/>
    </w:rPr>
  </w:style>
  <w:style w:type="character" w:customStyle="1" w:styleId="46">
    <w:name w:val="l-btn-left"/>
    <w:basedOn w:val="27"/>
    <w:qFormat/>
    <w:uiPriority w:val="0"/>
  </w:style>
  <w:style w:type="character" w:customStyle="1" w:styleId="47">
    <w:name w:val="l-btn-text36"/>
    <w:basedOn w:val="27"/>
    <w:qFormat/>
    <w:uiPriority w:val="0"/>
  </w:style>
  <w:style w:type="character" w:customStyle="1" w:styleId="48">
    <w:name w:val="l-btn-text"/>
    <w:basedOn w:val="27"/>
    <w:qFormat/>
    <w:uiPriority w:val="0"/>
  </w:style>
  <w:style w:type="character" w:customStyle="1" w:styleId="49">
    <w:name w:val="grame"/>
    <w:basedOn w:val="27"/>
    <w:qFormat/>
    <w:uiPriority w:val="0"/>
  </w:style>
  <w:style w:type="paragraph" w:customStyle="1" w:styleId="50">
    <w:name w:val="标准文本"/>
    <w:basedOn w:val="1"/>
    <w:qFormat/>
    <w:uiPriority w:val="0"/>
    <w:pPr>
      <w:spacing w:line="360" w:lineRule="auto"/>
      <w:ind w:firstLine="480" w:firstLineChars="200"/>
    </w:pPr>
    <w:rPr>
      <w:rFonts w:cs="宋体"/>
      <w:szCs w:val="20"/>
    </w:rPr>
  </w:style>
  <w:style w:type="paragraph" w:customStyle="1" w:styleId="51">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52">
    <w:name w:val="Table Paragraph"/>
    <w:basedOn w:val="1"/>
    <w:qFormat/>
    <w:uiPriority w:val="99"/>
  </w:style>
  <w:style w:type="paragraph" w:customStyle="1" w:styleId="53">
    <w:name w:val="普通正文"/>
    <w:basedOn w:val="1"/>
    <w:qFormat/>
    <w:uiPriority w:val="0"/>
    <w:pPr>
      <w:adjustRightInd w:val="0"/>
      <w:spacing w:line="360" w:lineRule="auto"/>
      <w:ind w:firstLine="480"/>
      <w:jc w:val="left"/>
    </w:pPr>
    <w:rPr>
      <w:rFonts w:ascii="Arial" w:hAnsi="Arial"/>
      <w:kern w:val="0"/>
      <w:sz w:val="24"/>
    </w:rPr>
  </w:style>
  <w:style w:type="paragraph" w:customStyle="1" w:styleId="54">
    <w:name w:val="正文缩进11"/>
    <w:basedOn w:val="1"/>
    <w:qFormat/>
    <w:uiPriority w:val="99"/>
    <w:rPr>
      <w:sz w:val="20"/>
      <w:szCs w:val="20"/>
    </w:rPr>
  </w:style>
  <w:style w:type="paragraph" w:customStyle="1" w:styleId="55">
    <w:name w:val="1.1.1.1"/>
    <w:qFormat/>
    <w:uiPriority w:val="0"/>
    <w:pPr>
      <w:keepLines/>
      <w:spacing w:line="520" w:lineRule="exact"/>
      <w:ind w:firstLine="200"/>
      <w:outlineLvl w:val="3"/>
    </w:pPr>
    <w:rPr>
      <w:rFonts w:ascii="Times New Roman" w:hAnsi="Times New Roman" w:eastAsia="方正仿宋_GBK" w:cs="Times New Roman"/>
      <w:b/>
      <w:sz w:val="24"/>
      <w:szCs w:val="22"/>
      <w:lang w:val="en-US" w:eastAsia="zh-CN" w:bidi="ar-SA"/>
    </w:rPr>
  </w:style>
  <w:style w:type="paragraph" w:customStyle="1" w:styleId="56">
    <w:name w:val="仿宋GBK正文"/>
    <w:basedOn w:val="1"/>
    <w:qFormat/>
    <w:uiPriority w:val="0"/>
  </w:style>
  <w:style w:type="paragraph" w:customStyle="1" w:styleId="57">
    <w:name w:val="WPSOffice手动目录 1"/>
    <w:qFormat/>
    <w:uiPriority w:val="0"/>
    <w:pPr>
      <w:ind w:leftChars="0"/>
    </w:pPr>
    <w:rPr>
      <w:rFonts w:ascii="Times New Roman" w:hAnsi="Times New Roman" w:eastAsia="宋体" w:cs="Times New Roman"/>
      <w:sz w:val="20"/>
      <w:szCs w:val="20"/>
    </w:rPr>
  </w:style>
  <w:style w:type="paragraph" w:customStyle="1" w:styleId="58">
    <w:name w:val="WPSOffice手动目录 2"/>
    <w:qFormat/>
    <w:uiPriority w:val="0"/>
    <w:pPr>
      <w:ind w:leftChars="200"/>
    </w:pPr>
    <w:rPr>
      <w:rFonts w:ascii="Times New Roman" w:hAnsi="Times New Roman" w:eastAsia="宋体" w:cs="Times New Roman"/>
      <w:sz w:val="20"/>
      <w:szCs w:val="20"/>
    </w:rPr>
  </w:style>
  <w:style w:type="paragraph" w:customStyle="1" w:styleId="59">
    <w:name w:val="正文1"/>
    <w:basedOn w:val="1"/>
    <w:qFormat/>
    <w:uiPriority w:val="0"/>
    <w:pPr>
      <w:ind w:firstLine="425"/>
    </w:pPr>
    <w:rPr>
      <w:rFonts w:ascii="Calibri" w:hAnsi="Calibri" w:eastAsia="宋体" w:cs="Times New Roman"/>
      <w:szCs w:val="20"/>
    </w:rPr>
  </w:style>
  <w:style w:type="paragraph" w:customStyle="1" w:styleId="60">
    <w:name w:val="列出段落2"/>
    <w:basedOn w:val="1"/>
    <w:qFormat/>
    <w:uiPriority w:val="99"/>
    <w:pPr>
      <w:spacing w:line="360" w:lineRule="auto"/>
      <w:ind w:firstLine="420" w:firstLineChars="200"/>
    </w:pPr>
    <w:rPr>
      <w:rFonts w:ascii="Calibri" w:hAnsi="Calibri" w:cs="Calibri"/>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40</Pages>
  <Words>18629</Words>
  <Characters>20151</Characters>
  <Lines>241</Lines>
  <Paragraphs>67</Paragraphs>
  <TotalTime>0</TotalTime>
  <ScaleCrop>false</ScaleCrop>
  <LinksUpToDate>false</LinksUpToDate>
  <CharactersWithSpaces>23053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2022-12-28T15:08:00Z</dcterms:created>
  <dc:creator>阙美霞</dc:creator>
  <cp:lastModifiedBy>朱宁</cp:lastModifiedBy>
  <cp:lastPrinted>2024-05-31T10:28:00Z</cp:lastPrinted>
  <dcterms:modified xsi:type="dcterms:W3CDTF">2024-07-10T09:59:13Z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ABD5B0612BF64A8DBECA346032BCC1B3_13</vt:lpwstr>
  </property>
</Properties>
</file>