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2"/>
        <w:ind w:firstLine="300"/>
        <w:spacing w:line="360" w:lineRule="auto"/>
        <w:rPr>
          <w:rFonts w:ascii="宋体" w:hAnsi="宋体"/>
          <w:sz w:val="60"/>
          <w:szCs w:val="60"/>
        </w:rPr>
      </w:pPr>
      <w:r>
        <w:rPr>
          <w:rFonts w:ascii="宋体" w:hAnsi="宋体"/>
          <w:sz w:val="60"/>
          <w:szCs w:val="60"/>
        </w:rPr>
      </w:r>
      <w:r/>
    </w:p>
    <w:p>
      <w:pPr>
        <w:pStyle w:val="1072"/>
        <w:jc w:val="center"/>
        <w:rPr>
          <w:rFonts w:ascii="宋体" w:hAnsi="宋体"/>
          <w:b/>
          <w:bCs/>
          <w:sz w:val="60"/>
          <w:szCs w:val="60"/>
        </w:rPr>
      </w:pPr>
      <w:r>
        <w:rPr>
          <w:rFonts w:ascii="宋体" w:hAnsi="宋体"/>
          <w:b/>
          <w:bCs/>
          <w:sz w:val="60"/>
          <w:szCs w:val="60"/>
        </w:rPr>
        <w:t xml:space="preserve">常州市政府采购项目</w:t>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spacing w:line="360" w:lineRule="auto"/>
        <w:rPr>
          <w:rFonts w:ascii="宋体" w:hAnsi="宋体"/>
          <w:sz w:val="60"/>
          <w:szCs w:val="60"/>
        </w:rPr>
      </w:pPr>
      <w:r>
        <w:rPr>
          <w:rFonts w:ascii="宋体" w:hAnsi="宋体"/>
          <w:sz w:val="60"/>
          <w:szCs w:val="60"/>
        </w:rPr>
      </w:r>
      <w:r/>
    </w:p>
    <w:p>
      <w:pPr>
        <w:pStyle w:val="1072"/>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常州市公安局监所管理支队食堂大米采购项目</w:t>
      </w:r>
      <w:r>
        <w:rPr>
          <w:rFonts w:ascii="宋体" w:hAnsi="宋体"/>
          <w:bCs/>
          <w:sz w:val="36"/>
          <w:szCs w:val="36"/>
        </w:rPr>
      </w:r>
      <w:r/>
    </w:p>
    <w:p>
      <w:pPr>
        <w:pStyle w:val="1072"/>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JSZC-320400-CTZB-G2024-0163</w:t>
      </w:r>
      <w:r>
        <w:rPr>
          <w:rFonts w:ascii="宋体" w:hAnsi="宋体"/>
          <w:bCs/>
          <w:sz w:val="36"/>
          <w:szCs w:val="36"/>
        </w:rPr>
      </w:r>
      <w:r/>
    </w:p>
    <w:p>
      <w:pPr>
        <w:pStyle w:val="1072"/>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常州市公安局监所管理支队</w:t>
      </w:r>
      <w:r>
        <w:rPr>
          <w:rFonts w:ascii="宋体" w:hAnsi="宋体"/>
          <w:bCs/>
          <w:sz w:val="36"/>
          <w:szCs w:val="36"/>
        </w:rPr>
      </w:r>
      <w:r/>
    </w:p>
    <w:p>
      <w:pPr>
        <w:pStyle w:val="1072"/>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r>
      <w:r/>
    </w:p>
    <w:p>
      <w:pPr>
        <w:pStyle w:val="1072"/>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2"/>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2"/>
        <w:rPr>
          <w:rFonts w:ascii="宋体" w:hAnsi="宋体"/>
        </w:rPr>
      </w:pPr>
      <w:r>
        <w:rPr>
          <w:rFonts w:ascii="宋体" w:hAnsi="宋体"/>
        </w:rPr>
      </w:r>
      <w:r/>
    </w:p>
    <w:p>
      <w:pPr>
        <w:pStyle w:val="1072"/>
        <w:rPr>
          <w:rFonts w:ascii="宋体" w:hAnsi="宋体"/>
        </w:rPr>
      </w:pPr>
      <w:r>
        <w:rPr>
          <w:rFonts w:ascii="宋体" w:hAnsi="宋体"/>
        </w:rPr>
      </w:r>
      <w:r/>
    </w:p>
    <w:p>
      <w:pPr>
        <w:pStyle w:val="1072"/>
        <w:rPr>
          <w:rFonts w:ascii="宋体" w:hAnsi="宋体"/>
        </w:rPr>
      </w:pPr>
      <w:r>
        <w:rPr>
          <w:rFonts w:ascii="宋体" w:hAnsi="宋体"/>
        </w:rPr>
      </w:r>
      <w:r/>
    </w:p>
    <w:p>
      <w:pPr>
        <w:pStyle w:val="1125"/>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8"/>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8"/>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8"/>
          <w:color w:val="000000"/>
          <w:sz w:val="32"/>
          <w:szCs w:val="32"/>
        </w:rPr>
        <w:t xml:space="preserve">第三章   资</w:t>
      </w:r>
      <w:bookmarkStart w:id="1" w:name="_Hlt100754117"/>
      <w:r>
        <w:rPr>
          <w:rStyle w:val="1148"/>
          <w:color w:val="000000"/>
          <w:sz w:val="32"/>
          <w:szCs w:val="32"/>
        </w:rPr>
        <w:t xml:space="preserve">格</w:t>
      </w:r>
      <w:bookmarkEnd w:id="1"/>
      <w:r>
        <w:rPr>
          <w:rStyle w:val="1148"/>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21</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8"/>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23</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8"/>
          <w:color w:val="000000"/>
          <w:sz w:val="32"/>
          <w:szCs w:val="32"/>
        </w:rPr>
        <w:t xml:space="preserve">第五章   采购</w:t>
      </w:r>
      <w:bookmarkStart w:id="2" w:name="_Hlt100754102"/>
      <w:r/>
      <w:bookmarkStart w:id="3" w:name="_Hlt100754103"/>
      <w:r>
        <w:rPr>
          <w:rStyle w:val="1148"/>
          <w:color w:val="000000"/>
          <w:sz w:val="32"/>
          <w:szCs w:val="32"/>
        </w:rPr>
        <w:t xml:space="preserve">需</w:t>
      </w:r>
      <w:bookmarkEnd w:id="2"/>
      <w:r/>
      <w:bookmarkEnd w:id="3"/>
      <w:r>
        <w:rPr>
          <w:rStyle w:val="1148"/>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8"/>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39</w:t>
      </w:r>
      <w:r>
        <w:rPr>
          <w:sz w:val="32"/>
          <w:szCs w:val="32"/>
        </w:rPr>
        <w:fldChar w:fldCharType="end"/>
        <w:fldChar w:fldCharType="end"/>
      </w:r>
      <w:r>
        <w:rPr>
          <w:b w:val="0"/>
          <w:sz w:val="32"/>
          <w:szCs w:val="32"/>
        </w:rPr>
      </w:r>
      <w:r/>
    </w:p>
    <w:p>
      <w:pPr>
        <w:pStyle w:val="1125"/>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8"/>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46</w:t>
      </w:r>
      <w:r>
        <w:rPr>
          <w:sz w:val="32"/>
          <w:szCs w:val="32"/>
        </w:rPr>
        <w:fldChar w:fldCharType="end"/>
        <w:fldChar w:fldCharType="end"/>
      </w:r>
      <w:r>
        <w:rPr>
          <w:b w:val="0"/>
          <w:sz w:val="32"/>
          <w:szCs w:val="32"/>
        </w:rPr>
      </w:r>
      <w:r/>
    </w:p>
    <w:p>
      <w:pPr>
        <w:pStyle w:val="1125"/>
        <w:spacing w:line="720" w:lineRule="auto"/>
        <w:rPr>
          <w:b w:val="0"/>
        </w:rPr>
      </w:pPr>
      <w:r>
        <w:rPr>
          <w:b w:val="0"/>
          <w:sz w:val="32"/>
          <w:szCs w:val="32"/>
        </w:rPr>
        <w:fldChar w:fldCharType="end"/>
      </w:r>
      <w:r>
        <w:rPr>
          <w:b w:val="0"/>
        </w:rPr>
      </w:r>
      <w:r/>
    </w:p>
    <w:p>
      <w:pPr>
        <w:pStyle w:val="1072"/>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常州市公安局监所管理支队食堂大米采购项目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“江苏政府采购网”、“常州市政府采购网”自行免费下载</w:t>
      </w:r>
      <w:r>
        <w:rPr>
          <w:rFonts w:hint="eastAsia" w:ascii="仿宋" w:hAnsi="仿宋" w:eastAsia="仿宋"/>
          <w:sz w:val="32"/>
          <w:szCs w:val="32"/>
        </w:rPr>
        <w:t xml:space="preserve">获取招标文件，并于</w:t>
      </w:r>
      <w:r>
        <w:rPr>
          <w:rFonts w:hint="eastAsia" w:ascii="仿宋" w:hAnsi="仿宋" w:eastAsia="仿宋" w:cs="宋体"/>
          <w:b/>
          <w:bCs/>
          <w:sz w:val="32"/>
          <w:szCs w:val="32"/>
        </w:rPr>
        <w:t xml:space="preserve">2024年06月25日14点00分（北京时间）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4"/>
        <w:ind w:firstLine="643"/>
        <w:jc w:val="left"/>
        <w:spacing w:before="240" w:line="360" w:lineRule="auto"/>
        <w:rPr>
          <w:rFonts w:ascii="仿宋" w:hAnsi="仿宋" w:eastAsia="仿宋"/>
          <w:sz w:val="32"/>
          <w:szCs w:val="32"/>
        </w:rPr>
      </w:pPr>
      <w:r/>
      <w:bookmarkStart w:id="5" w:name="_Toc35393790"/>
      <w:r/>
      <w:bookmarkStart w:id="6" w:name="_Toc28359002"/>
      <w:r/>
      <w:bookmarkStart w:id="7" w:name="_Toc28359079"/>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JSZC-320400-CTZB-G2024-0163</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常州市公安局监所管理支队食堂大米采购项目</w:t>
      </w:r>
      <w:r>
        <w:rPr>
          <w:rFonts w:ascii="仿宋" w:hAnsi="仿宋" w:eastAsia="仿宋"/>
          <w:sz w:val="32"/>
          <w:szCs w:val="32"/>
        </w:rPr>
      </w:r>
      <w:r/>
    </w:p>
    <w:p>
      <w:pPr>
        <w:pStyle w:val="1072"/>
        <w:ind w:firstLine="640"/>
        <w:spacing w:line="360" w:lineRule="auto"/>
        <w:rPr>
          <w:rFonts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人民币160万元</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2.5元/斤</w:t>
      </w:r>
      <w:r>
        <w:rPr>
          <w:rFonts w:ascii="仿宋" w:hAnsi="仿宋" w:eastAsia="仿宋"/>
          <w:sz w:val="32"/>
          <w:szCs w:val="32"/>
        </w:rPr>
      </w:r>
      <w:r/>
    </w:p>
    <w:p>
      <w:pPr>
        <w:pStyle w:val="1072"/>
        <w:ind w:firstLine="640"/>
        <w:spacing w:line="360" w:lineRule="auto"/>
        <w:rPr>
          <w:rFonts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cs="宋体"/>
          <w:spacing w:val="2"/>
          <w:sz w:val="32"/>
          <w:szCs w:val="32"/>
        </w:rPr>
        <w:t xml:space="preserve">本项目为常州市公安局监所管理支队食堂大米采购项目，中标供应商应根据采购人的实际订货单提供粳米（一级），按时配送到指定地点，预估需求量320吨。</w:t>
      </w:r>
      <w:r>
        <w:rPr>
          <w:rFonts w:ascii="仿宋" w:hAnsi="仿宋" w:eastAsia="仿宋" w:cs="宋体"/>
          <w:b/>
          <w:spacing w:val="2"/>
          <w:sz w:val="32"/>
          <w:szCs w:val="32"/>
        </w:rPr>
      </w:r>
      <w:r/>
    </w:p>
    <w:p>
      <w:pPr>
        <w:pStyle w:val="1072"/>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合同履行期限：结算金额达到人民币160万元或一年合同到期，当满足上述两条标准中任意一条，本项目合同自动终止。</w:t>
      </w:r>
      <w:r>
        <w:rPr>
          <w:rFonts w:ascii="仿宋" w:hAnsi="仿宋" w:eastAsia="仿宋"/>
          <w:sz w:val="32"/>
          <w:szCs w:val="32"/>
          <w:u w:val="single"/>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74"/>
        <w:ind w:firstLine="643"/>
        <w:jc w:val="left"/>
        <w:spacing w:before="0" w:line="360" w:lineRule="auto"/>
        <w:rPr>
          <w:rFonts w:ascii="仿宋" w:hAnsi="仿宋" w:eastAsia="仿宋"/>
          <w:sz w:val="32"/>
          <w:szCs w:val="32"/>
        </w:rPr>
      </w:pPr>
      <w:r/>
      <w:bookmarkStart w:id="10" w:name="_Toc28359003"/>
      <w:r/>
      <w:bookmarkStart w:id="11" w:name="_Toc28359080"/>
      <w:r/>
      <w:bookmarkStart w:id="12" w:name="_Toc35393622"/>
      <w:r/>
      <w:bookmarkStart w:id="13" w:name="_Toc35393791"/>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2"/>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p>
    <w:p>
      <w:pPr>
        <w:pStyle w:val="1072"/>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ascii="仿宋" w:hAnsi="仿宋" w:eastAsia="仿宋"/>
          <w:b/>
          <w:sz w:val="32"/>
          <w:szCs w:val="32"/>
        </w:rPr>
        <w:t xml:space="preserve">提供的货物全部由符合政策要求的中小企业制造。</w:t>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2"/>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 </w:t>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1074"/>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2"/>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cs="宋体"/>
          <w:sz w:val="32"/>
          <w:szCs w:val="32"/>
        </w:rPr>
        <w:t xml:space="preserve">2024年06月03日</w:t>
      </w:r>
      <w:r>
        <w:rPr>
          <w:rFonts w:hint="eastAsia" w:ascii="仿宋" w:hAnsi="仿宋" w:eastAsia="仿宋"/>
          <w:sz w:val="32"/>
          <w:szCs w:val="32"/>
          <w:lang w:bidi="ar"/>
        </w:rPr>
        <w:t xml:space="preserve">至</w:t>
      </w:r>
      <w:r>
        <w:rPr>
          <w:rFonts w:hint="eastAsia" w:ascii="仿宋" w:hAnsi="仿宋" w:eastAsia="仿宋" w:cs="宋体"/>
          <w:sz w:val="32"/>
          <w:szCs w:val="32"/>
        </w:rPr>
        <w:t xml:space="preserve">2024年06月11日</w:t>
      </w:r>
      <w:r>
        <w:rPr>
          <w:rFonts w:hint="eastAsia" w:ascii="仿宋" w:hAnsi="仿宋" w:eastAsia="仿宋"/>
          <w:sz w:val="32"/>
          <w:szCs w:val="32"/>
          <w:lang w:bidi="ar"/>
        </w:rPr>
        <w:t xml:space="preserve">（北京时间）。</w:t>
      </w:r>
      <w:r>
        <w:rPr>
          <w:rFonts w:ascii="仿宋" w:hAnsi="仿宋" w:eastAsia="仿宋"/>
          <w:sz w:val="32"/>
          <w:szCs w:val="32"/>
          <w:lang w:bidi="ar"/>
        </w:rPr>
      </w:r>
      <w:r/>
    </w:p>
    <w:p>
      <w:pPr>
        <w:pStyle w:val="1072"/>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“江苏政府采购网”、“常州市政府采购网”。</w:t>
      </w:r>
      <w:r>
        <w:rPr>
          <w:rFonts w:ascii="仿宋" w:hAnsi="仿宋" w:eastAsia="仿宋"/>
          <w:sz w:val="32"/>
          <w:szCs w:val="32"/>
        </w:rPr>
      </w:r>
      <w:r/>
    </w:p>
    <w:p>
      <w:pPr>
        <w:pStyle w:val="1072"/>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投标人自行免费下载招标文件。</w:t>
      </w:r>
      <w:r>
        <w:rPr>
          <w:rFonts w:ascii="仿宋" w:hAnsi="仿宋" w:eastAsia="仿宋"/>
          <w:sz w:val="32"/>
          <w:szCs w:val="32"/>
          <w:lang w:bidi="ar"/>
        </w:rPr>
      </w:r>
      <w:r/>
    </w:p>
    <w:p>
      <w:pPr>
        <w:pStyle w:val="1072"/>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4"/>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2"/>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cs="宋体"/>
          <w:b/>
          <w:bCs/>
          <w:sz w:val="32"/>
          <w:szCs w:val="32"/>
        </w:rPr>
        <w:t xml:space="preserve">2024年06月25日14点00分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2"/>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rPr>
        <w:t xml:space="preserve">“苏采云”政府采购交易系统网上开标大厅。</w:t>
      </w:r>
      <w:r>
        <w:rPr>
          <w:rFonts w:ascii="仿宋" w:hAnsi="仿宋" w:eastAsia="仿宋"/>
          <w:b/>
          <w:bCs/>
          <w:sz w:val="32"/>
          <w:szCs w:val="32"/>
        </w:rPr>
      </w:r>
      <w:r/>
    </w:p>
    <w:p>
      <w:pPr>
        <w:pStyle w:val="1074"/>
        <w:ind w:firstLine="643"/>
        <w:jc w:val="left"/>
        <w:spacing w:before="0" w:line="360" w:lineRule="auto"/>
        <w:rPr>
          <w:rFonts w:ascii="仿宋" w:hAnsi="仿宋" w:eastAsia="仿宋"/>
          <w:sz w:val="32"/>
          <w:szCs w:val="32"/>
        </w:rPr>
      </w:pPr>
      <w:r/>
      <w:bookmarkStart w:id="22" w:name="_Toc28359007"/>
      <w:r/>
      <w:bookmarkStart w:id="23" w:name="_Toc35393794"/>
      <w:r/>
      <w:bookmarkStart w:id="24" w:name="_Toc35393625"/>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4"/>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2.根据省财政厅《关于更</w:t>
      </w:r>
      <w:r>
        <w:rPr>
          <w:rFonts w:hint="eastAsia" w:ascii="仿宋" w:hAnsi="仿宋" w:eastAsia="仿宋"/>
          <w:sz w:val="32"/>
          <w:szCs w:val="32"/>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rPr>
          <w:rFonts w:ascii="仿宋" w:hAnsi="仿宋" w:eastAsia="仿宋"/>
          <w:sz w:val="32"/>
          <w:szCs w:val="32"/>
          <w:lang w:val="zh-TW"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4"/>
        <w:ind w:firstLine="643"/>
        <w:jc w:val="left"/>
        <w:spacing w:before="0" w:line="360" w:lineRule="auto"/>
        <w:rPr>
          <w:rFonts w:ascii="仿宋" w:hAnsi="仿宋" w:eastAsia="仿宋"/>
          <w:sz w:val="32"/>
          <w:szCs w:val="32"/>
        </w:rPr>
      </w:pPr>
      <w:r/>
      <w:bookmarkStart w:id="28" w:name="_Toc28359085"/>
      <w:r/>
      <w:bookmarkStart w:id="29" w:name="_Toc35393796"/>
      <w:r/>
      <w:bookmarkStart w:id="30" w:name="_Toc35393627"/>
      <w:r/>
      <w:bookmarkStart w:id="31" w:name="_Toc28359008"/>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2"/>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2"/>
        <w:ind w:firstLine="640"/>
        <w:jc w:val="left"/>
        <w:spacing w:line="360" w:lineRule="auto"/>
        <w:widowControl/>
        <w:rPr>
          <w:rFonts w:ascii="仿宋" w:hAnsi="仿宋" w:eastAsia="仿宋"/>
          <w:sz w:val="32"/>
          <w:szCs w:val="32"/>
          <w:lang w:val="zh-TW" w:bidi="ar"/>
        </w:rPr>
      </w:pPr>
      <w:r/>
      <w:bookmarkStart w:id="32" w:name="_Toc28359086"/>
      <w:r/>
      <w:bookmarkStart w:id="33" w:name="_Toc28359009"/>
      <w:r>
        <w:rPr>
          <w:rFonts w:hint="eastAsia" w:ascii="仿宋" w:hAnsi="仿宋" w:eastAsia="仿宋"/>
          <w:sz w:val="32"/>
          <w:szCs w:val="32"/>
          <w:lang w:val="zh-TW" w:bidi="ar"/>
        </w:rPr>
        <w:t xml:space="preserve">名    称：常州市公安局监所管理支队 </w:t>
      </w:r>
      <w:r>
        <w:rPr>
          <w:rFonts w:ascii="仿宋" w:hAnsi="仿宋" w:eastAsia="仿宋"/>
          <w:sz w:val="32"/>
          <w:szCs w:val="32"/>
          <w:lang w:val="zh-TW" w:bidi="ar"/>
        </w:rPr>
      </w:r>
      <w:r/>
    </w:p>
    <w:p>
      <w:pPr>
        <w:pStyle w:val="1072"/>
        <w:ind w:left="-2" w:firstLine="640"/>
        <w:jc w:val="left"/>
        <w:spacing w:line="360" w:lineRule="auto"/>
        <w:rPr>
          <w:rFonts w:ascii="仿宋" w:hAnsi="仿宋" w:eastAsia="仿宋"/>
          <w:sz w:val="32"/>
          <w:szCs w:val="32"/>
        </w:rPr>
      </w:pPr>
      <w:r>
        <w:rPr>
          <w:rFonts w:hint="eastAsia" w:ascii="仿宋" w:hAnsi="仿宋" w:eastAsia="仿宋"/>
          <w:sz w:val="32"/>
          <w:szCs w:val="32"/>
        </w:rPr>
        <w:t xml:space="preserve">地址：江苏省常州市钟楼区邹傅路10号</w:t>
      </w:r>
      <w:r>
        <w:rPr>
          <w:rFonts w:ascii="仿宋" w:hAnsi="仿宋" w:eastAsia="仿宋"/>
          <w:sz w:val="32"/>
          <w:szCs w:val="32"/>
        </w:rPr>
      </w:r>
      <w:r/>
    </w:p>
    <w:p>
      <w:pPr>
        <w:pStyle w:val="1072"/>
        <w:ind w:left="-2" w:firstLine="640"/>
        <w:jc w:val="left"/>
        <w:spacing w:line="360" w:lineRule="auto"/>
        <w:rPr>
          <w:rFonts w:ascii="仿宋" w:hAnsi="仿宋" w:eastAsia="仿宋"/>
          <w:sz w:val="32"/>
          <w:szCs w:val="32"/>
        </w:rPr>
      </w:pPr>
      <w:r>
        <w:rPr>
          <w:rFonts w:hint="eastAsia" w:ascii="仿宋" w:hAnsi="仿宋" w:eastAsia="仿宋"/>
          <w:sz w:val="32"/>
          <w:szCs w:val="32"/>
        </w:rPr>
        <w:t xml:space="preserve">联系方式：余忠云  0519-81993311</w:t>
      </w:r>
      <w:r>
        <w:rPr>
          <w:rFonts w:ascii="仿宋" w:hAnsi="仿宋" w:eastAsia="仿宋"/>
          <w:sz w:val="32"/>
          <w:szCs w:val="32"/>
        </w:rPr>
      </w:r>
      <w:r/>
    </w:p>
    <w:p>
      <w:pPr>
        <w:pStyle w:val="1072"/>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2"/>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2"/>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2"/>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项目联系人：张媛</w:t>
      </w:r>
      <w:r/>
    </w:p>
    <w:p>
      <w:pPr>
        <w:pStyle w:val="1072"/>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81580192（转分机号6032）</w:t>
      </w:r>
      <w:r>
        <w:rPr>
          <w:rFonts w:ascii="仿宋" w:hAnsi="仿宋" w:eastAsia="仿宋"/>
          <w:sz w:val="24"/>
        </w:rPr>
      </w:r>
      <w:r/>
    </w:p>
    <w:p>
      <w:pPr>
        <w:pStyle w:val="1072"/>
        <w:jc w:val="center"/>
        <w:spacing w:line="360" w:lineRule="auto"/>
        <w:rPr>
          <w:rFonts w:ascii="宋体" w:hAnsi="宋体"/>
          <w:b/>
          <w:sz w:val="32"/>
          <w:szCs w:val="32"/>
        </w:rPr>
        <w:outlineLvl w:val="0"/>
      </w:pPr>
      <w:r>
        <w:rPr>
          <w:rFonts w:ascii="宋体" w:hAnsi="宋体"/>
          <w:sz w:val="24"/>
        </w:rPr>
        <w:br w:type="page" w:clear="all"/>
      </w:r>
      <w:bookmarkStart w:id="36" w:name="_Toc305158928"/>
      <w:r/>
      <w:bookmarkStart w:id="37" w:name="_Toc226965856"/>
      <w:r/>
      <w:bookmarkStart w:id="38" w:name="_Toc127151777"/>
      <w:r/>
      <w:bookmarkStart w:id="39" w:name="_Toc150774783"/>
      <w:r/>
      <w:bookmarkStart w:id="40" w:name="_Toc127161488"/>
      <w:r/>
      <w:bookmarkStart w:id="41" w:name="_Toc353825548"/>
      <w:r/>
      <w:bookmarkStart w:id="42" w:name="_Toc264969275"/>
      <w:r/>
      <w:bookmarkStart w:id="43" w:name="_Toc512937850"/>
      <w:r/>
      <w:bookmarkStart w:id="44" w:name="_Toc195842950"/>
      <w:r/>
      <w:bookmarkStart w:id="45" w:name="_Toc305158854"/>
      <w:r/>
      <w:bookmarkStart w:id="46" w:name="_Toc99301420"/>
      <w:r/>
      <w:bookmarkStart w:id="47" w:name="_Toc265228423"/>
      <w:r/>
      <w:bookmarkStart w:id="48" w:name="_Toc35387393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4"/>
        <w:spacing w:before="0" w:line="360" w:lineRule="auto"/>
        <w:tabs>
          <w:tab w:val="center" w:pos="4592" w:leader="none"/>
          <w:tab w:val="left" w:pos="7860" w:leader="none"/>
        </w:tabs>
        <w:rPr>
          <w:rFonts w:ascii="宋体" w:hAnsi="宋体" w:eastAsia="宋体"/>
          <w:sz w:val="28"/>
        </w:rPr>
      </w:pPr>
      <w:r/>
      <w:bookmarkStart w:id="49" w:name="_Toc164608788"/>
      <w:r/>
      <w:bookmarkStart w:id="50" w:name="_Toc164351613"/>
      <w:r/>
      <w:bookmarkStart w:id="51" w:name="_Toc150480757"/>
      <w:r/>
      <w:bookmarkStart w:id="52" w:name="_Toc164229214"/>
      <w:r/>
      <w:bookmarkStart w:id="53" w:name="_Toc520356144"/>
      <w:r/>
      <w:bookmarkStart w:id="54" w:name="_Toc226965792"/>
      <w:r/>
      <w:bookmarkStart w:id="55" w:name="_Toc149720812"/>
      <w:r/>
      <w:bookmarkStart w:id="56" w:name="_Toc127151720"/>
      <w:r/>
      <w:bookmarkStart w:id="57" w:name="_Toc150774724"/>
      <w:r/>
      <w:bookmarkStart w:id="58" w:name="_Toc151193833"/>
      <w:r/>
      <w:bookmarkStart w:id="59" w:name="_Toc164608633"/>
      <w:r/>
      <w:bookmarkStart w:id="60" w:name="_Toc151193761"/>
      <w:r/>
      <w:bookmarkStart w:id="61" w:name="_Toc151193907"/>
      <w:r/>
      <w:bookmarkStart w:id="62" w:name="_Toc127151519"/>
      <w:r/>
      <w:bookmarkStart w:id="63" w:name="_Toc151193689"/>
      <w:r/>
      <w:bookmarkStart w:id="64" w:name="_Toc151193617"/>
      <w:r/>
      <w:bookmarkStart w:id="65" w:name="_Toc127161433"/>
      <w:r/>
      <w:bookmarkStart w:id="66" w:name="_Toc150509270"/>
      <w:r/>
      <w:bookmarkStart w:id="67" w:name="_Toc195842884"/>
      <w:r/>
      <w:bookmarkStart w:id="68" w:name="_Toc226309763"/>
      <w:r/>
      <w:bookmarkStart w:id="69" w:name="_Toc164229360"/>
      <w:r/>
      <w:bookmarkStart w:id="70" w:name="_Toc150774619"/>
      <w:r/>
      <w:bookmarkStart w:id="71" w:name="_Toc142311021"/>
      <w:r/>
      <w:bookmarkStart w:id="72" w:name="_Toc151190146"/>
      <w:r/>
      <w:bookmarkStart w:id="73" w:name="_Toc226965709"/>
      <w:r/>
      <w:bookmarkStart w:id="74" w:name="_Toc226337215"/>
      <w:r>
        <w:rPr>
          <w:rFonts w:ascii="宋体" w:hAnsi="宋体" w:eastAsia="宋体"/>
          <w:sz w:val="28"/>
        </w:rPr>
        <w:t xml:space="preserve">投标人须知资料表</w:t>
      </w:r>
      <w:r/>
    </w:p>
    <w:p>
      <w:pPr>
        <w:pStyle w:val="1072"/>
        <w:jc w:val="center"/>
        <w:rPr>
          <w:rFonts w:ascii="宋体" w:hAnsi="宋体"/>
          <w:b/>
          <w:sz w:val="28"/>
          <w:szCs w:val="28"/>
        </w:rPr>
      </w:pPr>
      <w:r>
        <w:rPr>
          <w:rFonts w:ascii="宋体" w:hAnsi="宋体"/>
          <w:b/>
          <w:sz w:val="28"/>
          <w:szCs w:val="28"/>
        </w:rPr>
      </w:r>
      <w:r/>
    </w:p>
    <w:p>
      <w:pPr>
        <w:pStyle w:val="1072"/>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2"/>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项目属性：</w:t>
            </w:r>
            <w:r/>
          </w:p>
          <w:p>
            <w:pPr>
              <w:pStyle w:val="1072"/>
              <w:jc w:val="left"/>
              <w:rPr>
                <w:rFonts w:hint="eastAsia" w:ascii="宋体" w:hAnsi="宋体" w:cs="宋体"/>
                <w:sz w:val="24"/>
              </w:rPr>
            </w:pPr>
            <w:r>
              <w:rPr>
                <w:rFonts w:hint="eastAsia" w:ascii="宋体" w:hAnsi="宋体" w:cs="宋体"/>
                <w:sz w:val="24"/>
              </w:rPr>
              <w:t xml:space="preserve">□服务</w:t>
            </w:r>
            <w:r/>
          </w:p>
          <w:p>
            <w:pPr>
              <w:pStyle w:val="1072"/>
              <w:jc w:val="left"/>
              <w:rPr>
                <w:rFonts w:hint="eastAsia" w:ascii="宋体" w:hAnsi="宋体" w:cs="宋体"/>
                <w:sz w:val="24"/>
                <w:u w:val="single"/>
              </w:rPr>
            </w:pPr>
            <w:r>
              <w:rPr>
                <w:rFonts w:ascii="宋体" w:hAnsi="宋体"/>
                <w:b/>
                <w:sz w:val="24"/>
              </w:rPr>
              <w:t xml:space="preserve">■</w:t>
            </w: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是否属于科研仪器设备采购项目：</w:t>
            </w:r>
            <w:r/>
          </w:p>
          <w:p>
            <w:pPr>
              <w:pStyle w:val="1072"/>
              <w:jc w:val="left"/>
              <w:rPr>
                <w:rFonts w:hint="eastAsia" w:ascii="宋体" w:hAnsi="宋体" w:cs="宋体"/>
                <w:sz w:val="24"/>
              </w:rPr>
            </w:pPr>
            <w:r>
              <w:rPr>
                <w:rFonts w:hint="eastAsia" w:ascii="宋体" w:hAnsi="宋体" w:cs="宋体"/>
                <w:sz w:val="24"/>
              </w:rPr>
              <w:t xml:space="preserve">□是</w:t>
            </w:r>
            <w:r/>
          </w:p>
          <w:p>
            <w:pPr>
              <w:pStyle w:val="1072"/>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2"/>
              <w:rPr>
                <w:rFonts w:hAnsi="宋体" w:cs="宋体"/>
                <w:sz w:val="24"/>
                <w:szCs w:val="24"/>
              </w:rPr>
            </w:pPr>
            <w:r>
              <w:rPr>
                <w:rFonts w:hAnsi="宋体" w:cs="宋体"/>
                <w:sz w:val="24"/>
                <w:szCs w:val="24"/>
              </w:rPr>
              <w:t xml:space="preserve">□关于核心产品本项目__包不适用。</w:t>
            </w:r>
            <w:r/>
          </w:p>
          <w:p>
            <w:pPr>
              <w:pStyle w:val="1112"/>
              <w:rPr>
                <w:rFonts w:hAnsi="宋体" w:cs="宋体"/>
                <w:sz w:val="24"/>
                <w:szCs w:val="24"/>
              </w:rPr>
            </w:pPr>
            <w:r>
              <w:rPr>
                <w:rFonts w:hAnsi="宋体" w:cs="宋体"/>
                <w:sz w:val="24"/>
              </w:rPr>
              <w:t xml:space="preserve">■</w:t>
            </w:r>
            <w:r>
              <w:rPr>
                <w:rFonts w:hAnsi="宋体" w:cs="宋体"/>
                <w:sz w:val="24"/>
                <w:szCs w:val="24"/>
              </w:rPr>
              <w:t xml:space="preserve">本项目为单一产品采购项目。</w:t>
            </w:r>
            <w:r/>
          </w:p>
          <w:p>
            <w:pPr>
              <w:pStyle w:val="1072"/>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112"/>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■不组织</w:t>
            </w:r>
            <w:r/>
          </w:p>
          <w:p>
            <w:pPr>
              <w:pStyle w:val="1072"/>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2"/>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2"/>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■不召开</w:t>
            </w:r>
            <w:r/>
          </w:p>
          <w:p>
            <w:pPr>
              <w:pStyle w:val="1072"/>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投标样品递交：</w:t>
            </w:r>
            <w:r/>
          </w:p>
          <w:p>
            <w:pPr>
              <w:pStyle w:val="1072"/>
              <w:jc w:val="left"/>
              <w:rPr>
                <w:rFonts w:hint="eastAsia" w:ascii="宋体" w:hAnsi="宋体" w:cs="宋体"/>
                <w:sz w:val="24"/>
              </w:rPr>
            </w:pPr>
            <w:r>
              <w:rPr>
                <w:rFonts w:hint="eastAsia" w:ascii="宋体" w:hAnsi="宋体" w:cs="宋体"/>
                <w:sz w:val="24"/>
              </w:rPr>
              <w:t xml:space="preserve">□不需要</w:t>
            </w:r>
            <w:r/>
          </w:p>
          <w:p>
            <w:pPr>
              <w:pStyle w:val="1072"/>
              <w:jc w:val="left"/>
              <w:rPr>
                <w:rFonts w:ascii="宋体" w:hAnsi="宋体" w:cs="宋体"/>
                <w:sz w:val="32"/>
                <w:szCs w:val="32"/>
              </w:rPr>
            </w:pPr>
            <w:r>
              <w:rPr>
                <w:rFonts w:hint="eastAsia" w:ascii="宋体" w:hAnsi="宋体" w:cs="宋体"/>
                <w:sz w:val="24"/>
              </w:rPr>
              <w:t xml:space="preserve">■需要，具体要求如下：</w:t>
            </w:r>
            <w:r>
              <w:rPr>
                <w:rFonts w:ascii="宋体" w:hAnsi="宋体" w:cs="宋体"/>
                <w:sz w:val="32"/>
                <w:szCs w:val="32"/>
              </w:rPr>
            </w:r>
            <w:r/>
          </w:p>
          <w:p>
            <w:pPr>
              <w:pStyle w:val="1072"/>
              <w:ind w:firstLine="480"/>
              <w:jc w:val="left"/>
              <w:rPr>
                <w:sz w:val="24"/>
                <w:u w:val="single"/>
              </w:rPr>
            </w:pPr>
            <w:r>
              <w:rPr>
                <w:sz w:val="24"/>
              </w:rPr>
              <w:t xml:space="preserve">（1）样品制作的</w:t>
            </w:r>
            <w:r>
              <w:rPr>
                <w:rFonts w:hint="eastAsia"/>
                <w:sz w:val="24"/>
              </w:rPr>
              <w:t xml:space="preserve">数量</w:t>
            </w:r>
            <w:r>
              <w:rPr>
                <w:sz w:val="24"/>
              </w:rPr>
              <w:t xml:space="preserve">标准和要求：</w:t>
            </w:r>
            <w:r>
              <w:rPr>
                <w:rFonts w:hint="eastAsia"/>
                <w:sz w:val="24"/>
                <w:u w:val="single"/>
              </w:rPr>
              <w:t xml:space="preserve">5袋25千克包装的样品（提供大米品牌和品种，5袋样品必须同品牌、同品种、同包装）；质量标准：执行GB/T1354-2018标准</w:t>
            </w:r>
            <w:r>
              <w:rPr>
                <w:sz w:val="24"/>
                <w:u w:val="single"/>
              </w:rPr>
            </w:r>
            <w:r/>
          </w:p>
          <w:p>
            <w:pPr>
              <w:pStyle w:val="1072"/>
              <w:ind w:firstLine="480"/>
              <w:jc w:val="left"/>
              <w:rPr>
                <w:sz w:val="24"/>
              </w:rPr>
            </w:pPr>
            <w:r>
              <w:rPr>
                <w:sz w:val="24"/>
              </w:rPr>
              <w:t xml:space="preserve">（2）是否需要随样品提交相关检测报告：</w:t>
            </w:r>
            <w:r/>
          </w:p>
          <w:p>
            <w:pPr>
              <w:pStyle w:val="1072"/>
              <w:ind w:firstLine="600"/>
              <w:jc w:val="left"/>
              <w:rPr>
                <w:sz w:val="24"/>
              </w:rPr>
            </w:pPr>
            <w:r>
              <w:rPr>
                <w:rFonts w:hint="eastAsia" w:ascii="宋体" w:hAnsi="宋体" w:cs="宋体"/>
                <w:sz w:val="24"/>
              </w:rPr>
              <w:t xml:space="preserve">■</w:t>
            </w:r>
            <w:r>
              <w:rPr>
                <w:sz w:val="24"/>
              </w:rPr>
              <w:t xml:space="preserve">不需要</w:t>
            </w:r>
            <w:r/>
          </w:p>
          <w:p>
            <w:pPr>
              <w:pStyle w:val="1072"/>
              <w:ind w:firstLine="600"/>
              <w:jc w:val="left"/>
              <w:rPr>
                <w:sz w:val="24"/>
              </w:rPr>
            </w:pPr>
            <w:r>
              <w:rPr>
                <w:rFonts w:ascii="Wingdings 2" w:hAnsi="Wingdings 2" w:eastAsia="Wingdings 2" w:cs="Wingdings 2"/>
                <w:sz w:val="24"/>
              </w:rPr>
              <w:t xml:space="preserve">£</w:t>
            </w:r>
            <w:r>
              <w:rPr>
                <w:sz w:val="24"/>
              </w:rPr>
              <w:t xml:space="preserve">需要</w:t>
            </w:r>
            <w:r/>
          </w:p>
          <w:p>
            <w:pPr>
              <w:pStyle w:val="1072"/>
              <w:ind w:firstLine="480"/>
              <w:jc w:val="left"/>
              <w:rPr>
                <w:rFonts w:ascii="宋体" w:hAnsi="宋体"/>
                <w:sz w:val="24"/>
              </w:rPr>
            </w:pPr>
            <w:r>
              <w:rPr>
                <w:sz w:val="24"/>
              </w:rPr>
              <w:t xml:space="preserve">（</w:t>
            </w:r>
            <w:r>
              <w:rPr>
                <w:rFonts w:ascii="宋体" w:hAnsi="宋体"/>
                <w:sz w:val="24"/>
              </w:rPr>
              <w:t xml:space="preserve">3）样品递交要求：</w:t>
            </w:r>
            <w:r/>
          </w:p>
          <w:p>
            <w:pPr>
              <w:pStyle w:val="1072"/>
              <w:ind w:firstLine="482"/>
              <w:jc w:val="left"/>
              <w:rPr>
                <w:rFonts w:ascii="宋体" w:hAnsi="宋体"/>
                <w:b/>
                <w:sz w:val="24"/>
                <w:u w:val="single"/>
              </w:rPr>
            </w:pPr>
            <w:r>
              <w:rPr>
                <w:rFonts w:hint="eastAsia" w:ascii="宋体" w:hAnsi="宋体"/>
                <w:b/>
                <w:sz w:val="24"/>
                <w:u w:val="single"/>
              </w:rPr>
              <w:t xml:space="preserve">①样品递交截止时间：投标文件递交截止时间前一日17：00。</w:t>
            </w:r>
            <w:r>
              <w:rPr>
                <w:rFonts w:ascii="宋体" w:hAnsi="宋体"/>
                <w:b/>
                <w:sz w:val="24"/>
                <w:u w:val="single"/>
              </w:rPr>
            </w:r>
            <w:r/>
          </w:p>
          <w:p>
            <w:pPr>
              <w:pStyle w:val="1072"/>
              <w:ind w:firstLine="480"/>
              <w:jc w:val="left"/>
              <w:rPr>
                <w:rFonts w:hint="eastAsia" w:ascii="宋体" w:hAnsi="宋体"/>
                <w:sz w:val="24"/>
                <w:u w:val="single"/>
              </w:rPr>
            </w:pPr>
            <w:r>
              <w:rPr>
                <w:rFonts w:hint="eastAsia" w:ascii="宋体" w:hAnsi="宋体"/>
                <w:sz w:val="24"/>
                <w:u w:val="single"/>
              </w:rPr>
              <w:t xml:space="preserve">样品递交地点：常州市新北区通江中路396号中创大厦4楼 </w:t>
            </w:r>
            <w:r/>
          </w:p>
          <w:p>
            <w:pPr>
              <w:pStyle w:val="1072"/>
              <w:ind w:firstLine="480"/>
              <w:jc w:val="left"/>
              <w:rPr>
                <w:rFonts w:hint="eastAsia" w:ascii="宋体" w:hAnsi="宋体"/>
                <w:sz w:val="24"/>
                <w:u w:val="single"/>
              </w:rPr>
            </w:pPr>
            <w:r>
              <w:rPr>
                <w:rFonts w:hint="eastAsia" w:ascii="宋体" w:hAnsi="宋体"/>
                <w:sz w:val="24"/>
                <w:u w:val="single"/>
              </w:rPr>
              <w:t xml:space="preserve">联系人：张媛</w:t>
            </w:r>
            <w:r/>
          </w:p>
          <w:p>
            <w:pPr>
              <w:pStyle w:val="1072"/>
              <w:ind w:firstLine="480"/>
              <w:jc w:val="left"/>
              <w:rPr>
                <w:rFonts w:hint="eastAsia" w:ascii="宋体" w:hAnsi="宋体"/>
                <w:sz w:val="24"/>
                <w:u w:val="single"/>
              </w:rPr>
            </w:pPr>
            <w:r>
              <w:rPr>
                <w:rFonts w:hint="eastAsia" w:ascii="宋体" w:hAnsi="宋体"/>
                <w:sz w:val="24"/>
                <w:u w:val="single"/>
              </w:rPr>
              <w:t xml:space="preserve">电话：0519-81580152  81580191  81580192（转分机号6</w:t>
            </w:r>
            <w:r>
              <w:rPr>
                <w:rFonts w:ascii="宋体" w:hAnsi="宋体"/>
                <w:sz w:val="24"/>
                <w:u w:val="single"/>
              </w:rPr>
              <w:t xml:space="preserve">0</w:t>
            </w:r>
            <w:r>
              <w:rPr>
                <w:rFonts w:hint="eastAsia" w:ascii="宋体" w:hAnsi="宋体"/>
                <w:sz w:val="24"/>
                <w:u w:val="single"/>
              </w:rPr>
              <w:t xml:space="preserve">32）</w:t>
            </w:r>
            <w:r/>
          </w:p>
          <w:p>
            <w:pPr>
              <w:pStyle w:val="1072"/>
              <w:ind w:firstLine="480"/>
              <w:jc w:val="left"/>
              <w:rPr>
                <w:rFonts w:hint="eastAsia" w:ascii="宋体" w:hAnsi="宋体"/>
                <w:sz w:val="24"/>
                <w:u w:val="single"/>
              </w:rPr>
            </w:pPr>
            <w:r>
              <w:rPr>
                <w:rFonts w:hint="eastAsia" w:ascii="宋体" w:hAnsi="宋体"/>
                <w:sz w:val="24"/>
                <w:u w:val="single"/>
              </w:rPr>
              <w:t xml:space="preserve">②投标人在样品上/样品背面粘贴标签，标签上注明投标人名称、样品材质、规格型号、产地，加盖投标人公章，并用不透明白纸将标签粘贴遮盖；</w:t>
            </w:r>
            <w:r/>
          </w:p>
          <w:p>
            <w:pPr>
              <w:pStyle w:val="1072"/>
              <w:ind w:firstLine="480"/>
              <w:jc w:val="left"/>
              <w:rPr>
                <w:rFonts w:hint="eastAsia" w:ascii="宋体" w:hAnsi="宋体"/>
                <w:sz w:val="24"/>
                <w:u w:val="single"/>
              </w:rPr>
            </w:pPr>
            <w:r>
              <w:rPr>
                <w:rFonts w:hint="eastAsia" w:ascii="宋体" w:hAnsi="宋体"/>
                <w:sz w:val="24"/>
                <w:u w:val="single"/>
              </w:rPr>
              <w:t xml:space="preserve">③样品提交时,样品上任何显示投标人名称的商标、品牌或其他显示该投标人名称的标志都应用不透明的白纸粘贴遮盖，否则评审时样品部分不得分；</w:t>
            </w:r>
            <w:r/>
          </w:p>
          <w:p>
            <w:pPr>
              <w:pStyle w:val="1072"/>
              <w:ind w:firstLine="480"/>
              <w:jc w:val="left"/>
              <w:rPr>
                <w:rFonts w:hint="eastAsia" w:ascii="宋体" w:hAnsi="宋体"/>
                <w:sz w:val="24"/>
                <w:u w:val="single"/>
              </w:rPr>
            </w:pPr>
            <w:r>
              <w:rPr>
                <w:rFonts w:hint="eastAsia" w:ascii="宋体" w:hAnsi="宋体"/>
                <w:sz w:val="24"/>
                <w:u w:val="single"/>
              </w:rPr>
              <w:t xml:space="preserve">（4）未中标人样品退还：未中标人的样品评审结束后予以退回，中标（成交）公告发布之日起三日内自行取回，逾期未取采购人将自行处理；</w:t>
            </w:r>
            <w:r/>
          </w:p>
          <w:p>
            <w:pPr>
              <w:pStyle w:val="1072"/>
              <w:ind w:firstLine="480"/>
              <w:jc w:val="left"/>
              <w:rPr>
                <w:rFonts w:hint="eastAsia" w:ascii="宋体" w:hAnsi="宋体"/>
                <w:sz w:val="24"/>
                <w:u w:val="single"/>
              </w:rPr>
            </w:pPr>
            <w:r>
              <w:rPr>
                <w:rFonts w:hint="eastAsia" w:ascii="宋体" w:hAnsi="宋体"/>
                <w:sz w:val="24"/>
                <w:u w:val="single"/>
              </w:rPr>
              <w:t xml:space="preserve">（5）中标人样品保管、封存及退还：中标人的样品不予退回，由采购人封存作为最终验收的依据；</w:t>
            </w:r>
            <w:r/>
          </w:p>
          <w:p>
            <w:pPr>
              <w:pStyle w:val="1072"/>
              <w:ind w:firstLine="480"/>
              <w:jc w:val="left"/>
              <w:rPr>
                <w:rFonts w:hint="eastAsia" w:ascii="宋体" w:hAnsi="宋体"/>
                <w:sz w:val="24"/>
                <w:u w:val="single"/>
              </w:rPr>
            </w:pPr>
            <w:r>
              <w:rPr>
                <w:rFonts w:hint="eastAsia" w:ascii="宋体" w:hAnsi="宋体"/>
                <w:sz w:val="24"/>
                <w:u w:val="single"/>
              </w:rPr>
              <w:t xml:space="preserve">（6）其他要求（如有）：</w:t>
            </w:r>
            <w:r/>
          </w:p>
          <w:p>
            <w:pPr>
              <w:pStyle w:val="1072"/>
              <w:ind w:firstLine="480"/>
              <w:jc w:val="left"/>
              <w:rPr>
                <w:rFonts w:hint="eastAsia" w:ascii="宋体" w:hAnsi="宋体"/>
                <w:sz w:val="24"/>
                <w:u w:val="single"/>
              </w:rPr>
            </w:pPr>
            <w:r>
              <w:rPr>
                <w:rFonts w:hint="eastAsia" w:ascii="宋体" w:hAnsi="宋体"/>
                <w:sz w:val="24"/>
                <w:u w:val="single"/>
              </w:rPr>
              <w:t xml:space="preserve">①样品制作及运输费用由投标人自行承担；</w:t>
            </w:r>
            <w:r/>
          </w:p>
          <w:p>
            <w:pPr>
              <w:pStyle w:val="1072"/>
              <w:ind w:firstLine="480"/>
              <w:jc w:val="left"/>
              <w:rPr>
                <w:rFonts w:hint="eastAsia" w:ascii="宋体" w:hAnsi="宋体" w:cs="宋体"/>
                <w:sz w:val="24"/>
              </w:rPr>
            </w:pPr>
            <w:r>
              <w:rPr>
                <w:rFonts w:hint="eastAsia" w:ascii="宋体" w:hAnsi="宋体"/>
                <w:sz w:val="24"/>
                <w:u w:val="single"/>
              </w:rPr>
              <w:t xml:space="preserve">②未能提供样品、样品不齐全或样品不符合要求的，评审时样品部分不得分。 </w:t>
            </w:r>
            <w:r>
              <w:rPr>
                <w:rFonts w:hint="eastAsia" w:ascii="宋体" w:hAnsi="宋体" w:cs="宋体"/>
                <w:sz w:val="24"/>
              </w:rPr>
            </w:r>
            <w:r/>
          </w:p>
        </w:tc>
      </w:tr>
      <w:tr>
        <w:trPr>
          <w:trHeight w:val="517"/>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本项目采购标的对应的中小企业划分标准所属行业：零售业</w:t>
            </w:r>
            <w:r/>
          </w:p>
        </w:tc>
      </w:tr>
      <w:tr>
        <w:trPr>
          <w:trHeight w:val="841"/>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投标报价的特殊规定：</w:t>
            </w:r>
            <w:r/>
          </w:p>
          <w:p>
            <w:pPr>
              <w:pStyle w:val="1072"/>
              <w:jc w:val="left"/>
              <w:rPr>
                <w:rFonts w:hint="eastAsia" w:ascii="宋体" w:hAnsi="宋体" w:cs="宋体"/>
                <w:sz w:val="24"/>
              </w:rPr>
            </w:pPr>
            <w:r>
              <w:rPr>
                <w:rFonts w:hint="eastAsia" w:ascii="宋体" w:hAnsi="宋体" w:cs="宋体"/>
                <w:sz w:val="24"/>
              </w:rPr>
              <w:t xml:space="preserve">■无</w:t>
            </w:r>
            <w:r/>
          </w:p>
          <w:p>
            <w:pPr>
              <w:pStyle w:val="1072"/>
              <w:jc w:val="left"/>
              <w:rPr>
                <w:rFonts w:hint="eastAsia" w:ascii="宋体" w:hAnsi="宋体" w:cs="宋体"/>
                <w:sz w:val="24"/>
              </w:rPr>
            </w:pPr>
            <w:r>
              <w:rPr>
                <w:rFonts w:hint="eastAsia" w:ascii="宋体" w:hAnsi="宋体" w:cs="宋体"/>
                <w:sz w:val="24"/>
              </w:rPr>
              <w:t xml:space="preserve">□有，具体情形：_____。</w:t>
            </w:r>
            <w:r/>
          </w:p>
        </w:tc>
      </w:tr>
      <w:tr>
        <w:trPr>
          <w:trHeight w:val="576"/>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免收</w:t>
            </w:r>
            <w:r/>
          </w:p>
        </w:tc>
      </w:tr>
      <w:tr>
        <w:trPr>
          <w:trHeight w:val="576"/>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13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2"/>
              <w:jc w:val="left"/>
              <w:rPr>
                <w:rFonts w:hint="eastAsia" w:ascii="宋体" w:hAnsi="宋体" w:cs="宋体"/>
                <w:sz w:val="24"/>
              </w:rPr>
            </w:pPr>
            <w:r>
              <w:rPr>
                <w:rFonts w:hint="eastAsia" w:ascii="宋体" w:hAnsi="宋体" w:cs="宋体"/>
                <w:sz w:val="24"/>
              </w:rPr>
              <w:t xml:space="preserve">■不允许</w:t>
            </w:r>
            <w:r/>
          </w:p>
          <w:p>
            <w:pPr>
              <w:pStyle w:val="1072"/>
              <w:jc w:val="left"/>
              <w:rPr>
                <w:rFonts w:hint="eastAsia" w:ascii="宋体" w:hAnsi="宋体" w:cs="宋体"/>
                <w:sz w:val="24"/>
              </w:rPr>
            </w:pPr>
            <w:r>
              <w:rPr>
                <w:rFonts w:hint="eastAsia" w:ascii="宋体" w:hAnsi="宋体" w:cs="宋体"/>
                <w:sz w:val="24"/>
              </w:rPr>
              <w:t xml:space="preserve">□允许，具体要求：</w:t>
            </w:r>
            <w:r/>
          </w:p>
          <w:p>
            <w:pPr>
              <w:pStyle w:val="1072"/>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2"/>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2"/>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18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2024年6月12日11点00分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接收询问和质疑的联系方式</w:t>
            </w:r>
            <w:r/>
          </w:p>
          <w:p>
            <w:pPr>
              <w:pStyle w:val="1072"/>
              <w:jc w:val="left"/>
              <w:rPr>
                <w:rFonts w:hint="eastAsia" w:ascii="宋体" w:hAnsi="宋体" w:cs="宋体"/>
                <w:sz w:val="24"/>
              </w:rPr>
            </w:pPr>
            <w:r>
              <w:rPr>
                <w:rFonts w:hint="eastAsia" w:ascii="宋体" w:hAnsi="宋体" w:cs="宋体"/>
                <w:sz w:val="24"/>
              </w:rPr>
              <w:t xml:space="preserve">联系部门：技术部；</w:t>
            </w:r>
            <w:r/>
          </w:p>
          <w:p>
            <w:pPr>
              <w:pStyle w:val="1072"/>
              <w:jc w:val="left"/>
              <w:rPr>
                <w:rFonts w:hint="eastAsia" w:ascii="宋体" w:hAnsi="宋体" w:cs="宋体"/>
                <w:sz w:val="24"/>
              </w:rPr>
            </w:pPr>
            <w:r>
              <w:rPr>
                <w:rFonts w:hint="eastAsia" w:ascii="宋体" w:hAnsi="宋体" w:cs="宋体"/>
                <w:sz w:val="24"/>
              </w:rPr>
              <w:t xml:space="preserve">联系电话：0519-81580152  81580191  81580192（转分机号6032）；</w:t>
            </w:r>
            <w:r/>
          </w:p>
          <w:p>
            <w:pPr>
              <w:pStyle w:val="1072"/>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2"/>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2"/>
              <w:jc w:val="left"/>
              <w:rPr>
                <w:rFonts w:hint="eastAsia" w:ascii="宋体" w:hAnsi="宋体" w:cs="宋体"/>
                <w:b/>
                <w:sz w:val="24"/>
              </w:rPr>
            </w:pPr>
            <w:r>
              <w:rPr>
                <w:rFonts w:hint="eastAsia" w:ascii="宋体" w:hAnsi="宋体" w:cs="宋体"/>
                <w:b/>
                <w:sz w:val="24"/>
              </w:rPr>
              <w:t xml:space="preserve">（一）收费对象：</w:t>
            </w:r>
            <w:r/>
          </w:p>
          <w:p>
            <w:pPr>
              <w:pStyle w:val="1072"/>
              <w:jc w:val="left"/>
              <w:rPr>
                <w:rFonts w:hint="eastAsia" w:ascii="宋体" w:hAnsi="宋体" w:cs="宋体"/>
                <w:sz w:val="24"/>
              </w:rPr>
            </w:pPr>
            <w:r>
              <w:rPr>
                <w:rFonts w:hint="eastAsia" w:ascii="宋体" w:hAnsi="宋体" w:cs="宋体"/>
                <w:sz w:val="24"/>
              </w:rPr>
              <w:t xml:space="preserve">□采购人</w:t>
            </w:r>
            <w:r/>
          </w:p>
          <w:p>
            <w:pPr>
              <w:pStyle w:val="1072"/>
              <w:jc w:val="left"/>
              <w:rPr>
                <w:rFonts w:hint="eastAsia" w:ascii="宋体" w:hAnsi="宋体" w:cs="宋体"/>
                <w:sz w:val="24"/>
              </w:rPr>
            </w:pPr>
            <w:r>
              <w:rPr>
                <w:rFonts w:hint="eastAsia" w:ascii="宋体" w:hAnsi="宋体" w:cs="宋体"/>
                <w:sz w:val="24"/>
              </w:rPr>
              <w:t xml:space="preserve">■中标人</w:t>
            </w:r>
            <w:r/>
          </w:p>
          <w:p>
            <w:pPr>
              <w:pStyle w:val="1072"/>
              <w:jc w:val="left"/>
              <w:rPr>
                <w:rFonts w:hint="eastAsia" w:ascii="宋体" w:hAnsi="宋体" w:cs="宋体"/>
                <w:sz w:val="24"/>
              </w:rPr>
            </w:pPr>
            <w:r>
              <w:rPr>
                <w:rFonts w:hint="eastAsia" w:ascii="宋体" w:hAnsi="宋体" w:cs="宋体"/>
                <w:b/>
                <w:sz w:val="24"/>
              </w:rPr>
              <w:t xml:space="preserve">（二）收费标准：</w:t>
            </w:r>
            <w:r>
              <w:rPr>
                <w:rFonts w:hint="eastAsia" w:ascii="宋体" w:hAnsi="宋体" w:cs="宋体"/>
                <w:sz w:val="24"/>
              </w:rPr>
              <w:t xml:space="preserve"> </w:t>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72"/>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1072"/>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1072"/>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pStyle w:val="1072"/>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pStyle w:val="1072"/>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1072"/>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72"/>
                    <w:jc w:val="center"/>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72"/>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72"/>
                    <w:jc w:val="center"/>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72"/>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72"/>
                    <w:jc w:val="center"/>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1072"/>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72"/>
                    <w:jc w:val="center"/>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72"/>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72"/>
                    <w:jc w:val="center"/>
                    <w:rPr>
                      <w:rFonts w:hint="eastAsia" w:ascii="宋体" w:hAnsi="宋体" w:cs="宋体"/>
                      <w:szCs w:val="21"/>
                    </w:rPr>
                  </w:pPr>
                  <w:r>
                    <w:rPr>
                      <w:rFonts w:hint="eastAsia" w:ascii="宋体" w:hAnsi="宋体" w:cs="宋体"/>
                      <w:szCs w:val="21"/>
                    </w:rPr>
                    <w:t xml:space="preserve">…</w:t>
                  </w:r>
                  <w:r/>
                </w:p>
              </w:tc>
            </w:tr>
          </w:tbl>
          <w:p>
            <w:pPr>
              <w:pStyle w:val="1072"/>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1072"/>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按照上述标准的80%收取。</w:t>
            </w:r>
            <w:r/>
          </w:p>
          <w:p>
            <w:pPr>
              <w:pStyle w:val="1072"/>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中标人应在领取中标通知书时将代理费支付至常州市城投建设工程招标有限公司账户。</w:t>
            </w:r>
            <w:r/>
          </w:p>
          <w:p>
            <w:pPr>
              <w:pStyle w:val="1072"/>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2"/>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2"/>
              <w:ind w:firstLine="473"/>
              <w:jc w:val="left"/>
              <w:rPr>
                <w:rFonts w:hint="eastAsia" w:ascii="宋体" w:hAnsi="宋体" w:cs="宋体"/>
                <w:sz w:val="24"/>
              </w:rPr>
            </w:pPr>
            <w:r>
              <w:rPr>
                <w:rFonts w:hint="eastAsia" w:ascii="宋体" w:hAnsi="宋体" w:cs="宋体"/>
                <w:sz w:val="24"/>
              </w:rPr>
              <w:t xml:space="preserve">银行账号：32001624236052500905</w:t>
            </w:r>
            <w:r/>
          </w:p>
        </w:tc>
      </w:tr>
    </w:tbl>
    <w:p>
      <w:pPr>
        <w:pStyle w:val="1072"/>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r>
      <w:r/>
    </w:p>
    <w:p>
      <w:pPr>
        <w:pStyle w:val="1072"/>
        <w:jc w:val="center"/>
        <w:spacing w:before="240" w:after="240"/>
        <w:rPr>
          <w:rFonts w:hint="eastAsia" w:ascii="宋体" w:hAnsi="宋体" w:cs="宋体"/>
          <w:b/>
          <w:sz w:val="28"/>
          <w:szCs w:val="28"/>
        </w:rPr>
      </w:pPr>
      <w:r/>
      <w:bookmarkStart w:id="75" w:name="_Toc226337213"/>
      <w:r/>
      <w:bookmarkStart w:id="76" w:name="_Toc353825542"/>
      <w:r/>
      <w:bookmarkStart w:id="77" w:name="_Toc195842882"/>
      <w:r/>
      <w:bookmarkStart w:id="78" w:name="_Toc127151517"/>
      <w:r/>
      <w:bookmarkStart w:id="79" w:name="_Toc305158785"/>
      <w:r/>
      <w:bookmarkStart w:id="80" w:name="_Toc150480755"/>
      <w:r/>
      <w:bookmarkStart w:id="81" w:name="_Toc150774722"/>
      <w:r/>
      <w:bookmarkStart w:id="82" w:name="_Toc264969207"/>
      <w:r/>
      <w:bookmarkStart w:id="83" w:name="_Toc265228355"/>
      <w:r/>
      <w:bookmarkStart w:id="84" w:name="_Toc353873932"/>
      <w:r/>
      <w:bookmarkStart w:id="85" w:name="_Toc226965790"/>
      <w:r/>
      <w:bookmarkStart w:id="86" w:name="_Toc142311019"/>
      <w:r/>
      <w:bookmarkStart w:id="87" w:name="_Toc305158859"/>
      <w:r/>
      <w:bookmarkStart w:id="88" w:name="_Toc35387366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4"/>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0480756"/>
      <w:r/>
      <w:bookmarkStart w:id="92" w:name="_Toc142311020"/>
      <w:r/>
      <w:bookmarkStart w:id="93" w:name="_Toc151193832"/>
      <w:r/>
      <w:bookmarkStart w:id="94" w:name="_Toc151193760"/>
      <w:r/>
      <w:bookmarkStart w:id="95" w:name="_Toc265228356"/>
      <w:r/>
      <w:bookmarkStart w:id="96" w:name="_Toc226965708"/>
      <w:r/>
      <w:bookmarkStart w:id="97" w:name="_Toc150509269"/>
      <w:r/>
      <w:bookmarkStart w:id="98" w:name="_Toc226965791"/>
      <w:r/>
      <w:bookmarkStart w:id="99" w:name="_Toc151193616"/>
      <w:r/>
      <w:bookmarkStart w:id="100" w:name="_Toc150774723"/>
      <w:r/>
      <w:bookmarkStart w:id="101" w:name="_Toc195842883"/>
      <w:r/>
      <w:bookmarkStart w:id="102" w:name="_Toc150774618"/>
      <w:r/>
      <w:bookmarkStart w:id="103" w:name="_Toc151193906"/>
      <w:r/>
      <w:bookmarkStart w:id="104" w:name="_Toc305158860"/>
      <w:r/>
      <w:bookmarkStart w:id="105" w:name="_Toc151193688"/>
      <w:r/>
      <w:bookmarkStart w:id="106" w:name="_Toc226309762"/>
      <w:r/>
      <w:bookmarkStart w:id="107" w:name="_Toc264969208"/>
      <w:r/>
      <w:bookmarkStart w:id="108" w:name="_Toc226337214"/>
      <w:r/>
      <w:bookmarkStart w:id="109" w:name="_Toc151190145"/>
      <w:r/>
      <w:bookmarkStart w:id="110" w:name="_Toc305158786"/>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72"/>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787"/>
      <w:r/>
      <w:bookmarkStart w:id="112" w:name="_Toc264969209"/>
      <w:r/>
      <w:bookmarkStart w:id="113" w:name="_Toc265228357"/>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2"/>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0147"/>
      <w:r/>
      <w:bookmarkStart w:id="116" w:name="_Toc150480758"/>
      <w:r/>
      <w:bookmarkStart w:id="117" w:name="_Toc151193834"/>
      <w:r/>
      <w:bookmarkStart w:id="118" w:name="_Toc127151520"/>
      <w:r/>
      <w:bookmarkStart w:id="119" w:name="_Toc150509271"/>
      <w:r/>
      <w:bookmarkStart w:id="120" w:name="_Toc150774620"/>
      <w:r/>
      <w:bookmarkStart w:id="121" w:name="_Toc226337216"/>
      <w:r/>
      <w:bookmarkStart w:id="122" w:name="_Toc150774725"/>
      <w:r/>
      <w:bookmarkStart w:id="123" w:name="_Toc305158788"/>
      <w:r/>
      <w:bookmarkStart w:id="124" w:name="_Toc264969210"/>
      <w:r/>
      <w:bookmarkStart w:id="125" w:name="_Toc127161434"/>
      <w:r/>
      <w:bookmarkStart w:id="126" w:name="_Toc164351614"/>
      <w:r/>
      <w:bookmarkStart w:id="127" w:name="_Toc164608789"/>
      <w:r/>
      <w:bookmarkStart w:id="128" w:name="_Toc151193690"/>
      <w:r/>
      <w:bookmarkStart w:id="129" w:name="_Toc195842885"/>
      <w:r/>
      <w:bookmarkStart w:id="130" w:name="_Toc149720813"/>
      <w:r/>
      <w:bookmarkStart w:id="131" w:name="_Toc226309764"/>
      <w:r/>
      <w:bookmarkStart w:id="132" w:name="_Toc265228358"/>
      <w:r/>
      <w:bookmarkStart w:id="133" w:name="_Toc164608634"/>
      <w:r/>
      <w:bookmarkStart w:id="134" w:name="_Toc164229215"/>
      <w:r/>
      <w:bookmarkStart w:id="135" w:name="_Toc164229361"/>
      <w:r/>
      <w:bookmarkStart w:id="136" w:name="_Toc151193908"/>
      <w:r/>
      <w:bookmarkStart w:id="137" w:name="_Toc151193618"/>
      <w:r/>
      <w:bookmarkStart w:id="138" w:name="_Toc142311022"/>
      <w:r/>
      <w:bookmarkStart w:id="139" w:name="_Toc226965793"/>
      <w:r/>
      <w:bookmarkStart w:id="140" w:name="_Toc127151721"/>
      <w:r/>
      <w:bookmarkStart w:id="141" w:name="_Toc151193762"/>
      <w:r/>
      <w:bookmarkStart w:id="142" w:name="_Toc305158862"/>
      <w:r/>
      <w:bookmarkStart w:id="143" w:name="_Toc226965710"/>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2"/>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692"/>
      <w:r/>
      <w:bookmarkStart w:id="145" w:name="_Toc127151522"/>
      <w:r/>
      <w:bookmarkStart w:id="146" w:name="_Toc151190149"/>
      <w:r/>
      <w:bookmarkStart w:id="147" w:name="_Toc142311024"/>
      <w:r/>
      <w:bookmarkStart w:id="148" w:name="_Toc305158864"/>
      <w:r/>
      <w:bookmarkStart w:id="149" w:name="_Toc151193764"/>
      <w:r/>
      <w:bookmarkStart w:id="150" w:name="_Toc226337218"/>
      <w:r/>
      <w:bookmarkStart w:id="151" w:name="_Toc150480760"/>
      <w:r/>
      <w:bookmarkStart w:id="152" w:name="_Toc195842887"/>
      <w:r/>
      <w:bookmarkStart w:id="153" w:name="_Toc226965795"/>
      <w:r/>
      <w:bookmarkStart w:id="154" w:name="_Toc305158790"/>
      <w:r/>
      <w:bookmarkStart w:id="155" w:name="_Toc151193836"/>
      <w:r/>
      <w:bookmarkStart w:id="156" w:name="_Toc150509273"/>
      <w:r/>
      <w:bookmarkStart w:id="157" w:name="_Toc151193910"/>
      <w:r/>
      <w:bookmarkStart w:id="158" w:name="_Toc226965712"/>
      <w:r/>
      <w:bookmarkStart w:id="159" w:name="_Toc150774622"/>
      <w:r/>
      <w:bookmarkStart w:id="160" w:name="_Toc265228360"/>
      <w:r/>
      <w:bookmarkStart w:id="161" w:name="_Toc520356146"/>
      <w:r/>
      <w:bookmarkStart w:id="162" w:name="_Toc150774727"/>
      <w:r/>
      <w:bookmarkStart w:id="163" w:name="_Toc226309766"/>
      <w:r/>
      <w:bookmarkStart w:id="164" w:name="_Toc264969212"/>
      <w:r/>
      <w:bookmarkStart w:id="165" w:name="_Toc151193620"/>
      <w:r>
        <w:rPr>
          <w:rFonts w:hint="eastAsia" w:ascii="宋体" w:hAnsi="宋体" w:cs="宋体"/>
          <w:sz w:val="28"/>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2"/>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2"/>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2"/>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2"/>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67"/>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7"/>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2"/>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2"/>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2"/>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2"/>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2"/>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2"/>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305158865"/>
      <w:r/>
      <w:bookmarkStart w:id="168" w:name="_Toc226309767"/>
      <w:r/>
      <w:bookmarkStart w:id="169" w:name="_Toc149720816"/>
      <w:r/>
      <w:bookmarkStart w:id="170" w:name="_Toc151190150"/>
      <w:r/>
      <w:bookmarkStart w:id="171" w:name="_Toc265228361"/>
      <w:r/>
      <w:bookmarkStart w:id="172" w:name="_Toc151193765"/>
      <w:r/>
      <w:bookmarkStart w:id="173" w:name="_Toc195842888"/>
      <w:r/>
      <w:bookmarkStart w:id="174" w:name="_Toc142311025"/>
      <w:r/>
      <w:bookmarkStart w:id="175" w:name="_Toc164229218"/>
      <w:r/>
      <w:bookmarkStart w:id="176" w:name="_Toc150509274"/>
      <w:r/>
      <w:bookmarkStart w:id="177" w:name="_Toc151193621"/>
      <w:r/>
      <w:bookmarkStart w:id="178" w:name="_Toc151193911"/>
      <w:r/>
      <w:bookmarkStart w:id="179" w:name="_Toc226965713"/>
      <w:r/>
      <w:bookmarkStart w:id="180" w:name="_Toc127151523"/>
      <w:r/>
      <w:bookmarkStart w:id="181" w:name="_Toc164608792"/>
      <w:r/>
      <w:bookmarkStart w:id="182" w:name="_Toc164229364"/>
      <w:r/>
      <w:bookmarkStart w:id="183" w:name="_Toc127161437"/>
      <w:r/>
      <w:bookmarkStart w:id="184" w:name="_Toc226965796"/>
      <w:r/>
      <w:bookmarkStart w:id="185" w:name="_Toc150480761"/>
      <w:r/>
      <w:bookmarkStart w:id="186" w:name="_Toc151193693"/>
      <w:r/>
      <w:bookmarkStart w:id="187" w:name="_Toc164608637"/>
      <w:r/>
      <w:bookmarkStart w:id="188" w:name="_Toc150774728"/>
      <w:r/>
      <w:bookmarkStart w:id="189" w:name="_Toc164351617"/>
      <w:r/>
      <w:bookmarkStart w:id="190" w:name="_Toc127151724"/>
      <w:r/>
      <w:bookmarkStart w:id="191" w:name="_Toc305158791"/>
      <w:r/>
      <w:bookmarkStart w:id="192" w:name="_Toc226337219"/>
      <w:r/>
      <w:bookmarkStart w:id="193" w:name="_Toc151193837"/>
      <w:r/>
      <w:bookmarkStart w:id="194" w:name="_Toc264969213"/>
      <w:r/>
      <w:bookmarkStart w:id="195" w:name="_Toc150774623"/>
      <w:r/>
      <w:bookmarkStart w:id="196" w:name="_Toc520356147"/>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4"/>
        <w:ind w:firstLine="562"/>
        <w:spacing w:before="0" w:line="360" w:lineRule="auto"/>
        <w:rPr>
          <w:rFonts w:hint="eastAsia" w:ascii="宋体" w:hAnsi="宋体" w:eastAsia="宋体" w:cs="宋体"/>
          <w:sz w:val="28"/>
        </w:rPr>
      </w:pPr>
      <w:r/>
      <w:bookmarkStart w:id="197" w:name="_Toc151190153"/>
      <w:r/>
      <w:bookmarkStart w:id="198" w:name="_Toc150774731"/>
      <w:r/>
      <w:bookmarkStart w:id="199" w:name="_Toc226309770"/>
      <w:r/>
      <w:bookmarkStart w:id="200" w:name="_Toc520356150"/>
      <w:r/>
      <w:bookmarkStart w:id="201" w:name="_Toc142311028"/>
      <w:r/>
      <w:bookmarkStart w:id="202" w:name="_Toc151193914"/>
      <w:r/>
      <w:bookmarkStart w:id="203" w:name="_Toc226965799"/>
      <w:r/>
      <w:bookmarkStart w:id="204" w:name="_Toc150509277"/>
      <w:r/>
      <w:bookmarkStart w:id="205" w:name="_Toc151193696"/>
      <w:r/>
      <w:bookmarkStart w:id="206" w:name="_Toc305158868"/>
      <w:r/>
      <w:bookmarkStart w:id="207" w:name="_Toc265228364"/>
      <w:r/>
      <w:bookmarkStart w:id="208" w:name="_Toc151193624"/>
      <w:r/>
      <w:bookmarkStart w:id="209" w:name="_Toc305158794"/>
      <w:r/>
      <w:bookmarkStart w:id="210" w:name="_Toc516367020"/>
      <w:r/>
      <w:bookmarkStart w:id="211" w:name="_Toc226965716"/>
      <w:r/>
      <w:bookmarkStart w:id="212" w:name="_Toc264969216"/>
      <w:r/>
      <w:bookmarkStart w:id="213" w:name="_Toc150480764"/>
      <w:r/>
      <w:bookmarkStart w:id="214" w:name="_Toc127151526"/>
      <w:r/>
      <w:bookmarkStart w:id="215" w:name="_Toc195842891"/>
      <w:r/>
      <w:bookmarkStart w:id="216" w:name="_Toc150774626"/>
      <w:r/>
      <w:bookmarkStart w:id="217" w:name="_Toc226337222"/>
      <w:r/>
      <w:bookmarkStart w:id="218" w:name="_Toc151193768"/>
      <w:r/>
      <w:bookmarkStart w:id="219" w:name="_Toc151193840"/>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64608641"/>
      <w:r/>
      <w:bookmarkStart w:id="221" w:name="_Toc164229368"/>
      <w:r/>
      <w:bookmarkStart w:id="222" w:name="_Toc305158869"/>
      <w:r/>
      <w:bookmarkStart w:id="223" w:name="_Toc226309771"/>
      <w:r/>
      <w:bookmarkStart w:id="224" w:name="_Toc226965800"/>
      <w:r/>
      <w:bookmarkStart w:id="225" w:name="_Toc150774627"/>
      <w:r/>
      <w:bookmarkStart w:id="226" w:name="_Toc150509278"/>
      <w:r/>
      <w:bookmarkStart w:id="227" w:name="_Toc149720820"/>
      <w:r/>
      <w:bookmarkStart w:id="228" w:name="_Toc127151527"/>
      <w:r/>
      <w:bookmarkStart w:id="229" w:name="_Toc127151728"/>
      <w:r/>
      <w:bookmarkStart w:id="230" w:name="_Toc151190154"/>
      <w:r/>
      <w:bookmarkStart w:id="231" w:name="_Toc151193769"/>
      <w:r/>
      <w:bookmarkStart w:id="232" w:name="_Toc164351621"/>
      <w:r/>
      <w:bookmarkStart w:id="233" w:name="_Toc150774732"/>
      <w:r/>
      <w:bookmarkStart w:id="234" w:name="_Toc150480765"/>
      <w:r/>
      <w:bookmarkStart w:id="235" w:name="_Toc127161441"/>
      <w:r/>
      <w:bookmarkStart w:id="236" w:name="_Toc164229222"/>
      <w:r/>
      <w:bookmarkStart w:id="237" w:name="_Toc151193697"/>
      <w:r/>
      <w:bookmarkStart w:id="238" w:name="_Toc305158795"/>
      <w:r/>
      <w:bookmarkStart w:id="239" w:name="_Toc226965717"/>
      <w:r/>
      <w:bookmarkStart w:id="240" w:name="_Toc151193915"/>
      <w:r/>
      <w:bookmarkStart w:id="241" w:name="_Toc516367021"/>
      <w:r/>
      <w:bookmarkStart w:id="242" w:name="_Toc226337223"/>
      <w:r/>
      <w:bookmarkStart w:id="243" w:name="_Toc264969217"/>
      <w:r/>
      <w:bookmarkStart w:id="244" w:name="_Toc151193841"/>
      <w:r/>
      <w:bookmarkStart w:id="245" w:name="_Toc142311029"/>
      <w:r/>
      <w:bookmarkStart w:id="246" w:name="_Toc520356151"/>
      <w:r/>
      <w:bookmarkStart w:id="247" w:name="_Toc265228365"/>
      <w:r/>
      <w:bookmarkStart w:id="248" w:name="_Toc195842892"/>
      <w:r/>
      <w:bookmarkStart w:id="249" w:name="_Toc164608796"/>
      <w:r/>
      <w:bookmarkStart w:id="250" w:name="_Toc151193625"/>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27151729"/>
      <w:r/>
      <w:bookmarkStart w:id="252" w:name="_Toc164608797"/>
      <w:r/>
      <w:bookmarkStart w:id="253" w:name="_Toc164229369"/>
      <w:r/>
      <w:bookmarkStart w:id="254" w:name="_Toc164229223"/>
      <w:r/>
      <w:bookmarkStart w:id="255" w:name="_Toc226965801"/>
      <w:r/>
      <w:bookmarkStart w:id="256" w:name="_Toc127161442"/>
      <w:r/>
      <w:bookmarkStart w:id="257" w:name="_Toc264969218"/>
      <w:r/>
      <w:bookmarkStart w:id="258" w:name="_Toc516367022"/>
      <w:r/>
      <w:bookmarkStart w:id="259" w:name="_Ref467306676"/>
      <w:r/>
      <w:bookmarkStart w:id="260" w:name="_Ref467306195"/>
      <w:r/>
      <w:bookmarkStart w:id="261" w:name="_Toc151193770"/>
      <w:r/>
      <w:bookmarkStart w:id="262" w:name="_Toc151193916"/>
      <w:r/>
      <w:bookmarkStart w:id="263" w:name="_Toc305158796"/>
      <w:r/>
      <w:bookmarkStart w:id="264" w:name="_Toc151193698"/>
      <w:r/>
      <w:bookmarkStart w:id="265" w:name="_Toc226337224"/>
      <w:r/>
      <w:bookmarkStart w:id="266" w:name="_Toc127151528"/>
      <w:r/>
      <w:bookmarkStart w:id="267" w:name="_Toc520356152"/>
      <w:r/>
      <w:bookmarkStart w:id="268" w:name="_Toc151193626"/>
      <w:r/>
      <w:bookmarkStart w:id="269" w:name="_Toc151193842"/>
      <w:r/>
      <w:bookmarkStart w:id="270" w:name="_Toc164608642"/>
      <w:r/>
      <w:bookmarkStart w:id="271" w:name="_Toc226309772"/>
      <w:r/>
      <w:bookmarkStart w:id="272" w:name="_Toc149720821"/>
      <w:r/>
      <w:bookmarkStart w:id="273" w:name="_Toc195842893"/>
      <w:r/>
      <w:bookmarkStart w:id="274" w:name="_Toc150480766"/>
      <w:r/>
      <w:bookmarkStart w:id="275" w:name="_Toc305158870"/>
      <w:r/>
      <w:bookmarkStart w:id="276" w:name="_Toc142311030"/>
      <w:r/>
      <w:bookmarkStart w:id="277" w:name="_Toc265228366"/>
      <w:r/>
      <w:bookmarkStart w:id="278" w:name="_Toc150509279"/>
      <w:r/>
      <w:bookmarkStart w:id="279" w:name="_Toc164351622"/>
      <w:r/>
      <w:bookmarkStart w:id="280" w:name="_Toc150774628"/>
      <w:r/>
      <w:bookmarkStart w:id="281" w:name="_Toc226965718"/>
      <w:r/>
      <w:bookmarkStart w:id="282" w:name="_Toc151190155"/>
      <w:r/>
      <w:bookmarkStart w:id="283" w:name="_Toc150774733"/>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64229371"/>
      <w:r/>
      <w:bookmarkStart w:id="286" w:name="_Toc127151731"/>
      <w:r/>
      <w:bookmarkStart w:id="287" w:name="_Toc164351624"/>
      <w:r/>
      <w:bookmarkStart w:id="288" w:name="_Toc164229225"/>
      <w:r/>
      <w:bookmarkStart w:id="289" w:name="_Toc150509281"/>
      <w:r/>
      <w:bookmarkStart w:id="290" w:name="_Toc127151530"/>
      <w:r/>
      <w:bookmarkStart w:id="291" w:name="_Toc150774735"/>
      <w:r/>
      <w:bookmarkStart w:id="292" w:name="_Toc520356155"/>
      <w:r/>
      <w:bookmarkStart w:id="293" w:name="_Toc149720823"/>
      <w:r/>
      <w:bookmarkStart w:id="294" w:name="_Toc151193918"/>
      <w:r/>
      <w:bookmarkStart w:id="295" w:name="_Toc195842895"/>
      <w:r/>
      <w:bookmarkStart w:id="296" w:name="_Toc151193844"/>
      <w:r/>
      <w:bookmarkStart w:id="297" w:name="_Toc164608799"/>
      <w:r/>
      <w:bookmarkStart w:id="298" w:name="_Toc142311032"/>
      <w:r/>
      <w:bookmarkStart w:id="299" w:name="_Toc150480768"/>
      <w:r/>
      <w:bookmarkStart w:id="300" w:name="_Toc151190157"/>
      <w:r/>
      <w:bookmarkStart w:id="301" w:name="_Toc151193700"/>
      <w:r/>
      <w:bookmarkStart w:id="302" w:name="_Toc164608644"/>
      <w:r/>
      <w:bookmarkStart w:id="303" w:name="_Toc151193628"/>
      <w:r/>
      <w:bookmarkStart w:id="304" w:name="_Toc127161444"/>
      <w:r/>
      <w:bookmarkStart w:id="305" w:name="_Toc151193772"/>
      <w:r/>
      <w:bookmarkStart w:id="306" w:name="_Toc150774630"/>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27151531"/>
      <w:r/>
      <w:bookmarkStart w:id="308" w:name="_Toc150774736"/>
      <w:r/>
      <w:bookmarkStart w:id="309" w:name="_Toc226309775"/>
      <w:r/>
      <w:bookmarkStart w:id="310" w:name="_Toc151193919"/>
      <w:r/>
      <w:bookmarkStart w:id="311" w:name="_Toc150480769"/>
      <w:r/>
      <w:bookmarkStart w:id="312" w:name="_Toc127161445"/>
      <w:r/>
      <w:bookmarkStart w:id="313" w:name="_Toc226337227"/>
      <w:r/>
      <w:bookmarkStart w:id="314" w:name="_Toc150774631"/>
      <w:r/>
      <w:bookmarkStart w:id="315" w:name="_Toc164351625"/>
      <w:r/>
      <w:bookmarkStart w:id="316" w:name="_Ref467306513"/>
      <w:r/>
      <w:bookmarkStart w:id="317" w:name="_Toc305158873"/>
      <w:r/>
      <w:bookmarkStart w:id="318" w:name="_Toc520356156"/>
      <w:r/>
      <w:bookmarkStart w:id="319" w:name="_Toc164229372"/>
      <w:r/>
      <w:bookmarkStart w:id="320" w:name="_Toc265228369"/>
      <w:r/>
      <w:bookmarkStart w:id="321" w:name="_Toc195842896"/>
      <w:r/>
      <w:bookmarkStart w:id="322" w:name="_Toc150509282"/>
      <w:r/>
      <w:bookmarkStart w:id="323" w:name="_Toc164229226"/>
      <w:r/>
      <w:bookmarkStart w:id="324" w:name="_Toc151193629"/>
      <w:r/>
      <w:bookmarkStart w:id="325" w:name="_Toc151193773"/>
      <w:r/>
      <w:bookmarkStart w:id="326" w:name="_Toc151193701"/>
      <w:r/>
      <w:bookmarkStart w:id="327" w:name="_Toc264969221"/>
      <w:r/>
      <w:bookmarkStart w:id="328" w:name="_Toc164608645"/>
      <w:r/>
      <w:bookmarkStart w:id="329" w:name="_Toc305158799"/>
      <w:r/>
      <w:bookmarkStart w:id="330" w:name="_Toc149720824"/>
      <w:r/>
      <w:bookmarkStart w:id="331" w:name="_Toc151190158"/>
      <w:r/>
      <w:bookmarkStart w:id="332" w:name="_Toc127151732"/>
      <w:r/>
      <w:bookmarkStart w:id="333" w:name="_Toc226965721"/>
      <w:r/>
      <w:bookmarkStart w:id="334" w:name="_Toc226965804"/>
      <w:r/>
      <w:bookmarkStart w:id="335" w:name="_Toc142311033"/>
      <w:r/>
      <w:bookmarkStart w:id="336" w:name="_Toc151193845"/>
      <w:r/>
      <w:bookmarkStart w:id="337" w:name="_Toc164608800"/>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2"/>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305158874"/>
      <w:r/>
      <w:bookmarkStart w:id="339" w:name="_Toc127161446"/>
      <w:r/>
      <w:bookmarkStart w:id="340" w:name="_Toc226337228"/>
      <w:r/>
      <w:bookmarkStart w:id="341" w:name="_Toc150509283"/>
      <w:r/>
      <w:bookmarkStart w:id="342" w:name="_Toc151193846"/>
      <w:r/>
      <w:bookmarkStart w:id="343" w:name="_Toc151193630"/>
      <w:r/>
      <w:bookmarkStart w:id="344" w:name="_Toc164351626"/>
      <w:r/>
      <w:bookmarkStart w:id="345" w:name="_Toc164608646"/>
      <w:r/>
      <w:bookmarkStart w:id="346" w:name="_Toc264969222"/>
      <w:r/>
      <w:bookmarkStart w:id="347" w:name="_Toc265228370"/>
      <w:r/>
      <w:bookmarkStart w:id="348" w:name="_Toc164608801"/>
      <w:r/>
      <w:bookmarkStart w:id="349" w:name="_Toc149720825"/>
      <w:r/>
      <w:bookmarkStart w:id="350" w:name="_Toc226965805"/>
      <w:r/>
      <w:bookmarkStart w:id="351" w:name="_Toc151190159"/>
      <w:r/>
      <w:bookmarkStart w:id="352" w:name="_Toc127151532"/>
      <w:r/>
      <w:bookmarkStart w:id="353" w:name="_Toc305158800"/>
      <w:r/>
      <w:bookmarkStart w:id="354" w:name="_Toc520356157"/>
      <w:r/>
      <w:bookmarkStart w:id="355" w:name="_Toc151193702"/>
      <w:r/>
      <w:bookmarkStart w:id="356" w:name="_Toc127151733"/>
      <w:r/>
      <w:bookmarkStart w:id="357" w:name="_Toc164229227"/>
      <w:r/>
      <w:bookmarkStart w:id="358" w:name="_Toc150774737"/>
      <w:r/>
      <w:bookmarkStart w:id="359" w:name="_Toc164229373"/>
      <w:r/>
      <w:bookmarkStart w:id="360" w:name="_Toc195842897"/>
      <w:r/>
      <w:bookmarkStart w:id="361" w:name="_Toc151193920"/>
      <w:r/>
      <w:bookmarkStart w:id="362" w:name="_Toc151193774"/>
      <w:r/>
      <w:bookmarkStart w:id="363" w:name="_Toc150774632"/>
      <w:r/>
      <w:bookmarkStart w:id="364" w:name="_Toc226309776"/>
      <w:r/>
      <w:bookmarkStart w:id="365" w:name="_Toc226965722"/>
      <w:r/>
      <w:bookmarkStart w:id="366" w:name="_Toc142311034"/>
      <w:r/>
      <w:bookmarkStart w:id="367" w:name="_Toc150480770"/>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0774633"/>
      <w:r/>
      <w:bookmarkStart w:id="369" w:name="_Toc150509284"/>
      <w:r/>
      <w:bookmarkStart w:id="370" w:name="_Toc151193847"/>
      <w:r/>
      <w:bookmarkStart w:id="371" w:name="_Toc127161447"/>
      <w:r/>
      <w:bookmarkStart w:id="372" w:name="_Toc151190160"/>
      <w:r/>
      <w:bookmarkStart w:id="373" w:name="_Toc164608802"/>
      <w:r/>
      <w:bookmarkStart w:id="374" w:name="_Toc226965806"/>
      <w:r/>
      <w:bookmarkStart w:id="375" w:name="_Toc127151533"/>
      <w:r/>
      <w:bookmarkStart w:id="376" w:name="_Toc164351627"/>
      <w:r/>
      <w:bookmarkStart w:id="377" w:name="_Toc226965723"/>
      <w:r/>
      <w:bookmarkStart w:id="378" w:name="_Toc151193775"/>
      <w:r/>
      <w:bookmarkStart w:id="379" w:name="_Toc149720826"/>
      <w:r/>
      <w:bookmarkStart w:id="380" w:name="_Toc164608647"/>
      <w:r/>
      <w:bookmarkStart w:id="381" w:name="_Toc151193921"/>
      <w:r/>
      <w:bookmarkStart w:id="382" w:name="_Toc164229374"/>
      <w:r/>
      <w:bookmarkStart w:id="383" w:name="_Toc264969223"/>
      <w:r/>
      <w:bookmarkStart w:id="384" w:name="_Toc520356158"/>
      <w:r/>
      <w:bookmarkStart w:id="385" w:name="_Toc164229228"/>
      <w:r/>
      <w:bookmarkStart w:id="386" w:name="_Toc142311035"/>
      <w:r/>
      <w:bookmarkStart w:id="387" w:name="_Toc151193703"/>
      <w:r/>
      <w:bookmarkStart w:id="388" w:name="_Toc265228371"/>
      <w:r/>
      <w:bookmarkStart w:id="389" w:name="_Toc150774738"/>
      <w:r/>
      <w:bookmarkStart w:id="390" w:name="_Toc226309777"/>
      <w:r/>
      <w:bookmarkStart w:id="391" w:name="_Toc151193631"/>
      <w:r/>
      <w:bookmarkStart w:id="392" w:name="_Toc305158875"/>
      <w:r/>
      <w:bookmarkStart w:id="393" w:name="_Toc226337229"/>
      <w:r/>
      <w:bookmarkStart w:id="394" w:name="_Toc150480771"/>
      <w:r/>
      <w:bookmarkStart w:id="395" w:name="_Toc127151734"/>
      <w:r/>
      <w:bookmarkStart w:id="396" w:name="_Toc305158801"/>
      <w:r/>
      <w:bookmarkStart w:id="397" w:name="_Toc195842898"/>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0509285"/>
      <w:r/>
      <w:bookmarkStart w:id="399" w:name="_Toc150480772"/>
      <w:r/>
      <w:bookmarkStart w:id="400" w:name="_Toc151193776"/>
      <w:r/>
      <w:bookmarkStart w:id="401" w:name="_Toc142311036"/>
      <w:r/>
      <w:bookmarkStart w:id="402" w:name="_Toc150774739"/>
      <w:r/>
      <w:bookmarkStart w:id="403" w:name="_Toc151193704"/>
      <w:r/>
      <w:bookmarkStart w:id="404" w:name="_Toc305158802"/>
      <w:r/>
      <w:bookmarkStart w:id="405" w:name="_Toc305158876"/>
      <w:r/>
      <w:bookmarkStart w:id="406" w:name="_Toc265228372"/>
      <w:r/>
      <w:bookmarkStart w:id="407" w:name="_Toc151193632"/>
      <w:r/>
      <w:bookmarkStart w:id="408" w:name="_Toc151193848"/>
      <w:r/>
      <w:bookmarkStart w:id="409" w:name="_Toc127151534"/>
      <w:r/>
      <w:bookmarkStart w:id="410" w:name="_Toc151193922"/>
      <w:r/>
      <w:bookmarkStart w:id="411" w:name="_Toc226965724"/>
      <w:r/>
      <w:bookmarkStart w:id="412" w:name="_Toc226337230"/>
      <w:r/>
      <w:bookmarkStart w:id="413" w:name="_Toc226965807"/>
      <w:r/>
      <w:bookmarkStart w:id="414" w:name="_Toc150774634"/>
      <w:r/>
      <w:bookmarkStart w:id="415" w:name="_Toc520356159"/>
      <w:r/>
      <w:bookmarkStart w:id="416" w:name="_Toc264969224"/>
      <w:r/>
      <w:bookmarkStart w:id="417" w:name="_Toc151190161"/>
      <w:r/>
      <w:bookmarkStart w:id="418" w:name="_Toc195842899"/>
      <w:r/>
      <w:bookmarkStart w:id="419" w:name="_Toc226309778"/>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2"/>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1193849"/>
      <w:r/>
      <w:bookmarkStart w:id="421" w:name="_Toc150774740"/>
      <w:r/>
      <w:bookmarkStart w:id="422" w:name="_Toc164229230"/>
      <w:r/>
      <w:bookmarkStart w:id="423" w:name="_Toc264969225"/>
      <w:r/>
      <w:bookmarkStart w:id="424" w:name="_Toc226965808"/>
      <w:r/>
      <w:bookmarkStart w:id="425" w:name="_Toc150480773"/>
      <w:r/>
      <w:bookmarkStart w:id="426" w:name="_Toc151193705"/>
      <w:r/>
      <w:bookmarkStart w:id="427" w:name="_Toc305158877"/>
      <w:r/>
      <w:bookmarkStart w:id="428" w:name="_Toc149720828"/>
      <w:r/>
      <w:bookmarkStart w:id="429" w:name="_Toc151193777"/>
      <w:r/>
      <w:bookmarkStart w:id="430" w:name="_Toc226309779"/>
      <w:r/>
      <w:bookmarkStart w:id="431" w:name="_Toc150774635"/>
      <w:r/>
      <w:bookmarkStart w:id="432" w:name="_Toc151190162"/>
      <w:r/>
      <w:bookmarkStart w:id="433" w:name="_Toc142311037"/>
      <w:r/>
      <w:bookmarkStart w:id="434" w:name="_Toc226965725"/>
      <w:r/>
      <w:bookmarkStart w:id="435" w:name="_Toc164351629"/>
      <w:r/>
      <w:bookmarkStart w:id="436" w:name="_Toc127161449"/>
      <w:r/>
      <w:bookmarkStart w:id="437" w:name="_Toc226337231"/>
      <w:r/>
      <w:bookmarkStart w:id="438" w:name="_Toc164229376"/>
      <w:r/>
      <w:bookmarkStart w:id="439" w:name="_Toc265228373"/>
      <w:r/>
      <w:bookmarkStart w:id="440" w:name="_Toc305158803"/>
      <w:r/>
      <w:bookmarkStart w:id="441" w:name="_Toc164608804"/>
      <w:r/>
      <w:bookmarkStart w:id="442" w:name="_Toc164608649"/>
      <w:r/>
      <w:bookmarkStart w:id="443" w:name="_Toc151193923"/>
      <w:r/>
      <w:bookmarkStart w:id="444" w:name="_Toc520356160"/>
      <w:r/>
      <w:bookmarkStart w:id="445" w:name="_Toc151193633"/>
      <w:r/>
      <w:bookmarkStart w:id="446" w:name="_Toc127151535"/>
      <w:r/>
      <w:bookmarkStart w:id="447" w:name="_Toc150509286"/>
      <w:r/>
      <w:bookmarkStart w:id="448" w:name="_Toc195842900"/>
      <w:r/>
      <w:bookmarkStart w:id="449" w:name="_Toc127151736"/>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226965809"/>
      <w:r/>
      <w:bookmarkStart w:id="451" w:name="_Toc164229231"/>
      <w:r/>
      <w:bookmarkStart w:id="452" w:name="_Toc265228374"/>
      <w:r/>
      <w:bookmarkStart w:id="453" w:name="_Toc305158804"/>
      <w:r/>
      <w:bookmarkStart w:id="454" w:name="_Toc151193634"/>
      <w:r/>
      <w:bookmarkStart w:id="455" w:name="_Toc226309780"/>
      <w:r/>
      <w:bookmarkStart w:id="456" w:name="_Toc264969226"/>
      <w:r/>
      <w:bookmarkStart w:id="457" w:name="_Toc151193850"/>
      <w:r/>
      <w:bookmarkStart w:id="458" w:name="_Toc149720829"/>
      <w:r/>
      <w:bookmarkStart w:id="459" w:name="_Toc151193924"/>
      <w:r/>
      <w:bookmarkStart w:id="460" w:name="_Toc127151737"/>
      <w:r/>
      <w:bookmarkStart w:id="461" w:name="_Toc226965726"/>
      <w:r/>
      <w:bookmarkStart w:id="462" w:name="_Toc127151536"/>
      <w:r/>
      <w:bookmarkStart w:id="463" w:name="_Toc164351630"/>
      <w:r/>
      <w:bookmarkStart w:id="464" w:name="_Toc305158878"/>
      <w:r/>
      <w:bookmarkStart w:id="465" w:name="_Toc226337232"/>
      <w:r/>
      <w:bookmarkStart w:id="466" w:name="_Toc195842901"/>
      <w:r/>
      <w:bookmarkStart w:id="467" w:name="_Toc164229377"/>
      <w:r/>
      <w:bookmarkStart w:id="468" w:name="_Toc520356161"/>
      <w:r/>
      <w:bookmarkStart w:id="469" w:name="_Toc150774741"/>
      <w:r/>
      <w:bookmarkStart w:id="470" w:name="_Toc164608650"/>
      <w:r/>
      <w:bookmarkStart w:id="471" w:name="_Toc150774636"/>
      <w:r/>
      <w:bookmarkStart w:id="472" w:name="_Toc142311038"/>
      <w:r/>
      <w:bookmarkStart w:id="473" w:name="_Toc151193778"/>
      <w:r/>
      <w:bookmarkStart w:id="474" w:name="_Toc151193706"/>
      <w:r/>
      <w:bookmarkStart w:id="475" w:name="_Toc164608805"/>
      <w:r/>
      <w:bookmarkStart w:id="476" w:name="_Toc127161450"/>
      <w:r/>
      <w:bookmarkStart w:id="477" w:name="_Toc150509287"/>
      <w:r/>
      <w:bookmarkStart w:id="478" w:name="_Toc151190163"/>
      <w:r/>
      <w:bookmarkStart w:id="479" w:name="_Toc150480774"/>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95842902"/>
      <w:r/>
      <w:bookmarkStart w:id="481" w:name="_Toc164351631"/>
      <w:r/>
      <w:bookmarkStart w:id="482" w:name="_Toc226965810"/>
      <w:r/>
      <w:bookmarkStart w:id="483" w:name="_Toc151193925"/>
      <w:r/>
      <w:bookmarkStart w:id="484" w:name="_Toc150774742"/>
      <w:r/>
      <w:bookmarkStart w:id="485" w:name="_Toc142311039"/>
      <w:r/>
      <w:bookmarkStart w:id="486" w:name="_Toc151190164"/>
      <w:r/>
      <w:bookmarkStart w:id="487" w:name="_Toc164229378"/>
      <w:r/>
      <w:bookmarkStart w:id="488" w:name="_Toc164229232"/>
      <w:r/>
      <w:bookmarkStart w:id="489" w:name="_Toc127161451"/>
      <w:r/>
      <w:bookmarkStart w:id="490" w:name="_Toc151193707"/>
      <w:r/>
      <w:bookmarkStart w:id="491" w:name="_Toc305158879"/>
      <w:r/>
      <w:bookmarkStart w:id="492" w:name="_Toc305158805"/>
      <w:r/>
      <w:bookmarkStart w:id="493" w:name="_Toc151193779"/>
      <w:r/>
      <w:bookmarkStart w:id="494" w:name="_Toc149720830"/>
      <w:r/>
      <w:bookmarkStart w:id="495" w:name="_Toc226309781"/>
      <w:r/>
      <w:bookmarkStart w:id="496" w:name="_Toc520356162"/>
      <w:r/>
      <w:bookmarkStart w:id="497" w:name="_Toc151193851"/>
      <w:r/>
      <w:bookmarkStart w:id="498" w:name="_Toc226965727"/>
      <w:r/>
      <w:bookmarkStart w:id="499" w:name="_Toc265228375"/>
      <w:r/>
      <w:bookmarkStart w:id="500" w:name="_Toc151193635"/>
      <w:r/>
      <w:bookmarkStart w:id="501" w:name="_Toc127151738"/>
      <w:r/>
      <w:bookmarkStart w:id="502" w:name="_Toc150774637"/>
      <w:r/>
      <w:bookmarkStart w:id="503" w:name="_Toc127151537"/>
      <w:r/>
      <w:bookmarkStart w:id="504" w:name="_Toc150480775"/>
      <w:r/>
      <w:bookmarkStart w:id="505" w:name="_Toc226337233"/>
      <w:r/>
      <w:bookmarkStart w:id="506" w:name="_Toc164608651"/>
      <w:r/>
      <w:bookmarkStart w:id="507" w:name="_Toc164608806"/>
      <w:r/>
      <w:bookmarkStart w:id="508" w:name="_Toc150509288"/>
      <w:r/>
      <w:bookmarkStart w:id="509" w:name="_Toc264969227"/>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2"/>
        <w:ind w:firstLine="480"/>
        <w:spacing w:line="360" w:lineRule="auto"/>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10" w:name="_Toc195842903"/>
      <w:r/>
      <w:bookmarkStart w:id="511" w:name="_Toc151190165"/>
      <w:r/>
      <w:bookmarkStart w:id="512" w:name="_Toc226965811"/>
      <w:r/>
      <w:bookmarkStart w:id="513" w:name="_Toc305158806"/>
      <w:r/>
      <w:bookmarkStart w:id="514" w:name="_Toc151193780"/>
      <w:r/>
      <w:bookmarkStart w:id="515" w:name="_Toc226337234"/>
      <w:r/>
      <w:bookmarkStart w:id="516" w:name="_Toc226965728"/>
      <w:r/>
      <w:bookmarkStart w:id="517" w:name="_Toc151193852"/>
      <w:r/>
      <w:bookmarkStart w:id="518" w:name="_Toc127151538"/>
      <w:r/>
      <w:bookmarkStart w:id="519" w:name="_Toc305158880"/>
      <w:r/>
      <w:bookmarkStart w:id="520" w:name="_Toc150774638"/>
      <w:r/>
      <w:bookmarkStart w:id="521" w:name="_Toc265228376"/>
      <w:r/>
      <w:bookmarkStart w:id="522" w:name="_Toc226309782"/>
      <w:r/>
      <w:bookmarkStart w:id="523" w:name="_Toc151193636"/>
      <w:r/>
      <w:bookmarkStart w:id="524" w:name="_Toc150509289"/>
      <w:r/>
      <w:bookmarkStart w:id="525" w:name="_Toc150480776"/>
      <w:r/>
      <w:bookmarkStart w:id="526" w:name="_Toc150774743"/>
      <w:r/>
      <w:bookmarkStart w:id="527" w:name="_Toc264969228"/>
      <w:r/>
      <w:bookmarkStart w:id="528" w:name="_Toc142311040"/>
      <w:r/>
      <w:bookmarkStart w:id="529" w:name="_Toc151193708"/>
      <w:r/>
      <w:bookmarkStart w:id="530" w:name="_Toc520356163"/>
      <w:r/>
      <w:bookmarkStart w:id="531" w:name="_Toc15119392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305158807"/>
      <w:r/>
      <w:bookmarkStart w:id="533" w:name="_Toc150774639"/>
      <w:r/>
      <w:bookmarkStart w:id="534" w:name="_Toc164351633"/>
      <w:r/>
      <w:bookmarkStart w:id="535" w:name="_Toc127161453"/>
      <w:r/>
      <w:bookmarkStart w:id="536" w:name="_Toc149720832"/>
      <w:r/>
      <w:bookmarkStart w:id="537" w:name="_Toc151193709"/>
      <w:r/>
      <w:bookmarkStart w:id="538" w:name="_Toc164229234"/>
      <w:r/>
      <w:bookmarkStart w:id="539" w:name="_Toc164608653"/>
      <w:r/>
      <w:bookmarkStart w:id="540" w:name="_Toc150480777"/>
      <w:r/>
      <w:bookmarkStart w:id="541" w:name="_Toc305158881"/>
      <w:r/>
      <w:bookmarkStart w:id="542" w:name="_Toc150774744"/>
      <w:r/>
      <w:bookmarkStart w:id="543" w:name="_Toc127151539"/>
      <w:r/>
      <w:bookmarkStart w:id="544" w:name="_Toc151193781"/>
      <w:r/>
      <w:bookmarkStart w:id="545" w:name="_Toc226309783"/>
      <w:r/>
      <w:bookmarkStart w:id="546" w:name="_Toc226337235"/>
      <w:r/>
      <w:bookmarkStart w:id="547" w:name="_Toc151190166"/>
      <w:r/>
      <w:bookmarkStart w:id="548" w:name="_Toc226965729"/>
      <w:r/>
      <w:bookmarkStart w:id="549" w:name="_Toc265228377"/>
      <w:r/>
      <w:bookmarkStart w:id="550" w:name="_Toc150509290"/>
      <w:r/>
      <w:bookmarkStart w:id="551" w:name="_Toc164229380"/>
      <w:r/>
      <w:bookmarkStart w:id="552" w:name="_Toc151193927"/>
      <w:r/>
      <w:bookmarkStart w:id="553" w:name="_Toc520356164"/>
      <w:r/>
      <w:bookmarkStart w:id="554" w:name="_Toc226965812"/>
      <w:r/>
      <w:bookmarkStart w:id="555" w:name="_Toc151193637"/>
      <w:r/>
      <w:bookmarkStart w:id="556" w:name="_Toc195842904"/>
      <w:r/>
      <w:bookmarkStart w:id="557" w:name="_Toc151193853"/>
      <w:r/>
      <w:bookmarkStart w:id="558" w:name="_Toc142311041"/>
      <w:r/>
      <w:bookmarkStart w:id="559" w:name="_Toc127151740"/>
      <w:r/>
      <w:bookmarkStart w:id="560" w:name="_Toc164608808"/>
      <w:r/>
      <w:bookmarkStart w:id="561" w:name="_Toc264969229"/>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2"/>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2"/>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51193854"/>
      <w:r/>
      <w:bookmarkStart w:id="564" w:name="_Toc150480778"/>
      <w:r/>
      <w:bookmarkStart w:id="565" w:name="_Toc150774640"/>
      <w:r/>
      <w:bookmarkStart w:id="566" w:name="_Toc164608654"/>
      <w:r/>
      <w:bookmarkStart w:id="567" w:name="_Toc151193782"/>
      <w:r/>
      <w:bookmarkStart w:id="568" w:name="_Toc127151540"/>
      <w:r/>
      <w:bookmarkStart w:id="569" w:name="_Toc127151741"/>
      <w:r/>
      <w:bookmarkStart w:id="570" w:name="_Toc151193638"/>
      <w:r/>
      <w:bookmarkStart w:id="571" w:name="_Toc151190167"/>
      <w:r/>
      <w:bookmarkStart w:id="572" w:name="_Toc226965813"/>
      <w:r/>
      <w:bookmarkStart w:id="573" w:name="_Toc150509291"/>
      <w:r/>
      <w:bookmarkStart w:id="574" w:name="_Toc195842905"/>
      <w:r/>
      <w:bookmarkStart w:id="575" w:name="_Toc149720833"/>
      <w:r/>
      <w:bookmarkStart w:id="576" w:name="_Toc164608809"/>
      <w:r/>
      <w:bookmarkStart w:id="577" w:name="_Toc164229381"/>
      <w:r/>
      <w:bookmarkStart w:id="578" w:name="_Toc164351634"/>
      <w:r/>
      <w:bookmarkStart w:id="579" w:name="_Toc127161454"/>
      <w:r/>
      <w:bookmarkStart w:id="580" w:name="_Toc305158882"/>
      <w:r/>
      <w:bookmarkStart w:id="581" w:name="_Toc264969230"/>
      <w:r/>
      <w:bookmarkStart w:id="582" w:name="_Toc150774745"/>
      <w:r/>
      <w:bookmarkStart w:id="583" w:name="_Toc151193928"/>
      <w:r/>
      <w:bookmarkStart w:id="584" w:name="_Toc226965730"/>
      <w:r/>
      <w:bookmarkStart w:id="585" w:name="_Toc305158808"/>
      <w:r/>
      <w:bookmarkStart w:id="586" w:name="_Toc265228378"/>
      <w:r/>
      <w:bookmarkStart w:id="587" w:name="_Toc164229235"/>
      <w:r/>
      <w:bookmarkStart w:id="588" w:name="_Toc226309784"/>
      <w:r/>
      <w:bookmarkStart w:id="589" w:name="_Toc142311042"/>
      <w:r/>
      <w:bookmarkStart w:id="590" w:name="_Toc151193710"/>
      <w:r/>
      <w:bookmarkStart w:id="591" w:name="_Toc226337236"/>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2"/>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94" w:name="_Toc151193859"/>
      <w:r/>
      <w:bookmarkStart w:id="595" w:name="_Toc150774750"/>
      <w:r/>
      <w:bookmarkStart w:id="596" w:name="_Toc305158813"/>
      <w:r/>
      <w:bookmarkStart w:id="597" w:name="_Toc127151545"/>
      <w:r/>
      <w:bookmarkStart w:id="598" w:name="_Toc195842910"/>
      <w:r/>
      <w:bookmarkStart w:id="599" w:name="_Toc151193787"/>
      <w:r/>
      <w:bookmarkStart w:id="600" w:name="_Toc142311047"/>
      <w:r/>
      <w:bookmarkStart w:id="601" w:name="_Toc150480783"/>
      <w:r/>
      <w:bookmarkStart w:id="602" w:name="_Toc151193933"/>
      <w:r/>
      <w:bookmarkStart w:id="603" w:name="_Toc226309789"/>
      <w:r/>
      <w:bookmarkStart w:id="604" w:name="_Toc151193643"/>
      <w:r/>
      <w:bookmarkStart w:id="605" w:name="_Toc226965735"/>
      <w:r/>
      <w:bookmarkStart w:id="606" w:name="_Toc150774645"/>
      <w:r/>
      <w:bookmarkStart w:id="607" w:name="_Toc226965818"/>
      <w:r/>
      <w:bookmarkStart w:id="608" w:name="_Toc226337241"/>
      <w:r/>
      <w:bookmarkStart w:id="609" w:name="_Toc150509296"/>
      <w:r/>
      <w:bookmarkStart w:id="610" w:name="_Toc264969235"/>
      <w:r/>
      <w:bookmarkStart w:id="611" w:name="_Toc265228383"/>
      <w:r/>
      <w:bookmarkStart w:id="612" w:name="_Toc151190172"/>
      <w:r/>
      <w:bookmarkStart w:id="613" w:name="_Toc305158887"/>
      <w:r/>
      <w:bookmarkStart w:id="614" w:name="_Toc151193715"/>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737"/>
      <w:r/>
      <w:bookmarkStart w:id="616" w:name="_Toc226309791"/>
      <w:r/>
      <w:bookmarkStart w:id="617" w:name="_Toc164608816"/>
      <w:r/>
      <w:bookmarkStart w:id="618" w:name="_Toc151190174"/>
      <w:r/>
      <w:bookmarkStart w:id="619" w:name="_Toc164351641"/>
      <w:r/>
      <w:bookmarkStart w:id="620" w:name="_Toc164229242"/>
      <w:r/>
      <w:bookmarkStart w:id="621" w:name="_Toc150509298"/>
      <w:r/>
      <w:bookmarkStart w:id="622" w:name="_Toc142311049"/>
      <w:r/>
      <w:bookmarkStart w:id="623" w:name="_Toc264969237"/>
      <w:r/>
      <w:bookmarkStart w:id="624" w:name="_Toc127151547"/>
      <w:r/>
      <w:bookmarkStart w:id="625" w:name="_Toc150480785"/>
      <w:r/>
      <w:bookmarkStart w:id="626" w:name="_Toc151193861"/>
      <w:r/>
      <w:bookmarkStart w:id="627" w:name="_Toc151193789"/>
      <w:r/>
      <w:bookmarkStart w:id="628" w:name="_Toc149720840"/>
      <w:r/>
      <w:bookmarkStart w:id="629" w:name="_Toc305158815"/>
      <w:r/>
      <w:bookmarkStart w:id="630" w:name="_Toc151193935"/>
      <w:r/>
      <w:bookmarkStart w:id="631" w:name="_Toc164229388"/>
      <w:r/>
      <w:bookmarkStart w:id="632" w:name="_Toc151193645"/>
      <w:r/>
      <w:bookmarkStart w:id="633" w:name="_Toc151193717"/>
      <w:r/>
      <w:bookmarkStart w:id="634" w:name="_Toc150774647"/>
      <w:r/>
      <w:bookmarkStart w:id="635" w:name="_Toc164608661"/>
      <w:r/>
      <w:bookmarkStart w:id="636" w:name="_Toc127151748"/>
      <w:r/>
      <w:bookmarkStart w:id="637" w:name="_Toc195842912"/>
      <w:r/>
      <w:bookmarkStart w:id="638" w:name="_Toc127161461"/>
      <w:r/>
      <w:bookmarkStart w:id="639" w:name="_Toc150774752"/>
      <w:r/>
      <w:bookmarkStart w:id="640" w:name="_Toc226337243"/>
      <w:r/>
      <w:bookmarkStart w:id="641" w:name="_Toc265228385"/>
      <w:r/>
      <w:bookmarkStart w:id="642" w:name="_Toc305158889"/>
      <w:r/>
      <w:bookmarkStart w:id="643" w:name="_Toc226965820"/>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1193863"/>
      <w:r/>
      <w:bookmarkStart w:id="645" w:name="_Toc151193647"/>
      <w:r/>
      <w:bookmarkStart w:id="646" w:name="_Toc226965739"/>
      <w:r/>
      <w:bookmarkStart w:id="647" w:name="_Toc305158817"/>
      <w:r/>
      <w:bookmarkStart w:id="648" w:name="_Toc150480787"/>
      <w:r/>
      <w:bookmarkStart w:id="649" w:name="_Toc164351643"/>
      <w:r/>
      <w:bookmarkStart w:id="650" w:name="_Toc151193719"/>
      <w:r/>
      <w:bookmarkStart w:id="651" w:name="_Toc226337245"/>
      <w:r/>
      <w:bookmarkStart w:id="652" w:name="_Toc520356176"/>
      <w:r/>
      <w:bookmarkStart w:id="653" w:name="_Ref467306425"/>
      <w:r/>
      <w:bookmarkStart w:id="654" w:name="_Ref467307090"/>
      <w:r/>
      <w:bookmarkStart w:id="655" w:name="_Toc164608818"/>
      <w:r/>
      <w:bookmarkStart w:id="656" w:name="_Toc150774754"/>
      <w:r/>
      <w:bookmarkStart w:id="657" w:name="_Toc149720842"/>
      <w:r/>
      <w:bookmarkStart w:id="658" w:name="_Toc151193937"/>
      <w:r/>
      <w:bookmarkStart w:id="659" w:name="_Toc150774649"/>
      <w:r/>
      <w:bookmarkStart w:id="660" w:name="_Toc164608663"/>
      <w:r/>
      <w:bookmarkStart w:id="661" w:name="_Toc305158891"/>
      <w:r/>
      <w:bookmarkStart w:id="662" w:name="_Toc151193791"/>
      <w:r/>
      <w:bookmarkStart w:id="663" w:name="_Toc226309793"/>
      <w:r/>
      <w:bookmarkStart w:id="664" w:name="_Toc265228387"/>
      <w:r/>
      <w:bookmarkStart w:id="665" w:name="_Toc264969239"/>
      <w:r/>
      <w:bookmarkStart w:id="666" w:name="_Toc127161463"/>
      <w:r/>
      <w:bookmarkStart w:id="667" w:name="_Toc127151549"/>
      <w:r/>
      <w:bookmarkStart w:id="668" w:name="_Toc151190176"/>
      <w:r/>
      <w:bookmarkStart w:id="669" w:name="_Toc164229244"/>
      <w:r/>
      <w:bookmarkStart w:id="670" w:name="_Toc226965822"/>
      <w:r/>
      <w:bookmarkStart w:id="671" w:name="_Toc164229390"/>
      <w:r/>
      <w:bookmarkStart w:id="672" w:name="_Toc150509300"/>
      <w:r/>
      <w:bookmarkStart w:id="673" w:name="_Toc142311051"/>
      <w:r/>
      <w:bookmarkStart w:id="674" w:name="_Toc195842914"/>
      <w:r/>
      <w:bookmarkStart w:id="675" w:name="_Toc127151750"/>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2"/>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Ref467307062"/>
      <w:r/>
      <w:bookmarkStart w:id="677" w:name="_Toc149720843"/>
      <w:r/>
      <w:bookmarkStart w:id="678" w:name="_Toc226965740"/>
      <w:r/>
      <w:bookmarkStart w:id="679" w:name="_Toc151193864"/>
      <w:r/>
      <w:bookmarkStart w:id="680" w:name="_Toc127161464"/>
      <w:r/>
      <w:bookmarkStart w:id="681" w:name="_Toc150774755"/>
      <w:r/>
      <w:bookmarkStart w:id="682" w:name="_Toc151193648"/>
      <w:r/>
      <w:bookmarkStart w:id="683" w:name="_Toc226309794"/>
      <w:r/>
      <w:bookmarkStart w:id="684" w:name="_Toc164608664"/>
      <w:r/>
      <w:bookmarkStart w:id="685" w:name="_Toc226337246"/>
      <w:r/>
      <w:bookmarkStart w:id="686" w:name="_Toc226965823"/>
      <w:r/>
      <w:bookmarkStart w:id="687" w:name="_Toc164229245"/>
      <w:r/>
      <w:bookmarkStart w:id="688" w:name="_Toc164608819"/>
      <w:r/>
      <w:bookmarkStart w:id="689" w:name="_Toc264969240"/>
      <w:r/>
      <w:bookmarkStart w:id="690" w:name="_Toc150480788"/>
      <w:r/>
      <w:bookmarkStart w:id="691" w:name="_Toc151193938"/>
      <w:r/>
      <w:bookmarkStart w:id="692" w:name="_Toc265228388"/>
      <w:r/>
      <w:bookmarkStart w:id="693" w:name="_Ref467306978"/>
      <w:r/>
      <w:bookmarkStart w:id="694" w:name="_Toc150509301"/>
      <w:r/>
      <w:bookmarkStart w:id="695" w:name="_Toc305158818"/>
      <w:r/>
      <w:bookmarkStart w:id="696" w:name="_Ref467307204"/>
      <w:r/>
      <w:bookmarkStart w:id="697" w:name="_Toc305158892"/>
      <w:r/>
      <w:bookmarkStart w:id="698" w:name="_Toc127151550"/>
      <w:r/>
      <w:bookmarkStart w:id="699" w:name="_Toc195842915"/>
      <w:r/>
      <w:bookmarkStart w:id="700" w:name="_Toc142311052"/>
      <w:r/>
      <w:bookmarkStart w:id="701" w:name="_Toc150774650"/>
      <w:r/>
      <w:bookmarkStart w:id="702" w:name="_Toc164229391"/>
      <w:r/>
      <w:bookmarkStart w:id="703" w:name="_Toc151193720"/>
      <w:r/>
      <w:bookmarkStart w:id="704" w:name="_Toc127151751"/>
      <w:r/>
      <w:bookmarkStart w:id="705" w:name="_Toc151193792"/>
      <w:r/>
      <w:bookmarkStart w:id="706" w:name="_Toc151190177"/>
      <w:r/>
      <w:bookmarkStart w:id="707" w:name="_Ref467306377"/>
      <w:r/>
      <w:bookmarkStart w:id="708" w:name="_Toc164351644"/>
      <w:r/>
      <w:bookmarkStart w:id="709" w:name="_Toc520356175"/>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2"/>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8"/>
          <w:rFonts w:hint="eastAsia" w:ascii="宋体" w:hAnsi="宋体" w:cs="宋体"/>
          <w:color w:val="000000"/>
        </w:rPr>
        <w:t xml:space="preserve">http://gk</w:t>
      </w:r>
      <w:bookmarkStart w:id="710" w:name="_Hlt100654014"/>
      <w:r>
        <w:rPr>
          <w:rStyle w:val="1148"/>
          <w:rFonts w:hint="eastAsia" w:ascii="宋体" w:hAnsi="宋体" w:cs="宋体"/>
          <w:color w:val="000000"/>
        </w:rPr>
        <w:t xml:space="preserve">s</w:t>
      </w:r>
      <w:bookmarkEnd w:id="710"/>
      <w:r>
        <w:rPr>
          <w:rStyle w:val="1148"/>
          <w:rFonts w:hint="eastAsia" w:ascii="宋体" w:hAnsi="宋体" w:cs="宋体"/>
          <w:color w:val="000000"/>
        </w:rPr>
        <w:t xml:space="preserve">.m</w:t>
      </w:r>
      <w:bookmarkStart w:id="711" w:name="_Hlt100653993"/>
      <w:r/>
      <w:bookmarkStart w:id="712" w:name="_Hlt100653994"/>
      <w:r>
        <w:rPr>
          <w:rStyle w:val="1148"/>
          <w:rFonts w:hint="eastAsia" w:ascii="宋体" w:hAnsi="宋体" w:cs="宋体"/>
          <w:color w:val="000000"/>
        </w:rPr>
        <w:t xml:space="preserve">o</w:t>
      </w:r>
      <w:bookmarkEnd w:id="711"/>
      <w:r/>
      <w:bookmarkEnd w:id="712"/>
      <w:r>
        <w:rPr>
          <w:rStyle w:val="1148"/>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r>
        <w:rPr>
          <w:rFonts w:hint="eastAsia" w:ascii="宋体" w:hAnsi="宋体" w:cs="宋体"/>
          <w:sz w:val="24"/>
        </w:rPr>
      </w:r>
      <w:r/>
      <w:r>
        <w:rPr>
          <w:rFonts w:hint="eastAsia" w:ascii="宋体" w:hAnsi="宋体" w:cs="宋体"/>
          <w:sz w:val="24"/>
        </w:rPr>
      </w:r>
    </w:p>
    <w:p>
      <w:pPr>
        <w:pStyle w:val="1072"/>
        <w:jc w:val="center"/>
        <w:spacing w:line="360" w:lineRule="auto"/>
        <w:rPr>
          <w:rFonts w:hint="eastAsia" w:ascii="宋体" w:hAnsi="宋体" w:cs="宋体"/>
          <w:b/>
          <w:sz w:val="36"/>
          <w:szCs w:val="36"/>
        </w:rPr>
        <w:outlineLvl w:val="0"/>
      </w:pPr>
      <w:r/>
      <w:bookmarkStart w:id="713" w:name="_Toc353873664"/>
      <w:r/>
      <w:bookmarkStart w:id="714" w:name="_Toc127151554"/>
      <w:r/>
      <w:bookmarkStart w:id="715" w:name="_Toc264969244"/>
      <w:r/>
      <w:bookmarkStart w:id="716" w:name="_Toc305158896"/>
      <w:r/>
      <w:bookmarkStart w:id="717" w:name="_Toc305158822"/>
      <w:r/>
      <w:bookmarkStart w:id="718" w:name="_Toc226337250"/>
      <w:r/>
      <w:bookmarkStart w:id="719" w:name="_Toc150480792"/>
      <w:r/>
      <w:bookmarkStart w:id="720" w:name="_Toc265228392"/>
      <w:r/>
      <w:bookmarkStart w:id="721" w:name="_Toc150774759"/>
      <w:r/>
      <w:bookmarkStart w:id="722" w:name="_Toc226965827"/>
      <w:r/>
      <w:bookmarkStart w:id="723" w:name="_Toc142311056"/>
      <w:r/>
      <w:bookmarkStart w:id="724" w:name="_Toc353825544"/>
      <w:r/>
      <w:bookmarkStart w:id="725" w:name="_Toc35387393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2"/>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2"/>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2"/>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2"/>
        <w:jc w:val="left"/>
        <w:widowControl/>
        <w:rPr>
          <w:rFonts w:hint="eastAsia" w:ascii="宋体" w:hAnsi="宋体" w:cs="宋体"/>
          <w:sz w:val="24"/>
        </w:rPr>
      </w:pPr>
      <w:r>
        <w:rPr>
          <w:rFonts w:hint="eastAsia" w:ascii="宋体" w:hAnsi="宋体" w:cs="宋体"/>
          <w:sz w:val="24"/>
        </w:rPr>
      </w:r>
      <w:r/>
    </w:p>
    <w:p>
      <w:pPr>
        <w:pStyle w:val="1072"/>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72"/>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2"/>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p>
          <w:p>
            <w:pPr>
              <w:pStyle w:val="1072"/>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1072"/>
              <w:tabs>
                <w:tab w:val="left" w:pos="1080" w:leader="none"/>
              </w:tabs>
              <w:rPr>
                <w:rFonts w:hint="eastAsia" w:ascii="宋体" w:hAnsi="宋体" w:cs="宋体"/>
                <w:sz w:val="24"/>
              </w:rPr>
            </w:pPr>
            <w:r>
              <w:rPr>
                <w:rFonts w:hint="eastAsia" w:ascii="宋体" w:hAnsi="宋体" w:cs="宋体"/>
                <w:sz w:val="24"/>
              </w:rPr>
            </w:r>
            <w:r/>
          </w:p>
          <w:p>
            <w:pPr>
              <w:pStyle w:val="1072"/>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p>
          <w:p>
            <w:pPr>
              <w:pStyle w:val="1072"/>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2"/>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226965858"/>
      <w:r/>
      <w:bookmarkStart w:id="732" w:name="_Toc353873940"/>
      <w:r/>
      <w:bookmarkStart w:id="733" w:name="_Toc127161490"/>
      <w:r/>
      <w:bookmarkStart w:id="734" w:name="_Toc127151779"/>
      <w:r>
        <w:rPr>
          <w:rFonts w:hint="eastAsia" w:ascii="宋体" w:hAnsi="宋体" w:cs="宋体"/>
          <w:sz w:val="24"/>
        </w:rPr>
        <w:br w:type="page" w:clear="all"/>
      </w:r>
      <w:r/>
    </w:p>
    <w:p>
      <w:pPr>
        <w:pStyle w:val="1072"/>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2"/>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51193929"/>
      <w:r/>
      <w:bookmarkStart w:id="738" w:name="_Toc164229382"/>
      <w:r/>
      <w:bookmarkStart w:id="739" w:name="_Toc149720834"/>
      <w:r/>
      <w:bookmarkStart w:id="740" w:name="_Toc151193783"/>
      <w:r/>
      <w:bookmarkStart w:id="741" w:name="_Toc305158883"/>
      <w:r/>
      <w:bookmarkStart w:id="742" w:name="_Toc164351635"/>
      <w:r/>
      <w:bookmarkStart w:id="743" w:name="_Toc127151541"/>
      <w:r/>
      <w:bookmarkStart w:id="744" w:name="_Toc150480779"/>
      <w:r/>
      <w:bookmarkStart w:id="745" w:name="_Toc151193711"/>
      <w:r/>
      <w:bookmarkStart w:id="746" w:name="_Toc142311043"/>
      <w:r/>
      <w:bookmarkStart w:id="747" w:name="_Toc226965814"/>
      <w:r/>
      <w:bookmarkStart w:id="748" w:name="_Toc151193639"/>
      <w:r/>
      <w:bookmarkStart w:id="749" w:name="_Toc150774746"/>
      <w:r/>
      <w:bookmarkStart w:id="750" w:name="_Toc264969231"/>
      <w:r/>
      <w:bookmarkStart w:id="751" w:name="_Toc151193855"/>
      <w:r/>
      <w:bookmarkStart w:id="752" w:name="_Toc127151742"/>
      <w:r/>
      <w:bookmarkStart w:id="753" w:name="_Toc164229236"/>
      <w:r/>
      <w:bookmarkStart w:id="754" w:name="_Toc265228379"/>
      <w:r/>
      <w:bookmarkStart w:id="755" w:name="_Toc151190168"/>
      <w:r/>
      <w:bookmarkStart w:id="756" w:name="_Toc226965731"/>
      <w:r/>
      <w:bookmarkStart w:id="757" w:name="_Toc150509292"/>
      <w:r/>
      <w:bookmarkStart w:id="758" w:name="_Toc226337237"/>
      <w:r/>
      <w:bookmarkStart w:id="759" w:name="_Toc150774641"/>
      <w:r/>
      <w:bookmarkStart w:id="760" w:name="_Toc164608810"/>
      <w:r/>
      <w:bookmarkStart w:id="761" w:name="_Toc127161455"/>
      <w:r/>
      <w:bookmarkStart w:id="762" w:name="_Toc164608655"/>
      <w:r/>
      <w:bookmarkStart w:id="763" w:name="_Toc305158809"/>
      <w:r/>
      <w:bookmarkStart w:id="764" w:name="_Toc226309785"/>
      <w:r/>
      <w:bookmarkStart w:id="765" w:name="_Toc195842906"/>
      <w:r/>
      <w:bookmarkStart w:id="766" w:name="_Toc353825551"/>
      <w:r/>
      <w:bookmarkStart w:id="767" w:name="_Toc353873941"/>
      <w:r/>
      <w:bookmarkStart w:id="768" w:name="_Toc195842920"/>
      <w:r/>
      <w:bookmarkStart w:id="769" w:name="_Toc226337251"/>
      <w:r/>
      <w:bookmarkStart w:id="770" w:name="_Toc353873665"/>
      <w:r/>
      <w:bookmarkStart w:id="771" w:name="_Toc150774760"/>
      <w:r/>
      <w:bookmarkStart w:id="772" w:name="_Toc142311057"/>
      <w:r/>
      <w:bookmarkStart w:id="773" w:name="_Toc305158823"/>
      <w:r/>
      <w:bookmarkStart w:id="774" w:name="_Toc353873935"/>
      <w:r/>
      <w:bookmarkStart w:id="775" w:name="_Toc305158897"/>
      <w:r/>
      <w:bookmarkStart w:id="776" w:name="_Toc127151555"/>
      <w:r/>
      <w:bookmarkStart w:id="777" w:name="_Toc264969245"/>
      <w:r/>
      <w:bookmarkStart w:id="778" w:name="_Toc265228393"/>
      <w:r/>
      <w:bookmarkStart w:id="779" w:name="_Toc226965828"/>
      <w:r/>
      <w:bookmarkStart w:id="780" w:name="_Toc150480793"/>
      <w:r/>
      <w:bookmarkStart w:id="781" w:name="_Toc35382554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2"/>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2"/>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法定代表人资格证明书和政府采购供应商信用承诺书</w:t>
            </w:r>
            <w:r>
              <w:rPr>
                <w:rFonts w:hint="eastAsia" w:ascii="宋体" w:hAnsi="宋体" w:cs="宋体"/>
                <w:sz w:val="24"/>
              </w:rPr>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分包意向协议</w:t>
            </w:r>
            <w:r/>
          </w:p>
          <w:p>
            <w:pPr>
              <w:pStyle w:val="1072"/>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进口产品</w:t>
            </w:r>
            <w:r/>
          </w:p>
          <w:p>
            <w:pPr>
              <w:pStyle w:val="1072"/>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2"/>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72"/>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072"/>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72"/>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2"/>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2"/>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2"/>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2"/>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2"/>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2"/>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72"/>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2"/>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2"/>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2"/>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2"/>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2"/>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2"/>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1193716"/>
      <w:r/>
      <w:bookmarkStart w:id="784" w:name="_Toc226337242"/>
      <w:r/>
      <w:bookmarkStart w:id="785" w:name="_Toc265228384"/>
      <w:r/>
      <w:bookmarkStart w:id="786" w:name="_Toc150509297"/>
      <w:r/>
      <w:bookmarkStart w:id="787" w:name="_Toc226965736"/>
      <w:r/>
      <w:bookmarkStart w:id="788" w:name="_Toc142311048"/>
      <w:r/>
      <w:bookmarkStart w:id="789" w:name="_Toc520356170"/>
      <w:r/>
      <w:bookmarkStart w:id="790" w:name="_Toc195842911"/>
      <w:r/>
      <w:bookmarkStart w:id="791" w:name="_Toc264969236"/>
      <w:r/>
      <w:bookmarkStart w:id="792" w:name="_Toc226309790"/>
      <w:r/>
      <w:bookmarkStart w:id="793" w:name="_Toc151190173"/>
      <w:r/>
      <w:bookmarkStart w:id="794" w:name="_Ref467307010"/>
      <w:r/>
      <w:bookmarkStart w:id="795" w:name="_Toc164229387"/>
      <w:r/>
      <w:bookmarkStart w:id="796" w:name="_Toc305158814"/>
      <w:r/>
      <w:bookmarkStart w:id="797" w:name="_Toc149720839"/>
      <w:r/>
      <w:bookmarkStart w:id="798" w:name="_Toc164351640"/>
      <w:r/>
      <w:bookmarkStart w:id="799" w:name="_Toc150480784"/>
      <w:r/>
      <w:bookmarkStart w:id="800" w:name="_Toc305158888"/>
      <w:r/>
      <w:bookmarkStart w:id="801" w:name="_Toc151193788"/>
      <w:r/>
      <w:bookmarkStart w:id="802" w:name="_Toc150774646"/>
      <w:r/>
      <w:bookmarkStart w:id="803" w:name="_Toc151193860"/>
      <w:r/>
      <w:bookmarkStart w:id="804" w:name="_Toc151193934"/>
      <w:r/>
      <w:bookmarkStart w:id="805" w:name="_Toc127151747"/>
      <w:r/>
      <w:bookmarkStart w:id="806" w:name="_Toc226965819"/>
      <w:r/>
      <w:bookmarkStart w:id="807" w:name="_Toc164608660"/>
      <w:r/>
      <w:bookmarkStart w:id="808" w:name="_Toc151193644"/>
      <w:r/>
      <w:bookmarkStart w:id="809" w:name="_Toc164229241"/>
      <w:r/>
      <w:bookmarkStart w:id="810" w:name="_Toc127151546"/>
      <w:r/>
      <w:bookmarkStart w:id="811" w:name="_Toc127161460"/>
      <w:r/>
      <w:bookmarkStart w:id="812" w:name="_Toc150774751"/>
      <w:r/>
      <w:bookmarkStart w:id="813" w:name="_Toc164608815"/>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2"/>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2"/>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2"/>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2"/>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72"/>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386"/>
        <w:gridCol w:w="619"/>
        <w:gridCol w:w="6487"/>
      </w:tblGrid>
      <w:tr>
        <w:trPr/>
        <w:tc>
          <w:tcPr>
            <w:tcW w:w="429" w:type="pct"/>
            <w:vAlign w:val="center"/>
            <w:textDirection w:val="lrTb"/>
            <w:noWrap w:val="false"/>
          </w:tcPr>
          <w:p>
            <w:pPr>
              <w:pStyle w:val="1072"/>
              <w:ind w:firstLine="28"/>
              <w:jc w:val="center"/>
              <w:spacing w:line="360" w:lineRule="exact"/>
              <w:rPr>
                <w:rFonts w:ascii="宋体" w:hAnsi="宋体"/>
                <w:b/>
                <w:sz w:val="24"/>
              </w:rPr>
            </w:pPr>
            <w:r>
              <w:rPr>
                <w:rFonts w:ascii="宋体" w:hAnsi="宋体"/>
                <w:b/>
                <w:sz w:val="24"/>
              </w:rPr>
              <w:t xml:space="preserve">序号</w:t>
            </w:r>
            <w:r/>
          </w:p>
        </w:tc>
        <w:tc>
          <w:tcPr>
            <w:tcW w:w="746" w:type="pct"/>
            <w:vAlign w:val="center"/>
            <w:textDirection w:val="lrTb"/>
            <w:noWrap w:val="false"/>
          </w:tcPr>
          <w:p>
            <w:pPr>
              <w:pStyle w:val="1072"/>
              <w:ind w:firstLine="28"/>
              <w:jc w:val="center"/>
              <w:spacing w:line="360" w:lineRule="exact"/>
              <w:rPr>
                <w:rFonts w:ascii="宋体" w:hAnsi="宋体"/>
                <w:b/>
                <w:sz w:val="24"/>
              </w:rPr>
            </w:pPr>
            <w:r>
              <w:rPr>
                <w:rFonts w:ascii="宋体" w:hAnsi="宋体"/>
                <w:b/>
                <w:sz w:val="24"/>
              </w:rPr>
              <w:t xml:space="preserve">评分因素</w:t>
            </w:r>
            <w:r/>
          </w:p>
        </w:tc>
        <w:tc>
          <w:tcPr>
            <w:tcW w:w="333" w:type="pct"/>
            <w:vAlign w:val="center"/>
            <w:textDirection w:val="lrTb"/>
            <w:noWrap w:val="false"/>
          </w:tcPr>
          <w:p>
            <w:pPr>
              <w:pStyle w:val="1072"/>
              <w:ind w:firstLine="28"/>
              <w:jc w:val="center"/>
              <w:spacing w:line="360" w:lineRule="exact"/>
              <w:rPr>
                <w:rFonts w:ascii="宋体" w:hAnsi="宋体"/>
                <w:b/>
                <w:sz w:val="24"/>
              </w:rPr>
            </w:pPr>
            <w:r>
              <w:rPr>
                <w:rFonts w:ascii="宋体" w:hAnsi="宋体"/>
                <w:b/>
                <w:sz w:val="24"/>
              </w:rPr>
              <w:t xml:space="preserve">分值</w:t>
            </w:r>
            <w:r/>
          </w:p>
        </w:tc>
        <w:tc>
          <w:tcPr>
            <w:tcW w:w="3492" w:type="pct"/>
            <w:vAlign w:val="center"/>
            <w:textDirection w:val="lrTb"/>
            <w:noWrap w:val="false"/>
          </w:tcPr>
          <w:p>
            <w:pPr>
              <w:pStyle w:val="1072"/>
              <w:ind w:firstLine="28"/>
              <w:jc w:val="center"/>
              <w:spacing w:line="360" w:lineRule="exact"/>
              <w:rPr>
                <w:rFonts w:ascii="宋体" w:hAnsi="宋体"/>
                <w:b/>
                <w:sz w:val="24"/>
              </w:rPr>
            </w:pPr>
            <w:r>
              <w:rPr>
                <w:rFonts w:ascii="宋体" w:hAnsi="宋体"/>
                <w:b/>
                <w:sz w:val="24"/>
              </w:rPr>
              <w:t xml:space="preserve">评分标准</w:t>
            </w:r>
            <w:r/>
          </w:p>
        </w:tc>
      </w:tr>
      <w:tr>
        <w:trPr>
          <w:trHeight w:val="631"/>
        </w:trPr>
        <w:tc>
          <w:tcPr>
            <w:tcW w:w="429" w:type="pct"/>
            <w:vAlign w:val="center"/>
            <w:textDirection w:val="lrTb"/>
            <w:noWrap w:val="false"/>
          </w:tcPr>
          <w:p>
            <w:pPr>
              <w:pStyle w:val="1072"/>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746"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333" w:type="pct"/>
            <w:vAlign w:val="center"/>
            <w:textDirection w:val="lrTb"/>
            <w:noWrap w:val="false"/>
          </w:tcPr>
          <w:p>
            <w:pPr>
              <w:pStyle w:val="1072"/>
              <w:ind w:firstLine="28"/>
              <w:jc w:val="center"/>
              <w:rPr>
                <w:rFonts w:hint="eastAsia" w:ascii="宋体" w:hAnsi="宋体"/>
                <w:sz w:val="24"/>
              </w:rPr>
            </w:pPr>
            <w:r>
              <w:rPr>
                <w:rFonts w:hint="eastAsia" w:ascii="宋体" w:hAnsi="宋体"/>
                <w:sz w:val="24"/>
              </w:rPr>
              <w:t xml:space="preserve">45</w:t>
            </w:r>
            <w:r/>
          </w:p>
        </w:tc>
        <w:tc>
          <w:tcPr>
            <w:tcW w:w="3492" w:type="pct"/>
            <w:vAlign w:val="center"/>
            <w:textDirection w:val="lrTb"/>
            <w:noWrap w:val="false"/>
          </w:tcPr>
          <w:p>
            <w:pPr>
              <w:pStyle w:val="1072"/>
              <w:rPr>
                <w:rFonts w:ascii="宋体" w:hAnsi="宋体"/>
                <w:sz w:val="24"/>
              </w:rPr>
            </w:pPr>
            <w:r>
              <w:rPr>
                <w:rFonts w:ascii="宋体" w:hAnsi="宋体"/>
                <w:sz w:val="24"/>
              </w:rPr>
              <w:t xml:space="preserve">满足</w:t>
            </w:r>
            <w:r>
              <w:rPr>
                <w:rFonts w:hint="eastAsia" w:ascii="宋体" w:hAnsi="宋体"/>
                <w:sz w:val="24"/>
              </w:rPr>
              <w:t xml:space="preserve">招标</w:t>
            </w:r>
            <w:r>
              <w:rPr>
                <w:rFonts w:ascii="宋体" w:hAnsi="宋体"/>
                <w:sz w:val="24"/>
              </w:rPr>
              <w:t xml:space="preserve">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最低的报价为评标基准价，其价格分为满分。其他供应商的价格分统一按照下列公式计算：</w:t>
            </w:r>
            <w:r/>
          </w:p>
          <w:p>
            <w:pPr>
              <w:pStyle w:val="1072"/>
              <w:rPr>
                <w:rFonts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p>
          <w:p>
            <w:pPr>
              <w:pStyle w:val="1072"/>
              <w:rPr>
                <w:rFonts w:ascii="宋体" w:hAnsi="宋体"/>
                <w:sz w:val="24"/>
              </w:rPr>
            </w:pPr>
            <w:r>
              <w:rPr>
                <w:rFonts w:hint="eastAsia" w:ascii="宋体" w:hAnsi="宋体"/>
                <w:sz w:val="24"/>
              </w:rPr>
              <w:t xml:space="preserve">此处最终报价指经过报价修正，及因落实政府采购政策进行价格调整后的最终报价，详见第四章《评标方法和评标标准》3。</w:t>
            </w:r>
            <w:r>
              <w:rPr>
                <w:rFonts w:ascii="宋体" w:hAnsi="宋体"/>
                <w:sz w:val="24"/>
              </w:rPr>
            </w:r>
            <w:r/>
          </w:p>
        </w:tc>
      </w:tr>
      <w:tr>
        <w:trPr/>
        <w:tc>
          <w:tcPr>
            <w:tcW w:w="429"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746"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333" w:type="pct"/>
            <w:vAlign w:val="center"/>
            <w:textDirection w:val="lrTb"/>
            <w:noWrap w:val="false"/>
          </w:tcPr>
          <w:p>
            <w:pPr>
              <w:pStyle w:val="1072"/>
              <w:ind w:firstLine="28"/>
              <w:jc w:val="center"/>
              <w:rPr>
                <w:rFonts w:ascii="宋体" w:hAnsi="宋体"/>
                <w:sz w:val="24"/>
              </w:rPr>
            </w:pPr>
            <w:r>
              <w:rPr>
                <w:rFonts w:ascii="宋体" w:hAnsi="宋体"/>
                <w:sz w:val="24"/>
              </w:rPr>
            </w:r>
            <w:r/>
          </w:p>
        </w:tc>
        <w:tc>
          <w:tcPr>
            <w:tcW w:w="3492" w:type="pct"/>
            <w:vAlign w:val="center"/>
            <w:textDirection w:val="lrTb"/>
            <w:noWrap w:val="false"/>
          </w:tcPr>
          <w:p>
            <w:pPr>
              <w:pStyle w:val="1072"/>
              <w:rPr>
                <w:rFonts w:ascii="宋体" w:hAnsi="宋体"/>
                <w:sz w:val="24"/>
              </w:rPr>
            </w:pPr>
            <w:r>
              <w:rPr>
                <w:rFonts w:ascii="宋体" w:hAnsi="宋体"/>
                <w:sz w:val="24"/>
              </w:rPr>
            </w:r>
            <w:r/>
          </w:p>
        </w:tc>
      </w:tr>
      <w:tr>
        <w:trPr/>
        <w:tc>
          <w:tcPr>
            <w:tcW w:w="429"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746"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采购流程方案</w:t>
            </w:r>
            <w:r>
              <w:rPr>
                <w:rFonts w:ascii="宋体" w:hAnsi="宋体"/>
                <w:sz w:val="24"/>
              </w:rPr>
            </w:r>
            <w:r/>
          </w:p>
        </w:tc>
        <w:tc>
          <w:tcPr>
            <w:tcW w:w="333"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6</w:t>
            </w:r>
            <w:r>
              <w:rPr>
                <w:rFonts w:ascii="宋体" w:hAnsi="宋体"/>
                <w:sz w:val="24"/>
              </w:rPr>
            </w:r>
            <w:r/>
          </w:p>
        </w:tc>
        <w:tc>
          <w:tcPr>
            <w:tcW w:w="3492" w:type="pct"/>
            <w:vAlign w:val="top"/>
            <w:textDirection w:val="lrTb"/>
            <w:noWrap w:val="false"/>
          </w:tcPr>
          <w:p>
            <w:pPr>
              <w:pStyle w:val="1072"/>
              <w:ind w:firstLine="420"/>
              <w:jc w:val="left"/>
              <w:spacing w:line="360" w:lineRule="exact"/>
              <w:tabs>
                <w:tab w:val="left" w:pos="5940" w:leader="none"/>
              </w:tabs>
              <w:rPr>
                <w:rFonts w:ascii="宋体" w:hAnsi="宋体"/>
                <w:sz w:val="24"/>
              </w:rPr>
            </w:pPr>
            <w:r>
              <w:rPr>
                <w:rFonts w:hint="eastAsia" w:ascii="宋体" w:hAnsi="宋体"/>
                <w:sz w:val="24"/>
              </w:rPr>
              <w:t xml:space="preserve">针对供应商提供的采购流程方案，由评标委员会综合评定，方案完整、可行，能完全满足项目实施要求，得6分；</w:t>
            </w:r>
            <w:r>
              <w:rPr>
                <w:rFonts w:ascii="宋体" w:hAnsi="宋体"/>
                <w:sz w:val="24"/>
              </w:rPr>
            </w:r>
            <w:r/>
          </w:p>
          <w:p>
            <w:pPr>
              <w:pStyle w:val="1072"/>
              <w:ind w:firstLine="420"/>
              <w:jc w:val="left"/>
              <w:spacing w:line="360" w:lineRule="exact"/>
              <w:tabs>
                <w:tab w:val="left" w:pos="5940" w:leader="none"/>
              </w:tabs>
              <w:rPr>
                <w:rFonts w:ascii="宋体" w:hAnsi="宋体"/>
                <w:sz w:val="24"/>
              </w:rPr>
            </w:pPr>
            <w:r>
              <w:rPr>
                <w:rFonts w:hint="eastAsia" w:ascii="宋体" w:hAnsi="宋体"/>
                <w:sz w:val="24"/>
              </w:rPr>
              <w:t xml:space="preserve">方案较具体、可行，能基本满足项目实施要求，得4分；</w:t>
            </w:r>
            <w:r>
              <w:rPr>
                <w:rFonts w:ascii="宋体" w:hAnsi="宋体"/>
                <w:sz w:val="24"/>
              </w:rPr>
            </w:r>
            <w:r/>
          </w:p>
          <w:p>
            <w:pPr>
              <w:pStyle w:val="1072"/>
              <w:ind w:firstLine="420"/>
              <w:jc w:val="left"/>
              <w:spacing w:line="360" w:lineRule="exact"/>
              <w:tabs>
                <w:tab w:val="left" w:pos="5940" w:leader="none"/>
              </w:tabs>
              <w:rPr>
                <w:rFonts w:ascii="宋体" w:hAnsi="宋体"/>
                <w:sz w:val="24"/>
              </w:rPr>
            </w:pPr>
            <w:r>
              <w:rPr>
                <w:rFonts w:hint="eastAsia" w:ascii="宋体" w:hAnsi="宋体"/>
                <w:sz w:val="24"/>
              </w:rPr>
              <w:t xml:space="preserve">方案内容较简单，对项目实施要求响应一般，得2分；</w:t>
            </w:r>
            <w:r>
              <w:rPr>
                <w:rFonts w:ascii="宋体" w:hAnsi="宋体"/>
                <w:sz w:val="24"/>
              </w:rPr>
            </w:r>
            <w:r/>
          </w:p>
          <w:p>
            <w:pPr>
              <w:pStyle w:val="1072"/>
              <w:ind w:firstLine="420"/>
              <w:jc w:val="left"/>
              <w:spacing w:line="360" w:lineRule="exact"/>
              <w:tabs>
                <w:tab w:val="left" w:pos="5940" w:leader="none"/>
              </w:tabs>
              <w:rPr>
                <w:rFonts w:ascii="宋体" w:hAnsi="宋体"/>
                <w:sz w:val="24"/>
              </w:rPr>
            </w:pPr>
            <w:r>
              <w:rPr>
                <w:rFonts w:hint="eastAsia" w:ascii="宋体" w:hAnsi="宋体"/>
                <w:sz w:val="24"/>
              </w:rPr>
              <w:t xml:space="preserve">未提供本项不得分。</w:t>
            </w:r>
            <w:r>
              <w:rPr>
                <w:rFonts w:ascii="宋体" w:hAnsi="宋体"/>
                <w:sz w:val="24"/>
              </w:rPr>
            </w:r>
            <w:r/>
          </w:p>
        </w:tc>
      </w:tr>
      <w:tr>
        <w:trPr/>
        <w:tc>
          <w:tcPr>
            <w:tcW w:w="429"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2.2</w:t>
            </w:r>
            <w:r>
              <w:rPr>
                <w:rFonts w:ascii="宋体" w:hAnsi="宋体"/>
                <w:sz w:val="24"/>
              </w:rPr>
            </w:r>
            <w:r/>
          </w:p>
        </w:tc>
        <w:tc>
          <w:tcPr>
            <w:tcW w:w="746"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仓储管理</w:t>
            </w:r>
            <w:r>
              <w:rPr>
                <w:rFonts w:hint="eastAsia" w:ascii="宋体" w:hAnsi="宋体" w:cs="宋体"/>
                <w:sz w:val="24"/>
              </w:rPr>
              <w:t xml:space="preserve">方案</w:t>
            </w:r>
            <w:r>
              <w:rPr>
                <w:rFonts w:ascii="宋体" w:hAnsi="宋体"/>
                <w:sz w:val="24"/>
              </w:rPr>
            </w:r>
            <w:r/>
          </w:p>
        </w:tc>
        <w:tc>
          <w:tcPr>
            <w:tcW w:w="333"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3492" w:type="pct"/>
            <w:vAlign w:val="top"/>
            <w:textDirection w:val="lrTb"/>
            <w:noWrap w:val="false"/>
          </w:tcPr>
          <w:p>
            <w:pPr>
              <w:pStyle w:val="1072"/>
              <w:ind w:firstLine="420"/>
              <w:jc w:val="left"/>
              <w:spacing w:line="360" w:lineRule="exact"/>
              <w:tabs>
                <w:tab w:val="left" w:pos="5940" w:leader="none"/>
              </w:tabs>
              <w:rPr>
                <w:rFonts w:ascii="宋体" w:hAnsi="宋体"/>
                <w:sz w:val="24"/>
              </w:rPr>
            </w:pPr>
            <w:r>
              <w:rPr>
                <w:rFonts w:hint="eastAsia" w:ascii="宋体" w:hAnsi="宋体"/>
                <w:sz w:val="24"/>
              </w:rPr>
              <w:t xml:space="preserve">针对供应商提供的</w:t>
            </w:r>
            <w:r>
              <w:rPr>
                <w:rFonts w:hint="eastAsia" w:ascii="宋体" w:hAnsi="宋体" w:cs="宋体"/>
                <w:sz w:val="24"/>
              </w:rPr>
              <w:t xml:space="preserve">提供</w:t>
            </w:r>
            <w:r>
              <w:rPr>
                <w:rFonts w:hint="eastAsia" w:ascii="宋体" w:hAnsi="宋体"/>
                <w:sz w:val="24"/>
              </w:rPr>
              <w:t xml:space="preserve">仓储管理</w:t>
            </w:r>
            <w:r>
              <w:rPr>
                <w:rFonts w:hint="eastAsia" w:ascii="宋体" w:hAnsi="宋体" w:cs="宋体"/>
                <w:sz w:val="24"/>
              </w:rPr>
              <w:t xml:space="preserve">方案，由评标委员会综合评定</w:t>
            </w:r>
            <w:r>
              <w:rPr>
                <w:rFonts w:hint="eastAsia" w:ascii="宋体" w:hAnsi="宋体"/>
                <w:sz w:val="24"/>
              </w:rPr>
              <w:t xml:space="preserve">，方案完整、可行，能完全满足项目实施要求，得3分；</w:t>
            </w:r>
            <w:r>
              <w:rPr>
                <w:rFonts w:ascii="宋体" w:hAnsi="宋体"/>
                <w:sz w:val="24"/>
              </w:rPr>
            </w:r>
            <w:r/>
          </w:p>
          <w:p>
            <w:pPr>
              <w:pStyle w:val="1072"/>
              <w:ind w:firstLine="420"/>
              <w:jc w:val="left"/>
              <w:spacing w:line="360" w:lineRule="exact"/>
              <w:tabs>
                <w:tab w:val="left" w:pos="5940" w:leader="none"/>
              </w:tabs>
              <w:rPr>
                <w:rFonts w:ascii="宋体" w:hAnsi="宋体"/>
                <w:sz w:val="24"/>
              </w:rPr>
            </w:pPr>
            <w:r>
              <w:rPr>
                <w:rFonts w:hint="eastAsia" w:ascii="宋体" w:hAnsi="宋体"/>
                <w:sz w:val="24"/>
              </w:rPr>
              <w:t xml:space="preserve">方案较具体、可行，能基本满足项目实施要求，得2分；</w:t>
            </w:r>
            <w:r>
              <w:rPr>
                <w:rFonts w:ascii="宋体" w:hAnsi="宋体"/>
                <w:sz w:val="24"/>
              </w:rPr>
            </w:r>
            <w:r/>
          </w:p>
          <w:p>
            <w:pPr>
              <w:pStyle w:val="1072"/>
              <w:ind w:firstLine="420"/>
              <w:jc w:val="left"/>
              <w:spacing w:line="360" w:lineRule="exact"/>
              <w:tabs>
                <w:tab w:val="left" w:pos="5940" w:leader="none"/>
              </w:tabs>
              <w:rPr>
                <w:rFonts w:ascii="宋体" w:hAnsi="宋体"/>
                <w:sz w:val="24"/>
              </w:rPr>
            </w:pPr>
            <w:r>
              <w:rPr>
                <w:rFonts w:hint="eastAsia" w:ascii="宋体" w:hAnsi="宋体"/>
                <w:sz w:val="24"/>
              </w:rPr>
              <w:t xml:space="preserve">方案内容较简单，对项目实施要求响应一般，得1分；</w:t>
            </w:r>
            <w:r>
              <w:rPr>
                <w:rFonts w:ascii="宋体" w:hAnsi="宋体"/>
                <w:sz w:val="24"/>
              </w:rPr>
            </w:r>
            <w:r/>
          </w:p>
          <w:p>
            <w:pPr>
              <w:pStyle w:val="1072"/>
              <w:ind w:firstLine="420"/>
              <w:jc w:val="left"/>
              <w:spacing w:line="360" w:lineRule="exact"/>
              <w:tabs>
                <w:tab w:val="left" w:pos="5940" w:leader="none"/>
              </w:tabs>
              <w:rPr>
                <w:rFonts w:ascii="宋体" w:hAnsi="宋体"/>
                <w:sz w:val="24"/>
              </w:rPr>
            </w:pPr>
            <w:r>
              <w:rPr>
                <w:rFonts w:hint="eastAsia" w:ascii="宋体" w:hAnsi="宋体"/>
                <w:sz w:val="24"/>
              </w:rPr>
              <w:t xml:space="preserve">未提供本项不得分。</w:t>
            </w:r>
            <w:r>
              <w:rPr>
                <w:rFonts w:ascii="宋体" w:hAnsi="宋体"/>
                <w:sz w:val="24"/>
              </w:rPr>
            </w:r>
            <w:r/>
          </w:p>
        </w:tc>
      </w:tr>
      <w:tr>
        <w:trPr/>
        <w:tc>
          <w:tcPr>
            <w:tcW w:w="429"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2.3</w:t>
            </w:r>
            <w:r>
              <w:rPr>
                <w:rFonts w:ascii="宋体" w:hAnsi="宋体"/>
                <w:sz w:val="24"/>
              </w:rPr>
            </w:r>
            <w:r/>
          </w:p>
        </w:tc>
        <w:tc>
          <w:tcPr>
            <w:tcW w:w="746"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服务质量控制方案</w:t>
            </w:r>
            <w:r>
              <w:rPr>
                <w:rFonts w:ascii="宋体" w:hAnsi="宋体"/>
                <w:sz w:val="24"/>
              </w:rPr>
            </w:r>
            <w:r/>
          </w:p>
        </w:tc>
        <w:tc>
          <w:tcPr>
            <w:tcW w:w="333"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3492" w:type="pct"/>
            <w:vAlign w:val="top"/>
            <w:textDirection w:val="lrTb"/>
            <w:noWrap w:val="false"/>
          </w:tcPr>
          <w:p>
            <w:pPr>
              <w:pStyle w:val="1072"/>
              <w:ind w:firstLine="420"/>
              <w:jc w:val="left"/>
              <w:spacing w:line="360" w:lineRule="exact"/>
              <w:tabs>
                <w:tab w:val="left" w:pos="5940" w:leader="none"/>
              </w:tabs>
              <w:rPr>
                <w:rFonts w:ascii="宋体" w:hAnsi="宋体"/>
                <w:sz w:val="24"/>
              </w:rPr>
            </w:pPr>
            <w:r>
              <w:rPr>
                <w:rFonts w:hint="eastAsia" w:ascii="宋体" w:hAnsi="宋体"/>
                <w:sz w:val="24"/>
              </w:rPr>
              <w:t xml:space="preserve">针对供应商提供的服务质量控制方案，由评标委员会综合评定，方案完整、可行</w:t>
            </w:r>
            <w:r>
              <w:rPr>
                <w:rFonts w:hint="eastAsia" w:ascii="宋体" w:hAnsi="宋体"/>
                <w:sz w:val="24"/>
              </w:rPr>
              <w:t xml:space="preserve">，能完全满足项目实施要求，得3分；</w:t>
            </w:r>
            <w:r>
              <w:rPr>
                <w:rFonts w:ascii="宋体" w:hAnsi="宋体"/>
                <w:sz w:val="24"/>
              </w:rPr>
            </w:r>
            <w:r/>
          </w:p>
          <w:p>
            <w:pPr>
              <w:pStyle w:val="1072"/>
              <w:ind w:firstLine="420"/>
              <w:jc w:val="left"/>
              <w:spacing w:line="360" w:lineRule="exact"/>
              <w:tabs>
                <w:tab w:val="left" w:pos="5940" w:leader="none"/>
              </w:tabs>
              <w:rPr>
                <w:rFonts w:ascii="宋体" w:hAnsi="宋体"/>
                <w:sz w:val="24"/>
              </w:rPr>
            </w:pPr>
            <w:r>
              <w:rPr>
                <w:rFonts w:hint="eastAsia" w:ascii="宋体" w:hAnsi="宋体"/>
                <w:sz w:val="24"/>
              </w:rPr>
              <w:t xml:space="preserve">方案较具体、可行，能基本满足项目实施要求，得2分；</w:t>
            </w:r>
            <w:r>
              <w:rPr>
                <w:rFonts w:ascii="宋体" w:hAnsi="宋体"/>
                <w:sz w:val="24"/>
              </w:rPr>
            </w:r>
            <w:r/>
          </w:p>
          <w:p>
            <w:pPr>
              <w:pStyle w:val="1072"/>
              <w:ind w:firstLine="420"/>
              <w:jc w:val="left"/>
              <w:spacing w:line="360" w:lineRule="exact"/>
              <w:tabs>
                <w:tab w:val="left" w:pos="5940" w:leader="none"/>
              </w:tabs>
              <w:rPr>
                <w:rFonts w:ascii="宋体" w:hAnsi="宋体"/>
                <w:sz w:val="24"/>
              </w:rPr>
            </w:pPr>
            <w:r>
              <w:rPr>
                <w:rFonts w:hint="eastAsia" w:ascii="宋体" w:hAnsi="宋体"/>
                <w:sz w:val="24"/>
              </w:rPr>
              <w:t xml:space="preserve">方案内容较简单，对项目实施要求响应一般，得1分；</w:t>
            </w:r>
            <w:r>
              <w:rPr>
                <w:rFonts w:ascii="宋体" w:hAnsi="宋体"/>
                <w:sz w:val="24"/>
              </w:rPr>
            </w:r>
            <w:r/>
          </w:p>
          <w:p>
            <w:pPr>
              <w:pStyle w:val="1072"/>
              <w:ind w:firstLine="480"/>
              <w:jc w:val="left"/>
              <w:spacing w:line="360" w:lineRule="exact"/>
              <w:rPr>
                <w:rFonts w:ascii="宋体" w:hAnsi="宋体"/>
                <w:sz w:val="24"/>
              </w:rPr>
            </w:pPr>
            <w:r>
              <w:rPr>
                <w:rFonts w:hint="eastAsia" w:ascii="宋体" w:hAnsi="宋体"/>
                <w:sz w:val="24"/>
              </w:rPr>
              <w:t xml:space="preserve">未提供本项不得分。</w:t>
            </w:r>
            <w:r>
              <w:rPr>
                <w:rFonts w:ascii="宋体" w:hAnsi="宋体"/>
                <w:sz w:val="24"/>
              </w:rPr>
            </w:r>
            <w:r/>
          </w:p>
        </w:tc>
      </w:tr>
      <w:tr>
        <w:trPr/>
        <w:tc>
          <w:tcPr>
            <w:tcW w:w="429"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2.4</w:t>
            </w:r>
            <w:r>
              <w:rPr>
                <w:rFonts w:ascii="宋体" w:hAnsi="宋体"/>
                <w:sz w:val="24"/>
              </w:rPr>
            </w:r>
            <w:r/>
          </w:p>
        </w:tc>
        <w:tc>
          <w:tcPr>
            <w:tcW w:w="746"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突发事件应急预案</w:t>
            </w:r>
            <w:r>
              <w:rPr>
                <w:rFonts w:ascii="宋体" w:hAnsi="宋体"/>
                <w:sz w:val="24"/>
              </w:rPr>
            </w:r>
            <w:r/>
          </w:p>
        </w:tc>
        <w:tc>
          <w:tcPr>
            <w:tcW w:w="333"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5</w:t>
            </w:r>
            <w:r>
              <w:rPr>
                <w:rFonts w:ascii="宋体" w:hAnsi="宋体"/>
                <w:sz w:val="24"/>
              </w:rPr>
            </w:r>
            <w:r/>
          </w:p>
        </w:tc>
        <w:tc>
          <w:tcPr>
            <w:tcW w:w="3492" w:type="pct"/>
            <w:vAlign w:val="top"/>
            <w:textDirection w:val="lrTb"/>
            <w:noWrap w:val="false"/>
          </w:tcPr>
          <w:p>
            <w:pPr>
              <w:pStyle w:val="1072"/>
              <w:ind w:firstLine="480"/>
              <w:jc w:val="left"/>
              <w:spacing w:line="360" w:lineRule="exact"/>
              <w:rPr>
                <w:rFonts w:ascii="宋体" w:hAnsi="宋体"/>
                <w:sz w:val="24"/>
              </w:rPr>
            </w:pPr>
            <w:r>
              <w:rPr>
                <w:rFonts w:hint="eastAsia" w:ascii="宋体" w:hAnsi="宋体"/>
                <w:sz w:val="24"/>
              </w:rPr>
              <w:t xml:space="preserve">针对供应商提供的突发事件应急预案，由评标委员会综合评定，对可能发生的应急情况分析深入，见解到位、全面、完善、防范及应对措施精细、准确，整体针对性强，得5分；问题分析较为深入，应对措施可行，针对性较强得3分；方案笼统、简单，应对措施缺乏合理性，针对性差得1分</w:t>
            </w:r>
            <w:r>
              <w:rPr>
                <w:rFonts w:hint="eastAsia" w:ascii="宋体" w:hAnsi="宋体" w:cs="宋体"/>
                <w:sz w:val="24"/>
              </w:rPr>
              <w:t xml:space="preserve">，未提供不得分。</w:t>
            </w:r>
            <w:r>
              <w:rPr>
                <w:rFonts w:ascii="宋体" w:hAnsi="宋体"/>
                <w:sz w:val="24"/>
              </w:rPr>
            </w:r>
            <w:r/>
          </w:p>
        </w:tc>
      </w:tr>
      <w:tr>
        <w:trPr/>
        <w:tc>
          <w:tcPr>
            <w:tcW w:w="429"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2.5</w:t>
            </w:r>
            <w:r>
              <w:rPr>
                <w:rFonts w:ascii="宋体" w:hAnsi="宋体"/>
                <w:sz w:val="24"/>
              </w:rPr>
            </w:r>
            <w:r/>
          </w:p>
        </w:tc>
        <w:tc>
          <w:tcPr>
            <w:tcW w:w="746"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供应商提供的岗位责任制度、人员管理制度、食品安全制度、环境卫生制度</w:t>
            </w:r>
            <w:r>
              <w:rPr>
                <w:rFonts w:ascii="宋体" w:hAnsi="宋体"/>
                <w:sz w:val="24"/>
              </w:rPr>
            </w:r>
            <w:r/>
          </w:p>
        </w:tc>
        <w:tc>
          <w:tcPr>
            <w:tcW w:w="333"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3492" w:type="pct"/>
            <w:vAlign w:val="top"/>
            <w:textDirection w:val="lrTb"/>
            <w:noWrap w:val="false"/>
          </w:tcPr>
          <w:p>
            <w:pPr>
              <w:pStyle w:val="1072"/>
              <w:ind w:firstLine="480"/>
              <w:jc w:val="left"/>
              <w:spacing w:line="360" w:lineRule="exact"/>
              <w:rPr>
                <w:rFonts w:ascii="宋体" w:hAnsi="宋体"/>
                <w:sz w:val="24"/>
              </w:rPr>
            </w:pPr>
            <w:r>
              <w:rPr>
                <w:rFonts w:hint="eastAsia" w:ascii="宋体" w:hAnsi="宋体" w:cs="宋体"/>
                <w:sz w:val="24"/>
              </w:rPr>
              <w:t xml:space="preserve">针对供应商提供的岗位责任制度、人员管理制度、食品安全制度、环境卫生制度等，由评标委员会综合评定，组织构架比较,组织架构清晰，制度完善、精细、操作性强、各岗位分工、岗位职责比较,职责划分明确，分工科学、合理得3分；内部架构较清晰、制度良好、较简单、操作性一般、职责划分明确，分工缺乏合理性的得2分；内部架构简单、职责划分含糊，分工不够科学，缺乏合理性、概念笼统、操作性差无针对性的得1分，未提供不得分。</w:t>
            </w:r>
            <w:r>
              <w:rPr>
                <w:rFonts w:ascii="宋体" w:hAnsi="宋体"/>
                <w:sz w:val="24"/>
              </w:rPr>
            </w:r>
            <w:r/>
          </w:p>
        </w:tc>
      </w:tr>
      <w:tr>
        <w:trPr/>
        <w:tc>
          <w:tcPr>
            <w:tcW w:w="429"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2.6</w:t>
            </w:r>
            <w:r>
              <w:rPr>
                <w:rFonts w:ascii="宋体" w:hAnsi="宋体"/>
                <w:sz w:val="24"/>
              </w:rPr>
            </w:r>
            <w:r/>
          </w:p>
        </w:tc>
        <w:tc>
          <w:tcPr>
            <w:tcW w:w="746"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针对采购人实质性的</w:t>
            </w:r>
            <w:r>
              <w:rPr>
                <w:rFonts w:ascii="宋体" w:hAnsi="宋体"/>
                <w:sz w:val="24"/>
              </w:rPr>
              <w:t xml:space="preserve">优惠措施</w:t>
            </w:r>
            <w:r/>
          </w:p>
        </w:tc>
        <w:tc>
          <w:tcPr>
            <w:tcW w:w="333"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3492" w:type="pct"/>
            <w:vAlign w:val="top"/>
            <w:textDirection w:val="lrTb"/>
            <w:noWrap w:val="false"/>
          </w:tcPr>
          <w:p>
            <w:pPr>
              <w:pStyle w:val="1072"/>
              <w:ind w:firstLine="480"/>
              <w:spacing w:line="360" w:lineRule="exact"/>
              <w:rPr>
                <w:rFonts w:ascii="宋体" w:hAnsi="宋体"/>
                <w:sz w:val="24"/>
              </w:rPr>
            </w:pPr>
            <w:r>
              <w:rPr>
                <w:rFonts w:hint="eastAsia" w:ascii="宋体" w:hAnsi="宋体"/>
                <w:sz w:val="24"/>
              </w:rPr>
              <w:t xml:space="preserve">供应商提供</w:t>
            </w:r>
            <w:r>
              <w:rPr>
                <w:rFonts w:ascii="宋体" w:hAnsi="宋体"/>
                <w:sz w:val="24"/>
              </w:rPr>
              <w:t xml:space="preserve">的</w:t>
            </w:r>
            <w:r>
              <w:rPr>
                <w:rFonts w:hint="eastAsia" w:ascii="宋体" w:hAnsi="宋体"/>
                <w:sz w:val="24"/>
              </w:rPr>
              <w:t xml:space="preserve">针对采购人实质性的</w:t>
            </w:r>
            <w:r>
              <w:rPr>
                <w:rFonts w:ascii="宋体" w:hAnsi="宋体"/>
                <w:sz w:val="24"/>
              </w:rPr>
              <w:t xml:space="preserve">优惠措施</w:t>
            </w:r>
            <w:r>
              <w:rPr>
                <w:rFonts w:hint="eastAsia" w:ascii="宋体" w:hAnsi="宋体"/>
                <w:sz w:val="24"/>
              </w:rPr>
              <w:t xml:space="preserve">，根据优惠力度的大小，措施科学合理，可行性强，力度大得3分；措施合理，可行性较强，力度较大得2分，内容简单，可行性一般，力度一般得1分</w:t>
            </w:r>
            <w:r>
              <w:rPr>
                <w:rFonts w:hint="eastAsia" w:ascii="宋体" w:hAnsi="宋体" w:cs="宋体"/>
                <w:sz w:val="24"/>
              </w:rPr>
              <w:t xml:space="preserve">，未提供不得分。</w:t>
            </w:r>
            <w:r>
              <w:rPr>
                <w:rFonts w:ascii="宋体" w:hAnsi="宋体"/>
                <w:sz w:val="24"/>
              </w:rPr>
            </w:r>
            <w:r/>
          </w:p>
        </w:tc>
      </w:tr>
      <w:tr>
        <w:trPr/>
        <w:tc>
          <w:tcPr>
            <w:tcW w:w="429"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2.7</w:t>
            </w:r>
            <w:r>
              <w:rPr>
                <w:rFonts w:ascii="宋体" w:hAnsi="宋体"/>
                <w:sz w:val="24"/>
              </w:rPr>
            </w:r>
            <w:r/>
          </w:p>
        </w:tc>
        <w:tc>
          <w:tcPr>
            <w:tcW w:w="746"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贮藏方案</w:t>
            </w:r>
            <w:r>
              <w:rPr>
                <w:rFonts w:ascii="宋体" w:hAnsi="宋体"/>
                <w:sz w:val="24"/>
              </w:rPr>
            </w:r>
            <w:r/>
          </w:p>
        </w:tc>
        <w:tc>
          <w:tcPr>
            <w:tcW w:w="333"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5</w:t>
            </w:r>
            <w:r>
              <w:rPr>
                <w:rFonts w:ascii="宋体" w:hAnsi="宋体"/>
                <w:sz w:val="24"/>
              </w:rPr>
            </w:r>
            <w:r/>
          </w:p>
        </w:tc>
        <w:tc>
          <w:tcPr>
            <w:tcW w:w="3492" w:type="pct"/>
            <w:vAlign w:val="top"/>
            <w:textDirection w:val="lrTb"/>
            <w:noWrap w:val="false"/>
          </w:tcPr>
          <w:p>
            <w:pPr>
              <w:pStyle w:val="1072"/>
              <w:ind w:firstLine="420"/>
              <w:jc w:val="left"/>
              <w:spacing w:line="360" w:lineRule="exact"/>
              <w:tabs>
                <w:tab w:val="left" w:pos="5940" w:leader="none"/>
              </w:tabs>
              <w:rPr>
                <w:rFonts w:ascii="宋体" w:hAnsi="宋体"/>
                <w:sz w:val="24"/>
              </w:rPr>
            </w:pPr>
            <w:r>
              <w:rPr>
                <w:rFonts w:hint="eastAsia" w:ascii="宋体" w:hAnsi="宋体"/>
                <w:sz w:val="24"/>
              </w:rPr>
              <w:t xml:space="preserve">供应商具有贮藏设备、场地，须提供自有场地证明（如房产证）或者租赁协议、拍摄的场地图片等详细材料，由评标委员会根据提供的材料进行综合评定，方案完整、可行，能完全满足项目实施要求，得5分；</w:t>
            </w:r>
            <w:r>
              <w:rPr>
                <w:rFonts w:ascii="宋体" w:hAnsi="宋体"/>
                <w:sz w:val="24"/>
              </w:rPr>
            </w:r>
            <w:r/>
          </w:p>
          <w:p>
            <w:pPr>
              <w:pStyle w:val="1072"/>
              <w:ind w:firstLine="420"/>
              <w:jc w:val="left"/>
              <w:spacing w:line="360" w:lineRule="exact"/>
              <w:tabs>
                <w:tab w:val="left" w:pos="5940" w:leader="none"/>
              </w:tabs>
              <w:rPr>
                <w:rFonts w:ascii="宋体" w:hAnsi="宋体"/>
                <w:sz w:val="24"/>
              </w:rPr>
            </w:pPr>
            <w:r>
              <w:rPr>
                <w:rFonts w:hint="eastAsia" w:ascii="宋体" w:hAnsi="宋体"/>
                <w:sz w:val="24"/>
              </w:rPr>
              <w:t xml:space="preserve">方案较具体、可行，能基本满足项目实施要求，得3分；</w:t>
            </w:r>
            <w:r>
              <w:rPr>
                <w:rFonts w:ascii="宋体" w:hAnsi="宋体"/>
                <w:sz w:val="24"/>
              </w:rPr>
            </w:r>
            <w:r/>
          </w:p>
          <w:p>
            <w:pPr>
              <w:pStyle w:val="1072"/>
              <w:ind w:firstLine="420"/>
              <w:jc w:val="left"/>
              <w:spacing w:line="360" w:lineRule="exact"/>
              <w:tabs>
                <w:tab w:val="left" w:pos="5940" w:leader="none"/>
              </w:tabs>
              <w:rPr>
                <w:rFonts w:ascii="宋体" w:hAnsi="宋体"/>
                <w:sz w:val="24"/>
              </w:rPr>
            </w:pPr>
            <w:r>
              <w:rPr>
                <w:rFonts w:hint="eastAsia" w:ascii="宋体" w:hAnsi="宋体"/>
                <w:sz w:val="24"/>
              </w:rPr>
              <w:t xml:space="preserve">方案内容较简单，对项目实施要求响应一般，得1分；</w:t>
            </w:r>
            <w:r>
              <w:rPr>
                <w:rFonts w:ascii="宋体" w:hAnsi="宋体"/>
                <w:sz w:val="24"/>
              </w:rPr>
            </w:r>
            <w:r/>
          </w:p>
          <w:p>
            <w:pPr>
              <w:pStyle w:val="1072"/>
              <w:ind w:firstLine="480"/>
              <w:spacing w:line="360" w:lineRule="exact"/>
              <w:rPr>
                <w:rFonts w:ascii="宋体" w:hAnsi="宋体"/>
                <w:sz w:val="24"/>
              </w:rPr>
            </w:pPr>
            <w:r>
              <w:rPr>
                <w:rFonts w:hint="eastAsia" w:ascii="宋体" w:hAnsi="宋体"/>
                <w:sz w:val="24"/>
              </w:rPr>
              <w:t xml:space="preserve">未提供本项不得分。</w:t>
            </w:r>
            <w:r>
              <w:rPr>
                <w:rFonts w:ascii="宋体" w:hAnsi="宋体"/>
                <w:sz w:val="24"/>
              </w:rPr>
            </w:r>
            <w:r/>
          </w:p>
        </w:tc>
      </w:tr>
      <w:tr>
        <w:trPr/>
        <w:tc>
          <w:tcPr>
            <w:tcW w:w="429" w:type="pct"/>
            <w:vAlign w:val="center"/>
            <w:textDirection w:val="lrTb"/>
            <w:noWrap w:val="false"/>
          </w:tcPr>
          <w:p>
            <w:pPr>
              <w:pStyle w:val="1072"/>
              <w:ind w:firstLine="28"/>
              <w:jc w:val="center"/>
              <w:rPr>
                <w:rFonts w:hint="eastAsia" w:ascii="宋体" w:hAnsi="宋体"/>
                <w:sz w:val="24"/>
              </w:rPr>
            </w:pPr>
            <w:r>
              <w:rPr>
                <w:rFonts w:hint="eastAsia" w:ascii="宋体" w:hAnsi="宋体"/>
                <w:sz w:val="24"/>
              </w:rPr>
              <w:t xml:space="preserve">2.8</w:t>
            </w:r>
            <w:r/>
          </w:p>
        </w:tc>
        <w:tc>
          <w:tcPr>
            <w:tcW w:w="746" w:type="pct"/>
            <w:vAlign w:val="center"/>
            <w:textDirection w:val="lrTb"/>
            <w:noWrap w:val="false"/>
          </w:tcPr>
          <w:p>
            <w:pPr>
              <w:pStyle w:val="1072"/>
              <w:ind w:firstLine="28"/>
              <w:jc w:val="center"/>
              <w:rPr>
                <w:rFonts w:hint="eastAsia" w:ascii="宋体" w:hAnsi="宋体"/>
                <w:sz w:val="24"/>
              </w:rPr>
            </w:pPr>
            <w:r>
              <w:rPr>
                <w:rFonts w:hint="eastAsia" w:ascii="宋体" w:hAnsi="宋体"/>
                <w:sz w:val="24"/>
              </w:rPr>
              <w:t xml:space="preserve">样品</w:t>
            </w:r>
            <w:r/>
          </w:p>
        </w:tc>
        <w:tc>
          <w:tcPr>
            <w:tcW w:w="333" w:type="pct"/>
            <w:vAlign w:val="center"/>
            <w:textDirection w:val="lrTb"/>
            <w:noWrap w:val="false"/>
          </w:tcPr>
          <w:p>
            <w:pPr>
              <w:pStyle w:val="1072"/>
              <w:ind w:firstLine="28"/>
              <w:jc w:val="center"/>
              <w:rPr>
                <w:rFonts w:hint="eastAsia" w:ascii="宋体" w:hAnsi="宋体"/>
                <w:sz w:val="24"/>
              </w:rPr>
            </w:pPr>
            <w:r>
              <w:rPr>
                <w:rFonts w:hint="eastAsia" w:ascii="宋体" w:hAnsi="宋体"/>
                <w:sz w:val="24"/>
              </w:rPr>
              <w:t xml:space="preserve">5</w:t>
            </w:r>
            <w:r/>
          </w:p>
        </w:tc>
        <w:tc>
          <w:tcPr>
            <w:tcW w:w="3492" w:type="pct"/>
            <w:vAlign w:val="top"/>
            <w:textDirection w:val="lrTb"/>
            <w:noWrap w:val="false"/>
          </w:tcPr>
          <w:p>
            <w:pPr>
              <w:pStyle w:val="1072"/>
              <w:ind w:firstLine="420"/>
              <w:jc w:val="left"/>
              <w:spacing w:line="360" w:lineRule="exact"/>
              <w:tabs>
                <w:tab w:val="left" w:pos="5940" w:leader="none"/>
              </w:tabs>
              <w:rPr>
                <w:rFonts w:hint="eastAsia" w:ascii="宋体" w:hAnsi="宋体"/>
                <w:sz w:val="24"/>
              </w:rPr>
            </w:pPr>
            <w:r>
              <w:rPr>
                <w:rFonts w:hint="eastAsia" w:ascii="宋体" w:hAnsi="宋体"/>
                <w:sz w:val="24"/>
              </w:rPr>
              <w:t xml:space="preserve">样品的外观、质量：颗粒完整、光洁、白净无杂质，质量好，得5分；颗粒较完整、较白净、杂质较少，质量较好，得3分；颗粒不完整的较多、杂色、有杂质，质量一般，得1分，未提供不得分。</w:t>
            </w:r>
            <w:r/>
          </w:p>
        </w:tc>
      </w:tr>
      <w:tr>
        <w:trPr/>
        <w:tc>
          <w:tcPr>
            <w:tcW w:w="429"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746"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333" w:type="pct"/>
            <w:vAlign w:val="center"/>
            <w:textDirection w:val="lrTb"/>
            <w:noWrap w:val="false"/>
          </w:tcPr>
          <w:p>
            <w:pPr>
              <w:pStyle w:val="1072"/>
              <w:ind w:firstLine="28"/>
              <w:jc w:val="center"/>
              <w:rPr>
                <w:rFonts w:ascii="宋体" w:hAnsi="宋体"/>
                <w:sz w:val="24"/>
              </w:rPr>
            </w:pPr>
            <w:r>
              <w:rPr>
                <w:rFonts w:ascii="宋体" w:hAnsi="宋体"/>
                <w:sz w:val="24"/>
              </w:rPr>
            </w:r>
            <w:r/>
          </w:p>
        </w:tc>
        <w:tc>
          <w:tcPr>
            <w:tcW w:w="3492" w:type="pct"/>
            <w:vAlign w:val="center"/>
            <w:textDirection w:val="lrTb"/>
            <w:noWrap w:val="false"/>
          </w:tcPr>
          <w:p>
            <w:pPr>
              <w:pStyle w:val="1072"/>
              <w:rPr>
                <w:rFonts w:ascii="宋体" w:hAnsi="宋体"/>
                <w:sz w:val="24"/>
              </w:rPr>
            </w:pPr>
            <w:r>
              <w:rPr>
                <w:rFonts w:ascii="宋体" w:hAnsi="宋体"/>
                <w:sz w:val="24"/>
              </w:rPr>
            </w:r>
            <w:r/>
          </w:p>
        </w:tc>
      </w:tr>
      <w:tr>
        <w:trPr/>
        <w:tc>
          <w:tcPr>
            <w:tcW w:w="429"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3.1</w:t>
            </w:r>
            <w:r>
              <w:rPr>
                <w:rFonts w:ascii="宋体" w:hAnsi="宋体"/>
                <w:sz w:val="24"/>
              </w:rPr>
            </w:r>
            <w:r/>
          </w:p>
        </w:tc>
        <w:tc>
          <w:tcPr>
            <w:tcW w:w="746"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企业业绩</w:t>
            </w:r>
            <w:r>
              <w:rPr>
                <w:rFonts w:ascii="宋体" w:hAnsi="宋体"/>
                <w:sz w:val="24"/>
              </w:rPr>
            </w:r>
            <w:r/>
          </w:p>
        </w:tc>
        <w:tc>
          <w:tcPr>
            <w:tcW w:w="333"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12</w:t>
            </w:r>
            <w:r>
              <w:rPr>
                <w:rFonts w:ascii="宋体" w:hAnsi="宋体"/>
                <w:sz w:val="24"/>
              </w:rPr>
            </w:r>
            <w:r/>
          </w:p>
        </w:tc>
        <w:tc>
          <w:tcPr>
            <w:tcW w:w="3492" w:type="pct"/>
            <w:vAlign w:val="top"/>
            <w:textDirection w:val="lrTb"/>
            <w:noWrap w:val="false"/>
          </w:tcPr>
          <w:p>
            <w:pPr>
              <w:pStyle w:val="1072"/>
              <w:ind w:firstLine="480"/>
              <w:jc w:val="left"/>
              <w:spacing w:line="360" w:lineRule="exact"/>
              <w:rPr>
                <w:rFonts w:ascii="宋体" w:hAnsi="宋体"/>
                <w:sz w:val="24"/>
              </w:rPr>
            </w:pPr>
            <w:r>
              <w:rPr>
                <w:rFonts w:hint="eastAsia" w:ascii="宋体" w:hAnsi="宋体"/>
                <w:sz w:val="24"/>
              </w:rPr>
              <w:t xml:space="preserve">供应商提供</w:t>
            </w:r>
            <w:r>
              <w:rPr>
                <w:rFonts w:hint="eastAsia" w:ascii="宋体" w:hAnsi="宋体" w:cs="宋体"/>
                <w:sz w:val="24"/>
              </w:rPr>
              <w:t xml:space="preserve">2019年1月1日以来</w:t>
            </w:r>
            <w:r>
              <w:rPr>
                <w:rFonts w:hint="eastAsia" w:ascii="宋体" w:hAnsi="宋体"/>
                <w:sz w:val="24"/>
              </w:rPr>
              <w:t xml:space="preserve">与本项目类似</w:t>
            </w:r>
            <w:r>
              <w:rPr>
                <w:rFonts w:ascii="宋体" w:hAnsi="宋体"/>
                <w:sz w:val="24"/>
              </w:rPr>
              <w:t xml:space="preserve">的</w:t>
            </w:r>
            <w:r>
              <w:rPr>
                <w:rFonts w:hint="eastAsia" w:ascii="宋体" w:hAnsi="宋体"/>
                <w:sz w:val="24"/>
              </w:rPr>
              <w:t xml:space="preserve">项目业绩，每有一个业绩得</w:t>
            </w:r>
            <w:r>
              <w:rPr>
                <w:rFonts w:ascii="宋体" w:hAnsi="宋体"/>
                <w:sz w:val="24"/>
              </w:rPr>
              <w:t xml:space="preserve">3</w:t>
            </w:r>
            <w:r>
              <w:rPr>
                <w:rFonts w:hint="eastAsia" w:ascii="宋体" w:hAnsi="宋体"/>
                <w:sz w:val="24"/>
              </w:rPr>
              <w:t xml:space="preserve">分，最高得</w:t>
            </w:r>
            <w:r>
              <w:rPr>
                <w:rFonts w:ascii="宋体" w:hAnsi="宋体"/>
                <w:sz w:val="24"/>
              </w:rPr>
              <w:t xml:space="preserve">12</w:t>
            </w:r>
            <w:r>
              <w:rPr>
                <w:rFonts w:hint="eastAsia" w:ascii="宋体" w:hAnsi="宋体"/>
                <w:sz w:val="24"/>
              </w:rPr>
              <w:t xml:space="preserve">分。</w:t>
            </w:r>
            <w:r>
              <w:rPr>
                <w:rFonts w:hint="eastAsia" w:ascii="宋体" w:hAnsi="宋体"/>
                <w:b/>
                <w:sz w:val="24"/>
              </w:rPr>
              <w:t xml:space="preserve">（响应文件中</w:t>
            </w:r>
            <w:r>
              <w:rPr>
                <w:rFonts w:hint="eastAsia" w:ascii="宋体" w:hAnsi="宋体" w:cs="宋体"/>
                <w:b/>
                <w:sz w:val="24"/>
              </w:rPr>
              <w:t xml:space="preserve">提供合同扫描件加盖公章，</w:t>
            </w:r>
            <w:r>
              <w:rPr>
                <w:rFonts w:ascii="宋体" w:hAnsi="宋体"/>
                <w:b/>
                <w:sz w:val="24"/>
              </w:rPr>
              <w:t xml:space="preserve">否则不得分</w:t>
            </w:r>
            <w:r>
              <w:rPr>
                <w:rFonts w:hint="eastAsia" w:ascii="宋体" w:hAnsi="宋体"/>
                <w:b/>
                <w:sz w:val="24"/>
              </w:rPr>
              <w:t xml:space="preserve">）</w:t>
            </w:r>
            <w:r>
              <w:rPr>
                <w:rFonts w:ascii="宋体" w:hAnsi="宋体"/>
                <w:sz w:val="24"/>
              </w:rPr>
            </w:r>
            <w:r/>
          </w:p>
        </w:tc>
      </w:tr>
      <w:tr>
        <w:trPr/>
        <w:tc>
          <w:tcPr>
            <w:tcW w:w="429"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3.2</w:t>
            </w:r>
            <w:r>
              <w:rPr>
                <w:rFonts w:ascii="宋体" w:hAnsi="宋体"/>
                <w:sz w:val="24"/>
              </w:rPr>
            </w:r>
            <w:r/>
          </w:p>
        </w:tc>
        <w:tc>
          <w:tcPr>
            <w:tcW w:w="746"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综合实力</w:t>
            </w:r>
            <w:r>
              <w:rPr>
                <w:rFonts w:ascii="宋体" w:hAnsi="宋体"/>
                <w:sz w:val="24"/>
              </w:rPr>
            </w:r>
            <w:r/>
          </w:p>
        </w:tc>
        <w:tc>
          <w:tcPr>
            <w:tcW w:w="333"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6</w:t>
            </w:r>
            <w:r>
              <w:rPr>
                <w:rFonts w:ascii="宋体" w:hAnsi="宋体"/>
                <w:sz w:val="24"/>
              </w:rPr>
            </w:r>
            <w:r/>
          </w:p>
        </w:tc>
        <w:tc>
          <w:tcPr>
            <w:tcW w:w="3492" w:type="pct"/>
            <w:vAlign w:val="top"/>
            <w:textDirection w:val="lrTb"/>
            <w:noWrap w:val="false"/>
          </w:tcPr>
          <w:p>
            <w:pPr>
              <w:pStyle w:val="1072"/>
              <w:ind w:firstLine="480"/>
              <w:jc w:val="left"/>
              <w:spacing w:line="360" w:lineRule="exact"/>
              <w:rPr>
                <w:rFonts w:ascii="宋体" w:hAnsi="宋体" w:cs="宋体"/>
                <w:sz w:val="24"/>
              </w:rPr>
            </w:pPr>
            <w:r>
              <w:rPr>
                <w:rFonts w:ascii="宋体" w:hAnsi="宋体"/>
                <w:sz w:val="24"/>
              </w:rPr>
              <w:t xml:space="preserve">供应商具有有效的质量管理体系认证、环境管理体系认证和职业健康安全管理体系认证的，每有一个证书得</w:t>
            </w:r>
            <w:r>
              <w:rPr>
                <w:rFonts w:hint="eastAsia" w:ascii="宋体" w:hAnsi="宋体"/>
                <w:sz w:val="24"/>
              </w:rPr>
              <w:t xml:space="preserve">2</w:t>
            </w:r>
            <w:r>
              <w:rPr>
                <w:rFonts w:ascii="宋体" w:hAnsi="宋体"/>
                <w:sz w:val="24"/>
              </w:rPr>
              <w:t xml:space="preserve">分，最高得</w:t>
            </w:r>
            <w:r>
              <w:rPr>
                <w:rFonts w:hint="eastAsia" w:ascii="宋体" w:hAnsi="宋体"/>
                <w:sz w:val="24"/>
              </w:rPr>
              <w:t xml:space="preserve">6</w:t>
            </w:r>
            <w:r>
              <w:rPr>
                <w:rFonts w:ascii="宋体" w:hAnsi="宋体"/>
                <w:sz w:val="24"/>
              </w:rPr>
              <w:t xml:space="preserve">分。</w:t>
            </w:r>
            <w:r>
              <w:rPr>
                <w:rFonts w:ascii="宋体" w:hAnsi="宋体"/>
                <w:b/>
                <w:sz w:val="24"/>
              </w:rPr>
              <w:t xml:space="preserve">（</w:t>
            </w:r>
            <w:r>
              <w:rPr>
                <w:rFonts w:hint="eastAsia" w:ascii="宋体" w:hAnsi="宋体"/>
                <w:b/>
                <w:sz w:val="24"/>
              </w:rPr>
              <w:t xml:space="preserve">响应文件中</w:t>
            </w:r>
            <w:r>
              <w:rPr>
                <w:rFonts w:ascii="宋体" w:hAnsi="宋体"/>
                <w:b/>
                <w:sz w:val="24"/>
              </w:rPr>
              <w:t xml:space="preserve">提供证书</w:t>
            </w:r>
            <w:r>
              <w:rPr>
                <w:rFonts w:hint="eastAsia" w:ascii="宋体" w:hAnsi="宋体" w:cs="宋体"/>
                <w:b/>
                <w:sz w:val="24"/>
              </w:rPr>
              <w:t xml:space="preserve">扫描件加盖公章，</w:t>
            </w:r>
            <w:r>
              <w:rPr>
                <w:rFonts w:ascii="宋体" w:hAnsi="宋体"/>
                <w:b/>
                <w:sz w:val="24"/>
              </w:rPr>
              <w:t xml:space="preserve">否则不得分）</w:t>
            </w:r>
            <w:r>
              <w:rPr>
                <w:rFonts w:ascii="宋体" w:hAnsi="宋体" w:cs="宋体"/>
                <w:sz w:val="24"/>
              </w:rPr>
            </w:r>
            <w:r/>
          </w:p>
        </w:tc>
      </w:tr>
      <w:tr>
        <w:trPr/>
        <w:tc>
          <w:tcPr>
            <w:tcW w:w="429"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3.3</w:t>
            </w:r>
            <w:r>
              <w:rPr>
                <w:rFonts w:ascii="宋体" w:hAnsi="宋体"/>
                <w:sz w:val="24"/>
              </w:rPr>
            </w:r>
            <w:r/>
          </w:p>
        </w:tc>
        <w:tc>
          <w:tcPr>
            <w:tcW w:w="746"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品牌授权</w:t>
            </w:r>
            <w:r>
              <w:rPr>
                <w:rFonts w:ascii="宋体" w:hAnsi="宋体"/>
                <w:sz w:val="24"/>
              </w:rPr>
            </w:r>
            <w:r/>
          </w:p>
        </w:tc>
        <w:tc>
          <w:tcPr>
            <w:tcW w:w="333"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3492" w:type="pct"/>
            <w:vAlign w:val="top"/>
            <w:textDirection w:val="lrTb"/>
            <w:noWrap w:val="false"/>
          </w:tcPr>
          <w:p>
            <w:pPr>
              <w:pStyle w:val="1072"/>
              <w:spacing w:line="360" w:lineRule="exact"/>
              <w:rPr>
                <w:rFonts w:ascii="宋体" w:hAnsi="宋体"/>
                <w:sz w:val="24"/>
              </w:rPr>
            </w:pPr>
            <w:r>
              <w:rPr>
                <w:rFonts w:hint="eastAsia" w:ascii="宋体" w:hAnsi="宋体"/>
                <w:sz w:val="24"/>
              </w:rPr>
              <w:t xml:space="preserve">供应商</w:t>
            </w:r>
            <w:r>
              <w:rPr>
                <w:rFonts w:ascii="宋体" w:hAnsi="宋体"/>
                <w:sz w:val="24"/>
              </w:rPr>
              <w:t xml:space="preserve">提供</w:t>
            </w:r>
            <w:r>
              <w:rPr>
                <w:rFonts w:hint="eastAsia" w:ascii="宋体" w:hAnsi="宋体"/>
                <w:sz w:val="24"/>
              </w:rPr>
              <w:t xml:space="preserve">以下</w:t>
            </w:r>
            <w:r>
              <w:rPr>
                <w:rFonts w:ascii="宋体" w:hAnsi="宋体"/>
                <w:sz w:val="24"/>
              </w:rPr>
              <w:t xml:space="preserve">任意一项</w:t>
            </w:r>
            <w:r>
              <w:rPr>
                <w:rFonts w:hint="eastAsia" w:ascii="宋体" w:hAnsi="宋体"/>
                <w:sz w:val="24"/>
              </w:rPr>
              <w:t xml:space="preserve">材料</w:t>
            </w:r>
            <w:r>
              <w:rPr>
                <w:rFonts w:ascii="宋体" w:hAnsi="宋体"/>
                <w:sz w:val="24"/>
              </w:rPr>
              <w:t xml:space="preserve">，得</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w:t>
            </w:r>
            <w:r>
              <w:rPr>
                <w:rFonts w:ascii="宋体" w:hAnsi="宋体"/>
                <w:sz w:val="24"/>
              </w:rPr>
            </w:r>
            <w:r/>
          </w:p>
          <w:p>
            <w:pPr>
              <w:pStyle w:val="1072"/>
              <w:spacing w:line="360" w:lineRule="exact"/>
              <w:rPr>
                <w:rFonts w:ascii="宋体" w:hAnsi="宋体"/>
                <w:sz w:val="24"/>
              </w:rPr>
            </w:pPr>
            <w:r>
              <w:rPr>
                <w:rFonts w:hint="eastAsia" w:ascii="宋体" w:hAnsi="宋体"/>
                <w:sz w:val="24"/>
              </w:rPr>
              <w:t xml:space="preserve">（1）供应商如</w:t>
            </w:r>
            <w:r>
              <w:rPr>
                <w:rFonts w:ascii="宋体" w:hAnsi="宋体"/>
                <w:sz w:val="24"/>
              </w:rPr>
              <w:t xml:space="preserve">为</w:t>
            </w:r>
            <w:r>
              <w:rPr>
                <w:rFonts w:hint="eastAsia" w:ascii="宋体" w:hAnsi="宋体"/>
                <w:sz w:val="24"/>
              </w:rPr>
              <w:t xml:space="preserve">所投大米品牌生产</w:t>
            </w:r>
            <w:r>
              <w:rPr>
                <w:rFonts w:ascii="宋体" w:hAnsi="宋体"/>
                <w:sz w:val="24"/>
              </w:rPr>
              <w:t xml:space="preserve">厂商</w:t>
            </w:r>
            <w:r>
              <w:rPr>
                <w:rFonts w:hint="eastAsia" w:ascii="宋体" w:hAnsi="宋体"/>
                <w:sz w:val="24"/>
              </w:rPr>
              <w:t xml:space="preserve">，</w:t>
            </w:r>
            <w:r>
              <w:rPr>
                <w:rFonts w:ascii="宋体" w:hAnsi="宋体"/>
                <w:sz w:val="24"/>
              </w:rPr>
              <w:t xml:space="preserve">提供</w:t>
            </w:r>
            <w:r>
              <w:rPr>
                <w:rFonts w:hint="eastAsia" w:ascii="宋体" w:hAnsi="宋体"/>
                <w:sz w:val="24"/>
              </w:rPr>
              <w:t xml:space="preserve">相关</w:t>
            </w:r>
            <w:r>
              <w:rPr>
                <w:rFonts w:ascii="宋体" w:hAnsi="宋体"/>
                <w:sz w:val="24"/>
              </w:rPr>
              <w:t xml:space="preserve">证明材料</w:t>
            </w:r>
            <w:r>
              <w:rPr>
                <w:rFonts w:hint="eastAsia" w:ascii="宋体" w:hAnsi="宋体"/>
                <w:sz w:val="24"/>
              </w:rPr>
              <w:t xml:space="preserve">；</w:t>
            </w:r>
            <w:r>
              <w:rPr>
                <w:rFonts w:ascii="宋体" w:hAnsi="宋体"/>
                <w:sz w:val="24"/>
              </w:rPr>
            </w:r>
            <w:r/>
          </w:p>
          <w:p>
            <w:pPr>
              <w:pStyle w:val="1072"/>
              <w:spacing w:line="360" w:lineRule="exact"/>
              <w:rPr>
                <w:rFonts w:ascii="宋体" w:hAnsi="宋体"/>
                <w:sz w:val="24"/>
              </w:rPr>
            </w:pPr>
            <w:r>
              <w:rPr>
                <w:rFonts w:hint="eastAsia" w:ascii="宋体" w:hAnsi="宋体"/>
                <w:sz w:val="24"/>
              </w:rPr>
              <w:t xml:space="preserve">（2）供应商如</w:t>
            </w:r>
            <w:r>
              <w:rPr>
                <w:rFonts w:ascii="宋体" w:hAnsi="宋体"/>
                <w:sz w:val="24"/>
              </w:rPr>
              <w:t xml:space="preserve">为</w:t>
            </w:r>
            <w:r>
              <w:rPr>
                <w:rFonts w:hint="eastAsia" w:ascii="宋体" w:hAnsi="宋体"/>
                <w:sz w:val="24"/>
              </w:rPr>
              <w:t xml:space="preserve">经销商</w:t>
            </w:r>
            <w:r>
              <w:rPr>
                <w:rFonts w:ascii="宋体" w:hAnsi="宋体"/>
                <w:sz w:val="24"/>
              </w:rPr>
              <w:t xml:space="preserve">，</w:t>
            </w:r>
            <w:r>
              <w:rPr>
                <w:rFonts w:hint="eastAsia" w:ascii="宋体" w:hAnsi="宋体"/>
                <w:sz w:val="24"/>
              </w:rPr>
              <w:t xml:space="preserve">提供所投大米品牌生产厂商出具的代理销售证书或针对本项目的授权文件。</w:t>
            </w:r>
            <w:r>
              <w:rPr>
                <w:rFonts w:ascii="宋体" w:hAnsi="宋体"/>
                <w:sz w:val="24"/>
              </w:rPr>
            </w:r>
            <w:r/>
          </w:p>
          <w:p>
            <w:pPr>
              <w:pStyle w:val="1072"/>
              <w:spacing w:line="360" w:lineRule="exact"/>
              <w:rPr>
                <w:rFonts w:ascii="宋体" w:hAnsi="宋体"/>
                <w:b/>
                <w:sz w:val="24"/>
              </w:rPr>
            </w:pPr>
            <w:r>
              <w:rPr>
                <w:rFonts w:hint="eastAsia" w:ascii="宋体" w:hAnsi="宋体"/>
                <w:b/>
                <w:sz w:val="24"/>
              </w:rPr>
              <w:t xml:space="preserve">（响应文件中提供</w:t>
            </w:r>
            <w:r>
              <w:rPr>
                <w:rFonts w:hint="eastAsia" w:ascii="宋体" w:hAnsi="宋体" w:cs="宋体"/>
                <w:b/>
                <w:sz w:val="24"/>
              </w:rPr>
              <w:t xml:space="preserve">扫描件加盖公章，</w:t>
            </w:r>
            <w:r>
              <w:rPr>
                <w:rFonts w:ascii="宋体" w:hAnsi="宋体"/>
                <w:b/>
                <w:sz w:val="24"/>
              </w:rPr>
              <w:t xml:space="preserve">否则不得分</w:t>
            </w:r>
            <w:r>
              <w:rPr>
                <w:rFonts w:hint="eastAsia" w:ascii="宋体" w:hAnsi="宋体"/>
                <w:b/>
                <w:sz w:val="24"/>
              </w:rPr>
              <w:t xml:space="preserve">）。</w:t>
            </w:r>
            <w:r>
              <w:rPr>
                <w:rFonts w:ascii="宋体" w:hAnsi="宋体"/>
                <w:b/>
                <w:sz w:val="24"/>
              </w:rPr>
            </w:r>
            <w:r/>
          </w:p>
        </w:tc>
      </w:tr>
      <w:tr>
        <w:trPr/>
        <w:tc>
          <w:tcPr>
            <w:tcW w:w="429"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3.4</w:t>
            </w:r>
            <w:r>
              <w:rPr>
                <w:rFonts w:ascii="宋体" w:hAnsi="宋体"/>
                <w:sz w:val="24"/>
              </w:rPr>
            </w:r>
            <w:r/>
          </w:p>
        </w:tc>
        <w:tc>
          <w:tcPr>
            <w:tcW w:w="746" w:type="pct"/>
            <w:vAlign w:val="center"/>
            <w:textDirection w:val="lrTb"/>
            <w:noWrap w:val="false"/>
          </w:tcPr>
          <w:p>
            <w:pPr>
              <w:pStyle w:val="1072"/>
              <w:jc w:val="center"/>
              <w:spacing w:line="360" w:lineRule="exact"/>
              <w:rPr>
                <w:rFonts w:ascii="宋体" w:hAnsi="宋体"/>
                <w:sz w:val="24"/>
              </w:rPr>
            </w:pPr>
            <w:r>
              <w:rPr>
                <w:rFonts w:hint="eastAsia" w:ascii="宋体" w:hAnsi="宋体"/>
                <w:sz w:val="24"/>
              </w:rPr>
              <w:t xml:space="preserve">政府采购政策功能性得分</w:t>
            </w:r>
            <w:r>
              <w:rPr>
                <w:rFonts w:ascii="宋体" w:hAnsi="宋体"/>
                <w:sz w:val="24"/>
              </w:rPr>
            </w:r>
            <w:r/>
          </w:p>
        </w:tc>
        <w:tc>
          <w:tcPr>
            <w:tcW w:w="333" w:type="pct"/>
            <w:vAlign w:val="center"/>
            <w:textDirection w:val="lrTb"/>
            <w:noWrap w:val="false"/>
          </w:tcPr>
          <w:p>
            <w:pPr>
              <w:pStyle w:val="1072"/>
              <w:ind w:firstLine="28"/>
              <w:jc w:val="center"/>
              <w:rPr>
                <w:rFonts w:ascii="宋体" w:hAnsi="宋体"/>
                <w:sz w:val="24"/>
              </w:rPr>
            </w:pPr>
            <w:r>
              <w:rPr>
                <w:rFonts w:hint="eastAsia" w:ascii="宋体" w:hAnsi="宋体"/>
                <w:sz w:val="24"/>
              </w:rPr>
              <w:t xml:space="preserve">1</w:t>
            </w:r>
            <w:r>
              <w:rPr>
                <w:rFonts w:ascii="宋体" w:hAnsi="宋体"/>
                <w:sz w:val="24"/>
              </w:rPr>
            </w:r>
            <w:r/>
          </w:p>
        </w:tc>
        <w:tc>
          <w:tcPr>
            <w:tcW w:w="3492" w:type="pct"/>
            <w:vAlign w:val="top"/>
            <w:textDirection w:val="lrTb"/>
            <w:noWrap w:val="false"/>
          </w:tcPr>
          <w:p>
            <w:pPr>
              <w:pStyle w:val="1072"/>
              <w:ind w:firstLine="480"/>
              <w:jc w:val="left"/>
              <w:spacing w:line="360" w:lineRule="exact"/>
              <w:rPr>
                <w:rFonts w:ascii="宋体" w:hAnsi="宋体"/>
                <w:sz w:val="24"/>
              </w:rPr>
            </w:pPr>
            <w:r>
              <w:rPr>
                <w:rFonts w:hint="eastAsia" w:ascii="宋体" w:hAnsi="宋体"/>
                <w:sz w:val="24"/>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ascii="宋体" w:hAnsi="宋体"/>
                <w:sz w:val="24"/>
              </w:rPr>
            </w:r>
            <w:r/>
          </w:p>
        </w:tc>
      </w:tr>
      <w:tr>
        <w:trPr/>
        <w:tc>
          <w:tcPr>
            <w:gridSpan w:val="2"/>
            <w:tcW w:w="1175" w:type="pct"/>
            <w:vAlign w:val="center"/>
            <w:textDirection w:val="lrTb"/>
            <w:noWrap w:val="false"/>
          </w:tcPr>
          <w:p>
            <w:pPr>
              <w:pStyle w:val="1072"/>
              <w:ind w:firstLine="28"/>
              <w:jc w:val="center"/>
              <w:rPr>
                <w:rFonts w:ascii="宋体" w:hAnsi="宋体"/>
                <w:sz w:val="24"/>
              </w:rPr>
            </w:pPr>
            <w:r>
              <w:rPr>
                <w:rFonts w:ascii="宋体" w:hAnsi="宋体"/>
                <w:sz w:val="24"/>
              </w:rPr>
              <w:t xml:space="preserve">合计</w:t>
            </w:r>
            <w:r/>
          </w:p>
        </w:tc>
        <w:tc>
          <w:tcPr>
            <w:tcW w:w="333" w:type="pct"/>
            <w:vAlign w:val="center"/>
            <w:textDirection w:val="lrTb"/>
            <w:noWrap w:val="false"/>
          </w:tcPr>
          <w:p>
            <w:pPr>
              <w:pStyle w:val="1072"/>
              <w:ind w:firstLine="28"/>
              <w:jc w:val="center"/>
              <w:rPr>
                <w:rFonts w:ascii="宋体" w:hAnsi="宋体"/>
                <w:sz w:val="24"/>
              </w:rPr>
            </w:pPr>
            <w:r>
              <w:rPr>
                <w:rFonts w:ascii="宋体" w:hAnsi="宋体"/>
                <w:sz w:val="24"/>
              </w:rPr>
              <w:t xml:space="preserve">100</w:t>
            </w:r>
            <w:r/>
          </w:p>
        </w:tc>
        <w:tc>
          <w:tcPr>
            <w:tcW w:w="3492" w:type="pct"/>
            <w:vAlign w:val="top"/>
            <w:textDirection w:val="lrTb"/>
            <w:noWrap w:val="false"/>
          </w:tcPr>
          <w:p>
            <w:pPr>
              <w:pStyle w:val="1072"/>
              <w:ind w:firstLine="480"/>
              <w:jc w:val="left"/>
              <w:spacing w:line="360" w:lineRule="exact"/>
              <w:rPr>
                <w:rFonts w:ascii="宋体" w:hAnsi="宋体"/>
                <w:sz w:val="24"/>
              </w:rPr>
            </w:pPr>
            <w:r>
              <w:rPr>
                <w:rFonts w:ascii="宋体" w:hAnsi="宋体"/>
                <w:sz w:val="24"/>
              </w:rPr>
            </w:r>
            <w:r/>
          </w:p>
        </w:tc>
      </w:tr>
    </w:tbl>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72"/>
        <w:ind w:firstLine="482"/>
        <w:spacing w:line="360" w:lineRule="auto"/>
        <w:rPr>
          <w:rFonts w:ascii="宋体" w:hAnsi="宋体" w:cs="宋体"/>
          <w:b/>
          <w:sz w:val="24"/>
        </w:rPr>
      </w:pPr>
      <w:r>
        <w:rPr>
          <w:rFonts w:hint="eastAsia" w:ascii="宋体" w:hAnsi="宋体" w:cs="宋体"/>
          <w:b/>
          <w:bCs/>
          <w:sz w:val="24"/>
        </w:rPr>
        <w:t xml:space="preserve">一、</w:t>
      </w:r>
      <w:r>
        <w:rPr>
          <w:rFonts w:hint="eastAsia" w:ascii="宋体" w:hAnsi="宋体" w:cs="宋体"/>
          <w:b/>
          <w:sz w:val="24"/>
        </w:rPr>
        <w:t xml:space="preserve">采购内容及要求</w:t>
      </w:r>
      <w:r>
        <w:rPr>
          <w:rFonts w:ascii="宋体" w:hAnsi="宋体" w:cs="宋体"/>
          <w:b/>
          <w:sz w:val="24"/>
        </w:rPr>
      </w:r>
      <w:r/>
    </w:p>
    <w:tbl>
      <w:tblPr>
        <w:tblW w:w="7796"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134"/>
        <w:gridCol w:w="1276"/>
        <w:gridCol w:w="2013"/>
        <w:gridCol w:w="2806"/>
      </w:tblGrid>
      <w:tr>
        <w:trPr>
          <w:trHeight w:val="454"/>
        </w:trPr>
        <w:tc>
          <w:tcPr>
            <w:tcW w:w="567" w:type="dxa"/>
            <w:vAlign w:val="center"/>
            <w:textDirection w:val="lrTb"/>
            <w:noWrap w:val="false"/>
          </w:tcPr>
          <w:p>
            <w:pPr>
              <w:pStyle w:val="1072"/>
              <w:ind w:left="-105" w:right="-105"/>
              <w:jc w:val="center"/>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134" w:type="dxa"/>
            <w:vAlign w:val="center"/>
            <w:textDirection w:val="lrTb"/>
            <w:noWrap w:val="false"/>
          </w:tcPr>
          <w:p>
            <w:pPr>
              <w:pStyle w:val="1072"/>
              <w:jc w:val="center"/>
              <w:rPr>
                <w:rFonts w:ascii="宋体" w:hAnsi="宋体" w:cs="宋体"/>
                <w:sz w:val="24"/>
              </w:rPr>
            </w:pPr>
            <w:r>
              <w:rPr>
                <w:rFonts w:hint="eastAsia" w:ascii="宋体" w:hAnsi="宋体" w:cs="宋体"/>
                <w:sz w:val="24"/>
              </w:rPr>
              <w:t xml:space="preserve">名称</w:t>
            </w:r>
            <w:r>
              <w:rPr>
                <w:rFonts w:ascii="宋体" w:hAnsi="宋体" w:cs="宋体"/>
                <w:sz w:val="24"/>
              </w:rPr>
            </w:r>
            <w:r/>
          </w:p>
        </w:tc>
        <w:tc>
          <w:tcPr>
            <w:tcW w:w="1276" w:type="dxa"/>
            <w:vAlign w:val="center"/>
            <w:textDirection w:val="lrTb"/>
            <w:noWrap w:val="false"/>
          </w:tcPr>
          <w:p>
            <w:pPr>
              <w:pStyle w:val="1072"/>
              <w:jc w:val="center"/>
              <w:rPr>
                <w:rFonts w:ascii="宋体" w:hAnsi="宋体" w:cs="宋体"/>
                <w:sz w:val="24"/>
              </w:rPr>
            </w:pPr>
            <w:r>
              <w:rPr>
                <w:rFonts w:hint="eastAsia" w:ascii="宋体" w:hAnsi="宋体" w:cs="宋体"/>
                <w:sz w:val="24"/>
              </w:rPr>
              <w:t xml:space="preserve">品质</w:t>
            </w:r>
            <w:r>
              <w:rPr>
                <w:rFonts w:ascii="宋体" w:hAnsi="宋体" w:cs="宋体"/>
                <w:sz w:val="24"/>
              </w:rPr>
            </w:r>
            <w:r/>
          </w:p>
        </w:tc>
        <w:tc>
          <w:tcPr>
            <w:tcW w:w="2013" w:type="dxa"/>
            <w:vAlign w:val="center"/>
            <w:textDirection w:val="lrTb"/>
            <w:noWrap w:val="false"/>
          </w:tcPr>
          <w:p>
            <w:pPr>
              <w:pStyle w:val="1072"/>
              <w:jc w:val="center"/>
              <w:rPr>
                <w:rFonts w:ascii="宋体" w:hAnsi="宋体" w:cs="宋体"/>
                <w:sz w:val="24"/>
              </w:rPr>
            </w:pPr>
            <w:r>
              <w:rPr>
                <w:rFonts w:hint="eastAsia" w:ascii="宋体" w:hAnsi="宋体" w:cs="宋体"/>
                <w:sz w:val="24"/>
              </w:rPr>
              <w:t xml:space="preserve">数量</w:t>
            </w:r>
            <w:r>
              <w:rPr>
                <w:rFonts w:ascii="宋体" w:hAnsi="宋体" w:cs="宋体"/>
                <w:sz w:val="24"/>
              </w:rPr>
            </w:r>
            <w:r/>
          </w:p>
        </w:tc>
        <w:tc>
          <w:tcPr>
            <w:tcW w:w="2806" w:type="dxa"/>
            <w:vAlign w:val="center"/>
            <w:textDirection w:val="lrTb"/>
            <w:noWrap w:val="false"/>
          </w:tcPr>
          <w:p>
            <w:pPr>
              <w:pStyle w:val="1072"/>
              <w:jc w:val="center"/>
              <w:rPr>
                <w:rFonts w:ascii="宋体" w:hAnsi="宋体" w:cs="宋体"/>
                <w:sz w:val="24"/>
              </w:rPr>
            </w:pPr>
            <w:r>
              <w:rPr>
                <w:rFonts w:hint="eastAsia" w:ascii="宋体" w:hAnsi="宋体" w:cs="宋体"/>
                <w:sz w:val="24"/>
              </w:rPr>
              <w:t xml:space="preserve">单价限价（元/斤）</w:t>
            </w:r>
            <w:r>
              <w:rPr>
                <w:rFonts w:ascii="宋体" w:hAnsi="宋体" w:cs="宋体"/>
                <w:sz w:val="24"/>
              </w:rPr>
            </w:r>
            <w:r/>
          </w:p>
        </w:tc>
      </w:tr>
      <w:tr>
        <w:trPr>
          <w:trHeight w:val="454"/>
        </w:trPr>
        <w:tc>
          <w:tcPr>
            <w:tcW w:w="567" w:type="dxa"/>
            <w:vAlign w:val="center"/>
            <w:textDirection w:val="lrTb"/>
            <w:noWrap w:val="false"/>
          </w:tcPr>
          <w:p>
            <w:pPr>
              <w:pStyle w:val="1072"/>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1134" w:type="dxa"/>
            <w:vAlign w:val="center"/>
            <w:textDirection w:val="lrTb"/>
            <w:noWrap w:val="false"/>
          </w:tcPr>
          <w:p>
            <w:pPr>
              <w:pStyle w:val="1072"/>
              <w:jc w:val="center"/>
              <w:rPr>
                <w:rFonts w:hint="eastAsia" w:ascii="宋体" w:hAnsi="宋体" w:cs="宋体"/>
                <w:sz w:val="24"/>
                <w:lang w:val="en"/>
              </w:rPr>
            </w:pPr>
            <w:r>
              <w:rPr>
                <w:rFonts w:hint="eastAsia" w:ascii="宋体" w:hAnsi="宋体" w:cs="宋体"/>
                <w:sz w:val="24"/>
                <w:lang w:val="en"/>
              </w:rPr>
              <w:t xml:space="preserve">粳米</w:t>
            </w:r>
            <w:r/>
          </w:p>
        </w:tc>
        <w:tc>
          <w:tcPr>
            <w:tcW w:w="1276" w:type="dxa"/>
            <w:vAlign w:val="center"/>
            <w:textDirection w:val="lrTb"/>
            <w:noWrap w:val="false"/>
          </w:tcPr>
          <w:p>
            <w:pPr>
              <w:pStyle w:val="1072"/>
              <w:jc w:val="center"/>
              <w:rPr>
                <w:rFonts w:ascii="宋体" w:hAnsi="宋体" w:cs="宋体"/>
                <w:sz w:val="24"/>
              </w:rPr>
            </w:pPr>
            <w:r>
              <w:rPr>
                <w:rFonts w:hint="eastAsia" w:ascii="宋体" w:hAnsi="宋体" w:cs="宋体"/>
                <w:sz w:val="24"/>
              </w:rPr>
              <w:t xml:space="preserve">一级</w:t>
            </w:r>
            <w:r>
              <w:rPr>
                <w:rFonts w:ascii="宋体" w:hAnsi="宋体" w:cs="宋体"/>
                <w:sz w:val="24"/>
              </w:rPr>
            </w:r>
            <w:r/>
          </w:p>
        </w:tc>
        <w:tc>
          <w:tcPr>
            <w:tcW w:w="2013" w:type="dxa"/>
            <w:vAlign w:val="center"/>
            <w:textDirection w:val="lrTb"/>
            <w:noWrap w:val="false"/>
          </w:tcPr>
          <w:p>
            <w:pPr>
              <w:pStyle w:val="1072"/>
              <w:jc w:val="center"/>
              <w:rPr>
                <w:rFonts w:ascii="宋体" w:hAnsi="宋体" w:cs="宋体"/>
                <w:sz w:val="24"/>
              </w:rPr>
            </w:pPr>
            <w:r>
              <w:rPr>
                <w:rFonts w:hint="eastAsia" w:ascii="宋体" w:hAnsi="宋体" w:cs="宋体"/>
                <w:sz w:val="24"/>
              </w:rPr>
              <w:t xml:space="preserve">320吨（暂定）</w:t>
            </w:r>
            <w:r>
              <w:rPr>
                <w:rFonts w:ascii="宋体" w:hAnsi="宋体" w:cs="宋体"/>
                <w:sz w:val="24"/>
              </w:rPr>
            </w:r>
            <w:r/>
          </w:p>
        </w:tc>
        <w:tc>
          <w:tcPr>
            <w:tcW w:w="2806" w:type="dxa"/>
            <w:vAlign w:val="center"/>
            <w:textDirection w:val="lrTb"/>
            <w:noWrap w:val="false"/>
          </w:tcPr>
          <w:p>
            <w:pPr>
              <w:pStyle w:val="1072"/>
              <w:jc w:val="center"/>
              <w:rPr>
                <w:rFonts w:ascii="宋体" w:hAnsi="宋体" w:cs="宋体"/>
                <w:sz w:val="24"/>
              </w:rPr>
            </w:pPr>
            <w:r>
              <w:rPr>
                <w:rFonts w:ascii="宋体" w:hAnsi="宋体" w:cs="宋体"/>
                <w:sz w:val="24"/>
              </w:rPr>
              <w:t xml:space="preserve">2.</w:t>
            </w:r>
            <w:r>
              <w:rPr>
                <w:rFonts w:hint="eastAsia" w:ascii="宋体" w:hAnsi="宋体" w:cs="宋体"/>
                <w:sz w:val="24"/>
              </w:rPr>
              <w:t xml:space="preserve">5</w:t>
            </w:r>
            <w:r>
              <w:rPr>
                <w:rFonts w:ascii="宋体" w:hAnsi="宋体" w:cs="宋体"/>
                <w:sz w:val="24"/>
              </w:rPr>
              <w:t xml:space="preserve">0</w:t>
            </w:r>
            <w:r/>
          </w:p>
        </w:tc>
      </w:tr>
    </w:tbl>
    <w:p>
      <w:pPr>
        <w:pStyle w:val="1072"/>
        <w:ind w:right="210" w:firstLine="482"/>
        <w:jc w:val="left"/>
        <w:spacing w:line="360" w:lineRule="auto"/>
        <w:rPr>
          <w:rFonts w:ascii="宋体" w:hAnsi="宋体"/>
          <w:b/>
          <w:sz w:val="24"/>
        </w:rPr>
      </w:pPr>
      <w:r>
        <w:rPr>
          <w:rFonts w:hint="eastAsia" w:ascii="宋体" w:hAnsi="宋体"/>
          <w:b/>
          <w:sz w:val="24"/>
        </w:rPr>
        <w:t xml:space="preserve">注</w:t>
      </w:r>
      <w:r>
        <w:rPr>
          <w:rFonts w:ascii="宋体" w:hAnsi="宋体"/>
          <w:b/>
          <w:sz w:val="24"/>
        </w:rPr>
        <w:t xml:space="preserve">：</w:t>
      </w:r>
      <w:r>
        <w:rPr>
          <w:rFonts w:hint="eastAsia" w:ascii="宋体" w:hAnsi="宋体"/>
          <w:b/>
          <w:sz w:val="24"/>
        </w:rPr>
        <w:t xml:space="preserve">最终根据中标供应商报价按实结算。</w:t>
      </w:r>
      <w:r>
        <w:rPr>
          <w:rFonts w:ascii="宋体" w:hAnsi="宋体"/>
          <w:b/>
          <w:sz w:val="24"/>
        </w:rPr>
      </w:r>
      <w:r/>
    </w:p>
    <w:p>
      <w:pPr>
        <w:pStyle w:val="1072"/>
        <w:ind w:right="210" w:firstLine="482"/>
        <w:jc w:val="left"/>
        <w:spacing w:line="360" w:lineRule="auto"/>
        <w:rPr>
          <w:rFonts w:ascii="宋体" w:hAnsi="宋体" w:cs="宋体"/>
          <w:b/>
          <w:sz w:val="24"/>
        </w:rPr>
      </w:pPr>
      <w:r>
        <w:rPr>
          <w:rFonts w:hint="eastAsia" w:ascii="宋体" w:hAnsi="宋体" w:cs="宋体"/>
          <w:b/>
          <w:sz w:val="24"/>
        </w:rPr>
        <w:t xml:space="preserve">二、服务要求</w:t>
      </w:r>
      <w:r>
        <w:rPr>
          <w:rFonts w:ascii="宋体" w:hAnsi="宋体" w:cs="宋体"/>
          <w:b/>
          <w:sz w:val="24"/>
        </w:rPr>
      </w:r>
      <w:r/>
    </w:p>
    <w:p>
      <w:pPr>
        <w:pStyle w:val="1072"/>
        <w:ind w:right="210"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封样</w:t>
      </w:r>
      <w:r>
        <w:rPr>
          <w:rFonts w:hint="eastAsia" w:ascii="宋体" w:hAnsi="宋体"/>
          <w:sz w:val="24"/>
        </w:rPr>
        <w:t xml:space="preserve">：中标供应商在</w:t>
      </w:r>
      <w:r>
        <w:rPr>
          <w:rFonts w:ascii="宋体" w:hAnsi="宋体"/>
          <w:sz w:val="24"/>
        </w:rPr>
        <w:t xml:space="preserve">采购人明确送货品种后</w:t>
      </w:r>
      <w:r>
        <w:rPr>
          <w:rFonts w:hint="eastAsia" w:ascii="宋体" w:hAnsi="宋体"/>
          <w:sz w:val="24"/>
        </w:rPr>
        <w:t xml:space="preserve">，</w:t>
      </w:r>
      <w:r>
        <w:rPr>
          <w:rFonts w:ascii="宋体" w:hAnsi="宋体"/>
          <w:sz w:val="24"/>
        </w:rPr>
        <w:t xml:space="preserve">根据</w:t>
      </w:r>
      <w:r>
        <w:rPr>
          <w:rFonts w:hint="eastAsia" w:ascii="宋体" w:hAnsi="宋体"/>
          <w:sz w:val="24"/>
        </w:rPr>
        <w:t xml:space="preserve">招标文件</w:t>
      </w:r>
      <w:r>
        <w:rPr>
          <w:rFonts w:ascii="宋体" w:hAnsi="宋体"/>
          <w:sz w:val="24"/>
        </w:rPr>
        <w:t xml:space="preserve">上的要求</w:t>
      </w:r>
      <w:r>
        <w:rPr>
          <w:rFonts w:hint="eastAsia" w:ascii="宋体" w:hAnsi="宋体"/>
          <w:sz w:val="24"/>
        </w:rPr>
        <w:t xml:space="preserve">，每件</w:t>
      </w:r>
      <w:r>
        <w:rPr>
          <w:rFonts w:ascii="宋体" w:hAnsi="宋体"/>
          <w:sz w:val="24"/>
        </w:rPr>
        <w:t xml:space="preserve">送</w:t>
      </w:r>
      <w:r>
        <w:rPr>
          <w:rFonts w:hint="eastAsia" w:ascii="宋体" w:hAnsi="宋体"/>
          <w:sz w:val="24"/>
        </w:rPr>
        <w:t xml:space="preserve">样</w:t>
      </w:r>
      <w:r>
        <w:rPr>
          <w:rFonts w:ascii="宋体" w:hAnsi="宋体"/>
          <w:sz w:val="24"/>
        </w:rPr>
        <w:t xml:space="preserve">至采购人处作为封样</w:t>
      </w:r>
      <w:r>
        <w:rPr>
          <w:rFonts w:hint="eastAsia" w:ascii="宋体" w:hAnsi="宋体"/>
          <w:sz w:val="24"/>
        </w:rPr>
        <w:t xml:space="preserve">。</w:t>
      </w:r>
      <w:r>
        <w:rPr>
          <w:rFonts w:ascii="宋体" w:hAnsi="宋体"/>
          <w:sz w:val="24"/>
        </w:rPr>
      </w:r>
      <w:r/>
    </w:p>
    <w:p>
      <w:pPr>
        <w:pStyle w:val="1072"/>
        <w:ind w:right="210" w:firstLine="480"/>
        <w:jc w:val="left"/>
        <w:spacing w:line="360" w:lineRule="auto"/>
        <w:rPr>
          <w:rFonts w:ascii="宋体" w:hAnsi="宋体"/>
          <w:sz w:val="24"/>
        </w:rPr>
      </w:pPr>
      <w:r>
        <w:rPr>
          <w:rFonts w:ascii="宋体" w:hAnsi="宋体"/>
          <w:sz w:val="24"/>
        </w:rPr>
        <w:t xml:space="preserve">2.数量及验收要求：供应商应保证所供货物品种和数量、重量的准确性，采购人和供应商应分别建立采购和</w:t>
      </w:r>
      <w:r>
        <w:rPr>
          <w:rFonts w:hint="eastAsia" w:ascii="宋体" w:hAnsi="宋体"/>
          <w:sz w:val="24"/>
        </w:rPr>
        <w:t xml:space="preserve">供应台账，确定专人（不少于两人）负责验收和送货，以采购人的验货数量为准，供应商每次随货附一式三份的送货清单，由采购人验货后签字确认，作为送、收货的凭证。对于出现质量、数量不符合要求等现象，采购人有权要求供应商及时退换，并按合同约定作出相应罚款处罚，供应商必须无条件退换，并保证采购人正常餐饮供应不受影响。</w:t>
      </w:r>
      <w:r>
        <w:rPr>
          <w:rFonts w:ascii="宋体" w:hAnsi="宋体"/>
          <w:sz w:val="24"/>
        </w:rPr>
      </w:r>
      <w:r/>
    </w:p>
    <w:p>
      <w:pPr>
        <w:pStyle w:val="1072"/>
        <w:ind w:right="210" w:firstLine="480"/>
        <w:jc w:val="left"/>
        <w:spacing w:line="360" w:lineRule="auto"/>
        <w:rPr>
          <w:rFonts w:hint="eastAsia" w:ascii="宋体" w:hAnsi="宋体"/>
          <w:b/>
          <w:bCs/>
          <w:sz w:val="24"/>
        </w:rPr>
      </w:pPr>
      <w:r>
        <w:rPr>
          <w:rFonts w:hint="eastAsia" w:ascii="宋体" w:hAnsi="宋体" w:cs="宋体"/>
          <w:sz w:val="24"/>
        </w:rPr>
        <w:t xml:space="preserve">★</w:t>
      </w:r>
      <w:r>
        <w:rPr>
          <w:rFonts w:hint="eastAsia" w:ascii="宋体" w:hAnsi="宋体"/>
          <w:b/>
          <w:bCs/>
          <w:sz w:val="24"/>
        </w:rPr>
        <w:t xml:space="preserve">响应供应商供货的预包装食品（大米）应未使用《食品安全国家标准食品中农药最大残留限量》（GB 2763－2021）等国家所规定的禁限用农药、所用农药均低于国家规定的最大残留限量值、无重金属污染且指标均合格。(提供承诺函，</w:t>
      </w:r>
      <w:r>
        <w:rPr>
          <w:rFonts w:hint="eastAsia" w:ascii="宋体" w:hAnsi="宋体"/>
          <w:b/>
          <w:sz w:val="24"/>
        </w:rPr>
        <w:t xml:space="preserve">否则作无效投标处理。</w:t>
      </w:r>
      <w:r>
        <w:rPr>
          <w:rFonts w:hint="eastAsia" w:ascii="宋体" w:hAnsi="宋体"/>
          <w:b/>
          <w:bCs/>
          <w:sz w:val="24"/>
        </w:rPr>
        <w:t xml:space="preserve">)</w:t>
      </w:r>
      <w:r/>
    </w:p>
    <w:p>
      <w:pPr>
        <w:pStyle w:val="1072"/>
        <w:ind w:right="210" w:firstLine="480"/>
        <w:jc w:val="left"/>
        <w:spacing w:line="360" w:lineRule="auto"/>
        <w:rPr>
          <w:rFonts w:ascii="宋体" w:hAnsi="宋体"/>
          <w:sz w:val="24"/>
        </w:rPr>
      </w:pPr>
      <w:r>
        <w:rPr>
          <w:rFonts w:ascii="宋体" w:hAnsi="宋体"/>
          <w:sz w:val="24"/>
        </w:rPr>
        <w:t xml:space="preserve">3.送货时间要求：每</w:t>
      </w:r>
      <w:r>
        <w:rPr>
          <w:rFonts w:hint="eastAsia" w:ascii="宋体" w:hAnsi="宋体"/>
          <w:sz w:val="24"/>
        </w:rPr>
        <w:t xml:space="preserve">月配送，采购人应提前（在具体合同中约定）向供应商以传真或电子文件等方式提交购货计划，并说明购货品种、数量及其他需要说明的事项。所配送的大米生产日期必须在</w:t>
      </w:r>
      <w:r>
        <w:rPr>
          <w:rFonts w:ascii="宋体" w:hAnsi="宋体"/>
          <w:sz w:val="24"/>
        </w:rPr>
        <w:t xml:space="preserve">6个月内。</w:t>
      </w:r>
      <w:r>
        <w:rPr>
          <w:rFonts w:hint="eastAsia" w:ascii="宋体" w:hAnsi="宋体"/>
          <w:sz w:val="24"/>
        </w:rPr>
        <w:t xml:space="preserve">供应商在接到购货订单通知后，应按采购人订购单的要求送货，准时送达，运送到地点后负责堆放完毕。</w:t>
      </w:r>
      <w:r>
        <w:rPr>
          <w:rFonts w:ascii="宋体" w:hAnsi="宋体"/>
          <w:sz w:val="24"/>
        </w:rPr>
      </w:r>
      <w:r/>
    </w:p>
    <w:p>
      <w:pPr>
        <w:pStyle w:val="1072"/>
        <w:ind w:firstLine="480"/>
        <w:spacing w:line="360" w:lineRule="auto"/>
        <w:rPr>
          <w:rFonts w:ascii="宋体" w:hAnsi="宋体"/>
          <w:b/>
          <w:sz w:val="24"/>
        </w:rPr>
      </w:pPr>
      <w:r>
        <w:rPr>
          <w:rFonts w:hint="eastAsia" w:ascii="宋体" w:hAnsi="宋体" w:cs="宋体"/>
          <w:sz w:val="24"/>
        </w:rPr>
        <w:t xml:space="preserve">★</w:t>
      </w:r>
      <w:r>
        <w:rPr>
          <w:rFonts w:ascii="宋体" w:hAnsi="宋体"/>
          <w:sz w:val="24"/>
        </w:rPr>
        <w:t xml:space="preserve">4.配送人员必须与中标供应商签订劳动合同，必须办理健康证，</w:t>
      </w:r>
      <w:r>
        <w:rPr>
          <w:rFonts w:hint="eastAsia" w:ascii="宋体" w:hAnsi="宋体"/>
          <w:b/>
          <w:sz w:val="24"/>
        </w:rPr>
        <w:t xml:space="preserve">响应文件中必须提供</w:t>
      </w:r>
      <w:r>
        <w:rPr>
          <w:rFonts w:ascii="宋体" w:hAnsi="宋体"/>
          <w:b/>
          <w:sz w:val="24"/>
        </w:rPr>
        <w:t xml:space="preserve">2名配送人员（正式员工）的健康证明、劳动合同及供应商为其缴纳的</w:t>
      </w:r>
      <w:r>
        <w:rPr>
          <w:rFonts w:hint="eastAsia" w:ascii="宋体" w:hAnsi="宋体"/>
          <w:b/>
          <w:sz w:val="24"/>
        </w:rPr>
        <w:t xml:space="preserve">社保证明复印件，否则作无效投标。</w:t>
      </w:r>
      <w:r>
        <w:rPr>
          <w:rFonts w:ascii="宋体" w:hAnsi="宋体"/>
          <w:b/>
          <w:sz w:val="24"/>
        </w:rPr>
      </w:r>
      <w:r/>
    </w:p>
    <w:p>
      <w:pPr>
        <w:pStyle w:val="1104"/>
        <w:ind w:firstLine="480"/>
        <w:spacing w:after="120" w:line="360" w:lineRule="auto"/>
      </w:pPr>
      <w:r>
        <w:t xml:space="preserve">5.</w:t>
      </w:r>
      <w:r>
        <w:rPr>
          <w:rFonts w:hint="eastAsia"/>
        </w:rPr>
        <w:t xml:space="preserve">在服务期间，中标供应商必须按照响应文件的承诺派遣配送人员，</w:t>
      </w:r>
      <w:r>
        <w:rPr>
          <w:rFonts w:hint="eastAsia"/>
          <w:b/>
        </w:rPr>
        <w:t xml:space="preserve">第一次配送时，必须提供配送人员的健康证明、劳动合同及供应商为其缴纳的社保证明原件备查并提供加盖供应商公章的复印件留档，</w:t>
      </w:r>
      <w:r>
        <w:rPr>
          <w:rFonts w:hint="eastAsia"/>
        </w:rPr>
        <w:t xml:space="preserve">若提供虚假材料的不予验收，由此造成的一切后果由中标供应商承担。</w:t>
      </w:r>
      <w:r/>
    </w:p>
    <w:p>
      <w:pPr>
        <w:pStyle w:val="1072"/>
        <w:ind w:firstLine="480"/>
        <w:spacing w:line="360" w:lineRule="auto"/>
        <w:rPr>
          <w:rFonts w:ascii="宋体" w:hAnsi="宋体"/>
          <w:b/>
          <w:sz w:val="24"/>
        </w:rPr>
      </w:pPr>
      <w:r>
        <w:rPr>
          <w:rFonts w:hint="eastAsia" w:ascii="宋体" w:hAnsi="宋体" w:cs="宋体"/>
          <w:sz w:val="24"/>
        </w:rPr>
        <w:t xml:space="preserve">★</w:t>
      </w:r>
      <w:r>
        <w:rPr>
          <w:rFonts w:hint="eastAsia" w:ascii="宋体" w:hAnsi="宋体"/>
          <w:sz w:val="24"/>
        </w:rPr>
        <w:t xml:space="preserve">6.供应商必须拥有配送车辆，符合国家的有关规定。整个运输过程应科学合理，运输必须采用符合卫生要求的外包装和运载工具，并且要保持清洁和定期消毒，车厢内无不良气味、异味。</w:t>
      </w:r>
      <w:r>
        <w:rPr>
          <w:rFonts w:hint="eastAsia" w:ascii="宋体" w:hAnsi="宋体"/>
          <w:b/>
          <w:sz w:val="24"/>
        </w:rPr>
        <w:t xml:space="preserve">响应文件中必须提供如下证明资料：车辆1辆有效的驾驶证、有效的行驶证、彩色照片，用于配送的车辆必须干净、整洁且能按采购人规定的时间及地点一次完成该批次货物的供应，否则作无效投标处理。</w:t>
      </w:r>
      <w:r>
        <w:rPr>
          <w:rFonts w:ascii="宋体" w:hAnsi="宋体"/>
          <w:b/>
          <w:sz w:val="24"/>
        </w:rPr>
      </w:r>
      <w:r/>
    </w:p>
    <w:p>
      <w:pPr>
        <w:pStyle w:val="1072"/>
        <w:ind w:firstLine="480"/>
        <w:spacing w:line="360" w:lineRule="auto"/>
        <w:rPr>
          <w:rFonts w:ascii="宋体" w:hAnsi="宋体"/>
          <w:b/>
          <w:sz w:val="24"/>
        </w:rPr>
      </w:pPr>
      <w:r>
        <w:rPr>
          <w:rFonts w:hint="eastAsia" w:ascii="宋体" w:hAnsi="宋体" w:cs="宋体"/>
          <w:sz w:val="24"/>
        </w:rPr>
        <w:t xml:space="preserve">★</w:t>
      </w:r>
      <w:r>
        <w:rPr>
          <w:rFonts w:hint="eastAsia" w:ascii="宋体" w:hAnsi="宋体"/>
          <w:b/>
          <w:sz w:val="24"/>
        </w:rPr>
        <w:t xml:space="preserve">中标人应自行办理运输车辆进入常州市城区通行证。（提供承诺函，否则作无效投标处理。）</w:t>
      </w:r>
      <w:r>
        <w:rPr>
          <w:rFonts w:ascii="宋体" w:hAnsi="宋体"/>
          <w:b/>
          <w:sz w:val="24"/>
        </w:rPr>
      </w:r>
      <w:r/>
    </w:p>
    <w:p>
      <w:pPr>
        <w:pStyle w:val="1072"/>
        <w:ind w:firstLine="480"/>
        <w:spacing w:line="360" w:lineRule="auto"/>
        <w:rPr>
          <w:rFonts w:hint="eastAsia" w:ascii="宋体" w:hAnsi="宋体"/>
          <w:b/>
          <w:sz w:val="24"/>
        </w:rPr>
      </w:pPr>
      <w:r>
        <w:rPr>
          <w:rFonts w:hint="eastAsia" w:ascii="宋体" w:hAnsi="宋体" w:cs="宋体"/>
          <w:sz w:val="24"/>
        </w:rPr>
        <w:t xml:space="preserve">★</w:t>
      </w:r>
      <w:r>
        <w:rPr>
          <w:rFonts w:hint="eastAsia" w:ascii="宋体" w:hAnsi="宋体"/>
          <w:b/>
          <w:sz w:val="24"/>
        </w:rPr>
        <w:t xml:space="preserve">供应商具有仓储设施（面积应不低于500平方米），提供响应供应商自有房产证或租赁合同复印件，加盖响应供应商公章（租赁到期时间不得早于2025年6月30日结束，否则作无效投标处理。）</w:t>
      </w:r>
      <w:r/>
    </w:p>
    <w:p>
      <w:pPr>
        <w:pStyle w:val="1104"/>
        <w:ind w:firstLine="480"/>
        <w:spacing w:after="120" w:line="360" w:lineRule="auto"/>
      </w:pPr>
      <w:r>
        <w:rPr>
          <w:rFonts w:hint="eastAsia" w:cs="宋体"/>
        </w:rPr>
        <w:t xml:space="preserve">★</w:t>
      </w:r>
      <w:r>
        <w:t xml:space="preserve">7.</w:t>
      </w:r>
      <w:r>
        <w:rPr>
          <w:rFonts w:hint="eastAsia"/>
        </w:rPr>
        <w:t xml:space="preserve">本次采购的大米质量必须符合GB/T1354-2018优质大米一级标准</w:t>
      </w:r>
      <w:r>
        <w:rPr>
          <w:rFonts w:hint="eastAsia"/>
          <w:b/>
          <w:bCs/>
        </w:rPr>
        <w:t xml:space="preserve">（质量标准如有新的国家或行业标准出台，则以最新标准执行）</w:t>
      </w:r>
      <w:r>
        <w:rPr>
          <w:rFonts w:hint="eastAsia"/>
        </w:rPr>
        <w:t xml:space="preserve">，</w:t>
      </w:r>
      <w:r>
        <w:rPr>
          <w:rFonts w:hint="eastAsia"/>
          <w:b/>
          <w:bCs/>
        </w:rPr>
        <w:t xml:space="preserve">响应文件中提供第三方检验机构出具的盖有CMA许可印章的检测报告复印件（加盖响应供应商公章）</w:t>
      </w:r>
      <w:r>
        <w:rPr>
          <w:rFonts w:hint="eastAsia"/>
        </w:rPr>
        <w:t xml:space="preserve">，检测指标必须包含：碎米（总量、小碎米含量）、加工精度、不完善粒含量、水分含量、杂质限量（总量、无机杂质含量）、黄粒米含量、互混率、色泽气味、品尝评分值、垩白度、直链淀粉含量。</w:t>
      </w:r>
      <w:r>
        <w:rPr>
          <w:rFonts w:hint="eastAsia"/>
          <w:b/>
          <w:bCs/>
        </w:rPr>
        <w:t xml:space="preserve">检测报告中有一项及以上不符合的，作无效投标处理。</w:t>
      </w:r>
      <w:r/>
    </w:p>
    <w:p>
      <w:pPr>
        <w:pStyle w:val="1104"/>
        <w:ind w:firstLine="480"/>
        <w:spacing w:after="120" w:line="360" w:lineRule="auto"/>
      </w:pPr>
      <w:r>
        <w:rPr>
          <w:rFonts w:hint="eastAsia"/>
        </w:rPr>
        <w:t xml:space="preserve">供应商提供的产品应是由全新、完全符合</w:t>
      </w:r>
      <w:r>
        <w:rPr>
          <w:rFonts w:cs="宋体"/>
        </w:rPr>
        <w:t xml:space="preserve">GB/T1354-2018标准</w:t>
      </w:r>
      <w:r>
        <w:rPr>
          <w:rFonts w:hint="eastAsia"/>
        </w:rPr>
        <w:t xml:space="preserve">，送货必须是同规格大米，不允许有掺杂其他品种大米，否则采购人有权拒收相关产品，并要求中标供应商免费无条件换货。出现上述情况两次，后续将取消供货资格。具体标准见下：</w:t>
      </w:r>
      <w:r/>
    </w:p>
    <w:p>
      <w:pPr>
        <w:pStyle w:val="1072"/>
        <w:spacing w:line="360" w:lineRule="auto"/>
        <w:rPr>
          <w:rFonts w:ascii="宋体" w:hAnsi="宋体"/>
          <w:sz w:val="24"/>
        </w:rPr>
      </w:pPr>
      <w:r>
        <mc:AlternateContent>
          <mc:Choice Requires="wpg">
            <w:drawing>
              <wp:inline xmlns:wp="http://schemas.openxmlformats.org/drawingml/2006/wordprocessingDrawing" distT="0" distB="0" distL="0" distR="0">
                <wp:extent cx="5506149" cy="400836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506149" cy="40083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33.6pt;height:315.6pt;mso-wrap-distance-left:0.0pt;mso-wrap-distance-top:0.0pt;mso-wrap-distance-right:0.0pt;mso-wrap-distance-bottom:0.0pt;" stroked="f">
                <v:path textboxrect="0,0,0,0"/>
                <v:imagedata r:id="rId24" o:title=""/>
              </v:shape>
            </w:pict>
          </mc:Fallback>
        </mc:AlternateContent>
      </w:r>
      <w:r>
        <w:rPr>
          <w:rFonts w:ascii="宋体" w:hAnsi="宋体"/>
          <w:sz w:val="24"/>
        </w:rPr>
      </w:r>
      <w:r/>
    </w:p>
    <w:p>
      <w:pPr>
        <w:pStyle w:val="1251"/>
        <w:spacing w:line="360" w:lineRule="auto"/>
        <w:rPr>
          <w:rFonts w:ascii="宋体" w:hAnsi="宋体"/>
          <w:color w:val="000000"/>
        </w:rPr>
      </w:pPr>
      <w:r>
        <w:rPr>
          <w:rFonts w:ascii="宋体" w:hAnsi="宋体"/>
          <w:color w:val="000000"/>
        </w:rPr>
        <mc:AlternateContent>
          <mc:Choice Requires="wpg">
            <w:drawing>
              <wp:inline xmlns:wp="http://schemas.openxmlformats.org/drawingml/2006/wordprocessingDrawing" distT="0" distB="0" distL="0" distR="0">
                <wp:extent cx="5600535" cy="476059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rcRect l="0" t="0" r="664" b="1497"/>
                        <a:stretch/>
                      </pic:blipFill>
                      <pic:spPr bwMode="auto">
                        <a:xfrm>
                          <a:off x="0" y="0"/>
                          <a:ext cx="5600535" cy="4760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1.0pt;height:374.8pt;mso-wrap-distance-left:0.0pt;mso-wrap-distance-top:0.0pt;mso-wrap-distance-right:0.0pt;mso-wrap-distance-bottom:0.0pt;" stroked="f">
                <v:path textboxrect="0,0,0,0"/>
                <v:imagedata r:id="rId25" o:title=""/>
              </v:shape>
            </w:pict>
          </mc:Fallback>
        </mc:AlternateContent>
      </w:r>
      <w:r>
        <w:rPr>
          <w:rFonts w:ascii="宋体" w:hAnsi="宋体"/>
          <w:color w:val="000000"/>
        </w:rPr>
      </w:r>
      <w:r/>
    </w:p>
    <w:p>
      <w:pPr>
        <w:pStyle w:val="1072"/>
        <w:ind w:right="210" w:firstLine="482"/>
        <w:jc w:val="left"/>
        <w:spacing w:line="360" w:lineRule="auto"/>
        <w:rPr>
          <w:rFonts w:ascii="宋体" w:hAnsi="宋体" w:cs="宋体"/>
          <w:sz w:val="24"/>
        </w:rPr>
      </w:pPr>
      <w:r>
        <w:rPr>
          <w:rFonts w:hint="eastAsia" w:ascii="宋体" w:hAnsi="宋体"/>
          <w:b/>
          <w:sz w:val="24"/>
        </w:rPr>
        <w:t xml:space="preserve">以上质量标准如有新的国家或行业标准出台，则以最新标准执行。</w:t>
      </w:r>
      <w:r>
        <w:rPr>
          <w:rFonts w:ascii="宋体" w:hAnsi="宋体" w:cs="宋体"/>
          <w:sz w:val="24"/>
        </w:rPr>
      </w:r>
      <w:r/>
    </w:p>
    <w:p>
      <w:pPr>
        <w:pStyle w:val="1072"/>
        <w:ind w:right="210" w:firstLine="480"/>
        <w:jc w:val="left"/>
        <w:spacing w:line="360" w:lineRule="auto"/>
        <w:rPr>
          <w:rFonts w:ascii="宋体" w:hAnsi="宋体"/>
          <w:sz w:val="24"/>
        </w:rPr>
      </w:pPr>
      <w:r>
        <w:rPr>
          <w:rFonts w:ascii="宋体" w:hAnsi="宋体"/>
          <w:sz w:val="24"/>
        </w:rPr>
        <w:t xml:space="preserve">8</w:t>
      </w:r>
      <w:r>
        <w:rPr>
          <w:rFonts w:hint="eastAsia" w:ascii="宋体" w:hAnsi="宋体"/>
          <w:sz w:val="24"/>
        </w:rPr>
        <w:t xml:space="preserve">.如配送的货物或服务不符合要求，一次提出口头警告并要求供应商做出书面保证，二次扣当月货款10%，不符合要求累计达到三次的，采购人可解除供货合同。</w:t>
      </w:r>
      <w:r>
        <w:rPr>
          <w:rFonts w:ascii="宋体" w:hAnsi="宋体"/>
          <w:sz w:val="24"/>
        </w:rPr>
      </w:r>
      <w:r/>
    </w:p>
    <w:p>
      <w:pPr>
        <w:pStyle w:val="1072"/>
        <w:ind w:right="210" w:firstLine="480"/>
        <w:jc w:val="left"/>
        <w:spacing w:line="360" w:lineRule="auto"/>
        <w:rPr>
          <w:rFonts w:ascii="宋体" w:hAnsi="宋体"/>
          <w:sz w:val="24"/>
        </w:rPr>
      </w:pPr>
      <w:r>
        <w:rPr>
          <w:rFonts w:ascii="宋体" w:hAnsi="宋体"/>
          <w:sz w:val="24"/>
        </w:rPr>
        <w:t xml:space="preserve">9</w:t>
      </w:r>
      <w:r>
        <w:rPr>
          <w:rFonts w:hint="eastAsia" w:ascii="宋体" w:hAnsi="宋体"/>
          <w:sz w:val="24"/>
        </w:rPr>
        <w:t xml:space="preserve">.临时加货处理：供应商需在接到采购人通知后及时按要求时间将货物送到采购人的指定地点，派专人负责跟踪服务，保证用餐正常。</w:t>
      </w:r>
      <w:r>
        <w:rPr>
          <w:rFonts w:ascii="宋体" w:hAnsi="宋体"/>
          <w:sz w:val="24"/>
        </w:rPr>
      </w:r>
      <w:r/>
    </w:p>
    <w:p>
      <w:pPr>
        <w:pStyle w:val="1072"/>
        <w:ind w:right="210" w:firstLine="480"/>
        <w:jc w:val="left"/>
        <w:spacing w:line="360" w:lineRule="auto"/>
        <w:rPr>
          <w:rFonts w:ascii="宋体" w:hAnsi="宋体"/>
          <w:sz w:val="24"/>
        </w:rPr>
      </w:pPr>
      <w:r>
        <w:rPr>
          <w:rFonts w:ascii="宋体" w:hAnsi="宋体"/>
          <w:sz w:val="24"/>
        </w:rPr>
        <w:t xml:space="preserve">10</w:t>
      </w:r>
      <w:r>
        <w:rPr>
          <w:rFonts w:hint="eastAsia" w:ascii="宋体" w:hAnsi="宋体"/>
          <w:sz w:val="24"/>
        </w:rPr>
        <w:t xml:space="preserve">.在供货过程中，采购人对所供货物有任何意见，可随时向供应商反映，供应商应及时改进；如供应商未改进或改进后仍无法满足采购人要求，采购人有权中断与供货方的合作，并无需给予任何赔偿。</w:t>
      </w:r>
      <w:r>
        <w:rPr>
          <w:rFonts w:ascii="宋体" w:hAnsi="宋体"/>
          <w:sz w:val="24"/>
        </w:rPr>
      </w:r>
      <w:r/>
    </w:p>
    <w:p>
      <w:pPr>
        <w:pStyle w:val="1072"/>
        <w:ind w:right="210" w:firstLine="480"/>
        <w:jc w:val="left"/>
        <w:spacing w:line="360" w:lineRule="auto"/>
        <w:rPr>
          <w:rFonts w:ascii="宋体" w:hAnsi="宋体"/>
          <w:sz w:val="24"/>
        </w:rPr>
      </w:pPr>
      <w:r>
        <w:rPr>
          <w:rFonts w:ascii="宋体" w:hAnsi="宋体"/>
          <w:sz w:val="24"/>
        </w:rPr>
        <w:t xml:space="preserve">11</w:t>
      </w:r>
      <w:r>
        <w:rPr>
          <w:rFonts w:hint="eastAsia" w:ascii="宋体" w:hAnsi="宋体"/>
          <w:sz w:val="24"/>
        </w:rPr>
        <w:t xml:space="preserve">.因配送过程中出现人身等安全事故，供应商独立承担一切刑事、民事责任，与采购人无关。</w:t>
      </w:r>
      <w:r>
        <w:rPr>
          <w:rFonts w:ascii="宋体" w:hAnsi="宋体"/>
          <w:sz w:val="24"/>
        </w:rPr>
      </w:r>
      <w:r/>
    </w:p>
    <w:p>
      <w:pPr>
        <w:pStyle w:val="1072"/>
        <w:ind w:right="210"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.供应商应随时按采购人要求提供各类货物清晰准确的原产地以及检测报告。</w:t>
      </w:r>
      <w:r>
        <w:rPr>
          <w:rFonts w:ascii="宋体" w:hAnsi="宋体"/>
          <w:sz w:val="24"/>
        </w:rPr>
      </w:r>
      <w:r/>
    </w:p>
    <w:p>
      <w:pPr>
        <w:pStyle w:val="1072"/>
        <w:ind w:right="210"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供应商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rPr>
          <w:rFonts w:ascii="宋体" w:hAnsi="宋体"/>
          <w:sz w:val="24"/>
        </w:rPr>
      </w:r>
      <w:r/>
    </w:p>
    <w:p>
      <w:pPr>
        <w:pStyle w:val="1072"/>
        <w:ind w:right="210"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.供应商应成立配送项目专项服务小组，负责相关工作及提供各种服务，本项目所配备的人员须凭健康证上岗。</w:t>
      </w:r>
      <w:r>
        <w:rPr>
          <w:rFonts w:ascii="宋体" w:hAnsi="宋体"/>
          <w:sz w:val="24"/>
        </w:rPr>
      </w:r>
      <w:r/>
    </w:p>
    <w:p>
      <w:pPr>
        <w:pStyle w:val="1072"/>
        <w:ind w:right="210" w:firstLine="482"/>
        <w:jc w:val="left"/>
        <w:spacing w:line="360" w:lineRule="auto"/>
        <w:rPr>
          <w:rFonts w:ascii="宋体" w:hAnsi="宋体" w:cs="宋体"/>
          <w:b/>
          <w:sz w:val="24"/>
        </w:rPr>
      </w:pPr>
      <w:r>
        <w:rPr>
          <w:rFonts w:hint="eastAsia" w:ascii="宋体" w:hAnsi="宋体" w:cs="宋体"/>
          <w:b/>
          <w:sz w:val="24"/>
        </w:rPr>
        <w:t xml:space="preserve">五、报价方式</w:t>
      </w:r>
      <w:r>
        <w:rPr>
          <w:rFonts w:ascii="宋体" w:hAnsi="宋体" w:cs="宋体"/>
          <w:b/>
          <w:sz w:val="24"/>
        </w:rPr>
      </w:r>
      <w:r/>
    </w:p>
    <w:p>
      <w:pPr>
        <w:pStyle w:val="1072"/>
        <w:ind w:firstLine="480"/>
        <w:spacing w:line="360" w:lineRule="auto"/>
        <w:tabs>
          <w:tab w:val="left" w:pos="284" w:leader="none"/>
        </w:tabs>
        <w:rPr>
          <w:rFonts w:ascii="宋体" w:hAnsi="宋体" w:cs="宋体"/>
          <w:sz w:val="24"/>
        </w:rPr>
      </w:pPr>
      <w:r>
        <w:rPr>
          <w:rFonts w:hint="eastAsia" w:ascii="宋体" w:hAnsi="宋体" w:cs="宋体"/>
          <w:sz w:val="24"/>
        </w:rPr>
        <w:t xml:space="preserve">本项目报价货币为人民币，评审时以人民币为准。报价方式为</w:t>
      </w:r>
      <w:r>
        <w:rPr>
          <w:rFonts w:hint="eastAsia" w:ascii="宋体" w:hAnsi="宋体" w:cs="宋体"/>
          <w:b/>
          <w:bCs/>
          <w:sz w:val="24"/>
          <w:u w:val="single"/>
        </w:rPr>
        <w:t xml:space="preserve">固定单价</w:t>
      </w:r>
      <w:r>
        <w:rPr>
          <w:rFonts w:hint="eastAsia" w:ascii="宋体" w:hAnsi="宋体" w:cs="宋体"/>
          <w:sz w:val="24"/>
        </w:rPr>
        <w:t xml:space="preserve">，招标文件所确定的招标范围相应货物和服务的供货、包装、运输、保险、辅助设备、管理、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乙方应无条件、无偿补齐，所发生的一切费用，视为已包含在投标人的报价之中，且并不因此而影响交付实际使用人的时间。</w:t>
      </w:r>
      <w:r>
        <w:rPr>
          <w:rFonts w:ascii="宋体" w:hAnsi="宋体" w:cs="宋体"/>
          <w:sz w:val="24"/>
        </w:rPr>
      </w:r>
      <w:r/>
    </w:p>
    <w:p>
      <w:pPr>
        <w:pStyle w:val="1072"/>
        <w:ind w:firstLine="482"/>
        <w:spacing w:line="360" w:lineRule="auto"/>
        <w:rPr>
          <w:rFonts w:ascii="宋体" w:hAnsi="宋体"/>
          <w:b/>
          <w:sz w:val="24"/>
        </w:rPr>
      </w:pPr>
      <w:r>
        <w:rPr>
          <w:rFonts w:hint="eastAsia" w:ascii="宋体" w:hAnsi="宋体" w:cs="宋体"/>
          <w:b/>
          <w:sz w:val="24"/>
        </w:rPr>
        <w:t xml:space="preserve">六、</w:t>
      </w:r>
      <w:r>
        <w:rPr>
          <w:rFonts w:hint="eastAsia" w:ascii="宋体" w:hAnsi="宋体"/>
          <w:b/>
          <w:sz w:val="24"/>
        </w:rPr>
        <w:t xml:space="preserve">卫生要求：</w:t>
      </w:r>
      <w:r>
        <w:rPr>
          <w:rFonts w:ascii="宋体" w:hAnsi="宋体"/>
          <w:b/>
          <w:sz w:val="24"/>
        </w:rPr>
      </w:r>
      <w:r/>
    </w:p>
    <w:p>
      <w:pPr>
        <w:pStyle w:val="1072"/>
        <w:ind w:firstLine="480"/>
        <w:spacing w:line="360" w:lineRule="auto"/>
        <w:rPr>
          <w:rFonts w:ascii="宋体" w:hAnsi="宋体"/>
          <w:sz w:val="24"/>
        </w:rPr>
      </w:pPr>
      <w:r>
        <w:rPr>
          <w:rFonts w:hint="eastAsia" w:ascii="宋体" w:hAnsi="宋体"/>
          <w:sz w:val="24"/>
        </w:rPr>
        <w:t xml:space="preserve">（一）中标供应商供应的食材必须符合《中华人民共和国食品安全法》标准，并根据协议约定和采购人提出的品种、数量、质量要求在规定的时间内及时送到。如发现食材卫生质量问题或者以次充好，采购人可立即无条件退货或换货，并对中标供应商扣除该货物品种金额</w:t>
      </w:r>
      <w:r>
        <w:rPr>
          <w:rFonts w:ascii="宋体" w:hAnsi="宋体"/>
          <w:sz w:val="24"/>
        </w:rPr>
        <w:t xml:space="preserve">5-10</w:t>
      </w:r>
      <w:r>
        <w:rPr>
          <w:rFonts w:hint="eastAsia" w:ascii="宋体" w:hAnsi="宋体"/>
          <w:sz w:val="24"/>
        </w:rPr>
        <w:t xml:space="preserve">倍的货款作为违约金，</w:t>
      </w:r>
      <w:r>
        <w:rPr>
          <w:rFonts w:hint="eastAsia" w:ascii="宋体" w:hAnsi="宋体"/>
          <w:b/>
          <w:sz w:val="24"/>
        </w:rPr>
        <w:t xml:space="preserve">若出现一次则取消该供应商送货资格，同时追究供应商相关法律责任。</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（二）中标供应商严禁提供以下食品：</w:t>
      </w:r>
      <w:r>
        <w:rPr>
          <w:rFonts w:ascii="宋体" w:hAnsi="宋体"/>
          <w:sz w:val="24"/>
        </w:rPr>
      </w:r>
      <w:r/>
    </w:p>
    <w:p>
      <w:pPr>
        <w:pStyle w:val="1072"/>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.无品名、产地、厂名、生产日期、保质期及中文标识及原料说明；</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超过保质期限或不符合食品标签规定；</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腐败变质、油脂酸败、霉变、生虫、污秽不洁、混有异物或者其他感官性状异常，含有毒、有害物质或者被有毒、有害物质污染，可能对人体健康有害的食品；</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从疫区采购的食品，工业用盐，非碘盐或非食品原料和滥用食品添加剂的食品等；</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其他不符合食品卫生标准和要求的食品。</w:t>
      </w:r>
      <w:r>
        <w:rPr>
          <w:rFonts w:ascii="宋体" w:hAnsi="宋体"/>
          <w:sz w:val="24"/>
        </w:rPr>
      </w:r>
      <w:r/>
    </w:p>
    <w:p>
      <w:pPr>
        <w:pStyle w:val="1072"/>
        <w:ind w:right="210" w:firstLine="482"/>
        <w:jc w:val="left"/>
        <w:spacing w:line="360" w:lineRule="auto"/>
        <w:rPr>
          <w:rFonts w:ascii="宋体" w:hAnsi="宋体"/>
          <w:b/>
          <w:sz w:val="24"/>
        </w:rPr>
      </w:pPr>
      <w:r>
        <w:rPr>
          <w:rFonts w:hint="eastAsia" w:ascii="宋体" w:hAnsi="宋体"/>
          <w:b/>
          <w:sz w:val="24"/>
        </w:rPr>
        <w:t xml:space="preserve">（三）如发生食品卫生安全等问题，包括且不限于人员餐后出现呕吐、腹泻，或食物污染，或食物中毒等食源性疾病的发生或其他事故，采购人有权立即终止供货协议，由中标供应商承担因此而造成的全部责任。</w:t>
      </w:r>
      <w:r>
        <w:rPr>
          <w:rFonts w:ascii="宋体" w:hAnsi="宋体"/>
          <w:b/>
          <w:sz w:val="24"/>
        </w:rPr>
      </w:r>
      <w:r/>
    </w:p>
    <w:p>
      <w:pPr>
        <w:pStyle w:val="1104"/>
        <w:ind w:firstLine="482"/>
        <w:spacing w:after="120" w:line="360" w:lineRule="auto"/>
        <w:rPr>
          <w:b/>
        </w:rPr>
      </w:pPr>
      <w:r>
        <w:rPr>
          <w:rFonts w:hint="eastAsia"/>
          <w:b/>
        </w:rPr>
        <w:t xml:space="preserve">七、包装要求</w:t>
      </w:r>
      <w:r>
        <w:rPr>
          <w:b/>
        </w:rPr>
      </w:r>
      <w:r/>
    </w:p>
    <w:p>
      <w:pPr>
        <w:pStyle w:val="1072"/>
        <w:ind w:firstLine="480"/>
        <w:spacing w:line="360" w:lineRule="auto"/>
        <w:rPr>
          <w:rFonts w:ascii="宋体" w:hAnsi="宋体"/>
          <w:sz w:val="24"/>
        </w:rPr>
      </w:pPr>
      <w:r>
        <w:rPr>
          <w:rFonts w:hint="eastAsia" w:ascii="宋体" w:hAnsi="宋体"/>
          <w:sz w:val="24"/>
        </w:rPr>
        <w:t xml:space="preserve">不能使用玻璃、金属等硬物。需在包装容器上标明品牌、生产厂家名称、地址、产品产地、生产日期、保质期等基本信息。包装应符合GB/T 17109的规定和食品安全要求，若采用包装袋，则包装袋应清洁、卫生，符合国家食品卫生标准的规定，坚固结实，封口或者缝口应严密。包装大米的标签标识应符合GB7718和GB28050的规定。标注的净含量应为产品最大允许水分状况下的质量。凡是采用国家标准的大米产品，应按国家标准规定的名称和等级标注。</w:t>
      </w:r>
      <w:r>
        <w:rPr>
          <w:rFonts w:ascii="宋体" w:hAnsi="宋体"/>
          <w:sz w:val="24"/>
        </w:rPr>
      </w:r>
      <w:r/>
    </w:p>
    <w:p>
      <w:pPr>
        <w:pStyle w:val="1072"/>
        <w:ind w:firstLine="420"/>
        <w:jc w:val="left"/>
        <w:spacing w:line="360" w:lineRule="auto"/>
        <w:rPr>
          <w:rFonts w:ascii="宋体" w:hAnsi="宋体"/>
          <w:b/>
          <w:sz w:val="24"/>
        </w:rPr>
      </w:pPr>
      <w:r>
        <w:rPr>
          <w:rFonts w:hint="eastAsia" w:ascii="宋体" w:hAnsi="宋体" w:cs="宋体"/>
          <w:b/>
          <w:sz w:val="24"/>
        </w:rPr>
        <w:t xml:space="preserve">八</w:t>
      </w:r>
      <w:r>
        <w:rPr>
          <w:rFonts w:ascii="宋体" w:hAnsi="宋体" w:cs="宋体"/>
          <w:b/>
          <w:sz w:val="24"/>
        </w:rPr>
        <w:t xml:space="preserve">、</w:t>
      </w:r>
      <w:r>
        <w:rPr>
          <w:rFonts w:hint="eastAsia" w:ascii="宋体" w:hAnsi="宋体" w:cs="宋体"/>
          <w:b/>
          <w:sz w:val="24"/>
        </w:rPr>
        <w:t xml:space="preserve">质量</w:t>
      </w:r>
      <w:r>
        <w:rPr>
          <w:rFonts w:hint="eastAsia" w:ascii="宋体" w:hAnsi="宋体"/>
          <w:b/>
          <w:sz w:val="24"/>
        </w:rPr>
        <w:t xml:space="preserve">要求及售后服务要求</w:t>
      </w:r>
      <w:r>
        <w:rPr>
          <w:rFonts w:ascii="宋体" w:hAnsi="宋体"/>
          <w:b/>
          <w:sz w:val="24"/>
        </w:rPr>
      </w:r>
      <w:r/>
    </w:p>
    <w:p>
      <w:pPr>
        <w:pStyle w:val="1072"/>
        <w:ind w:firstLine="420"/>
        <w:jc w:val="left"/>
        <w:spacing w:line="360" w:lineRule="auto"/>
        <w:rPr>
          <w:rFonts w:ascii="宋体" w:hAnsi="宋体"/>
          <w:sz w:val="24"/>
        </w:rPr>
      </w:pPr>
      <w:r>
        <w:rPr>
          <w:rFonts w:hint="eastAsia" w:ascii="宋体" w:hAnsi="宋体"/>
          <w:sz w:val="24"/>
        </w:rPr>
        <w:t xml:space="preserve">1.依据产品质量监督检验所提供的质量标准，供应商提供的产品必须是经过质量监督管理部门检验并取得合格证明的产品，</w:t>
      </w:r>
      <w:r>
        <w:rPr>
          <w:rFonts w:hint="eastAsia" w:ascii="宋体" w:hAnsi="宋体"/>
          <w:b/>
          <w:sz w:val="24"/>
        </w:rPr>
        <w:t xml:space="preserve">每批次产品交货时必须提供产品质量合格证明或具有相应资质的第三方产品质量检测机构出具的符合采购需求的产品质量检测合格报告（有CMA标记）复印件（原件备查）</w:t>
      </w:r>
      <w:r>
        <w:rPr>
          <w:rFonts w:hint="eastAsia" w:ascii="宋体" w:hAnsi="宋体"/>
          <w:sz w:val="24"/>
        </w:rPr>
        <w:t xml:space="preserve">，否则不予验收。</w:t>
      </w:r>
      <w:r>
        <w:rPr>
          <w:rFonts w:ascii="宋体" w:hAnsi="宋体"/>
          <w:sz w:val="24"/>
        </w:rPr>
      </w:r>
      <w:r/>
    </w:p>
    <w:p>
      <w:pPr>
        <w:pStyle w:val="1072"/>
        <w:ind w:firstLine="420"/>
        <w:jc w:val="left"/>
        <w:spacing w:line="360" w:lineRule="auto"/>
        <w:rPr>
          <w:rFonts w:ascii="宋体" w:hAnsi="宋体" w:cs="宋体"/>
          <w:sz w:val="24"/>
        </w:rPr>
      </w:pPr>
      <w:r>
        <w:rPr>
          <w:rFonts w:hint="eastAsia" w:ascii="宋体" w:hAnsi="宋体"/>
          <w:sz w:val="24"/>
        </w:rPr>
        <w:t xml:space="preserve">2.配送时</w:t>
      </w:r>
      <w:r>
        <w:rPr>
          <w:rFonts w:hint="eastAsia" w:ascii="宋体" w:hAnsi="宋体" w:cs="宋体"/>
          <w:sz w:val="24"/>
        </w:rPr>
        <w:t xml:space="preserve">必须提供当批次产品的</w:t>
      </w:r>
      <w:r>
        <w:rPr>
          <w:rFonts w:hint="eastAsia" w:ascii="宋体" w:hAnsi="宋体" w:cs="宋体"/>
          <w:b/>
          <w:sz w:val="24"/>
        </w:rPr>
        <w:t xml:space="preserve">供货证明原件</w:t>
      </w:r>
      <w:r>
        <w:rPr>
          <w:rFonts w:hint="eastAsia" w:ascii="宋体" w:hAnsi="宋体" w:cs="宋体"/>
          <w:sz w:val="24"/>
        </w:rPr>
        <w:t xml:space="preserve">，否则不予验收。</w:t>
      </w:r>
      <w:r>
        <w:rPr>
          <w:rFonts w:ascii="宋体" w:hAnsi="宋体" w:cs="宋体"/>
          <w:sz w:val="24"/>
        </w:rPr>
      </w:r>
      <w:r/>
    </w:p>
    <w:p>
      <w:pPr>
        <w:pStyle w:val="1072"/>
        <w:ind w:firstLine="420"/>
        <w:jc w:val="left"/>
        <w:spacing w:line="360" w:lineRule="auto"/>
        <w:rPr>
          <w:rFonts w:ascii="宋体" w:hAnsi="宋体"/>
          <w:b/>
          <w:sz w:val="24"/>
        </w:rPr>
      </w:pPr>
      <w:r>
        <w:rPr>
          <w:rFonts w:hint="eastAsia" w:ascii="宋体" w:hAnsi="宋体" w:cs="Arial"/>
          <w:b/>
          <w:sz w:val="24"/>
        </w:rPr>
        <w:t xml:space="preserve">3.产品</w:t>
      </w:r>
      <w:r>
        <w:rPr>
          <w:rFonts w:ascii="宋体" w:hAnsi="宋体" w:cs="Arial"/>
          <w:b/>
          <w:sz w:val="24"/>
        </w:rPr>
        <w:t xml:space="preserve">交付之后，</w:t>
      </w:r>
      <w:r>
        <w:rPr>
          <w:rFonts w:hint="eastAsia" w:ascii="宋体" w:hAnsi="宋体" w:cs="Arial"/>
          <w:b/>
          <w:sz w:val="24"/>
        </w:rPr>
        <w:t xml:space="preserve">采购人有权随机抽检，次数每年不少于两次，由</w:t>
      </w:r>
      <w:r>
        <w:rPr>
          <w:rFonts w:hint="eastAsia" w:ascii="宋体" w:hAnsi="宋体"/>
          <w:b/>
          <w:sz w:val="24"/>
        </w:rPr>
        <w:t xml:space="preserve">国家认可的质量检测机构对</w:t>
      </w:r>
      <w:r>
        <w:rPr>
          <w:rFonts w:hint="eastAsia" w:ascii="宋体" w:hAnsi="宋体" w:cs="Arial"/>
          <w:b/>
          <w:sz w:val="24"/>
        </w:rPr>
        <w:t xml:space="preserve">产品</w:t>
      </w:r>
      <w:r>
        <w:rPr>
          <w:rFonts w:hint="eastAsia" w:ascii="宋体" w:hAnsi="宋体"/>
          <w:b/>
          <w:sz w:val="24"/>
        </w:rPr>
        <w:t xml:space="preserve">质量进行检测。</w:t>
      </w:r>
      <w:r>
        <w:rPr>
          <w:rFonts w:hint="eastAsia" w:ascii="宋体" w:hAnsi="宋体" w:cs="Arial"/>
          <w:b/>
          <w:sz w:val="24"/>
        </w:rPr>
        <w:t xml:space="preserve">抽检合格的</w:t>
      </w:r>
      <w:r>
        <w:rPr>
          <w:rFonts w:hint="eastAsia" w:ascii="宋体" w:hAnsi="宋体"/>
          <w:b/>
          <w:sz w:val="24"/>
        </w:rPr>
        <w:t xml:space="preserve">，</w:t>
      </w:r>
      <w:r>
        <w:rPr>
          <w:rFonts w:hint="eastAsia" w:ascii="宋体" w:hAnsi="宋体" w:cs="Arial"/>
          <w:b/>
          <w:sz w:val="24"/>
        </w:rPr>
        <w:t xml:space="preserve">中标供应商</w:t>
      </w:r>
      <w:r>
        <w:rPr>
          <w:rFonts w:hint="eastAsia" w:ascii="宋体" w:hAnsi="宋体" w:cs="宋体"/>
          <w:b/>
          <w:sz w:val="24"/>
        </w:rPr>
        <w:t xml:space="preserve">承担两次抽检合格的检测费用，超过两次</w:t>
      </w:r>
      <w:r>
        <w:rPr>
          <w:rFonts w:hint="eastAsia" w:ascii="宋体" w:hAnsi="宋体"/>
          <w:b/>
          <w:sz w:val="24"/>
        </w:rPr>
        <w:t xml:space="preserve">抽检检测费由采购人承担。</w:t>
      </w:r>
      <w:r>
        <w:rPr>
          <w:rFonts w:hint="eastAsia" w:ascii="宋体" w:hAnsi="宋体" w:cs="Arial"/>
          <w:b/>
          <w:sz w:val="24"/>
        </w:rPr>
        <w:t xml:space="preserve">抽检不合格</w:t>
      </w:r>
      <w:r>
        <w:rPr>
          <w:rFonts w:hint="eastAsia" w:ascii="宋体" w:hAnsi="宋体"/>
          <w:b/>
          <w:sz w:val="24"/>
        </w:rPr>
        <w:t xml:space="preserve">的</w:t>
      </w:r>
      <w:r>
        <w:rPr>
          <w:rFonts w:hint="eastAsia" w:ascii="宋体" w:hAnsi="宋体" w:cs="宋体"/>
          <w:b/>
          <w:sz w:val="24"/>
        </w:rPr>
        <w:t xml:space="preserve">，该批次货物退回，所产生的费用由</w:t>
      </w:r>
      <w:r>
        <w:rPr>
          <w:rFonts w:hint="eastAsia" w:ascii="宋体" w:hAnsi="宋体" w:cs="Arial"/>
          <w:b/>
          <w:sz w:val="24"/>
        </w:rPr>
        <w:t xml:space="preserve">中标供应商</w:t>
      </w:r>
      <w:r>
        <w:rPr>
          <w:rFonts w:hint="eastAsia" w:ascii="宋体" w:hAnsi="宋体" w:cs="宋体"/>
          <w:b/>
          <w:sz w:val="24"/>
        </w:rPr>
        <w:t xml:space="preserve">承担（该次不计入抽检合格的次数）；</w:t>
      </w:r>
      <w:r>
        <w:rPr>
          <w:rFonts w:hint="eastAsia" w:ascii="宋体" w:hAnsi="宋体"/>
          <w:b/>
          <w:sz w:val="24"/>
        </w:rPr>
        <w:t xml:space="preserve">若两次及以上抽检不合格的，采购人有权解除合同，追究中标人相关责任</w:t>
      </w:r>
      <w:r>
        <w:rPr>
          <w:rFonts w:hint="eastAsia" w:ascii="宋体" w:hAnsi="宋体" w:cs="Arial"/>
          <w:b/>
          <w:sz w:val="24"/>
        </w:rPr>
        <w:t xml:space="preserve">并有权请求国家有关部门按有关规定进行处罚。</w:t>
      </w:r>
      <w:r>
        <w:rPr>
          <w:rFonts w:ascii="宋体" w:hAnsi="宋体"/>
          <w:b/>
          <w:sz w:val="24"/>
        </w:rPr>
      </w:r>
      <w:r/>
    </w:p>
    <w:p>
      <w:pPr>
        <w:pStyle w:val="1072"/>
        <w:ind w:firstLine="420"/>
        <w:jc w:val="left"/>
        <w:spacing w:line="360" w:lineRule="auto"/>
        <w:rPr>
          <w:rFonts w:ascii="宋体" w:hAnsi="宋体"/>
          <w:sz w:val="24"/>
        </w:rPr>
      </w:pPr>
      <w:r>
        <w:rPr>
          <w:rFonts w:hint="eastAsia" w:ascii="宋体" w:hAnsi="宋体"/>
          <w:sz w:val="24"/>
        </w:rPr>
        <w:t xml:space="preserve">4.供应商应严格遵守《食品安全法》等相关规定，所提供的产品是合格安全的产品，如发现供应以下食品，退回当次全部产品，并终止合同。</w:t>
      </w:r>
      <w:r>
        <w:rPr>
          <w:rFonts w:ascii="宋体" w:hAnsi="宋体"/>
          <w:sz w:val="24"/>
        </w:rPr>
      </w:r>
      <w:r/>
    </w:p>
    <w:p>
      <w:pPr>
        <w:pStyle w:val="1072"/>
        <w:ind w:firstLine="420"/>
        <w:jc w:val="left"/>
        <w:spacing w:line="360" w:lineRule="auto"/>
        <w:rPr>
          <w:rFonts w:ascii="宋体" w:hAnsi="宋体"/>
          <w:sz w:val="24"/>
        </w:rPr>
      </w:pPr>
      <w:r>
        <w:rPr>
          <w:rFonts w:hint="eastAsia" w:ascii="宋体" w:hAnsi="宋体"/>
          <w:sz w:val="24"/>
        </w:rPr>
        <w:t xml:space="preserve">①腐败变质、油脂酸败、霉变、生虫、污秽不洁、混有异物或者其他感官性状异常，对人体健康有害的。</w:t>
      </w:r>
      <w:r>
        <w:rPr>
          <w:rFonts w:ascii="宋体" w:hAnsi="宋体"/>
          <w:sz w:val="24"/>
        </w:rPr>
      </w:r>
      <w:r/>
    </w:p>
    <w:p>
      <w:pPr>
        <w:pStyle w:val="1072"/>
        <w:ind w:firstLine="420"/>
        <w:jc w:val="left"/>
        <w:spacing w:line="360" w:lineRule="auto"/>
        <w:rPr>
          <w:rFonts w:ascii="宋体" w:hAnsi="宋体"/>
          <w:sz w:val="24"/>
        </w:rPr>
      </w:pPr>
      <w:r>
        <w:rPr>
          <w:rFonts w:hint="eastAsia" w:ascii="宋体" w:hAnsi="宋体"/>
          <w:sz w:val="24"/>
        </w:rPr>
        <w:t xml:space="preserve">②含有毒、有害物质或者被有害物质污染，对人体健康有害的。</w:t>
      </w:r>
      <w:r>
        <w:rPr>
          <w:rFonts w:ascii="宋体" w:hAnsi="宋体"/>
          <w:sz w:val="24"/>
        </w:rPr>
      </w:r>
      <w:r/>
    </w:p>
    <w:p>
      <w:pPr>
        <w:pStyle w:val="1072"/>
        <w:ind w:firstLine="420"/>
        <w:jc w:val="left"/>
        <w:spacing w:line="360" w:lineRule="auto"/>
        <w:rPr>
          <w:rFonts w:ascii="宋体" w:hAnsi="宋体"/>
          <w:sz w:val="24"/>
        </w:rPr>
      </w:pPr>
      <w:r>
        <w:rPr>
          <w:rFonts w:hint="eastAsia" w:ascii="宋体" w:hAnsi="宋体"/>
          <w:sz w:val="24"/>
        </w:rPr>
        <w:t xml:space="preserve">③含有致病性寄生虫、微生物或者微生物含量超过国家限定标准的。</w:t>
      </w:r>
      <w:r>
        <w:rPr>
          <w:rFonts w:ascii="宋体" w:hAnsi="宋体"/>
          <w:sz w:val="24"/>
        </w:rPr>
      </w:r>
      <w:r/>
    </w:p>
    <w:p>
      <w:pPr>
        <w:pStyle w:val="1072"/>
        <w:ind w:firstLine="420"/>
        <w:jc w:val="left"/>
        <w:spacing w:line="360" w:lineRule="auto"/>
        <w:rPr>
          <w:rFonts w:ascii="宋体" w:hAnsi="宋体"/>
          <w:sz w:val="24"/>
        </w:rPr>
      </w:pPr>
      <w:r>
        <w:rPr>
          <w:rFonts w:hint="eastAsia" w:ascii="宋体" w:hAnsi="宋体"/>
          <w:sz w:val="24"/>
        </w:rPr>
        <w:t xml:space="preserve">④掺假、掺杂、伪造，影响营养、卫生的。</w:t>
      </w:r>
      <w:r>
        <w:rPr>
          <w:rFonts w:ascii="宋体" w:hAnsi="宋体"/>
          <w:sz w:val="24"/>
        </w:rPr>
      </w:r>
      <w:r/>
    </w:p>
    <w:p>
      <w:pPr>
        <w:pStyle w:val="1072"/>
        <w:ind w:firstLine="420"/>
        <w:jc w:val="left"/>
        <w:spacing w:line="360" w:lineRule="auto"/>
        <w:rPr>
          <w:rFonts w:ascii="宋体" w:hAnsi="宋体"/>
          <w:sz w:val="24"/>
        </w:rPr>
      </w:pPr>
      <w:r>
        <w:rPr>
          <w:rFonts w:hint="eastAsia" w:ascii="宋体" w:hAnsi="宋体"/>
          <w:sz w:val="24"/>
        </w:rPr>
        <w:t xml:space="preserve">⑤用非食品原料加工的，加入非食品用化学物质或者将非食品当作食品的。</w:t>
      </w:r>
      <w:r>
        <w:rPr>
          <w:rFonts w:ascii="宋体" w:hAnsi="宋体"/>
          <w:sz w:val="24"/>
        </w:rPr>
      </w:r>
      <w:r/>
    </w:p>
    <w:p>
      <w:pPr>
        <w:pStyle w:val="1072"/>
        <w:ind w:firstLine="420"/>
        <w:jc w:val="left"/>
        <w:spacing w:line="360" w:lineRule="auto"/>
        <w:rPr>
          <w:rFonts w:ascii="宋体" w:hAnsi="宋体"/>
          <w:sz w:val="24"/>
        </w:rPr>
      </w:pPr>
      <w:r>
        <w:rPr>
          <w:rFonts w:hint="eastAsia" w:ascii="宋体" w:hAnsi="宋体"/>
          <w:sz w:val="24"/>
        </w:rPr>
        <w:t xml:space="preserve">⑥超过保质期限的。</w:t>
      </w:r>
      <w:r>
        <w:rPr>
          <w:rFonts w:ascii="宋体" w:hAnsi="宋体"/>
          <w:sz w:val="24"/>
        </w:rPr>
      </w:r>
      <w:r/>
    </w:p>
    <w:p>
      <w:pPr>
        <w:pStyle w:val="1072"/>
        <w:ind w:firstLine="420"/>
        <w:jc w:val="left"/>
        <w:spacing w:line="360" w:lineRule="auto"/>
        <w:rPr>
          <w:rFonts w:ascii="宋体" w:hAnsi="宋体"/>
          <w:sz w:val="24"/>
        </w:rPr>
      </w:pPr>
      <w:r>
        <w:rPr>
          <w:rFonts w:hint="eastAsia" w:ascii="宋体" w:hAnsi="宋体"/>
          <w:sz w:val="24"/>
        </w:rPr>
        <w:t xml:space="preserve">其他不符合技术参数要求的情形的。</w:t>
      </w:r>
      <w:r>
        <w:rPr>
          <w:rFonts w:ascii="宋体" w:hAnsi="宋体"/>
          <w:sz w:val="24"/>
        </w:rPr>
      </w:r>
      <w:r/>
    </w:p>
    <w:p>
      <w:pPr>
        <w:pStyle w:val="1072"/>
        <w:ind w:firstLine="420"/>
        <w:jc w:val="left"/>
        <w:spacing w:line="360" w:lineRule="auto"/>
        <w:rPr>
          <w:rFonts w:ascii="宋体" w:hAnsi="宋体"/>
          <w:sz w:val="24"/>
        </w:rPr>
      </w:pPr>
      <w:r>
        <w:rPr>
          <w:rFonts w:hint="eastAsia" w:ascii="宋体" w:hAnsi="宋体"/>
          <w:sz w:val="24"/>
        </w:rPr>
        <w:t xml:space="preserve">5.因供应的产品质量原因发生食物中毒的，扣除该批次全部货款，同时立刻终止合同。中标供应商必须负责赔偿因供应的产品质量原因发生食物中毒的人员的经济损失，包含但不限于医疗费、</w:t>
      </w:r>
      <w:r>
        <w:rPr>
          <w:rFonts w:ascii="宋体" w:hAnsi="宋体"/>
          <w:sz w:val="24"/>
        </w:rPr>
        <w:t xml:space="preserve">营养费</w:t>
      </w:r>
      <w:r>
        <w:rPr>
          <w:rFonts w:hint="eastAsia" w:ascii="宋体" w:hAnsi="宋体"/>
          <w:sz w:val="24"/>
        </w:rPr>
        <w:t xml:space="preserve">、精神损失费、误工费、陪户费等。</w:t>
      </w:r>
      <w:r>
        <w:rPr>
          <w:rFonts w:ascii="宋体" w:hAnsi="宋体"/>
          <w:sz w:val="24"/>
        </w:rPr>
      </w:r>
      <w:r/>
    </w:p>
    <w:p>
      <w:pPr>
        <w:pStyle w:val="1100"/>
        <w:ind w:firstLine="480"/>
        <w:jc w:val="both"/>
        <w:spacing w:line="360" w:lineRule="auto"/>
        <w:rPr>
          <w:rFonts w:ascii="宋体" w:hAnsi="宋体"/>
          <w:sz w:val="24"/>
        </w:rPr>
      </w:pPr>
      <w:r>
        <w:rPr>
          <w:rFonts w:hint="eastAsia" w:ascii="宋体" w:hAnsi="宋体"/>
          <w:sz w:val="24"/>
        </w:rPr>
        <w:t xml:space="preserve">6.服从采购人的监督、协调、指导与管理。凡是《食品安全法》禁止经营的食品一律不得采购和使用，严禁配送“三无”食品、有毒、有害、过期、变质、假冒伪劣等不合格食品。供应商应负责货物的供应、包装、运输、交货以及售后服务等工作。</w:t>
      </w:r>
      <w:r>
        <w:rPr>
          <w:rFonts w:ascii="宋体" w:hAnsi="宋体"/>
          <w:sz w:val="24"/>
        </w:rPr>
      </w:r>
      <w:r/>
    </w:p>
    <w:p>
      <w:pPr>
        <w:pStyle w:val="1100"/>
        <w:ind w:firstLine="480"/>
        <w:jc w:val="both"/>
        <w:spacing w:line="360" w:lineRule="auto"/>
        <w:rPr>
          <w:rFonts w:ascii="宋体" w:hAnsi="宋体"/>
          <w:sz w:val="24"/>
        </w:rPr>
      </w:pPr>
      <w:r>
        <w:rPr>
          <w:rFonts w:hint="eastAsia" w:ascii="宋体" w:hAnsi="宋体"/>
          <w:sz w:val="24"/>
        </w:rPr>
        <w:t xml:space="preserve">7.食品溯源要求。食品供应链必须明确，所有食品的来源必须清晰安全。</w:t>
      </w:r>
      <w:r>
        <w:rPr>
          <w:rFonts w:ascii="宋体" w:hAnsi="宋体"/>
          <w:sz w:val="24"/>
        </w:rPr>
      </w:r>
      <w:r/>
    </w:p>
    <w:p>
      <w:pPr>
        <w:pStyle w:val="1072"/>
        <w:ind w:firstLine="482"/>
        <w:spacing w:line="360" w:lineRule="auto"/>
        <w:rPr>
          <w:rFonts w:ascii="宋体" w:hAnsi="宋体" w:cs="宋体"/>
          <w:b/>
          <w:bCs/>
          <w:sz w:val="24"/>
        </w:rPr>
      </w:pPr>
      <w:r>
        <w:rPr>
          <w:rFonts w:hint="eastAsia" w:ascii="宋体" w:hAnsi="宋体"/>
          <w:b/>
          <w:sz w:val="24"/>
        </w:rPr>
        <w:t xml:space="preserve">九、</w:t>
      </w:r>
      <w:r>
        <w:rPr>
          <w:rFonts w:hint="eastAsia" w:ascii="宋体" w:hAnsi="宋体" w:cs="宋体"/>
          <w:b/>
          <w:sz w:val="24"/>
        </w:rPr>
        <w:t xml:space="preserve">服务期限：结算金额达到人民币160万元或一年合同到期，当满足上述两条标准中任意一条，本项目合同自动终止。其中，</w:t>
      </w:r>
      <w:r>
        <w:rPr>
          <w:rFonts w:hint="eastAsia" w:ascii="宋体" w:hAnsi="宋体" w:cs="宋体"/>
          <w:b/>
          <w:bCs/>
          <w:sz w:val="24"/>
        </w:rPr>
        <w:t xml:space="preserve">前三个月</w:t>
      </w:r>
      <w:r>
        <w:rPr>
          <w:rFonts w:ascii="宋体" w:hAnsi="宋体" w:cs="宋体"/>
          <w:b/>
          <w:bCs/>
          <w:sz w:val="24"/>
        </w:rPr>
        <w:t xml:space="preserve">为试用期，试用期</w:t>
      </w:r>
      <w:r>
        <w:rPr>
          <w:rFonts w:hint="eastAsia" w:ascii="宋体" w:hAnsi="宋体" w:cs="宋体"/>
          <w:b/>
          <w:bCs/>
          <w:sz w:val="24"/>
        </w:rPr>
        <w:t xml:space="preserve">满，经采购人考核合格后可继续供货配送。</w:t>
      </w:r>
      <w:r>
        <w:rPr>
          <w:rFonts w:ascii="宋体" w:hAnsi="宋体" w:cs="宋体"/>
          <w:b/>
          <w:bCs/>
          <w:sz w:val="24"/>
        </w:rPr>
      </w:r>
      <w:r/>
    </w:p>
    <w:p>
      <w:pPr>
        <w:pStyle w:val="1072"/>
        <w:jc w:val="center"/>
        <w:spacing w:line="360" w:lineRule="auto"/>
        <w:tabs>
          <w:tab w:val="left" w:pos="7740" w:leader="none"/>
        </w:tabs>
        <w:rPr>
          <w:rFonts w:ascii="宋体" w:hAnsi="宋体" w:cs="仿宋_GB2312"/>
          <w:b/>
          <w:sz w:val="24"/>
        </w:rPr>
      </w:pPr>
      <w:r>
        <w:rPr>
          <w:rFonts w:hint="eastAsia" w:ascii="宋体" w:hAnsi="宋体" w:cs="仿宋_GB2312"/>
          <w:b/>
          <w:bCs/>
          <w:sz w:val="24"/>
        </w:rPr>
        <w:t xml:space="preserve">配送企业的考核表（暂定）</w:t>
      </w:r>
      <w:r>
        <w:rPr>
          <w:rFonts w:ascii="宋体" w:hAnsi="宋体" w:cs="仿宋_GB2312"/>
          <w:b/>
          <w:sz w:val="24"/>
        </w:rPr>
      </w:r>
      <w:r/>
    </w:p>
    <w:p>
      <w:pPr>
        <w:pStyle w:val="1072"/>
        <w:spacing w:line="360" w:lineRule="auto"/>
        <w:rPr>
          <w:rFonts w:ascii="宋体" w:hAnsi="宋体" w:cs="仿宋_GB2312"/>
          <w:sz w:val="24"/>
        </w:rPr>
      </w:pPr>
      <w:r>
        <w:rPr>
          <w:rFonts w:hint="eastAsia" w:ascii="宋体" w:hAnsi="宋体" w:cs="仿宋_GB2312"/>
          <w:sz w:val="24"/>
        </w:rPr>
        <w:t xml:space="preserve">企业名称：                                 考核时间：      年  月  日</w:t>
      </w:r>
      <w:r>
        <w:rPr>
          <w:rFonts w:ascii="宋体" w:hAnsi="宋体" w:cs="仿宋_GB2312"/>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873"/>
        <w:gridCol w:w="5601"/>
        <w:gridCol w:w="710"/>
        <w:gridCol w:w="632"/>
        <w:gridCol w:w="684"/>
      </w:tblGrid>
      <w:tr>
        <w:trPr>
          <w:cantSplit/>
          <w:trHeight w:val="454"/>
        </w:trPr>
        <w:tc>
          <w:tcPr>
            <w:tcW w:w="425" w:type="pct"/>
            <w:vAlign w:val="center"/>
            <w:textDirection w:val="lrTb"/>
            <w:noWrap w:val="false"/>
          </w:tcPr>
          <w:p>
            <w:pPr>
              <w:pStyle w:val="1072"/>
              <w:jc w:val="center"/>
              <w:widowControl/>
              <w:rPr>
                <w:rFonts w:ascii="宋体" w:hAnsi="宋体" w:cs="仿宋_GB2312"/>
                <w:b/>
                <w:sz w:val="24"/>
              </w:rPr>
            </w:pPr>
            <w:r>
              <w:rPr>
                <w:rFonts w:hint="eastAsia" w:ascii="宋体" w:hAnsi="宋体" w:cs="仿宋_GB2312"/>
                <w:b/>
                <w:sz w:val="24"/>
              </w:rPr>
              <w:t xml:space="preserve">大类</w:t>
            </w:r>
            <w:r>
              <w:rPr>
                <w:rFonts w:ascii="宋体" w:hAnsi="宋体" w:cs="仿宋_GB2312"/>
                <w:b/>
                <w:sz w:val="24"/>
              </w:rPr>
            </w:r>
            <w:r/>
          </w:p>
        </w:tc>
        <w:tc>
          <w:tcPr>
            <w:tcW w:w="470" w:type="pct"/>
            <w:vAlign w:val="center"/>
            <w:textDirection w:val="lrTb"/>
            <w:noWrap w:val="false"/>
          </w:tcPr>
          <w:p>
            <w:pPr>
              <w:pStyle w:val="1072"/>
              <w:jc w:val="center"/>
              <w:widowControl/>
              <w:rPr>
                <w:rFonts w:ascii="宋体" w:hAnsi="宋体" w:cs="仿宋_GB2312"/>
                <w:b/>
                <w:sz w:val="24"/>
              </w:rPr>
            </w:pPr>
            <w:r>
              <w:rPr>
                <w:rFonts w:hint="eastAsia" w:ascii="宋体" w:hAnsi="宋体" w:cs="仿宋_GB2312"/>
                <w:b/>
                <w:sz w:val="24"/>
              </w:rPr>
              <w:t xml:space="preserve">小类</w:t>
            </w:r>
            <w:r>
              <w:rPr>
                <w:rFonts w:ascii="宋体" w:hAnsi="宋体" w:cs="仿宋_GB2312"/>
                <w:b/>
                <w:sz w:val="24"/>
              </w:rPr>
            </w:r>
            <w:r/>
          </w:p>
        </w:tc>
        <w:tc>
          <w:tcPr>
            <w:tcW w:w="3015" w:type="pct"/>
            <w:vAlign w:val="center"/>
            <w:textDirection w:val="lrTb"/>
            <w:noWrap w:val="false"/>
          </w:tcPr>
          <w:p>
            <w:pPr>
              <w:pStyle w:val="1072"/>
              <w:jc w:val="center"/>
              <w:widowControl/>
              <w:rPr>
                <w:rFonts w:ascii="宋体" w:hAnsi="宋体" w:cs="仿宋_GB2312"/>
                <w:b/>
                <w:sz w:val="24"/>
              </w:rPr>
            </w:pPr>
            <w:r>
              <w:rPr>
                <w:rFonts w:hint="eastAsia" w:ascii="宋体" w:hAnsi="宋体" w:cs="仿宋_GB2312"/>
                <w:b/>
                <w:sz w:val="24"/>
              </w:rPr>
              <w:t xml:space="preserve">考评细则</w:t>
            </w:r>
            <w:r>
              <w:rPr>
                <w:rFonts w:ascii="宋体" w:hAnsi="宋体" w:cs="仿宋_GB2312"/>
                <w:b/>
                <w:sz w:val="24"/>
              </w:rPr>
            </w:r>
            <w:r/>
          </w:p>
        </w:tc>
        <w:tc>
          <w:tcPr>
            <w:tcW w:w="382" w:type="pct"/>
            <w:vAlign w:val="center"/>
            <w:textDirection w:val="lrTb"/>
            <w:noWrap w:val="false"/>
          </w:tcPr>
          <w:p>
            <w:pPr>
              <w:pStyle w:val="1072"/>
              <w:jc w:val="center"/>
              <w:widowControl/>
              <w:rPr>
                <w:rFonts w:ascii="宋体" w:hAnsi="宋体" w:cs="仿宋_GB2312"/>
                <w:b/>
                <w:sz w:val="24"/>
              </w:rPr>
            </w:pPr>
            <w:r>
              <w:rPr>
                <w:rFonts w:hint="eastAsia" w:ascii="宋体" w:hAnsi="宋体" w:cs="仿宋_GB2312"/>
                <w:b/>
                <w:sz w:val="24"/>
              </w:rPr>
              <w:t xml:space="preserve">分值</w:t>
            </w:r>
            <w:r>
              <w:rPr>
                <w:rFonts w:ascii="宋体" w:hAnsi="宋体" w:cs="仿宋_GB2312"/>
                <w:b/>
                <w:sz w:val="24"/>
              </w:rPr>
            </w:r>
            <w:r/>
          </w:p>
        </w:tc>
        <w:tc>
          <w:tcPr>
            <w:tcW w:w="340" w:type="pct"/>
            <w:vAlign w:val="center"/>
            <w:textDirection w:val="lrTb"/>
            <w:noWrap w:val="false"/>
          </w:tcPr>
          <w:p>
            <w:pPr>
              <w:pStyle w:val="1072"/>
              <w:jc w:val="center"/>
              <w:widowControl/>
              <w:rPr>
                <w:rFonts w:ascii="宋体" w:hAnsi="宋体" w:cs="仿宋_GB2312"/>
                <w:b/>
                <w:sz w:val="24"/>
              </w:rPr>
            </w:pPr>
            <w:r>
              <w:rPr>
                <w:rFonts w:hint="eastAsia" w:ascii="宋体" w:hAnsi="宋体" w:cs="仿宋_GB2312"/>
                <w:b/>
                <w:sz w:val="24"/>
              </w:rPr>
              <w:t xml:space="preserve">得分</w:t>
            </w:r>
            <w:r>
              <w:rPr>
                <w:rFonts w:ascii="宋体" w:hAnsi="宋体" w:cs="仿宋_GB2312"/>
                <w:b/>
                <w:sz w:val="24"/>
              </w:rPr>
            </w:r>
            <w:r/>
          </w:p>
        </w:tc>
        <w:tc>
          <w:tcPr>
            <w:tcW w:w="368" w:type="pct"/>
            <w:vAlign w:val="center"/>
            <w:textDirection w:val="lrTb"/>
            <w:noWrap w:val="false"/>
          </w:tcPr>
          <w:p>
            <w:pPr>
              <w:pStyle w:val="1072"/>
              <w:jc w:val="center"/>
              <w:rPr>
                <w:rFonts w:ascii="宋体" w:hAnsi="宋体" w:cs="仿宋_GB2312"/>
                <w:b/>
                <w:sz w:val="24"/>
              </w:rPr>
            </w:pPr>
            <w:r>
              <w:rPr>
                <w:rFonts w:hint="eastAsia" w:ascii="宋体" w:hAnsi="宋体" w:cs="仿宋_GB2312"/>
                <w:b/>
                <w:sz w:val="24"/>
              </w:rPr>
              <w:t xml:space="preserve">备注</w:t>
            </w:r>
            <w:r>
              <w:rPr>
                <w:rFonts w:ascii="宋体" w:hAnsi="宋体" w:cs="仿宋_GB2312"/>
                <w:b/>
                <w:sz w:val="24"/>
              </w:rPr>
            </w:r>
            <w:r/>
          </w:p>
        </w:tc>
      </w:tr>
      <w:tr>
        <w:trPr>
          <w:cantSplit/>
          <w:trHeight w:val="454"/>
        </w:trPr>
        <w:tc>
          <w:tcPr>
            <w:tcW w:w="425" w:type="pct"/>
            <w:vAlign w:val="center"/>
            <w:vMerge w:val="restart"/>
            <w:textDirection w:val="tbRlV"/>
            <w:noWrap w:val="false"/>
          </w:tcPr>
          <w:p>
            <w:pPr>
              <w:pStyle w:val="1072"/>
              <w:jc w:val="center"/>
              <w:widowControl/>
              <w:rPr>
                <w:rFonts w:ascii="宋体" w:hAnsi="宋体" w:cs="仿宋_GB2312"/>
                <w:sz w:val="24"/>
              </w:rPr>
            </w:pPr>
            <w:r>
              <w:rPr>
                <w:rFonts w:hint="eastAsia" w:ascii="宋体" w:hAnsi="宋体" w:cs="仿宋_GB2312"/>
                <w:sz w:val="24"/>
              </w:rPr>
              <w:t xml:space="preserve">综合考核</w:t>
            </w:r>
            <w:r>
              <w:rPr>
                <w:rFonts w:ascii="宋体" w:hAnsi="宋体" w:cs="仿宋_GB2312"/>
                <w:sz w:val="24"/>
              </w:rPr>
            </w:r>
            <w:r/>
          </w:p>
        </w:tc>
        <w:tc>
          <w:tcPr>
            <w:tcW w:w="470" w:type="pct"/>
            <w:vAlign w:val="center"/>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质量保障</w:t>
            </w:r>
            <w:r>
              <w:rPr>
                <w:rFonts w:ascii="宋体" w:hAnsi="宋体" w:cs="仿宋_GB2312"/>
                <w:sz w:val="24"/>
              </w:rPr>
            </w:r>
            <w:r/>
          </w:p>
        </w:tc>
        <w:tc>
          <w:tcPr>
            <w:tcW w:w="3015" w:type="pct"/>
            <w:vAlign w:val="center"/>
            <w:textDirection w:val="lrTb"/>
            <w:noWrap w:val="false"/>
          </w:tcPr>
          <w:p>
            <w:pPr>
              <w:pStyle w:val="1072"/>
              <w:widowControl/>
              <w:rPr>
                <w:rFonts w:ascii="宋体" w:hAnsi="宋体" w:cs="仿宋_GB2312"/>
                <w:sz w:val="24"/>
              </w:rPr>
            </w:pPr>
            <w:r>
              <w:rPr>
                <w:rFonts w:hint="eastAsia" w:ascii="宋体" w:hAnsi="宋体" w:cs="仿宋_GB2312"/>
                <w:sz w:val="24"/>
              </w:rPr>
              <w:t xml:space="preserve">1、从符合规定资质的单位进货，有协议（包含质量安全条款）和资质证明材料；不符合</w:t>
            </w:r>
            <w:r>
              <w:rPr>
                <w:rFonts w:ascii="宋体" w:hAnsi="宋体" w:cs="仿宋_GB2312"/>
                <w:sz w:val="24"/>
              </w:rPr>
              <w:t xml:space="preserve">扣</w:t>
            </w:r>
            <w:r>
              <w:rPr>
                <w:rFonts w:hint="eastAsia" w:ascii="宋体" w:hAnsi="宋体" w:cs="仿宋_GB2312"/>
                <w:sz w:val="24"/>
              </w:rPr>
              <w:t xml:space="preserve">1分/个</w:t>
            </w:r>
            <w:r>
              <w:rPr>
                <w:rFonts w:ascii="宋体" w:hAnsi="宋体" w:cs="仿宋_GB2312"/>
                <w:sz w:val="24"/>
              </w:rPr>
              <w:t xml:space="preserve">。</w:t>
            </w:r>
            <w:r/>
          </w:p>
          <w:p>
            <w:pPr>
              <w:pStyle w:val="1072"/>
              <w:widowControl/>
              <w:rPr>
                <w:rFonts w:ascii="宋体" w:hAnsi="宋体" w:cs="仿宋_GB2312"/>
                <w:sz w:val="24"/>
              </w:rPr>
            </w:pPr>
            <w:r>
              <w:rPr>
                <w:rFonts w:hint="eastAsia" w:ascii="宋体" w:hAnsi="宋体" w:cs="仿宋_GB2312"/>
                <w:sz w:val="24"/>
              </w:rPr>
              <w:t xml:space="preserve">2、有产品合格证、检疫证、检验报告等证件，不符合</w:t>
            </w:r>
            <w:r>
              <w:rPr>
                <w:rFonts w:ascii="宋体" w:hAnsi="宋体" w:cs="仿宋_GB2312"/>
                <w:sz w:val="24"/>
              </w:rPr>
              <w:t xml:space="preserve">扣</w:t>
            </w:r>
            <w:r>
              <w:rPr>
                <w:rFonts w:hint="eastAsia" w:ascii="宋体" w:hAnsi="宋体" w:cs="仿宋_GB2312"/>
                <w:sz w:val="24"/>
              </w:rPr>
              <w:t xml:space="preserve">1分/个</w:t>
            </w:r>
            <w:r>
              <w:rPr>
                <w:rFonts w:ascii="宋体" w:hAnsi="宋体" w:cs="仿宋_GB2312"/>
                <w:sz w:val="24"/>
              </w:rPr>
              <w:t xml:space="preserve">。</w:t>
            </w:r>
            <w:r/>
          </w:p>
          <w:p>
            <w:pPr>
              <w:pStyle w:val="1072"/>
              <w:widowControl/>
              <w:rPr>
                <w:rFonts w:ascii="宋体" w:hAnsi="宋体" w:cs="仿宋_GB2312"/>
                <w:sz w:val="24"/>
              </w:rPr>
            </w:pPr>
            <w:r>
              <w:rPr>
                <w:rFonts w:hint="eastAsia" w:ascii="宋体" w:hAnsi="宋体" w:cs="仿宋_GB2312"/>
                <w:sz w:val="24"/>
              </w:rPr>
              <w:t xml:space="preserve">3、所供产品在国家规定的或商品外包装上标注的保质期内。不符合</w:t>
            </w:r>
            <w:r>
              <w:rPr>
                <w:rFonts w:ascii="宋体" w:hAnsi="宋体" w:cs="仿宋_GB2312"/>
                <w:sz w:val="24"/>
              </w:rPr>
              <w:t xml:space="preserve">扣</w:t>
            </w:r>
            <w:r>
              <w:rPr>
                <w:rFonts w:hint="eastAsia" w:ascii="宋体" w:hAnsi="宋体" w:cs="仿宋_GB2312"/>
                <w:sz w:val="24"/>
              </w:rPr>
              <w:t xml:space="preserve">1分/个</w:t>
            </w:r>
            <w:r>
              <w:rPr>
                <w:rFonts w:ascii="宋体" w:hAnsi="宋体" w:cs="仿宋_GB2312"/>
                <w:sz w:val="24"/>
              </w:rPr>
              <w:t xml:space="preserve">。</w:t>
            </w:r>
            <w:r/>
          </w:p>
        </w:tc>
        <w:tc>
          <w:tcPr>
            <w:tcW w:w="382" w:type="pct"/>
            <w:vAlign w:val="center"/>
            <w:textDirection w:val="lrTb"/>
            <w:noWrap w:val="false"/>
          </w:tcPr>
          <w:p>
            <w:pPr>
              <w:pStyle w:val="1072"/>
              <w:jc w:val="center"/>
              <w:widowControl/>
              <w:rPr>
                <w:rFonts w:ascii="宋体" w:hAnsi="宋体" w:cs="仿宋_GB2312"/>
                <w:sz w:val="24"/>
              </w:rPr>
            </w:pPr>
            <w:r>
              <w:rPr>
                <w:rFonts w:ascii="宋体" w:hAnsi="宋体" w:cs="仿宋_GB2312"/>
                <w:sz w:val="24"/>
              </w:rPr>
              <w:t xml:space="preserve">30</w:t>
            </w:r>
            <w:r/>
          </w:p>
        </w:tc>
        <w:tc>
          <w:tcPr>
            <w:tcW w:w="340" w:type="pct"/>
            <w:vAlign w:val="center"/>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　</w:t>
            </w:r>
            <w:r>
              <w:rPr>
                <w:rFonts w:ascii="宋体" w:hAnsi="宋体" w:cs="仿宋_GB2312"/>
                <w:sz w:val="24"/>
              </w:rPr>
            </w:r>
            <w:r/>
          </w:p>
        </w:tc>
        <w:tc>
          <w:tcPr>
            <w:tcW w:w="368" w:type="pct"/>
            <w:vAlign w:val="center"/>
            <w:textDirection w:val="lrTb"/>
            <w:noWrap w:val="false"/>
          </w:tcPr>
          <w:p>
            <w:pPr>
              <w:pStyle w:val="1072"/>
              <w:jc w:val="center"/>
              <w:rPr>
                <w:rFonts w:ascii="宋体" w:hAnsi="宋体" w:cs="仿宋_GB2312"/>
                <w:sz w:val="24"/>
              </w:rPr>
            </w:pPr>
            <w:r>
              <w:rPr>
                <w:rFonts w:hint="eastAsia" w:ascii="宋体" w:hAnsi="宋体" w:cs="仿宋_GB2312"/>
                <w:sz w:val="24"/>
              </w:rPr>
              <w:t xml:space="preserve">　</w:t>
            </w:r>
            <w:r>
              <w:rPr>
                <w:rFonts w:ascii="宋体" w:hAnsi="宋体" w:cs="仿宋_GB2312"/>
                <w:sz w:val="24"/>
              </w:rPr>
            </w:r>
            <w:r/>
          </w:p>
        </w:tc>
      </w:tr>
      <w:tr>
        <w:trPr>
          <w:cantSplit/>
          <w:trHeight w:val="454"/>
        </w:trPr>
        <w:tc>
          <w:tcPr>
            <w:tcW w:w="425" w:type="pct"/>
            <w:vAlign w:val="center"/>
            <w:vMerge w:val="continue"/>
            <w:textDirection w:val="lrTb"/>
            <w:noWrap w:val="false"/>
          </w:tcPr>
          <w:p>
            <w:pPr>
              <w:pStyle w:val="1072"/>
              <w:jc w:val="center"/>
              <w:widowControl/>
              <w:rPr>
                <w:rFonts w:ascii="宋体" w:hAnsi="宋体" w:cs="仿宋_GB2312"/>
                <w:sz w:val="24"/>
              </w:rPr>
            </w:pPr>
            <w:r>
              <w:rPr>
                <w:rFonts w:ascii="宋体" w:hAnsi="宋体" w:cs="仿宋_GB2312"/>
                <w:sz w:val="24"/>
              </w:rPr>
            </w:r>
            <w:r/>
          </w:p>
        </w:tc>
        <w:tc>
          <w:tcPr>
            <w:tcW w:w="470" w:type="pct"/>
            <w:vAlign w:val="center"/>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台帐登记</w:t>
            </w:r>
            <w:r>
              <w:rPr>
                <w:rFonts w:ascii="宋体" w:hAnsi="宋体" w:cs="仿宋_GB2312"/>
                <w:sz w:val="24"/>
              </w:rPr>
            </w:r>
            <w:r/>
          </w:p>
        </w:tc>
        <w:tc>
          <w:tcPr>
            <w:tcW w:w="3015" w:type="pct"/>
            <w:vAlign w:val="center"/>
            <w:textDirection w:val="lrTb"/>
            <w:noWrap w:val="false"/>
          </w:tcPr>
          <w:p>
            <w:pPr>
              <w:pStyle w:val="1072"/>
              <w:widowControl/>
              <w:rPr>
                <w:rFonts w:ascii="宋体" w:hAnsi="宋体" w:cs="仿宋_GB2312"/>
                <w:sz w:val="24"/>
              </w:rPr>
            </w:pPr>
            <w:r>
              <w:rPr>
                <w:rFonts w:hint="eastAsia" w:ascii="宋体" w:hAnsi="宋体" w:cs="仿宋_GB2312"/>
                <w:sz w:val="24"/>
              </w:rPr>
              <w:t xml:space="preserve">1、食品进出库记录齐全，帐实相符；不符合</w:t>
            </w:r>
            <w:r>
              <w:rPr>
                <w:rFonts w:ascii="宋体" w:hAnsi="宋体" w:cs="仿宋_GB2312"/>
                <w:sz w:val="24"/>
              </w:rPr>
              <w:t xml:space="preserve">扣2</w:t>
            </w:r>
            <w:r>
              <w:rPr>
                <w:rFonts w:hint="eastAsia" w:ascii="宋体" w:hAnsi="宋体" w:cs="仿宋_GB2312"/>
                <w:sz w:val="24"/>
              </w:rPr>
              <w:t xml:space="preserve">分/次</w:t>
            </w:r>
            <w:r>
              <w:rPr>
                <w:rFonts w:ascii="宋体" w:hAnsi="宋体" w:cs="仿宋_GB2312"/>
                <w:sz w:val="24"/>
              </w:rPr>
              <w:t xml:space="preserve">。</w:t>
            </w:r>
            <w:r/>
          </w:p>
          <w:p>
            <w:pPr>
              <w:pStyle w:val="1072"/>
              <w:widowControl/>
              <w:rPr>
                <w:rFonts w:ascii="宋体" w:hAnsi="宋体" w:cs="仿宋_GB2312"/>
                <w:sz w:val="24"/>
              </w:rPr>
            </w:pPr>
            <w:r>
              <w:rPr>
                <w:rFonts w:hint="eastAsia" w:ascii="宋体" w:hAnsi="宋体" w:cs="仿宋_GB2312"/>
                <w:sz w:val="24"/>
              </w:rPr>
              <w:t xml:space="preserve">2、有退换货记录；不符合</w:t>
            </w:r>
            <w:r>
              <w:rPr>
                <w:rFonts w:ascii="宋体" w:hAnsi="宋体" w:cs="仿宋_GB2312"/>
                <w:sz w:val="24"/>
              </w:rPr>
              <w:t xml:space="preserve">扣2</w:t>
            </w:r>
            <w:r>
              <w:rPr>
                <w:rFonts w:hint="eastAsia" w:ascii="宋体" w:hAnsi="宋体" w:cs="仿宋_GB2312"/>
                <w:sz w:val="24"/>
              </w:rPr>
              <w:t xml:space="preserve">分/次</w:t>
            </w:r>
            <w:r>
              <w:rPr>
                <w:rFonts w:ascii="宋体" w:hAnsi="宋体" w:cs="仿宋_GB2312"/>
                <w:sz w:val="24"/>
              </w:rPr>
              <w:t xml:space="preserve">。</w:t>
            </w:r>
            <w:r/>
          </w:p>
          <w:p>
            <w:pPr>
              <w:pStyle w:val="1072"/>
              <w:widowControl/>
              <w:rPr>
                <w:rFonts w:ascii="宋体" w:hAnsi="宋体" w:cs="仿宋_GB2312"/>
                <w:sz w:val="24"/>
              </w:rPr>
            </w:pPr>
            <w:r>
              <w:rPr>
                <w:rFonts w:hint="eastAsia" w:ascii="宋体" w:hAnsi="宋体" w:cs="仿宋_GB2312"/>
                <w:sz w:val="24"/>
              </w:rPr>
              <w:t xml:space="preserve">3、有48小时食品留样记录。不符合</w:t>
            </w:r>
            <w:r>
              <w:rPr>
                <w:rFonts w:ascii="宋体" w:hAnsi="宋体" w:cs="仿宋_GB2312"/>
                <w:sz w:val="24"/>
              </w:rPr>
              <w:t xml:space="preserve">扣2</w:t>
            </w:r>
            <w:r>
              <w:rPr>
                <w:rFonts w:hint="eastAsia" w:ascii="宋体" w:hAnsi="宋体" w:cs="仿宋_GB2312"/>
                <w:sz w:val="24"/>
              </w:rPr>
              <w:t xml:space="preserve">分/次</w:t>
            </w:r>
            <w:r>
              <w:rPr>
                <w:rFonts w:ascii="宋体" w:hAnsi="宋体" w:cs="仿宋_GB2312"/>
                <w:sz w:val="24"/>
              </w:rPr>
              <w:t xml:space="preserve">。</w:t>
            </w:r>
            <w:r/>
          </w:p>
        </w:tc>
        <w:tc>
          <w:tcPr>
            <w:tcW w:w="382" w:type="pct"/>
            <w:vAlign w:val="center"/>
            <w:textDirection w:val="lrTb"/>
            <w:noWrap w:val="false"/>
          </w:tcPr>
          <w:p>
            <w:pPr>
              <w:pStyle w:val="1072"/>
              <w:jc w:val="center"/>
              <w:widowControl/>
              <w:rPr>
                <w:rFonts w:ascii="宋体" w:hAnsi="宋体" w:cs="仿宋_GB2312"/>
                <w:sz w:val="24"/>
              </w:rPr>
            </w:pPr>
            <w:r>
              <w:rPr>
                <w:rFonts w:ascii="宋体" w:hAnsi="宋体" w:cs="仿宋_GB2312"/>
                <w:sz w:val="24"/>
              </w:rPr>
              <w:t xml:space="preserve">10</w:t>
            </w:r>
            <w:r/>
          </w:p>
        </w:tc>
        <w:tc>
          <w:tcPr>
            <w:tcW w:w="340" w:type="pct"/>
            <w:vAlign w:val="center"/>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　</w:t>
            </w:r>
            <w:r>
              <w:rPr>
                <w:rFonts w:ascii="宋体" w:hAnsi="宋体" w:cs="仿宋_GB2312"/>
                <w:sz w:val="24"/>
              </w:rPr>
            </w:r>
            <w:r/>
          </w:p>
        </w:tc>
        <w:tc>
          <w:tcPr>
            <w:tcW w:w="368" w:type="pct"/>
            <w:vAlign w:val="center"/>
            <w:textDirection w:val="lrTb"/>
            <w:noWrap w:val="false"/>
          </w:tcPr>
          <w:p>
            <w:pPr>
              <w:pStyle w:val="1072"/>
              <w:jc w:val="center"/>
              <w:rPr>
                <w:rFonts w:ascii="宋体" w:hAnsi="宋体" w:cs="仿宋_GB2312"/>
                <w:sz w:val="24"/>
              </w:rPr>
            </w:pPr>
            <w:r>
              <w:rPr>
                <w:rFonts w:hint="eastAsia" w:ascii="宋体" w:hAnsi="宋体" w:cs="仿宋_GB2312"/>
                <w:sz w:val="24"/>
              </w:rPr>
              <w:t xml:space="preserve">　</w:t>
            </w:r>
            <w:r>
              <w:rPr>
                <w:rFonts w:ascii="宋体" w:hAnsi="宋体" w:cs="仿宋_GB2312"/>
                <w:sz w:val="24"/>
              </w:rPr>
            </w:r>
            <w:r/>
          </w:p>
        </w:tc>
      </w:tr>
      <w:tr>
        <w:trPr>
          <w:cantSplit/>
          <w:trHeight w:val="454"/>
        </w:trPr>
        <w:tc>
          <w:tcPr>
            <w:tcW w:w="425" w:type="pct"/>
            <w:vAlign w:val="center"/>
            <w:vMerge w:val="continue"/>
            <w:textDirection w:val="lrTb"/>
            <w:noWrap w:val="false"/>
          </w:tcPr>
          <w:p>
            <w:pPr>
              <w:pStyle w:val="1072"/>
              <w:jc w:val="center"/>
              <w:widowControl/>
              <w:rPr>
                <w:rFonts w:ascii="宋体" w:hAnsi="宋体" w:cs="仿宋_GB2312"/>
                <w:sz w:val="24"/>
              </w:rPr>
            </w:pPr>
            <w:r>
              <w:rPr>
                <w:rFonts w:ascii="宋体" w:hAnsi="宋体" w:cs="仿宋_GB2312"/>
                <w:sz w:val="24"/>
              </w:rPr>
            </w:r>
            <w:r/>
          </w:p>
        </w:tc>
        <w:tc>
          <w:tcPr>
            <w:tcW w:w="470" w:type="pct"/>
            <w:vAlign w:val="center"/>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环境卫生</w:t>
            </w:r>
            <w:r>
              <w:rPr>
                <w:rFonts w:ascii="宋体" w:hAnsi="宋体" w:cs="仿宋_GB2312"/>
                <w:sz w:val="24"/>
              </w:rPr>
            </w:r>
            <w:r/>
          </w:p>
        </w:tc>
        <w:tc>
          <w:tcPr>
            <w:tcW w:w="3015" w:type="pct"/>
            <w:vAlign w:val="center"/>
            <w:textDirection w:val="lrTb"/>
            <w:noWrap w:val="false"/>
          </w:tcPr>
          <w:p>
            <w:pPr>
              <w:pStyle w:val="1072"/>
              <w:widowControl/>
              <w:rPr>
                <w:rFonts w:ascii="宋体" w:hAnsi="宋体" w:cs="仿宋_GB2312"/>
                <w:sz w:val="24"/>
              </w:rPr>
            </w:pPr>
            <w:r>
              <w:rPr>
                <w:rFonts w:hint="eastAsia" w:ascii="宋体" w:hAnsi="宋体" w:cs="仿宋_GB2312"/>
                <w:sz w:val="24"/>
              </w:rPr>
              <w:t xml:space="preserve">1、配送场地整洁卫生；不符合</w:t>
            </w:r>
            <w:r>
              <w:rPr>
                <w:rFonts w:ascii="宋体" w:hAnsi="宋体" w:cs="仿宋_GB2312"/>
                <w:sz w:val="24"/>
              </w:rPr>
              <w:t xml:space="preserve">扣2</w:t>
            </w:r>
            <w:r>
              <w:rPr>
                <w:rFonts w:hint="eastAsia" w:ascii="宋体" w:hAnsi="宋体" w:cs="仿宋_GB2312"/>
                <w:sz w:val="24"/>
              </w:rPr>
              <w:t xml:space="preserve">分/次</w:t>
            </w:r>
            <w:r>
              <w:rPr>
                <w:rFonts w:ascii="宋体" w:hAnsi="宋体" w:cs="仿宋_GB2312"/>
                <w:sz w:val="24"/>
              </w:rPr>
              <w:t xml:space="preserve">。</w:t>
            </w:r>
            <w:r/>
          </w:p>
          <w:p>
            <w:pPr>
              <w:pStyle w:val="1072"/>
              <w:widowControl/>
              <w:rPr>
                <w:rFonts w:ascii="宋体" w:hAnsi="宋体" w:cs="仿宋_GB2312"/>
                <w:sz w:val="24"/>
              </w:rPr>
            </w:pPr>
            <w:r>
              <w:rPr>
                <w:rFonts w:hint="eastAsia" w:ascii="宋体" w:hAnsi="宋体" w:cs="仿宋_GB2312"/>
                <w:sz w:val="24"/>
              </w:rPr>
              <w:t xml:space="preserve">2、各种用具干净卫生，经常清洗消毒。不符合</w:t>
            </w:r>
            <w:r>
              <w:rPr>
                <w:rFonts w:ascii="宋体" w:hAnsi="宋体" w:cs="仿宋_GB2312"/>
                <w:sz w:val="24"/>
              </w:rPr>
              <w:t xml:space="preserve">扣2</w:t>
            </w:r>
            <w:r>
              <w:rPr>
                <w:rFonts w:hint="eastAsia" w:ascii="宋体" w:hAnsi="宋体" w:cs="仿宋_GB2312"/>
                <w:sz w:val="24"/>
              </w:rPr>
              <w:t xml:space="preserve">分/次</w:t>
            </w:r>
            <w:r>
              <w:rPr>
                <w:rFonts w:ascii="宋体" w:hAnsi="宋体" w:cs="仿宋_GB2312"/>
                <w:sz w:val="24"/>
              </w:rPr>
              <w:t xml:space="preserve">。</w:t>
            </w:r>
            <w:r/>
          </w:p>
        </w:tc>
        <w:tc>
          <w:tcPr>
            <w:tcW w:w="382" w:type="pct"/>
            <w:vAlign w:val="center"/>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10</w:t>
            </w:r>
            <w:r>
              <w:rPr>
                <w:rFonts w:ascii="宋体" w:hAnsi="宋体" w:cs="仿宋_GB2312"/>
                <w:sz w:val="24"/>
              </w:rPr>
            </w:r>
            <w:r/>
          </w:p>
        </w:tc>
        <w:tc>
          <w:tcPr>
            <w:tcW w:w="340" w:type="pct"/>
            <w:vAlign w:val="center"/>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　</w:t>
            </w:r>
            <w:r>
              <w:rPr>
                <w:rFonts w:ascii="宋体" w:hAnsi="宋体" w:cs="仿宋_GB2312"/>
                <w:sz w:val="24"/>
              </w:rPr>
            </w:r>
            <w:r/>
          </w:p>
        </w:tc>
        <w:tc>
          <w:tcPr>
            <w:tcW w:w="368" w:type="pct"/>
            <w:vAlign w:val="center"/>
            <w:textDirection w:val="lrTb"/>
            <w:noWrap w:val="false"/>
          </w:tcPr>
          <w:p>
            <w:pPr>
              <w:pStyle w:val="1072"/>
              <w:jc w:val="center"/>
              <w:rPr>
                <w:rFonts w:ascii="宋体" w:hAnsi="宋体" w:cs="仿宋_GB2312"/>
                <w:sz w:val="24"/>
              </w:rPr>
            </w:pPr>
            <w:r>
              <w:rPr>
                <w:rFonts w:hint="eastAsia" w:ascii="宋体" w:hAnsi="宋体" w:cs="仿宋_GB2312"/>
                <w:sz w:val="24"/>
              </w:rPr>
              <w:t xml:space="preserve">　</w:t>
            </w:r>
            <w:r>
              <w:rPr>
                <w:rFonts w:ascii="宋体" w:hAnsi="宋体" w:cs="仿宋_GB2312"/>
                <w:sz w:val="24"/>
              </w:rPr>
            </w:r>
            <w:r/>
          </w:p>
        </w:tc>
      </w:tr>
      <w:tr>
        <w:trPr>
          <w:cantSplit/>
          <w:trHeight w:val="454"/>
        </w:trPr>
        <w:tc>
          <w:tcPr>
            <w:tcW w:w="425" w:type="pct"/>
            <w:vAlign w:val="center"/>
            <w:vMerge w:val="continue"/>
            <w:textDirection w:val="lrTb"/>
            <w:noWrap w:val="false"/>
          </w:tcPr>
          <w:p>
            <w:pPr>
              <w:pStyle w:val="1072"/>
              <w:jc w:val="center"/>
              <w:widowControl/>
              <w:rPr>
                <w:rFonts w:ascii="宋体" w:hAnsi="宋体" w:cs="仿宋_GB2312"/>
                <w:sz w:val="24"/>
              </w:rPr>
            </w:pPr>
            <w:r>
              <w:rPr>
                <w:rFonts w:ascii="宋体" w:hAnsi="宋体" w:cs="仿宋_GB2312"/>
                <w:sz w:val="24"/>
              </w:rPr>
            </w:r>
            <w:r/>
          </w:p>
        </w:tc>
        <w:tc>
          <w:tcPr>
            <w:tcW w:w="470" w:type="pct"/>
            <w:vAlign w:val="center"/>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配送车辆</w:t>
            </w:r>
            <w:r>
              <w:rPr>
                <w:rFonts w:ascii="宋体" w:hAnsi="宋体" w:cs="仿宋_GB2312"/>
                <w:sz w:val="24"/>
              </w:rPr>
            </w:r>
            <w:r/>
          </w:p>
        </w:tc>
        <w:tc>
          <w:tcPr>
            <w:tcW w:w="3015" w:type="pct"/>
            <w:vAlign w:val="center"/>
            <w:textDirection w:val="lrTb"/>
            <w:noWrap w:val="false"/>
          </w:tcPr>
          <w:p>
            <w:pPr>
              <w:pStyle w:val="1072"/>
              <w:widowControl/>
              <w:rPr>
                <w:rFonts w:ascii="宋体" w:hAnsi="宋体" w:cs="仿宋_GB2312"/>
                <w:sz w:val="24"/>
              </w:rPr>
            </w:pPr>
            <w:r>
              <w:rPr>
                <w:rFonts w:hint="eastAsia" w:ascii="宋体" w:hAnsi="宋体" w:cs="仿宋_GB2312"/>
                <w:sz w:val="24"/>
              </w:rPr>
              <w:t xml:space="preserve">1、配送车辆及驾驶员证照齐全有效。不符合</w:t>
            </w:r>
            <w:r>
              <w:rPr>
                <w:rFonts w:ascii="宋体" w:hAnsi="宋体" w:cs="仿宋_GB2312"/>
                <w:sz w:val="24"/>
              </w:rPr>
              <w:t xml:space="preserve">扣2</w:t>
            </w:r>
            <w:r>
              <w:rPr>
                <w:rFonts w:hint="eastAsia" w:ascii="宋体" w:hAnsi="宋体" w:cs="仿宋_GB2312"/>
                <w:sz w:val="24"/>
              </w:rPr>
              <w:t xml:space="preserve">分/次</w:t>
            </w:r>
            <w:r>
              <w:rPr>
                <w:rFonts w:ascii="宋体" w:hAnsi="宋体" w:cs="仿宋_GB2312"/>
                <w:sz w:val="24"/>
              </w:rPr>
              <w:t xml:space="preserve">。</w:t>
            </w:r>
            <w:r/>
          </w:p>
          <w:p>
            <w:pPr>
              <w:pStyle w:val="1072"/>
              <w:widowControl/>
              <w:rPr>
                <w:rFonts w:ascii="宋体" w:hAnsi="宋体" w:cs="仿宋_GB2312"/>
                <w:sz w:val="24"/>
              </w:rPr>
            </w:pPr>
            <w:r>
              <w:rPr>
                <w:rFonts w:hint="eastAsia" w:ascii="宋体" w:hAnsi="宋体" w:cs="仿宋_GB2312"/>
                <w:sz w:val="24"/>
              </w:rPr>
              <w:t xml:space="preserve">2、配送车辆整洁，经常清洗消毒；不符合</w:t>
            </w:r>
            <w:r>
              <w:rPr>
                <w:rFonts w:ascii="宋体" w:hAnsi="宋体" w:cs="仿宋_GB2312"/>
                <w:sz w:val="24"/>
              </w:rPr>
              <w:t xml:space="preserve">扣2</w:t>
            </w:r>
            <w:r>
              <w:rPr>
                <w:rFonts w:hint="eastAsia" w:ascii="宋体" w:hAnsi="宋体" w:cs="仿宋_GB2312"/>
                <w:sz w:val="24"/>
              </w:rPr>
              <w:t xml:space="preserve">分/次</w:t>
            </w:r>
            <w:r>
              <w:rPr>
                <w:rFonts w:ascii="宋体" w:hAnsi="宋体" w:cs="仿宋_GB2312"/>
                <w:sz w:val="24"/>
              </w:rPr>
              <w:t xml:space="preserve">。</w:t>
            </w:r>
            <w:r/>
          </w:p>
        </w:tc>
        <w:tc>
          <w:tcPr>
            <w:tcW w:w="382" w:type="pct"/>
            <w:vAlign w:val="center"/>
            <w:textDirection w:val="lrTb"/>
            <w:noWrap w:val="false"/>
          </w:tcPr>
          <w:p>
            <w:pPr>
              <w:pStyle w:val="1072"/>
              <w:jc w:val="center"/>
              <w:widowControl/>
              <w:rPr>
                <w:rFonts w:ascii="宋体" w:hAnsi="宋体" w:cs="仿宋_GB2312"/>
                <w:sz w:val="24"/>
              </w:rPr>
            </w:pPr>
            <w:r>
              <w:rPr>
                <w:rFonts w:ascii="宋体" w:hAnsi="宋体" w:cs="仿宋_GB2312"/>
                <w:sz w:val="24"/>
              </w:rPr>
              <w:t xml:space="preserve">10</w:t>
            </w:r>
            <w:r/>
          </w:p>
        </w:tc>
        <w:tc>
          <w:tcPr>
            <w:tcW w:w="340" w:type="pct"/>
            <w:vAlign w:val="center"/>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　</w:t>
            </w:r>
            <w:r>
              <w:rPr>
                <w:rFonts w:ascii="宋体" w:hAnsi="宋体" w:cs="仿宋_GB2312"/>
                <w:sz w:val="24"/>
              </w:rPr>
            </w:r>
            <w:r/>
          </w:p>
        </w:tc>
        <w:tc>
          <w:tcPr>
            <w:tcW w:w="368" w:type="pct"/>
            <w:vAlign w:val="center"/>
            <w:textDirection w:val="lrTb"/>
            <w:noWrap w:val="false"/>
          </w:tcPr>
          <w:p>
            <w:pPr>
              <w:pStyle w:val="1072"/>
              <w:jc w:val="center"/>
              <w:rPr>
                <w:rFonts w:ascii="宋体" w:hAnsi="宋体" w:cs="仿宋_GB2312"/>
                <w:sz w:val="24"/>
              </w:rPr>
            </w:pPr>
            <w:r>
              <w:rPr>
                <w:rFonts w:hint="eastAsia" w:ascii="宋体" w:hAnsi="宋体" w:cs="仿宋_GB2312"/>
                <w:sz w:val="24"/>
              </w:rPr>
              <w:t xml:space="preserve">　</w:t>
            </w:r>
            <w:r>
              <w:rPr>
                <w:rFonts w:ascii="宋体" w:hAnsi="宋体" w:cs="仿宋_GB2312"/>
                <w:sz w:val="24"/>
              </w:rPr>
            </w:r>
            <w:r/>
          </w:p>
        </w:tc>
      </w:tr>
      <w:tr>
        <w:trPr>
          <w:cantSplit/>
          <w:trHeight w:val="454"/>
        </w:trPr>
        <w:tc>
          <w:tcPr>
            <w:tcW w:w="425" w:type="pct"/>
            <w:vAlign w:val="center"/>
            <w:vMerge w:val="continue"/>
            <w:textDirection w:val="lrTb"/>
            <w:noWrap w:val="false"/>
          </w:tcPr>
          <w:p>
            <w:pPr>
              <w:pStyle w:val="1072"/>
              <w:jc w:val="center"/>
              <w:widowControl/>
              <w:rPr>
                <w:rFonts w:ascii="宋体" w:hAnsi="宋体" w:cs="仿宋_GB2312"/>
                <w:sz w:val="24"/>
              </w:rPr>
            </w:pPr>
            <w:r>
              <w:rPr>
                <w:rFonts w:ascii="宋体" w:hAnsi="宋体" w:cs="仿宋_GB2312"/>
                <w:sz w:val="24"/>
              </w:rPr>
            </w:r>
            <w:r/>
          </w:p>
        </w:tc>
        <w:tc>
          <w:tcPr>
            <w:tcW w:w="470" w:type="pct"/>
            <w:vAlign w:val="center"/>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财务管理</w:t>
            </w:r>
            <w:r>
              <w:rPr>
                <w:rFonts w:ascii="宋体" w:hAnsi="宋体" w:cs="仿宋_GB2312"/>
                <w:sz w:val="24"/>
              </w:rPr>
            </w:r>
            <w:r/>
          </w:p>
        </w:tc>
        <w:tc>
          <w:tcPr>
            <w:tcW w:w="3015" w:type="pct"/>
            <w:vAlign w:val="center"/>
            <w:textDirection w:val="lrTb"/>
            <w:noWrap w:val="false"/>
          </w:tcPr>
          <w:p>
            <w:pPr>
              <w:pStyle w:val="1072"/>
              <w:widowControl/>
              <w:rPr>
                <w:rFonts w:ascii="宋体" w:hAnsi="宋体" w:cs="仿宋_GB2312"/>
                <w:sz w:val="24"/>
              </w:rPr>
            </w:pPr>
            <w:r>
              <w:rPr>
                <w:rFonts w:hint="eastAsia" w:ascii="宋体" w:hAnsi="宋体" w:cs="仿宋_GB2312"/>
                <w:sz w:val="24"/>
              </w:rPr>
              <w:t xml:space="preserve">会计人员持证，财务制度建全，结算及时差错少。不符合</w:t>
            </w:r>
            <w:r>
              <w:rPr>
                <w:rFonts w:ascii="宋体" w:hAnsi="宋体" w:cs="仿宋_GB2312"/>
                <w:sz w:val="24"/>
              </w:rPr>
              <w:t xml:space="preserve">扣5</w:t>
            </w:r>
            <w:r>
              <w:rPr>
                <w:rFonts w:hint="eastAsia" w:ascii="宋体" w:hAnsi="宋体" w:cs="仿宋_GB2312"/>
                <w:sz w:val="24"/>
              </w:rPr>
              <w:t xml:space="preserve">分/次</w:t>
            </w:r>
            <w:r>
              <w:rPr>
                <w:rFonts w:ascii="宋体" w:hAnsi="宋体" w:cs="仿宋_GB2312"/>
                <w:sz w:val="24"/>
              </w:rPr>
              <w:t xml:space="preserve">。</w:t>
            </w:r>
            <w:r/>
          </w:p>
        </w:tc>
        <w:tc>
          <w:tcPr>
            <w:tcW w:w="382" w:type="pct"/>
            <w:vAlign w:val="center"/>
            <w:textDirection w:val="lrTb"/>
            <w:noWrap w:val="false"/>
          </w:tcPr>
          <w:p>
            <w:pPr>
              <w:pStyle w:val="1072"/>
              <w:jc w:val="center"/>
              <w:widowControl/>
              <w:rPr>
                <w:rFonts w:ascii="宋体" w:hAnsi="宋体" w:cs="仿宋_GB2312"/>
                <w:sz w:val="24"/>
              </w:rPr>
            </w:pPr>
            <w:r>
              <w:rPr>
                <w:rFonts w:ascii="宋体" w:hAnsi="宋体" w:cs="仿宋_GB2312"/>
                <w:sz w:val="24"/>
              </w:rPr>
              <w:t xml:space="preserve">5</w:t>
            </w:r>
            <w:r/>
          </w:p>
        </w:tc>
        <w:tc>
          <w:tcPr>
            <w:tcW w:w="340" w:type="pct"/>
            <w:vAlign w:val="center"/>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　</w:t>
            </w:r>
            <w:r>
              <w:rPr>
                <w:rFonts w:ascii="宋体" w:hAnsi="宋体" w:cs="仿宋_GB2312"/>
                <w:sz w:val="24"/>
              </w:rPr>
            </w:r>
            <w:r/>
          </w:p>
        </w:tc>
        <w:tc>
          <w:tcPr>
            <w:tcW w:w="368" w:type="pct"/>
            <w:vAlign w:val="center"/>
            <w:textDirection w:val="lrTb"/>
            <w:noWrap w:val="false"/>
          </w:tcPr>
          <w:p>
            <w:pPr>
              <w:pStyle w:val="1072"/>
              <w:jc w:val="center"/>
              <w:rPr>
                <w:rFonts w:ascii="宋体" w:hAnsi="宋体" w:cs="仿宋_GB2312"/>
                <w:sz w:val="24"/>
              </w:rPr>
            </w:pPr>
            <w:r>
              <w:rPr>
                <w:rFonts w:hint="eastAsia" w:ascii="宋体" w:hAnsi="宋体" w:cs="仿宋_GB2312"/>
                <w:sz w:val="24"/>
              </w:rPr>
              <w:t xml:space="preserve">　</w:t>
            </w:r>
            <w:r>
              <w:rPr>
                <w:rFonts w:ascii="宋体" w:hAnsi="宋体" w:cs="仿宋_GB2312"/>
                <w:sz w:val="24"/>
              </w:rPr>
            </w:r>
            <w:r/>
          </w:p>
        </w:tc>
      </w:tr>
      <w:tr>
        <w:trPr>
          <w:cantSplit/>
          <w:trHeight w:val="454"/>
        </w:trPr>
        <w:tc>
          <w:tcPr>
            <w:tcW w:w="425" w:type="pct"/>
            <w:vAlign w:val="center"/>
            <w:vMerge w:val="continue"/>
            <w:textDirection w:val="lrTb"/>
            <w:noWrap w:val="false"/>
          </w:tcPr>
          <w:p>
            <w:pPr>
              <w:pStyle w:val="1072"/>
              <w:jc w:val="center"/>
              <w:widowControl/>
              <w:rPr>
                <w:rFonts w:ascii="宋体" w:hAnsi="宋体" w:cs="仿宋_GB2312"/>
                <w:sz w:val="24"/>
              </w:rPr>
            </w:pPr>
            <w:r>
              <w:rPr>
                <w:rFonts w:ascii="宋体" w:hAnsi="宋体" w:cs="仿宋_GB2312"/>
                <w:sz w:val="24"/>
              </w:rPr>
            </w:r>
            <w:r/>
          </w:p>
        </w:tc>
        <w:tc>
          <w:tcPr>
            <w:tcW w:w="470" w:type="pct"/>
            <w:vAlign w:val="center"/>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服务管理</w:t>
            </w:r>
            <w:r>
              <w:rPr>
                <w:rFonts w:ascii="宋体" w:hAnsi="宋体" w:cs="仿宋_GB2312"/>
                <w:sz w:val="24"/>
              </w:rPr>
            </w:r>
            <w:r/>
          </w:p>
        </w:tc>
        <w:tc>
          <w:tcPr>
            <w:tcW w:w="3015" w:type="pct"/>
            <w:vAlign w:val="center"/>
            <w:textDirection w:val="lrTb"/>
            <w:noWrap w:val="false"/>
          </w:tcPr>
          <w:p>
            <w:pPr>
              <w:pStyle w:val="1072"/>
              <w:widowControl/>
              <w:rPr>
                <w:rFonts w:ascii="宋体" w:hAnsi="宋体" w:cs="仿宋_GB2312"/>
                <w:sz w:val="24"/>
              </w:rPr>
            </w:pPr>
            <w:r>
              <w:rPr>
                <w:rFonts w:ascii="宋体" w:hAnsi="宋体" w:cs="仿宋_GB2312"/>
                <w:sz w:val="24"/>
              </w:rPr>
              <w:t xml:space="preserve">1</w:t>
            </w:r>
            <w:r>
              <w:rPr>
                <w:rFonts w:hint="eastAsia" w:ascii="宋体" w:hAnsi="宋体" w:cs="仿宋_GB2312"/>
                <w:sz w:val="24"/>
              </w:rPr>
              <w:t xml:space="preserve">、内部分工明确，责任分明。不符合</w:t>
            </w:r>
            <w:r>
              <w:rPr>
                <w:rFonts w:ascii="宋体" w:hAnsi="宋体" w:cs="仿宋_GB2312"/>
                <w:sz w:val="24"/>
              </w:rPr>
              <w:t xml:space="preserve">扣1</w:t>
            </w:r>
            <w:r>
              <w:rPr>
                <w:rFonts w:hint="eastAsia" w:ascii="宋体" w:hAnsi="宋体" w:cs="仿宋_GB2312"/>
                <w:sz w:val="24"/>
              </w:rPr>
              <w:t xml:space="preserve">分/人</w:t>
            </w:r>
            <w:r>
              <w:rPr>
                <w:rFonts w:ascii="宋体" w:hAnsi="宋体" w:cs="仿宋_GB2312"/>
                <w:sz w:val="24"/>
              </w:rPr>
              <w:t xml:space="preserve">。</w:t>
            </w:r>
            <w:r/>
          </w:p>
          <w:p>
            <w:pPr>
              <w:pStyle w:val="1072"/>
              <w:widowControl/>
              <w:rPr>
                <w:rFonts w:ascii="宋体" w:hAnsi="宋体" w:cs="仿宋_GB2312"/>
                <w:sz w:val="24"/>
              </w:rPr>
            </w:pPr>
            <w:r>
              <w:rPr>
                <w:rFonts w:ascii="宋体" w:hAnsi="宋体" w:cs="仿宋_GB2312"/>
                <w:sz w:val="24"/>
              </w:rPr>
              <w:t xml:space="preserve">2</w:t>
            </w:r>
            <w:r>
              <w:rPr>
                <w:rFonts w:hint="eastAsia" w:ascii="宋体" w:hAnsi="宋体" w:cs="仿宋_GB2312"/>
                <w:sz w:val="24"/>
              </w:rPr>
              <w:t xml:space="preserve">、配送工作合理有序。不符合</w:t>
            </w:r>
            <w:r>
              <w:rPr>
                <w:rFonts w:ascii="宋体" w:hAnsi="宋体" w:cs="仿宋_GB2312"/>
                <w:sz w:val="24"/>
              </w:rPr>
              <w:t xml:space="preserve">扣1</w:t>
            </w:r>
            <w:r>
              <w:rPr>
                <w:rFonts w:hint="eastAsia" w:ascii="宋体" w:hAnsi="宋体" w:cs="仿宋_GB2312"/>
                <w:sz w:val="24"/>
              </w:rPr>
              <w:t xml:space="preserve">分/次</w:t>
            </w:r>
            <w:r>
              <w:rPr>
                <w:rFonts w:ascii="宋体" w:hAnsi="宋体" w:cs="仿宋_GB2312"/>
                <w:sz w:val="24"/>
              </w:rPr>
              <w:t xml:space="preserve">。</w:t>
            </w:r>
            <w:r/>
          </w:p>
        </w:tc>
        <w:tc>
          <w:tcPr>
            <w:tcW w:w="382" w:type="pct"/>
            <w:vAlign w:val="center"/>
            <w:textDirection w:val="lrTb"/>
            <w:noWrap w:val="false"/>
          </w:tcPr>
          <w:p>
            <w:pPr>
              <w:pStyle w:val="1072"/>
              <w:jc w:val="center"/>
              <w:widowControl/>
              <w:rPr>
                <w:rFonts w:ascii="宋体" w:hAnsi="宋体" w:cs="仿宋_GB2312"/>
                <w:sz w:val="24"/>
              </w:rPr>
            </w:pPr>
            <w:r>
              <w:rPr>
                <w:rFonts w:ascii="宋体" w:hAnsi="宋体" w:cs="仿宋_GB2312"/>
                <w:sz w:val="24"/>
              </w:rPr>
              <w:t xml:space="preserve">10</w:t>
            </w:r>
            <w:r/>
          </w:p>
        </w:tc>
        <w:tc>
          <w:tcPr>
            <w:tcW w:w="340" w:type="pct"/>
            <w:vAlign w:val="center"/>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　</w:t>
            </w:r>
            <w:r>
              <w:rPr>
                <w:rFonts w:ascii="宋体" w:hAnsi="宋体" w:cs="仿宋_GB2312"/>
                <w:sz w:val="24"/>
              </w:rPr>
            </w:r>
            <w:r/>
          </w:p>
        </w:tc>
        <w:tc>
          <w:tcPr>
            <w:tcW w:w="368" w:type="pct"/>
            <w:vAlign w:val="center"/>
            <w:textDirection w:val="lrTb"/>
            <w:noWrap w:val="false"/>
          </w:tcPr>
          <w:p>
            <w:pPr>
              <w:pStyle w:val="1072"/>
              <w:jc w:val="center"/>
              <w:rPr>
                <w:rFonts w:ascii="宋体" w:hAnsi="宋体" w:cs="仿宋_GB2312"/>
                <w:sz w:val="24"/>
              </w:rPr>
            </w:pPr>
            <w:r>
              <w:rPr>
                <w:rFonts w:hint="eastAsia" w:ascii="宋体" w:hAnsi="宋体" w:cs="仿宋_GB2312"/>
                <w:sz w:val="24"/>
              </w:rPr>
              <w:t xml:space="preserve">　</w:t>
            </w:r>
            <w:r>
              <w:rPr>
                <w:rFonts w:ascii="宋体" w:hAnsi="宋体" w:cs="仿宋_GB2312"/>
                <w:sz w:val="24"/>
              </w:rPr>
            </w:r>
            <w:r/>
          </w:p>
        </w:tc>
      </w:tr>
      <w:tr>
        <w:trPr>
          <w:cantSplit/>
          <w:trHeight w:val="454"/>
        </w:trPr>
        <w:tc>
          <w:tcPr>
            <w:tcW w:w="425" w:type="pct"/>
            <w:vAlign w:val="center"/>
            <w:vMerge w:val="restart"/>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现场抽查考核</w:t>
            </w:r>
            <w:r>
              <w:rPr>
                <w:rFonts w:ascii="宋体" w:hAnsi="宋体" w:cs="仿宋_GB2312"/>
                <w:sz w:val="24"/>
              </w:rPr>
            </w:r>
            <w:r/>
          </w:p>
        </w:tc>
        <w:tc>
          <w:tcPr>
            <w:gridSpan w:val="2"/>
            <w:tcW w:w="3485" w:type="pct"/>
            <w:vAlign w:val="center"/>
            <w:textDirection w:val="lrTb"/>
            <w:noWrap w:val="false"/>
          </w:tcPr>
          <w:p>
            <w:pPr>
              <w:pStyle w:val="1304"/>
              <w:numPr>
                <w:ilvl w:val="0"/>
                <w:numId w:val="14"/>
              </w:numPr>
              <w:widowControl/>
              <w:rPr>
                <w:rFonts w:ascii="宋体" w:hAnsi="宋体" w:cs="仿宋_GB2312"/>
                <w:sz w:val="24"/>
                <w:szCs w:val="24"/>
              </w:rPr>
            </w:pPr>
            <w:r>
              <w:rPr>
                <w:rFonts w:hint="eastAsia" w:ascii="宋体" w:hAnsi="宋体" w:cs="仿宋_GB2312"/>
                <w:sz w:val="24"/>
                <w:szCs w:val="24"/>
              </w:rPr>
              <w:t xml:space="preserve">配送时效情况：正常</w:t>
            </w:r>
            <w:r>
              <w:rPr>
                <w:rFonts w:ascii="宋体" w:hAnsi="宋体" w:cs="仿宋_GB2312"/>
                <w:sz w:val="24"/>
                <w:szCs w:val="24"/>
              </w:rPr>
              <w:t xml:space="preserve">时间供货</w:t>
            </w:r>
            <w:r>
              <w:rPr>
                <w:rFonts w:hint="eastAsia" w:ascii="宋体" w:hAnsi="宋体" w:cs="仿宋_GB2312"/>
                <w:sz w:val="24"/>
                <w:szCs w:val="24"/>
              </w:rPr>
              <w:t xml:space="preserve">速度。视情况轻重扣1-3分。</w:t>
            </w:r>
            <w:r>
              <w:rPr>
                <w:rFonts w:ascii="宋体" w:hAnsi="宋体" w:cs="仿宋_GB2312"/>
                <w:sz w:val="24"/>
                <w:szCs w:val="24"/>
              </w:rPr>
            </w:r>
            <w:r/>
          </w:p>
          <w:p>
            <w:pPr>
              <w:pStyle w:val="1304"/>
              <w:numPr>
                <w:ilvl w:val="0"/>
                <w:numId w:val="14"/>
              </w:numPr>
              <w:widowControl/>
              <w:rPr>
                <w:rFonts w:ascii="宋体" w:hAnsi="宋体" w:cs="仿宋_GB2312"/>
                <w:sz w:val="24"/>
                <w:szCs w:val="24"/>
              </w:rPr>
            </w:pPr>
            <w:r>
              <w:rPr>
                <w:rFonts w:hint="eastAsia" w:ascii="宋体" w:hAnsi="宋体" w:cs="仿宋_GB2312"/>
                <w:sz w:val="24"/>
                <w:szCs w:val="24"/>
              </w:rPr>
              <w:t xml:space="preserve">应急</w:t>
            </w:r>
            <w:r>
              <w:rPr>
                <w:rFonts w:ascii="宋体" w:hAnsi="宋体" w:cs="仿宋_GB2312"/>
                <w:sz w:val="24"/>
                <w:szCs w:val="24"/>
              </w:rPr>
              <w:t xml:space="preserve">时间供货</w:t>
            </w:r>
            <w:r>
              <w:rPr>
                <w:rFonts w:hint="eastAsia" w:ascii="宋体" w:hAnsi="宋体" w:cs="仿宋_GB2312"/>
                <w:sz w:val="24"/>
                <w:szCs w:val="24"/>
              </w:rPr>
              <w:t xml:space="preserve">速度。视情况轻重扣1-</w:t>
            </w:r>
            <w:r>
              <w:rPr>
                <w:rFonts w:ascii="宋体" w:hAnsi="宋体" w:cs="仿宋_GB2312"/>
                <w:sz w:val="24"/>
                <w:szCs w:val="24"/>
              </w:rPr>
              <w:t xml:space="preserve">5</w:t>
            </w:r>
            <w:r>
              <w:rPr>
                <w:rFonts w:hint="eastAsia" w:ascii="宋体" w:hAnsi="宋体" w:cs="仿宋_GB2312"/>
                <w:sz w:val="24"/>
                <w:szCs w:val="24"/>
              </w:rPr>
              <w:t xml:space="preserve">分。</w:t>
            </w:r>
            <w:r>
              <w:rPr>
                <w:rFonts w:ascii="宋体" w:hAnsi="宋体" w:cs="仿宋_GB2312"/>
                <w:sz w:val="24"/>
                <w:szCs w:val="24"/>
              </w:rPr>
            </w:r>
            <w:r/>
          </w:p>
        </w:tc>
        <w:tc>
          <w:tcPr>
            <w:tcW w:w="382" w:type="pct"/>
            <w:vAlign w:val="center"/>
            <w:textDirection w:val="lrTb"/>
            <w:noWrap w:val="false"/>
          </w:tcPr>
          <w:p>
            <w:pPr>
              <w:pStyle w:val="1072"/>
              <w:jc w:val="center"/>
              <w:rPr>
                <w:rFonts w:ascii="宋体" w:hAnsi="宋体" w:cs="仿宋_GB2312"/>
                <w:sz w:val="24"/>
              </w:rPr>
            </w:pPr>
            <w:r>
              <w:rPr>
                <w:rFonts w:ascii="宋体" w:hAnsi="宋体" w:cs="仿宋_GB2312"/>
                <w:sz w:val="24"/>
              </w:rPr>
              <w:t xml:space="preserve">10</w:t>
            </w:r>
            <w:r/>
          </w:p>
        </w:tc>
        <w:tc>
          <w:tcPr>
            <w:tcW w:w="340" w:type="pct"/>
            <w:vAlign w:val="center"/>
            <w:textDirection w:val="lrTb"/>
            <w:noWrap w:val="false"/>
          </w:tcPr>
          <w:p>
            <w:pPr>
              <w:pStyle w:val="1072"/>
              <w:jc w:val="center"/>
              <w:widowControl/>
              <w:rPr>
                <w:rFonts w:ascii="宋体" w:hAnsi="宋体" w:cs="仿宋_GB2312"/>
                <w:sz w:val="24"/>
              </w:rPr>
            </w:pPr>
            <w:r>
              <w:rPr>
                <w:rFonts w:ascii="宋体" w:hAnsi="宋体" w:cs="仿宋_GB2312"/>
                <w:sz w:val="24"/>
              </w:rPr>
            </w:r>
            <w:r/>
          </w:p>
        </w:tc>
        <w:tc>
          <w:tcPr>
            <w:tcW w:w="368" w:type="pct"/>
            <w:vAlign w:val="center"/>
            <w:textDirection w:val="lrTb"/>
            <w:noWrap w:val="false"/>
          </w:tcPr>
          <w:p>
            <w:pPr>
              <w:pStyle w:val="1072"/>
              <w:jc w:val="center"/>
              <w:rPr>
                <w:rFonts w:ascii="宋体" w:hAnsi="宋体" w:cs="仿宋_GB2312"/>
                <w:sz w:val="24"/>
              </w:rPr>
            </w:pPr>
            <w:r>
              <w:rPr>
                <w:rFonts w:ascii="宋体" w:hAnsi="宋体" w:cs="仿宋_GB2312"/>
                <w:sz w:val="24"/>
              </w:rPr>
            </w:r>
            <w:r/>
          </w:p>
        </w:tc>
      </w:tr>
      <w:tr>
        <w:trPr>
          <w:cantSplit/>
          <w:trHeight w:val="454"/>
        </w:trPr>
        <w:tc>
          <w:tcPr>
            <w:tcW w:w="425" w:type="pct"/>
            <w:vAlign w:val="center"/>
            <w:vMerge w:val="continue"/>
            <w:textDirection w:val="lrTb"/>
            <w:noWrap w:val="false"/>
          </w:tcPr>
          <w:p>
            <w:pPr>
              <w:pStyle w:val="1072"/>
              <w:jc w:val="center"/>
              <w:widowControl/>
              <w:rPr>
                <w:rFonts w:ascii="宋体" w:hAnsi="宋体" w:cs="仿宋_GB2312"/>
                <w:sz w:val="24"/>
              </w:rPr>
            </w:pPr>
            <w:r>
              <w:rPr>
                <w:rFonts w:ascii="宋体" w:hAnsi="宋体" w:cs="仿宋_GB2312"/>
                <w:sz w:val="24"/>
              </w:rPr>
            </w:r>
            <w:r/>
          </w:p>
        </w:tc>
        <w:tc>
          <w:tcPr>
            <w:gridSpan w:val="2"/>
            <w:tcW w:w="3485" w:type="pct"/>
            <w:vAlign w:val="center"/>
            <w:textDirection w:val="lrTb"/>
            <w:noWrap w:val="false"/>
          </w:tcPr>
          <w:p>
            <w:pPr>
              <w:pStyle w:val="1072"/>
              <w:jc w:val="left"/>
              <w:rPr>
                <w:rFonts w:ascii="宋体" w:hAnsi="宋体" w:cs="仿宋_GB2312"/>
                <w:sz w:val="24"/>
              </w:rPr>
            </w:pPr>
            <w:r>
              <w:rPr>
                <w:rFonts w:hint="eastAsia" w:ascii="宋体" w:hAnsi="宋体" w:cs="仿宋_GB2312"/>
                <w:sz w:val="24"/>
              </w:rPr>
              <w:t xml:space="preserve">服务态度：每周</w:t>
            </w:r>
            <w:r>
              <w:rPr>
                <w:rFonts w:ascii="宋体" w:hAnsi="宋体" w:cs="仿宋_GB2312"/>
                <w:sz w:val="24"/>
              </w:rPr>
              <w:t xml:space="preserve">与采购人沟通，</w:t>
            </w:r>
            <w:r>
              <w:rPr>
                <w:rFonts w:hint="eastAsia" w:ascii="宋体" w:hAnsi="宋体"/>
                <w:sz w:val="24"/>
              </w:rPr>
              <w:t xml:space="preserve">发现问题及时整改回复，实际操作中</w:t>
            </w:r>
            <w:r>
              <w:rPr>
                <w:rFonts w:ascii="宋体" w:hAnsi="宋体"/>
                <w:sz w:val="24"/>
              </w:rPr>
              <w:t xml:space="preserve">能</w:t>
            </w:r>
            <w:r>
              <w:rPr>
                <w:rFonts w:hint="eastAsia" w:ascii="宋体" w:hAnsi="宋体"/>
                <w:sz w:val="24"/>
              </w:rPr>
              <w:t xml:space="preserve">发现</w:t>
            </w:r>
            <w:r>
              <w:rPr>
                <w:rFonts w:ascii="宋体" w:hAnsi="宋体"/>
                <w:sz w:val="24"/>
              </w:rPr>
              <w:t xml:space="preserve">问题并</w:t>
            </w:r>
            <w:r>
              <w:rPr>
                <w:rFonts w:hint="eastAsia" w:ascii="宋体" w:hAnsi="宋体"/>
                <w:sz w:val="24"/>
              </w:rPr>
              <w:t xml:space="preserve">提出</w:t>
            </w:r>
            <w:r>
              <w:rPr>
                <w:rFonts w:ascii="宋体" w:hAnsi="宋体"/>
                <w:sz w:val="24"/>
              </w:rPr>
              <w:t xml:space="preserve">解决办法</w:t>
            </w:r>
            <w:r>
              <w:rPr>
                <w:rFonts w:hint="eastAsia" w:ascii="宋体" w:hAnsi="宋体"/>
                <w:sz w:val="24"/>
              </w:rPr>
              <w:t xml:space="preserve">，</w:t>
            </w:r>
            <w:r>
              <w:rPr>
                <w:rFonts w:ascii="宋体" w:hAnsi="宋体"/>
                <w:sz w:val="24"/>
              </w:rPr>
              <w:t xml:space="preserve">提出合理化建议。</w:t>
            </w:r>
            <w:r>
              <w:rPr>
                <w:rFonts w:hint="eastAsia" w:ascii="宋体" w:hAnsi="宋体"/>
                <w:sz w:val="24"/>
              </w:rPr>
              <w:t xml:space="preserve">未能</w:t>
            </w:r>
            <w:r>
              <w:rPr>
                <w:rFonts w:ascii="宋体" w:hAnsi="宋体"/>
                <w:sz w:val="24"/>
              </w:rPr>
              <w:t xml:space="preserve">按要求配合采购人</w:t>
            </w:r>
            <w:r>
              <w:rPr>
                <w:rFonts w:hint="eastAsia" w:ascii="宋体" w:hAnsi="宋体"/>
                <w:sz w:val="24"/>
              </w:rPr>
              <w:t xml:space="preserve">工作</w:t>
            </w:r>
            <w:r>
              <w:rPr>
                <w:rFonts w:ascii="宋体" w:hAnsi="宋体"/>
                <w:sz w:val="24"/>
              </w:rPr>
              <w:t xml:space="preserve">的</w:t>
            </w:r>
            <w:r>
              <w:rPr>
                <w:rFonts w:hint="eastAsia" w:ascii="宋体" w:hAnsi="宋体" w:cs="仿宋_GB2312"/>
                <w:sz w:val="24"/>
              </w:rPr>
              <w:t xml:space="preserve">视情况轻重扣1-</w:t>
            </w:r>
            <w:r>
              <w:rPr>
                <w:rFonts w:ascii="宋体" w:hAnsi="宋体" w:cs="仿宋_GB2312"/>
                <w:sz w:val="24"/>
              </w:rPr>
              <w:t xml:space="preserve">5</w:t>
            </w:r>
            <w:r>
              <w:rPr>
                <w:rFonts w:hint="eastAsia" w:ascii="宋体" w:hAnsi="宋体" w:cs="仿宋_GB2312"/>
                <w:sz w:val="24"/>
              </w:rPr>
              <w:t xml:space="preserve">分。</w:t>
            </w:r>
            <w:r>
              <w:rPr>
                <w:rFonts w:ascii="宋体" w:hAnsi="宋体" w:cs="仿宋_GB2312"/>
                <w:sz w:val="24"/>
              </w:rPr>
            </w:r>
            <w:r/>
          </w:p>
        </w:tc>
        <w:tc>
          <w:tcPr>
            <w:tcW w:w="382" w:type="pct"/>
            <w:vAlign w:val="center"/>
            <w:textDirection w:val="lrTb"/>
            <w:noWrap w:val="false"/>
          </w:tcPr>
          <w:p>
            <w:pPr>
              <w:pStyle w:val="1072"/>
              <w:jc w:val="center"/>
              <w:widowControl/>
              <w:rPr>
                <w:rFonts w:ascii="宋体" w:hAnsi="宋体" w:cs="仿宋_GB2312"/>
                <w:sz w:val="24"/>
              </w:rPr>
            </w:pPr>
            <w:r>
              <w:rPr>
                <w:rFonts w:ascii="宋体" w:hAnsi="宋体" w:cs="仿宋_GB2312"/>
                <w:sz w:val="24"/>
              </w:rPr>
              <w:t xml:space="preserve">15</w:t>
            </w:r>
            <w:r/>
          </w:p>
        </w:tc>
        <w:tc>
          <w:tcPr>
            <w:tcW w:w="340" w:type="pct"/>
            <w:vAlign w:val="center"/>
            <w:textDirection w:val="lrTb"/>
            <w:noWrap w:val="false"/>
          </w:tcPr>
          <w:p>
            <w:pPr>
              <w:pStyle w:val="1072"/>
              <w:jc w:val="center"/>
              <w:widowControl/>
              <w:rPr>
                <w:rFonts w:ascii="宋体" w:hAnsi="宋体" w:cs="仿宋_GB2312"/>
                <w:sz w:val="24"/>
              </w:rPr>
            </w:pPr>
            <w:r>
              <w:rPr>
                <w:rFonts w:ascii="宋体" w:hAnsi="宋体" w:cs="仿宋_GB2312"/>
                <w:sz w:val="24"/>
              </w:rPr>
            </w:r>
            <w:r/>
          </w:p>
        </w:tc>
        <w:tc>
          <w:tcPr>
            <w:tcW w:w="368" w:type="pct"/>
            <w:vAlign w:val="center"/>
            <w:textDirection w:val="lrTb"/>
            <w:noWrap w:val="false"/>
          </w:tcPr>
          <w:p>
            <w:pPr>
              <w:pStyle w:val="1072"/>
              <w:jc w:val="center"/>
              <w:rPr>
                <w:rFonts w:ascii="宋体" w:hAnsi="宋体" w:cs="仿宋_GB2312"/>
                <w:sz w:val="24"/>
              </w:rPr>
            </w:pPr>
            <w:r>
              <w:rPr>
                <w:rFonts w:ascii="宋体" w:hAnsi="宋体" w:cs="仿宋_GB2312"/>
                <w:sz w:val="24"/>
              </w:rPr>
            </w:r>
            <w:r/>
          </w:p>
        </w:tc>
      </w:tr>
      <w:tr>
        <w:trPr>
          <w:cantSplit/>
          <w:trHeight w:val="454"/>
        </w:trPr>
        <w:tc>
          <w:tcPr>
            <w:gridSpan w:val="3"/>
            <w:tcW w:w="3910" w:type="pct"/>
            <w:vAlign w:val="center"/>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合计得分</w:t>
            </w:r>
            <w:r>
              <w:rPr>
                <w:rFonts w:ascii="宋体" w:hAnsi="宋体" w:cs="仿宋_GB2312"/>
                <w:sz w:val="24"/>
              </w:rPr>
            </w:r>
            <w:r/>
          </w:p>
        </w:tc>
        <w:tc>
          <w:tcPr>
            <w:tcW w:w="382" w:type="pct"/>
            <w:vAlign w:val="center"/>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100　</w:t>
            </w:r>
            <w:r>
              <w:rPr>
                <w:rFonts w:ascii="宋体" w:hAnsi="宋体" w:cs="仿宋_GB2312"/>
                <w:sz w:val="24"/>
              </w:rPr>
            </w:r>
            <w:r/>
          </w:p>
        </w:tc>
        <w:tc>
          <w:tcPr>
            <w:tcW w:w="340" w:type="pct"/>
            <w:vAlign w:val="center"/>
            <w:textDirection w:val="lrTb"/>
            <w:noWrap w:val="false"/>
          </w:tcPr>
          <w:p>
            <w:pPr>
              <w:pStyle w:val="1072"/>
              <w:jc w:val="center"/>
              <w:widowControl/>
              <w:rPr>
                <w:rFonts w:ascii="宋体" w:hAnsi="宋体" w:cs="仿宋_GB2312"/>
                <w:sz w:val="24"/>
              </w:rPr>
            </w:pPr>
            <w:r>
              <w:rPr>
                <w:rFonts w:hint="eastAsia" w:ascii="宋体" w:hAnsi="宋体" w:cs="仿宋_GB2312"/>
                <w:sz w:val="24"/>
              </w:rPr>
              <w:t xml:space="preserve">　</w:t>
            </w:r>
            <w:r>
              <w:rPr>
                <w:rFonts w:ascii="宋体" w:hAnsi="宋体" w:cs="仿宋_GB2312"/>
                <w:sz w:val="24"/>
              </w:rPr>
            </w:r>
            <w:r/>
          </w:p>
        </w:tc>
        <w:tc>
          <w:tcPr>
            <w:tcW w:w="368" w:type="pct"/>
            <w:vAlign w:val="center"/>
            <w:textDirection w:val="lrTb"/>
            <w:noWrap w:val="false"/>
          </w:tcPr>
          <w:p>
            <w:pPr>
              <w:pStyle w:val="1072"/>
              <w:jc w:val="center"/>
              <w:rPr>
                <w:rFonts w:ascii="宋体" w:hAnsi="宋体" w:cs="仿宋_GB2312"/>
                <w:sz w:val="24"/>
              </w:rPr>
            </w:pPr>
            <w:r>
              <w:rPr>
                <w:rFonts w:hint="eastAsia" w:ascii="宋体" w:hAnsi="宋体" w:cs="仿宋_GB2312"/>
                <w:sz w:val="24"/>
              </w:rPr>
              <w:t xml:space="preserve">　</w:t>
            </w:r>
            <w:r>
              <w:rPr>
                <w:rFonts w:ascii="宋体" w:hAnsi="宋体" w:cs="仿宋_GB2312"/>
                <w:sz w:val="24"/>
              </w:rPr>
            </w:r>
            <w:r/>
          </w:p>
        </w:tc>
      </w:tr>
    </w:tbl>
    <w:p>
      <w:pPr>
        <w:pStyle w:val="1072"/>
        <w:ind w:right="210" w:firstLine="482"/>
        <w:jc w:val="left"/>
        <w:spacing w:line="360" w:lineRule="auto"/>
        <w:rPr>
          <w:rFonts w:ascii="宋体" w:hAnsi="宋体" w:cs="宋体"/>
          <w:b/>
          <w:sz w:val="24"/>
        </w:rPr>
      </w:pPr>
      <w:r>
        <w:rPr>
          <w:rFonts w:ascii="宋体" w:hAnsi="宋体" w:cs="宋体"/>
          <w:b/>
          <w:sz w:val="24"/>
        </w:rPr>
      </w:r>
      <w:r/>
    </w:p>
    <w:p>
      <w:pPr>
        <w:pStyle w:val="1072"/>
        <w:ind w:right="210" w:firstLine="482"/>
        <w:jc w:val="left"/>
        <w:spacing w:line="360" w:lineRule="auto"/>
        <w:rPr>
          <w:rFonts w:ascii="宋体" w:hAnsi="宋体" w:cs="宋体"/>
          <w:b/>
          <w:sz w:val="24"/>
        </w:rPr>
      </w:pPr>
      <w:r>
        <w:rPr>
          <w:rFonts w:hint="eastAsia" w:ascii="宋体" w:hAnsi="宋体" w:cs="宋体"/>
          <w:b/>
          <w:sz w:val="24"/>
        </w:rPr>
        <w:t xml:space="preserve">十、付款方式</w:t>
      </w:r>
      <w:r>
        <w:rPr>
          <w:rFonts w:ascii="宋体" w:hAnsi="宋体" w:cs="宋体"/>
          <w:b/>
          <w:sz w:val="24"/>
        </w:rPr>
      </w:r>
      <w:r/>
    </w:p>
    <w:p>
      <w:pPr>
        <w:pStyle w:val="1072"/>
        <w:ind w:right="210" w:firstLine="480"/>
        <w:jc w:val="left"/>
        <w:spacing w:line="360" w:lineRule="auto"/>
      </w:pPr>
      <w:r>
        <w:rPr>
          <w:rFonts w:hint="eastAsia" w:ascii="宋体" w:hAnsi="宋体" w:cs="宋体"/>
          <w:sz w:val="24"/>
        </w:rPr>
        <w:t xml:space="preserve">中标供应商和采购人每月核对，确认当月供货的数量及金额。中标供应商开具等额的增值税普通发票给采购人，采购人每三个月结账一次（无息）。</w:t>
      </w:r>
      <w:r/>
    </w:p>
    <w:p>
      <w:pPr>
        <w:pStyle w:val="1072"/>
        <w:ind w:right="210" w:firstLine="482"/>
        <w:jc w:val="left"/>
        <w:spacing w:line="360" w:lineRule="auto"/>
        <w:rPr>
          <w:rFonts w:ascii="宋体" w:hAnsi="宋体" w:cs="宋体"/>
          <w:b/>
          <w:sz w:val="24"/>
        </w:rPr>
      </w:pPr>
      <w:r>
        <w:rPr>
          <w:rFonts w:hint="eastAsia" w:ascii="宋体" w:hAnsi="宋体" w:cs="宋体"/>
          <w:b/>
          <w:sz w:val="24"/>
        </w:rPr>
        <w:t xml:space="preserve">十一、样品</w:t>
      </w:r>
      <w:r>
        <w:rPr>
          <w:rFonts w:ascii="宋体" w:hAnsi="宋体" w:cs="宋体"/>
          <w:b/>
          <w:sz w:val="24"/>
        </w:rPr>
      </w:r>
      <w:r/>
    </w:p>
    <w:p>
      <w:pPr>
        <w:pStyle w:val="1072"/>
        <w:ind w:firstLine="487"/>
        <w:spacing w:line="360" w:lineRule="auto"/>
        <w:rPr>
          <w:rFonts w:hint="eastAsia" w:ascii="宋体" w:hAnsi="宋体" w:cs="宋体"/>
          <w:b/>
          <w:bCs/>
          <w:sz w:val="24"/>
        </w:rPr>
      </w:pPr>
      <w:r>
        <w:rPr>
          <w:rFonts w:hint="eastAsia" w:ascii="宋体" w:hAnsi="宋体" w:cs="宋体"/>
          <w:b/>
          <w:bCs/>
          <w:sz w:val="24"/>
        </w:rPr>
        <w:t xml:space="preserve">1.样品要求</w:t>
      </w:r>
      <w:r/>
    </w:p>
    <w:p>
      <w:pPr>
        <w:pStyle w:val="1072"/>
        <w:ind w:firstLine="487"/>
        <w:spacing w:line="360" w:lineRule="auto"/>
        <w:rPr>
          <w:rFonts w:hint="eastAsia" w:ascii="宋体" w:hAnsi="宋体" w:cs="宋体"/>
          <w:b/>
          <w:bCs/>
          <w:sz w:val="24"/>
        </w:rPr>
      </w:pPr>
      <w:r>
        <w:rPr>
          <w:rFonts w:hint="eastAsia" w:ascii="宋体" w:hAnsi="宋体" w:cs="宋体"/>
          <w:b/>
          <w:bCs/>
          <w:sz w:val="24"/>
        </w:rPr>
        <w:t xml:space="preserve">本项目要求带5袋25千克包装的样品（提供大米品牌和品种，5袋样品必须同品牌、同品种、同包装），现场评委随机选取一袋进行评测。报价表中必须报出品牌和品种。</w:t>
      </w:r>
      <w:r/>
    </w:p>
    <w:p>
      <w:pPr>
        <w:pStyle w:val="1072"/>
        <w:ind w:firstLine="487"/>
        <w:spacing w:line="360" w:lineRule="auto"/>
        <w:rPr>
          <w:rFonts w:hint="eastAsia" w:ascii="宋体" w:hAnsi="宋体" w:cs="宋体"/>
          <w:b/>
          <w:bCs/>
          <w:sz w:val="24"/>
        </w:rPr>
      </w:pPr>
      <w:r>
        <w:rPr>
          <w:rFonts w:hint="eastAsia" w:ascii="宋体" w:hAnsi="宋体" w:cs="宋体"/>
          <w:b/>
          <w:bCs/>
          <w:sz w:val="24"/>
        </w:rPr>
        <w:t xml:space="preserve">2.评测流程</w:t>
      </w:r>
      <w:r/>
    </w:p>
    <w:p>
      <w:pPr>
        <w:pStyle w:val="1072"/>
        <w:ind w:firstLine="485"/>
        <w:spacing w:line="360" w:lineRule="auto"/>
        <w:rPr>
          <w:rFonts w:hint="eastAsia" w:ascii="宋体" w:hAnsi="宋体" w:cs="宋体"/>
          <w:sz w:val="24"/>
        </w:rPr>
      </w:pPr>
      <w:r>
        <w:rPr>
          <w:rFonts w:hint="eastAsia" w:ascii="宋体" w:hAnsi="宋体" w:cs="宋体"/>
          <w:sz w:val="24"/>
        </w:rPr>
        <w:t xml:space="preserve">用大小统一的碗盛取一碗米，刮平碗口，对米的外观品质进行评价。</w:t>
      </w:r>
      <w:r/>
    </w:p>
    <w:p>
      <w:pPr>
        <w:pStyle w:val="1072"/>
        <w:ind w:firstLine="487"/>
        <w:spacing w:line="360" w:lineRule="auto"/>
        <w:rPr>
          <w:rFonts w:hint="eastAsia" w:ascii="宋体" w:hAnsi="宋体" w:cs="宋体"/>
          <w:b/>
          <w:bCs/>
          <w:sz w:val="24"/>
        </w:rPr>
      </w:pPr>
      <w:r>
        <w:rPr>
          <w:rFonts w:hint="eastAsia" w:ascii="宋体" w:hAnsi="宋体" w:cs="宋体"/>
          <w:b/>
          <w:bCs/>
          <w:sz w:val="24"/>
        </w:rPr>
        <w:t xml:space="preserve">3.样品管理</w:t>
      </w:r>
      <w:r/>
    </w:p>
    <w:p>
      <w:pPr>
        <w:pStyle w:val="1072"/>
        <w:ind w:firstLine="485"/>
        <w:spacing w:line="360" w:lineRule="auto"/>
        <w:rPr>
          <w:rFonts w:hint="eastAsia" w:ascii="宋体" w:hAnsi="宋体" w:cs="宋体"/>
          <w:sz w:val="24"/>
        </w:rPr>
      </w:pPr>
      <w:r>
        <w:rPr>
          <w:rFonts w:hint="eastAsia" w:ascii="宋体" w:hAnsi="宋体" w:cs="宋体"/>
          <w:sz w:val="24"/>
        </w:rPr>
        <w:t xml:space="preserve">（1）未拆封的样品作为成交样品现场封样，由采购人保管，验收合格后退回。</w:t>
      </w:r>
      <w:r/>
    </w:p>
    <w:p>
      <w:pPr>
        <w:pStyle w:val="1072"/>
        <w:ind w:firstLine="485"/>
        <w:spacing w:line="360" w:lineRule="auto"/>
        <w:rPr>
          <w:rFonts w:hint="eastAsia" w:ascii="宋体" w:hAnsi="宋体" w:cs="宋体"/>
          <w:sz w:val="24"/>
        </w:rPr>
      </w:pPr>
      <w:r>
        <w:rPr>
          <w:rFonts w:hint="eastAsia" w:ascii="宋体" w:hAnsi="宋体" w:cs="宋体"/>
          <w:sz w:val="24"/>
        </w:rPr>
        <w:t xml:space="preserve">（2）采购人将委托第三方机构对成交供应商和备选供应商的大米样品进行检测（依据GB/T1354-2018优质大米一级标准），检测数据作为</w:t>
      </w:r>
      <w:r>
        <w:rPr>
          <w:rFonts w:hint="eastAsia" w:ascii="宋体" w:hAnsi="宋体" w:cs="宋体"/>
          <w:b/>
          <w:bCs/>
          <w:sz w:val="24"/>
        </w:rPr>
        <w:t xml:space="preserve">不定期</w:t>
      </w:r>
      <w:r>
        <w:rPr>
          <w:rFonts w:hint="eastAsia" w:ascii="宋体" w:hAnsi="宋体" w:cs="宋体"/>
          <w:sz w:val="24"/>
        </w:rPr>
        <w:t xml:space="preserve">抽查依据。</w:t>
      </w:r>
      <w:r/>
    </w:p>
    <w:p>
      <w:pPr>
        <w:pStyle w:val="1072"/>
        <w:ind w:firstLine="485"/>
        <w:spacing w:line="360" w:lineRule="auto"/>
        <w:rPr>
          <w:rFonts w:ascii="宋体" w:hAnsi="宋体"/>
          <w:b/>
          <w:sz w:val="36"/>
          <w:szCs w:val="36"/>
        </w:rPr>
      </w:pPr>
      <w:r>
        <w:rPr>
          <w:rFonts w:ascii="宋体" w:hAnsi="宋体" w:cs="宋体"/>
          <w:sz w:val="24"/>
          <w:lang w:val="en"/>
        </w:rPr>
        <w:t xml:space="preserve">(3)</w:t>
      </w:r>
      <w:r>
        <w:rPr>
          <w:rFonts w:hint="eastAsia" w:ascii="宋体" w:hAnsi="宋体" w:cs="宋体"/>
          <w:sz w:val="24"/>
          <w:lang w:val="en"/>
        </w:rPr>
        <w:t xml:space="preserve">中标单位大米由采购人封存保存。</w:t>
      </w:r>
      <w:r>
        <w:rPr>
          <w:rFonts w:ascii="宋体" w:hAnsi="宋体"/>
          <w:b/>
          <w:sz w:val="36"/>
          <w:szCs w:val="36"/>
        </w:rPr>
      </w:r>
      <w:r/>
    </w:p>
    <w:p>
      <w:pPr>
        <w:pStyle w:val="1072"/>
      </w:pPr>
      <w:r/>
      <w:r/>
    </w:p>
    <w:tbl>
      <w:tblPr>
        <w:tblW w:w="852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78"/>
        <w:gridCol w:w="1505"/>
        <w:gridCol w:w="954"/>
        <w:gridCol w:w="1156"/>
        <w:gridCol w:w="1317"/>
        <w:gridCol w:w="1969"/>
        <w:gridCol w:w="1044"/>
      </w:tblGrid>
      <w:tr>
        <w:trPr>
          <w:gridAfter w:val="1"/>
          <w:trHeight w:val="518"/>
        </w:trPr>
        <w:tc>
          <w:tcPr>
            <w:gridSpan w:val="6"/>
            <w:tcBorders>
              <w:top w:val="none" w:color="000000" w:sz="4" w:space="0"/>
              <w:left w:val="none" w:color="000000" w:sz="4" w:space="0"/>
              <w:bottom w:val="none" w:color="000000" w:sz="4" w:space="0"/>
              <w:right w:val="none" w:color="000000" w:sz="4" w:space="0"/>
            </w:tcBorders>
            <w:tcW w:w="7479" w:type="dxa"/>
            <w:vAlign w:val="center"/>
            <w:textDirection w:val="lrTb"/>
            <w:noWrap/>
          </w:tcPr>
          <w:p>
            <w:pPr>
              <w:pStyle w:val="1134"/>
              <w:jc w:val="center"/>
              <w:spacing w:before="0" w:beforeAutospacing="0" w:after="0" w:afterAutospacing="0"/>
            </w:pPr>
            <w:r>
              <w:rPr>
                <w:rFonts w:hint="eastAsia"/>
                <w:sz w:val="48"/>
                <w:szCs w:val="48"/>
              </w:rPr>
              <w:t xml:space="preserve">送  样  表</w:t>
            </w:r>
            <w:r/>
          </w:p>
        </w:tc>
      </w:tr>
      <w:tr>
        <w:trPr>
          <w:gridAfter w:val="1"/>
          <w:trHeight w:val="521"/>
        </w:trPr>
        <w:tc>
          <w:tcPr>
            <w:gridSpan w:val="2"/>
            <w:tcBorders>
              <w:top w:val="none" w:color="000000" w:sz="4" w:space="0"/>
              <w:left w:val="none" w:color="000000" w:sz="4" w:space="0"/>
              <w:bottom w:val="none" w:color="000000" w:sz="4" w:space="0"/>
              <w:right w:val="none" w:color="000000" w:sz="4" w:space="0"/>
            </w:tcBorders>
            <w:tcW w:w="2083" w:type="dxa"/>
            <w:vAlign w:val="center"/>
            <w:textDirection w:val="lrTb"/>
            <w:noWrap/>
          </w:tcPr>
          <w:p>
            <w:pPr>
              <w:pStyle w:val="1134"/>
              <w:spacing w:before="0" w:beforeAutospacing="0" w:after="0" w:afterAutospacing="0"/>
            </w:pPr>
            <w:r>
              <w:rPr>
                <w:rFonts w:hint="eastAsia"/>
              </w:rPr>
              <w:t xml:space="preserve">项目名称：</w:t>
            </w:r>
            <w:r/>
          </w:p>
        </w:tc>
        <w:tc>
          <w:tcPr>
            <w:gridSpan w:val="4"/>
            <w:tcBorders>
              <w:top w:val="none" w:color="000000" w:sz="4" w:space="0"/>
              <w:left w:val="none" w:color="000000" w:sz="4" w:space="0"/>
              <w:bottom w:val="none" w:color="000000" w:sz="4" w:space="0"/>
              <w:right w:val="none" w:color="000000" w:sz="4" w:space="0"/>
            </w:tcBorders>
            <w:tcW w:w="5396" w:type="dxa"/>
            <w:vAlign w:val="center"/>
            <w:textDirection w:val="lrTb"/>
            <w:noWrap/>
          </w:tcPr>
          <w:p>
            <w:pPr>
              <w:pStyle w:val="1134"/>
              <w:jc w:val="center"/>
              <w:spacing w:before="0" w:beforeAutospacing="0" w:after="0" w:afterAutospacing="0"/>
            </w:pPr>
            <w:r>
              <w:rPr>
                <w:rFonts w:hint="eastAsia"/>
              </w:rPr>
              <w:t xml:space="preserve">      项目编号： </w:t>
            </w:r>
            <w:r/>
          </w:p>
        </w:tc>
      </w:tr>
      <w:tr>
        <w:trPr>
          <w:gridAfter w:val="1"/>
          <w:trHeight w:val="379"/>
        </w:trPr>
        <w:tc>
          <w:tcPr>
            <w:gridSpan w:val="2"/>
            <w:tcBorders>
              <w:top w:val="none" w:color="000000" w:sz="4" w:space="0"/>
              <w:left w:val="none" w:color="000000" w:sz="4" w:space="0"/>
              <w:bottom w:val="single" w:color="000000" w:sz="4" w:space="0"/>
              <w:right w:val="none" w:color="000000" w:sz="4" w:space="0"/>
            </w:tcBorders>
            <w:tcW w:w="2083" w:type="dxa"/>
            <w:vAlign w:val="center"/>
            <w:textDirection w:val="lrTb"/>
            <w:noWrap/>
          </w:tcPr>
          <w:p>
            <w:pPr>
              <w:pStyle w:val="1134"/>
              <w:spacing w:before="0" w:beforeAutospacing="0" w:after="0" w:afterAutospacing="0"/>
            </w:pPr>
            <w:r>
              <w:rPr>
                <w:rFonts w:hint="eastAsia"/>
              </w:rPr>
              <w:t xml:space="preserve">投标单位（盖章）：</w:t>
            </w:r>
            <w:r/>
          </w:p>
        </w:tc>
        <w:tc>
          <w:tcPr>
            <w:tcBorders>
              <w:top w:val="none" w:color="000000" w:sz="4" w:space="0"/>
              <w:left w:val="none" w:color="000000" w:sz="4" w:space="0"/>
              <w:bottom w:val="single" w:color="000000" w:sz="4" w:space="0"/>
              <w:right w:val="none" w:color="000000" w:sz="4" w:space="0"/>
            </w:tcBorders>
            <w:tcW w:w="954" w:type="dxa"/>
            <w:vAlign w:val="center"/>
            <w:textDirection w:val="lrTb"/>
            <w:noWrap/>
          </w:tcPr>
          <w:p>
            <w:pPr>
              <w:pStyle w:val="1134"/>
              <w:jc w:val="center"/>
              <w:spacing w:before="0" w:beforeAutospacing="0" w:after="0" w:afterAutospacing="0"/>
            </w:pPr>
            <w:r>
              <w:rPr>
                <w:rFonts w:hint="eastAsia"/>
                <w:sz w:val="32"/>
                <w:szCs w:val="32"/>
              </w:rPr>
              <w:t xml:space="preserve"> </w:t>
            </w:r>
            <w:r/>
          </w:p>
        </w:tc>
        <w:tc>
          <w:tcPr>
            <w:tcBorders>
              <w:top w:val="none" w:color="000000" w:sz="4" w:space="0"/>
              <w:left w:val="none" w:color="000000" w:sz="4" w:space="0"/>
              <w:bottom w:val="single" w:color="000000" w:sz="4" w:space="0"/>
              <w:right w:val="none" w:color="000000" w:sz="4" w:space="0"/>
            </w:tcBorders>
            <w:tcW w:w="1156" w:type="dxa"/>
            <w:vAlign w:val="center"/>
            <w:textDirection w:val="lrTb"/>
            <w:noWrap/>
          </w:tcPr>
          <w:p>
            <w:pPr>
              <w:pStyle w:val="1134"/>
              <w:jc w:val="center"/>
              <w:spacing w:before="0" w:beforeAutospacing="0" w:after="0" w:afterAutospacing="0"/>
            </w:pPr>
            <w:r>
              <w:rPr>
                <w:rFonts w:hint="eastAsia"/>
                <w:sz w:val="32"/>
                <w:szCs w:val="32"/>
              </w:rPr>
              <w:t xml:space="preserve"> </w:t>
            </w:r>
            <w:r/>
          </w:p>
        </w:tc>
        <w:tc>
          <w:tcPr>
            <w:tcBorders>
              <w:top w:val="none" w:color="000000" w:sz="4" w:space="0"/>
              <w:left w:val="none" w:color="000000" w:sz="4" w:space="0"/>
              <w:bottom w:val="single" w:color="000000" w:sz="4" w:space="0"/>
              <w:right w:val="none" w:color="000000" w:sz="4" w:space="0"/>
            </w:tcBorders>
            <w:tcW w:w="1317" w:type="dxa"/>
            <w:vAlign w:val="center"/>
            <w:textDirection w:val="lrTb"/>
            <w:noWrap/>
          </w:tcPr>
          <w:p>
            <w:pPr>
              <w:pStyle w:val="1134"/>
              <w:jc w:val="center"/>
              <w:spacing w:before="0" w:beforeAutospacing="0" w:after="0" w:afterAutospacing="0"/>
            </w:pPr>
            <w:r>
              <w:rPr>
                <w:rFonts w:hint="eastAsia"/>
                <w:sz w:val="32"/>
                <w:szCs w:val="32"/>
              </w:rPr>
              <w:t xml:space="preserve"> </w:t>
            </w:r>
            <w:r/>
          </w:p>
        </w:tc>
        <w:tc>
          <w:tcPr>
            <w:tcBorders>
              <w:top w:val="none" w:color="000000" w:sz="4" w:space="0"/>
              <w:left w:val="none" w:color="000000" w:sz="4" w:space="0"/>
              <w:bottom w:val="single" w:color="000000" w:sz="4" w:space="0"/>
              <w:right w:val="none" w:color="000000" w:sz="4" w:space="0"/>
            </w:tcBorders>
            <w:tcW w:w="1969" w:type="dxa"/>
            <w:vAlign w:val="center"/>
            <w:textDirection w:val="lrTb"/>
            <w:noWrap/>
          </w:tcPr>
          <w:p>
            <w:pPr>
              <w:pStyle w:val="1134"/>
              <w:jc w:val="center"/>
              <w:spacing w:before="0" w:beforeAutospacing="0" w:after="0" w:afterAutospacing="0"/>
            </w:pPr>
            <w:r>
              <w:rPr>
                <w:rFonts w:hint="eastAsia"/>
                <w:sz w:val="32"/>
                <w:szCs w:val="32"/>
              </w:rPr>
              <w:t xml:space="preserve"> </w:t>
            </w:r>
            <w:r/>
          </w:p>
        </w:tc>
      </w:tr>
      <w:tr>
        <w:trPr>
          <w:gridAfter w:val="1"/>
          <w:trHeight w:val="1800"/>
        </w:trPr>
        <w:tc>
          <w:tcPr>
            <w:tcBorders>
              <w:top w:val="none" w:color="000000" w:sz="4" w:space="0"/>
              <w:left w:val="single" w:color="000000" w:sz="4" w:space="0"/>
              <w:bottom w:val="single" w:color="000000" w:sz="4" w:space="0"/>
              <w:right w:val="single" w:color="000000" w:sz="4" w:space="0"/>
            </w:tcBorders>
            <w:tcW w:w="578" w:type="dxa"/>
            <w:vAlign w:val="center"/>
            <w:textDirection w:val="lrTb"/>
            <w:noWrap/>
          </w:tcPr>
          <w:p>
            <w:pPr>
              <w:pStyle w:val="1134"/>
              <w:jc w:val="center"/>
              <w:spacing w:before="0" w:beforeAutospacing="0" w:after="0" w:afterAutospacing="0"/>
            </w:pPr>
            <w:r>
              <w:rPr>
                <w:rFonts w:hint="eastAsia"/>
              </w:rPr>
              <w:t xml:space="preserve">序号</w:t>
            </w:r>
            <w:r/>
          </w:p>
        </w:tc>
        <w:tc>
          <w:tcPr>
            <w:tcBorders>
              <w:top w:val="none" w:color="000000" w:sz="4" w:space="0"/>
              <w:left w:val="none" w:color="000000" w:sz="4" w:space="0"/>
              <w:bottom w:val="single" w:color="000000" w:sz="4" w:space="0"/>
              <w:right w:val="single" w:color="000000" w:sz="4" w:space="0"/>
            </w:tcBorders>
            <w:tcW w:w="1505" w:type="dxa"/>
            <w:vAlign w:val="center"/>
            <w:textDirection w:val="lrTb"/>
            <w:noWrap w:val="false"/>
          </w:tcPr>
          <w:p>
            <w:pPr>
              <w:pStyle w:val="1134"/>
              <w:jc w:val="center"/>
              <w:spacing w:before="0" w:beforeAutospacing="0" w:after="0" w:afterAutospacing="0"/>
            </w:pPr>
            <w:r>
              <w:rPr>
                <w:rFonts w:hint="eastAsia"/>
                <w:sz w:val="22"/>
              </w:rPr>
              <w:t xml:space="preserve">样品名称                      （按照招标文件样品要求逐一填写）</w:t>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tcPr>
          <w:p>
            <w:pPr>
              <w:pStyle w:val="1134"/>
              <w:jc w:val="center"/>
              <w:spacing w:before="0" w:beforeAutospacing="0" w:after="0" w:afterAutospacing="0"/>
            </w:pPr>
            <w:r>
              <w:rPr>
                <w:rFonts w:hint="eastAsia"/>
                <w:sz w:val="22"/>
              </w:rPr>
              <w:t xml:space="preserve">送样数量</w:t>
            </w:r>
            <w:r/>
          </w:p>
        </w:tc>
        <w:tc>
          <w:tcPr>
            <w:tcBorders>
              <w:top w:val="none" w:color="000000" w:sz="4" w:space="0"/>
              <w:left w:val="none" w:color="000000" w:sz="4" w:space="0"/>
              <w:bottom w:val="single" w:color="000000" w:sz="4" w:space="0"/>
              <w:right w:val="single" w:color="000000" w:sz="4" w:space="0"/>
            </w:tcBorders>
            <w:tcW w:w="1156" w:type="dxa"/>
            <w:vAlign w:val="center"/>
            <w:textDirection w:val="lrTb"/>
            <w:noWrap/>
          </w:tcPr>
          <w:p>
            <w:pPr>
              <w:pStyle w:val="1134"/>
              <w:jc w:val="center"/>
              <w:spacing w:before="0" w:beforeAutospacing="0" w:after="0" w:afterAutospacing="0"/>
            </w:pPr>
            <w:r>
              <w:rPr>
                <w:rFonts w:hint="eastAsia"/>
                <w:sz w:val="22"/>
              </w:rPr>
              <w:t xml:space="preserve">送样人</w:t>
            </w:r>
            <w:r/>
          </w:p>
        </w:tc>
        <w:tc>
          <w:tcPr>
            <w:tcBorders>
              <w:top w:val="none" w:color="000000" w:sz="4" w:space="0"/>
              <w:left w:val="none" w:color="000000" w:sz="4" w:space="0"/>
              <w:bottom w:val="single" w:color="000000" w:sz="4" w:space="0"/>
              <w:right w:val="single" w:color="000000" w:sz="4" w:space="0"/>
            </w:tcBorders>
            <w:tcW w:w="1317" w:type="dxa"/>
            <w:vAlign w:val="center"/>
            <w:textDirection w:val="lrTb"/>
            <w:noWrap/>
          </w:tcPr>
          <w:p>
            <w:pPr>
              <w:pStyle w:val="1134"/>
              <w:jc w:val="center"/>
              <w:spacing w:before="0" w:beforeAutospacing="0" w:after="0" w:afterAutospacing="0"/>
            </w:pPr>
            <w:r>
              <w:rPr>
                <w:rFonts w:hint="eastAsia"/>
                <w:sz w:val="22"/>
              </w:rPr>
              <w:t xml:space="preserve">联系电话</w:t>
            </w:r>
            <w:r/>
          </w:p>
        </w:tc>
        <w:tc>
          <w:tcPr>
            <w:tcBorders>
              <w:top w:val="none" w:color="000000" w:sz="4" w:space="0"/>
              <w:left w:val="none" w:color="000000" w:sz="4" w:space="0"/>
              <w:bottom w:val="single" w:color="000000" w:sz="4" w:space="0"/>
              <w:right w:val="single" w:color="000000" w:sz="4" w:space="0"/>
            </w:tcBorders>
            <w:tcW w:w="1969" w:type="dxa"/>
            <w:vAlign w:val="center"/>
            <w:textDirection w:val="lrTb"/>
            <w:noWrap/>
          </w:tcPr>
          <w:p>
            <w:pPr>
              <w:pStyle w:val="1134"/>
              <w:jc w:val="center"/>
              <w:spacing w:before="0" w:beforeAutospacing="0" w:after="0" w:afterAutospacing="0"/>
            </w:pPr>
            <w:r>
              <w:rPr>
                <w:rFonts w:hint="eastAsia"/>
                <w:sz w:val="22"/>
              </w:rPr>
              <w:t xml:space="preserve">备注</w:t>
            </w:r>
            <w:r/>
          </w:p>
        </w:tc>
      </w:tr>
      <w:tr>
        <w:trPr>
          <w:gridAfter w:val="1"/>
          <w:trHeight w:val="614"/>
        </w:trPr>
        <w:tc>
          <w:tcPr>
            <w:tcBorders>
              <w:top w:val="none" w:color="000000" w:sz="4" w:space="0"/>
              <w:left w:val="single" w:color="000000" w:sz="4" w:space="0"/>
              <w:bottom w:val="single" w:color="000000" w:sz="4" w:space="0"/>
              <w:right w:val="single" w:color="000000" w:sz="4" w:space="0"/>
            </w:tcBorders>
            <w:tcW w:w="578" w:type="dxa"/>
            <w:vAlign w:val="center"/>
            <w:textDirection w:val="lrTb"/>
            <w:noWrap/>
          </w:tcPr>
          <w:p>
            <w:pPr>
              <w:pStyle w:val="1134"/>
              <w:jc w:val="center"/>
              <w:spacing w:before="0" w:beforeAutospacing="0" w:after="0" w:afterAutospacing="0"/>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1505" w:type="dxa"/>
            <w:vAlign w:val="center"/>
            <w:textDirection w:val="lrTb"/>
            <w:noWrap w:val="false"/>
          </w:tcPr>
          <w:p>
            <w:pPr>
              <w:pStyle w:val="1134"/>
              <w:jc w:val="center"/>
              <w:spacing w:before="0" w:beforeAutospacing="0" w:after="0" w:afterAutospacing="0"/>
            </w:pPr>
            <w:r>
              <w:rPr>
                <w:rFonts w:hint="eastAsia"/>
                <w:sz w:val="32"/>
                <w:szCs w:val="32"/>
              </w:rPr>
              <w:t xml:space="preserve"> </w:t>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tcPr>
          <w:p>
            <w:pPr>
              <w:pStyle w:val="1134"/>
              <w:jc w:val="center"/>
              <w:spacing w:before="0" w:beforeAutospacing="0" w:after="0" w:afterAutospacing="0"/>
            </w:pPr>
            <w:r>
              <w:rPr>
                <w:rFonts w:hint="eastAsia"/>
                <w:sz w:val="32"/>
                <w:szCs w:val="32"/>
              </w:rPr>
              <w:t xml:space="preserve"> </w:t>
            </w:r>
            <w:r/>
          </w:p>
        </w:tc>
        <w:tc>
          <w:tcPr>
            <w:tcBorders>
              <w:top w:val="none" w:color="000000" w:sz="4" w:space="0"/>
              <w:left w:val="single" w:color="000000" w:sz="4" w:space="0"/>
              <w:bottom w:val="single" w:color="000000" w:sz="4" w:space="0"/>
              <w:right w:val="single" w:color="000000" w:sz="4" w:space="0"/>
            </w:tcBorders>
            <w:tcW w:w="1156" w:type="dxa"/>
            <w:vAlign w:val="center"/>
            <w:textDirection w:val="lrTb"/>
            <w:noWrap/>
          </w:tcPr>
          <w:p>
            <w:pPr>
              <w:pStyle w:val="1134"/>
              <w:jc w:val="center"/>
              <w:spacing w:before="0" w:beforeAutospacing="0" w:after="0" w:afterAutospacing="0"/>
            </w:pPr>
            <w:r>
              <w:rPr>
                <w:rFonts w:hint="eastAsia"/>
                <w:sz w:val="32"/>
                <w:szCs w:val="32"/>
              </w:rPr>
              <w:t xml:space="preserve"> </w:t>
            </w:r>
            <w:r/>
          </w:p>
        </w:tc>
        <w:tc>
          <w:tcPr>
            <w:tcBorders>
              <w:top w:val="none" w:color="000000" w:sz="4" w:space="0"/>
              <w:left w:val="single" w:color="000000" w:sz="4" w:space="0"/>
              <w:bottom w:val="single" w:color="000000" w:sz="4" w:space="0"/>
              <w:right w:val="single" w:color="000000" w:sz="4" w:space="0"/>
            </w:tcBorders>
            <w:tcW w:w="1317" w:type="dxa"/>
            <w:vAlign w:val="center"/>
            <w:textDirection w:val="lrTb"/>
            <w:noWrap/>
          </w:tcPr>
          <w:p>
            <w:pPr>
              <w:pStyle w:val="1134"/>
              <w:jc w:val="center"/>
              <w:spacing w:before="0" w:beforeAutospacing="0" w:after="0" w:afterAutospacing="0"/>
            </w:pPr>
            <w:r>
              <w:rPr>
                <w:rFonts w:hint="eastAsia"/>
                <w:sz w:val="32"/>
                <w:szCs w:val="32"/>
              </w:rPr>
              <w:t xml:space="preserve"> </w:t>
            </w:r>
            <w:r/>
          </w:p>
        </w:tc>
        <w:tc>
          <w:tcPr>
            <w:tcBorders>
              <w:top w:val="none" w:color="000000" w:sz="4" w:space="0"/>
              <w:left w:val="none" w:color="000000" w:sz="4" w:space="0"/>
              <w:bottom w:val="single" w:color="000000" w:sz="4" w:space="0"/>
              <w:right w:val="single" w:color="000000" w:sz="4" w:space="0"/>
            </w:tcBorders>
            <w:tcW w:w="1969" w:type="dxa"/>
            <w:vAlign w:val="center"/>
            <w:textDirection w:val="lrTb"/>
            <w:noWrap/>
          </w:tcPr>
          <w:p>
            <w:pPr>
              <w:pStyle w:val="1134"/>
              <w:jc w:val="center"/>
              <w:spacing w:before="0" w:beforeAutospacing="0" w:after="0" w:afterAutospacing="0"/>
            </w:pPr>
            <w:r>
              <w:rPr>
                <w:rFonts w:hint="eastAsia"/>
                <w:sz w:val="32"/>
                <w:szCs w:val="32"/>
              </w:rPr>
              <w:t xml:space="preserve"> </w:t>
            </w:r>
            <w:r/>
          </w:p>
        </w:tc>
      </w:tr>
      <w:tr>
        <w:trPr>
          <w:gridAfter w:val="1"/>
          <w:trHeight w:val="614"/>
        </w:trPr>
        <w:tc>
          <w:tcPr>
            <w:gridSpan w:val="6"/>
            <w:tcBorders>
              <w:top w:val="single" w:color="000000" w:sz="4" w:space="0"/>
              <w:left w:val="single" w:color="000000" w:sz="4" w:space="0"/>
              <w:bottom w:val="single" w:color="000000" w:sz="4" w:space="0"/>
              <w:right w:val="single" w:color="000000" w:sz="4" w:space="0"/>
            </w:tcBorders>
            <w:tcW w:w="7479" w:type="dxa"/>
            <w:vAlign w:val="center"/>
            <w:textDirection w:val="lrTb"/>
            <w:noWrap/>
          </w:tcPr>
          <w:p>
            <w:pPr>
              <w:pStyle w:val="1134"/>
              <w:jc w:val="center"/>
              <w:spacing w:before="0" w:beforeAutospacing="0" w:after="0" w:afterAutospacing="0"/>
            </w:pPr>
            <w:r>
              <w:rPr>
                <w:rFonts w:hint="eastAsia"/>
              </w:rPr>
              <w:t xml:space="preserve">送达时间：      年  　月    日    时   分</w:t>
            </w:r>
            <w:r/>
          </w:p>
        </w:tc>
      </w:tr>
      <w:tr>
        <w:trPr>
          <w:gridAfter w:val="1"/>
          <w:trHeight w:val="772"/>
        </w:trPr>
        <w:tc>
          <w:tcPr>
            <w:gridSpan w:val="6"/>
            <w:tcBorders>
              <w:top w:val="single" w:color="000000" w:sz="4" w:space="0"/>
              <w:left w:val="single" w:color="000000" w:sz="4" w:space="0"/>
              <w:bottom w:val="single" w:color="000000" w:sz="4" w:space="0"/>
              <w:right w:val="single" w:color="000000" w:sz="4" w:space="0"/>
            </w:tcBorders>
            <w:tcW w:w="7479" w:type="dxa"/>
            <w:vAlign w:val="center"/>
            <w:textDirection w:val="lrTb"/>
            <w:noWrap/>
          </w:tcPr>
          <w:p>
            <w:pPr>
              <w:pStyle w:val="1134"/>
              <w:jc w:val="center"/>
              <w:spacing w:before="0" w:beforeAutospacing="0" w:after="0" w:afterAutospacing="0"/>
            </w:pPr>
            <w:r>
              <w:rPr>
                <w:rFonts w:hint="eastAsia"/>
              </w:rPr>
              <w:t xml:space="preserve">接收人（签字）：                                                          </w:t>
            </w:r>
            <w:r/>
          </w:p>
          <w:p>
            <w:pPr>
              <w:pStyle w:val="1134"/>
              <w:jc w:val="center"/>
              <w:spacing w:before="0" w:beforeAutospacing="0" w:after="0" w:afterAutospacing="0"/>
            </w:pPr>
            <w:r>
              <w:rPr>
                <w:rFonts w:hint="eastAsia"/>
              </w:rPr>
              <w:t xml:space="preserve">    送样人确认（签字）：</w:t>
            </w:r>
            <w:r/>
          </w:p>
        </w:tc>
      </w:tr>
      <w:tr>
        <w:trPr>
          <w:trHeight w:val="772"/>
        </w:trPr>
        <w:tc>
          <w:tcPr>
            <w:gridSpan w:val="6"/>
            <w:tcBorders>
              <w:top w:val="none" w:color="000000" w:sz="4" w:space="0"/>
              <w:left w:val="none" w:color="000000" w:sz="4" w:space="0"/>
              <w:bottom w:val="none" w:color="000000" w:sz="4" w:space="0"/>
              <w:right w:val="none" w:color="000000" w:sz="4" w:space="0"/>
            </w:tcBorders>
            <w:tcW w:w="7479" w:type="dxa"/>
            <w:vAlign w:val="center"/>
            <w:textDirection w:val="lrTb"/>
            <w:noWrap/>
          </w:tcPr>
          <w:p>
            <w:pPr>
              <w:pStyle w:val="1134"/>
              <w:spacing w:before="0" w:beforeAutospacing="0" w:after="0" w:afterAutospacing="0"/>
            </w:pPr>
            <w:r>
              <w:rPr>
                <w:rStyle w:val="1144"/>
                <w:rFonts w:hint="eastAsia"/>
              </w:rPr>
              <w:t xml:space="preserve">注：此表填写后一式两份</w:t>
            </w:r>
            <w:r/>
          </w:p>
        </w:tc>
        <w:tc>
          <w:tcPr>
            <w:tcBorders>
              <w:top w:val="none" w:color="000000" w:sz="4" w:space="0"/>
              <w:left w:val="none" w:color="000000" w:sz="4" w:space="0"/>
              <w:bottom w:val="none" w:color="000000" w:sz="4" w:space="0"/>
              <w:right w:val="none" w:color="000000" w:sz="4" w:space="0"/>
            </w:tcBorders>
            <w:tcW w:w="1044" w:type="dxa"/>
            <w:vAlign w:val="center"/>
            <w:textDirection w:val="lrTb"/>
            <w:noWrap w:val="false"/>
          </w:tcPr>
          <w:p>
            <w:pPr>
              <w:pStyle w:val="1134"/>
              <w:jc w:val="center"/>
              <w:spacing w:before="0" w:beforeAutospacing="0" w:after="0" w:afterAutospacing="0"/>
            </w:pPr>
            <w:r>
              <w:rPr>
                <w:rFonts w:hint="eastAsia"/>
              </w:rPr>
              <w:t xml:space="preserve"> </w:t>
            </w:r>
            <w:r/>
          </w:p>
        </w:tc>
      </w:tr>
    </w:tbl>
    <w:p>
      <w:pPr>
        <w:pStyle w:val="1072"/>
        <w:rPr>
          <w:bCs/>
        </w:rPr>
      </w:pPr>
      <w:r>
        <w:rPr>
          <w:bCs/>
        </w:rPr>
      </w:r>
      <w:r/>
    </w:p>
    <w:p>
      <w:pPr>
        <w:pStyle w:val="1087"/>
        <w:ind w:firstLine="0"/>
        <w:rPr>
          <w:bCs/>
        </w:rPr>
      </w:pPr>
      <w:r>
        <w:rPr>
          <w:bCs/>
        </w:rPr>
      </w:r>
      <w:r/>
    </w:p>
    <w:p>
      <w:pPr>
        <w:pStyle w:val="1087"/>
        <w:ind w:firstLine="0"/>
        <w:rPr>
          <w:rFonts w:hint="eastAsia"/>
          <w:b/>
        </w:rPr>
      </w:pPr>
      <w:r>
        <w:rPr>
          <w:rFonts w:hint="eastAsia"/>
          <w:b/>
        </w:rPr>
      </w:r>
      <w:r/>
    </w:p>
    <w:p>
      <w:pPr>
        <w:pStyle w:val="1072"/>
      </w:pPr>
      <w:r/>
      <w:r/>
    </w:p>
    <w:p>
      <w:pPr>
        <w:pStyle w:val="1072"/>
        <w:ind w:firstLine="730"/>
        <w:spacing w:line="360" w:lineRule="auto"/>
        <w:rPr>
          <w:rFonts w:ascii="宋体" w:hAnsi="宋体"/>
          <w:b/>
          <w:sz w:val="36"/>
          <w:szCs w:val="36"/>
        </w:rPr>
      </w:pPr>
      <w:r>
        <w:rPr>
          <w:rFonts w:ascii="宋体" w:hAnsi="宋体"/>
          <w:b/>
          <w:sz w:val="36"/>
          <w:szCs w:val="36"/>
        </w:rPr>
        <w:br w:type="page" w:clear="all"/>
        <w:t xml:space="preserve"> </w:t>
      </w:r>
      <w:r/>
    </w:p>
    <w:p>
      <w:pPr>
        <w:pStyle w:val="1072"/>
        <w:jc w:val="center"/>
        <w:spacing w:line="360" w:lineRule="auto"/>
        <w:rPr>
          <w:rFonts w:ascii="宋体" w:hAnsi="宋体"/>
          <w:b/>
          <w:sz w:val="36"/>
          <w:szCs w:val="36"/>
        </w:rPr>
        <w:outlineLvl w:val="0"/>
      </w:pPr>
      <w:r/>
      <w:bookmarkStart w:id="815" w:name="_Toc99301425"/>
      <w:r>
        <w:rPr>
          <w:rFonts w:ascii="宋体" w:hAnsi="宋体"/>
          <w:b/>
          <w:sz w:val="36"/>
          <w:szCs w:val="36"/>
        </w:rPr>
        <w:t xml:space="preserve">第六章   拟签订的合同文本</w:t>
      </w:r>
      <w:bookmarkEnd w:id="815"/>
      <w:r>
        <w:rPr>
          <w:rFonts w:ascii="宋体" w:hAnsi="宋体"/>
          <w:b/>
          <w:sz w:val="36"/>
          <w:szCs w:val="36"/>
        </w:rPr>
      </w:r>
      <w:r/>
    </w:p>
    <w:p>
      <w:pPr>
        <w:pStyle w:val="1112"/>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1112"/>
        <w:spacing w:line="360" w:lineRule="auto"/>
        <w:rPr>
          <w:rFonts w:hAnsi="宋体" w:cs="宋体"/>
          <w:sz w:val="24"/>
          <w:szCs w:val="24"/>
          <w:u w:val="single"/>
        </w:rPr>
      </w:pPr>
      <w:r>
        <w:rPr>
          <w:rFonts w:hAnsi="宋体" w:cs="宋体"/>
          <w:b/>
          <w:sz w:val="24"/>
          <w:szCs w:val="24"/>
        </w:rPr>
        <w:t xml:space="preserve">供应商（</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1087"/>
        <w:ind w:firstLine="5280"/>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rPr>
          <w:rFonts w:hAnsi="宋体" w:cs="宋体"/>
          <w:b/>
        </w:rPr>
      </w:r>
      <w:r/>
    </w:p>
    <w:p>
      <w:pPr>
        <w:pStyle w:val="1112"/>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1112"/>
        <w:numPr>
          <w:ilvl w:val="0"/>
          <w:numId w:val="15"/>
        </w:numPr>
        <w:spacing w:line="360" w:lineRule="auto"/>
        <w:rPr>
          <w:rFonts w:hAnsi="宋体" w:cs="宋体"/>
          <w:b/>
          <w:sz w:val="24"/>
          <w:szCs w:val="24"/>
        </w:rPr>
      </w:pPr>
      <w:r>
        <w:rPr>
          <w:rFonts w:hAnsi="宋体" w:cs="宋体"/>
          <w:b/>
          <w:sz w:val="24"/>
          <w:szCs w:val="24"/>
        </w:rPr>
        <w:t xml:space="preserve">合同标的</w:t>
      </w:r>
      <w:r>
        <w:rPr>
          <w:rFonts w:hAnsi="宋体" w:cs="宋体"/>
          <w:b/>
          <w:sz w:val="24"/>
          <w:szCs w:val="24"/>
        </w:rPr>
      </w:r>
      <w:r/>
    </w:p>
    <w:p>
      <w:pPr>
        <w:pStyle w:val="1112"/>
        <w:ind w:firstLine="480"/>
        <w:spacing w:line="360" w:lineRule="auto"/>
        <w:rPr>
          <w:rFonts w:hAnsi="宋体" w:cs="宋体"/>
          <w:b/>
          <w:sz w:val="24"/>
          <w:szCs w:val="24"/>
        </w:rPr>
      </w:pPr>
      <w:r>
        <w:rPr>
          <w:rFonts w:hAnsi="宋体" w:cs="宋体"/>
          <w:bCs/>
          <w:sz w:val="24"/>
          <w:szCs w:val="24"/>
        </w:rPr>
        <w:t xml:space="preserve">乙方根据甲方需求提供下列产品：         ，产品名称、规格及数量详见乙方投标文件。</w:t>
      </w:r>
      <w:r>
        <w:rPr>
          <w:rFonts w:hAnsi="宋体" w:cs="宋体"/>
          <w:b/>
          <w:sz w:val="24"/>
          <w:szCs w:val="24"/>
        </w:rPr>
      </w:r>
      <w:r/>
    </w:p>
    <w:p>
      <w:pPr>
        <w:pStyle w:val="1112"/>
        <w:ind w:firstLine="482"/>
        <w:spacing w:line="360" w:lineRule="auto"/>
        <w:rPr>
          <w:rFonts w:hAnsi="宋体" w:cs="宋体"/>
          <w:b/>
          <w:bCs/>
          <w:sz w:val="24"/>
        </w:rPr>
      </w:pPr>
      <w:r>
        <w:rPr>
          <w:rFonts w:hAnsi="宋体" w:cs="宋体"/>
          <w:b/>
          <w:sz w:val="24"/>
          <w:szCs w:val="24"/>
        </w:rPr>
        <w:t xml:space="preserve">合同履行期限：</w:t>
      </w:r>
      <w:r>
        <w:rPr>
          <w:rFonts w:hAnsi="宋体" w:cs="宋体"/>
          <w:b/>
          <w:sz w:val="24"/>
        </w:rPr>
        <w:t xml:space="preserve">结算金额达到人民币160万元或一年合同到期，当满足上述两条标准中任意一条，本项目合同自动终止。其中，</w:t>
      </w:r>
      <w:r>
        <w:rPr>
          <w:rFonts w:hAnsi="宋体" w:cs="宋体"/>
          <w:b/>
          <w:bCs/>
          <w:sz w:val="24"/>
        </w:rPr>
        <w:t xml:space="preserve">前三个月为试用期，试用期满，经甲方考核合格后可继续供货配送。</w:t>
      </w:r>
      <w:r>
        <w:rPr>
          <w:rFonts w:hAnsi="宋体" w:cs="宋体"/>
          <w:b/>
          <w:bCs/>
          <w:sz w:val="24"/>
        </w:rPr>
      </w:r>
      <w:r/>
    </w:p>
    <w:p>
      <w:pPr>
        <w:pStyle w:val="1112"/>
        <w:ind w:firstLine="482"/>
        <w:spacing w:line="360" w:lineRule="auto"/>
        <w:rPr>
          <w:rFonts w:hAnsi="宋体" w:cs="宋体"/>
          <w:b/>
          <w:sz w:val="24"/>
          <w:szCs w:val="24"/>
        </w:rPr>
      </w:pPr>
      <w:r>
        <w:rPr>
          <w:rFonts w:hAnsi="宋体" w:cs="宋体"/>
          <w:b/>
          <w:sz w:val="24"/>
          <w:szCs w:val="24"/>
        </w:rPr>
        <w:t xml:space="preserve">第二条 合同价格</w:t>
      </w:r>
      <w:r>
        <w:rPr>
          <w:rFonts w:hAnsi="宋体" w:cs="宋体"/>
          <w:b/>
          <w:sz w:val="24"/>
          <w:szCs w:val="24"/>
        </w:rPr>
      </w:r>
      <w:r/>
    </w:p>
    <w:p>
      <w:pPr>
        <w:pStyle w:val="1112"/>
        <w:ind w:firstLine="487"/>
        <w:jc w:val="left"/>
        <w:spacing w:line="360" w:lineRule="auto"/>
        <w:rPr>
          <w:rFonts w:hAnsi="宋体" w:cs="宋体"/>
          <w:b/>
          <w:sz w:val="24"/>
          <w:szCs w:val="24"/>
        </w:rPr>
      </w:pPr>
      <w:r>
        <w:rPr>
          <w:rFonts w:hAnsi="宋体" w:cs="宋体"/>
          <w:b/>
          <w:sz w:val="24"/>
          <w:szCs w:val="24"/>
        </w:rPr>
        <w:t xml:space="preserve">签约合同单价（人民币）：梗米（一级）</w:t>
      </w:r>
      <w:r>
        <w:rPr>
          <w:rFonts w:hAnsi="宋体" w:cs="宋体"/>
          <w:b/>
          <w:sz w:val="24"/>
          <w:szCs w:val="24"/>
          <w:u w:val="single"/>
        </w:rPr>
        <w:t xml:space="preserve">          </w:t>
      </w:r>
      <w:r>
        <w:rPr>
          <w:rFonts w:hAnsi="宋体" w:cs="宋体"/>
          <w:b/>
          <w:sz w:val="24"/>
          <w:szCs w:val="24"/>
        </w:rPr>
        <w:t xml:space="preserve">元/斤（小写：     ）。</w:t>
      </w:r>
      <w:r>
        <w:rPr>
          <w:rFonts w:hAnsi="宋体" w:cs="宋体"/>
          <w:b/>
          <w:sz w:val="24"/>
          <w:szCs w:val="24"/>
        </w:rPr>
      </w:r>
      <w:r/>
    </w:p>
    <w:p>
      <w:pPr>
        <w:pStyle w:val="1072"/>
        <w:ind w:firstLine="480"/>
        <w:spacing w:line="360" w:lineRule="auto"/>
        <w:tabs>
          <w:tab w:val="left" w:pos="284" w:leader="none"/>
        </w:tabs>
        <w:rPr>
          <w:rFonts w:ascii="宋体" w:hAnsi="宋体" w:cs="宋体"/>
          <w:sz w:val="24"/>
        </w:rPr>
      </w:pPr>
      <w:r>
        <w:rPr>
          <w:rFonts w:hint="eastAsia" w:ascii="宋体" w:hAnsi="宋体" w:cs="宋体"/>
          <w:sz w:val="24"/>
        </w:rPr>
        <w:t xml:space="preserve">本合同总价款包括招标文件所确定的招标范围相应货物和服务的供货、包装、运输、保险、辅助设备、管理、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sz w:val="24"/>
        </w:rPr>
      </w:r>
      <w:r/>
    </w:p>
    <w:p>
      <w:pPr>
        <w:pStyle w:val="1112"/>
        <w:ind w:firstLine="482"/>
        <w:spacing w:line="360" w:lineRule="auto"/>
        <w:rPr>
          <w:rFonts w:hAnsi="宋体" w:cs="宋体"/>
          <w:b/>
          <w:sz w:val="24"/>
          <w:szCs w:val="24"/>
        </w:rPr>
      </w:pPr>
      <w:r>
        <w:rPr>
          <w:rFonts w:hAnsi="宋体" w:cs="宋体"/>
          <w:b/>
          <w:sz w:val="24"/>
          <w:szCs w:val="24"/>
        </w:rPr>
        <w:t xml:space="preserve">第三条 组成本合同的有关文件</w:t>
      </w:r>
      <w:r/>
    </w:p>
    <w:p>
      <w:pPr>
        <w:pStyle w:val="1112"/>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1112"/>
        <w:ind w:firstLine="480"/>
        <w:spacing w:line="360" w:lineRule="auto"/>
        <w:rPr>
          <w:rFonts w:hAnsi="宋体" w:cs="宋体"/>
          <w:sz w:val="24"/>
          <w:szCs w:val="24"/>
        </w:rPr>
      </w:pPr>
      <w:r>
        <w:rPr>
          <w:rFonts w:hAnsi="宋体" w:cs="宋体"/>
          <w:sz w:val="24"/>
          <w:szCs w:val="24"/>
        </w:rPr>
        <w:t xml:space="preserve">（1）招标采购文件（编号：   ）           （2）乙方提供的投标文件； </w:t>
      </w:r>
      <w:r/>
    </w:p>
    <w:p>
      <w:pPr>
        <w:pStyle w:val="1112"/>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pStyle w:val="1072"/>
        <w:ind w:firstLine="482"/>
        <w:spacing w:line="360" w:lineRule="auto"/>
        <w:rPr>
          <w:rFonts w:ascii="宋体" w:hAnsi="宋体" w:cs="宋体"/>
          <w:b/>
          <w:sz w:val="24"/>
        </w:rPr>
      </w:pPr>
      <w:r>
        <w:rPr>
          <w:rFonts w:hint="eastAsia" w:ascii="宋体" w:hAnsi="宋体" w:cs="宋体"/>
          <w:b/>
          <w:sz w:val="24"/>
        </w:rPr>
        <w:t xml:space="preserve">第四条 权利保证</w:t>
      </w:r>
      <w:r>
        <w:rPr>
          <w:rFonts w:ascii="宋体" w:hAnsi="宋体" w:cs="宋体"/>
          <w:b/>
          <w:sz w:val="24"/>
        </w:rPr>
      </w:r>
      <w:r/>
    </w:p>
    <w:p>
      <w:pPr>
        <w:pStyle w:val="1072"/>
        <w:ind w:firstLine="482"/>
        <w:spacing w:line="360" w:lineRule="auto"/>
        <w:rPr>
          <w:rFonts w:ascii="宋体" w:hAnsi="宋体" w:cs="宋体"/>
          <w:sz w:val="24"/>
        </w:rPr>
      </w:pPr>
      <w:r>
        <w:rPr>
          <w:rFonts w:hint="eastAsia" w:ascii="宋体" w:hAnsi="宋体" w:cs="宋体"/>
          <w:sz w:val="24"/>
        </w:rPr>
        <w:t xml:space="preserve">乙方应保证甲方在使用该货物或其任何一部分时不受第三方提出侵犯其专利权</w:t>
      </w:r>
      <w:r>
        <w:rPr>
          <w:rFonts w:hint="eastAsia" w:ascii="宋体" w:hAnsi="宋体" w:cs="宋体"/>
          <w:sz w:val="24"/>
          <w:shd w:val="clear" w:color="auto" w:fill="ffffff"/>
        </w:rPr>
        <w:t xml:space="preserve">、著作权、商标权等知识产权的起诉。</w:t>
      </w:r>
      <w:r>
        <w:rPr>
          <w:rFonts w:hint="eastAsia" w:ascii="宋体" w:hAnsi="宋体" w:cs="宋体"/>
          <w:sz w:val="24"/>
        </w:rPr>
        <w:t xml:space="preserve">一旦出现侵权、索赔或诉讼，乙方应承担全部责任，同时甲方有权解除本合同。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第五条 质量保证</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sz w:val="24"/>
        </w:rPr>
      </w:r>
      <w:r/>
    </w:p>
    <w:p>
      <w:pPr>
        <w:pStyle w:val="1072"/>
        <w:ind w:firstLine="420"/>
        <w:jc w:val="left"/>
        <w:spacing w:line="360" w:lineRule="auto"/>
        <w:rPr>
          <w:rFonts w:ascii="宋体" w:hAnsi="宋体"/>
          <w:sz w:val="24"/>
        </w:rPr>
      </w:pPr>
      <w:r>
        <w:rPr>
          <w:rFonts w:hint="eastAsia" w:ascii="宋体" w:hAnsi="宋体"/>
          <w:sz w:val="24"/>
        </w:rPr>
        <w:t xml:space="preserve">2.依据产品质量监督检验所提供的质量标准，乙方提供的产品必须是经过质量监督管理部门检验并取得合格证明的产品，</w:t>
      </w:r>
      <w:r>
        <w:rPr>
          <w:rFonts w:hint="eastAsia" w:ascii="宋体" w:hAnsi="宋体"/>
          <w:b/>
          <w:sz w:val="24"/>
        </w:rPr>
        <w:t xml:space="preserve">每批次产品交货时必须提供产品质量合格证明或具有相应资质的第三方产品质量检测机构出具的符合采购需求的产品质量检测合格报告（有CMA标记）复印件（原件备查）</w:t>
      </w:r>
      <w:r>
        <w:rPr>
          <w:rFonts w:hint="eastAsia" w:ascii="宋体" w:hAnsi="宋体"/>
          <w:sz w:val="24"/>
        </w:rPr>
        <w:t xml:space="preserve">，否则不予验收。</w:t>
      </w:r>
      <w:r>
        <w:rPr>
          <w:rFonts w:ascii="宋体" w:hAnsi="宋体"/>
          <w:sz w:val="24"/>
        </w:rPr>
      </w:r>
      <w:r/>
    </w:p>
    <w:p>
      <w:pPr>
        <w:pStyle w:val="1072"/>
        <w:ind w:firstLine="420"/>
        <w:jc w:val="left"/>
        <w:spacing w:line="360" w:lineRule="auto"/>
        <w:rPr>
          <w:rFonts w:ascii="宋体" w:hAnsi="宋体" w:cs="宋体"/>
          <w:sz w:val="24"/>
        </w:rPr>
      </w:pPr>
      <w:r>
        <w:rPr>
          <w:rFonts w:hint="eastAsia" w:ascii="宋体" w:hAnsi="宋体"/>
          <w:sz w:val="24"/>
        </w:rPr>
        <w:t xml:space="preserve">3.配送时</w:t>
      </w:r>
      <w:r>
        <w:rPr>
          <w:rFonts w:hint="eastAsia" w:ascii="宋体" w:hAnsi="宋体" w:cs="宋体"/>
          <w:sz w:val="24"/>
        </w:rPr>
        <w:t xml:space="preserve">必须提供当批次产品的</w:t>
      </w:r>
      <w:r>
        <w:rPr>
          <w:rFonts w:hint="eastAsia" w:ascii="宋体" w:hAnsi="宋体" w:cs="宋体"/>
          <w:b/>
          <w:sz w:val="24"/>
        </w:rPr>
        <w:t xml:space="preserve">供货证明原件</w:t>
      </w:r>
      <w:r>
        <w:rPr>
          <w:rFonts w:hint="eastAsia" w:ascii="宋体" w:hAnsi="宋体" w:cs="宋体"/>
          <w:sz w:val="24"/>
        </w:rPr>
        <w:t xml:space="preserve">，否则不予验收。</w:t>
      </w:r>
      <w:r>
        <w:rPr>
          <w:rFonts w:ascii="宋体" w:hAnsi="宋体" w:cs="宋体"/>
          <w:sz w:val="24"/>
        </w:rPr>
      </w:r>
      <w:r/>
    </w:p>
    <w:p>
      <w:pPr>
        <w:pStyle w:val="1072"/>
        <w:ind w:firstLine="420"/>
        <w:jc w:val="left"/>
        <w:spacing w:line="360" w:lineRule="auto"/>
        <w:rPr>
          <w:rFonts w:hAnsi="宋体" w:cs="宋体"/>
          <w:sz w:val="24"/>
        </w:rPr>
      </w:pPr>
      <w:r>
        <w:rPr>
          <w:rFonts w:hAnsi="宋体" w:cs="宋体"/>
          <w:sz w:val="24"/>
        </w:rPr>
        <w:t xml:space="preserve">4.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1072"/>
        <w:ind w:firstLine="482"/>
        <w:spacing w:line="360" w:lineRule="auto"/>
        <w:rPr>
          <w:rFonts w:ascii="宋体" w:hAnsi="宋体" w:cs="宋体"/>
          <w:b/>
          <w:sz w:val="24"/>
        </w:rPr>
      </w:pPr>
      <w:r>
        <w:rPr>
          <w:rFonts w:hint="eastAsia" w:ascii="宋体" w:hAnsi="宋体" w:cs="宋体"/>
          <w:b/>
          <w:sz w:val="24"/>
        </w:rPr>
        <w:t xml:space="preserve">第六条 包装要求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2.每一包装单元内应附详细的装箱单和质量合格凭证。</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3.乙方保证货物不存在危及人身及财产安全的产品缺陷，否则应承担全部法律责任。</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第七条 交货和验收</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送货时间要求：每月配送，甲方应提前（在具体合同中约定）向乙方以传真或电子文件等方式提交购货计划，并说明购货品种、数量及其他需要说明的事项。所配送的大米生产日期必须在6个月内。乙方在接到购货订单通知后，应按甲方订购单的要求送货，准时送达，运送到地点后负责堆放完毕。</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3.货物的到货验收包括：生产厂家名称、品牌、型号、规格、数量、外观质量、配置及货物包装是否完好。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5.货物和系统调试验收的标准：按行业通行标准、厂方出厂标准和乙方投标文件的承诺（详见合同附件载明的标准，并不低于国家相关标准）。甲乙双方应在货物安装调试完毕后的</w:t>
      </w:r>
      <w:r>
        <w:rPr>
          <w:rFonts w:hint="eastAsia" w:ascii="宋体" w:hAnsi="宋体" w:cs="宋体"/>
          <w:sz w:val="24"/>
          <w:u w:val="single"/>
        </w:rPr>
        <w:t xml:space="preserve">        </w:t>
      </w:r>
      <w:r>
        <w:rPr>
          <w:rFonts w:hint="eastAsia" w:ascii="宋体" w:hAnsi="宋体" w:cs="宋体"/>
          <w:sz w:val="24"/>
        </w:rPr>
        <w:t xml:space="preserve">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a.重新调试直至合格为止；</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b.要求乙方对货物进行免费更换，然后重新调试直至合格为止。</w:t>
      </w:r>
      <w:r>
        <w:rPr>
          <w:rFonts w:ascii="宋体" w:hAnsi="宋体" w:cs="宋体"/>
          <w:sz w:val="24"/>
        </w:rPr>
      </w:r>
      <w:r/>
    </w:p>
    <w:p>
      <w:pPr>
        <w:pStyle w:val="1112"/>
        <w:ind w:firstLine="480"/>
        <w:spacing w:line="360" w:lineRule="auto"/>
        <w:rPr>
          <w:rFonts w:hAnsi="宋体" w:cs="宋体"/>
          <w:b/>
          <w:sz w:val="24"/>
          <w:szCs w:val="24"/>
        </w:rPr>
      </w:pPr>
      <w:r>
        <w:rPr>
          <w:rFonts w:hAnsi="宋体" w:cs="宋体"/>
          <w:sz w:val="24"/>
          <w:szCs w:val="24"/>
        </w:rPr>
        <w:t xml:space="preserve">甲方因乙方原因所产生的所有费用均由乙方负担。</w:t>
      </w:r>
      <w:r>
        <w:rPr>
          <w:rFonts w:hAnsi="宋体" w:cs="宋体"/>
          <w:b/>
          <w:sz w:val="24"/>
          <w:szCs w:val="24"/>
        </w:rPr>
      </w:r>
      <w:r/>
    </w:p>
    <w:p>
      <w:pPr>
        <w:pStyle w:val="1072"/>
        <w:ind w:firstLine="482"/>
        <w:spacing w:line="360" w:lineRule="auto"/>
        <w:rPr>
          <w:rFonts w:ascii="宋体" w:hAnsi="宋体" w:cs="宋体"/>
          <w:b/>
          <w:sz w:val="24"/>
        </w:rPr>
      </w:pPr>
      <w:r>
        <w:rPr>
          <w:rFonts w:hint="eastAsia" w:ascii="宋体" w:hAnsi="宋体" w:cs="宋体"/>
          <w:b/>
          <w:sz w:val="24"/>
        </w:rPr>
        <w:t xml:space="preserve">第八条 合同款结算及支付</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1072"/>
        <w:ind w:firstLine="485"/>
        <w:spacing w:line="360" w:lineRule="auto"/>
        <w:rPr>
          <w:rFonts w:ascii="宋体" w:hAnsi="宋体" w:cs="宋体"/>
          <w:sz w:val="24"/>
        </w:rPr>
      </w:pPr>
      <w:r>
        <w:rPr>
          <w:rFonts w:hint="eastAsia" w:ascii="宋体" w:hAnsi="宋体" w:cs="宋体"/>
          <w:sz w:val="24"/>
        </w:rPr>
        <w:t xml:space="preserve">3.结算原则：按实结算，乙方和甲方每月核对，确认当月供货的数量及金额</w:t>
      </w:r>
      <w:r>
        <w:rPr>
          <w:rFonts w:ascii="宋体" w:hAnsi="宋体" w:cs="宋体"/>
          <w:sz w:val="24"/>
        </w:rPr>
      </w:r>
      <w:r/>
    </w:p>
    <w:p>
      <w:pPr>
        <w:pStyle w:val="1072"/>
        <w:ind w:right="210" w:firstLine="480"/>
        <w:jc w:val="left"/>
        <w:spacing w:line="360" w:lineRule="auto"/>
        <w:rPr>
          <w:rFonts w:hint="eastAsia"/>
        </w:rPr>
      </w:pPr>
      <w:r>
        <w:rPr>
          <w:rFonts w:hint="eastAsia" w:ascii="宋体" w:hAnsi="宋体" w:cs="宋体"/>
          <w:sz w:val="24"/>
        </w:rPr>
        <w:t xml:space="preserve">4.付款方式：乙方和甲方每月核对，确认当月供货的数量及金额。乙方开具等额的增值税普通发票给甲方，甲方每三个月结账一次（无息）。</w:t>
      </w:r>
      <w:r>
        <w:rPr>
          <w:rFonts w:hint="eastAsia"/>
        </w:rPr>
      </w:r>
      <w:r/>
    </w:p>
    <w:p>
      <w:pPr>
        <w:pStyle w:val="1072"/>
        <w:ind w:firstLine="482"/>
        <w:spacing w:line="360" w:lineRule="auto"/>
        <w:rPr>
          <w:rFonts w:ascii="宋体" w:hAnsi="宋体" w:cs="宋体"/>
          <w:b/>
          <w:sz w:val="24"/>
        </w:rPr>
      </w:pPr>
      <w:r>
        <w:rPr>
          <w:rFonts w:hint="eastAsia" w:ascii="宋体" w:hAnsi="宋体" w:cs="宋体"/>
          <w:b/>
          <w:sz w:val="24"/>
        </w:rPr>
        <w:t xml:space="preserve">第九条 伴随服务／售后服务</w:t>
      </w:r>
      <w:r>
        <w:rPr>
          <w:rFonts w:ascii="宋体" w:hAnsi="宋体" w:cs="宋体"/>
          <w:b/>
          <w:sz w:val="24"/>
        </w:rPr>
      </w:r>
      <w:r/>
    </w:p>
    <w:p>
      <w:pPr>
        <w:pStyle w:val="1072"/>
        <w:ind w:firstLine="420"/>
        <w:jc w:val="left"/>
        <w:spacing w:line="360" w:lineRule="auto"/>
        <w:rPr>
          <w:rFonts w:ascii="宋体" w:hAnsi="宋体"/>
          <w:b/>
          <w:sz w:val="24"/>
        </w:rPr>
      </w:pPr>
      <w:r>
        <w:rPr>
          <w:rFonts w:hint="eastAsia" w:ascii="宋体" w:hAnsi="宋体" w:cs="Arial"/>
          <w:b/>
          <w:sz w:val="24"/>
        </w:rPr>
        <w:t xml:space="preserve">1.产品</w:t>
      </w:r>
      <w:r>
        <w:rPr>
          <w:rFonts w:ascii="宋体" w:hAnsi="宋体" w:cs="Arial"/>
          <w:b/>
          <w:sz w:val="24"/>
        </w:rPr>
        <w:t xml:space="preserve">交付之后，</w:t>
      </w:r>
      <w:r>
        <w:rPr>
          <w:rFonts w:hint="eastAsia" w:ascii="宋体" w:hAnsi="宋体" w:cs="Arial"/>
          <w:b/>
          <w:sz w:val="24"/>
        </w:rPr>
        <w:t xml:space="preserve">甲方有权随机抽检，次数每年不少于两次，由</w:t>
      </w:r>
      <w:r>
        <w:rPr>
          <w:rFonts w:hint="eastAsia" w:ascii="宋体" w:hAnsi="宋体"/>
          <w:b/>
          <w:sz w:val="24"/>
        </w:rPr>
        <w:t xml:space="preserve">国家认可的质量检测机构对</w:t>
      </w:r>
      <w:r>
        <w:rPr>
          <w:rFonts w:hint="eastAsia" w:ascii="宋体" w:hAnsi="宋体" w:cs="Arial"/>
          <w:b/>
          <w:sz w:val="24"/>
        </w:rPr>
        <w:t xml:space="preserve">产品</w:t>
      </w:r>
      <w:r>
        <w:rPr>
          <w:rFonts w:hint="eastAsia" w:ascii="宋体" w:hAnsi="宋体"/>
          <w:b/>
          <w:sz w:val="24"/>
        </w:rPr>
        <w:t xml:space="preserve">质量进行检测。</w:t>
      </w:r>
      <w:r>
        <w:rPr>
          <w:rFonts w:hint="eastAsia" w:ascii="宋体" w:hAnsi="宋体" w:cs="Arial"/>
          <w:b/>
          <w:sz w:val="24"/>
        </w:rPr>
        <w:t xml:space="preserve">抽检合格的</w:t>
      </w:r>
      <w:r>
        <w:rPr>
          <w:rFonts w:hint="eastAsia" w:ascii="宋体" w:hAnsi="宋体"/>
          <w:b/>
          <w:sz w:val="24"/>
        </w:rPr>
        <w:t xml:space="preserve">，</w:t>
      </w:r>
      <w:r>
        <w:rPr>
          <w:rFonts w:hint="eastAsia" w:ascii="宋体" w:hAnsi="宋体" w:cs="Arial"/>
          <w:b/>
          <w:sz w:val="24"/>
        </w:rPr>
        <w:t xml:space="preserve">乙方</w:t>
      </w:r>
      <w:r>
        <w:rPr>
          <w:rFonts w:hint="eastAsia" w:ascii="宋体" w:hAnsi="宋体" w:cs="宋体"/>
          <w:b/>
          <w:sz w:val="24"/>
        </w:rPr>
        <w:t xml:space="preserve">承担两次抽检合格的检测费用，超过两次</w:t>
      </w:r>
      <w:r>
        <w:rPr>
          <w:rFonts w:hint="eastAsia" w:ascii="宋体" w:hAnsi="宋体"/>
          <w:b/>
          <w:sz w:val="24"/>
        </w:rPr>
        <w:t xml:space="preserve">抽检检测费由甲方承担。</w:t>
      </w:r>
      <w:r>
        <w:rPr>
          <w:rFonts w:hint="eastAsia" w:ascii="宋体" w:hAnsi="宋体" w:cs="Arial"/>
          <w:b/>
          <w:sz w:val="24"/>
        </w:rPr>
        <w:t xml:space="preserve">抽检不合格</w:t>
      </w:r>
      <w:r>
        <w:rPr>
          <w:rFonts w:hint="eastAsia" w:ascii="宋体" w:hAnsi="宋体"/>
          <w:b/>
          <w:sz w:val="24"/>
        </w:rPr>
        <w:t xml:space="preserve">的</w:t>
      </w:r>
      <w:r>
        <w:rPr>
          <w:rFonts w:hint="eastAsia" w:ascii="宋体" w:hAnsi="宋体" w:cs="宋体"/>
          <w:b/>
          <w:sz w:val="24"/>
        </w:rPr>
        <w:t xml:space="preserve">，该批次货物退回，所产生的费用由</w:t>
      </w:r>
      <w:r>
        <w:rPr>
          <w:rFonts w:hint="eastAsia" w:ascii="宋体" w:hAnsi="宋体" w:cs="Arial"/>
          <w:b/>
          <w:sz w:val="24"/>
        </w:rPr>
        <w:t xml:space="preserve">乙方</w:t>
      </w:r>
      <w:r>
        <w:rPr>
          <w:rFonts w:hint="eastAsia" w:ascii="宋体" w:hAnsi="宋体" w:cs="宋体"/>
          <w:b/>
          <w:sz w:val="24"/>
        </w:rPr>
        <w:t xml:space="preserve">承担（该次不计入抽检合格的次数）；</w:t>
      </w:r>
      <w:r>
        <w:rPr>
          <w:rFonts w:hint="eastAsia" w:ascii="宋体" w:hAnsi="宋体"/>
          <w:b/>
          <w:sz w:val="24"/>
        </w:rPr>
        <w:t xml:space="preserve">若两次及以上抽检不合格的，甲方有权解除合同，追究乙方相关责任</w:t>
      </w:r>
      <w:r>
        <w:rPr>
          <w:rFonts w:hint="eastAsia" w:ascii="宋体" w:hAnsi="宋体" w:cs="Arial"/>
          <w:b/>
          <w:sz w:val="24"/>
        </w:rPr>
        <w:t xml:space="preserve">并有权请求国家有关部门按有关规定进行处罚。</w:t>
      </w:r>
      <w:r>
        <w:rPr>
          <w:rFonts w:ascii="宋体" w:hAnsi="宋体"/>
          <w:b/>
          <w:sz w:val="24"/>
        </w:rPr>
      </w:r>
      <w:r/>
    </w:p>
    <w:p>
      <w:pPr>
        <w:pStyle w:val="1072"/>
        <w:ind w:firstLine="420"/>
        <w:jc w:val="left"/>
        <w:spacing w:line="360" w:lineRule="auto"/>
        <w:rPr>
          <w:rFonts w:ascii="宋体" w:hAnsi="宋体"/>
          <w:sz w:val="24"/>
        </w:rPr>
      </w:pPr>
      <w:r>
        <w:rPr>
          <w:rFonts w:hint="eastAsia" w:ascii="宋体" w:hAnsi="宋体"/>
          <w:sz w:val="24"/>
        </w:rPr>
        <w:t xml:space="preserve">2.乙方应严格遵守《食品安全法》等相关规定，所提供的产品是合格安全的产品，如发现供应以下食品，退回当次全部产品，并终止合同。</w:t>
      </w:r>
      <w:r>
        <w:rPr>
          <w:rFonts w:ascii="宋体" w:hAnsi="宋体"/>
          <w:sz w:val="24"/>
        </w:rPr>
      </w:r>
      <w:r/>
    </w:p>
    <w:p>
      <w:pPr>
        <w:pStyle w:val="1072"/>
        <w:ind w:firstLine="420"/>
        <w:jc w:val="left"/>
        <w:spacing w:line="360" w:lineRule="auto"/>
        <w:rPr>
          <w:rFonts w:ascii="宋体" w:hAnsi="宋体"/>
          <w:sz w:val="24"/>
        </w:rPr>
      </w:pPr>
      <w:r>
        <w:rPr>
          <w:rFonts w:hint="eastAsia" w:ascii="宋体" w:hAnsi="宋体"/>
          <w:sz w:val="24"/>
        </w:rPr>
        <w:t xml:space="preserve">①腐败变质、油脂酸败、霉变、生虫、污秽不洁、混有异物或者其他感官性状异常，对人体健康有害的。</w:t>
      </w:r>
      <w:r>
        <w:rPr>
          <w:rFonts w:ascii="宋体" w:hAnsi="宋体"/>
          <w:sz w:val="24"/>
        </w:rPr>
      </w:r>
      <w:r/>
    </w:p>
    <w:p>
      <w:pPr>
        <w:pStyle w:val="1072"/>
        <w:ind w:firstLine="420"/>
        <w:jc w:val="left"/>
        <w:spacing w:line="360" w:lineRule="auto"/>
        <w:rPr>
          <w:rFonts w:ascii="宋体" w:hAnsi="宋体"/>
          <w:sz w:val="24"/>
        </w:rPr>
      </w:pPr>
      <w:r>
        <w:rPr>
          <w:rFonts w:hint="eastAsia" w:ascii="宋体" w:hAnsi="宋体"/>
          <w:sz w:val="24"/>
        </w:rPr>
        <w:t xml:space="preserve">②含有毒、有害物质或者被有害物质污染，对人体健康有害的。</w:t>
      </w:r>
      <w:r>
        <w:rPr>
          <w:rFonts w:ascii="宋体" w:hAnsi="宋体"/>
          <w:sz w:val="24"/>
        </w:rPr>
      </w:r>
      <w:r/>
    </w:p>
    <w:p>
      <w:pPr>
        <w:pStyle w:val="1072"/>
        <w:ind w:firstLine="420"/>
        <w:jc w:val="left"/>
        <w:spacing w:line="360" w:lineRule="auto"/>
        <w:rPr>
          <w:rFonts w:ascii="宋体" w:hAnsi="宋体"/>
          <w:sz w:val="24"/>
        </w:rPr>
      </w:pPr>
      <w:r>
        <w:rPr>
          <w:rFonts w:hint="eastAsia" w:ascii="宋体" w:hAnsi="宋体"/>
          <w:sz w:val="24"/>
        </w:rPr>
        <w:t xml:space="preserve">③含有致病性寄生虫、微生物或者微生物含量超过国家限定标准的。</w:t>
      </w:r>
      <w:r>
        <w:rPr>
          <w:rFonts w:ascii="宋体" w:hAnsi="宋体"/>
          <w:sz w:val="24"/>
        </w:rPr>
      </w:r>
      <w:r/>
    </w:p>
    <w:p>
      <w:pPr>
        <w:pStyle w:val="1072"/>
        <w:ind w:firstLine="420"/>
        <w:jc w:val="left"/>
        <w:spacing w:line="360" w:lineRule="auto"/>
        <w:rPr>
          <w:rFonts w:ascii="宋体" w:hAnsi="宋体"/>
          <w:sz w:val="24"/>
        </w:rPr>
      </w:pPr>
      <w:r>
        <w:rPr>
          <w:rFonts w:hint="eastAsia" w:ascii="宋体" w:hAnsi="宋体"/>
          <w:sz w:val="24"/>
        </w:rPr>
        <w:t xml:space="preserve">④掺假、掺杂、伪造，影响营养、卫生的。</w:t>
      </w:r>
      <w:r>
        <w:rPr>
          <w:rFonts w:ascii="宋体" w:hAnsi="宋体"/>
          <w:sz w:val="24"/>
        </w:rPr>
      </w:r>
      <w:r/>
    </w:p>
    <w:p>
      <w:pPr>
        <w:pStyle w:val="1072"/>
        <w:ind w:firstLine="420"/>
        <w:jc w:val="left"/>
        <w:spacing w:line="360" w:lineRule="auto"/>
        <w:rPr>
          <w:rFonts w:ascii="宋体" w:hAnsi="宋体"/>
          <w:sz w:val="24"/>
        </w:rPr>
      </w:pPr>
      <w:r>
        <w:rPr>
          <w:rFonts w:hint="eastAsia" w:ascii="宋体" w:hAnsi="宋体"/>
          <w:sz w:val="24"/>
        </w:rPr>
        <w:t xml:space="preserve">⑤用非食品原料加工的，加入非食品用化学物质或者将非食品当作食品的。</w:t>
      </w:r>
      <w:r>
        <w:rPr>
          <w:rFonts w:ascii="宋体" w:hAnsi="宋体"/>
          <w:sz w:val="24"/>
        </w:rPr>
      </w:r>
      <w:r/>
    </w:p>
    <w:p>
      <w:pPr>
        <w:pStyle w:val="1072"/>
        <w:ind w:firstLine="420"/>
        <w:jc w:val="left"/>
        <w:spacing w:line="360" w:lineRule="auto"/>
        <w:rPr>
          <w:rFonts w:ascii="宋体" w:hAnsi="宋体"/>
          <w:sz w:val="24"/>
        </w:rPr>
      </w:pPr>
      <w:r>
        <w:rPr>
          <w:rFonts w:hint="eastAsia" w:ascii="宋体" w:hAnsi="宋体"/>
          <w:sz w:val="24"/>
        </w:rPr>
        <w:t xml:space="preserve">⑥超过保质期限的。</w:t>
      </w:r>
      <w:r>
        <w:rPr>
          <w:rFonts w:ascii="宋体" w:hAnsi="宋体"/>
          <w:sz w:val="24"/>
        </w:rPr>
      </w:r>
      <w:r/>
    </w:p>
    <w:p>
      <w:pPr>
        <w:pStyle w:val="1072"/>
        <w:ind w:firstLine="420"/>
        <w:jc w:val="left"/>
        <w:spacing w:line="360" w:lineRule="auto"/>
        <w:rPr>
          <w:rFonts w:ascii="宋体" w:hAnsi="宋体"/>
          <w:sz w:val="24"/>
        </w:rPr>
      </w:pPr>
      <w:r>
        <w:rPr>
          <w:rFonts w:hint="eastAsia" w:ascii="宋体" w:hAnsi="宋体"/>
          <w:sz w:val="24"/>
        </w:rPr>
        <w:t xml:space="preserve">其他不符合技术参数要求的情形的。</w:t>
      </w:r>
      <w:r>
        <w:rPr>
          <w:rFonts w:ascii="宋体" w:hAnsi="宋体"/>
          <w:sz w:val="24"/>
        </w:rPr>
      </w:r>
      <w:r/>
    </w:p>
    <w:p>
      <w:pPr>
        <w:pStyle w:val="1072"/>
        <w:ind w:firstLine="420"/>
        <w:jc w:val="left"/>
        <w:spacing w:line="360" w:lineRule="auto"/>
        <w:rPr>
          <w:rFonts w:ascii="宋体" w:hAnsi="宋体"/>
          <w:sz w:val="24"/>
        </w:rPr>
      </w:pPr>
      <w:r>
        <w:rPr>
          <w:rFonts w:hint="eastAsia" w:ascii="宋体" w:hAnsi="宋体"/>
          <w:sz w:val="24"/>
        </w:rPr>
        <w:t xml:space="preserve">3.因供应的产品质量原因发生食物中毒的，扣除该批次全部货款，同时立刻终止合同。乙方必须负责赔偿因供应的产品质量原因发生食物中毒的人员的经济损失，包含但不限于医疗费、</w:t>
      </w:r>
      <w:r>
        <w:rPr>
          <w:rFonts w:ascii="宋体" w:hAnsi="宋体"/>
          <w:sz w:val="24"/>
        </w:rPr>
        <w:t xml:space="preserve">营养费</w:t>
      </w:r>
      <w:r>
        <w:rPr>
          <w:rFonts w:hint="eastAsia" w:ascii="宋体" w:hAnsi="宋体"/>
          <w:sz w:val="24"/>
        </w:rPr>
        <w:t xml:space="preserve">、精神损失费、误工费、陪户费等。</w:t>
      </w:r>
      <w:r>
        <w:rPr>
          <w:rFonts w:ascii="宋体" w:hAnsi="宋体"/>
          <w:sz w:val="24"/>
        </w:rPr>
      </w:r>
      <w:r/>
    </w:p>
    <w:p>
      <w:pPr>
        <w:pStyle w:val="1100"/>
        <w:ind w:firstLine="480"/>
        <w:jc w:val="both"/>
        <w:spacing w:line="360" w:lineRule="auto"/>
        <w:rPr>
          <w:rFonts w:ascii="宋体" w:hAnsi="宋体"/>
          <w:sz w:val="24"/>
        </w:rPr>
      </w:pPr>
      <w:r>
        <w:rPr>
          <w:rFonts w:hint="eastAsia" w:ascii="宋体" w:hAnsi="宋体"/>
          <w:sz w:val="24"/>
        </w:rPr>
        <w:t xml:space="preserve">4.服从甲方的监督、协调、指导与管理。凡是《食品安全法》禁止经营的食品一律不得采购和使用，严禁配送“三无”食品、有毒、有害、过期、变质、假冒伪劣等不合格食品。乙方应负责货物的供应、包装、运输、交货以及售后服务等工作。</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5.食品溯源要求。食品供应链必须明确，所有食品的来源必须清晰安全。</w:t>
      </w:r>
      <w:r>
        <w:rPr>
          <w:rFonts w:ascii="宋体" w:hAnsi="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第十条 违约责任</w:t>
      </w:r>
      <w:r>
        <w:rPr>
          <w:rFonts w:ascii="宋体" w:hAnsi="宋体" w:cs="宋体"/>
          <w:b/>
          <w:sz w:val="24"/>
        </w:rPr>
      </w:r>
      <w:r/>
    </w:p>
    <w:p>
      <w:pPr>
        <w:pStyle w:val="1072"/>
        <w:ind w:firstLine="480"/>
        <w:spacing w:line="360" w:lineRule="auto"/>
        <w:rPr>
          <w:rFonts w:ascii="宋体" w:hAnsi="宋体"/>
          <w:sz w:val="24"/>
        </w:rPr>
      </w:pPr>
      <w:r>
        <w:rPr>
          <w:rFonts w:hint="eastAsia" w:ascii="宋体" w:hAnsi="宋体"/>
          <w:sz w:val="24"/>
        </w:rPr>
        <w:t xml:space="preserve">1.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2.甲方未按合同规定的期限向乙方支付货款的，每逾期1天甲方向乙方偿付欠款总额的5‰滞纳金，但累计滞纳金总额不超过欠款总额的5% 。</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3.乙方所交付的货物品种、型号、规格不符合合同规定的，甲方有权拒收，同时有权解除合同，解除合同的通知自发出之日生效。</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5.乙方未按本合同的规定和“服务承诺”提供伴随服务/售后服务的，甲方有权提前解除本合同，同时乙方应按合同总价款的5 %向甲方承担违约责任。</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6.乙方在承担上述一项或多项违约责任后，仍应继续履行合同规定的义务（甲方解除合同的除外）。甲方未能及时追究乙方的任何一项违约责任并不表明甲方放弃追究乙方该项或其他违约责任。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7.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8.其他未尽事宜，以《民法典》等有关法律法规规定为准，无相关规定的，双方协商解决。</w:t>
      </w:r>
      <w:r>
        <w:rPr>
          <w:rFonts w:ascii="宋体" w:hAnsi="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第十一条 合同的变更和终止</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2.除发生法律规定的不能预见、不能避免并不能克服的客观情况外，甲乙双方不得放弃或拒绝履行合同。乙方放弃或拒绝履行合同，履约保证金不予退还。</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第十二条 合同的转让</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第十三条 不可抗力</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1072"/>
        <w:ind w:firstLine="484"/>
        <w:spacing w:line="360" w:lineRule="auto"/>
        <w:rPr>
          <w:rFonts w:ascii="宋体" w:hAnsi="宋体" w:cs="宋体"/>
          <w:b/>
          <w:sz w:val="24"/>
        </w:rPr>
      </w:pPr>
      <w:r>
        <w:rPr>
          <w:rFonts w:hint="eastAsia" w:ascii="宋体" w:hAnsi="宋体" w:cs="宋体"/>
          <w:b/>
          <w:sz w:val="24"/>
        </w:rPr>
        <w:t xml:space="preserve">第十四条 质量问题或缺陷的索赔</w:t>
      </w:r>
      <w:r>
        <w:rPr>
          <w:rFonts w:ascii="宋体" w:hAnsi="宋体" w:cs="宋体"/>
          <w:b/>
          <w:sz w:val="24"/>
        </w:rPr>
      </w:r>
      <w:r/>
    </w:p>
    <w:p>
      <w:pPr>
        <w:pStyle w:val="1072"/>
        <w:ind w:firstLine="480"/>
        <w:spacing w:line="360" w:lineRule="auto"/>
        <w:rPr>
          <w:rFonts w:ascii="宋体" w:hAnsi="宋体"/>
          <w:sz w:val="24"/>
        </w:rPr>
      </w:pPr>
      <w:r>
        <w:rPr>
          <w:rFonts w:hint="eastAsia" w:ascii="宋体" w:hAnsi="宋体"/>
          <w:sz w:val="24"/>
        </w:rPr>
        <w:t xml:space="preserve">乙方交付货物后，甲方发现货物的质量与合同内容不</w:t>
      </w:r>
      <w:r>
        <w:rPr>
          <w:rFonts w:hint="eastAsia" w:ascii="宋体" w:hAnsi="宋体"/>
          <w:sz w:val="24"/>
        </w:rPr>
        <w:t xml:space="preserve">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并有权按照合同总额5%标准向乙方主张违约金。若上述违约金不足以弥补甲方直接损失和间接损失，则乙方应赔偿甲方所有损失。</w:t>
      </w:r>
      <w:r>
        <w:rPr>
          <w:rFonts w:ascii="宋体" w:hAnsi="宋体"/>
          <w:sz w:val="24"/>
        </w:rPr>
      </w:r>
      <w:r/>
    </w:p>
    <w:p>
      <w:pPr>
        <w:pStyle w:val="1072"/>
        <w:spacing w:line="360" w:lineRule="auto"/>
        <w:rPr>
          <w:rFonts w:ascii="宋体" w:hAnsi="宋体" w:cs="宋体"/>
          <w:sz w:val="24"/>
        </w:rPr>
      </w:pPr>
      <w:r>
        <w:rPr>
          <w:rFonts w:hint="eastAsia" w:ascii="宋体" w:hAnsi="宋体" w:cs="宋体"/>
          <w:sz w:val="24"/>
        </w:rPr>
        <w:t xml:space="preserve">    甲方因主张上述权利而支出的所有合理费用，包括但不限于律师费、诉讼费、鉴定费、差旅费、保函费等，均由乙方承担。</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第十五条 争议的解决</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2.因履行本合同引起的或与本合同有关的争议，甲、乙双方应首先通过友好协商解决，如果协商不能解决争议，则采取以下第（ ）种方式解决争议：</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（1）向甲方所在地有人民法院提起诉讼；</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3、在法院审理和仲裁期间，除有争议部分外，本合同其他部分应继续履行。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第十六条 诚实信用 </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第十七条 合同生效及其他</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1072"/>
        <w:jc w:val="left"/>
        <w:spacing w:line="360" w:lineRule="auto"/>
        <w:rPr>
          <w:rFonts w:ascii="宋体" w:hAnsi="宋体" w:cs="宋体"/>
          <w:b/>
          <w:bCs/>
          <w:sz w:val="24"/>
        </w:rPr>
      </w:pPr>
      <w:r>
        <w:rPr>
          <w:rFonts w:ascii="宋体" w:hAnsi="宋体" w:cs="宋体"/>
          <w:b/>
          <w:bCs/>
          <w:sz w:val="24"/>
        </w:rPr>
      </w:r>
      <w:r/>
    </w:p>
    <w:p>
      <w:pPr>
        <w:pStyle w:val="1072"/>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1072"/>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1072"/>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1072"/>
        <w:spacing w:line="360" w:lineRule="auto"/>
        <w:rPr>
          <w:rFonts w:ascii="宋体" w:hAnsi="宋体" w:cs="宋体"/>
          <w:sz w:val="24"/>
        </w:rPr>
      </w:pPr>
      <w:r>
        <w:rPr>
          <w:rFonts w:hint="eastAsia" w:ascii="宋体" w:hAnsi="宋体" w:cs="宋体"/>
          <w:sz w:val="24"/>
        </w:rPr>
        <w:t xml:space="preserve">法定代表人：       委托代理人：          法定代表人：     委托代理人：                            </w:t>
      </w: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rPr>
        <w:t xml:space="preserve">电话：                                   电话：            传真：</w:t>
      </w: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rPr>
        <w:t xml:space="preserve">传真：                                   开户银行：        账号：                                                                                 </w:t>
      </w:r>
      <w:r>
        <w:rPr>
          <w:rFonts w:ascii="宋体" w:hAnsi="宋体" w:cs="宋体"/>
          <w:sz w:val="24"/>
        </w:rPr>
      </w:r>
      <w:r/>
    </w:p>
    <w:p>
      <w:pPr>
        <w:pStyle w:val="1072"/>
        <w:spacing w:line="360" w:lineRule="auto"/>
        <w:rPr>
          <w:rFonts w:ascii="宋体" w:hAnsi="宋体" w:cs="宋体"/>
          <w:b/>
          <w:bCs/>
          <w:sz w:val="24"/>
        </w:rPr>
      </w:pPr>
      <w:r>
        <w:rPr>
          <w:rFonts w:ascii="宋体" w:hAnsi="宋体" w:cs="宋体"/>
          <w:b/>
          <w:bCs/>
          <w:sz w:val="24"/>
        </w:rPr>
      </w:r>
      <w:r/>
    </w:p>
    <w:p>
      <w:pPr>
        <w:pStyle w:val="1072"/>
        <w:jc w:val="center"/>
        <w:spacing w:line="700" w:lineRule="exact"/>
        <w:widowControl/>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廉 政 责 任 书</w:t>
      </w:r>
      <w:r/>
    </w:p>
    <w:p>
      <w:pPr>
        <w:pStyle w:val="1072"/>
        <w:ind w:firstLine="560"/>
        <w:spacing w:line="400" w:lineRule="exact"/>
        <w:widowControl/>
        <w:rPr>
          <w:rFonts w:hint="eastAsia" w:ascii="宋体" w:hAnsi="宋体"/>
          <w:sz w:val="28"/>
          <w:szCs w:val="28"/>
        </w:rPr>
      </w:pPr>
      <w:r>
        <w:rPr>
          <w:rFonts w:hint="eastAsia" w:ascii="宋体" w:hAnsi="宋体"/>
          <w:sz w:val="28"/>
          <w:szCs w:val="28"/>
        </w:rPr>
      </w:r>
      <w:r/>
    </w:p>
    <w:p>
      <w:pPr>
        <w:pStyle w:val="1072"/>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pStyle w:val="1072"/>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pStyle w:val="1072"/>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p>
    <w:p>
      <w:pPr>
        <w:pStyle w:val="1072"/>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p>
    <w:p>
      <w:pPr>
        <w:pStyle w:val="1072"/>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pStyle w:val="1072"/>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pStyle w:val="1072"/>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pStyle w:val="1072"/>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p>
    <w:p>
      <w:pPr>
        <w:pStyle w:val="1072"/>
        <w:ind w:firstLine="482"/>
        <w:spacing w:line="540" w:lineRule="exact"/>
        <w:widowControl/>
        <w:rPr>
          <w:rFonts w:hint="eastAsia" w:ascii="宋体" w:hAnsi="宋体"/>
          <w:b/>
          <w:sz w:val="24"/>
        </w:rPr>
      </w:pPr>
      <w:r>
        <w:rPr>
          <w:rFonts w:hint="eastAsia" w:ascii="宋体" w:hAnsi="宋体"/>
          <w:b/>
          <w:sz w:val="24"/>
        </w:rPr>
        <w:t xml:space="preserve">二、违约责任</w:t>
      </w:r>
      <w:r/>
    </w:p>
    <w:p>
      <w:pPr>
        <w:pStyle w:val="1072"/>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pStyle w:val="1072"/>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p>
    <w:p>
      <w:pPr>
        <w:pStyle w:val="1072"/>
        <w:ind w:firstLine="480"/>
        <w:spacing w:line="540" w:lineRule="exact"/>
        <w:widowControl/>
        <w:rPr>
          <w:rFonts w:ascii="宋体" w:hAnsi="宋体"/>
          <w:sz w:val="24"/>
        </w:rPr>
      </w:pPr>
      <w:r>
        <w:rPr>
          <w:rFonts w:ascii="宋体" w:hAnsi="宋体"/>
          <w:sz w:val="24"/>
        </w:rPr>
      </w:r>
      <w:r/>
    </w:p>
    <w:p>
      <w:pPr>
        <w:pStyle w:val="1072"/>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pStyle w:val="1072"/>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pStyle w:val="1072"/>
        <w:spacing w:line="360" w:lineRule="auto"/>
        <w:rPr>
          <w:rFonts w:ascii="宋体" w:hAnsi="宋体" w:cs="宋体"/>
          <w:sz w:val="24"/>
        </w:rPr>
      </w:pP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16" w:name="_Toc99301426"/>
      <w:r>
        <w:rPr>
          <w:rFonts w:ascii="宋体" w:hAnsi="宋体"/>
          <w:b/>
          <w:sz w:val="36"/>
          <w:szCs w:val="36"/>
        </w:rPr>
        <w:t xml:space="preserve">第七章   投标文件格式</w:t>
      </w:r>
      <w:bookmarkEnd w:id="816"/>
      <w:r>
        <w:rPr>
          <w:rFonts w:ascii="宋体" w:hAnsi="宋体"/>
          <w:b/>
          <w:sz w:val="36"/>
          <w:szCs w:val="36"/>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2"/>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2"/>
        <w:jc w:val="left"/>
        <w:widowControl/>
        <w:rPr>
          <w:rFonts w:ascii="宋体" w:hAnsi="宋体"/>
          <w:sz w:val="24"/>
        </w:rPr>
      </w:pPr>
      <w:r>
        <w:rPr>
          <w:rFonts w:ascii="宋体" w:hAnsi="宋体"/>
          <w:sz w:val="24"/>
        </w:rPr>
        <w:br w:type="page" w:clear="all"/>
      </w:r>
      <w:r/>
    </w:p>
    <w:p>
      <w:pPr>
        <w:pStyle w:val="1072"/>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2"/>
        <w:rPr>
          <w:rFonts w:ascii="宋体" w:hAnsi="宋体"/>
          <w:b/>
          <w:spacing w:val="20"/>
          <w:szCs w:val="21"/>
        </w:rPr>
      </w:pPr>
      <w:r>
        <w:rPr>
          <w:rFonts w:ascii="宋体" w:hAnsi="宋体"/>
          <w:b/>
          <w:spacing w:val="20"/>
          <w:szCs w:val="21"/>
        </w:rPr>
      </w:r>
      <w:r/>
    </w:p>
    <w:p>
      <w:pPr>
        <w:pStyle w:val="1072"/>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2"/>
        <w:jc w:val="center"/>
        <w:rPr>
          <w:rFonts w:ascii="宋体" w:hAnsi="宋体"/>
          <w:szCs w:val="21"/>
        </w:rPr>
      </w:pPr>
      <w:r>
        <w:rPr>
          <w:rFonts w:ascii="宋体" w:hAnsi="宋体"/>
          <w:szCs w:val="21"/>
        </w:rPr>
      </w:r>
      <w:r/>
    </w:p>
    <w:p>
      <w:pPr>
        <w:pStyle w:val="1072"/>
        <w:jc w:val="center"/>
        <w:rPr>
          <w:rFonts w:ascii="宋体" w:hAnsi="宋体"/>
          <w:b/>
          <w:spacing w:val="60"/>
          <w:sz w:val="84"/>
          <w:szCs w:val="84"/>
        </w:rPr>
      </w:pPr>
      <w:r>
        <w:rPr>
          <w:rFonts w:ascii="宋体" w:hAnsi="宋体"/>
          <w:b/>
          <w:spacing w:val="60"/>
          <w:sz w:val="84"/>
          <w:szCs w:val="84"/>
        </w:rPr>
        <w:t xml:space="preserve">投 标 文 件</w:t>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2"/>
        <w:jc w:val="center"/>
        <w:rPr>
          <w:rFonts w:ascii="宋体" w:hAnsi="宋体"/>
          <w:b/>
          <w:sz w:val="32"/>
          <w:szCs w:val="32"/>
        </w:rPr>
      </w:pPr>
      <w:r>
        <w:rPr>
          <w:rFonts w:ascii="宋体" w:hAnsi="宋体"/>
          <w:b/>
          <w:sz w:val="32"/>
          <w:szCs w:val="32"/>
        </w:rPr>
      </w:r>
      <w:r/>
    </w:p>
    <w:p>
      <w:pPr>
        <w:pStyle w:val="1072"/>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2"/>
        <w:rPr>
          <w:rFonts w:ascii="宋体" w:hAnsi="宋体"/>
          <w:b/>
        </w:rPr>
      </w:pPr>
      <w:r>
        <w:rPr>
          <w:rFonts w:ascii="宋体" w:hAnsi="宋体"/>
          <w:b/>
        </w:rPr>
      </w:r>
      <w:r/>
    </w:p>
    <w:p>
      <w:pPr>
        <w:pStyle w:val="1072"/>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5"/>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致：常州市城投建设工程招标有限公司</w:t>
      </w:r>
      <w:r>
        <w:rPr>
          <w:rFonts w:hAnsi="宋体"/>
        </w:rPr>
      </w:r>
      <w:r/>
    </w:p>
    <w:p>
      <w:pPr>
        <w:pStyle w:val="1087"/>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7"/>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7"/>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7"/>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7"/>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7"/>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7"/>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7"/>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7"/>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7"/>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7"/>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7"/>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7"/>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7"/>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7"/>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                                            投标人：（加盖公章）</w:t>
      </w:r>
      <w:r>
        <w:rPr>
          <w:rFonts w:hAnsi="宋体"/>
        </w:rPr>
      </w:r>
      <w:r/>
    </w:p>
    <w:p>
      <w:pPr>
        <w:pStyle w:val="1087"/>
        <w:ind w:firstLine="480"/>
        <w:spacing w:line="460" w:lineRule="exact"/>
        <w:rPr>
          <w:rFonts w:hAnsi="宋体"/>
        </w:rPr>
      </w:pPr>
      <w:r>
        <w:rPr>
          <w:rFonts w:hint="eastAsia" w:hAnsi="宋体"/>
        </w:rPr>
        <w:t xml:space="preserve">                                           法定代表人（或单位负责人）签字或盖章：</w:t>
      </w:r>
      <w:r>
        <w:rPr>
          <w:rFonts w:hAnsi="宋体"/>
        </w:rPr>
      </w:r>
      <w:r/>
    </w:p>
    <w:p>
      <w:pPr>
        <w:pStyle w:val="1087"/>
        <w:ind w:firstLine="4920"/>
        <w:spacing w:line="460" w:lineRule="exact"/>
        <w:rPr>
          <w:rFonts w:hint="eastAsia" w:hAnsi="宋体"/>
        </w:rPr>
      </w:pPr>
      <w:r>
        <w:rPr>
          <w:rFonts w:hint="eastAsia" w:hAnsi="宋体"/>
        </w:rPr>
        <w:t xml:space="preserve">日期：    年    月    日</w:t>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2"/>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2"/>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2"/>
        <w:spacing w:line="360" w:lineRule="auto"/>
        <w:rPr>
          <w:rFonts w:ascii="宋体" w:hAnsi="宋体"/>
          <w:sz w:val="24"/>
        </w:rPr>
        <w:outlineLvl w:val="2"/>
      </w:pPr>
      <w:r>
        <w:rPr>
          <w:rFonts w:ascii="宋体" w:hAnsi="宋体"/>
          <w:b/>
          <w:sz w:val="24"/>
          <w:szCs w:val="20"/>
        </w:rPr>
        <w:t xml:space="preserve">2-1中小企业声明函</w:t>
      </w:r>
      <w:r>
        <w:rPr>
          <w:rFonts w:ascii="宋体" w:hAnsi="宋体"/>
          <w:sz w:val="24"/>
        </w:rPr>
      </w:r>
      <w:r/>
    </w:p>
    <w:p>
      <w:pPr>
        <w:pStyle w:val="1072"/>
        <w:spacing w:line="360" w:lineRule="auto"/>
        <w:tabs>
          <w:tab w:val="left" w:pos="5580" w:leader="none"/>
        </w:tabs>
        <w:rPr>
          <w:rFonts w:ascii="宋体" w:hAnsi="宋体"/>
          <w:sz w:val="24"/>
        </w:rPr>
      </w:pPr>
      <w:r>
        <w:rPr>
          <w:rFonts w:ascii="宋体" w:hAnsi="宋体"/>
          <w:sz w:val="24"/>
        </w:rPr>
        <w:t xml:space="preserve">说明：</w:t>
      </w:r>
      <w:r/>
    </w:p>
    <w:p>
      <w:pPr>
        <w:pStyle w:val="1072"/>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pStyle w:val="1072"/>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pStyle w:val="1072"/>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1072"/>
        <w:spacing w:line="360" w:lineRule="auto"/>
        <w:tabs>
          <w:tab w:val="left" w:pos="5580" w:leader="none"/>
        </w:tabs>
        <w:rPr>
          <w:rFonts w:ascii="宋体" w:hAnsi="宋体"/>
          <w:sz w:val="24"/>
        </w:rPr>
      </w:pPr>
      <w:r>
        <w:rPr>
          <w:rFonts w:hint="eastAsia" w:ascii="宋体" w:hAnsi="宋体"/>
          <w:sz w:val="24"/>
        </w:rPr>
        <w:t xml:space="preserve">（4）其他</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pStyle w:val="1072"/>
        <w:spacing w:line="360" w:lineRule="auto"/>
        <w:tabs>
          <w:tab w:val="left" w:pos="5580" w:leader="none"/>
        </w:tabs>
        <w:rPr>
          <w:rFonts w:ascii="宋体" w:hAnsi="宋体"/>
          <w:sz w:val="24"/>
        </w:rPr>
      </w:pPr>
      <w:r>
        <w:rPr>
          <w:rFonts w:ascii="宋体" w:hAnsi="宋体"/>
          <w:sz w:val="24"/>
        </w:rPr>
      </w:r>
      <w:r/>
    </w:p>
    <w:p>
      <w:pPr>
        <w:pStyle w:val="1072"/>
        <w:jc w:val="left"/>
        <w:widowControl/>
        <w:rPr>
          <w:rFonts w:ascii="宋体" w:hAnsi="宋体"/>
          <w:sz w:val="24"/>
        </w:rPr>
      </w:pPr>
      <w:r>
        <w:rPr>
          <w:rFonts w:ascii="宋体" w:hAnsi="宋体"/>
          <w:sz w:val="24"/>
        </w:rPr>
        <w:br w:type="page" w:clear="all"/>
      </w:r>
      <w:r/>
    </w:p>
    <w:p>
      <w:pPr>
        <w:pStyle w:val="1072"/>
        <w:jc w:val="center"/>
        <w:spacing w:before="240" w:after="240" w:line="360" w:lineRule="auto"/>
        <w:rPr>
          <w:rFonts w:ascii="宋体" w:hAnsi="宋体"/>
          <w:b/>
          <w:sz w:val="36"/>
          <w:szCs w:val="36"/>
        </w:rPr>
      </w:pPr>
      <w:r>
        <w:rPr>
          <w:rFonts w:hint="eastAsia" w:ascii="宋体" w:hAnsi="宋体"/>
          <w:b/>
          <w:bCs/>
          <w:sz w:val="36"/>
          <w:szCs w:val="36"/>
        </w:rPr>
        <w:t xml:space="preserve">中小企业声明函（货物）格式</w:t>
      </w:r>
      <w:r>
        <w:rPr>
          <w:rFonts w:ascii="宋体" w:hAnsi="宋体"/>
          <w:b/>
          <w:sz w:val="36"/>
          <w:szCs w:val="36"/>
        </w:rPr>
      </w:r>
      <w:r/>
    </w:p>
    <w:p>
      <w:pPr>
        <w:pStyle w:val="1072"/>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w:t>
      </w:r>
      <w:r>
        <w:rPr>
          <w:rFonts w:ascii="宋体" w:hAnsi="宋体"/>
          <w:spacing w:val="6"/>
          <w:sz w:val="24"/>
        </w:rPr>
        <w:t xml:space="preserve">_____</w:t>
      </w:r>
      <w:r/>
      <w:r>
        <w:rPr>
          <w:rFonts w:ascii="宋体" w:hAnsi="宋体"/>
          <w:spacing w:val="6"/>
          <w:sz w:val="24"/>
        </w:rPr>
        <w:t xml:space="preserve">（单位名称）的</w:t>
      </w:r>
      <w:r>
        <w:rPr>
          <w:rFonts w:ascii="宋体" w:hAnsi="宋体"/>
          <w:spacing w:val="6"/>
          <w:sz w:val="24"/>
        </w:rPr>
        <w:t xml:space="preserve">_____</w:t>
      </w:r>
      <w:r/>
      <w:r>
        <w:rPr>
          <w:rFonts w:ascii="宋体" w:hAnsi="宋体"/>
          <w:spacing w:val="6"/>
          <w:sz w:val="24"/>
        </w:rPr>
        <w:t xml:space="preserve">（项目名称）采购活动，提供的货物全部由符合政策要求的中小企业制造。相关企业（含联合体中的中小企业、签订分包意向协议的中小企业）的具体情况如下：</w:t>
      </w:r>
      <w:r/>
    </w:p>
    <w:p>
      <w:pPr>
        <w:pStyle w:val="1072"/>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ascii="宋体" w:hAnsi="宋体"/>
          <w:spacing w:val="6"/>
          <w:sz w:val="24"/>
          <w:u w:val="single"/>
        </w:rPr>
      </w:r>
      <w:r>
        <w:rPr>
          <w:rFonts w:hint="eastAsia" w:ascii="宋体" w:hAnsi="宋体" w:cs="宋体"/>
          <w:sz w:val="24"/>
        </w:rPr>
        <w:t xml:space="preserve">零售业</w:t>
      </w:r>
      <w:r/>
      <w:r>
        <w:rPr>
          <w:rFonts w:ascii="宋体" w:hAnsi="宋体"/>
          <w:spacing w:val="6"/>
          <w:sz w:val="24"/>
          <w:u w:val="single"/>
        </w:rPr>
      </w:r>
      <w:r>
        <w:rPr>
          <w:rFonts w:ascii="宋体" w:hAnsi="宋体"/>
          <w:spacing w:val="6"/>
          <w:sz w:val="24"/>
        </w:rPr>
        <w:t xml:space="preserve">行业；制造商为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pStyle w:val="1072"/>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ascii="宋体" w:hAnsi="宋体"/>
          <w:spacing w:val="6"/>
          <w:sz w:val="24"/>
          <w:u w:val="single"/>
        </w:rPr>
      </w:r>
      <w:r>
        <w:rPr>
          <w:rFonts w:hint="eastAsia" w:ascii="宋体" w:hAnsi="宋体" w:cs="宋体"/>
          <w:sz w:val="24"/>
        </w:rPr>
        <w:t xml:space="preserve">零售业</w:t>
      </w:r>
      <w:r/>
      <w:r>
        <w:rPr>
          <w:rFonts w:ascii="宋体" w:hAnsi="宋体"/>
          <w:spacing w:val="6"/>
          <w:sz w:val="24"/>
          <w:u w:val="single"/>
        </w:rPr>
      </w:r>
      <w:r>
        <w:rPr>
          <w:rFonts w:ascii="宋体" w:hAnsi="宋体"/>
          <w:spacing w:val="6"/>
          <w:sz w:val="24"/>
        </w:rPr>
        <w:t xml:space="preserve">行业；制造商为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1072"/>
        <w:ind w:firstLine="504"/>
        <w:spacing w:line="360" w:lineRule="auto"/>
        <w:rPr>
          <w:rFonts w:ascii="宋体" w:hAnsi="宋体"/>
          <w:spacing w:val="6"/>
          <w:sz w:val="24"/>
        </w:rPr>
      </w:pPr>
      <w:r>
        <w:rPr>
          <w:rFonts w:ascii="宋体" w:hAnsi="宋体"/>
          <w:spacing w:val="6"/>
          <w:sz w:val="24"/>
        </w:rPr>
        <w:t xml:space="preserve">……</w:t>
      </w:r>
      <w:r/>
    </w:p>
    <w:p>
      <w:pPr>
        <w:pStyle w:val="1072"/>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1072"/>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pStyle w:val="1072"/>
        <w:ind w:firstLine="504"/>
        <w:spacing w:line="360" w:lineRule="auto"/>
        <w:rPr>
          <w:rFonts w:ascii="宋体" w:hAnsi="宋体"/>
          <w:spacing w:val="6"/>
          <w:sz w:val="24"/>
        </w:rPr>
      </w:pPr>
      <w:r>
        <w:rPr>
          <w:rFonts w:ascii="宋体" w:hAnsi="宋体"/>
          <w:spacing w:val="6"/>
          <w:sz w:val="24"/>
        </w:rPr>
      </w:r>
      <w:r/>
    </w:p>
    <w:p>
      <w:pPr>
        <w:pStyle w:val="1072"/>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2"/>
        <w:ind w:right="360" w:firstLine="480"/>
        <w:jc w:val="right"/>
        <w:spacing w:line="360" w:lineRule="auto"/>
        <w:rPr>
          <w:rFonts w:ascii="宋体" w:hAnsi="宋体"/>
          <w:sz w:val="24"/>
        </w:rPr>
      </w:pPr>
      <w:r>
        <w:rPr>
          <w:rFonts w:ascii="宋体" w:hAnsi="宋体"/>
          <w:sz w:val="24"/>
        </w:rPr>
        <w:t xml:space="preserve">日 期：________</w:t>
      </w:r>
      <w:r/>
    </w:p>
    <w:p>
      <w:pPr>
        <w:pStyle w:val="1072"/>
        <w:ind w:right="360" w:firstLine="480"/>
        <w:jc w:val="right"/>
        <w:spacing w:line="360" w:lineRule="auto"/>
        <w:rPr>
          <w:rFonts w:ascii="宋体" w:hAnsi="宋体"/>
          <w:sz w:val="24"/>
        </w:rPr>
      </w:pPr>
      <w:r>
        <w:rPr>
          <w:rFonts w:ascii="宋体" w:hAnsi="宋体"/>
          <w:sz w:val="24"/>
        </w:rPr>
      </w:r>
      <w:r/>
    </w:p>
    <w:p>
      <w:pPr>
        <w:pStyle w:val="1072"/>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2"/>
        <w:ind w:firstLine="420"/>
        <w:jc w:val="left"/>
        <w:rPr>
          <w:rFonts w:ascii="宋体" w:hAnsi="宋体"/>
          <w:sz w:val="24"/>
        </w:rPr>
      </w:pPr>
      <w:r>
        <w:rPr>
          <w:rFonts w:ascii="宋体" w:hAnsi="宋体"/>
          <w:sz w:val="24"/>
        </w:rPr>
      </w:r>
      <w:r/>
    </w:p>
    <w:p>
      <w:pPr>
        <w:pStyle w:val="1072"/>
        <w:spacing w:line="360" w:lineRule="auto"/>
        <w:rPr>
          <w:rFonts w:ascii="宋体" w:hAnsi="宋体"/>
          <w:sz w:val="24"/>
        </w:rPr>
      </w:pPr>
      <w:r>
        <w:rPr>
          <w:rFonts w:ascii="宋体" w:hAnsi="宋体"/>
          <w:sz w:val="24"/>
        </w:rPr>
      </w:r>
      <w:r/>
    </w:p>
    <w:p>
      <w:pPr>
        <w:pStyle w:val="1072"/>
        <w:ind w:right="360" w:firstLine="480"/>
        <w:jc w:val="right"/>
        <w:spacing w:line="360" w:lineRule="auto"/>
        <w:rPr>
          <w:rFonts w:ascii="宋体" w:hAnsi="宋体"/>
          <w:sz w:val="24"/>
        </w:rPr>
      </w:pPr>
      <w:r>
        <w:rPr>
          <w:rFonts w:ascii="宋体" w:hAnsi="宋体"/>
          <w:sz w:val="24"/>
        </w:rPr>
      </w:r>
      <w:r/>
    </w:p>
    <w:p>
      <w:pPr>
        <w:pStyle w:val="1072"/>
        <w:spacing w:line="360" w:lineRule="auto"/>
        <w:rPr>
          <w:rFonts w:ascii="宋体" w:hAnsi="宋体"/>
          <w:sz w:val="24"/>
          <w:szCs w:val="20"/>
        </w:rPr>
        <w:outlineLvl w:val="2"/>
      </w:pPr>
      <w:r>
        <w:rPr>
          <w:rFonts w:ascii="宋体" w:hAnsi="宋体"/>
          <w:sz w:val="24"/>
          <w:szCs w:val="20"/>
        </w:rPr>
        <w:br w:type="page" w:clear="all"/>
      </w:r>
      <w:r/>
    </w:p>
    <w:p>
      <w:pPr>
        <w:pStyle w:val="1072"/>
        <w:jc w:val="center"/>
        <w:spacing w:before="240" w:after="240" w:line="360" w:lineRule="auto"/>
        <w:rPr>
          <w:rFonts w:ascii="宋体" w:hAnsi="宋体"/>
          <w:b/>
          <w:sz w:val="36"/>
          <w:szCs w:val="36"/>
        </w:rPr>
      </w:pPr>
      <w:r>
        <w:rPr>
          <w:rFonts w:hint="eastAsia" w:ascii="宋体" w:hAnsi="宋体"/>
          <w:b/>
          <w:bCs/>
          <w:sz w:val="36"/>
          <w:szCs w:val="36"/>
        </w:rPr>
        <w:t xml:space="preserve">残疾人福利性单位声明函格式</w:t>
      </w:r>
      <w:r>
        <w:rPr>
          <w:rFonts w:ascii="宋体" w:hAnsi="宋体"/>
          <w:b/>
          <w:sz w:val="36"/>
          <w:szCs w:val="36"/>
        </w:rPr>
        <w:t xml:space="preserve">       </w:t>
      </w:r>
      <w:r/>
    </w:p>
    <w:p>
      <w:pPr>
        <w:pStyle w:val="1072"/>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2"/>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2"/>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2"/>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2"/>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日  期：</w:t>
      </w:r>
      <w:r>
        <w:rPr>
          <w:rFonts w:hint="eastAsia" w:ascii="宋体" w:hAnsi="宋体"/>
          <w:spacing w:val="6"/>
          <w:sz w:val="24"/>
        </w:rPr>
      </w:r>
      <w:r/>
    </w:p>
    <w:p>
      <w:pPr>
        <w:pStyle w:val="1072"/>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072"/>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072"/>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072"/>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1072"/>
        <w:jc w:val="left"/>
        <w:widowControl/>
        <w:rPr>
          <w:rFonts w:ascii="宋体" w:hAnsi="宋体"/>
          <w:sz w:val="24"/>
          <w:szCs w:val="20"/>
        </w:rPr>
      </w:pPr>
      <w:r>
        <w:rPr>
          <w:rFonts w:ascii="宋体" w:hAnsi="宋体"/>
          <w:sz w:val="24"/>
          <w:szCs w:val="20"/>
        </w:rPr>
        <w:br w:type="page" w:clear="all"/>
      </w:r>
      <w:r/>
    </w:p>
    <w:p>
      <w:pPr>
        <w:pStyle w:val="1072"/>
        <w:spacing w:line="360" w:lineRule="auto"/>
        <w:rPr>
          <w:rFonts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2</w:t>
      </w:r>
      <w:r>
        <w:rPr>
          <w:rFonts w:ascii="宋体" w:hAnsi="宋体"/>
          <w:b/>
          <w:sz w:val="24"/>
          <w:szCs w:val="20"/>
        </w:rPr>
        <w:t xml:space="preserve"> </w:t>
      </w:r>
      <w:r>
        <w:rPr>
          <w:rFonts w:ascii="宋体" w:hAnsi="宋体"/>
          <w:b/>
          <w:sz w:val="24"/>
        </w:rPr>
        <w:t xml:space="preserve">其它落实政府采购政策的资格要求</w:t>
      </w:r>
      <w:r>
        <w:rPr>
          <w:rFonts w:ascii="宋体" w:hAnsi="宋体"/>
          <w:b/>
          <w:sz w:val="24"/>
          <w:szCs w:val="20"/>
        </w:rPr>
        <w:t xml:space="preserve">（如有）</w:t>
      </w:r>
      <w:r/>
    </w:p>
    <w:p>
      <w:pPr>
        <w:pStyle w:val="1072"/>
        <w:jc w:val="left"/>
        <w:widowControl/>
        <w:rPr>
          <w:rFonts w:ascii="宋体" w:hAnsi="宋体"/>
          <w:sz w:val="24"/>
        </w:rPr>
      </w:pPr>
      <w:r>
        <w:rPr>
          <w:rFonts w:ascii="宋体" w:hAnsi="宋体"/>
          <w:sz w:val="24"/>
        </w:rPr>
      </w:r>
      <w:r/>
    </w:p>
    <w:p>
      <w:pPr>
        <w:pStyle w:val="1072"/>
        <w:jc w:val="left"/>
        <w:widowControl/>
        <w:rPr>
          <w:rFonts w:ascii="宋体" w:hAnsi="宋体"/>
          <w:b/>
          <w:sz w:val="24"/>
        </w:rPr>
      </w:pP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rPr>
          <w:rFonts w:ascii="宋体" w:hAnsi="宋体"/>
          <w:b/>
          <w:sz w:val="24"/>
        </w:rPr>
      </w:r>
      <w:r/>
    </w:p>
    <w:p>
      <w:pPr>
        <w:pStyle w:val="1072"/>
        <w:spacing w:line="360" w:lineRule="auto"/>
        <w:rPr>
          <w:rFonts w:hint="eastAsia" w:ascii="宋体" w:hAnsi="宋体"/>
          <w:b/>
          <w:sz w:val="24"/>
          <w:szCs w:val="20"/>
        </w:rPr>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rPr>
          <w:rFonts w:hint="eastAsia" w:ascii="宋体" w:hAnsi="宋体"/>
          <w:b/>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jc w:val="left"/>
        <w:widowControl/>
        <w:rPr>
          <w:rFonts w:hint="eastAsia" w:ascii="宋体" w:hAnsi="宋体"/>
          <w:sz w:val="24"/>
        </w:rPr>
      </w:pPr>
      <w:r>
        <w:rPr>
          <w:rFonts w:hint="eastAsia" w:ascii="宋体" w:hAnsi="宋体"/>
          <w:sz w:val="24"/>
        </w:rPr>
      </w:r>
      <w:r/>
    </w:p>
    <w:p>
      <w:pPr>
        <w:pStyle w:val="1072"/>
        <w:jc w:val="center"/>
        <w:widowControl/>
        <w:rPr>
          <w:rFonts w:hint="eastAsia" w:ascii="宋体" w:hAnsi="宋体"/>
          <w:b/>
          <w:sz w:val="32"/>
          <w:szCs w:val="32"/>
        </w:rPr>
      </w:pPr>
      <w:r>
        <w:rPr>
          <w:rFonts w:ascii="宋体" w:hAnsi="宋体"/>
          <w:sz w:val="24"/>
          <w:szCs w:val="20"/>
        </w:rPr>
        <w:br w:type="page" w:clear="all"/>
      </w:r>
      <w:r>
        <w:rPr>
          <w:rFonts w:ascii="宋体" w:hAnsi="宋体"/>
          <w:b/>
          <w:sz w:val="32"/>
          <w:szCs w:val="32"/>
        </w:rPr>
        <w:t xml:space="preserve">二、商务技术文件格式</w:t>
      </w:r>
      <w:bookmarkStart w:id="817" w:name="_Ref467988698"/>
      <w:r/>
      <w:bookmarkStart w:id="818" w:name="_Toc142311058"/>
      <w:r/>
      <w:bookmarkStart w:id="819" w:name="_Toc226337252"/>
      <w:r/>
      <w:bookmarkStart w:id="820" w:name="_Toc226309800"/>
      <w:r/>
      <w:bookmarkStart w:id="821" w:name="_Toc226965829"/>
      <w:r/>
      <w:bookmarkStart w:id="822" w:name="_Toc127151556"/>
      <w:r/>
      <w:bookmarkStart w:id="823" w:name="_Toc226965746"/>
      <w:r/>
      <w:bookmarkStart w:id="824" w:name="_Toc150774761"/>
      <w:r/>
      <w:bookmarkStart w:id="825" w:name="_Toc480942349"/>
      <w:r/>
      <w:bookmarkStart w:id="826" w:name="_Toc150480794"/>
      <w:r/>
      <w:bookmarkStart w:id="827" w:name="_Toc195842921"/>
      <w:r/>
      <w:bookmarkStart w:id="828" w:name="_Toc520356217"/>
      <w:r>
        <w:rPr>
          <w:rFonts w:hint="eastAsia" w:ascii="宋体" w:hAnsi="宋体"/>
          <w:b/>
          <w:sz w:val="32"/>
          <w:szCs w:val="32"/>
        </w:rPr>
      </w:r>
      <w:r/>
    </w:p>
    <w:p>
      <w:pPr>
        <w:pStyle w:val="1072"/>
        <w:jc w:val="center"/>
        <w:widowControl/>
        <w:rPr>
          <w:rFonts w:hint="eastAsia" w:ascii="宋体" w:hAnsi="宋体"/>
          <w:b/>
          <w:sz w:val="32"/>
          <w:szCs w:val="32"/>
        </w:rPr>
      </w:pPr>
      <w:r>
        <w:rPr>
          <w:rFonts w:hint="eastAsia" w:ascii="宋体" w:hAnsi="宋体"/>
          <w:b/>
          <w:sz w:val="32"/>
          <w:szCs w:val="32"/>
        </w:rPr>
      </w:r>
      <w:r/>
    </w:p>
    <w:p>
      <w:pPr>
        <w:pStyle w:val="1072"/>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sz w:val="24"/>
        </w:rPr>
        <w:t xml:space="preserve">函</w:t>
      </w:r>
      <w:r>
        <w:rPr>
          <w:rFonts w:ascii="宋体" w:hAnsi="宋体"/>
          <w:b/>
          <w:sz w:val="24"/>
          <w:szCs w:val="20"/>
        </w:rPr>
        <w:t xml:space="preserve">（实质性格式）</w:t>
      </w:r>
      <w:r/>
    </w:p>
    <w:p>
      <w:pPr>
        <w:pStyle w:val="1072"/>
        <w:spacing w:line="360" w:lineRule="auto"/>
        <w:tabs>
          <w:tab w:val="left" w:pos="5580" w:leader="none"/>
        </w:tabs>
        <w:rPr>
          <w:rFonts w:ascii="宋体" w:hAnsi="宋体"/>
          <w:sz w:val="24"/>
        </w:rPr>
      </w:pPr>
      <w:r>
        <w:rPr>
          <w:rFonts w:ascii="宋体" w:hAnsi="宋体"/>
          <w:sz w:val="24"/>
        </w:rPr>
      </w:r>
      <w:r/>
    </w:p>
    <w:p>
      <w:pPr>
        <w:pStyle w:val="1072"/>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2"/>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2"/>
        <w:spacing w:line="360" w:lineRule="auto"/>
        <w:tabs>
          <w:tab w:val="left" w:pos="5580" w:leader="none"/>
        </w:tabs>
        <w:rPr>
          <w:rFonts w:ascii="宋体" w:hAnsi="宋体"/>
          <w:sz w:val="24"/>
          <w:szCs w:val="20"/>
        </w:rPr>
      </w:pPr>
      <w:r>
        <w:rPr>
          <w:rFonts w:ascii="宋体" w:hAnsi="宋体"/>
          <w:sz w:val="24"/>
          <w:szCs w:val="20"/>
        </w:rPr>
      </w:r>
      <w:r/>
    </w:p>
    <w:p>
      <w:pPr>
        <w:pStyle w:val="1072"/>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2"/>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2"/>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2"/>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2"/>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2"/>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72"/>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2"/>
        <w:ind w:firstLine="480"/>
        <w:spacing w:line="360" w:lineRule="auto"/>
        <w:rPr>
          <w:rFonts w:ascii="宋体" w:hAnsi="宋体"/>
          <w:sz w:val="24"/>
        </w:rPr>
      </w:pPr>
      <w:r>
        <w:rPr>
          <w:rFonts w:ascii="宋体" w:hAnsi="宋体"/>
          <w:sz w:val="24"/>
        </w:rPr>
        <w:t xml:space="preserve">与本投标有关的一切正式往来信函请寄：</w:t>
      </w:r>
      <w:r/>
    </w:p>
    <w:p>
      <w:pPr>
        <w:pStyle w:val="1072"/>
        <w:ind w:left="420"/>
        <w:spacing w:line="360" w:lineRule="auto"/>
        <w:tabs>
          <w:tab w:val="left" w:pos="5580" w:leader="none"/>
        </w:tabs>
        <w:rPr>
          <w:rFonts w:ascii="宋体" w:hAnsi="宋体"/>
          <w:sz w:val="24"/>
          <w:szCs w:val="20"/>
        </w:rPr>
      </w:pPr>
      <w:r>
        <w:rPr>
          <w:rFonts w:ascii="宋体" w:hAnsi="宋体"/>
          <w:sz w:val="24"/>
          <w:szCs w:val="20"/>
        </w:rPr>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2"/>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2"/>
        <w:jc w:val="left"/>
        <w:widowControl/>
        <w:rPr>
          <w:rFonts w:hint="eastAsia" w:ascii="宋体" w:hAnsi="宋体"/>
          <w:b/>
          <w:sz w:val="24"/>
        </w:rPr>
      </w:pPr>
      <w:r/>
      <w:bookmarkStart w:id="829" w:name="_Hlt520355938"/>
      <w:r/>
      <w:bookmarkEnd w:id="829"/>
      <w:r/>
      <w:bookmarkStart w:id="830" w:name="_Hlt520356243"/>
      <w:r/>
      <w:bookmarkEnd w:id="830"/>
      <w:r>
        <w:rPr>
          <w:rFonts w:ascii="宋体" w:hAnsi="宋体"/>
          <w:sz w:val="24"/>
        </w:rPr>
        <w:br w:type="page" w:clear="all"/>
      </w:r>
      <w:r>
        <w:rPr>
          <w:rFonts w:hint="eastAsia" w:ascii="宋体" w:hAnsi="宋体"/>
          <w:b/>
          <w:sz w:val="24"/>
        </w:rPr>
      </w:r>
      <w:r/>
    </w:p>
    <w:p>
      <w:pPr>
        <w:pStyle w:val="1072"/>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2"/>
        <w:spacing w:line="560" w:lineRule="exact"/>
        <w:rPr>
          <w:rFonts w:ascii="宋体" w:hAnsi="宋体"/>
          <w:sz w:val="24"/>
        </w:rPr>
      </w:pPr>
      <w:r>
        <w:rPr>
          <w:rFonts w:ascii="宋体" w:hAnsi="宋体"/>
          <w:sz w:val="24"/>
        </w:rPr>
      </w:r>
      <w:r/>
    </w:p>
    <w:p>
      <w:pPr>
        <w:pStyle w:val="1104"/>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2"/>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2"/>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spacing w:line="360" w:lineRule="auto"/>
        <w:rPr>
          <w:rFonts w:hint="eastAsia" w:ascii="宋体" w:hAnsi="宋体"/>
          <w:b/>
          <w:sz w:val="24"/>
        </w:rPr>
        <w:outlineLvl w:val="2"/>
      </w:pPr>
      <w:r>
        <w:rPr>
          <w:rFonts w:hint="eastAsia" w:ascii="宋体" w:hAnsi="宋体"/>
          <w:b/>
          <w:sz w:val="24"/>
        </w:rPr>
        <w:t xml:space="preserve">3  政府采购供应商信用承诺书</w:t>
      </w:r>
      <w:r>
        <w:rPr>
          <w:rFonts w:ascii="宋体" w:hAnsi="宋体"/>
          <w:b/>
          <w:sz w:val="24"/>
        </w:rPr>
        <w:t xml:space="preserve">（实质性格式）</w:t>
      </w:r>
      <w:r>
        <w:rPr>
          <w:rFonts w:hint="eastAsia" w:ascii="宋体" w:hAnsi="宋体"/>
          <w:b/>
          <w:sz w:val="24"/>
        </w:rPr>
      </w:r>
      <w:r/>
    </w:p>
    <w:p>
      <w:pPr>
        <w:pStyle w:val="1072"/>
        <w:ind w:firstLine="321"/>
        <w:jc w:val="center"/>
        <w:spacing w:line="560" w:lineRule="exact"/>
        <w:rPr>
          <w:rFonts w:hint="eastAsia" w:ascii="宋体" w:hAnsi="宋体"/>
          <w:b/>
          <w:sz w:val="32"/>
          <w:szCs w:val="32"/>
        </w:rPr>
      </w:pPr>
      <w:r>
        <w:rPr>
          <w:rFonts w:hint="eastAsia" w:ascii="宋体" w:hAnsi="宋体"/>
          <w:b/>
          <w:sz w:val="32"/>
          <w:szCs w:val="32"/>
        </w:rPr>
      </w:r>
      <w:r/>
    </w:p>
    <w:p>
      <w:pPr>
        <w:pStyle w:val="1072"/>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2"/>
        <w:ind w:firstLine="640"/>
        <w:rPr>
          <w:rFonts w:ascii="宋体" w:hAnsi="宋体"/>
        </w:rPr>
      </w:pPr>
      <w:r>
        <w:rPr>
          <w:rFonts w:ascii="宋体" w:hAnsi="宋体"/>
        </w:rPr>
      </w:r>
      <w:r/>
    </w:p>
    <w:p>
      <w:pPr>
        <w:pStyle w:val="107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20"/>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jc w:val="left"/>
        <w:widowControl/>
        <w:rPr>
          <w:rFonts w:ascii="宋体" w:hAnsi="宋体"/>
          <w:sz w:val="24"/>
          <w:szCs w:val="20"/>
        </w:rPr>
      </w:pPr>
      <w:r/>
      <w:bookmarkStart w:id="831" w:name="_Hlt520274393"/>
      <w:r/>
      <w:bookmarkEnd w:id="831"/>
      <w:r/>
      <w:bookmarkStart w:id="832" w:name="_Hlt520271212"/>
      <w:r/>
      <w:bookmarkEnd w:id="832"/>
      <w:r/>
      <w:bookmarkStart w:id="833" w:name="_Hlt520274065"/>
      <w:r/>
      <w:bookmarkEnd w:id="833"/>
      <w:r/>
      <w:bookmarkStart w:id="834" w:name="_Hlt520350918"/>
      <w:r/>
      <w:bookmarkEnd w:id="834"/>
      <w:r/>
      <w:bookmarkStart w:id="835" w:name="_Hlt520355504"/>
      <w:r/>
      <w:bookmarkEnd w:id="835"/>
      <w:r/>
      <w:bookmarkStart w:id="836" w:name="_Hlt520343392"/>
      <w:r/>
      <w:bookmarkEnd w:id="836"/>
      <w:r/>
      <w:bookmarkStart w:id="837" w:name="_Hlt520274121"/>
      <w:r/>
      <w:bookmarkEnd w:id="837"/>
      <w:r/>
      <w:bookmarkStart w:id="838" w:name="_Hlt520343000"/>
      <w:r/>
      <w:bookmarkEnd w:id="838"/>
      <w:r/>
      <w:bookmarkStart w:id="839" w:name="_Hlt520273711"/>
      <w:r/>
      <w:bookmarkEnd w:id="839"/>
      <w:r/>
      <w:bookmarkStart w:id="840" w:name="_Hlt520274407"/>
      <w:r/>
      <w:bookmarkEnd w:id="840"/>
      <w:r/>
      <w:bookmarkStart w:id="841" w:name="_Toc305158825"/>
      <w:r/>
      <w:bookmarkStart w:id="842" w:name="_Toc226965830"/>
      <w:r/>
      <w:bookmarkStart w:id="843" w:name="_Toc127151557"/>
      <w:r/>
      <w:bookmarkStart w:id="844" w:name="_Toc265228395"/>
      <w:r/>
      <w:bookmarkStart w:id="845" w:name="_Ref467988705"/>
      <w:r/>
      <w:bookmarkStart w:id="846" w:name="_Toc226337253"/>
      <w:r/>
      <w:bookmarkStart w:id="847" w:name="_Toc226965747"/>
      <w:r/>
      <w:bookmarkStart w:id="848" w:name="_Toc150774762"/>
      <w:r/>
      <w:bookmarkStart w:id="849" w:name="_Toc305158899"/>
      <w:r/>
      <w:bookmarkStart w:id="850" w:name="_Toc480942350"/>
      <w:r/>
      <w:bookmarkStart w:id="851" w:name="_Toc195842922"/>
      <w:r/>
      <w:bookmarkStart w:id="852" w:name="_Toc226309801"/>
      <w:r/>
      <w:bookmarkStart w:id="853" w:name="_Toc150480795"/>
      <w:r/>
      <w:bookmarkStart w:id="854" w:name="_Toc520356218"/>
      <w:r/>
      <w:bookmarkStart w:id="855" w:name="_Toc142311059"/>
      <w:r/>
      <w:bookmarkStart w:id="856" w:name="_Toc264969247"/>
      <w:r>
        <w:rPr>
          <w:rFonts w:ascii="宋体" w:hAnsi="宋体"/>
          <w:sz w:val="24"/>
          <w:szCs w:val="20"/>
        </w:rPr>
        <w:br w:type="page" w:clear="all"/>
      </w:r>
      <w:r/>
    </w:p>
    <w:p>
      <w:pPr>
        <w:pStyle w:val="1072"/>
        <w:spacing w:line="360" w:lineRule="auto"/>
        <w:rPr>
          <w:rFonts w:ascii="宋体" w:hAnsi="宋体"/>
          <w:b/>
          <w:sz w:val="24"/>
        </w:rPr>
        <w:outlineLvl w:val="2"/>
      </w:pPr>
      <w:r>
        <w:rPr>
          <w:rFonts w:hint="eastAsia" w:ascii="宋体" w:hAnsi="宋体"/>
          <w:b/>
          <w:sz w:val="24"/>
        </w:rPr>
        <w:t xml:space="preserve">4</w:t>
      </w:r>
      <w:r>
        <w:rPr>
          <w:rFonts w:ascii="宋体" w:hAnsi="宋体"/>
          <w:b/>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rPr>
        <w:t xml:space="preserve">（实质性格式）</w:t>
      </w:r>
      <w:r/>
    </w:p>
    <w:p>
      <w:pPr>
        <w:pStyle w:val="1072"/>
        <w:jc w:val="center"/>
        <w:spacing w:line="360" w:lineRule="exact"/>
        <w:rPr>
          <w:rFonts w:ascii="宋体" w:hAnsi="宋体"/>
          <w:b/>
          <w:sz w:val="36"/>
          <w:szCs w:val="36"/>
        </w:rPr>
      </w:pPr>
      <w:r/>
      <w:bookmarkStart w:id="857" w:name="_Toc265228396"/>
      <w:r/>
      <w:bookmarkStart w:id="858" w:name="_Toc226337254"/>
      <w:r/>
      <w:bookmarkStart w:id="859" w:name="_Toc226965748"/>
      <w:r/>
      <w:bookmarkStart w:id="860" w:name="_Toc305158900"/>
      <w:r/>
      <w:bookmarkStart w:id="861" w:name="_Toc164608827"/>
      <w:r/>
      <w:bookmarkStart w:id="862" w:name="_Toc164608672"/>
      <w:r/>
      <w:bookmarkStart w:id="863" w:name="_Toc195842923"/>
      <w:r/>
      <w:bookmarkStart w:id="864" w:name="_Toc226309802"/>
      <w:r/>
      <w:bookmarkStart w:id="865" w:name="_Toc264969248"/>
      <w:r/>
      <w:bookmarkStart w:id="866" w:name="_Toc226965831"/>
      <w:r/>
      <w:bookmarkStart w:id="867" w:name="_Toc305158826"/>
      <w:r>
        <w:rPr>
          <w:rFonts w:hint="eastAsia" w:ascii="宋体" w:hAnsi="宋体"/>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36"/>
          <w:szCs w:val="36"/>
        </w:rPr>
      </w:r>
      <w:r/>
    </w:p>
    <w:p>
      <w:pPr>
        <w:pStyle w:val="1072"/>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2"/>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投标报价</w:t>
            </w:r>
            <w:r>
              <w:rPr>
                <w:rFonts w:hint="eastAsia"/>
                <w:b/>
                <w:sz w:val="24"/>
              </w:rPr>
              <w:t xml:space="preserve">（元/斤）</w:t>
            </w:r>
            <w:r>
              <w:rPr>
                <w:rFonts w:ascii="宋体" w:hAnsi="宋体"/>
                <w:b/>
                <w:sz w:val="24"/>
              </w:rPr>
            </w:r>
            <w:r/>
          </w:p>
        </w:tc>
      </w:tr>
      <w:tr>
        <w:trPr>
          <w:cantSplit/>
          <w:trHeight w:val="674"/>
        </w:trPr>
        <w:tc>
          <w:tcPr>
            <w:tcW w:w="412" w:type="pct"/>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r>
    </w:tbl>
    <w:p>
      <w:pPr>
        <w:pStyle w:val="1072"/>
        <w:jc w:val="left"/>
        <w:rPr>
          <w:rFonts w:ascii="宋体" w:hAnsi="宋体"/>
          <w:sz w:val="24"/>
        </w:rPr>
      </w:pPr>
      <w:r>
        <w:rPr>
          <w:rFonts w:ascii="宋体" w:hAnsi="宋体"/>
          <w:sz w:val="24"/>
        </w:rPr>
      </w:r>
      <w:r/>
    </w:p>
    <w:p>
      <w:pPr>
        <w:pStyle w:val="1072"/>
        <w:ind w:firstLine="480"/>
        <w:tabs>
          <w:tab w:val="left" w:pos="5580" w:leader="none"/>
        </w:tabs>
        <w:rPr>
          <w:rFonts w:ascii="宋体" w:hAnsi="宋体"/>
          <w:sz w:val="24"/>
          <w:szCs w:val="20"/>
        </w:rPr>
      </w:pPr>
      <w:r>
        <w:rPr>
          <w:rFonts w:ascii="宋体" w:hAnsi="宋体"/>
          <w:sz w:val="24"/>
        </w:rPr>
        <w:t xml:space="preserve">注：</w:t>
      </w:r>
      <w:r>
        <w:rPr>
          <w:rFonts w:hint="eastAsia" w:ascii="宋体" w:hAnsi="宋体"/>
          <w:sz w:val="24"/>
        </w:rPr>
        <w:t xml:space="preserve">投标文件制作系统中报价单位为：</w:t>
      </w:r>
      <w:r>
        <w:rPr>
          <w:rFonts w:hint="eastAsia"/>
          <w:b/>
          <w:sz w:val="24"/>
        </w:rPr>
        <w:t xml:space="preserve">元/斤</w:t>
      </w:r>
      <w:r>
        <w:rPr>
          <w:rFonts w:ascii="宋体" w:hAnsi="宋体"/>
          <w:sz w:val="24"/>
          <w:szCs w:val="20"/>
        </w:rPr>
        <w:t xml:space="preserve">。</w:t>
      </w:r>
      <w:r/>
    </w:p>
    <w:p>
      <w:pPr>
        <w:pStyle w:val="1072"/>
        <w:spacing w:before="25" w:after="25" w:line="360" w:lineRule="auto"/>
        <w:rPr>
          <w:rFonts w:ascii="宋体" w:hAnsi="宋体"/>
          <w:sz w:val="24"/>
        </w:rPr>
      </w:pPr>
      <w:r>
        <w:rPr>
          <w:rFonts w:ascii="宋体" w:hAnsi="宋体"/>
          <w:sz w:val="24"/>
        </w:rPr>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rPr>
        <w:outlineLvl w:val="2"/>
      </w:pPr>
      <w:r/>
      <w:bookmarkStart w:id="868" w:name="_Toc150774763"/>
      <w:r/>
      <w:bookmarkStart w:id="869" w:name="_Toc265228397"/>
      <w:r/>
      <w:bookmarkStart w:id="870" w:name="_Toc142311060"/>
      <w:r/>
      <w:bookmarkStart w:id="871" w:name="_Toc305158827"/>
      <w:r/>
      <w:bookmarkStart w:id="872" w:name="_Toc127151558"/>
      <w:r/>
      <w:bookmarkStart w:id="873" w:name="_Toc226965832"/>
      <w:r/>
      <w:bookmarkStart w:id="874" w:name="_Toc226965749"/>
      <w:r/>
      <w:bookmarkStart w:id="875" w:name="_Toc226309803"/>
      <w:r/>
      <w:bookmarkStart w:id="876" w:name="_Toc264969249"/>
      <w:r/>
      <w:bookmarkStart w:id="877" w:name="_Toc150480796"/>
      <w:r/>
      <w:bookmarkStart w:id="878" w:name="_Toc195842924"/>
      <w:r/>
      <w:bookmarkStart w:id="879" w:name="_Toc226337255"/>
      <w:r/>
      <w:bookmarkStart w:id="880" w:name="_Toc305158901"/>
      <w:r>
        <w:rPr>
          <w:rFonts w:ascii="宋体" w:hAnsi="宋体"/>
          <w:sz w:val="24"/>
          <w:szCs w:val="20"/>
        </w:rPr>
        <w:br w:type="page" w:clear="all"/>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127151562"/>
      <w:r/>
      <w:bookmarkStart w:id="882" w:name="_Toc150774765"/>
      <w:r/>
      <w:bookmarkStart w:id="883" w:name="_Toc226309806"/>
      <w:r/>
      <w:bookmarkStart w:id="884" w:name="_Toc150480798"/>
      <w:r/>
      <w:bookmarkStart w:id="885" w:name="_Toc226337258"/>
      <w:r/>
      <w:bookmarkStart w:id="886" w:name="_Toc195842927"/>
      <w:r/>
      <w:bookmarkStart w:id="887" w:name="_Toc226965752"/>
      <w:r/>
      <w:bookmarkStart w:id="888" w:name="_Toc264969252"/>
      <w:r/>
      <w:bookmarkStart w:id="889" w:name="_Toc305158904"/>
      <w:r/>
      <w:bookmarkStart w:id="890" w:name="_Toc142311062"/>
      <w:r/>
      <w:bookmarkStart w:id="891" w:name="_Toc226965835"/>
      <w:r/>
      <w:bookmarkStart w:id="892" w:name="_Toc305158830"/>
      <w:r/>
      <w:bookmarkStart w:id="893" w:name="_Toc265228400"/>
      <w:r/>
      <w:bookmarkStart w:id="894" w:name="_Toc195842926"/>
      <w:r/>
      <w:bookmarkStart w:id="895" w:name="_Toc305158829"/>
      <w:r/>
      <w:bookmarkStart w:id="896" w:name="_Toc127151561"/>
      <w:r/>
      <w:bookmarkStart w:id="897" w:name="_Toc150480797"/>
      <w:r/>
      <w:bookmarkStart w:id="898" w:name="_Toc142311061"/>
      <w:r/>
      <w:bookmarkStart w:id="899" w:name="_Toc150774764"/>
      <w:r/>
      <w:bookmarkStart w:id="900" w:name="_Toc226965834"/>
      <w:r/>
      <w:bookmarkStart w:id="901" w:name="_Toc264969251"/>
      <w:r/>
      <w:bookmarkStart w:id="902" w:name="_Toc265228399"/>
      <w:r/>
      <w:bookmarkStart w:id="903" w:name="_Toc226965751"/>
      <w:r/>
      <w:bookmarkStart w:id="904" w:name="_Toc305158903"/>
      <w:r/>
      <w:bookmarkStart w:id="905" w:name="_Toc226337257"/>
      <w:r/>
      <w:bookmarkStart w:id="906" w:name="_Toc226309805"/>
      <w:r>
        <w:rPr>
          <w:rFonts w:hint="eastAsia" w:ascii="宋体" w:hAnsi="宋体"/>
          <w:b/>
          <w:sz w:val="24"/>
        </w:rPr>
        <w:t xml:space="preserve">5</w:t>
      </w:r>
      <w:r>
        <w:rPr>
          <w:rFonts w:ascii="宋体" w:hAnsi="宋体"/>
          <w:b/>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sz w:val="24"/>
        </w:rPr>
        <w:t xml:space="preserve">（实质性格式）</w:t>
      </w:r>
      <w:r/>
    </w:p>
    <w:p>
      <w:pPr>
        <w:pStyle w:val="1072"/>
        <w:spacing w:line="360" w:lineRule="auto"/>
        <w:rPr>
          <w:rFonts w:ascii="宋体" w:hAnsi="宋体"/>
          <w:sz w:val="24"/>
          <w:szCs w:val="20"/>
        </w:rPr>
      </w:pPr>
      <w:r>
        <w:rPr>
          <w:rFonts w:ascii="宋体" w:hAnsi="宋体"/>
          <w:sz w:val="24"/>
          <w:szCs w:val="20"/>
        </w:rPr>
      </w:r>
      <w:r/>
    </w:p>
    <w:p>
      <w:pPr>
        <w:pStyle w:val="1072"/>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2"/>
        <w:spacing w:line="360" w:lineRule="auto"/>
        <w:rPr>
          <w:rFonts w:ascii="宋体" w:hAnsi="宋体"/>
          <w:sz w:val="24"/>
          <w:szCs w:val="20"/>
        </w:rPr>
      </w:pPr>
      <w:r>
        <w:rPr>
          <w:rFonts w:ascii="宋体" w:hAnsi="宋体"/>
          <w:sz w:val="24"/>
          <w:szCs w:val="20"/>
        </w:rPr>
      </w:r>
      <w:r/>
    </w:p>
    <w:p>
      <w:pPr>
        <w:pStyle w:val="1072"/>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2"/>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2"/>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2"/>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2"/>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2"/>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2"/>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2"/>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2"/>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bl>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注：</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2"/>
        <w:spacing w:line="360" w:lineRule="auto"/>
        <w:rPr>
          <w:rFonts w:ascii="宋体" w:hAnsi="宋体"/>
          <w:sz w:val="24"/>
          <w:szCs w:val="20"/>
        </w:rPr>
      </w:pPr>
      <w:r>
        <w:rPr>
          <w:rFonts w:ascii="宋体" w:hAnsi="宋体"/>
          <w:sz w:val="24"/>
          <w:szCs w:val="20"/>
        </w:rPr>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rPr>
        <w:outlineLvl w:val="2"/>
      </w:pPr>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sz w:val="24"/>
        </w:rPr>
        <w:t xml:space="preserve">采购需求偏离表（实质性格式）</w:t>
      </w:r>
      <w:r/>
    </w:p>
    <w:p>
      <w:pPr>
        <w:pStyle w:val="1072"/>
        <w:jc w:val="center"/>
        <w:spacing w:line="360" w:lineRule="auto"/>
        <w:rPr>
          <w:rFonts w:hint="eastAsia" w:ascii="宋体" w:hAnsi="宋体"/>
          <w:b/>
          <w:sz w:val="36"/>
          <w:szCs w:val="36"/>
        </w:rPr>
      </w:pPr>
      <w:r>
        <w:rPr>
          <w:rFonts w:hint="eastAsia" w:ascii="宋体" w:hAnsi="宋体"/>
          <w:b/>
          <w:sz w:val="36"/>
          <w:szCs w:val="36"/>
        </w:rPr>
      </w:r>
      <w:r/>
    </w:p>
    <w:p>
      <w:pPr>
        <w:pStyle w:val="1072"/>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2"/>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2"/>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2"/>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2"/>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2"/>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2"/>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bl>
    <w:p>
      <w:pPr>
        <w:pStyle w:val="1072"/>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2"/>
        <w:jc w:val="left"/>
        <w:tabs>
          <w:tab w:val="left" w:pos="1800" w:leader="none"/>
          <w:tab w:val="left" w:pos="5580" w:leader="none"/>
        </w:tabs>
        <w:rPr>
          <w:rFonts w:ascii="宋体" w:hAnsi="宋体"/>
          <w:sz w:val="24"/>
        </w:rPr>
      </w:pPr>
      <w:r>
        <w:rPr>
          <w:rFonts w:ascii="宋体" w:hAnsi="宋体"/>
          <w:sz w:val="24"/>
        </w:rPr>
        <w:t xml:space="preserve">注：</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rPr>
          <w:rFonts w:ascii="宋体" w:hAnsi="宋体"/>
          <w:sz w:val="24"/>
          <w:szCs w:val="20"/>
        </w:rPr>
      </w:pPr>
      <w:r>
        <w:rPr>
          <w:rFonts w:ascii="宋体" w:hAnsi="宋体"/>
          <w:sz w:val="24"/>
          <w:szCs w:val="20"/>
        </w:rPr>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rPr>
          <w:rFonts w:hint="eastAsia" w:ascii="宋体" w:hAnsi="宋体"/>
          <w:sz w:val="24"/>
          <w:szCs w:val="20"/>
        </w:rPr>
      </w:pPr>
      <w:r>
        <w:rPr>
          <w:rFonts w:ascii="宋体" w:hAnsi="宋体"/>
          <w:sz w:val="24"/>
          <w:szCs w:val="20"/>
        </w:rPr>
        <w:br w:type="page" w:clear="all"/>
      </w:r>
      <w:r>
        <w:rPr>
          <w:rFonts w:hint="eastAsia" w:ascii="宋体" w:hAnsi="宋体"/>
          <w:sz w:val="24"/>
          <w:szCs w:val="20"/>
        </w:rPr>
      </w:r>
      <w:r/>
    </w:p>
    <w:p>
      <w:pPr>
        <w:pStyle w:val="1072"/>
        <w:spacing w:line="360" w:lineRule="auto"/>
        <w:rPr>
          <w:rFonts w:ascii="宋体" w:hAnsi="宋体"/>
          <w:b/>
          <w:sz w:val="24"/>
        </w:rPr>
        <w:outlineLvl w:val="2"/>
      </w:pPr>
      <w:r>
        <w:rPr>
          <w:rFonts w:hint="eastAsia" w:ascii="宋体" w:hAnsi="宋体"/>
          <w:b/>
          <w:sz w:val="24"/>
        </w:rPr>
        <w:t xml:space="preserve">7</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rPr>
      </w:r>
      <w:r/>
    </w:p>
    <w:p>
      <w:pPr>
        <w:pStyle w:val="1072"/>
        <w:ind w:firstLine="480"/>
        <w:spacing w:line="560" w:lineRule="exact"/>
        <w:rPr>
          <w:rFonts w:hint="eastAsia" w:ascii="宋体" w:hAnsi="宋体"/>
          <w:sz w:val="24"/>
          <w:szCs w:val="20"/>
        </w:rPr>
      </w:pPr>
      <w:r>
        <w:rPr>
          <w:rFonts w:hint="eastAsia" w:ascii="宋体" w:hAnsi="宋体"/>
          <w:sz w:val="24"/>
          <w:szCs w:val="20"/>
        </w:rPr>
        <w:t xml:space="preserve">详见</w:t>
      </w:r>
      <w:r>
        <w:rPr>
          <w:rFonts w:ascii="宋体" w:hAnsi="宋体"/>
          <w:b/>
          <w:sz w:val="24"/>
        </w:rPr>
        <w:t xml:space="preserve">评标标准</w:t>
      </w:r>
      <w:r>
        <w:rPr>
          <w:rFonts w:hint="eastAsia" w:ascii="宋体" w:hAnsi="宋体"/>
          <w:sz w:val="24"/>
          <w:szCs w:val="20"/>
        </w:rPr>
      </w:r>
      <w:r/>
    </w:p>
    <w:p>
      <w:pPr>
        <w:pStyle w:val="1072"/>
        <w:rPr>
          <w:rFonts w:hint="eastAsia"/>
        </w:rPr>
      </w:pPr>
      <w:r>
        <w:rPr>
          <w:rFonts w:hint="eastAsia"/>
        </w:rPr>
      </w:r>
      <w:r/>
    </w:p>
    <w:p>
      <w:pPr>
        <w:pStyle w:val="1072"/>
        <w:rPr>
          <w:rFonts w:hint="eastAsia"/>
        </w:rPr>
      </w:pPr>
      <w:r>
        <w:rPr>
          <w:rFonts w:hint="eastAsia"/>
        </w:rPr>
      </w:r>
      <w:r/>
    </w:p>
    <w:p>
      <w:pPr>
        <w:pStyle w:val="1072"/>
        <w:rPr>
          <w:rFonts w:hint="eastAsia"/>
        </w:rPr>
      </w:pPr>
      <w:r>
        <w:rPr>
          <w:rFonts w:hint="eastAsia"/>
        </w:rPr>
      </w:r>
      <w:r/>
    </w:p>
    <w:p>
      <w:pPr>
        <w:pStyle w:val="1072"/>
        <w:rPr>
          <w:rFonts w:hint="eastAsia"/>
        </w:rPr>
      </w:pPr>
      <w:r>
        <w:rPr>
          <w:rFonts w:hint="eastAsia"/>
        </w:rPr>
      </w:r>
      <w:r/>
    </w:p>
    <w:p>
      <w:pPr>
        <w:pStyle w:val="1072"/>
        <w:spacing w:line="360" w:lineRule="auto"/>
        <w:rPr>
          <w:rFonts w:ascii="宋体" w:hAnsi="宋体"/>
          <w:b/>
          <w:sz w:val="24"/>
        </w:rPr>
        <w:outlineLvl w:val="2"/>
      </w:pPr>
      <w:r>
        <w:rPr>
          <w:rFonts w:hint="eastAsia" w:ascii="宋体" w:hAnsi="宋体"/>
          <w:b/>
          <w:sz w:val="24"/>
        </w:rPr>
        <w:t xml:space="preserve">8  参加本项目人员一览表</w:t>
      </w:r>
      <w:r>
        <w:rPr>
          <w:rFonts w:ascii="宋体" w:hAnsi="宋体"/>
          <w:b/>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2"/>
        <w:spacing w:line="360" w:lineRule="auto"/>
        <w:rPr>
          <w:rFonts w:ascii="宋体" w:hAnsi="宋体"/>
          <w:sz w:val="22"/>
        </w:rPr>
      </w:pPr>
      <w:r>
        <w:rPr>
          <w:rFonts w:ascii="宋体" w:hAnsi="宋体"/>
          <w:sz w:val="22"/>
        </w:rPr>
      </w:r>
      <w:r/>
    </w:p>
    <w:p>
      <w:pPr>
        <w:pStyle w:val="107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2"/>
        <w:tabs>
          <w:tab w:val="left" w:pos="9765" w:leader="none"/>
        </w:tabs>
        <w:rPr>
          <w:rFonts w:ascii="宋体" w:hAnsi="宋体" w:cs="宋体"/>
          <w:b/>
          <w:sz w:val="24"/>
          <w:lang w:val="zh-CN"/>
        </w:rPr>
      </w:pPr>
      <w:r>
        <w:rPr>
          <w:rFonts w:ascii="宋体" w:hAnsi="宋体" w:cs="宋体"/>
          <w:b/>
          <w:sz w:val="24"/>
          <w:lang w:val="zh-CN"/>
        </w:rPr>
      </w:r>
      <w:r/>
    </w:p>
    <w:p>
      <w:pPr>
        <w:pStyle w:val="107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2"/>
        <w:spacing w:line="360" w:lineRule="auto"/>
        <w:rPr>
          <w:rFonts w:ascii="宋体" w:hAnsi="宋体"/>
          <w:sz w:val="24"/>
        </w:rPr>
      </w:pPr>
      <w:r>
        <w:rPr>
          <w:rFonts w:ascii="宋体" w:hAnsi="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rPr>
          <w:rFonts w:hint="eastAsia" w:ascii="宋体" w:hAnsi="宋体"/>
          <w:sz w:val="22"/>
        </w:rPr>
      </w:pPr>
      <w:r>
        <w:rPr>
          <w:rFonts w:ascii="宋体" w:hAnsi="宋体"/>
          <w:sz w:val="22"/>
        </w:rPr>
        <w:br w:type="page" w:clear="all"/>
      </w:r>
      <w:bookmarkStart w:id="907" w:name="_Toc288738397"/>
      <w:r/>
      <w:bookmarkStart w:id="908" w:name="_Toc288738839"/>
      <w:r>
        <w:rPr>
          <w:rFonts w:hint="eastAsia" w:ascii="宋体" w:hAnsi="宋体"/>
          <w:sz w:val="22"/>
        </w:rPr>
      </w:r>
      <w:r/>
    </w:p>
    <w:p>
      <w:pPr>
        <w:pStyle w:val="1072"/>
        <w:spacing w:line="360" w:lineRule="auto"/>
        <w:rPr>
          <w:rFonts w:ascii="宋体" w:hAnsi="宋体"/>
          <w:b/>
          <w:sz w:val="24"/>
        </w:rPr>
        <w:outlineLvl w:val="2"/>
      </w:pPr>
      <w:r>
        <w:rPr>
          <w:rFonts w:hint="eastAsia" w:ascii="宋体" w:hAnsi="宋体"/>
          <w:b/>
          <w:sz w:val="24"/>
        </w:rPr>
        <w:t xml:space="preserve">9  相关业绩案例一览表</w:t>
      </w:r>
      <w:r>
        <w:rPr>
          <w:rFonts w:ascii="宋体" w:hAnsi="宋体"/>
          <w:b/>
          <w:sz w:val="24"/>
        </w:rPr>
      </w:r>
      <w:r/>
    </w:p>
    <w:p>
      <w:pPr>
        <w:pStyle w:val="1072"/>
        <w:rPr>
          <w:rFonts w:ascii="宋体" w:hAnsi="宋体"/>
          <w:sz w:val="24"/>
          <w:szCs w:val="20"/>
        </w:rPr>
      </w:pPr>
      <w:r>
        <w:rPr>
          <w:rFonts w:ascii="宋体" w:hAnsi="宋体"/>
          <w:sz w:val="24"/>
          <w:szCs w:val="20"/>
        </w:rPr>
      </w:r>
      <w:r/>
    </w:p>
    <w:p>
      <w:pPr>
        <w:pStyle w:val="1072"/>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1072"/>
        <w:jc w:val="center"/>
        <w:spacing w:line="360" w:lineRule="auto"/>
        <w:rPr>
          <w:rFonts w:ascii="宋体" w:hAnsi="宋体"/>
          <w:b/>
          <w:sz w:val="28"/>
          <w:szCs w:val="30"/>
        </w:rPr>
      </w:pPr>
      <w:r>
        <w:rPr>
          <w:rFonts w:ascii="宋体" w:hAnsi="宋体"/>
          <w:b/>
          <w:sz w:val="28"/>
          <w:szCs w:val="30"/>
        </w:rPr>
      </w:r>
      <w:r/>
    </w:p>
    <w:p>
      <w:pPr>
        <w:pStyle w:val="107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bl>
    <w:p>
      <w:pPr>
        <w:pStyle w:val="1072"/>
        <w:tabs>
          <w:tab w:val="left" w:pos="9765" w:leader="none"/>
        </w:tabs>
        <w:rPr>
          <w:rFonts w:ascii="宋体" w:hAnsi="宋体" w:cs="宋体"/>
          <w:sz w:val="24"/>
          <w:lang w:val="zh-CN"/>
        </w:rPr>
      </w:pPr>
      <w:r>
        <w:rPr>
          <w:rFonts w:ascii="宋体" w:hAnsi="宋体" w:cs="宋体"/>
          <w:sz w:val="24"/>
          <w:lang w:val="zh-CN"/>
        </w:rPr>
      </w:r>
      <w:r/>
    </w:p>
    <w:p>
      <w:pPr>
        <w:pStyle w:val="1072"/>
        <w:spacing w:line="360" w:lineRule="auto"/>
        <w:rPr>
          <w:rFonts w:ascii="宋体" w:hAnsi="宋体" w:cs="宋体"/>
          <w:sz w:val="24"/>
        </w:rPr>
      </w:pPr>
      <w:r>
        <w:rPr>
          <w:rFonts w:ascii="宋体" w:hAnsi="宋体" w:cs="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pPr>
      <w:r/>
      <w:r/>
    </w:p>
    <w:p>
      <w:pPr>
        <w:pStyle w:val="1072"/>
      </w:pPr>
      <w:r/>
      <w:r/>
    </w:p>
    <w:p>
      <w:pPr>
        <w:pStyle w:val="1072"/>
      </w:pPr>
      <w:r/>
      <w:r/>
    </w:p>
    <w:p>
      <w:pPr>
        <w:pStyle w:val="1072"/>
      </w:pPr>
      <w:r/>
      <w:r/>
    </w:p>
    <w:p>
      <w:pPr>
        <w:pStyle w:val="1072"/>
      </w:pPr>
      <w:r/>
      <w:r/>
    </w:p>
    <w:p>
      <w:pPr>
        <w:pStyle w:val="1072"/>
        <w:rPr>
          <w:rFonts w:hint="eastAsia"/>
        </w:rPr>
      </w:pPr>
      <w:r>
        <w:rPr>
          <w:rFonts w:hint="eastAsia"/>
        </w:rPr>
      </w:r>
      <w:r/>
    </w:p>
    <w:p>
      <w:pPr>
        <w:pStyle w:val="1072"/>
        <w:spacing w:line="360" w:lineRule="auto"/>
        <w:rPr>
          <w:rFonts w:ascii="宋体" w:hAnsi="宋体"/>
          <w:b/>
          <w:sz w:val="24"/>
        </w:rPr>
        <w:outlineLvl w:val="2"/>
      </w:pPr>
      <w:r>
        <w:rPr>
          <w:rFonts w:hint="eastAsia" w:ascii="宋体" w:hAnsi="宋体"/>
          <w:b/>
          <w:sz w:val="24"/>
        </w:rPr>
        <w:t xml:space="preserve">10  </w:t>
      </w:r>
      <w:r>
        <w:rPr>
          <w:rFonts w:ascii="宋体" w:hAnsi="宋体"/>
          <w:b/>
          <w:sz w:val="24"/>
        </w:rPr>
        <w:t xml:space="preserve">招标文件要求提供或投标人认为应附的其他材料</w:t>
      </w:r>
      <w:r/>
    </w:p>
    <w:p>
      <w:pPr>
        <w:pStyle w:val="1072"/>
      </w:pPr>
      <w:r/>
      <w:r/>
    </w:p>
    <w:p>
      <w:pPr>
        <w:pStyle w:val="1072"/>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2"/>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right="360"/>
      <w:rPr>
        <w:rStyle w:val="1145"/>
      </w:rPr>
      <w:framePr w:wrap="around" w:vAnchor="text" w:hAnchor="margin" w:y="1"/>
    </w:pPr>
    <w:r>
      <w:rPr>
        <w:rStyle w:val="1145"/>
      </w:rPr>
    </w:r>
    <w:r/>
  </w:p>
  <w:p>
    <w:pPr>
      <w:pStyle w:val="1121"/>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5"/>
      </w:rPr>
      <w:framePr w:wrap="around" w:vAnchor="text" w:hAnchor="margin" w:xAlign="center" w:y="1"/>
    </w:pPr>
    <w:r>
      <w:fldChar w:fldCharType="begin"/>
    </w:r>
    <w:r>
      <w:rPr>
        <w:rStyle w:val="1145"/>
      </w:rPr>
      <w:instrText xml:space="preserve">PAGE  </w:instrText>
    </w:r>
    <w:r>
      <w:fldChar w:fldCharType="end"/>
    </w:r>
    <w:r>
      <w:rPr>
        <w:rStyle w:val="1145"/>
      </w:rPr>
    </w:r>
    <w:r/>
  </w:p>
  <w:p>
    <w:pPr>
      <w:pStyle w:val="112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5"/>
      </w:rPr>
      <w:framePr w:wrap="around" w:vAnchor="text" w:hAnchor="margin" w:xAlign="right" w:y="1"/>
    </w:pPr>
    <w:r>
      <w:rPr>
        <w:rStyle w:val="1145"/>
      </w:rPr>
    </w:r>
    <w:r/>
  </w:p>
  <w:p>
    <w:pPr>
      <w:pStyle w:val="1121"/>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end"/>
    </w:r>
    <w:r>
      <w:rPr>
        <w:rStyle w:val="1145"/>
      </w:rPr>
    </w:r>
    <w:r/>
  </w:p>
  <w:p>
    <w:pPr>
      <w:pStyle w:val="1121"/>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end"/>
    </w:r>
    <w:r>
      <w:rPr>
        <w:rStyle w:val="1145"/>
      </w:rPr>
    </w:r>
    <w:r/>
  </w:p>
  <w:p>
    <w:pPr>
      <w:pStyle w:val="1121"/>
      <w:ind w:right="360"/>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1"/>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6"/>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6"/>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5"/>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1"/>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2"/>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5"/>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3"/>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2"/>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7">
    <w:multiLevelType w:val="hybridMultilevel"/>
    <w:lvl w:ilvl="0">
      <w:start w:val="1"/>
      <w:numFmt w:val="decimal"/>
      <w:pStyle w:val="1180"/>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8">
    <w:multiLevelType w:val="hybridMultilevel"/>
    <w:lvl w:ilvl="0">
      <w:start w:val="1"/>
      <w:numFmt w:val="decimal"/>
      <w:pStyle w:val="1281"/>
      <w:isLgl w:val="false"/>
      <w:suff w:val="tab"/>
      <w:lvlText w:val="%1"/>
      <w:lvlJc w:val="left"/>
      <w:pPr>
        <w:pStyle w:val="1072"/>
        <w:ind w:left="680" w:hanging="680"/>
      </w:pPr>
      <w:rPr>
        <w:rFonts w:hint="eastAsia" w:ascii="宋体" w:hAnsi="宋体" w:eastAsia="宋体"/>
      </w:rPr>
    </w:lvl>
    <w:lvl w:ilvl="1">
      <w:start w:val="1"/>
      <w:numFmt w:val="decimal"/>
      <w:pStyle w:val="1282"/>
      <w:isLgl w:val="false"/>
      <w:suff w:val="tab"/>
      <w:lvlText w:val="%1.%2"/>
      <w:lvlJc w:val="left"/>
      <w:pPr>
        <w:pStyle w:val="1072"/>
        <w:ind w:left="851" w:hanging="851"/>
      </w:pPr>
      <w:rPr>
        <w:rFonts w:hint="eastAsia" w:ascii="宋体" w:hAnsi="宋体" w:eastAsia="宋体"/>
        <w:color w:val="000000"/>
      </w:rPr>
    </w:lvl>
    <w:lvl w:ilvl="2">
      <w:start w:val="1"/>
      <w:numFmt w:val="decimal"/>
      <w:pStyle w:val="1283"/>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9">
    <w:multiLevelType w:val="hybridMultilevel"/>
    <w:lvl w:ilvl="0">
      <w:start w:val="1"/>
      <w:numFmt w:val="decimal"/>
      <w:isLgl w:val="false"/>
      <w:suff w:val="tab"/>
      <w:lvlText w:val="%1"/>
      <w:lvlJc w:val="left"/>
      <w:pPr>
        <w:pStyle w:val="1072"/>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第%1条"/>
      <w:lvlJc w:val="left"/>
      <w:pPr>
        <w:pStyle w:val="1072"/>
        <w:ind w:left="1322" w:hanging="840"/>
      </w:pPr>
    </w:lvl>
    <w:lvl w:ilvl="1">
      <w:start w:val="1"/>
      <w:numFmt w:val="lowerLetter"/>
      <w:isLgl w:val="false"/>
      <w:suff w:val="tab"/>
      <w:lvlText w:val="%2)"/>
      <w:lvlJc w:val="left"/>
      <w:pPr>
        <w:pStyle w:val="1072"/>
        <w:ind w:left="1362" w:hanging="440"/>
      </w:pPr>
    </w:lvl>
    <w:lvl w:ilvl="2">
      <w:start w:val="1"/>
      <w:numFmt w:val="lowerRoman"/>
      <w:isLgl w:val="false"/>
      <w:suff w:val="tab"/>
      <w:lvlText w:val="%3."/>
      <w:lvlJc w:val="right"/>
      <w:pPr>
        <w:pStyle w:val="1072"/>
        <w:ind w:left="1802" w:hanging="440"/>
      </w:pPr>
    </w:lvl>
    <w:lvl w:ilvl="3">
      <w:start w:val="1"/>
      <w:numFmt w:val="decimal"/>
      <w:isLgl w:val="false"/>
      <w:suff w:val="tab"/>
      <w:lvlText w:val="%4."/>
      <w:lvlJc w:val="left"/>
      <w:pPr>
        <w:pStyle w:val="1072"/>
        <w:ind w:left="2242" w:hanging="440"/>
      </w:pPr>
    </w:lvl>
    <w:lvl w:ilvl="4">
      <w:start w:val="1"/>
      <w:numFmt w:val="lowerLetter"/>
      <w:isLgl w:val="false"/>
      <w:suff w:val="tab"/>
      <w:lvlText w:val="%5)"/>
      <w:lvlJc w:val="left"/>
      <w:pPr>
        <w:pStyle w:val="1072"/>
        <w:ind w:left="2682" w:hanging="440"/>
      </w:pPr>
    </w:lvl>
    <w:lvl w:ilvl="5">
      <w:start w:val="1"/>
      <w:numFmt w:val="lowerRoman"/>
      <w:isLgl w:val="false"/>
      <w:suff w:val="tab"/>
      <w:lvlText w:val="%6."/>
      <w:lvlJc w:val="right"/>
      <w:pPr>
        <w:pStyle w:val="1072"/>
        <w:ind w:left="3122" w:hanging="440"/>
      </w:pPr>
    </w:lvl>
    <w:lvl w:ilvl="6">
      <w:start w:val="1"/>
      <w:numFmt w:val="decimal"/>
      <w:isLgl w:val="false"/>
      <w:suff w:val="tab"/>
      <w:lvlText w:val="%7."/>
      <w:lvlJc w:val="left"/>
      <w:pPr>
        <w:pStyle w:val="1072"/>
        <w:ind w:left="3562" w:hanging="440"/>
      </w:pPr>
    </w:lvl>
    <w:lvl w:ilvl="7">
      <w:start w:val="1"/>
      <w:numFmt w:val="lowerLetter"/>
      <w:isLgl w:val="false"/>
      <w:suff w:val="tab"/>
      <w:lvlText w:val="%8)"/>
      <w:lvlJc w:val="left"/>
      <w:pPr>
        <w:pStyle w:val="1072"/>
        <w:ind w:left="4002" w:hanging="440"/>
      </w:pPr>
    </w:lvl>
    <w:lvl w:ilvl="8">
      <w:start w:val="1"/>
      <w:numFmt w:val="lowerRoman"/>
      <w:isLgl w:val="false"/>
      <w:suff w:val="tab"/>
      <w:lvlText w:val="%9."/>
      <w:lvlJc w:val="right"/>
      <w:pPr>
        <w:pStyle w:val="1072"/>
        <w:ind w:left="4442" w:hanging="440"/>
      </w:p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360" w:hanging="36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2"/>
  </w:num>
  <w:num w:numId="12">
    <w:abstractNumId w:val="9"/>
  </w:num>
  <w:num w:numId="13">
    <w:abstractNumId w:val="14"/>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5"/>
    <w:qFormat/>
    <w:pPr>
      <w:jc w:val="center"/>
      <w:keepLines/>
      <w:keepNext/>
      <w:spacing w:before="240" w:after="120" w:line="300" w:lineRule="auto"/>
      <w:outlineLvl w:val="0"/>
    </w:pPr>
    <w:rPr>
      <w:rFonts w:ascii="宋体"/>
      <w:b/>
      <w:sz w:val="32"/>
      <w:szCs w:val="20"/>
    </w:rPr>
  </w:style>
  <w:style w:type="paragraph" w:styleId="1074">
    <w:name w:val="标题 2"/>
    <w:basedOn w:val="1072"/>
    <w:next w:val="1087"/>
    <w:link w:val="1086"/>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7"/>
    <w:link w:val="1089"/>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90"/>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1"/>
    <w:qFormat/>
    <w:pPr>
      <w:keepLines/>
      <w:keepNext/>
      <w:spacing w:before="280" w:after="290" w:line="376" w:lineRule="atLeast"/>
      <w:outlineLvl w:val="4"/>
    </w:pPr>
    <w:rPr>
      <w:b/>
      <w:sz w:val="28"/>
      <w:szCs w:val="20"/>
    </w:rPr>
  </w:style>
  <w:style w:type="paragraph" w:styleId="1078">
    <w:name w:val="标题 6"/>
    <w:basedOn w:val="1072"/>
    <w:next w:val="1072"/>
    <w:link w:val="1092"/>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3"/>
    <w:qFormat/>
    <w:pPr>
      <w:keepLines/>
      <w:keepNext/>
      <w:spacing w:before="240" w:after="64" w:line="320" w:lineRule="atLeast"/>
      <w:outlineLvl w:val="6"/>
    </w:pPr>
    <w:rPr>
      <w:b/>
      <w:sz w:val="24"/>
      <w:szCs w:val="20"/>
    </w:rPr>
  </w:style>
  <w:style w:type="paragraph" w:styleId="1080">
    <w:name w:val="标题 8"/>
    <w:basedOn w:val="1072"/>
    <w:next w:val="1072"/>
    <w:link w:val="1094"/>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5"/>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numbering" w:styleId="1084">
    <w:name w:val="无列表"/>
    <w:next w:val="1084"/>
    <w:link w:val="1072"/>
    <w:uiPriority w:val="99"/>
    <w:semiHidden/>
    <w:unhideWhenUsed/>
  </w:style>
  <w:style w:type="character" w:styleId="1085">
    <w:name w:val="标题 1 字符"/>
    <w:next w:val="1085"/>
    <w:link w:val="1073"/>
    <w:qFormat/>
    <w:rPr>
      <w:rFonts w:ascii="宋体"/>
      <w:b/>
      <w:sz w:val="32"/>
    </w:rPr>
  </w:style>
  <w:style w:type="character" w:styleId="1086">
    <w:name w:val="标题 2 字符"/>
    <w:next w:val="1086"/>
    <w:link w:val="1074"/>
    <w:qFormat/>
    <w:rPr>
      <w:rFonts w:ascii="Arial" w:hAnsi="Arial" w:eastAsia="黑体"/>
      <w:b/>
      <w:sz w:val="30"/>
      <w:lang w:val="en-US" w:eastAsia="zh-CN" w:bidi="ar-SA"/>
    </w:rPr>
  </w:style>
  <w:style w:type="paragraph" w:styleId="1087">
    <w:name w:val="正文缩进"/>
    <w:basedOn w:val="1072"/>
    <w:next w:val="1087"/>
    <w:link w:val="1088"/>
    <w:uiPriority w:val="99"/>
    <w:qFormat/>
    <w:pPr>
      <w:ind w:firstLine="420"/>
      <w:jc w:val="left"/>
    </w:pPr>
    <w:rPr>
      <w:rFonts w:ascii="宋体"/>
      <w:sz w:val="24"/>
    </w:rPr>
  </w:style>
  <w:style w:type="character" w:styleId="1088">
    <w:name w:val="正文缩进 字符1"/>
    <w:next w:val="1088"/>
    <w:link w:val="1087"/>
    <w:qFormat/>
    <w:rPr>
      <w:rFonts w:ascii="宋体" w:eastAsia="宋体"/>
      <w:sz w:val="24"/>
      <w:szCs w:val="24"/>
      <w:lang w:val="en-US" w:eastAsia="zh-CN" w:bidi="ar-SA"/>
    </w:rPr>
  </w:style>
  <w:style w:type="character" w:styleId="1089">
    <w:name w:val="标题 3 字符"/>
    <w:next w:val="1089"/>
    <w:link w:val="1075"/>
    <w:qFormat/>
    <w:rPr>
      <w:rFonts w:ascii="宋体" w:eastAsia="宋体"/>
      <w:b/>
      <w:sz w:val="24"/>
      <w:u w:val="single"/>
      <w:lang w:val="en-US" w:eastAsia="zh-CN" w:bidi="ar-SA"/>
    </w:rPr>
  </w:style>
  <w:style w:type="character" w:styleId="1090">
    <w:name w:val="标题 4 字符"/>
    <w:next w:val="1090"/>
    <w:link w:val="1076"/>
    <w:qFormat/>
    <w:rPr>
      <w:rFonts w:ascii="Arial" w:hAnsi="Arial" w:eastAsia="黑体"/>
      <w:b/>
      <w:sz w:val="28"/>
    </w:rPr>
  </w:style>
  <w:style w:type="character" w:styleId="1091">
    <w:name w:val="标题 5 字符"/>
    <w:next w:val="1091"/>
    <w:link w:val="1077"/>
    <w:qFormat/>
    <w:rPr>
      <w:b/>
      <w:sz w:val="28"/>
    </w:rPr>
  </w:style>
  <w:style w:type="character" w:styleId="1092">
    <w:name w:val="标题 6 字符"/>
    <w:next w:val="1092"/>
    <w:link w:val="1078"/>
    <w:qFormat/>
    <w:rPr>
      <w:rFonts w:ascii="Arial" w:hAnsi="Arial" w:eastAsia="黑体"/>
      <w:b/>
      <w:sz w:val="24"/>
    </w:rPr>
  </w:style>
  <w:style w:type="character" w:styleId="1093">
    <w:name w:val="标题 7 字符"/>
    <w:next w:val="1093"/>
    <w:link w:val="1079"/>
    <w:qFormat/>
    <w:rPr>
      <w:b/>
      <w:sz w:val="24"/>
    </w:rPr>
  </w:style>
  <w:style w:type="character" w:styleId="1094">
    <w:name w:val="标题 8 字符"/>
    <w:next w:val="1094"/>
    <w:link w:val="1080"/>
    <w:qFormat/>
    <w:rPr>
      <w:rFonts w:ascii="Arial" w:hAnsi="Arial" w:eastAsia="黑体"/>
      <w:sz w:val="24"/>
    </w:rPr>
  </w:style>
  <w:style w:type="character" w:styleId="1095">
    <w:name w:val="标题 9 字符"/>
    <w:next w:val="1095"/>
    <w:link w:val="1081"/>
    <w:qFormat/>
    <w:rPr>
      <w:rFonts w:ascii="Arial" w:hAnsi="Arial" w:eastAsia="黑体"/>
      <w:sz w:val="21"/>
    </w:rPr>
  </w:style>
  <w:style w:type="paragraph" w:styleId="1096">
    <w:name w:val="目录 7"/>
    <w:basedOn w:val="1072"/>
    <w:next w:val="1072"/>
    <w:link w:val="1072"/>
    <w:qFormat/>
    <w:pPr>
      <w:ind w:left="2520"/>
    </w:pPr>
  </w:style>
  <w:style w:type="paragraph" w:styleId="1097">
    <w:name w:val="题注"/>
    <w:basedOn w:val="1072"/>
    <w:next w:val="1072"/>
    <w:link w:val="1072"/>
    <w:qFormat/>
    <w:pPr>
      <w:spacing w:line="480" w:lineRule="auto"/>
    </w:pPr>
    <w:rPr>
      <w:rFonts w:ascii="华文中宋" w:hAnsi="华文中宋" w:eastAsia="华文中宋"/>
      <w:sz w:val="36"/>
      <w:szCs w:val="20"/>
    </w:rPr>
  </w:style>
  <w:style w:type="paragraph" w:styleId="1098">
    <w:name w:val="文档结构图"/>
    <w:basedOn w:val="1072"/>
    <w:next w:val="1098"/>
    <w:link w:val="1099"/>
    <w:qFormat/>
    <w:pPr>
      <w:shd w:val="clear" w:color="auto" w:fill="000080"/>
    </w:pPr>
  </w:style>
  <w:style w:type="character" w:styleId="1099">
    <w:name w:val="文档结构图 字符"/>
    <w:next w:val="1099"/>
    <w:link w:val="1098"/>
    <w:qFormat/>
    <w:rPr>
      <w:sz w:val="21"/>
      <w:szCs w:val="24"/>
      <w:shd w:val="clear" w:color="auto" w:fill="000080"/>
    </w:rPr>
  </w:style>
  <w:style w:type="paragraph" w:styleId="1100">
    <w:name w:val="批注文字"/>
    <w:basedOn w:val="1072"/>
    <w:next w:val="1100"/>
    <w:link w:val="1101"/>
    <w:qFormat/>
    <w:pPr>
      <w:jc w:val="left"/>
    </w:pPr>
  </w:style>
  <w:style w:type="character" w:styleId="1101">
    <w:name w:val="批注文字 字符2"/>
    <w:next w:val="1101"/>
    <w:link w:val="1100"/>
    <w:uiPriority w:val="99"/>
    <w:qFormat/>
    <w:rPr>
      <w:sz w:val="21"/>
      <w:szCs w:val="24"/>
    </w:rPr>
  </w:style>
  <w:style w:type="paragraph" w:styleId="1102">
    <w:name w:val="正文文本 3"/>
    <w:basedOn w:val="1072"/>
    <w:next w:val="1102"/>
    <w:link w:val="1103"/>
    <w:qFormat/>
    <w:pPr>
      <w:spacing w:after="120"/>
    </w:pPr>
    <w:rPr>
      <w:sz w:val="16"/>
      <w:szCs w:val="16"/>
    </w:rPr>
  </w:style>
  <w:style w:type="character" w:styleId="1103">
    <w:name w:val="正文文本 3 字符"/>
    <w:next w:val="1103"/>
    <w:link w:val="1102"/>
    <w:qFormat/>
    <w:rPr>
      <w:sz w:val="16"/>
      <w:szCs w:val="16"/>
    </w:rPr>
  </w:style>
  <w:style w:type="paragraph" w:styleId="1104">
    <w:name w:val="正文文本"/>
    <w:basedOn w:val="1072"/>
    <w:next w:val="1104"/>
    <w:link w:val="1105"/>
    <w:qFormat/>
    <w:pPr>
      <w:spacing w:before="120" w:line="22" w:lineRule="atLeast"/>
      <w:tabs>
        <w:tab w:val="left" w:pos="567" w:leader="none"/>
      </w:tabs>
    </w:pPr>
    <w:rPr>
      <w:rFonts w:ascii="宋体" w:hAnsi="宋体"/>
      <w:sz w:val="24"/>
    </w:rPr>
  </w:style>
  <w:style w:type="character" w:styleId="1105">
    <w:name w:val="正文文本 字符1"/>
    <w:next w:val="1105"/>
    <w:link w:val="1104"/>
    <w:qFormat/>
    <w:rPr>
      <w:rFonts w:ascii="宋体" w:hAnsi="宋体"/>
      <w:sz w:val="24"/>
      <w:szCs w:val="24"/>
    </w:rPr>
  </w:style>
  <w:style w:type="paragraph" w:styleId="1106">
    <w:name w:val="正文文本缩进"/>
    <w:basedOn w:val="1072"/>
    <w:next w:val="1106"/>
    <w:link w:val="1107"/>
    <w:qFormat/>
    <w:pPr>
      <w:ind w:firstLine="570"/>
      <w:spacing w:line="360" w:lineRule="auto"/>
    </w:pPr>
    <w:rPr>
      <w:sz w:val="24"/>
    </w:rPr>
  </w:style>
  <w:style w:type="character" w:styleId="1107">
    <w:name w:val="正文文本缩进 字符"/>
    <w:next w:val="1107"/>
    <w:link w:val="1106"/>
    <w:qFormat/>
    <w:rPr>
      <w:rFonts w:eastAsia="宋体"/>
      <w:sz w:val="24"/>
      <w:szCs w:val="24"/>
      <w:lang w:val="en-US" w:eastAsia="zh-CN" w:bidi="ar-SA"/>
    </w:rPr>
  </w:style>
  <w:style w:type="paragraph" w:styleId="1108">
    <w:name w:val="列表 2"/>
    <w:basedOn w:val="1072"/>
    <w:next w:val="1108"/>
    <w:link w:val="1072"/>
    <w:qFormat/>
    <w:pPr>
      <w:ind w:left="100" w:hanging="200"/>
    </w:pPr>
  </w:style>
  <w:style w:type="paragraph" w:styleId="1109">
    <w:name w:val="文本块"/>
    <w:basedOn w:val="1072"/>
    <w:next w:val="1109"/>
    <w:link w:val="1072"/>
    <w:qFormat/>
    <w:pPr>
      <w:ind w:left="480" w:right="-341" w:firstLine="513"/>
      <w:widowControl/>
    </w:pPr>
    <w:rPr>
      <w:sz w:val="24"/>
      <w:szCs w:val="20"/>
    </w:rPr>
  </w:style>
  <w:style w:type="paragraph" w:styleId="1110">
    <w:name w:val="目录 5"/>
    <w:basedOn w:val="1072"/>
    <w:next w:val="1072"/>
    <w:link w:val="1072"/>
    <w:qFormat/>
    <w:pPr>
      <w:ind w:left="1680"/>
    </w:pPr>
  </w:style>
  <w:style w:type="paragraph" w:styleId="1111">
    <w:name w:val="目录 3"/>
    <w:basedOn w:val="1072"/>
    <w:next w:val="1072"/>
    <w:link w:val="1072"/>
    <w:uiPriority w:val="39"/>
    <w:qFormat/>
    <w:pPr>
      <w:ind w:left="840"/>
    </w:pPr>
  </w:style>
  <w:style w:type="paragraph" w:styleId="1112">
    <w:name w:val="纯文本"/>
    <w:basedOn w:val="1072"/>
    <w:next w:val="1112"/>
    <w:link w:val="1113"/>
    <w:uiPriority w:val="99"/>
    <w:qFormat/>
    <w:rPr>
      <w:rFonts w:hint="eastAsia" w:ascii="宋体" w:hAnsi="Courier New"/>
      <w:szCs w:val="20"/>
    </w:rPr>
  </w:style>
  <w:style w:type="character" w:styleId="1113">
    <w:name w:val="纯文本 字符3"/>
    <w:next w:val="1113"/>
    <w:link w:val="1112"/>
    <w:qFormat/>
    <w:rPr>
      <w:rFonts w:hint="eastAsia" w:ascii="宋体" w:hAnsi="Courier New" w:eastAsia="宋体" w:cs="宋体"/>
      <w:sz w:val="21"/>
    </w:rPr>
  </w:style>
  <w:style w:type="paragraph" w:styleId="1114">
    <w:name w:val="目录 8"/>
    <w:basedOn w:val="1072"/>
    <w:next w:val="1072"/>
    <w:link w:val="1072"/>
    <w:qFormat/>
    <w:pPr>
      <w:ind w:left="2940"/>
    </w:pPr>
  </w:style>
  <w:style w:type="paragraph" w:styleId="1115">
    <w:name w:val="日期"/>
    <w:basedOn w:val="1072"/>
    <w:next w:val="1072"/>
    <w:link w:val="1116"/>
    <w:qFormat/>
    <w:pPr>
      <w:ind w:left="100"/>
    </w:pPr>
    <w:rPr>
      <w:rFonts w:ascii="仿宋_GB2312" w:hAnsi="宋体" w:eastAsia="仿宋_GB2312"/>
      <w:color w:val="000000"/>
      <w:sz w:val="24"/>
    </w:rPr>
  </w:style>
  <w:style w:type="character" w:styleId="1116">
    <w:name w:val="日期 字符"/>
    <w:next w:val="1116"/>
    <w:link w:val="1115"/>
    <w:qFormat/>
    <w:rPr>
      <w:rFonts w:ascii="仿宋_GB2312" w:hAnsi="宋体" w:eastAsia="仿宋_GB2312"/>
      <w:color w:val="000000"/>
      <w:sz w:val="24"/>
      <w:szCs w:val="24"/>
    </w:rPr>
  </w:style>
  <w:style w:type="paragraph" w:styleId="1117">
    <w:name w:val="正文文本缩进 2"/>
    <w:basedOn w:val="1072"/>
    <w:next w:val="1117"/>
    <w:link w:val="1118"/>
    <w:qFormat/>
    <w:pPr>
      <w:ind w:firstLine="480"/>
    </w:pPr>
    <w:rPr>
      <w:rFonts w:ascii="仿宋_GB2312" w:eastAsia="仿宋_GB2312"/>
      <w:sz w:val="24"/>
    </w:rPr>
  </w:style>
  <w:style w:type="character" w:styleId="1118">
    <w:name w:val="正文文本缩进 2 字符"/>
    <w:next w:val="1118"/>
    <w:link w:val="1117"/>
    <w:qFormat/>
    <w:rPr>
      <w:rFonts w:ascii="仿宋_GB2312" w:eastAsia="仿宋_GB2312"/>
      <w:sz w:val="24"/>
      <w:szCs w:val="24"/>
    </w:rPr>
  </w:style>
  <w:style w:type="paragraph" w:styleId="1119">
    <w:name w:val="批注框文本"/>
    <w:basedOn w:val="1072"/>
    <w:next w:val="1119"/>
    <w:link w:val="1120"/>
    <w:qFormat/>
    <w:rPr>
      <w:sz w:val="18"/>
      <w:szCs w:val="18"/>
    </w:rPr>
  </w:style>
  <w:style w:type="character" w:styleId="1120">
    <w:name w:val="批注框文本 字符"/>
    <w:next w:val="1120"/>
    <w:link w:val="1119"/>
    <w:qFormat/>
    <w:rPr>
      <w:sz w:val="18"/>
      <w:szCs w:val="18"/>
    </w:rPr>
  </w:style>
  <w:style w:type="paragraph" w:styleId="1121">
    <w:name w:val="页脚"/>
    <w:basedOn w:val="1072"/>
    <w:next w:val="1121"/>
    <w:link w:val="1122"/>
    <w:uiPriority w:val="99"/>
    <w:qFormat/>
    <w:pPr>
      <w:jc w:val="left"/>
      <w:tabs>
        <w:tab w:val="center" w:pos="4153" w:leader="none"/>
        <w:tab w:val="right" w:pos="8306" w:leader="none"/>
      </w:tabs>
    </w:pPr>
    <w:rPr>
      <w:rFonts w:ascii="宋体"/>
      <w:sz w:val="18"/>
      <w:szCs w:val="20"/>
    </w:rPr>
  </w:style>
  <w:style w:type="character" w:styleId="1122">
    <w:name w:val="页脚 字符"/>
    <w:next w:val="1122"/>
    <w:link w:val="1121"/>
    <w:uiPriority w:val="99"/>
    <w:qFormat/>
    <w:rPr>
      <w:rFonts w:ascii="宋体" w:eastAsia="宋体"/>
      <w:sz w:val="18"/>
      <w:lang w:val="en-US" w:eastAsia="zh-CN" w:bidi="ar-SA"/>
    </w:rPr>
  </w:style>
  <w:style w:type="paragraph" w:styleId="1123">
    <w:name w:val="页眉"/>
    <w:basedOn w:val="1072"/>
    <w:next w:val="1123"/>
    <w:link w:val="1124"/>
    <w:qFormat/>
    <w:pPr>
      <w:jc w:val="center"/>
      <w:tabs>
        <w:tab w:val="center" w:pos="4153" w:leader="none"/>
        <w:tab w:val="right" w:pos="8306" w:leader="none"/>
      </w:tabs>
      <w:pBdr>
        <w:bottom w:val="single" w:color="000000" w:sz="6" w:space="1"/>
      </w:pBdr>
    </w:pPr>
    <w:rPr>
      <w:sz w:val="18"/>
      <w:szCs w:val="18"/>
    </w:rPr>
  </w:style>
  <w:style w:type="character" w:styleId="1124">
    <w:name w:val="页眉 字符"/>
    <w:next w:val="1124"/>
    <w:link w:val="1123"/>
    <w:qFormat/>
    <w:rPr>
      <w:rFonts w:eastAsia="宋体"/>
      <w:sz w:val="18"/>
      <w:szCs w:val="18"/>
      <w:lang w:val="en-US" w:eastAsia="zh-CN" w:bidi="ar-SA"/>
    </w:rPr>
  </w:style>
  <w:style w:type="paragraph" w:styleId="1125">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6">
    <w:name w:val="目录 4"/>
    <w:basedOn w:val="1072"/>
    <w:next w:val="1072"/>
    <w:link w:val="1072"/>
    <w:qFormat/>
    <w:pPr>
      <w:ind w:left="1260"/>
    </w:pPr>
  </w:style>
  <w:style w:type="paragraph" w:styleId="1127">
    <w:name w:val="目录 6"/>
    <w:basedOn w:val="1072"/>
    <w:next w:val="1072"/>
    <w:link w:val="1072"/>
    <w:qFormat/>
    <w:pPr>
      <w:ind w:left="2100"/>
    </w:pPr>
  </w:style>
  <w:style w:type="paragraph" w:styleId="1128">
    <w:name w:val="正文文本缩进 3"/>
    <w:basedOn w:val="1072"/>
    <w:next w:val="1128"/>
    <w:link w:val="1129"/>
    <w:qFormat/>
    <w:pPr>
      <w:ind w:left="720" w:firstLine="480"/>
      <w:jc w:val="left"/>
      <w:spacing w:before="120" w:line="22" w:lineRule="atLeast"/>
    </w:pPr>
    <w:rPr>
      <w:rFonts w:ascii="宋体"/>
      <w:sz w:val="24"/>
      <w:szCs w:val="20"/>
    </w:rPr>
  </w:style>
  <w:style w:type="character" w:styleId="1129">
    <w:name w:val="正文文本缩进 3 字符"/>
    <w:next w:val="1129"/>
    <w:link w:val="1128"/>
    <w:qFormat/>
    <w:rPr>
      <w:rFonts w:ascii="宋体"/>
      <w:sz w:val="24"/>
    </w:rPr>
  </w:style>
  <w:style w:type="paragraph" w:styleId="1130">
    <w:name w:val="目录 2"/>
    <w:basedOn w:val="1072"/>
    <w:next w:val="1072"/>
    <w:link w:val="1072"/>
    <w:uiPriority w:val="39"/>
    <w:qFormat/>
    <w:pPr>
      <w:ind w:left="420"/>
      <w:spacing w:line="312" w:lineRule="auto"/>
      <w:tabs>
        <w:tab w:val="right" w:pos="8937" w:leader="dot"/>
      </w:tabs>
    </w:pPr>
  </w:style>
  <w:style w:type="paragraph" w:styleId="1131">
    <w:name w:val="目录 9"/>
    <w:basedOn w:val="1072"/>
    <w:next w:val="1072"/>
    <w:link w:val="1072"/>
    <w:qFormat/>
    <w:pPr>
      <w:ind w:left="3360"/>
    </w:pPr>
  </w:style>
  <w:style w:type="paragraph" w:styleId="1132">
    <w:name w:val="HTML 预设格式"/>
    <w:basedOn w:val="1072"/>
    <w:next w:val="1132"/>
    <w:link w:val="113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3">
    <w:name w:val="HTML 预设格式 字符"/>
    <w:next w:val="1133"/>
    <w:link w:val="1132"/>
    <w:qFormat/>
    <w:rPr>
      <w:rFonts w:ascii="宋体" w:hAnsi="宋体" w:cs="宋体"/>
      <w:sz w:val="24"/>
      <w:szCs w:val="24"/>
    </w:rPr>
  </w:style>
  <w:style w:type="paragraph" w:styleId="1134">
    <w:name w:val="普通(网站)"/>
    <w:basedOn w:val="1072"/>
    <w:next w:val="1134"/>
    <w:link w:val="1072"/>
    <w:uiPriority w:val="99"/>
    <w:unhideWhenUsed/>
    <w:qFormat/>
    <w:pPr>
      <w:jc w:val="left"/>
      <w:spacing w:before="100" w:beforeAutospacing="1" w:after="100" w:afterAutospacing="1"/>
      <w:widowControl/>
    </w:pPr>
    <w:rPr>
      <w:rFonts w:ascii="宋体" w:hAnsi="宋体" w:cs="宋体"/>
      <w:sz w:val="24"/>
    </w:rPr>
  </w:style>
  <w:style w:type="paragraph" w:styleId="1135">
    <w:name w:val="索引 1"/>
    <w:basedOn w:val="1072"/>
    <w:next w:val="1072"/>
    <w:link w:val="1072"/>
    <w:qFormat/>
    <w:rPr>
      <w:szCs w:val="20"/>
    </w:rPr>
  </w:style>
  <w:style w:type="paragraph" w:styleId="1136">
    <w:name w:val="标题"/>
    <w:basedOn w:val="1072"/>
    <w:next w:val="1136"/>
    <w:link w:val="1137"/>
    <w:qFormat/>
    <w:pPr>
      <w:jc w:val="center"/>
      <w:outlineLvl w:val="0"/>
    </w:pPr>
    <w:rPr>
      <w:b/>
      <w:sz w:val="32"/>
      <w:szCs w:val="20"/>
    </w:rPr>
  </w:style>
  <w:style w:type="character" w:styleId="1137">
    <w:name w:val="标题 字符"/>
    <w:next w:val="1137"/>
    <w:link w:val="1136"/>
    <w:qFormat/>
    <w:rPr>
      <w:b/>
      <w:sz w:val="32"/>
    </w:rPr>
  </w:style>
  <w:style w:type="paragraph" w:styleId="1138">
    <w:name w:val="批注主题"/>
    <w:basedOn w:val="1100"/>
    <w:next w:val="1100"/>
    <w:link w:val="1139"/>
    <w:qFormat/>
    <w:rPr>
      <w:b/>
      <w:bCs/>
    </w:rPr>
  </w:style>
  <w:style w:type="character" w:styleId="1139">
    <w:name w:val="批注主题 字符"/>
    <w:next w:val="1139"/>
    <w:link w:val="1138"/>
    <w:qFormat/>
    <w:rPr>
      <w:rFonts w:ascii="Times New Roman" w:hAnsi="Times New Roman" w:eastAsia="宋体" w:cs="Times New Roman"/>
      <w:b/>
      <w:bCs/>
      <w:sz w:val="21"/>
      <w:szCs w:val="24"/>
      <w:lang w:val="en-US" w:eastAsia="zh-CN" w:bidi="ar-SA"/>
    </w:rPr>
  </w:style>
  <w:style w:type="paragraph" w:styleId="1140">
    <w:name w:val="正文首行缩进 2"/>
    <w:basedOn w:val="1106"/>
    <w:next w:val="1140"/>
    <w:link w:val="1141"/>
    <w:qFormat/>
    <w:pPr>
      <w:ind w:left="420" w:firstLine="420"/>
      <w:spacing w:after="120" w:line="480" w:lineRule="exact"/>
    </w:pPr>
    <w:rPr>
      <w:szCs w:val="20"/>
    </w:rPr>
  </w:style>
  <w:style w:type="character" w:styleId="1141">
    <w:name w:val="正文首行缩进 2 字符"/>
    <w:next w:val="1141"/>
    <w:link w:val="1140"/>
    <w:qFormat/>
    <w:rPr>
      <w:rFonts w:eastAsia="宋体"/>
      <w:sz w:val="24"/>
      <w:szCs w:val="24"/>
      <w:lang w:val="en-US" w:eastAsia="zh-CN" w:bidi="ar-SA"/>
    </w:rPr>
  </w:style>
  <w:style w:type="table" w:styleId="1142">
    <w:name w:val="网格型"/>
    <w:basedOn w:val="1083"/>
    <w:next w:val="1142"/>
    <w:link w:val="1072"/>
    <w:uiPriority w:val="39"/>
    <w:qFormat/>
    <w:tblPr/>
  </w:style>
  <w:style w:type="table" w:styleId="1143">
    <w:name w:val="中等深浅网格 1 - 着色 2"/>
    <w:basedOn w:val="1083"/>
    <w:next w:val="1143"/>
    <w:link w:val="1072"/>
    <w:qFormat/>
    <w:rPr>
      <w:sz w:val="21"/>
      <w:szCs w:val="24"/>
    </w:rPr>
    <w:tblPr/>
  </w:style>
  <w:style w:type="character" w:styleId="1144">
    <w:name w:val="要点"/>
    <w:next w:val="1144"/>
    <w:link w:val="1072"/>
    <w:uiPriority w:val="22"/>
    <w:qFormat/>
    <w:rPr>
      <w:b/>
      <w:bCs/>
    </w:rPr>
  </w:style>
  <w:style w:type="character" w:styleId="1145">
    <w:name w:val="页码"/>
    <w:next w:val="1145"/>
    <w:link w:val="1072"/>
    <w:qFormat/>
  </w:style>
  <w:style w:type="character" w:styleId="1146">
    <w:name w:val="访问过的超链接"/>
    <w:next w:val="1146"/>
    <w:link w:val="1072"/>
    <w:qFormat/>
    <w:rPr>
      <w:color w:val="800080"/>
      <w:u w:val="single"/>
    </w:rPr>
  </w:style>
  <w:style w:type="character" w:styleId="1147">
    <w:name w:val="强调"/>
    <w:next w:val="1147"/>
    <w:link w:val="1072"/>
    <w:qFormat/>
    <w:rPr>
      <w:color w:val="cc0033"/>
    </w:rPr>
  </w:style>
  <w:style w:type="character" w:styleId="1148">
    <w:name w:val="超链接"/>
    <w:next w:val="1148"/>
    <w:link w:val="1072"/>
    <w:uiPriority w:val="99"/>
    <w:qFormat/>
    <w:rPr>
      <w:color w:val="0000ff"/>
      <w:u w:val="single"/>
    </w:rPr>
  </w:style>
  <w:style w:type="character" w:styleId="1149">
    <w:name w:val="批注引用"/>
    <w:next w:val="1149"/>
    <w:link w:val="1072"/>
    <w:uiPriority w:val="99"/>
    <w:qFormat/>
    <w:rPr>
      <w:sz w:val="21"/>
      <w:szCs w:val="21"/>
    </w:rPr>
  </w:style>
  <w:style w:type="character" w:styleId="1150">
    <w:name w:val="HTML 引文"/>
    <w:next w:val="1150"/>
    <w:link w:val="1072"/>
    <w:qFormat/>
    <w:rPr>
      <w:i/>
      <w:iCs/>
    </w:rPr>
  </w:style>
  <w:style w:type="character" w:styleId="1151">
    <w:name w:val="批注文字 字符"/>
    <w:next w:val="1151"/>
    <w:link w:val="1072"/>
    <w:uiPriority w:val="99"/>
    <w:qFormat/>
    <w:rPr>
      <w:rFonts w:ascii="Times New Roman" w:hAnsi="Times New Roman" w:eastAsia="宋体" w:cs="Times New Roman"/>
      <w:sz w:val="24"/>
      <w:lang w:val="en-US" w:eastAsia="zh-CN" w:bidi="ar-SA"/>
    </w:rPr>
  </w:style>
  <w:style w:type="character" w:styleId="1152">
    <w:name w:val="c21"/>
    <w:next w:val="1152"/>
    <w:link w:val="1072"/>
    <w:qFormat/>
    <w:rPr>
      <w:rFonts w:ascii="ˎ̥" w:hAnsi="ˎ̥"/>
      <w:color w:val="000000"/>
      <w:sz w:val="20"/>
      <w:szCs w:val="20"/>
      <w:u w:val="none"/>
    </w:rPr>
  </w:style>
  <w:style w:type="character" w:styleId="1153">
    <w:name w:val="title4"/>
    <w:next w:val="1153"/>
    <w:link w:val="1072"/>
    <w:qFormat/>
    <w:rPr>
      <w:b/>
      <w:bCs/>
      <w:color w:val="1d87b3"/>
      <w:sz w:val="15"/>
      <w:szCs w:val="15"/>
    </w:rPr>
  </w:style>
  <w:style w:type="character" w:styleId="1154">
    <w:name w:val="标题 2 Char Char"/>
    <w:next w:val="1154"/>
    <w:link w:val="1072"/>
    <w:qFormat/>
    <w:rPr>
      <w:rFonts w:ascii="Arial" w:hAnsi="Arial" w:eastAsia="黑体"/>
      <w:b/>
      <w:bCs/>
      <w:sz w:val="32"/>
      <w:szCs w:val="32"/>
      <w:lang w:val="en-US" w:eastAsia="zh-CN" w:bidi="ar-SA"/>
    </w:rPr>
  </w:style>
  <w:style w:type="character" w:styleId="1155">
    <w:name w:val="black1"/>
    <w:next w:val="1155"/>
    <w:link w:val="1072"/>
    <w:qFormat/>
    <w:rPr>
      <w:color w:val="000000"/>
    </w:rPr>
  </w:style>
  <w:style w:type="character" w:styleId="1156">
    <w:name w:val="street-address"/>
    <w:next w:val="1156"/>
    <w:link w:val="1072"/>
    <w:qFormat/>
  </w:style>
  <w:style w:type="character" w:styleId="1157">
    <w:name w:val="locality"/>
    <w:next w:val="1157"/>
    <w:link w:val="1072"/>
    <w:qFormat/>
  </w:style>
  <w:style w:type="character" w:styleId="1158">
    <w:name w:val="正文文本缩进 Char1"/>
    <w:next w:val="1158"/>
    <w:link w:val="1159"/>
    <w:qFormat/>
    <w:rPr>
      <w:rFonts w:ascii="宋体" w:hAnsi="宋体" w:eastAsia="宋体"/>
      <w:sz w:val="24"/>
      <w:szCs w:val="24"/>
      <w:lang w:bidi="ar-SA"/>
    </w:rPr>
  </w:style>
  <w:style w:type="paragraph" w:styleId="1159">
    <w:name w:val="正文文本缩进1"/>
    <w:basedOn w:val="1072"/>
    <w:next w:val="1159"/>
    <w:link w:val="1158"/>
    <w:qFormat/>
    <w:pPr>
      <w:ind w:firstLine="480"/>
      <w:spacing w:line="480" w:lineRule="exact"/>
    </w:pPr>
    <w:rPr>
      <w:rFonts w:ascii="宋体" w:hAnsi="宋体"/>
      <w:sz w:val="24"/>
    </w:rPr>
  </w:style>
  <w:style w:type="character" w:styleId="1160">
    <w:name w:val="Char Char11"/>
    <w:next w:val="1160"/>
    <w:link w:val="1072"/>
    <w:qFormat/>
    <w:rPr>
      <w:rFonts w:ascii="宋体" w:eastAsia="宋体"/>
      <w:b/>
      <w:sz w:val="24"/>
      <w:u w:val="single"/>
      <w:lang w:val="en-US" w:eastAsia="zh-CN" w:bidi="ar-SA"/>
    </w:rPr>
  </w:style>
  <w:style w:type="character" w:styleId="1161">
    <w:name w:val="txt"/>
    <w:next w:val="1161"/>
    <w:link w:val="1072"/>
    <w:qFormat/>
  </w:style>
  <w:style w:type="character" w:styleId="1162">
    <w:name w:val="正文缩进 Char Char"/>
    <w:next w:val="1162"/>
    <w:link w:val="1163"/>
    <w:qFormat/>
    <w:rPr>
      <w:rFonts w:ascii="宋体" w:eastAsia="宋体"/>
      <w:color w:val="000000"/>
      <w:sz w:val="28"/>
      <w:lang w:bidi="ar-SA"/>
    </w:rPr>
  </w:style>
  <w:style w:type="paragraph" w:styleId="1163">
    <w:name w:val="正文缩进1"/>
    <w:basedOn w:val="1072"/>
    <w:next w:val="1163"/>
    <w:link w:val="1162"/>
    <w:qFormat/>
    <w:pPr>
      <w:ind w:firstLine="567"/>
      <w:spacing w:line="480" w:lineRule="exact"/>
      <w:widowControl/>
    </w:pPr>
    <w:rPr>
      <w:rFonts w:ascii="宋体"/>
      <w:color w:val="000000"/>
      <w:sz w:val="28"/>
      <w:szCs w:val="20"/>
    </w:rPr>
  </w:style>
  <w:style w:type="character" w:styleId="1164">
    <w:name w:val="普通文字1 Char1"/>
    <w:next w:val="1164"/>
    <w:link w:val="1072"/>
    <w:qFormat/>
    <w:rPr>
      <w:rFonts w:ascii="宋体" w:hAnsi="Courier New" w:eastAsia="宋体"/>
      <w:sz w:val="21"/>
      <w:lang w:val="en-US" w:eastAsia="zh-CN" w:bidi="ar-SA"/>
    </w:rPr>
  </w:style>
  <w:style w:type="character" w:styleId="1165">
    <w:name w:val="chanpin1"/>
    <w:next w:val="1165"/>
    <w:link w:val="1072"/>
    <w:qFormat/>
    <w:rPr>
      <w:rFonts w:ascii="ˎ̥" w:hAnsi="ˎ̥"/>
      <w:color w:val="000000"/>
      <w:sz w:val="20"/>
      <w:szCs w:val="20"/>
      <w:u w:val="none"/>
    </w:rPr>
  </w:style>
  <w:style w:type="character" w:styleId="1166">
    <w:name w:val="列出段落 字符"/>
    <w:next w:val="1166"/>
    <w:link w:val="1167"/>
    <w:uiPriority w:val="34"/>
    <w:qFormat/>
    <w:rPr>
      <w:rFonts w:ascii="Calibri" w:hAnsi="Calibri" w:eastAsia="宋体"/>
      <w:sz w:val="21"/>
      <w:szCs w:val="22"/>
      <w:lang w:val="en-US" w:eastAsia="zh-CN" w:bidi="ar-SA"/>
    </w:rPr>
  </w:style>
  <w:style w:type="paragraph" w:styleId="1167">
    <w:name w:val="列出段落"/>
    <w:basedOn w:val="1072"/>
    <w:next w:val="1167"/>
    <w:link w:val="1166"/>
    <w:uiPriority w:val="34"/>
    <w:qFormat/>
    <w:pPr>
      <w:ind w:firstLine="420"/>
    </w:pPr>
    <w:rPr>
      <w:rFonts w:ascii="Calibri" w:hAnsi="Calibri"/>
      <w:szCs w:val="22"/>
    </w:rPr>
  </w:style>
  <w:style w:type="character" w:styleId="1168">
    <w:name w:val="标题 3 Char Char"/>
    <w:next w:val="1168"/>
    <w:link w:val="1072"/>
    <w:qFormat/>
    <w:rPr>
      <w:rFonts w:eastAsia="宋体"/>
      <w:b/>
      <w:bCs/>
      <w:sz w:val="32"/>
      <w:szCs w:val="32"/>
      <w:lang w:val="en-US" w:eastAsia="zh-CN" w:bidi="ar-SA"/>
    </w:rPr>
  </w:style>
  <w:style w:type="character" w:styleId="1169">
    <w:name w:val="段1 Char"/>
    <w:next w:val="1169"/>
    <w:link w:val="1072"/>
    <w:qFormat/>
    <w:rPr>
      <w:rFonts w:ascii="宋体" w:eastAsia="宋体"/>
      <w:sz w:val="24"/>
      <w:lang w:val="en-US" w:eastAsia="zh-CN" w:bidi="ar-SA"/>
    </w:rPr>
  </w:style>
  <w:style w:type="character" w:styleId="1170">
    <w:name w:val="chanpin拷贝"/>
    <w:next w:val="1170"/>
    <w:link w:val="1072"/>
    <w:qFormat/>
  </w:style>
  <w:style w:type="character" w:styleId="1171">
    <w:name w:val="纯文本 Char1"/>
    <w:next w:val="1171"/>
    <w:link w:val="1072"/>
    <w:qFormat/>
    <w:rPr>
      <w:rFonts w:ascii="宋体" w:hAnsi="Courier New" w:eastAsia="宋体"/>
      <w:sz w:val="21"/>
      <w:lang w:val="en-US" w:eastAsia="zh-CN" w:bidi="ar-SA"/>
    </w:rPr>
  </w:style>
  <w:style w:type="character" w:styleId="1172">
    <w:name w:val="apple-style-span"/>
    <w:next w:val="1172"/>
    <w:link w:val="1072"/>
    <w:qFormat/>
    <w:rPr>
      <w:rFonts w:cs="Times New Roman"/>
    </w:rPr>
  </w:style>
  <w:style w:type="paragraph" w:styleId="1173">
    <w:name w:val="二级条标题"/>
    <w:basedOn w:val="1174"/>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4">
    <w:name w:val="一级条标题"/>
    <w:basedOn w:val="1175"/>
    <w:next w:val="1072"/>
    <w:link w:val="1072"/>
    <w:qFormat/>
    <w:pPr>
      <w:numPr>
        <w:ilvl w:val="1"/>
      </w:numPr>
      <w:ind w:left="0" w:hanging="840"/>
      <w:tabs>
        <w:tab w:val="left" w:pos="360" w:leader="none"/>
        <w:tab w:val="left" w:pos="840" w:leader="none"/>
      </w:tabs>
      <w:outlineLvl w:val="1"/>
    </w:pPr>
  </w:style>
  <w:style w:type="paragraph" w:styleId="1175">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6">
    <w:name w:val="font7"/>
    <w:basedOn w:val="1072"/>
    <w:next w:val="1176"/>
    <w:link w:val="1072"/>
    <w:qFormat/>
    <w:pPr>
      <w:jc w:val="left"/>
      <w:spacing w:before="100" w:beforeAutospacing="1" w:after="100" w:afterAutospacing="1"/>
      <w:widowControl/>
    </w:pPr>
    <w:rPr>
      <w:rFonts w:eastAsia="Arial Unicode MS"/>
      <w:b/>
      <w:bCs/>
      <w:color w:val="000000"/>
      <w:sz w:val="20"/>
      <w:szCs w:val="20"/>
    </w:rPr>
  </w:style>
  <w:style w:type="paragraph" w:styleId="1177">
    <w:name w:val="字元 字元"/>
    <w:basedOn w:val="1072"/>
    <w:next w:val="1177"/>
    <w:link w:val="1072"/>
    <w:qFormat/>
    <w:rPr>
      <w:rFonts w:ascii="Tahoma" w:hAnsi="Tahoma"/>
      <w:sz w:val="24"/>
      <w:szCs w:val="20"/>
    </w:rPr>
  </w:style>
  <w:style w:type="paragraph" w:styleId="1178">
    <w:name w:val="Char3 Char Char Char"/>
    <w:basedOn w:val="1072"/>
    <w:next w:val="1178"/>
    <w:link w:val="1072"/>
    <w:qFormat/>
    <w:rPr>
      <w:rFonts w:ascii="Tahoma" w:hAnsi="Tahoma"/>
      <w:sz w:val="24"/>
      <w:szCs w:val="20"/>
    </w:rPr>
  </w:style>
  <w:style w:type="paragraph" w:styleId="1179">
    <w:name w:val="font6"/>
    <w:basedOn w:val="1072"/>
    <w:next w:val="1179"/>
    <w:link w:val="1072"/>
    <w:qFormat/>
    <w:pPr>
      <w:jc w:val="left"/>
      <w:spacing w:before="100" w:beforeAutospacing="1" w:after="100" w:afterAutospacing="1"/>
      <w:widowControl/>
    </w:pPr>
    <w:rPr>
      <w:rFonts w:ascii="宋体" w:hAnsi="宋体" w:cs="宋体"/>
      <w:sz w:val="20"/>
      <w:szCs w:val="20"/>
    </w:rPr>
  </w:style>
  <w:style w:type="paragraph" w:styleId="1180">
    <w:name w:val="项目编号2"/>
    <w:basedOn w:val="1181"/>
    <w:next w:val="1180"/>
    <w:link w:val="1072"/>
    <w:qFormat/>
    <w:pPr>
      <w:numPr>
        <w:numId w:val="3"/>
      </w:numPr>
    </w:pPr>
  </w:style>
  <w:style w:type="paragraph" w:styleId="1181">
    <w:name w:val="项目编号1"/>
    <w:basedOn w:val="1072"/>
    <w:next w:val="1181"/>
    <w:link w:val="1072"/>
    <w:qFormat/>
    <w:pPr>
      <w:numPr>
        <w:ilvl w:val="0"/>
        <w:numId w:val="2"/>
      </w:numPr>
      <w:spacing w:before="100" w:beforeAutospacing="1" w:after="100" w:afterAutospacing="1" w:line="360" w:lineRule="auto"/>
    </w:pPr>
    <w:rPr>
      <w:sz w:val="24"/>
    </w:rPr>
  </w:style>
  <w:style w:type="paragraph" w:styleId="1182">
    <w:name w:val="图中文字"/>
    <w:basedOn w:val="1072"/>
    <w:next w:val="1182"/>
    <w:link w:val="1072"/>
    <w:qFormat/>
    <w:pPr>
      <w:jc w:val="center"/>
      <w:spacing w:line="0" w:lineRule="atLeast"/>
    </w:pPr>
    <w:rPr>
      <w:sz w:val="24"/>
      <w:szCs w:val="20"/>
    </w:rPr>
  </w:style>
  <w:style w:type="paragraph" w:styleId="1183">
    <w:name w:val="xl46"/>
    <w:basedOn w:val="1072"/>
    <w:next w:val="1183"/>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4">
    <w:name w:val="xl25"/>
    <w:basedOn w:val="1072"/>
    <w:next w:val="1184"/>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5">
    <w:name w:val="Char2"/>
    <w:basedOn w:val="1072"/>
    <w:next w:val="1185"/>
    <w:link w:val="1072"/>
    <w:qFormat/>
    <w:rPr>
      <w:rFonts w:ascii="Tahoma" w:hAnsi="Tahoma"/>
      <w:sz w:val="24"/>
      <w:szCs w:val="20"/>
    </w:rPr>
  </w:style>
  <w:style w:type="paragraph" w:styleId="1186">
    <w:name w:val="xl35"/>
    <w:basedOn w:val="1072"/>
    <w:next w:val="118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7">
    <w:name w:val="xl40"/>
    <w:basedOn w:val="1072"/>
    <w:next w:val="1187"/>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name w:val="xl52"/>
    <w:basedOn w:val="1072"/>
    <w:next w:val="118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9">
    <w:name w:val="xl43"/>
    <w:basedOn w:val="1072"/>
    <w:next w:val="1189"/>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0">
    <w:name w:val="background1"/>
    <w:basedOn w:val="1072"/>
    <w:next w:val="1190"/>
    <w:link w:val="1072"/>
    <w:qFormat/>
    <w:pPr>
      <w:jc w:val="left"/>
      <w:spacing w:before="100" w:beforeAutospacing="1" w:after="100" w:afterAutospacing="1"/>
      <w:widowControl/>
    </w:pPr>
    <w:rPr>
      <w:rFonts w:ascii="宋体" w:hAnsi="宋体" w:cs="宋体"/>
      <w:sz w:val="24"/>
    </w:rPr>
  </w:style>
  <w:style w:type="paragraph" w:styleId="1191">
    <w:name w:val="Char Char Char Char Char Char Char"/>
    <w:basedOn w:val="1072"/>
    <w:next w:val="1191"/>
    <w:link w:val="1072"/>
    <w:qFormat/>
    <w:pPr>
      <w:ind w:firstLine="200"/>
      <w:spacing w:line="360" w:lineRule="auto"/>
    </w:pPr>
    <w:rPr>
      <w:rFonts w:eastAsia="仿宋_GB2312"/>
      <w:sz w:val="24"/>
    </w:rPr>
  </w:style>
  <w:style w:type="paragraph" w:styleId="1192">
    <w:name w:val="xl38"/>
    <w:basedOn w:val="1072"/>
    <w:next w:val="1192"/>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3">
    <w:name w:val="xl36"/>
    <w:basedOn w:val="1072"/>
    <w:next w:val="1193"/>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name w:val="正文 + 宋体"/>
    <w:basedOn w:val="1072"/>
    <w:next w:val="1194"/>
    <w:link w:val="1072"/>
    <w:qFormat/>
    <w:pPr>
      <w:ind w:left="360" w:hanging="360"/>
      <w:jc w:val="left"/>
      <w:widowControl/>
    </w:pPr>
    <w:rPr>
      <w:rFonts w:ascii="宋体" w:hAnsi="宋体" w:cs="宋体"/>
      <w:b/>
      <w:bCs/>
      <w:color w:val="000000"/>
      <w:sz w:val="18"/>
      <w:szCs w:val="18"/>
    </w:rPr>
  </w:style>
  <w:style w:type="paragraph" w:styleId="1195">
    <w:name w:val="正文列项_数字"/>
    <w:basedOn w:val="1072"/>
    <w:next w:val="1195"/>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6">
    <w:name w:val="xl39"/>
    <w:basedOn w:val="1072"/>
    <w:next w:val="119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xl37"/>
    <w:basedOn w:val="1072"/>
    <w:next w:val="1197"/>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8">
    <w:name w:val="xl32"/>
    <w:basedOn w:val="1072"/>
    <w:next w:val="119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name w:val="font8"/>
    <w:basedOn w:val="1072"/>
    <w:next w:val="1199"/>
    <w:link w:val="1072"/>
    <w:qFormat/>
    <w:pPr>
      <w:jc w:val="left"/>
      <w:spacing w:before="100" w:beforeAutospacing="1" w:after="100" w:afterAutospacing="1"/>
      <w:widowControl/>
    </w:pPr>
    <w:rPr>
      <w:sz w:val="36"/>
      <w:szCs w:val="36"/>
    </w:rPr>
  </w:style>
  <w:style w:type="paragraph" w:styleId="1200">
    <w:name w:val="Char"/>
    <w:basedOn w:val="1072"/>
    <w:next w:val="1200"/>
    <w:link w:val="1072"/>
    <w:qFormat/>
    <w:pPr>
      <w:tabs>
        <w:tab w:val="left" w:pos="360" w:leader="none"/>
      </w:tabs>
    </w:pPr>
    <w:rPr>
      <w:sz w:val="24"/>
    </w:rPr>
  </w:style>
  <w:style w:type="paragraph" w:styleId="1201">
    <w:name w:val="Char Char Char Char Char Char Char Char Char Char Char Char Char Char Char Char"/>
    <w:basedOn w:val="1072"/>
    <w:next w:val="1201"/>
    <w:link w:val="1072"/>
    <w:qFormat/>
    <w:pPr>
      <w:jc w:val="center"/>
      <w:spacing w:after="160" w:line="240" w:lineRule="exact"/>
      <w:widowControl/>
    </w:pPr>
    <w:rPr>
      <w:rFonts w:ascii="宋体" w:hAnsi="宋体"/>
      <w:b/>
      <w:sz w:val="30"/>
      <w:szCs w:val="30"/>
      <w:lang w:eastAsia="en-US"/>
    </w:rPr>
  </w:style>
  <w:style w:type="paragraph" w:styleId="1202">
    <w:name w:val="xl45"/>
    <w:basedOn w:val="1072"/>
    <w:next w:val="1202"/>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3">
    <w:name w:val="Char Char1 Char Char Char Char Char Char"/>
    <w:basedOn w:val="1072"/>
    <w:next w:val="1203"/>
    <w:link w:val="1072"/>
    <w:qFormat/>
    <w:pPr>
      <w:jc w:val="left"/>
      <w:spacing w:after="160" w:line="240" w:lineRule="exact"/>
      <w:widowControl/>
    </w:pPr>
    <w:rPr>
      <w:rFonts w:ascii="Verdana" w:hAnsi="Verdana" w:eastAsia="仿宋_GB2312"/>
      <w:sz w:val="24"/>
      <w:szCs w:val="20"/>
      <w:lang w:eastAsia="en-US"/>
    </w:rPr>
  </w:style>
  <w:style w:type="paragraph" w:styleId="1204">
    <w:name w:val="Char Char1"/>
    <w:basedOn w:val="1098"/>
    <w:next w:val="1204"/>
    <w:link w:val="1072"/>
    <w:qFormat/>
    <w:rPr>
      <w:rFonts w:ascii="Tahoma" w:hAnsi="Tahoma"/>
      <w:sz w:val="24"/>
    </w:rPr>
  </w:style>
  <w:style w:type="paragraph" w:styleId="1205">
    <w:name w:val="xl26"/>
    <w:basedOn w:val="1072"/>
    <w:next w:val="120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6">
    <w:name w:val="xl30"/>
    <w:basedOn w:val="1072"/>
    <w:next w:val="120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name w:val="xl41"/>
    <w:basedOn w:val="1072"/>
    <w:next w:val="1207"/>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8">
    <w:name w:val="样式 宋体 五号 行距: 单倍行距"/>
    <w:basedOn w:val="1072"/>
    <w:next w:val="1208"/>
    <w:link w:val="1072"/>
    <w:qFormat/>
    <w:pPr>
      <w:jc w:val="left"/>
    </w:pPr>
    <w:rPr>
      <w:rFonts w:ascii="宋体" w:hAnsi="宋体"/>
      <w:szCs w:val="20"/>
    </w:rPr>
  </w:style>
  <w:style w:type="paragraph" w:styleId="1209">
    <w:name w:val="Char1 Char Char Char1"/>
    <w:basedOn w:val="1072"/>
    <w:next w:val="1209"/>
    <w:link w:val="1072"/>
    <w:qFormat/>
    <w:rPr>
      <w:rFonts w:ascii="Tahoma" w:hAnsi="Tahoma" w:cs="仿宋_GB2312"/>
      <w:sz w:val="24"/>
      <w:szCs w:val="28"/>
    </w:rPr>
  </w:style>
  <w:style w:type="paragraph" w:styleId="1210">
    <w:name w:val="四级条标题"/>
    <w:basedOn w:val="1211"/>
    <w:next w:val="1072"/>
    <w:link w:val="1072"/>
    <w:qFormat/>
    <w:pPr>
      <w:numPr>
        <w:ilvl w:val="4"/>
      </w:numPr>
      <w:ind w:left="0" w:hanging="840"/>
      <w:tabs>
        <w:tab w:val="left" w:pos="360" w:leader="none"/>
        <w:tab w:val="left" w:pos="840" w:leader="none"/>
      </w:tabs>
      <w:outlineLvl w:val="4"/>
    </w:pPr>
  </w:style>
  <w:style w:type="paragraph" w:styleId="1211">
    <w:name w:val="三级条标题"/>
    <w:basedOn w:val="1173"/>
    <w:next w:val="1072"/>
    <w:link w:val="1072"/>
    <w:qFormat/>
    <w:pPr>
      <w:numPr>
        <w:ilvl w:val="3"/>
        <w:numId w:val="1"/>
      </w:numPr>
      <w:ind w:left="0" w:hanging="840"/>
      <w:tabs>
        <w:tab w:val="left" w:pos="360" w:leader="none"/>
        <w:tab w:val="left" w:pos="840" w:leader="none"/>
      </w:tabs>
      <w:outlineLvl w:val="3"/>
    </w:pPr>
  </w:style>
  <w:style w:type="paragraph" w:styleId="1212">
    <w:name w:val="??"/>
    <w:next w:val="1212"/>
    <w:link w:val="1072"/>
    <w:qFormat/>
    <w:pPr>
      <w:jc w:val="both"/>
      <w:widowControl w:val="off"/>
    </w:pPr>
    <w:rPr>
      <w:sz w:val="21"/>
      <w:lang w:val="en-US" w:eastAsia="en-US" w:bidi="ar-SA"/>
    </w:rPr>
  </w:style>
  <w:style w:type="paragraph" w:styleId="1213">
    <w:name w:val="样式 标题 2 + 宋体 五号 行距: 单倍行距"/>
    <w:basedOn w:val="1074"/>
    <w:next w:val="1213"/>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4">
    <w:name w:val="List Paragraph1"/>
    <w:basedOn w:val="1072"/>
    <w:next w:val="1214"/>
    <w:link w:val="1072"/>
    <w:qFormat/>
    <w:pPr>
      <w:ind w:firstLine="420"/>
    </w:pPr>
    <w:rPr>
      <w:rFonts w:ascii="Calibri" w:hAnsi="Calibri"/>
      <w:szCs w:val="22"/>
    </w:rPr>
  </w:style>
  <w:style w:type="paragraph" w:styleId="1215">
    <w:name w:val="项目符号1"/>
    <w:basedOn w:val="1216"/>
    <w:next w:val="1215"/>
    <w:link w:val="1072"/>
    <w:qFormat/>
    <w:pPr>
      <w:ind w:left="-25" w:firstLine="0"/>
    </w:pPr>
  </w:style>
  <w:style w:type="paragraph" w:styleId="1216">
    <w:name w:val="正文文本样式"/>
    <w:basedOn w:val="1072"/>
    <w:next w:val="1216"/>
    <w:link w:val="1072"/>
    <w:qFormat/>
    <w:pPr>
      <w:ind w:firstLine="482"/>
      <w:spacing w:line="360" w:lineRule="auto"/>
    </w:pPr>
    <w:rPr>
      <w:rFonts w:cs="宋体"/>
      <w:sz w:val="24"/>
      <w:szCs w:val="20"/>
    </w:rPr>
  </w:style>
  <w:style w:type="paragraph" w:styleId="1217">
    <w:name w:val="xl27"/>
    <w:basedOn w:val="1072"/>
    <w:next w:val="121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name w:val="font5"/>
    <w:basedOn w:val="1072"/>
    <w:next w:val="1218"/>
    <w:link w:val="1072"/>
    <w:qFormat/>
    <w:pPr>
      <w:jc w:val="left"/>
      <w:spacing w:before="100" w:beforeAutospacing="1" w:after="100" w:afterAutospacing="1"/>
      <w:widowControl/>
    </w:pPr>
    <w:rPr>
      <w:rFonts w:ascii="宋体" w:hAnsi="宋体" w:cs="宋体"/>
      <w:sz w:val="18"/>
      <w:szCs w:val="18"/>
    </w:rPr>
  </w:style>
  <w:style w:type="paragraph" w:styleId="1219">
    <w:name w:val="五级条标题"/>
    <w:basedOn w:val="1210"/>
    <w:next w:val="1072"/>
    <w:link w:val="1072"/>
    <w:qFormat/>
    <w:pPr>
      <w:numPr>
        <w:ilvl w:val="5"/>
      </w:numPr>
      <w:ind w:left="0" w:hanging="840"/>
      <w:tabs>
        <w:tab w:val="left" w:pos="360" w:leader="none"/>
        <w:tab w:val="left" w:pos="840" w:leader="none"/>
      </w:tabs>
      <w:outlineLvl w:val="5"/>
    </w:pPr>
  </w:style>
  <w:style w:type="paragraph" w:styleId="1220">
    <w:name w:val="xl49"/>
    <w:basedOn w:val="1072"/>
    <w:next w:val="1220"/>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1">
    <w:name w:val="文档正文"/>
    <w:basedOn w:val="1072"/>
    <w:next w:val="1221"/>
    <w:link w:val="1072"/>
    <w:qFormat/>
    <w:pPr>
      <w:spacing w:before="120" w:after="120" w:line="180" w:lineRule="auto"/>
    </w:pPr>
    <w:rPr>
      <w:rFonts w:ascii="Arial" w:hAnsi="Arial"/>
      <w:szCs w:val="20"/>
    </w:rPr>
  </w:style>
  <w:style w:type="paragraph" w:styleId="1222">
    <w:name w:val="xl33"/>
    <w:basedOn w:val="1072"/>
    <w:next w:val="1222"/>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3">
    <w:name w:val="xl42"/>
    <w:basedOn w:val="1072"/>
    <w:next w:val="122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4">
    <w:name w:val="Char Char Char1 Char"/>
    <w:basedOn w:val="1072"/>
    <w:next w:val="1224"/>
    <w:link w:val="1072"/>
    <w:qFormat/>
    <w:rPr>
      <w:rFonts w:ascii="Tahoma" w:hAnsi="Tahoma"/>
      <w:sz w:val="24"/>
      <w:szCs w:val="20"/>
    </w:rPr>
  </w:style>
  <w:style w:type="paragraph" w:styleId="1225">
    <w:name w:val="xl44"/>
    <w:basedOn w:val="1072"/>
    <w:next w:val="1225"/>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6">
    <w:name w:val="1名"/>
    <w:basedOn w:val="1072"/>
    <w:next w:val="1226"/>
    <w:link w:val="1072"/>
    <w:qFormat/>
    <w:pPr>
      <w:numPr>
        <w:ilvl w:val="0"/>
        <w:numId w:val="5"/>
      </w:numPr>
      <w:spacing w:before="120"/>
      <w:tabs>
        <w:tab w:val="left" w:pos="360" w:leader="none"/>
      </w:tabs>
    </w:pPr>
    <w:rPr>
      <w:rFonts w:ascii="宋体"/>
      <w:sz w:val="28"/>
      <w:szCs w:val="20"/>
    </w:rPr>
  </w:style>
  <w:style w:type="paragraph" w:styleId="1227">
    <w:name w:val="font9"/>
    <w:basedOn w:val="1072"/>
    <w:next w:val="1227"/>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8">
    <w:name w:val="Char Char Char1 Char1"/>
    <w:basedOn w:val="1072"/>
    <w:next w:val="1228"/>
    <w:link w:val="1072"/>
    <w:qFormat/>
    <w:rPr>
      <w:rFonts w:ascii="Tahoma" w:hAnsi="Tahoma"/>
      <w:sz w:val="24"/>
      <w:szCs w:val="20"/>
    </w:rPr>
  </w:style>
  <w:style w:type="paragraph" w:styleId="1229">
    <w:name w:val="Char Char Char Char Char Char Char Char Char Char"/>
    <w:basedOn w:val="1072"/>
    <w:next w:val="1229"/>
    <w:link w:val="1072"/>
    <w:qFormat/>
  </w:style>
  <w:style w:type="paragraph" w:styleId="1230">
    <w:name w:val="Char Char1 Char Char Char Char Char Char Char Char"/>
    <w:basedOn w:val="1072"/>
    <w:next w:val="1230"/>
    <w:link w:val="1072"/>
    <w:qFormat/>
    <w:pPr>
      <w:jc w:val="left"/>
      <w:spacing w:after="160" w:line="240" w:lineRule="exact"/>
      <w:widowControl/>
    </w:pPr>
    <w:rPr>
      <w:rFonts w:ascii="Verdana" w:hAnsi="Verdana"/>
      <w:sz w:val="20"/>
      <w:szCs w:val="20"/>
      <w:lang w:eastAsia="en-US"/>
    </w:rPr>
  </w:style>
  <w:style w:type="paragraph" w:styleId="1231">
    <w:name w:val="Char1"/>
    <w:basedOn w:val="1072"/>
    <w:next w:val="1231"/>
    <w:link w:val="1072"/>
    <w:qFormat/>
    <w:pPr>
      <w:tabs>
        <w:tab w:val="left" w:pos="360" w:leader="none"/>
      </w:tabs>
    </w:pPr>
    <w:rPr>
      <w:sz w:val="24"/>
    </w:rPr>
  </w:style>
  <w:style w:type="paragraph" w:styleId="1232">
    <w:name w:val="正文列项_字母"/>
    <w:basedOn w:val="1072"/>
    <w:next w:val="1232"/>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3">
    <w:name w:val="xl28"/>
    <w:basedOn w:val="1072"/>
    <w:next w:val="123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4">
    <w:name w:val="xl47"/>
    <w:basedOn w:val="1072"/>
    <w:next w:val="123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name w:val="默认段落字体 Para Char Char Char Char"/>
    <w:basedOn w:val="1072"/>
    <w:next w:val="1235"/>
    <w:link w:val="1072"/>
    <w:qFormat/>
    <w:rPr>
      <w:rFonts w:ascii="Arial" w:hAnsi="Arial" w:cs="Arial"/>
      <w:szCs w:val="21"/>
    </w:rPr>
  </w:style>
  <w:style w:type="paragraph" w:styleId="1236">
    <w:name w:val="xl48"/>
    <w:basedOn w:val="1072"/>
    <w:next w:val="123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7">
    <w:name w:val="xl31"/>
    <w:basedOn w:val="1072"/>
    <w:next w:val="123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8">
    <w:name w:val="xl53"/>
    <w:basedOn w:val="1072"/>
    <w:next w:val="123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name w:val="Char Char Char"/>
    <w:basedOn w:val="1072"/>
    <w:next w:val="1239"/>
    <w:link w:val="1072"/>
    <w:qFormat/>
    <w:rPr>
      <w:rFonts w:ascii="Tahoma" w:hAnsi="Tahoma"/>
      <w:sz w:val="24"/>
      <w:szCs w:val="20"/>
    </w:rPr>
  </w:style>
  <w:style w:type="paragraph" w:styleId="1240">
    <w:name w:val="xl50"/>
    <w:basedOn w:val="1072"/>
    <w:next w:val="124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1">
    <w:name w:val="缺省文本"/>
    <w:basedOn w:val="1072"/>
    <w:next w:val="1241"/>
    <w:link w:val="1072"/>
    <w:qFormat/>
    <w:pPr>
      <w:jc w:val="left"/>
    </w:pPr>
    <w:rPr>
      <w:sz w:val="24"/>
    </w:rPr>
  </w:style>
  <w:style w:type="paragraph" w:styleId="1242">
    <w:name w:val="Char Char Char1"/>
    <w:basedOn w:val="1072"/>
    <w:next w:val="1242"/>
    <w:link w:val="1072"/>
    <w:qFormat/>
    <w:rPr>
      <w:rFonts w:ascii="Tahoma" w:hAnsi="Tahoma"/>
      <w:sz w:val="24"/>
      <w:szCs w:val="20"/>
    </w:rPr>
  </w:style>
  <w:style w:type="paragraph" w:styleId="1243">
    <w:name w:val="Char Char Char Char Char Char Char1"/>
    <w:basedOn w:val="1072"/>
    <w:next w:val="1243"/>
    <w:link w:val="1072"/>
    <w:qFormat/>
    <w:pPr>
      <w:ind w:firstLine="200"/>
      <w:spacing w:line="360" w:lineRule="auto"/>
    </w:pPr>
    <w:rPr>
      <w:rFonts w:eastAsia="仿宋_GB2312"/>
      <w:sz w:val="24"/>
    </w:rPr>
  </w:style>
  <w:style w:type="paragraph" w:styleId="1244">
    <w:name w:val="xl51"/>
    <w:basedOn w:val="1072"/>
    <w:next w:val="1244"/>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样式2"/>
    <w:basedOn w:val="1135"/>
    <w:next w:val="1245"/>
    <w:link w:val="1072"/>
    <w:qFormat/>
    <w:pPr>
      <w:jc w:val="center"/>
      <w:spacing w:line="360" w:lineRule="auto"/>
    </w:pPr>
    <w:rPr>
      <w:sz w:val="24"/>
    </w:rPr>
  </w:style>
  <w:style w:type="paragraph" w:styleId="1246">
    <w:name w:val="xl24"/>
    <w:basedOn w:val="1072"/>
    <w:next w:val="124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xl29"/>
    <w:basedOn w:val="1072"/>
    <w:next w:val="124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8">
    <w:name w:val="正文 + 楷体_GB2312"/>
    <w:basedOn w:val="1072"/>
    <w:next w:val="1248"/>
    <w:link w:val="1072"/>
    <w:qFormat/>
    <w:pPr>
      <w:jc w:val="left"/>
      <w:widowControl/>
    </w:pPr>
    <w:rPr>
      <w:rFonts w:ascii="楷体_GB2312" w:eastAsia="楷体_GB2312" w:cs="Arial"/>
      <w:sz w:val="24"/>
    </w:rPr>
  </w:style>
  <w:style w:type="paragraph" w:styleId="1249">
    <w:name w:val="xl34"/>
    <w:basedOn w:val="1072"/>
    <w:next w:val="124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0">
    <w:name w:val="1 Char Char Char Char"/>
    <w:basedOn w:val="1072"/>
    <w:next w:val="1250"/>
    <w:link w:val="1072"/>
    <w:qFormat/>
    <w:rPr>
      <w:rFonts w:ascii="Tahoma" w:hAnsi="Tahoma"/>
      <w:sz w:val="24"/>
      <w:szCs w:val="20"/>
    </w:rPr>
  </w:style>
  <w:style w:type="paragraph" w:styleId="1251">
    <w:name w:val="Default"/>
    <w:next w:val="1251"/>
    <w:link w:val="1072"/>
    <w:qFormat/>
    <w:pPr>
      <w:widowControl w:val="off"/>
    </w:pPr>
    <w:rPr>
      <w:rFonts w:ascii="Symbol" w:hAnsi="Symbol" w:cs="Symbol"/>
      <w:color w:val="000000"/>
      <w:sz w:val="24"/>
      <w:szCs w:val="24"/>
      <w:lang w:val="en-US" w:eastAsia="zh-CN" w:bidi="ar-SA"/>
    </w:rPr>
  </w:style>
  <w:style w:type="paragraph" w:styleId="1252">
    <w:name w:val="列出段落1"/>
    <w:basedOn w:val="1072"/>
    <w:next w:val="1252"/>
    <w:link w:val="1072"/>
    <w:qFormat/>
    <w:pPr>
      <w:ind w:firstLine="420"/>
    </w:pPr>
    <w:rPr>
      <w:rFonts w:ascii="Calibri" w:hAnsi="Calibri"/>
      <w:szCs w:val="22"/>
    </w:rPr>
  </w:style>
  <w:style w:type="paragraph" w:styleId="1253">
    <w:name w:val="default"/>
    <w:basedOn w:val="1072"/>
    <w:next w:val="1253"/>
    <w:link w:val="1072"/>
    <w:qFormat/>
    <w:pPr>
      <w:jc w:val="left"/>
      <w:spacing w:before="100" w:beforeAutospacing="1" w:after="100" w:afterAutospacing="1"/>
      <w:widowControl/>
    </w:pPr>
    <w:rPr>
      <w:rFonts w:ascii="宋体" w:hAnsi="宋体" w:cs="宋体"/>
      <w:sz w:val="24"/>
    </w:rPr>
  </w:style>
  <w:style w:type="paragraph" w:styleId="1254">
    <w:name w:val="字元 字元1"/>
    <w:basedOn w:val="1072"/>
    <w:next w:val="1254"/>
    <w:link w:val="1072"/>
    <w:qFormat/>
    <w:rPr>
      <w:rFonts w:ascii="Tahoma" w:hAnsi="Tahoma"/>
      <w:sz w:val="24"/>
      <w:szCs w:val="20"/>
    </w:rPr>
  </w:style>
  <w:style w:type="paragraph" w:styleId="1255">
    <w:name w:val="_Style 160"/>
    <w:next w:val="1255"/>
    <w:link w:val="1072"/>
    <w:qFormat/>
    <w:rPr>
      <w:sz w:val="21"/>
      <w:szCs w:val="24"/>
      <w:lang w:val="en-US" w:eastAsia="zh-CN" w:bidi="ar-SA"/>
    </w:rPr>
  </w:style>
  <w:style w:type="paragraph" w:styleId="1256">
    <w:name w:val="项目编号3"/>
    <w:basedOn w:val="1216"/>
    <w:next w:val="1256"/>
    <w:link w:val="1072"/>
    <w:qFormat/>
    <w:pPr>
      <w:numPr>
        <w:ilvl w:val="0"/>
        <w:numId w:val="6"/>
      </w:numPr>
    </w:pPr>
  </w:style>
  <w:style w:type="paragraph" w:styleId="1257">
    <w:name w:val="Char21"/>
    <w:basedOn w:val="1072"/>
    <w:next w:val="1257"/>
    <w:link w:val="1072"/>
    <w:qFormat/>
    <w:rPr>
      <w:rFonts w:ascii="Tahoma" w:hAnsi="Tahoma"/>
      <w:sz w:val="24"/>
      <w:szCs w:val="20"/>
    </w:rPr>
  </w:style>
  <w:style w:type="paragraph" w:styleId="1258">
    <w:name w:val="表格文字"/>
    <w:basedOn w:val="1106"/>
    <w:next w:val="1258"/>
    <w:link w:val="1072"/>
    <w:qFormat/>
    <w:pPr>
      <w:ind w:firstLine="0"/>
      <w:spacing w:before="20" w:after="20" w:line="240" w:lineRule="auto"/>
    </w:pPr>
    <w:rPr>
      <w:rFonts w:ascii="Century Gothic" w:hAnsi="Century Gothic"/>
      <w:sz w:val="20"/>
      <w:szCs w:val="20"/>
    </w:rPr>
  </w:style>
  <w:style w:type="paragraph" w:styleId="1259">
    <w:name w:val="Char Char Char Char Char Char Char Char Char Char1"/>
    <w:basedOn w:val="1072"/>
    <w:next w:val="1259"/>
    <w:link w:val="1072"/>
    <w:qFormat/>
    <w:rPr>
      <w:rFonts w:ascii="宋体" w:hAnsi="宋体" w:cs="Courier New"/>
      <w:sz w:val="32"/>
      <w:szCs w:val="32"/>
    </w:rPr>
  </w:style>
  <w:style w:type="paragraph" w:styleId="1260">
    <w:name w:val="正文文本样式 加粗"/>
    <w:basedOn w:val="1216"/>
    <w:next w:val="1260"/>
    <w:link w:val="1072"/>
    <w:qFormat/>
    <w:rPr>
      <w:b/>
    </w:rPr>
  </w:style>
  <w:style w:type="paragraph" w:styleId="1261">
    <w:name w:val="Char2 Char Char Char Char Char Char"/>
    <w:basedOn w:val="1072"/>
    <w:next w:val="1261"/>
    <w:link w:val="1072"/>
    <w:qFormat/>
    <w:pPr>
      <w:jc w:val="center"/>
      <w:spacing w:line="400" w:lineRule="exact"/>
      <w:widowControl/>
    </w:pPr>
  </w:style>
  <w:style w:type="paragraph" w:styleId="1262">
    <w:name w:val="Char Char4"/>
    <w:basedOn w:val="1072"/>
    <w:next w:val="1262"/>
    <w:link w:val="1072"/>
    <w:qFormat/>
    <w:pPr>
      <w:jc w:val="center"/>
      <w:spacing w:line="400" w:lineRule="exact"/>
      <w:widowControl/>
    </w:pPr>
  </w:style>
  <w:style w:type="paragraph" w:styleId="1263">
    <w:name w:val="Char3 Char Char Char1"/>
    <w:basedOn w:val="1072"/>
    <w:next w:val="1263"/>
    <w:link w:val="1072"/>
    <w:qFormat/>
    <w:rPr>
      <w:rFonts w:ascii="Tahoma" w:hAnsi="Tahoma"/>
      <w:sz w:val="24"/>
      <w:szCs w:val="20"/>
    </w:rPr>
  </w:style>
  <w:style w:type="paragraph" w:styleId="1264">
    <w:name w:val="无间隔"/>
    <w:next w:val="1264"/>
    <w:link w:val="1072"/>
    <w:qFormat/>
    <w:pPr>
      <w:jc w:val="both"/>
      <w:widowControl w:val="off"/>
    </w:pPr>
    <w:rPr>
      <w:sz w:val="21"/>
      <w:szCs w:val="24"/>
      <w:lang w:val="en-US" w:eastAsia="zh-CN" w:bidi="ar-SA"/>
    </w:rPr>
  </w:style>
  <w:style w:type="paragraph" w:styleId="1265">
    <w:name w:val="22222222222222"/>
    <w:basedOn w:val="1072"/>
    <w:next w:val="1265"/>
    <w:link w:val="1072"/>
    <w:qFormat/>
    <w:pPr>
      <w:ind w:firstLine="480"/>
      <w:jc w:val="left"/>
      <w:spacing w:line="360" w:lineRule="auto"/>
      <w:widowControl/>
    </w:pPr>
    <w:rPr>
      <w:color w:val="ff0000"/>
      <w:sz w:val="24"/>
      <w:szCs w:val="20"/>
    </w:rPr>
  </w:style>
  <w:style w:type="character" w:styleId="1266">
    <w:name w:val="中等深浅网格 1 - 强调文字颜色 2 Char"/>
    <w:next w:val="1266"/>
    <w:link w:val="1267"/>
    <w:qFormat/>
    <w:rPr>
      <w:sz w:val="21"/>
      <w:szCs w:val="24"/>
      <w:lang w:val="zh-CN" w:eastAsia="zh-CN" w:bidi="ar-SA"/>
    </w:rPr>
  </w:style>
  <w:style w:type="paragraph" w:styleId="1267">
    <w:name w:val="1"/>
    <w:next w:val="1267"/>
    <w:link w:val="1266"/>
    <w:qFormat/>
    <w:rPr>
      <w:sz w:val="21"/>
      <w:szCs w:val="24"/>
      <w:lang w:val="zh-CN" w:eastAsia="zh-CN" w:bidi="ar-SA"/>
    </w:rPr>
  </w:style>
  <w:style w:type="paragraph" w:styleId="1268">
    <w:name w:val="图文"/>
    <w:basedOn w:val="1072"/>
    <w:next w:val="1268"/>
    <w:link w:val="1072"/>
    <w:qFormat/>
    <w:pPr>
      <w:spacing w:after="50" w:line="360" w:lineRule="auto"/>
    </w:pPr>
    <w:rPr>
      <w:sz w:val="24"/>
    </w:rPr>
  </w:style>
  <w:style w:type="paragraph" w:styleId="1269">
    <w:name w:val="xl23"/>
    <w:basedOn w:val="1072"/>
    <w:next w:val="1269"/>
    <w:link w:val="1072"/>
    <w:qFormat/>
    <w:pPr>
      <w:spacing w:before="100" w:beforeAutospacing="1" w:after="100" w:afterAutospacing="1" w:line="360" w:lineRule="auto"/>
      <w:widowControl/>
    </w:pPr>
    <w:rPr>
      <w:sz w:val="24"/>
      <w:szCs w:val="20"/>
    </w:rPr>
  </w:style>
  <w:style w:type="paragraph" w:styleId="1270">
    <w:name w:val="正文表格"/>
    <w:basedOn w:val="1072"/>
    <w:next w:val="1270"/>
    <w:link w:val="1271"/>
    <w:qFormat/>
    <w:pPr>
      <w:jc w:val="left"/>
    </w:pPr>
    <w:rPr>
      <w:rFonts w:ascii="宋体" w:hAnsi="宋体"/>
      <w:color w:val="000000"/>
      <w:szCs w:val="21"/>
    </w:rPr>
  </w:style>
  <w:style w:type="character" w:styleId="1271">
    <w:name w:val="正文表格 Char"/>
    <w:next w:val="1271"/>
    <w:link w:val="1270"/>
    <w:qFormat/>
    <w:rPr>
      <w:rFonts w:ascii="宋体" w:hAnsi="宋体"/>
      <w:color w:val="000000"/>
      <w:sz w:val="21"/>
      <w:szCs w:val="21"/>
    </w:rPr>
  </w:style>
  <w:style w:type="paragraph" w:styleId="1272">
    <w:name w:val="正文重点"/>
    <w:basedOn w:val="1072"/>
    <w:next w:val="1272"/>
    <w:link w:val="1273"/>
    <w:qFormat/>
    <w:pPr>
      <w:ind w:firstLine="482"/>
      <w:jc w:val="left"/>
      <w:spacing w:line="360" w:lineRule="auto"/>
    </w:pPr>
    <w:rPr>
      <w:b/>
      <w:sz w:val="24"/>
      <w:szCs w:val="20"/>
    </w:rPr>
  </w:style>
  <w:style w:type="character" w:styleId="1273">
    <w:name w:val="正文重点 Char"/>
    <w:next w:val="1273"/>
    <w:link w:val="1272"/>
    <w:qFormat/>
    <w:rPr>
      <w:b/>
      <w:sz w:val="24"/>
    </w:rPr>
  </w:style>
  <w:style w:type="paragraph" w:styleId="1274">
    <w:name w:val="标题1-附件"/>
    <w:basedOn w:val="1073"/>
    <w:next w:val="1274"/>
    <w:link w:val="1072"/>
    <w:qFormat/>
    <w:pPr>
      <w:jc w:val="left"/>
    </w:pPr>
    <w:rPr>
      <w:sz w:val="24"/>
      <w:szCs w:val="24"/>
    </w:rPr>
  </w:style>
  <w:style w:type="paragraph" w:styleId="1275">
    <w:name w:val="正文小标题"/>
    <w:basedOn w:val="1072"/>
    <w:next w:val="1087"/>
    <w:link w:val="1276"/>
    <w:qFormat/>
    <w:pPr>
      <w:ind w:firstLine="482"/>
      <w:jc w:val="left"/>
      <w:spacing w:before="312" w:after="312"/>
    </w:pPr>
    <w:rPr>
      <w:rFonts w:ascii="宋体" w:hAnsi="宋体"/>
      <w:b/>
      <w:i/>
      <w:color w:val="ff0000"/>
      <w:sz w:val="24"/>
      <w:szCs w:val="20"/>
    </w:rPr>
  </w:style>
  <w:style w:type="character" w:styleId="1276">
    <w:name w:val="正文小标题 Char"/>
    <w:next w:val="1276"/>
    <w:link w:val="1275"/>
    <w:qFormat/>
    <w:rPr>
      <w:rFonts w:ascii="宋体" w:hAnsi="宋体"/>
      <w:b/>
      <w:i/>
      <w:color w:val="ff0000"/>
      <w:sz w:val="24"/>
    </w:rPr>
  </w:style>
  <w:style w:type="paragraph" w:styleId="1277">
    <w:name w:val="正文大标题"/>
    <w:basedOn w:val="1275"/>
    <w:next w:val="1087"/>
    <w:link w:val="1278"/>
    <w:qFormat/>
    <w:pPr>
      <w:jc w:val="center"/>
    </w:pPr>
    <w:rPr>
      <w:i w:val="0"/>
      <w:color w:val="000000"/>
      <w:sz w:val="28"/>
      <w:szCs w:val="21"/>
    </w:rPr>
  </w:style>
  <w:style w:type="character" w:styleId="1278">
    <w:name w:val="正文大标题 Char"/>
    <w:next w:val="1278"/>
    <w:link w:val="1277"/>
    <w:qFormat/>
    <w:rPr>
      <w:rFonts w:ascii="宋体" w:hAnsi="宋体"/>
      <w:b/>
      <w:color w:val="000000"/>
      <w:sz w:val="28"/>
      <w:szCs w:val="21"/>
    </w:rPr>
  </w:style>
  <w:style w:type="paragraph" w:styleId="1279">
    <w:name w:val="注释"/>
    <w:basedOn w:val="1072"/>
    <w:next w:val="1279"/>
    <w:link w:val="1280"/>
    <w:qFormat/>
    <w:pPr>
      <w:ind w:left="420" w:hanging="420"/>
      <w:jc w:val="left"/>
    </w:pPr>
    <w:rPr>
      <w:rFonts w:ascii="宋体" w:hAnsi="宋体"/>
      <w:szCs w:val="21"/>
    </w:rPr>
  </w:style>
  <w:style w:type="character" w:styleId="1280">
    <w:name w:val="注释 Char"/>
    <w:next w:val="1280"/>
    <w:link w:val="1279"/>
    <w:qFormat/>
    <w:rPr>
      <w:rFonts w:ascii="宋体" w:hAnsi="宋体"/>
      <w:sz w:val="21"/>
      <w:szCs w:val="21"/>
    </w:rPr>
  </w:style>
  <w:style w:type="paragraph" w:styleId="1281">
    <w:name w:val="正文须知-1级"/>
    <w:basedOn w:val="1072"/>
    <w:next w:val="1072"/>
    <w:link w:val="1072"/>
    <w:qFormat/>
    <w:pPr>
      <w:numPr>
        <w:ilvl w:val="0"/>
        <w:numId w:val="7"/>
      </w:numPr>
      <w:spacing w:line="300" w:lineRule="auto"/>
    </w:pPr>
    <w:rPr>
      <w:rFonts w:ascii="宋体" w:hAnsi="Calibri"/>
      <w:sz w:val="24"/>
      <w:szCs w:val="21"/>
    </w:rPr>
  </w:style>
  <w:style w:type="paragraph" w:styleId="1282">
    <w:name w:val="正文须知-2级"/>
    <w:basedOn w:val="1072"/>
    <w:next w:val="1282"/>
    <w:link w:val="1072"/>
    <w:qFormat/>
    <w:pPr>
      <w:numPr>
        <w:ilvl w:val="1"/>
        <w:numId w:val="7"/>
      </w:numPr>
      <w:spacing w:line="300" w:lineRule="auto"/>
    </w:pPr>
    <w:rPr>
      <w:rFonts w:ascii="宋体" w:hAnsi="Calibri"/>
      <w:sz w:val="24"/>
      <w:szCs w:val="21"/>
    </w:rPr>
  </w:style>
  <w:style w:type="paragraph" w:styleId="1283">
    <w:name w:val="正文须知-3级"/>
    <w:basedOn w:val="1072"/>
    <w:next w:val="1283"/>
    <w:link w:val="1072"/>
    <w:qFormat/>
    <w:pPr>
      <w:numPr>
        <w:ilvl w:val="2"/>
        <w:numId w:val="7"/>
      </w:numPr>
      <w:ind w:hanging="355"/>
      <w:spacing w:line="300" w:lineRule="auto"/>
    </w:pPr>
    <w:rPr>
      <w:rFonts w:ascii="宋体" w:hAnsi="Calibri"/>
      <w:sz w:val="24"/>
      <w:szCs w:val="21"/>
    </w:rPr>
  </w:style>
  <w:style w:type="character" w:styleId="1284">
    <w:name w:val="纯文本 字符"/>
    <w:next w:val="1284"/>
    <w:link w:val="1072"/>
    <w:uiPriority w:val="99"/>
    <w:qFormat/>
    <w:rPr>
      <w:rFonts w:ascii="宋体" w:hAnsi="Courier New" w:eastAsia="宋体" w:cs="Times New Roman"/>
      <w:sz w:val="21"/>
      <w:szCs w:val="21"/>
      <w:lang w:val="en-US" w:eastAsia="zh-CN" w:bidi="ar-SA"/>
    </w:rPr>
  </w:style>
  <w:style w:type="paragraph" w:styleId="1285">
    <w:name w:val="表格1"/>
    <w:basedOn w:val="1072"/>
    <w:next w:val="1285"/>
    <w:link w:val="1072"/>
    <w:qFormat/>
    <w:pPr>
      <w:ind w:firstLine="480"/>
      <w:jc w:val="center"/>
    </w:pPr>
    <w:rPr>
      <w:sz w:val="24"/>
      <w:szCs w:val="20"/>
    </w:rPr>
  </w:style>
  <w:style w:type="character" w:styleId="1286">
    <w:name w:val="纯文本 字符1"/>
    <w:next w:val="1286"/>
    <w:link w:val="1072"/>
    <w:qFormat/>
    <w:rPr>
      <w:rFonts w:ascii="宋体" w:hAnsi="Courier New"/>
    </w:rPr>
  </w:style>
  <w:style w:type="character" w:styleId="1287">
    <w:name w:val="bjh-p"/>
    <w:next w:val="1287"/>
    <w:link w:val="1072"/>
    <w:qFormat/>
  </w:style>
  <w:style w:type="paragraph" w:styleId="1288">
    <w:name w:val="无标题条"/>
    <w:next w:val="1072"/>
    <w:link w:val="1072"/>
    <w:qFormat/>
    <w:pPr>
      <w:jc w:val="both"/>
    </w:pPr>
    <w:rPr>
      <w:sz w:val="21"/>
      <w:lang w:val="en-US" w:eastAsia="zh-CN" w:bidi="ar-SA"/>
    </w:rPr>
  </w:style>
  <w:style w:type="character" w:styleId="1289">
    <w:name w:val="正文格式 Char"/>
    <w:next w:val="1289"/>
    <w:link w:val="1290"/>
    <w:qFormat/>
    <w:rPr>
      <w:rFonts w:ascii="宋体" w:hAnsi="宋体"/>
      <w:sz w:val="24"/>
      <w:szCs w:val="24"/>
      <w:lang w:val="en-GB"/>
    </w:rPr>
  </w:style>
  <w:style w:type="paragraph" w:styleId="1290">
    <w:name w:val="正文格式"/>
    <w:basedOn w:val="1072"/>
    <w:next w:val="1290"/>
    <w:link w:val="1289"/>
    <w:qFormat/>
    <w:pPr>
      <w:ind w:firstLine="480"/>
      <w:spacing w:line="360" w:lineRule="auto"/>
    </w:pPr>
    <w:rPr>
      <w:rFonts w:ascii="宋体" w:hAnsi="宋体"/>
      <w:sz w:val="24"/>
      <w:lang w:val="en-GB"/>
    </w:rPr>
  </w:style>
  <w:style w:type="character" w:styleId="1291">
    <w:name w:val="标题 3 Char"/>
    <w:next w:val="1291"/>
    <w:link w:val="1072"/>
    <w:qFormat/>
    <w:rPr>
      <w:rFonts w:ascii="宋体" w:eastAsia="宋体"/>
      <w:b/>
      <w:sz w:val="24"/>
      <w:u w:val="single"/>
      <w:lang w:val="en-US" w:eastAsia="zh-CN" w:bidi="ar-SA"/>
    </w:rPr>
  </w:style>
  <w:style w:type="character" w:styleId="1292">
    <w:name w:val="正文缩进 Char"/>
    <w:next w:val="1292"/>
    <w:link w:val="1072"/>
    <w:uiPriority w:val="99"/>
    <w:qFormat/>
    <w:rPr>
      <w:rFonts w:ascii="宋体" w:eastAsia="宋体"/>
      <w:sz w:val="24"/>
      <w:szCs w:val="24"/>
      <w:lang w:val="en-US" w:eastAsia="zh-CN" w:bidi="ar-SA"/>
    </w:rPr>
  </w:style>
  <w:style w:type="character" w:styleId="1293">
    <w:name w:val="Char Char111"/>
    <w:next w:val="1293"/>
    <w:link w:val="1072"/>
    <w:qFormat/>
    <w:rPr>
      <w:rFonts w:ascii="宋体" w:eastAsia="宋体"/>
      <w:b/>
      <w:sz w:val="24"/>
      <w:u w:val="single"/>
      <w:lang w:val="en-US" w:eastAsia="zh-CN" w:bidi="ar-SA"/>
    </w:rPr>
  </w:style>
  <w:style w:type="character" w:styleId="1294">
    <w:name w:val="正文文本缩进 Char"/>
    <w:next w:val="1294"/>
    <w:link w:val="1072"/>
    <w:qFormat/>
    <w:rPr>
      <w:rFonts w:eastAsia="宋体"/>
      <w:sz w:val="24"/>
      <w:szCs w:val="24"/>
      <w:lang w:val="en-US" w:eastAsia="zh-CN" w:bidi="ar-SA"/>
    </w:rPr>
  </w:style>
  <w:style w:type="character" w:styleId="1295">
    <w:name w:val="列出段落 Char"/>
    <w:next w:val="1295"/>
    <w:link w:val="1072"/>
    <w:qFormat/>
    <w:rPr>
      <w:rFonts w:ascii="Calibri" w:hAnsi="Calibri" w:eastAsia="宋体"/>
      <w:sz w:val="21"/>
      <w:szCs w:val="22"/>
      <w:lang w:val="en-US" w:eastAsia="zh-CN" w:bidi="ar-SA"/>
    </w:rPr>
  </w:style>
  <w:style w:type="character" w:styleId="1296">
    <w:name w:val="页眉 Char"/>
    <w:next w:val="1296"/>
    <w:link w:val="1072"/>
    <w:qFormat/>
    <w:rPr>
      <w:rFonts w:eastAsia="宋体"/>
      <w:sz w:val="18"/>
      <w:szCs w:val="18"/>
      <w:lang w:val="en-US" w:eastAsia="zh-CN" w:bidi="ar-SA"/>
    </w:rPr>
  </w:style>
  <w:style w:type="character" w:styleId="1297">
    <w:name w:val="标题 2 Char"/>
    <w:next w:val="1297"/>
    <w:link w:val="1072"/>
    <w:qFormat/>
    <w:rPr>
      <w:rFonts w:ascii="Arial" w:hAnsi="Arial" w:eastAsia="黑体"/>
      <w:b/>
      <w:sz w:val="30"/>
      <w:lang w:val="en-US" w:eastAsia="zh-CN" w:bidi="ar-SA"/>
    </w:rPr>
  </w:style>
  <w:style w:type="paragraph" w:styleId="1298">
    <w:name w:val="字元 字元2"/>
    <w:basedOn w:val="1072"/>
    <w:next w:val="1298"/>
    <w:link w:val="1072"/>
    <w:qFormat/>
    <w:rPr>
      <w:rFonts w:ascii="Tahoma" w:hAnsi="Tahoma"/>
      <w:sz w:val="24"/>
      <w:szCs w:val="20"/>
    </w:rPr>
  </w:style>
  <w:style w:type="paragraph" w:styleId="1299">
    <w:name w:val="Char3 Char Char Char2"/>
    <w:basedOn w:val="1072"/>
    <w:next w:val="1299"/>
    <w:link w:val="1072"/>
    <w:qFormat/>
    <w:rPr>
      <w:rFonts w:ascii="Tahoma" w:hAnsi="Tahoma"/>
      <w:sz w:val="24"/>
      <w:szCs w:val="20"/>
    </w:rPr>
  </w:style>
  <w:style w:type="paragraph" w:styleId="1300">
    <w:name w:val="正文文本缩进2"/>
    <w:basedOn w:val="1072"/>
    <w:next w:val="1300"/>
    <w:link w:val="1072"/>
    <w:qFormat/>
    <w:pPr>
      <w:ind w:firstLine="480"/>
      <w:spacing w:line="480" w:lineRule="exact"/>
    </w:pPr>
    <w:rPr>
      <w:rFonts w:ascii="宋体" w:hAnsi="宋体"/>
      <w:sz w:val="24"/>
      <w:lang w:val="zh-CN" w:eastAsia="zh-CN"/>
    </w:rPr>
  </w:style>
  <w:style w:type="paragraph" w:styleId="1301">
    <w:name w:val="Char3"/>
    <w:basedOn w:val="1072"/>
    <w:next w:val="1301"/>
    <w:link w:val="1072"/>
    <w:qFormat/>
    <w:pPr>
      <w:tabs>
        <w:tab w:val="left" w:pos="360" w:leader="none"/>
      </w:tabs>
    </w:pPr>
    <w:rPr>
      <w:sz w:val="24"/>
    </w:rPr>
  </w:style>
  <w:style w:type="paragraph" w:styleId="1302">
    <w:name w:val="Char Char Char Char Char Char Char Char Char Char Char Char Char Char Char Char1"/>
    <w:basedOn w:val="1072"/>
    <w:next w:val="1302"/>
    <w:link w:val="1072"/>
    <w:qFormat/>
    <w:pPr>
      <w:jc w:val="center"/>
      <w:spacing w:after="160" w:line="240" w:lineRule="exact"/>
      <w:widowControl/>
    </w:pPr>
    <w:rPr>
      <w:rFonts w:ascii="宋体" w:hAnsi="宋体"/>
      <w:b/>
      <w:sz w:val="30"/>
      <w:szCs w:val="30"/>
      <w:lang w:eastAsia="en-US"/>
    </w:rPr>
  </w:style>
  <w:style w:type="paragraph" w:styleId="1303">
    <w:name w:val="Char Char1 Char Char Char Char Char Char1"/>
    <w:basedOn w:val="1072"/>
    <w:next w:val="1303"/>
    <w:link w:val="1072"/>
    <w:qFormat/>
    <w:pPr>
      <w:jc w:val="left"/>
      <w:spacing w:after="160" w:line="240" w:lineRule="exact"/>
      <w:widowControl/>
    </w:pPr>
    <w:rPr>
      <w:rFonts w:ascii="Verdana" w:hAnsi="Verdana" w:eastAsia="仿宋_GB2312"/>
      <w:sz w:val="24"/>
      <w:szCs w:val="20"/>
      <w:lang w:eastAsia="en-US"/>
    </w:rPr>
  </w:style>
  <w:style w:type="paragraph" w:styleId="1304">
    <w:name w:val="列出段落2"/>
    <w:basedOn w:val="1072"/>
    <w:next w:val="1304"/>
    <w:link w:val="1072"/>
    <w:uiPriority w:val="34"/>
    <w:qFormat/>
    <w:pPr>
      <w:ind w:firstLine="420"/>
    </w:pPr>
    <w:rPr>
      <w:rFonts w:ascii="Calibri" w:hAnsi="Calibri"/>
      <w:szCs w:val="22"/>
    </w:rPr>
  </w:style>
  <w:style w:type="paragraph" w:styleId="1305">
    <w:name w:val="Char Char Char1 Char2"/>
    <w:basedOn w:val="1072"/>
    <w:next w:val="1305"/>
    <w:link w:val="1072"/>
    <w:qFormat/>
    <w:rPr>
      <w:rFonts w:ascii="Tahoma" w:hAnsi="Tahoma"/>
      <w:sz w:val="24"/>
      <w:szCs w:val="20"/>
    </w:rPr>
  </w:style>
  <w:style w:type="paragraph" w:styleId="1306">
    <w:name w:val="Char Char Char2"/>
    <w:basedOn w:val="1072"/>
    <w:next w:val="1306"/>
    <w:link w:val="1072"/>
    <w:qFormat/>
    <w:rPr>
      <w:rFonts w:ascii="Tahoma" w:hAnsi="Tahoma"/>
      <w:sz w:val="24"/>
      <w:szCs w:val="20"/>
    </w:rPr>
  </w:style>
  <w:style w:type="paragraph" w:styleId="1307">
    <w:name w:val="Char Char Char Char Char Char Char2"/>
    <w:basedOn w:val="1072"/>
    <w:next w:val="1307"/>
    <w:link w:val="1072"/>
    <w:qFormat/>
    <w:pPr>
      <w:ind w:firstLine="200"/>
      <w:spacing w:line="360" w:lineRule="auto"/>
    </w:pPr>
    <w:rPr>
      <w:rFonts w:eastAsia="仿宋_GB2312"/>
      <w:sz w:val="24"/>
    </w:rPr>
  </w:style>
  <w:style w:type="paragraph" w:styleId="1308">
    <w:name w:val="正文缩进2"/>
    <w:basedOn w:val="1072"/>
    <w:next w:val="1308"/>
    <w:link w:val="1072"/>
    <w:qFormat/>
    <w:pPr>
      <w:ind w:firstLine="567"/>
      <w:spacing w:line="480" w:lineRule="exact"/>
      <w:widowControl/>
    </w:pPr>
    <w:rPr>
      <w:rFonts w:ascii="宋体"/>
      <w:color w:val="000000"/>
      <w:sz w:val="28"/>
      <w:szCs w:val="20"/>
      <w:lang w:val="zh-CN" w:eastAsia="zh-CN"/>
    </w:rPr>
  </w:style>
  <w:style w:type="paragraph" w:styleId="1309">
    <w:name w:val="Revision"/>
    <w:next w:val="1309"/>
    <w:link w:val="1072"/>
    <w:qFormat/>
    <w:rPr>
      <w:sz w:val="21"/>
      <w:szCs w:val="24"/>
      <w:lang w:val="en-US" w:eastAsia="zh-CN" w:bidi="ar-SA"/>
    </w:rPr>
  </w:style>
  <w:style w:type="paragraph" w:styleId="1310">
    <w:name w:val="Char22"/>
    <w:basedOn w:val="1072"/>
    <w:next w:val="1310"/>
    <w:link w:val="1072"/>
    <w:qFormat/>
    <w:rPr>
      <w:rFonts w:ascii="Tahoma" w:hAnsi="Tahoma"/>
      <w:sz w:val="24"/>
      <w:szCs w:val="20"/>
    </w:rPr>
  </w:style>
  <w:style w:type="paragraph" w:styleId="1311">
    <w:name w:val="Char Char Char Char Char Char Char Char Char Char2"/>
    <w:basedOn w:val="1072"/>
    <w:next w:val="1311"/>
    <w:link w:val="1072"/>
    <w:qFormat/>
    <w:rPr>
      <w:rFonts w:ascii="宋体" w:hAnsi="宋体" w:cs="Courier New"/>
      <w:sz w:val="32"/>
      <w:szCs w:val="32"/>
    </w:rPr>
  </w:style>
  <w:style w:type="paragraph" w:styleId="1312">
    <w:name w:val="Char2 Char Char Char Char Char Char1"/>
    <w:basedOn w:val="1072"/>
    <w:next w:val="1312"/>
    <w:link w:val="1072"/>
    <w:qFormat/>
    <w:pPr>
      <w:jc w:val="center"/>
      <w:spacing w:line="400" w:lineRule="exact"/>
      <w:widowControl/>
    </w:pPr>
  </w:style>
  <w:style w:type="character" w:styleId="1313">
    <w:name w:val="页脚 Char"/>
    <w:next w:val="1313"/>
    <w:link w:val="1072"/>
    <w:qFormat/>
    <w:rPr>
      <w:rFonts w:ascii="宋体" w:eastAsia="宋体"/>
      <w:sz w:val="18"/>
      <w:lang w:val="en-US" w:eastAsia="zh-CN" w:bidi="ar-SA"/>
    </w:rPr>
  </w:style>
  <w:style w:type="paragraph" w:styleId="1314">
    <w:name w:val="Char Char41"/>
    <w:basedOn w:val="1072"/>
    <w:next w:val="1314"/>
    <w:link w:val="1072"/>
    <w:qFormat/>
    <w:pPr>
      <w:jc w:val="center"/>
      <w:spacing w:line="400" w:lineRule="exact"/>
      <w:widowControl/>
    </w:pPr>
  </w:style>
  <w:style w:type="character" w:styleId="1315">
    <w:name w:val="批注文字 Char"/>
    <w:next w:val="1315"/>
    <w:link w:val="1072"/>
    <w:uiPriority w:val="99"/>
    <w:qFormat/>
    <w:rPr>
      <w:sz w:val="21"/>
      <w:szCs w:val="24"/>
    </w:rPr>
  </w:style>
  <w:style w:type="character" w:styleId="1316">
    <w:name w:val="标题 Char"/>
    <w:next w:val="1316"/>
    <w:link w:val="1072"/>
    <w:qFormat/>
    <w:rPr>
      <w:b/>
      <w:sz w:val="32"/>
    </w:rPr>
  </w:style>
  <w:style w:type="paragraph" w:styleId="1317">
    <w:name w:val="图例"/>
    <w:basedOn w:val="1072"/>
    <w:next w:val="1317"/>
    <w:link w:val="1072"/>
    <w:qFormat/>
    <w:pPr>
      <w:jc w:val="center"/>
      <w:spacing w:before="120" w:after="120" w:line="360" w:lineRule="auto"/>
    </w:pPr>
    <w:rPr>
      <w:rFonts w:eastAsia="仿宋_GB2312"/>
      <w:b/>
      <w:sz w:val="24"/>
      <w:szCs w:val="20"/>
    </w:rPr>
  </w:style>
  <w:style w:type="table" w:styleId="1318">
    <w:name w:val="Table Normal"/>
    <w:next w:val="1318"/>
    <w:link w:val="1072"/>
    <w:uiPriority w:val="2"/>
    <w:unhideWhenUsed/>
    <w:qFormat/>
    <w:pPr>
      <w:widowControl w:val="off"/>
    </w:pPr>
    <w:rPr>
      <w:rFonts w:ascii="Calibri" w:hAnsi="Calibri"/>
      <w:sz w:val="22"/>
      <w:szCs w:val="22"/>
      <w:lang w:val="en-US" w:eastAsia="en-US" w:bidi="ar-SA"/>
    </w:rPr>
    <w:tblPr/>
  </w:style>
  <w:style w:type="paragraph" w:styleId="1319">
    <w:name w:val="Table Paragraph"/>
    <w:basedOn w:val="1072"/>
    <w:next w:val="1319"/>
    <w:link w:val="1072"/>
    <w:uiPriority w:val="1"/>
    <w:qFormat/>
    <w:pPr>
      <w:jc w:val="left"/>
    </w:pPr>
    <w:rPr>
      <w:rFonts w:ascii="宋体" w:hAnsi="宋体" w:cs="宋体"/>
      <w:sz w:val="22"/>
      <w:szCs w:val="22"/>
      <w:lang w:eastAsia="en-US"/>
    </w:rPr>
  </w:style>
  <w:style w:type="paragraph" w:styleId="1320">
    <w:name w:val="成文日期"/>
    <w:basedOn w:val="1072"/>
    <w:next w:val="1320"/>
    <w:link w:val="1321"/>
    <w:qFormat/>
    <w:pPr>
      <w:ind w:right="400" w:firstLine="200"/>
      <w:jc w:val="right"/>
      <w:spacing w:line="570" w:lineRule="exact"/>
    </w:pPr>
    <w:rPr>
      <w:rFonts w:ascii="仿宋_GB2312" w:eastAsia="仿宋_GB2312"/>
      <w:sz w:val="32"/>
      <w:szCs w:val="20"/>
    </w:rPr>
  </w:style>
  <w:style w:type="character" w:styleId="1321">
    <w:name w:val="成文日期 Char"/>
    <w:next w:val="1321"/>
    <w:link w:val="1320"/>
    <w:rPr>
      <w:rFonts w:ascii="仿宋_GB2312" w:eastAsia="仿宋_GB2312"/>
      <w:sz w:val="32"/>
    </w:rPr>
  </w:style>
  <w:style w:type="paragraph" w:styleId="1322">
    <w:name w:val="修订"/>
    <w:next w:val="1322"/>
    <w:link w:val="1072"/>
    <w:uiPriority w:val="99"/>
    <w:unhideWhenUsed/>
    <w:rPr>
      <w:sz w:val="21"/>
      <w:szCs w:val="24"/>
      <w:lang w:val="en-US" w:eastAsia="zh-CN" w:bidi="ar-SA"/>
    </w:rPr>
  </w:style>
  <w:style w:type="character" w:styleId="1323">
    <w:name w:val="正文缩进 字符"/>
    <w:next w:val="1323"/>
    <w:link w:val="1072"/>
    <w:uiPriority w:val="99"/>
    <w:qFormat/>
    <w:rPr>
      <w:rFonts w:ascii="宋体" w:hAnsi="Times New Roman" w:eastAsia="宋体" w:cs="Times New Roman"/>
      <w:sz w:val="24"/>
    </w:rPr>
  </w:style>
  <w:style w:type="character" w:styleId="1324">
    <w:name w:val="批注文字 字符1"/>
    <w:next w:val="1324"/>
    <w:link w:val="1072"/>
    <w:qFormat/>
    <w:rPr>
      <w:sz w:val="21"/>
      <w:szCs w:val="24"/>
    </w:rPr>
  </w:style>
  <w:style w:type="character" w:styleId="1325">
    <w:name w:val="正文文本 字符"/>
    <w:next w:val="1325"/>
    <w:link w:val="1072"/>
    <w:qFormat/>
    <w:rPr>
      <w:rFonts w:ascii="宋体" w:hAnsi="宋体"/>
      <w:sz w:val="24"/>
      <w:szCs w:val="24"/>
    </w:rPr>
  </w:style>
  <w:style w:type="character" w:styleId="1326">
    <w:name w:val="纯文本 字符2"/>
    <w:next w:val="1326"/>
    <w:link w:val="1072"/>
    <w:uiPriority w:val="99"/>
    <w:qFormat/>
    <w:rPr>
      <w:rFonts w:ascii="宋体" w:hAnsi="Courier New"/>
      <w:sz w:val="21"/>
    </w:rPr>
  </w:style>
  <w:style w:type="character" w:styleId="1327" w:default="1">
    <w:name w:val="Default Paragraph Font"/>
    <w:uiPriority w:val="1"/>
    <w:semiHidden/>
    <w:unhideWhenUsed/>
  </w:style>
  <w:style w:type="numbering" w:styleId="1328" w:default="1">
    <w:name w:val="No List"/>
    <w:uiPriority w:val="99"/>
    <w:semiHidden/>
    <w:unhideWhenUsed/>
  </w:style>
  <w:style w:type="table" w:styleId="13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image" Target="media/image4.png"/><Relationship Id="rId25"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张媛</cp:lastModifiedBy>
  <cp:revision>8</cp:revision>
  <dcterms:created xsi:type="dcterms:W3CDTF">2022-05-31T00:08:00Z</dcterms:created>
  <dcterms:modified xsi:type="dcterms:W3CDTF">2024-05-31T10:19:13Z</dcterms:modified>
  <cp:version>1048576</cp:version>
</cp:coreProperties>
</file>