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6B6D1">
      <w:pPr>
        <w:widowControl/>
        <w:spacing w:before="100" w:beforeAutospacing="1" w:after="100" w:afterAutospacing="1"/>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合同编号:</w:t>
      </w:r>
    </w:p>
    <w:p w14:paraId="6A3C879D">
      <w:pPr>
        <w:widowControl/>
        <w:spacing w:before="100" w:beforeAutospacing="1" w:after="100" w:afterAutospacing="1" w:line="480" w:lineRule="auto"/>
        <w:jc w:val="center"/>
        <w:rPr>
          <w:rFonts w:hint="eastAsia" w:ascii="宋体" w:hAnsi="宋体" w:eastAsia="宋体" w:cs="宋体"/>
          <w:b/>
          <w:color w:val="000000"/>
          <w:sz w:val="32"/>
          <w:highlight w:val="none"/>
        </w:rPr>
      </w:pPr>
    </w:p>
    <w:p w14:paraId="6CCA2D0F">
      <w:pPr>
        <w:widowControl/>
        <w:spacing w:before="100" w:beforeAutospacing="1" w:after="100" w:afterAutospacing="1" w:line="480" w:lineRule="auto"/>
        <w:jc w:val="center"/>
        <w:rPr>
          <w:rFonts w:hint="eastAsia" w:ascii="宋体" w:hAnsi="宋体" w:eastAsia="宋体" w:cs="宋体"/>
          <w:b/>
          <w:color w:val="000000"/>
          <w:sz w:val="44"/>
          <w:highlight w:val="none"/>
        </w:rPr>
      </w:pPr>
      <w:r>
        <w:rPr>
          <w:rFonts w:hint="eastAsia" w:ascii="宋体" w:hAnsi="宋体" w:eastAsia="宋体" w:cs="宋体"/>
          <w:b/>
          <w:color w:val="000000"/>
          <w:sz w:val="44"/>
          <w:highlight w:val="none"/>
          <w:lang w:eastAsia="zh-CN"/>
        </w:rPr>
        <w:t>一体化大数据共享交换平台运维服务项目</w:t>
      </w:r>
      <w:r>
        <w:rPr>
          <w:rFonts w:hint="eastAsia" w:ascii="宋体" w:hAnsi="宋体" w:eastAsia="宋体" w:cs="宋体"/>
          <w:b/>
          <w:color w:val="000000"/>
          <w:sz w:val="44"/>
          <w:highlight w:val="none"/>
        </w:rPr>
        <w:t>合同</w:t>
      </w:r>
    </w:p>
    <w:p w14:paraId="07818BBF">
      <w:pPr>
        <w:widowControl/>
        <w:spacing w:before="100" w:beforeAutospacing="1" w:after="100" w:afterAutospacing="1"/>
        <w:jc w:val="center"/>
        <w:rPr>
          <w:rFonts w:hint="eastAsia" w:ascii="宋体" w:hAnsi="宋体" w:eastAsia="宋体" w:cs="宋体"/>
          <w:b/>
          <w:color w:val="000000"/>
          <w:sz w:val="24"/>
          <w:highlight w:val="none"/>
        </w:rPr>
      </w:pPr>
    </w:p>
    <w:p w14:paraId="5D74A013">
      <w:pPr>
        <w:widowControl/>
        <w:spacing w:before="100" w:beforeAutospacing="1" w:after="100" w:afterAutospacing="1"/>
        <w:jc w:val="center"/>
        <w:rPr>
          <w:rFonts w:hint="eastAsia" w:ascii="宋体" w:hAnsi="宋体" w:eastAsia="宋体" w:cs="宋体"/>
          <w:color w:val="000000"/>
          <w:sz w:val="24"/>
          <w:highlight w:val="none"/>
        </w:rPr>
      </w:pPr>
    </w:p>
    <w:p w14:paraId="0E33D59D">
      <w:pPr>
        <w:widowControl/>
        <w:spacing w:before="120" w:line="240" w:lineRule="atLeast"/>
        <w:ind w:firstLine="600"/>
        <w:jc w:val="center"/>
        <w:rPr>
          <w:rFonts w:hint="eastAsia" w:ascii="宋体" w:hAnsi="宋体" w:eastAsia="宋体" w:cs="宋体"/>
          <w:color w:val="000000"/>
          <w:sz w:val="30"/>
          <w:szCs w:val="30"/>
          <w:highlight w:val="none"/>
          <w:u w:val="single"/>
        </w:rPr>
      </w:pPr>
      <w:r>
        <w:rPr>
          <w:rFonts w:hint="eastAsia" w:ascii="宋体" w:hAnsi="宋体" w:cs="宋体"/>
          <w:color w:val="000000"/>
          <w:sz w:val="30"/>
          <w:szCs w:val="30"/>
          <w:highlight w:val="none"/>
          <w:lang w:val="en-US" w:eastAsia="zh-CN"/>
        </w:rPr>
        <w:t xml:space="preserve"> </w:t>
      </w:r>
      <w:r>
        <w:rPr>
          <w:rFonts w:hint="eastAsia" w:ascii="宋体" w:hAnsi="宋体" w:eastAsia="宋体" w:cs="宋体"/>
          <w:color w:val="000000"/>
          <w:sz w:val="30"/>
          <w:szCs w:val="30"/>
          <w:highlight w:val="none"/>
        </w:rPr>
        <w:t>项目名称:</w:t>
      </w:r>
      <w:r>
        <w:rPr>
          <w:rFonts w:hint="eastAsia" w:ascii="宋体" w:hAnsi="宋体" w:eastAsia="宋体" w:cs="宋体"/>
          <w:color w:val="000000"/>
          <w:sz w:val="30"/>
          <w:szCs w:val="30"/>
          <w:highlight w:val="none"/>
          <w:u w:val="single"/>
          <w:lang w:eastAsia="zh-CN"/>
        </w:rPr>
        <w:t>一体化大数据共享交换平台运维服务项目</w:t>
      </w:r>
    </w:p>
    <w:p w14:paraId="5DCA9AF1">
      <w:pPr>
        <w:widowControl/>
        <w:spacing w:before="120" w:after="100" w:afterAutospacing="1" w:line="240" w:lineRule="atLeast"/>
        <w:jc w:val="center"/>
        <w:rPr>
          <w:rFonts w:hint="eastAsia" w:ascii="宋体" w:hAnsi="宋体" w:eastAsia="宋体" w:cs="宋体"/>
          <w:color w:val="000000"/>
          <w:sz w:val="30"/>
          <w:szCs w:val="30"/>
          <w:highlight w:val="none"/>
        </w:rPr>
      </w:pPr>
    </w:p>
    <w:p w14:paraId="3EC5EDF0">
      <w:pPr>
        <w:widowControl/>
        <w:spacing w:before="120" w:line="240" w:lineRule="atLeast"/>
        <w:ind w:firstLine="2052" w:firstLineChars="684"/>
        <w:jc w:val="both"/>
        <w:rPr>
          <w:rFonts w:hint="eastAsia" w:ascii="宋体" w:hAnsi="宋体" w:eastAsia="宋体" w:cs="宋体"/>
          <w:color w:val="000000"/>
          <w:sz w:val="30"/>
          <w:szCs w:val="30"/>
          <w:highlight w:val="none"/>
          <w:u w:val="single"/>
        </w:rPr>
      </w:pPr>
      <w:r>
        <w:rPr>
          <w:rFonts w:hint="eastAsia" w:ascii="宋体" w:hAnsi="宋体" w:eastAsia="宋体" w:cs="宋体"/>
          <w:color w:val="000000"/>
          <w:sz w:val="30"/>
          <w:szCs w:val="30"/>
          <w:highlight w:val="none"/>
        </w:rPr>
        <w:t>甲方:</w:t>
      </w:r>
      <w:r>
        <w:rPr>
          <w:rFonts w:hint="eastAsia" w:ascii="宋体" w:hAnsi="宋体" w:cs="宋体"/>
          <w:color w:val="000000"/>
          <w:sz w:val="30"/>
          <w:szCs w:val="30"/>
          <w:highlight w:val="none"/>
          <w:u w:val="single"/>
          <w:lang w:val="en-US" w:eastAsia="zh-CN"/>
        </w:rPr>
        <w:t xml:space="preserve"> 常</w:t>
      </w:r>
      <w:r>
        <w:rPr>
          <w:rFonts w:hint="eastAsia" w:ascii="宋体" w:hAnsi="宋体" w:eastAsia="宋体" w:cs="宋体"/>
          <w:color w:val="000000"/>
          <w:sz w:val="30"/>
          <w:szCs w:val="30"/>
          <w:highlight w:val="none"/>
          <w:u w:val="single"/>
          <w:lang w:eastAsia="zh-CN"/>
        </w:rPr>
        <w:t>州高新技术产业开发区（新北区）数据</w:t>
      </w:r>
      <w:r>
        <w:rPr>
          <w:rFonts w:hint="eastAsia" w:ascii="宋体" w:hAnsi="宋体" w:cs="宋体"/>
          <w:color w:val="000000"/>
          <w:sz w:val="30"/>
          <w:szCs w:val="30"/>
          <w:highlight w:val="none"/>
          <w:u w:val="single"/>
          <w:lang w:val="en-US" w:eastAsia="zh-CN"/>
        </w:rPr>
        <w:t xml:space="preserve">局 </w:t>
      </w:r>
    </w:p>
    <w:p w14:paraId="7F6280D4">
      <w:pPr>
        <w:widowControl/>
        <w:spacing w:before="120" w:after="100" w:afterAutospacing="1" w:line="240" w:lineRule="atLeast"/>
        <w:jc w:val="center"/>
        <w:rPr>
          <w:rFonts w:hint="eastAsia" w:ascii="宋体" w:hAnsi="宋体" w:eastAsia="宋体" w:cs="宋体"/>
          <w:color w:val="000000"/>
          <w:sz w:val="30"/>
          <w:szCs w:val="30"/>
          <w:highlight w:val="none"/>
        </w:rPr>
      </w:pPr>
    </w:p>
    <w:p w14:paraId="2AD3D283">
      <w:pPr>
        <w:widowControl/>
        <w:spacing w:before="120" w:line="240" w:lineRule="atLeast"/>
        <w:ind w:firstLine="2100" w:firstLineChars="700"/>
        <w:jc w:val="both"/>
        <w:rPr>
          <w:rFonts w:hint="default" w:ascii="宋体" w:hAnsi="宋体" w:eastAsia="宋体" w:cs="宋体"/>
          <w:color w:val="000000"/>
          <w:sz w:val="30"/>
          <w:szCs w:val="30"/>
          <w:highlight w:val="none"/>
          <w:lang w:val="en-US" w:eastAsia="zh-CN"/>
        </w:rPr>
      </w:pPr>
      <w:r>
        <w:rPr>
          <w:rFonts w:hint="eastAsia" w:ascii="宋体" w:hAnsi="宋体" w:eastAsia="宋体" w:cs="宋体"/>
          <w:color w:val="000000"/>
          <w:sz w:val="30"/>
          <w:szCs w:val="30"/>
          <w:highlight w:val="none"/>
        </w:rPr>
        <w:t>乙方:</w:t>
      </w:r>
      <w:r>
        <w:rPr>
          <w:rFonts w:hint="eastAsia" w:ascii="宋体" w:hAnsi="宋体" w:cs="宋体"/>
          <w:color w:val="000000"/>
          <w:sz w:val="30"/>
          <w:szCs w:val="30"/>
          <w:highlight w:val="none"/>
          <w:u w:val="single"/>
          <w:lang w:val="en-US" w:eastAsia="zh-CN"/>
        </w:rPr>
        <w:t xml:space="preserve">          常州数据科技有限公司         </w:t>
      </w:r>
    </w:p>
    <w:p w14:paraId="6DECFF85">
      <w:pPr>
        <w:widowControl/>
        <w:spacing w:before="120" w:after="100" w:afterAutospacing="1" w:line="240" w:lineRule="atLeast"/>
        <w:jc w:val="center"/>
        <w:rPr>
          <w:rFonts w:hint="eastAsia" w:ascii="宋体" w:hAnsi="宋体" w:eastAsia="宋体" w:cs="宋体"/>
          <w:color w:val="000000"/>
          <w:sz w:val="30"/>
          <w:szCs w:val="30"/>
          <w:highlight w:val="none"/>
        </w:rPr>
      </w:pPr>
    </w:p>
    <w:p w14:paraId="3F6DE783">
      <w:pPr>
        <w:widowControl/>
        <w:spacing w:before="120" w:after="100" w:afterAutospacing="1" w:line="240" w:lineRule="atLeast"/>
        <w:ind w:firstLine="2052" w:firstLineChars="684"/>
        <w:jc w:val="both"/>
        <w:rPr>
          <w:rFonts w:hint="default" w:ascii="宋体" w:hAnsi="宋体" w:eastAsia="宋体" w:cs="宋体"/>
          <w:color w:val="000000"/>
          <w:sz w:val="30"/>
          <w:szCs w:val="30"/>
          <w:highlight w:val="none"/>
          <w:lang w:val="en-US"/>
        </w:rPr>
      </w:pPr>
      <w:r>
        <w:rPr>
          <w:rFonts w:hint="eastAsia" w:ascii="宋体" w:hAnsi="宋体" w:eastAsia="宋体" w:cs="宋体"/>
          <w:color w:val="000000"/>
          <w:sz w:val="30"/>
          <w:szCs w:val="30"/>
          <w:highlight w:val="none"/>
        </w:rPr>
        <w:t>签订地:</w:t>
      </w:r>
      <w:r>
        <w:rPr>
          <w:rFonts w:hint="eastAsia" w:ascii="宋体" w:hAnsi="宋体" w:cs="宋体"/>
          <w:color w:val="000000"/>
          <w:sz w:val="30"/>
          <w:szCs w:val="30"/>
          <w:highlight w:val="none"/>
          <w:u w:val="single"/>
          <w:lang w:val="en-US" w:eastAsia="zh-CN"/>
        </w:rPr>
        <w:t xml:space="preserve">               常州                   </w:t>
      </w:r>
    </w:p>
    <w:p w14:paraId="04E02EA9">
      <w:pPr>
        <w:widowControl/>
        <w:spacing w:before="120" w:after="100" w:afterAutospacing="1" w:line="240" w:lineRule="atLeast"/>
        <w:jc w:val="center"/>
        <w:rPr>
          <w:rFonts w:hint="eastAsia" w:ascii="宋体" w:hAnsi="宋体" w:eastAsia="宋体" w:cs="宋体"/>
          <w:color w:val="000000"/>
          <w:sz w:val="30"/>
          <w:szCs w:val="30"/>
          <w:highlight w:val="none"/>
        </w:rPr>
      </w:pPr>
    </w:p>
    <w:p w14:paraId="62606575">
      <w:pPr>
        <w:widowControl/>
        <w:spacing w:before="120" w:after="100" w:afterAutospacing="1" w:line="240" w:lineRule="atLeast"/>
        <w:ind w:firstLine="2052" w:firstLineChars="684"/>
        <w:jc w:val="both"/>
        <w:rPr>
          <w:rFonts w:hint="eastAsia" w:ascii="宋体" w:hAnsi="宋体" w:eastAsia="宋体" w:cs="宋体"/>
          <w:color w:val="000000"/>
          <w:sz w:val="30"/>
          <w:szCs w:val="30"/>
          <w:highlight w:val="none"/>
        </w:rPr>
      </w:pPr>
      <w:r>
        <w:rPr>
          <w:rFonts w:hint="eastAsia" w:ascii="宋体" w:hAnsi="宋体" w:eastAsia="宋体" w:cs="宋体"/>
          <w:color w:val="000000"/>
          <w:sz w:val="30"/>
          <w:szCs w:val="30"/>
          <w:highlight w:val="none"/>
        </w:rPr>
        <w:t>签订日期:</w:t>
      </w:r>
      <w:r>
        <w:rPr>
          <w:rFonts w:hint="eastAsia" w:ascii="宋体" w:hAnsi="宋体" w:cs="宋体"/>
          <w:color w:val="000000"/>
          <w:sz w:val="30"/>
          <w:szCs w:val="30"/>
          <w:highlight w:val="none"/>
          <w:u w:val="single"/>
          <w:lang w:val="en-US" w:eastAsia="zh-CN"/>
        </w:rPr>
        <w:t xml:space="preserve">     </w:t>
      </w:r>
      <w:bookmarkStart w:id="0" w:name="_GoBack"/>
      <w:bookmarkEnd w:id="0"/>
      <w:r>
        <w:rPr>
          <w:rFonts w:hint="eastAsia" w:ascii="宋体" w:hAnsi="宋体" w:cs="宋体"/>
          <w:color w:val="000000"/>
          <w:sz w:val="30"/>
          <w:szCs w:val="30"/>
          <w:highlight w:val="none"/>
          <w:u w:val="single"/>
          <w:lang w:val="en-US" w:eastAsia="zh-CN"/>
        </w:rPr>
        <w:t xml:space="preserve">2025     </w:t>
      </w:r>
      <w:r>
        <w:rPr>
          <w:rFonts w:hint="eastAsia" w:ascii="宋体" w:hAnsi="宋体" w:eastAsia="宋体" w:cs="宋体"/>
          <w:color w:val="000000"/>
          <w:sz w:val="30"/>
          <w:szCs w:val="30"/>
          <w:highlight w:val="none"/>
        </w:rPr>
        <w:t>年</w:t>
      </w:r>
      <w:r>
        <w:rPr>
          <w:rFonts w:hint="eastAsia" w:ascii="宋体" w:hAnsi="宋体" w:cs="宋体"/>
          <w:color w:val="000000"/>
          <w:sz w:val="30"/>
          <w:szCs w:val="30"/>
          <w:highlight w:val="none"/>
          <w:u w:val="single"/>
          <w:lang w:val="en-US" w:eastAsia="zh-CN"/>
        </w:rPr>
        <w:t xml:space="preserve">   12   </w:t>
      </w:r>
      <w:r>
        <w:rPr>
          <w:rFonts w:hint="eastAsia" w:ascii="宋体" w:hAnsi="宋体" w:eastAsia="宋体" w:cs="宋体"/>
          <w:color w:val="000000"/>
          <w:sz w:val="30"/>
          <w:szCs w:val="30"/>
          <w:highlight w:val="none"/>
        </w:rPr>
        <w:t>月</w:t>
      </w:r>
      <w:r>
        <w:rPr>
          <w:rFonts w:hint="eastAsia" w:ascii="宋体" w:hAnsi="宋体" w:cs="宋体"/>
          <w:color w:val="000000"/>
          <w:sz w:val="30"/>
          <w:szCs w:val="30"/>
          <w:highlight w:val="none"/>
          <w:u w:val="single"/>
          <w:lang w:val="en-US" w:eastAsia="zh-CN"/>
        </w:rPr>
        <w:t xml:space="preserve">   17   </w:t>
      </w:r>
      <w:r>
        <w:rPr>
          <w:rFonts w:hint="eastAsia" w:ascii="宋体" w:hAnsi="宋体" w:eastAsia="宋体" w:cs="宋体"/>
          <w:color w:val="000000"/>
          <w:sz w:val="30"/>
          <w:szCs w:val="30"/>
          <w:highlight w:val="none"/>
        </w:rPr>
        <w:t>日</w:t>
      </w:r>
    </w:p>
    <w:p w14:paraId="4A82A702">
      <w:pPr>
        <w:widowControl/>
        <w:jc w:val="center"/>
        <w:rPr>
          <w:rFonts w:hint="eastAsia" w:ascii="宋体" w:hAnsi="宋体" w:eastAsia="宋体" w:cs="宋体"/>
          <w:color w:val="000000"/>
          <w:sz w:val="24"/>
          <w:highlight w:val="none"/>
        </w:rPr>
        <w:sectPr>
          <w:pgSz w:w="12240" w:h="15840"/>
          <w:pgMar w:top="1440" w:right="1080" w:bottom="1440" w:left="1080" w:header="720" w:footer="720" w:gutter="0"/>
          <w:pgNumType w:start="1"/>
          <w:cols w:space="1701" w:num="1"/>
          <w:docGrid w:linePitch="360" w:charSpace="0"/>
        </w:sectPr>
      </w:pPr>
    </w:p>
    <w:p w14:paraId="536AA190">
      <w:pPr>
        <w:keepNext w:val="0"/>
        <w:keepLines w:val="0"/>
        <w:pageBreakBefore w:val="0"/>
        <w:widowControl w:val="0"/>
        <w:spacing w:line="360" w:lineRule="auto"/>
        <w:ind w:firstLine="420"/>
        <w:jc w:val="left"/>
        <w:rPr>
          <w:rFonts w:hint="eastAsia" w:ascii="宋体" w:hAnsi="宋体" w:eastAsia="宋体" w:cs="宋体"/>
          <w:bCs/>
          <w:color w:val="000000"/>
          <w:sz w:val="21"/>
          <w:szCs w:val="21"/>
          <w:highlight w:val="none"/>
        </w:rPr>
      </w:pPr>
      <w:r>
        <w:rPr>
          <w:rFonts w:hint="eastAsia" w:ascii="宋体" w:hAnsi="宋体" w:cs="宋体"/>
          <w:bCs/>
          <w:color w:val="000000"/>
          <w:sz w:val="21"/>
          <w:szCs w:val="21"/>
          <w:highlight w:val="none"/>
          <w:u w:val="single"/>
          <w:lang w:val="en-US" w:eastAsia="zh-CN"/>
        </w:rPr>
        <w:t>2025</w:t>
      </w:r>
      <w:r>
        <w:rPr>
          <w:rFonts w:hint="eastAsia" w:ascii="宋体" w:hAnsi="宋体" w:eastAsia="宋体" w:cs="宋体"/>
          <w:bCs/>
          <w:color w:val="000000"/>
          <w:sz w:val="21"/>
          <w:szCs w:val="21"/>
          <w:highlight w:val="none"/>
        </w:rPr>
        <w:t>年</w:t>
      </w:r>
      <w:r>
        <w:rPr>
          <w:rFonts w:hint="eastAsia" w:ascii="宋体" w:hAnsi="宋体" w:cs="宋体"/>
          <w:bCs/>
          <w:color w:val="000000"/>
          <w:sz w:val="21"/>
          <w:szCs w:val="21"/>
          <w:highlight w:val="none"/>
          <w:u w:val="single"/>
          <w:lang w:val="en-US" w:eastAsia="zh-CN"/>
        </w:rPr>
        <w:t>12</w:t>
      </w:r>
      <w:r>
        <w:rPr>
          <w:rFonts w:hint="eastAsia" w:ascii="宋体" w:hAnsi="宋体" w:eastAsia="宋体" w:cs="宋体"/>
          <w:bCs/>
          <w:color w:val="000000"/>
          <w:sz w:val="21"/>
          <w:szCs w:val="21"/>
          <w:highlight w:val="none"/>
        </w:rPr>
        <w:t>月</w:t>
      </w:r>
      <w:r>
        <w:rPr>
          <w:rFonts w:hint="eastAsia" w:ascii="宋体" w:hAnsi="宋体" w:cs="宋体"/>
          <w:bCs/>
          <w:color w:val="000000"/>
          <w:sz w:val="21"/>
          <w:szCs w:val="21"/>
          <w:highlight w:val="none"/>
          <w:u w:val="single"/>
          <w:lang w:val="en-US" w:eastAsia="zh-CN"/>
        </w:rPr>
        <w:t>15</w:t>
      </w:r>
      <w:r>
        <w:rPr>
          <w:rFonts w:hint="eastAsia" w:ascii="宋体" w:hAnsi="宋体" w:eastAsia="宋体" w:cs="宋体"/>
          <w:bCs/>
          <w:color w:val="000000"/>
          <w:sz w:val="21"/>
          <w:szCs w:val="21"/>
          <w:highlight w:val="none"/>
        </w:rPr>
        <w:t>日，</w:t>
      </w:r>
      <w:r>
        <w:rPr>
          <w:rFonts w:hint="eastAsia" w:ascii="宋体" w:hAnsi="宋体" w:eastAsia="宋体" w:cs="宋体"/>
          <w:bCs/>
          <w:color w:val="000000"/>
          <w:sz w:val="21"/>
          <w:szCs w:val="21"/>
          <w:highlight w:val="none"/>
          <w:u w:val="single"/>
          <w:lang w:eastAsia="zh-CN"/>
        </w:rPr>
        <w:t>常州高新技术产业开发区（新北区）数据局</w:t>
      </w:r>
      <w:r>
        <w:rPr>
          <w:rFonts w:hint="eastAsia" w:ascii="宋体" w:hAnsi="宋体" w:eastAsia="宋体" w:cs="宋体"/>
          <w:bCs/>
          <w:color w:val="000000"/>
          <w:sz w:val="21"/>
          <w:szCs w:val="21"/>
          <w:highlight w:val="none"/>
          <w:u w:val="single"/>
        </w:rPr>
        <w:t xml:space="preserve"> </w:t>
      </w:r>
      <w:r>
        <w:rPr>
          <w:rFonts w:hint="eastAsia" w:ascii="宋体" w:hAnsi="宋体" w:eastAsia="宋体" w:cs="宋体"/>
          <w:bCs/>
          <w:color w:val="000000"/>
          <w:sz w:val="21"/>
          <w:szCs w:val="21"/>
          <w:highlight w:val="none"/>
        </w:rPr>
        <w:t>以</w:t>
      </w:r>
      <w:r>
        <w:rPr>
          <w:rFonts w:hint="eastAsia" w:ascii="宋体" w:hAnsi="宋体" w:eastAsia="宋体" w:cs="宋体"/>
          <w:bCs/>
          <w:color w:val="000000"/>
          <w:sz w:val="21"/>
          <w:szCs w:val="21"/>
          <w:highlight w:val="none"/>
          <w:u w:val="single"/>
        </w:rPr>
        <w:t>竞争性磋商方式</w:t>
      </w:r>
      <w:r>
        <w:rPr>
          <w:rFonts w:hint="eastAsia" w:ascii="宋体" w:hAnsi="宋体" w:eastAsia="宋体" w:cs="宋体"/>
          <w:bCs/>
          <w:color w:val="000000"/>
          <w:sz w:val="21"/>
          <w:szCs w:val="21"/>
          <w:highlight w:val="none"/>
        </w:rPr>
        <w:t>对</w:t>
      </w:r>
      <w:r>
        <w:rPr>
          <w:rFonts w:hint="eastAsia" w:ascii="宋体" w:hAnsi="宋体" w:eastAsia="宋体" w:cs="宋体"/>
          <w:bCs/>
          <w:color w:val="000000"/>
          <w:sz w:val="21"/>
          <w:szCs w:val="21"/>
          <w:highlight w:val="none"/>
          <w:u w:val="single"/>
          <w:lang w:eastAsia="zh-CN"/>
        </w:rPr>
        <w:t>一体化大数据共享交换平台运维服务项目</w:t>
      </w:r>
      <w:r>
        <w:rPr>
          <w:rFonts w:hint="eastAsia" w:ascii="宋体" w:hAnsi="宋体" w:eastAsia="宋体" w:cs="宋体"/>
          <w:bCs/>
          <w:color w:val="000000"/>
          <w:sz w:val="21"/>
          <w:szCs w:val="21"/>
          <w:highlight w:val="none"/>
        </w:rPr>
        <w:t>（</w:t>
      </w:r>
      <w:r>
        <w:rPr>
          <w:rFonts w:hint="eastAsia" w:ascii="宋体" w:hAnsi="宋体" w:eastAsia="宋体" w:cs="宋体"/>
          <w:bCs/>
          <w:color w:val="000000"/>
          <w:sz w:val="21"/>
          <w:szCs w:val="21"/>
          <w:highlight w:val="none"/>
          <w:lang w:eastAsia="zh-CN"/>
        </w:rPr>
        <w:t>JSZC-320411-CZZJ-C2025-0035</w:t>
      </w:r>
      <w:r>
        <w:rPr>
          <w:rFonts w:hint="eastAsia" w:ascii="宋体" w:hAnsi="宋体" w:eastAsia="宋体" w:cs="宋体"/>
          <w:bCs/>
          <w:color w:val="000000"/>
          <w:sz w:val="21"/>
          <w:szCs w:val="21"/>
          <w:highlight w:val="none"/>
        </w:rPr>
        <w:t>）进行了采购。经磋商小组评定，</w:t>
      </w:r>
      <w:r>
        <w:rPr>
          <w:rFonts w:hint="eastAsia" w:ascii="宋体" w:hAnsi="宋体" w:cs="宋体"/>
          <w:bCs/>
          <w:color w:val="000000"/>
          <w:sz w:val="21"/>
          <w:szCs w:val="21"/>
          <w:highlight w:val="none"/>
          <w:u w:val="single"/>
          <w:lang w:val="en-US" w:eastAsia="zh-CN"/>
        </w:rPr>
        <w:t>常州数据科技有限公司</w:t>
      </w:r>
      <w:r>
        <w:rPr>
          <w:rFonts w:hint="eastAsia" w:ascii="宋体" w:hAnsi="宋体" w:eastAsia="宋体" w:cs="宋体"/>
          <w:bCs/>
          <w:color w:val="000000"/>
          <w:sz w:val="21"/>
          <w:szCs w:val="21"/>
          <w:highlight w:val="none"/>
        </w:rPr>
        <w:t>为该项目</w:t>
      </w:r>
      <w:r>
        <w:rPr>
          <w:rFonts w:hint="eastAsia" w:ascii="宋体" w:hAnsi="宋体" w:eastAsia="宋体" w:cs="宋体"/>
          <w:bCs/>
          <w:color w:val="000000"/>
          <w:sz w:val="21"/>
          <w:szCs w:val="21"/>
          <w:highlight w:val="none"/>
          <w:lang w:eastAsia="zh-CN"/>
        </w:rPr>
        <w:t>成交单位</w:t>
      </w:r>
      <w:r>
        <w:rPr>
          <w:rFonts w:hint="eastAsia" w:ascii="宋体" w:hAnsi="宋体" w:eastAsia="宋体" w:cs="宋体"/>
          <w:bCs/>
          <w:color w:val="000000"/>
          <w:sz w:val="21"/>
          <w:szCs w:val="21"/>
          <w:highlight w:val="none"/>
        </w:rPr>
        <w:t>。现于成交通知书发出之日起</w:t>
      </w:r>
      <w:r>
        <w:rPr>
          <w:rFonts w:hint="eastAsia" w:ascii="宋体" w:hAnsi="宋体" w:eastAsia="宋体" w:cs="宋体"/>
          <w:bCs/>
          <w:color w:val="000000"/>
          <w:sz w:val="21"/>
          <w:szCs w:val="21"/>
          <w:highlight w:val="none"/>
          <w:lang w:val="en-US" w:eastAsia="zh-CN"/>
        </w:rPr>
        <w:t>30日</w:t>
      </w:r>
      <w:r>
        <w:rPr>
          <w:rFonts w:hint="eastAsia" w:ascii="宋体" w:hAnsi="宋体" w:eastAsia="宋体" w:cs="宋体"/>
          <w:bCs/>
          <w:color w:val="000000"/>
          <w:sz w:val="21"/>
          <w:szCs w:val="21"/>
          <w:highlight w:val="none"/>
        </w:rPr>
        <w:t>内，按照采购文件确定的事项签订本合同。</w:t>
      </w:r>
    </w:p>
    <w:p w14:paraId="23D4C57D">
      <w:pPr>
        <w:keepNext w:val="0"/>
        <w:keepLines w:val="0"/>
        <w:pageBreakBefore w:val="0"/>
        <w:widowControl w:val="0"/>
        <w:spacing w:line="360" w:lineRule="auto"/>
        <w:ind w:firstLine="42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根据《中华人民共和国民法典》、《中华人民共和国政府采购法》等相关法律法规之规定，按照平等、自愿、公平和诚实信用的原则，经</w:t>
      </w:r>
      <w:r>
        <w:rPr>
          <w:rFonts w:hint="eastAsia" w:ascii="宋体" w:hAnsi="宋体" w:eastAsia="宋体" w:cs="宋体"/>
          <w:bCs/>
          <w:color w:val="000000"/>
          <w:sz w:val="21"/>
          <w:szCs w:val="21"/>
          <w:highlight w:val="none"/>
          <w:u w:val="single"/>
          <w:lang w:eastAsia="zh-CN"/>
        </w:rPr>
        <w:t>常州高新技术产业开发区（新北区）数据局</w:t>
      </w:r>
      <w:r>
        <w:rPr>
          <w:rFonts w:hint="eastAsia" w:ascii="宋体" w:hAnsi="宋体" w:eastAsia="宋体" w:cs="宋体"/>
          <w:bCs/>
          <w:color w:val="000000"/>
          <w:sz w:val="21"/>
          <w:szCs w:val="21"/>
          <w:highlight w:val="none"/>
          <w:u w:val="single"/>
        </w:rPr>
        <w:t>(</w:t>
      </w:r>
      <w:r>
        <w:rPr>
          <w:rFonts w:hint="eastAsia" w:ascii="宋体" w:hAnsi="宋体" w:eastAsia="宋体" w:cs="宋体"/>
          <w:bCs/>
          <w:color w:val="000000"/>
          <w:sz w:val="21"/>
          <w:szCs w:val="21"/>
          <w:highlight w:val="none"/>
        </w:rPr>
        <w:t>以下简称:甲方)和</w:t>
      </w:r>
      <w:r>
        <w:rPr>
          <w:rFonts w:hint="eastAsia" w:ascii="宋体" w:hAnsi="宋体" w:cs="宋体"/>
          <w:bCs/>
          <w:color w:val="000000"/>
          <w:sz w:val="21"/>
          <w:szCs w:val="21"/>
          <w:highlight w:val="none"/>
          <w:u w:val="single"/>
          <w:lang w:val="en-US" w:eastAsia="zh-CN"/>
        </w:rPr>
        <w:t>常州数据科技有限公司</w:t>
      </w:r>
      <w:r>
        <w:rPr>
          <w:rFonts w:hint="eastAsia" w:ascii="宋体" w:hAnsi="宋体" w:eastAsia="宋体" w:cs="宋体"/>
          <w:bCs/>
          <w:color w:val="000000"/>
          <w:sz w:val="21"/>
          <w:szCs w:val="21"/>
          <w:highlight w:val="none"/>
        </w:rPr>
        <w:t>(以下简称:乙方)协商一致，约定以下合同条款，以兹共同遵守、全面履行。</w:t>
      </w:r>
    </w:p>
    <w:p w14:paraId="7B297711">
      <w:pPr>
        <w:keepNext w:val="0"/>
        <w:keepLines w:val="0"/>
        <w:pageBreakBefore w:val="0"/>
        <w:widowControl w:val="0"/>
        <w:spacing w:line="360" w:lineRule="auto"/>
        <w:jc w:val="left"/>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一、总则</w:t>
      </w:r>
    </w:p>
    <w:p w14:paraId="425F08EC">
      <w:pPr>
        <w:keepNext w:val="0"/>
        <w:keepLines w:val="0"/>
        <w:pageBreakBefore w:val="0"/>
        <w:spacing w:line="336" w:lineRule="auto"/>
        <w:ind w:firstLine="420"/>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rPr>
        <w:t>乙方按甲方要求为甲方提供的(</w:t>
      </w:r>
      <w:r>
        <w:rPr>
          <w:rFonts w:hint="eastAsia" w:ascii="宋体" w:hAnsi="宋体" w:eastAsia="宋体" w:cs="宋体"/>
          <w:bCs/>
          <w:color w:val="000000"/>
          <w:sz w:val="21"/>
          <w:szCs w:val="21"/>
          <w:highlight w:val="none"/>
          <w:lang w:eastAsia="zh-CN"/>
        </w:rPr>
        <w:t>JSZC-320411-CZZJ-C2025-0035</w:t>
      </w:r>
      <w:r>
        <w:rPr>
          <w:rFonts w:hint="eastAsia" w:ascii="宋体" w:hAnsi="宋体" w:eastAsia="宋体" w:cs="宋体"/>
          <w:bCs/>
          <w:color w:val="000000"/>
          <w:sz w:val="21"/>
          <w:szCs w:val="21"/>
          <w:highlight w:val="none"/>
        </w:rPr>
        <w:t>号)</w:t>
      </w:r>
      <w:r>
        <w:rPr>
          <w:rFonts w:hint="eastAsia" w:ascii="宋体" w:hAnsi="宋体" w:eastAsia="宋体" w:cs="宋体"/>
          <w:bCs/>
          <w:color w:val="000000"/>
          <w:sz w:val="21"/>
          <w:szCs w:val="21"/>
          <w:highlight w:val="none"/>
          <w:lang w:eastAsia="zh-CN"/>
        </w:rPr>
        <w:t>一体化大数据共享交换平台运维服务项目，本合同金额</w:t>
      </w:r>
      <w:r>
        <w:rPr>
          <w:rFonts w:hint="eastAsia" w:ascii="宋体" w:hAnsi="宋体" w:eastAsia="宋体" w:cs="宋体"/>
          <w:bCs/>
          <w:color w:val="000000"/>
          <w:sz w:val="21"/>
          <w:szCs w:val="21"/>
          <w:highlight w:val="none"/>
        </w:rPr>
        <w:t>为人民币大写:</w:t>
      </w:r>
      <w:r>
        <w:rPr>
          <w:rFonts w:hint="eastAsia" w:ascii="宋体" w:hAnsi="宋体" w:cs="宋体"/>
          <w:bCs/>
          <w:color w:val="000000"/>
          <w:sz w:val="21"/>
          <w:szCs w:val="21"/>
          <w:highlight w:val="none"/>
          <w:u w:val="single"/>
          <w:lang w:val="en-US" w:eastAsia="zh-CN"/>
        </w:rPr>
        <w:t>伍拾玖万伍仟捌佰</w:t>
      </w:r>
      <w:r>
        <w:rPr>
          <w:rFonts w:hint="eastAsia" w:ascii="宋体" w:hAnsi="宋体" w:eastAsia="宋体" w:cs="宋体"/>
          <w:bCs/>
          <w:color w:val="000000"/>
          <w:sz w:val="21"/>
          <w:szCs w:val="21"/>
          <w:highlight w:val="none"/>
        </w:rPr>
        <w:t>元整，小写:</w:t>
      </w:r>
      <w:r>
        <w:rPr>
          <w:rFonts w:hint="eastAsia" w:ascii="宋体" w:hAnsi="宋体" w:cs="宋体"/>
          <w:bCs/>
          <w:color w:val="000000"/>
          <w:sz w:val="21"/>
          <w:szCs w:val="21"/>
          <w:highlight w:val="none"/>
          <w:u w:val="single"/>
          <w:lang w:val="en-US" w:eastAsia="zh-CN"/>
        </w:rPr>
        <w:t>595800</w:t>
      </w:r>
      <w:r>
        <w:rPr>
          <w:rFonts w:hint="eastAsia" w:ascii="宋体" w:hAnsi="宋体" w:eastAsia="宋体" w:cs="宋体"/>
          <w:bCs/>
          <w:color w:val="000000"/>
          <w:sz w:val="21"/>
          <w:szCs w:val="21"/>
          <w:highlight w:val="none"/>
        </w:rPr>
        <w:t>元</w:t>
      </w:r>
      <w:r>
        <w:rPr>
          <w:rFonts w:hint="eastAsia" w:ascii="宋体" w:hAnsi="宋体" w:eastAsia="宋体" w:cs="宋体"/>
          <w:bCs/>
          <w:color w:val="000000"/>
          <w:sz w:val="21"/>
          <w:szCs w:val="21"/>
          <w:highlight w:val="none"/>
          <w:lang w:eastAsia="zh-CN"/>
        </w:rPr>
        <w:t>；</w:t>
      </w:r>
    </w:p>
    <w:p w14:paraId="1F932C13">
      <w:pPr>
        <w:keepNext w:val="0"/>
        <w:keepLines w:val="0"/>
        <w:pageBreakBefore w:val="0"/>
        <w:spacing w:line="336" w:lineRule="auto"/>
        <w:ind w:firstLine="420"/>
        <w:rPr>
          <w:rFonts w:hint="eastAsia" w:ascii="宋体" w:hAnsi="宋体" w:eastAsia="宋体" w:cs="宋体"/>
          <w:bCs/>
          <w:color w:val="000000"/>
          <w:sz w:val="21"/>
          <w:szCs w:val="21"/>
          <w:highlight w:val="none"/>
          <w:lang w:eastAsia="zh-CN"/>
        </w:rPr>
      </w:pP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项目清单如下:</w:t>
      </w:r>
    </w:p>
    <w:tbl>
      <w:tblPr>
        <w:tblStyle w:val="2"/>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335"/>
        <w:gridCol w:w="941"/>
        <w:gridCol w:w="941"/>
        <w:gridCol w:w="2645"/>
        <w:gridCol w:w="941"/>
        <w:gridCol w:w="982"/>
      </w:tblGrid>
      <w:tr w14:paraId="611E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22F7FAC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2335" w:type="dxa"/>
            <w:noWrap/>
            <w:vAlign w:val="center"/>
          </w:tcPr>
          <w:p w14:paraId="10122AA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名称</w:t>
            </w:r>
          </w:p>
        </w:tc>
        <w:tc>
          <w:tcPr>
            <w:tcW w:w="941" w:type="dxa"/>
            <w:noWrap/>
            <w:vAlign w:val="center"/>
          </w:tcPr>
          <w:p w14:paraId="28641186">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数量</w:t>
            </w:r>
          </w:p>
        </w:tc>
        <w:tc>
          <w:tcPr>
            <w:tcW w:w="941" w:type="dxa"/>
            <w:noWrap/>
            <w:vAlign w:val="center"/>
          </w:tcPr>
          <w:p w14:paraId="5BADCA0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单位</w:t>
            </w:r>
          </w:p>
        </w:tc>
        <w:tc>
          <w:tcPr>
            <w:tcW w:w="2645" w:type="dxa"/>
            <w:noWrap/>
            <w:vAlign w:val="center"/>
          </w:tcPr>
          <w:p w14:paraId="43430000">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项目内容</w:t>
            </w:r>
          </w:p>
        </w:tc>
        <w:tc>
          <w:tcPr>
            <w:tcW w:w="941" w:type="dxa"/>
            <w:noWrap/>
            <w:vAlign w:val="center"/>
          </w:tcPr>
          <w:p w14:paraId="77E1013B">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单价（元）</w:t>
            </w:r>
          </w:p>
        </w:tc>
        <w:tc>
          <w:tcPr>
            <w:tcW w:w="982" w:type="dxa"/>
            <w:noWrap/>
            <w:vAlign w:val="center"/>
          </w:tcPr>
          <w:p w14:paraId="2FA7296C">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小计</w:t>
            </w:r>
          </w:p>
          <w:p w14:paraId="27541ED8">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（元）</w:t>
            </w:r>
          </w:p>
        </w:tc>
      </w:tr>
      <w:tr w14:paraId="7243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40928FB6">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1</w:t>
            </w:r>
          </w:p>
        </w:tc>
        <w:tc>
          <w:tcPr>
            <w:tcW w:w="2335" w:type="dxa"/>
            <w:noWrap/>
            <w:vAlign w:val="center"/>
          </w:tcPr>
          <w:p w14:paraId="3D712E54">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区级资源池运维服务</w:t>
            </w:r>
          </w:p>
        </w:tc>
        <w:tc>
          <w:tcPr>
            <w:tcW w:w="941" w:type="dxa"/>
            <w:noWrap/>
            <w:vAlign w:val="center"/>
          </w:tcPr>
          <w:p w14:paraId="155033C5">
            <w:pPr>
              <w:widowControl/>
              <w:jc w:val="center"/>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66239338">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4056BA3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负责区级数据</w:t>
            </w:r>
            <w:r>
              <w:rPr>
                <w:rFonts w:hint="eastAsia" w:ascii="宋体" w:hAnsi="宋体" w:cs="宋体"/>
                <w:color w:val="auto"/>
                <w:szCs w:val="21"/>
                <w:highlight w:val="none"/>
                <w:lang w:val="en-US" w:eastAsia="zh-CN"/>
              </w:rPr>
              <w:t>资源池运维</w:t>
            </w:r>
            <w:r>
              <w:rPr>
                <w:rFonts w:hint="eastAsia" w:ascii="宋体" w:hAnsi="宋体" w:eastAsia="宋体" w:cs="宋体"/>
                <w:color w:val="auto"/>
                <w:szCs w:val="21"/>
                <w:highlight w:val="none"/>
              </w:rPr>
              <w:t>，建立完善的数据安全控制措施，监控数据质量</w:t>
            </w:r>
          </w:p>
        </w:tc>
        <w:tc>
          <w:tcPr>
            <w:tcW w:w="941" w:type="dxa"/>
            <w:noWrap/>
            <w:vAlign w:val="center"/>
          </w:tcPr>
          <w:p w14:paraId="7E3AEFDF">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120000</w:t>
            </w:r>
          </w:p>
        </w:tc>
        <w:tc>
          <w:tcPr>
            <w:tcW w:w="982" w:type="dxa"/>
            <w:noWrap/>
            <w:vAlign w:val="center"/>
          </w:tcPr>
          <w:p w14:paraId="43CFF7B3">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120000</w:t>
            </w:r>
          </w:p>
        </w:tc>
      </w:tr>
      <w:tr w14:paraId="188A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30E4D20D">
            <w:pPr>
              <w:widowControl/>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2</w:t>
            </w:r>
          </w:p>
        </w:tc>
        <w:tc>
          <w:tcPr>
            <w:tcW w:w="2335" w:type="dxa"/>
            <w:noWrap/>
            <w:vAlign w:val="center"/>
          </w:tcPr>
          <w:p w14:paraId="0AF087B9">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区级部门数据归集服务</w:t>
            </w:r>
          </w:p>
        </w:tc>
        <w:tc>
          <w:tcPr>
            <w:tcW w:w="941" w:type="dxa"/>
            <w:noWrap/>
            <w:vAlign w:val="center"/>
          </w:tcPr>
          <w:p w14:paraId="456E5167">
            <w:pPr>
              <w:widowControl/>
              <w:jc w:val="center"/>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4DC4C198">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7478AFC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调研区级部门平台及应用建设情况，推进应用数据的归集与共享</w:t>
            </w:r>
          </w:p>
        </w:tc>
        <w:tc>
          <w:tcPr>
            <w:tcW w:w="941" w:type="dxa"/>
            <w:noWrap/>
            <w:vAlign w:val="center"/>
          </w:tcPr>
          <w:p w14:paraId="27EC8DE2">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90000</w:t>
            </w:r>
          </w:p>
        </w:tc>
        <w:tc>
          <w:tcPr>
            <w:tcW w:w="982" w:type="dxa"/>
            <w:noWrap/>
            <w:vAlign w:val="center"/>
          </w:tcPr>
          <w:p w14:paraId="11BF131C">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90000</w:t>
            </w:r>
          </w:p>
        </w:tc>
      </w:tr>
      <w:tr w14:paraId="4DD8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0FC14663">
            <w:pPr>
              <w:widowControl/>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3</w:t>
            </w:r>
          </w:p>
        </w:tc>
        <w:tc>
          <w:tcPr>
            <w:tcW w:w="2335" w:type="dxa"/>
            <w:noWrap/>
            <w:vAlign w:val="center"/>
          </w:tcPr>
          <w:p w14:paraId="55A79394">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数据治理服务</w:t>
            </w:r>
          </w:p>
        </w:tc>
        <w:tc>
          <w:tcPr>
            <w:tcW w:w="941" w:type="dxa"/>
            <w:noWrap/>
            <w:vAlign w:val="center"/>
          </w:tcPr>
          <w:p w14:paraId="460B8F66">
            <w:pPr>
              <w:widowControl/>
              <w:jc w:val="center"/>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4A46B5B6">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7873D07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建立标准化数据治理流程，提供定制化数据清洗服务，完成数据二次开发处理</w:t>
            </w:r>
          </w:p>
        </w:tc>
        <w:tc>
          <w:tcPr>
            <w:tcW w:w="941" w:type="dxa"/>
            <w:noWrap/>
            <w:vAlign w:val="center"/>
          </w:tcPr>
          <w:p w14:paraId="185C0DF6">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140000</w:t>
            </w:r>
          </w:p>
        </w:tc>
        <w:tc>
          <w:tcPr>
            <w:tcW w:w="982" w:type="dxa"/>
            <w:noWrap/>
            <w:vAlign w:val="center"/>
          </w:tcPr>
          <w:p w14:paraId="56AD87EE">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140000</w:t>
            </w:r>
          </w:p>
        </w:tc>
      </w:tr>
      <w:tr w14:paraId="1ED2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1D6F2908">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4</w:t>
            </w:r>
          </w:p>
        </w:tc>
        <w:tc>
          <w:tcPr>
            <w:tcW w:w="2335" w:type="dxa"/>
            <w:noWrap/>
            <w:vAlign w:val="center"/>
          </w:tcPr>
          <w:p w14:paraId="4E0B1415">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数据挂载、编目服务</w:t>
            </w:r>
          </w:p>
        </w:tc>
        <w:tc>
          <w:tcPr>
            <w:tcW w:w="941" w:type="dxa"/>
            <w:noWrap/>
            <w:vAlign w:val="center"/>
          </w:tcPr>
          <w:p w14:paraId="2E5BD25F">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39DCC5D5">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7B6175F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完善公共基础数据库及专题库建设，形成数据资源池</w:t>
            </w:r>
          </w:p>
        </w:tc>
        <w:tc>
          <w:tcPr>
            <w:tcW w:w="941" w:type="dxa"/>
            <w:noWrap/>
            <w:vAlign w:val="center"/>
          </w:tcPr>
          <w:p w14:paraId="45C512A7">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90000</w:t>
            </w:r>
          </w:p>
        </w:tc>
        <w:tc>
          <w:tcPr>
            <w:tcW w:w="982" w:type="dxa"/>
            <w:noWrap/>
            <w:vAlign w:val="center"/>
          </w:tcPr>
          <w:p w14:paraId="6D0C9084">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90000</w:t>
            </w:r>
          </w:p>
        </w:tc>
      </w:tr>
      <w:tr w14:paraId="179A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7D102D32">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5</w:t>
            </w:r>
          </w:p>
        </w:tc>
        <w:tc>
          <w:tcPr>
            <w:tcW w:w="2335" w:type="dxa"/>
            <w:noWrap/>
            <w:vAlign w:val="center"/>
          </w:tcPr>
          <w:p w14:paraId="0FE4B696">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公共数据资源登记服务</w:t>
            </w:r>
          </w:p>
        </w:tc>
        <w:tc>
          <w:tcPr>
            <w:tcW w:w="941" w:type="dxa"/>
            <w:noWrap/>
            <w:vAlign w:val="center"/>
          </w:tcPr>
          <w:p w14:paraId="77520B6E">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6020B4D9">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1A4CA62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推进本区公共数据资源登记工作</w:t>
            </w:r>
          </w:p>
        </w:tc>
        <w:tc>
          <w:tcPr>
            <w:tcW w:w="941" w:type="dxa"/>
            <w:noWrap/>
            <w:vAlign w:val="center"/>
          </w:tcPr>
          <w:p w14:paraId="5B465319">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95000</w:t>
            </w:r>
          </w:p>
        </w:tc>
        <w:tc>
          <w:tcPr>
            <w:tcW w:w="982" w:type="dxa"/>
            <w:noWrap/>
            <w:vAlign w:val="center"/>
          </w:tcPr>
          <w:p w14:paraId="1016EE07">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95000</w:t>
            </w:r>
          </w:p>
        </w:tc>
      </w:tr>
      <w:tr w14:paraId="7290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534C6273">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6</w:t>
            </w:r>
          </w:p>
        </w:tc>
        <w:tc>
          <w:tcPr>
            <w:tcW w:w="2335" w:type="dxa"/>
            <w:noWrap/>
            <w:vAlign w:val="center"/>
          </w:tcPr>
          <w:p w14:paraId="7AE70AB9">
            <w:pPr>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配合完成上级考核</w:t>
            </w:r>
          </w:p>
        </w:tc>
        <w:tc>
          <w:tcPr>
            <w:tcW w:w="941" w:type="dxa"/>
            <w:noWrap/>
            <w:vAlign w:val="center"/>
          </w:tcPr>
          <w:p w14:paraId="7AF08B89">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941" w:type="dxa"/>
            <w:noWrap/>
            <w:vAlign w:val="center"/>
          </w:tcPr>
          <w:p w14:paraId="19274757">
            <w:pPr>
              <w:widowControl/>
              <w:jc w:val="center"/>
              <w:textAlignment w:val="center"/>
              <w:rPr>
                <w:rFonts w:hint="eastAsia" w:ascii="宋体" w:hAnsi="宋体" w:eastAsia="宋体" w:cs="宋体"/>
                <w:color w:val="auto"/>
                <w:szCs w:val="21"/>
                <w:highlight w:val="none"/>
              </w:rPr>
            </w:pPr>
            <w:r>
              <w:rPr>
                <w:rFonts w:hint="eastAsia" w:ascii="宋体" w:hAnsi="宋体" w:cs="Arial"/>
                <w:kern w:val="0"/>
                <w:sz w:val="24"/>
                <w:lang w:val="en-US" w:eastAsia="zh-CN"/>
              </w:rPr>
              <w:t>套</w:t>
            </w:r>
          </w:p>
        </w:tc>
        <w:tc>
          <w:tcPr>
            <w:tcW w:w="2645" w:type="dxa"/>
            <w:noWrap/>
            <w:vAlign w:val="center"/>
          </w:tcPr>
          <w:p w14:paraId="02ED605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配合区级部门完成上级考核要求，提升多项指标完成度</w:t>
            </w:r>
          </w:p>
        </w:tc>
        <w:tc>
          <w:tcPr>
            <w:tcW w:w="941" w:type="dxa"/>
            <w:noWrap/>
            <w:vAlign w:val="center"/>
          </w:tcPr>
          <w:p w14:paraId="0F814FF4">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60800</w:t>
            </w:r>
          </w:p>
        </w:tc>
        <w:tc>
          <w:tcPr>
            <w:tcW w:w="982" w:type="dxa"/>
            <w:noWrap/>
            <w:vAlign w:val="center"/>
          </w:tcPr>
          <w:p w14:paraId="762BAEBC">
            <w:pPr>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60800</w:t>
            </w:r>
          </w:p>
        </w:tc>
      </w:tr>
      <w:tr w14:paraId="28A4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1" w:type="dxa"/>
            <w:noWrap/>
            <w:vAlign w:val="center"/>
          </w:tcPr>
          <w:p w14:paraId="79F0D42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合计</w:t>
            </w:r>
          </w:p>
        </w:tc>
        <w:tc>
          <w:tcPr>
            <w:tcW w:w="8785" w:type="dxa"/>
            <w:gridSpan w:val="6"/>
            <w:noWrap/>
            <w:vAlign w:val="center"/>
          </w:tcPr>
          <w:p w14:paraId="4B108AC2">
            <w:pPr>
              <w:widowControl/>
              <w:spacing w:line="480" w:lineRule="auto"/>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小写: </w:t>
            </w:r>
            <w:r>
              <w:rPr>
                <w:rFonts w:hint="eastAsia" w:ascii="宋体" w:hAnsi="宋体" w:eastAsia="宋体" w:cs="宋体"/>
                <w:color w:val="auto"/>
                <w:szCs w:val="21"/>
                <w:highlight w:val="none"/>
                <w:u w:val="single"/>
              </w:rPr>
              <w:t xml:space="preserve">         59</w:t>
            </w:r>
            <w:r>
              <w:rPr>
                <w:rFonts w:hint="eastAsia" w:ascii="宋体" w:hAnsi="宋体" w:eastAsia="宋体" w:cs="宋体"/>
                <w:color w:val="auto"/>
                <w:szCs w:val="21"/>
                <w:highlight w:val="none"/>
                <w:u w:val="single"/>
                <w:lang w:val="en-US" w:eastAsia="zh-CN"/>
              </w:rPr>
              <w:t>5</w:t>
            </w:r>
            <w:r>
              <w:rPr>
                <w:rFonts w:hint="eastAsia" w:ascii="宋体" w:hAnsi="宋体" w:eastAsia="宋体" w:cs="宋体"/>
                <w:color w:val="auto"/>
                <w:szCs w:val="21"/>
                <w:highlight w:val="none"/>
                <w:u w:val="single"/>
              </w:rPr>
              <w:t xml:space="preserve">800         </w:t>
            </w:r>
            <w:r>
              <w:rPr>
                <w:rFonts w:hint="eastAsia" w:ascii="宋体" w:hAnsi="宋体" w:eastAsia="宋体" w:cs="宋体"/>
                <w:color w:val="auto"/>
                <w:szCs w:val="21"/>
                <w:highlight w:val="none"/>
              </w:rPr>
              <w:t>元；</w:t>
            </w:r>
          </w:p>
          <w:p w14:paraId="2B7931F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伍拾玖万</w:t>
            </w:r>
            <w:r>
              <w:rPr>
                <w:rFonts w:hint="eastAsia" w:ascii="宋体" w:hAnsi="宋体" w:eastAsia="宋体" w:cs="宋体"/>
                <w:color w:val="auto"/>
                <w:szCs w:val="21"/>
                <w:highlight w:val="none"/>
                <w:u w:val="single"/>
                <w:lang w:val="en-US" w:eastAsia="zh-CN"/>
              </w:rPr>
              <w:t>伍</w:t>
            </w:r>
            <w:r>
              <w:rPr>
                <w:rFonts w:hint="eastAsia" w:ascii="宋体" w:hAnsi="宋体" w:eastAsia="宋体" w:cs="宋体"/>
                <w:color w:val="auto"/>
                <w:szCs w:val="21"/>
                <w:highlight w:val="none"/>
                <w:u w:val="single"/>
              </w:rPr>
              <w:t xml:space="preserve">仟捌佰元整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val="en-US" w:eastAsia="zh-CN"/>
              </w:rPr>
              <w:t>整</w:t>
            </w:r>
            <w:r>
              <w:rPr>
                <w:rFonts w:hint="eastAsia" w:ascii="宋体" w:hAnsi="宋体" w:eastAsia="宋体" w:cs="宋体"/>
                <w:color w:val="auto"/>
                <w:szCs w:val="21"/>
                <w:highlight w:val="none"/>
              </w:rPr>
              <w:t>。</w:t>
            </w:r>
          </w:p>
        </w:tc>
      </w:tr>
    </w:tbl>
    <w:p w14:paraId="47F87C46">
      <w:pPr>
        <w:keepNext w:val="0"/>
        <w:keepLines w:val="0"/>
        <w:pageBreakBefore w:val="0"/>
        <w:widowControl w:val="0"/>
        <w:spacing w:line="360" w:lineRule="auto"/>
        <w:ind w:left="0"/>
        <w:jc w:val="left"/>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sz w:val="21"/>
          <w:szCs w:val="21"/>
          <w:highlight w:val="none"/>
          <w:lang w:val="en-US" w:eastAsia="zh-CN"/>
        </w:rPr>
        <w:t>二、</w:t>
      </w:r>
      <w:r>
        <w:rPr>
          <w:rFonts w:hint="eastAsia" w:ascii="宋体" w:hAnsi="宋体" w:eastAsia="宋体" w:cs="宋体"/>
          <w:b/>
          <w:bCs w:val="0"/>
          <w:color w:val="000000"/>
          <w:sz w:val="21"/>
          <w:szCs w:val="21"/>
          <w:highlight w:val="none"/>
        </w:rPr>
        <w:t>组成本合同的有关文件</w:t>
      </w:r>
    </w:p>
    <w:p w14:paraId="34050559">
      <w:pPr>
        <w:keepNext w:val="0"/>
        <w:keepLines w:val="0"/>
        <w:pageBreakBefore w:val="0"/>
        <w:widowControl w:val="0"/>
        <w:spacing w:line="360" w:lineRule="auto"/>
        <w:ind w:left="0" w:firstLine="42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下列关于本次采购活动方式相适应的文件及有关附件是本合同不可分割的组成部分，与本合同具有同等法律效力，这些文件包括但不限于:</w:t>
      </w:r>
    </w:p>
    <w:p w14:paraId="729D4CC7">
      <w:pPr>
        <w:keepNext w:val="0"/>
        <w:keepLines w:val="0"/>
        <w:pageBreakBefore w:val="0"/>
        <w:widowControl w:val="0"/>
        <w:spacing w:line="360" w:lineRule="auto"/>
        <w:ind w:left="0" w:firstLine="42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1</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磋商文件；</w:t>
      </w:r>
    </w:p>
    <w:p w14:paraId="6565592F">
      <w:pPr>
        <w:keepNext w:val="0"/>
        <w:keepLines w:val="0"/>
        <w:pageBreakBefore w:val="0"/>
        <w:widowControl w:val="0"/>
        <w:spacing w:line="360" w:lineRule="auto"/>
        <w:ind w:left="0" w:firstLine="42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2</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乙方的响应文件；</w:t>
      </w:r>
    </w:p>
    <w:p w14:paraId="030766DE">
      <w:pPr>
        <w:keepNext w:val="0"/>
        <w:keepLines w:val="0"/>
        <w:pageBreakBefore w:val="0"/>
        <w:widowControl w:val="0"/>
        <w:spacing w:line="360" w:lineRule="auto"/>
        <w:ind w:left="0" w:firstLine="42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3</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中标(成交)通知书；</w:t>
      </w:r>
    </w:p>
    <w:p w14:paraId="0C9CD3CC">
      <w:pPr>
        <w:keepNext w:val="0"/>
        <w:keepLines w:val="0"/>
        <w:pageBreakBefore w:val="0"/>
        <w:widowControl w:val="0"/>
        <w:spacing w:line="360" w:lineRule="auto"/>
        <w:ind w:left="0" w:firstLine="420"/>
        <w:jc w:val="left"/>
        <w:rPr>
          <w:rFonts w:hint="eastAsia" w:ascii="宋体" w:hAnsi="宋体" w:eastAsia="宋体" w:cs="宋体"/>
          <w:b/>
          <w:color w:val="000000"/>
          <w:sz w:val="21"/>
          <w:szCs w:val="21"/>
          <w:highlight w:val="none"/>
          <w:lang w:eastAsia="zh-CN"/>
        </w:rPr>
      </w:pP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4</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甲乙双方商定的其他文件</w:t>
      </w:r>
      <w:r>
        <w:rPr>
          <w:rFonts w:hint="eastAsia" w:ascii="宋体" w:hAnsi="宋体" w:eastAsia="宋体" w:cs="宋体"/>
          <w:bCs/>
          <w:color w:val="000000"/>
          <w:sz w:val="21"/>
          <w:szCs w:val="21"/>
          <w:highlight w:val="none"/>
          <w:lang w:eastAsia="zh-CN"/>
        </w:rPr>
        <w:t>；</w:t>
      </w:r>
    </w:p>
    <w:p w14:paraId="7CCE797D">
      <w:pPr>
        <w:pStyle w:val="4"/>
        <w:keepNext w:val="0"/>
        <w:keepLines w:val="0"/>
        <w:pageBreakBefore w:val="0"/>
        <w:widowControl w:val="0"/>
        <w:spacing w:line="360" w:lineRule="auto"/>
        <w:ind w:left="0"/>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rPr>
        <w:t>、</w:t>
      </w:r>
      <w:r>
        <w:rPr>
          <w:rFonts w:hint="eastAsia" w:ascii="宋体" w:hAnsi="宋体" w:eastAsia="宋体" w:cs="宋体"/>
          <w:b/>
          <w:bCs w:val="0"/>
          <w:color w:val="000000"/>
          <w:sz w:val="21"/>
          <w:szCs w:val="21"/>
          <w:highlight w:val="none"/>
          <w:lang w:eastAsia="zh-CN"/>
        </w:rPr>
        <w:t>合同履行期限</w:t>
      </w:r>
    </w:p>
    <w:p w14:paraId="3ED82622">
      <w:pPr>
        <w:keepNext w:val="0"/>
        <w:keepLines w:val="0"/>
        <w:pageBreakBefore w:val="0"/>
        <w:spacing w:line="360" w:lineRule="auto"/>
        <w:ind w:left="0" w:firstLine="420"/>
        <w:rPr>
          <w:rFonts w:hint="eastAsia" w:ascii="宋体" w:hAnsi="宋体" w:eastAsia="宋体" w:cs="宋体"/>
          <w:b/>
          <w:bCs w:val="0"/>
          <w:color w:val="000000"/>
          <w:sz w:val="21"/>
          <w:szCs w:val="21"/>
          <w:highlight w:val="none"/>
          <w:lang w:val="en-US" w:eastAsia="zh-CN" w:bidi="ar-SA"/>
        </w:rPr>
      </w:pPr>
      <w:r>
        <w:rPr>
          <w:rFonts w:hint="eastAsia" w:ascii="宋体" w:hAnsi="宋体" w:eastAsia="宋体" w:cs="宋体"/>
          <w:bCs/>
          <w:color w:val="000000"/>
          <w:sz w:val="21"/>
          <w:szCs w:val="21"/>
          <w:highlight w:val="none"/>
          <w:lang w:eastAsia="zh-CN"/>
        </w:rPr>
        <w:t>自合同签订之日起1年。</w:t>
      </w:r>
      <w:r>
        <w:rPr>
          <w:rFonts w:hint="eastAsia" w:ascii="宋体" w:hAnsi="宋体" w:eastAsia="宋体" w:cs="宋体"/>
          <w:bCs/>
          <w:color w:val="000000"/>
          <w:sz w:val="21"/>
          <w:szCs w:val="21"/>
          <w:highlight w:val="none"/>
          <w:lang w:eastAsia="zh-CN"/>
        </w:rPr>
        <w:br w:type="textWrapping" w:clear="all"/>
      </w:r>
      <w:r>
        <w:rPr>
          <w:rFonts w:hint="eastAsia" w:ascii="宋体" w:hAnsi="宋体" w:eastAsia="宋体" w:cs="宋体"/>
          <w:b/>
          <w:bCs w:val="0"/>
          <w:color w:val="000000"/>
          <w:sz w:val="21"/>
          <w:szCs w:val="21"/>
          <w:highlight w:val="none"/>
          <w:lang w:val="en-US" w:eastAsia="zh-CN" w:bidi="ar-SA"/>
        </w:rPr>
        <w:t>四、结算及付款方式</w:t>
      </w:r>
    </w:p>
    <w:p w14:paraId="314EF78A">
      <w:pPr>
        <w:pStyle w:val="5"/>
        <w:pageBreakBefore w:val="0"/>
        <w:widowControl w:val="0"/>
        <w:spacing w:before="0" w:after="0" w:line="360" w:lineRule="auto"/>
        <w:ind w:firstLine="420"/>
        <w:jc w:val="left"/>
        <w:rPr>
          <w:rFonts w:hint="eastAsia" w:ascii="宋体" w:hAnsi="宋体" w:eastAsia="宋体" w:cs="宋体"/>
          <w:b w:val="0"/>
          <w:bCs/>
          <w:color w:val="000000"/>
          <w:sz w:val="21"/>
          <w:szCs w:val="21"/>
          <w:highlight w:val="none"/>
          <w:lang w:val="en-US" w:eastAsia="zh-CN" w:bidi="ar-SA"/>
        </w:rPr>
      </w:pPr>
      <w:r>
        <w:rPr>
          <w:rFonts w:hint="eastAsia" w:ascii="宋体" w:hAnsi="宋体" w:eastAsia="宋体" w:cs="宋体"/>
          <w:b w:val="0"/>
          <w:bCs/>
          <w:color w:val="000000"/>
          <w:sz w:val="21"/>
          <w:szCs w:val="21"/>
          <w:highlight w:val="none"/>
          <w:lang w:val="en-US" w:eastAsia="zh-CN" w:bidi="ar-SA"/>
        </w:rPr>
        <w:t>本项目按固定总价进行结算，合同签订后支付合同款项的50%；合同期满前支付剩余50%的款项。乙方向甲方提供正规的相应金额的税率为6%的增值税普通发票，自收到发票后15个工作日内支付按照约定支付资金。</w:t>
      </w:r>
    </w:p>
    <w:p w14:paraId="578346BD">
      <w:pPr>
        <w:spacing w:line="360" w:lineRule="auto"/>
        <w:outlineLvl w:val="1"/>
        <w:rPr>
          <w:rFonts w:hint="eastAsia" w:ascii="宋体" w:hAnsi="宋体" w:eastAsia="宋体" w:cs="宋体"/>
          <w:b/>
          <w:sz w:val="21"/>
          <w:szCs w:val="21"/>
        </w:rPr>
      </w:pPr>
      <w:r>
        <w:rPr>
          <w:rFonts w:hint="eastAsia" w:ascii="宋体" w:hAnsi="宋体" w:eastAsia="宋体" w:cs="宋体"/>
          <w:b/>
          <w:bCs/>
          <w:color w:val="000000"/>
          <w:sz w:val="21"/>
          <w:szCs w:val="21"/>
          <w:highlight w:val="none"/>
          <w:lang w:val="en-US" w:eastAsia="zh-CN"/>
        </w:rPr>
        <w:t>五</w:t>
      </w:r>
      <w:r>
        <w:rPr>
          <w:rFonts w:hint="eastAsia" w:ascii="宋体" w:hAnsi="宋体" w:eastAsia="宋体" w:cs="宋体"/>
          <w:b/>
          <w:bCs/>
          <w:color w:val="000000"/>
          <w:sz w:val="21"/>
          <w:szCs w:val="21"/>
          <w:highlight w:val="none"/>
          <w:lang w:eastAsia="zh-CN"/>
        </w:rPr>
        <w:t>、</w:t>
      </w:r>
      <w:r>
        <w:rPr>
          <w:rFonts w:hint="eastAsia" w:ascii="宋体" w:hAnsi="宋体" w:eastAsia="宋体" w:cs="宋体"/>
          <w:b/>
          <w:sz w:val="21"/>
          <w:szCs w:val="21"/>
        </w:rPr>
        <w:t>项目内容及技术要求</w:t>
      </w:r>
    </w:p>
    <w:p w14:paraId="000A1B8C">
      <w:pPr>
        <w:spacing w:line="360" w:lineRule="auto"/>
        <w:ind w:firstLine="482"/>
        <w:jc w:val="left"/>
        <w:rPr>
          <w:rFonts w:hint="eastAsia" w:ascii="宋体" w:hAnsi="宋体" w:eastAsia="宋体" w:cs="宋体"/>
          <w:b/>
          <w:bCs/>
          <w:sz w:val="21"/>
          <w:szCs w:val="21"/>
        </w:rPr>
      </w:pPr>
      <w:r>
        <w:rPr>
          <w:rFonts w:hint="eastAsia" w:ascii="宋体" w:hAnsi="宋体" w:eastAsia="宋体" w:cs="宋体"/>
          <w:b/>
          <w:bCs/>
          <w:sz w:val="21"/>
          <w:szCs w:val="21"/>
        </w:rPr>
        <w:t>1.服务范围</w:t>
      </w:r>
    </w:p>
    <w:p w14:paraId="1533A3D2">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本项目为新北区大数据共享</w:t>
      </w:r>
      <w:r>
        <w:rPr>
          <w:rFonts w:hint="eastAsia" w:ascii="宋体" w:hAnsi="宋体" w:eastAsia="宋体" w:cs="宋体"/>
          <w:sz w:val="21"/>
          <w:szCs w:val="21"/>
          <w:highlight w:val="none"/>
          <w:lang w:val="en-US" w:eastAsia="zh-CN"/>
        </w:rPr>
        <w:t>交换</w:t>
      </w:r>
      <w:r>
        <w:rPr>
          <w:rFonts w:hint="eastAsia" w:ascii="宋体" w:hAnsi="宋体" w:eastAsia="宋体" w:cs="宋体"/>
          <w:sz w:val="21"/>
          <w:szCs w:val="21"/>
          <w:highlight w:val="none"/>
        </w:rPr>
        <w:t>平台日</w:t>
      </w:r>
      <w:r>
        <w:rPr>
          <w:rFonts w:hint="eastAsia" w:ascii="宋体" w:hAnsi="宋体" w:eastAsia="宋体" w:cs="宋体"/>
          <w:sz w:val="21"/>
          <w:szCs w:val="21"/>
        </w:rPr>
        <w:t>常运行维护服务项目，主要针对全区公共数据（含市级回流数据）的区级资源池运维服务、区级部门数据归集服务、数据治理服务、数据挂载、编目服务、公共数据资源登记服务及配合完成上级考核等工作。</w:t>
      </w:r>
    </w:p>
    <w:p w14:paraId="6EFE464F">
      <w:pPr>
        <w:spacing w:line="360" w:lineRule="auto"/>
        <w:ind w:firstLine="482"/>
        <w:jc w:val="left"/>
        <w:rPr>
          <w:rFonts w:hint="eastAsia" w:ascii="宋体" w:hAnsi="宋体" w:eastAsia="宋体" w:cs="宋体"/>
          <w:b/>
          <w:bCs/>
          <w:sz w:val="21"/>
          <w:szCs w:val="21"/>
        </w:rPr>
      </w:pPr>
      <w:r>
        <w:rPr>
          <w:rFonts w:hint="eastAsia" w:ascii="宋体" w:hAnsi="宋体" w:eastAsia="宋体" w:cs="宋体"/>
          <w:b/>
          <w:bCs/>
          <w:sz w:val="21"/>
          <w:szCs w:val="21"/>
        </w:rPr>
        <w:t>2.服务涉及依据、技术标准与规范</w:t>
      </w:r>
    </w:p>
    <w:p w14:paraId="58A47E3E">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质量管理和质量保证标准第三部分GB/T 19001-1994</w:t>
      </w:r>
    </w:p>
    <w:p w14:paraId="3988A892">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《政务信息资源交换体系</w:t>
      </w:r>
      <w:r>
        <w:rPr>
          <w:rFonts w:hint="eastAsia" w:ascii="宋体" w:hAnsi="宋体" w:eastAsia="宋体" w:cs="宋体"/>
          <w:sz w:val="21"/>
          <w:szCs w:val="21"/>
          <w:lang w:val="en-US" w:eastAsia="zh-CN"/>
        </w:rPr>
        <w:t xml:space="preserve"> 第3部分:数据接口规范</w:t>
      </w:r>
      <w:r>
        <w:rPr>
          <w:rFonts w:hint="eastAsia" w:ascii="宋体" w:hAnsi="宋体" w:eastAsia="宋体" w:cs="宋体"/>
          <w:sz w:val="21"/>
          <w:szCs w:val="21"/>
        </w:rPr>
        <w:t>》（GB/T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21062.3-2007）</w:t>
      </w:r>
    </w:p>
    <w:p w14:paraId="0984DA96">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《政务信息资源目录体系</w:t>
      </w:r>
      <w:r>
        <w:rPr>
          <w:rFonts w:hint="eastAsia" w:ascii="宋体" w:hAnsi="宋体" w:eastAsia="宋体" w:cs="宋体"/>
          <w:sz w:val="21"/>
          <w:szCs w:val="21"/>
          <w:lang w:val="en-US" w:eastAsia="zh-CN"/>
        </w:rPr>
        <w:t xml:space="preserve"> 第6部分:技术管理要求</w:t>
      </w:r>
      <w:r>
        <w:rPr>
          <w:rFonts w:hint="eastAsia" w:ascii="宋体" w:hAnsi="宋体" w:eastAsia="宋体" w:cs="宋体"/>
          <w:sz w:val="21"/>
          <w:szCs w:val="21"/>
        </w:rPr>
        <w:t>》（GB/T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21063.6-2007）</w:t>
      </w:r>
    </w:p>
    <w:p w14:paraId="77EAAFA8">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《信息安全技术 信息安全风险评估方法》(GB/T 20984-2022)</w:t>
      </w:r>
    </w:p>
    <w:p w14:paraId="0D821893">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《国家电子政务外网跨网数据安全交换技术要求</w:t>
      </w:r>
      <w:r>
        <w:rPr>
          <w:rFonts w:hint="eastAsia" w:ascii="宋体" w:hAnsi="宋体" w:eastAsia="宋体" w:cs="宋体"/>
          <w:sz w:val="21"/>
          <w:szCs w:val="21"/>
          <w:lang w:val="en-US" w:eastAsia="zh-CN"/>
        </w:rPr>
        <w:t>与</w:t>
      </w:r>
      <w:r>
        <w:rPr>
          <w:rFonts w:hint="eastAsia" w:ascii="宋体" w:hAnsi="宋体" w:eastAsia="宋体" w:cs="宋体"/>
          <w:sz w:val="21"/>
          <w:szCs w:val="21"/>
        </w:rPr>
        <w:t>实施指南》（GW0205-2014）</w:t>
      </w:r>
    </w:p>
    <w:p w14:paraId="14AEF026">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《常州市政务信息资源共享管理暂行办法》</w:t>
      </w:r>
    </w:p>
    <w:p w14:paraId="1D722ECC">
      <w:pPr>
        <w:spacing w:line="360" w:lineRule="auto"/>
        <w:ind w:firstLine="480"/>
        <w:jc w:val="left"/>
        <w:rPr>
          <w:rFonts w:hint="eastAsia" w:ascii="宋体" w:hAnsi="宋体" w:eastAsia="宋体" w:cs="宋体"/>
          <w:sz w:val="21"/>
          <w:szCs w:val="21"/>
        </w:rPr>
      </w:pPr>
      <w:r>
        <w:rPr>
          <w:rFonts w:hint="eastAsia" w:ascii="宋体" w:hAnsi="宋体" w:eastAsia="宋体" w:cs="宋体"/>
          <w:b/>
          <w:bCs/>
          <w:sz w:val="21"/>
          <w:szCs w:val="21"/>
          <w:highlight w:val="none"/>
        </w:rPr>
        <w:t>注:如有最新的国家相关标准、行业标准、地方标准或者其他标准、规范按最新的执行。</w:t>
      </w:r>
    </w:p>
    <w:p w14:paraId="7A55C77A">
      <w:pPr>
        <w:spacing w:line="360" w:lineRule="auto"/>
        <w:ind w:firstLine="482"/>
        <w:jc w:val="left"/>
        <w:rPr>
          <w:rFonts w:hint="eastAsia" w:ascii="宋体" w:hAnsi="宋体" w:eastAsia="宋体" w:cs="宋体"/>
          <w:b/>
          <w:bCs/>
          <w:sz w:val="21"/>
          <w:szCs w:val="21"/>
        </w:rPr>
      </w:pPr>
      <w:r>
        <w:rPr>
          <w:rFonts w:hint="eastAsia" w:ascii="宋体" w:hAnsi="宋体" w:eastAsia="宋体" w:cs="宋体"/>
          <w:b/>
          <w:bCs/>
          <w:sz w:val="21"/>
          <w:szCs w:val="21"/>
        </w:rPr>
        <w:t>3.服务内容</w:t>
      </w:r>
    </w:p>
    <w:p w14:paraId="174320D1">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 xml:space="preserve">（1）区级资源池运维服务 </w:t>
      </w:r>
    </w:p>
    <w:p w14:paraId="1A1F1D72">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负责区级资源池运维工作，建立完善的数据安全控制措施，包括用户权限控制，密码强度限制等方式，保护数据的安全性，同时对归集数据的质量进行监控，及时了解数据变化及质量情况。</w:t>
      </w:r>
    </w:p>
    <w:p w14:paraId="4325AEC3">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 xml:space="preserve">（2）区级部门数据归集服务 </w:t>
      </w:r>
    </w:p>
    <w:p w14:paraId="44FB0F39">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进行区级部门平台及应用建设情况调研工作，了解区各电子政务项目数据资源情况，积极对接项目负责部门，推进应用数据的归集与共享，做到应归尽归，提升数据跨部门共享效率及利用率。</w:t>
      </w:r>
    </w:p>
    <w:p w14:paraId="068DEB6D">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 xml:space="preserve">（3）数据治理服务 </w:t>
      </w:r>
    </w:p>
    <w:p w14:paraId="299F678D">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建立标准化的数据治理流程，通过空值率检测，格式校验等方式保障与提升数据的准确性、完整性、一致性、唯一性、实时性。根据区级平台建设及数据应用具体需求，提供定制化、个性化的数据清洗服务，按实际情况完成数据的二次开发处理，为区级数据的高效利用提供支持。</w:t>
      </w:r>
    </w:p>
    <w:p w14:paraId="3D94ECC8">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（4）数据挂载、编目服务</w:t>
      </w:r>
    </w:p>
    <w:p w14:paraId="032247BA">
      <w:pPr>
        <w:spacing w:line="360" w:lineRule="auto"/>
        <w:ind w:firstLine="480"/>
        <w:jc w:val="left"/>
        <w:rPr>
          <w:rFonts w:hint="eastAsia" w:ascii="宋体" w:hAnsi="宋体" w:eastAsia="宋体" w:cs="宋体"/>
          <w:sz w:val="21"/>
          <w:szCs w:val="21"/>
          <w:highlight w:val="none"/>
        </w:rPr>
      </w:pPr>
      <w:r>
        <w:rPr>
          <w:rFonts w:hint="eastAsia" w:ascii="宋体" w:hAnsi="宋体" w:eastAsia="宋体" w:cs="宋体"/>
          <w:sz w:val="21"/>
          <w:szCs w:val="21"/>
        </w:rPr>
        <w:t>根据数据类，编制数据目录，按要求填写信息资源名称、共享条件、信息项等内容。梳理现有各类数据目录，</w:t>
      </w:r>
      <w:r>
        <w:rPr>
          <w:rFonts w:hint="eastAsia" w:ascii="宋体" w:hAnsi="宋体" w:eastAsia="宋体" w:cs="宋体"/>
          <w:sz w:val="21"/>
          <w:szCs w:val="21"/>
          <w:highlight w:val="none"/>
        </w:rPr>
        <w:t>持续优化资源目录分类。对于已停止更新的目录，进行归档下架，提升目录门户使用效率。</w:t>
      </w:r>
    </w:p>
    <w:p w14:paraId="02A9767C">
      <w:pPr>
        <w:spacing w:line="360" w:lineRule="auto"/>
        <w:ind w:firstLine="480"/>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（5）</w:t>
      </w:r>
      <w:r>
        <w:rPr>
          <w:rFonts w:hint="eastAsia" w:ascii="宋体" w:hAnsi="宋体" w:eastAsia="宋体" w:cs="宋体"/>
          <w:sz w:val="21"/>
          <w:szCs w:val="21"/>
          <w:highlight w:val="none"/>
          <w:lang w:eastAsia="zh-CN"/>
        </w:rPr>
        <w:t>公共数据资源登记服务</w:t>
      </w:r>
    </w:p>
    <w:p w14:paraId="1B6C564D">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配合</w:t>
      </w:r>
      <w:r>
        <w:rPr>
          <w:rFonts w:hint="eastAsia" w:ascii="宋体" w:hAnsi="宋体" w:eastAsia="宋体" w:cs="宋体"/>
          <w:sz w:val="21"/>
          <w:szCs w:val="21"/>
          <w:lang w:val="en-US" w:eastAsia="zh-CN"/>
        </w:rPr>
        <w:t>甲方</w:t>
      </w:r>
      <w:r>
        <w:rPr>
          <w:rFonts w:hint="eastAsia" w:ascii="宋体" w:hAnsi="宋体" w:eastAsia="宋体" w:cs="宋体"/>
          <w:sz w:val="21"/>
          <w:szCs w:val="21"/>
        </w:rPr>
        <w:t>推进本区公共数据资源登记工作，在指定平台进行公共数据资源登记。</w:t>
      </w:r>
    </w:p>
    <w:p w14:paraId="5CCD6776">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（6）配合完成上级考核</w:t>
      </w:r>
    </w:p>
    <w:p w14:paraId="11F44542">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积极配合区级部门完成上级提出的考核要求，着重理解上级部门的考核要求及规则，制定针对性的实施计划，不断提升包括数据汇聚治理，数据共享开放，数据资源开发利用在内的多个指标的完成度。</w:t>
      </w:r>
    </w:p>
    <w:p w14:paraId="7A4B1225">
      <w:pPr>
        <w:spacing w:line="360" w:lineRule="auto"/>
        <w:jc w:val="left"/>
        <w:outlineLvl w:val="1"/>
        <w:rPr>
          <w:rFonts w:hint="eastAsia" w:ascii="宋体" w:hAnsi="宋体" w:eastAsia="宋体" w:cs="宋体"/>
          <w:b/>
          <w:sz w:val="21"/>
          <w:szCs w:val="21"/>
        </w:rPr>
      </w:pPr>
      <w:r>
        <w:rPr>
          <w:rFonts w:hint="eastAsia" w:ascii="宋体" w:hAnsi="宋体" w:eastAsia="宋体" w:cs="宋体"/>
          <w:b/>
          <w:sz w:val="21"/>
          <w:szCs w:val="21"/>
          <w:lang w:val="en-US" w:eastAsia="zh-CN"/>
        </w:rPr>
        <w:t>六</w:t>
      </w:r>
      <w:r>
        <w:rPr>
          <w:rFonts w:hint="eastAsia" w:ascii="宋体" w:hAnsi="宋体" w:eastAsia="宋体" w:cs="宋体"/>
          <w:b/>
          <w:sz w:val="21"/>
          <w:szCs w:val="21"/>
        </w:rPr>
        <w:t>、验收</w:t>
      </w:r>
    </w:p>
    <w:p w14:paraId="5424650C">
      <w:pPr>
        <w:spacing w:line="360" w:lineRule="auto"/>
        <w:ind w:firstLine="480"/>
        <w:jc w:val="left"/>
        <w:rPr>
          <w:rFonts w:hint="eastAsia" w:ascii="宋体" w:hAnsi="宋体" w:eastAsia="宋体" w:cs="宋体"/>
          <w:sz w:val="21"/>
          <w:szCs w:val="21"/>
        </w:rPr>
      </w:pPr>
      <w:r>
        <w:rPr>
          <w:rFonts w:hint="eastAsia" w:ascii="宋体" w:hAnsi="宋体" w:eastAsia="宋体" w:cs="宋体"/>
          <w:sz w:val="21"/>
          <w:szCs w:val="21"/>
        </w:rPr>
        <w:t>本项目为服务项目，在服务期内，所提供的服务符合国家规范、相关行业标准，满足合同中约定的服务内容，即视为验收合格。</w:t>
      </w:r>
    </w:p>
    <w:p w14:paraId="2494C8FD">
      <w:pPr>
        <w:pStyle w:val="6"/>
        <w:keepNext w:val="0"/>
        <w:keepLines w:val="0"/>
        <w:pageBreakBefore w:val="0"/>
        <w:widowControl w:val="0"/>
        <w:spacing w:line="360" w:lineRule="auto"/>
        <w:ind w:left="0" w:firstLine="0"/>
        <w:rPr>
          <w:rFonts w:hint="eastAsia" w:ascii="宋体" w:hAnsi="宋体" w:eastAsia="宋体" w:cs="宋体"/>
          <w:color w:val="000000"/>
          <w:sz w:val="21"/>
          <w:szCs w:val="21"/>
          <w:highlight w:val="none"/>
          <w:lang w:val="en-US" w:eastAsia="zh-CN" w:bidi="ar-SA"/>
        </w:rPr>
      </w:pPr>
      <w:r>
        <w:rPr>
          <w:rFonts w:hint="eastAsia" w:ascii="宋体" w:hAnsi="宋体" w:eastAsia="宋体" w:cs="宋体"/>
          <w:b/>
          <w:bCs/>
          <w:color w:val="000000"/>
          <w:sz w:val="21"/>
          <w:szCs w:val="21"/>
          <w:highlight w:val="none"/>
          <w:lang w:val="en-US" w:eastAsia="zh-CN" w:bidi="ar-SA"/>
        </w:rPr>
        <w:t>七、人员要求</w:t>
      </w:r>
    </w:p>
    <w:p w14:paraId="10B1DDDE">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1.乙方需具备完善的管理制度和工作流程，具备较强的保障能力和应急服务能力。根据需求拟派工作人员，人员需具备专业的技术能力及相关资质，在甲方指派下开展各项工作。</w:t>
      </w:r>
    </w:p>
    <w:p w14:paraId="7C39DEEE">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2.乙方需具备履行项目的人才储备能力，能确保项目服务稳定，项目服务人员工作连续性。</w:t>
      </w:r>
    </w:p>
    <w:p w14:paraId="632411E0">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3.服务人员具有较强的团队协作能力、沟通能力、表达能力，工作责任心强；服从命令，听从指挥，遵守各项规章制度；具有信息安全及保密意识。</w:t>
      </w:r>
    </w:p>
    <w:p w14:paraId="39E0E43F">
      <w:pPr>
        <w:keepNext w:val="0"/>
        <w:keepLines w:val="0"/>
        <w:pageBreakBefore w:val="0"/>
        <w:widowControl w:val="0"/>
        <w:spacing w:line="360" w:lineRule="auto"/>
        <w:rPr>
          <w:rFonts w:hint="eastAsia" w:ascii="宋体" w:hAnsi="宋体" w:eastAsia="宋体" w:cs="宋体"/>
          <w:b/>
          <w:bCs/>
          <w:color w:val="000000"/>
          <w:sz w:val="21"/>
          <w:szCs w:val="21"/>
          <w:highlight w:val="none"/>
          <w:lang w:val="en-US" w:eastAsia="zh-CN" w:bidi="ar-SA"/>
        </w:rPr>
      </w:pPr>
      <w:r>
        <w:rPr>
          <w:rFonts w:hint="eastAsia" w:ascii="宋体" w:hAnsi="宋体" w:eastAsia="宋体" w:cs="宋体"/>
          <w:b/>
          <w:bCs/>
          <w:color w:val="000000"/>
          <w:sz w:val="21"/>
          <w:szCs w:val="21"/>
          <w:highlight w:val="none"/>
          <w:lang w:val="en-US" w:eastAsia="zh-CN" w:bidi="ar-SA"/>
        </w:rPr>
        <w:t>八、保密要求</w:t>
      </w:r>
    </w:p>
    <w:p w14:paraId="3646507C">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应当遵守与甲方相关的数据保密规定，一旦发生泄密，甲方有权进行追责，乙方应承担全部责任并提供赔偿。</w:t>
      </w:r>
    </w:p>
    <w:p w14:paraId="7B63DE08">
      <w:pPr>
        <w:keepNext w:val="0"/>
        <w:keepLines w:val="0"/>
        <w:pageBreakBefore w:val="0"/>
        <w:widowControl w:val="0"/>
        <w:spacing w:line="360" w:lineRule="auto"/>
        <w:ind w:left="0"/>
        <w:jc w:val="left"/>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九、违约责任</w:t>
      </w:r>
    </w:p>
    <w:p w14:paraId="2CD790F1">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1.任何一方出现违约，由此造成的直接经济损失均由违约方负责赔偿。</w:t>
      </w:r>
    </w:p>
    <w:p w14:paraId="529B5A20">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2.乙方若逾期交付，迟延履行违约金以逾期部分价款总额每7日千分之五计算</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不足7天按7天计</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罚金总额不能超过合同总金额的5%。</w:t>
      </w:r>
    </w:p>
    <w:p w14:paraId="6C970185">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乙方若未能有效履行本合同服务责任，经甲方以书面催告七个工作日内仍未有效改进且获甲方书面认可的，甲方有权单方面解除本合同，并有权要求乙方返还甲方已付而未达标部分费用，同时，乙方应当支付本合同总费用</w:t>
      </w:r>
      <w:r>
        <w:rPr>
          <w:rFonts w:hint="eastAsia" w:ascii="宋体" w:hAnsi="宋体" w:eastAsia="宋体" w:cs="宋体"/>
          <w:color w:val="000000"/>
          <w:sz w:val="21"/>
          <w:szCs w:val="21"/>
          <w:highlight w:val="none"/>
          <w:lang w:val="en-US" w:eastAsia="zh-CN"/>
        </w:rPr>
        <w:t>0.2%的违约金并赔偿甲方所受损失</w:t>
      </w:r>
      <w:r>
        <w:rPr>
          <w:rFonts w:hint="eastAsia" w:ascii="宋体" w:hAnsi="宋体" w:eastAsia="宋体" w:cs="宋体"/>
          <w:color w:val="000000"/>
          <w:sz w:val="21"/>
          <w:szCs w:val="21"/>
          <w:highlight w:val="none"/>
          <w:lang w:eastAsia="zh-CN"/>
        </w:rPr>
        <w:t>。</w:t>
      </w:r>
    </w:p>
    <w:p w14:paraId="31C37E8D">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4.如由于乙方的操作不当原因，给甲方造成损失的，甲方有权要求乙方承担因此而造成的一切损失。</w:t>
      </w:r>
    </w:p>
    <w:p w14:paraId="6134ABA0">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5.若乙方违反本合同其他约定的，应当支付本合同总费用0.2%的违约金并赔偿甲方损失，包括但不限于甲方自行或委托第三方完成本合同内容所支付的费用。</w:t>
      </w:r>
    </w:p>
    <w:p w14:paraId="1983FB0A">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.其他未尽事宜，以《中华人民共和国民法典》等有关法律法规规定为准，无相关规定的，双方协商解决。</w:t>
      </w:r>
    </w:p>
    <w:p w14:paraId="4293AC24">
      <w:pPr>
        <w:keepNext w:val="0"/>
        <w:keepLines w:val="0"/>
        <w:pageBreakBefore w:val="0"/>
        <w:widowControl w:val="0"/>
        <w:spacing w:line="360" w:lineRule="auto"/>
        <w:ind w:left="0"/>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十</w:t>
      </w:r>
      <w:r>
        <w:rPr>
          <w:rFonts w:hint="eastAsia" w:ascii="宋体" w:hAnsi="宋体" w:eastAsia="宋体" w:cs="宋体"/>
          <w:b/>
          <w:bCs/>
          <w:color w:val="000000"/>
          <w:sz w:val="21"/>
          <w:szCs w:val="21"/>
          <w:highlight w:val="none"/>
        </w:rPr>
        <w:t>、合同的变更和终止</w:t>
      </w:r>
    </w:p>
    <w:p w14:paraId="1E542244">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1.本合同一经签订，甲乙双方不得擅自变更、中止或终止合同。</w:t>
      </w:r>
    </w:p>
    <w:p w14:paraId="4175DA63">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2.除发生法律规定的不能预见、不能避免并不能克服的客观情况外，甲乙双方不得放弃或拒绝履行合同。乙方放弃或拒绝履行合同，保证金不予退还。</w:t>
      </w:r>
    </w:p>
    <w:p w14:paraId="289C7273">
      <w:pPr>
        <w:keepNext w:val="0"/>
        <w:keepLines w:val="0"/>
        <w:pageBreakBefore w:val="0"/>
        <w:widowControl w:val="0"/>
        <w:spacing w:line="360" w:lineRule="auto"/>
        <w:ind w:left="0"/>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十一</w:t>
      </w:r>
      <w:r>
        <w:rPr>
          <w:rFonts w:hint="eastAsia" w:ascii="宋体" w:hAnsi="宋体" w:eastAsia="宋体" w:cs="宋体"/>
          <w:b/>
          <w:bCs/>
          <w:color w:val="000000"/>
          <w:sz w:val="21"/>
          <w:szCs w:val="21"/>
          <w:highlight w:val="none"/>
        </w:rPr>
        <w:t>、合同的转让</w:t>
      </w:r>
    </w:p>
    <w:p w14:paraId="176F7A2D">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乙方不得擅自部分或全部转让其应履行的合同义务。</w:t>
      </w:r>
    </w:p>
    <w:p w14:paraId="33B48374">
      <w:pPr>
        <w:keepNext w:val="0"/>
        <w:keepLines w:val="0"/>
        <w:pageBreakBefore w:val="0"/>
        <w:widowControl w:val="0"/>
        <w:spacing w:line="360" w:lineRule="auto"/>
        <w:ind w:left="0"/>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eastAsia="zh-CN"/>
        </w:rPr>
        <w:t>十</w:t>
      </w: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rPr>
        <w:t>、不可抗力</w:t>
      </w:r>
    </w:p>
    <w:p w14:paraId="15328316">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甲、乙方中任何一方，因不可抗力不能按时或完全履行合同的，应及时通知对方，并在5日内提供相应证明。未履行完合同部分是否继续履行、如何履行等问题，可由双方初步协商，并向主管部门报告。确定为不可抗力原因造成的损失，免予承担责任。</w:t>
      </w:r>
    </w:p>
    <w:p w14:paraId="68CFE1BB">
      <w:pPr>
        <w:keepNext w:val="0"/>
        <w:keepLines w:val="0"/>
        <w:pageBreakBefore w:val="0"/>
        <w:widowControl w:val="0"/>
        <w:spacing w:line="360" w:lineRule="auto"/>
        <w:ind w:left="0"/>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十</w:t>
      </w:r>
      <w:r>
        <w:rPr>
          <w:rFonts w:hint="eastAsia" w:ascii="宋体" w:hAnsi="宋体" w:eastAsia="宋体" w:cs="宋体"/>
          <w:b/>
          <w:color w:val="000000"/>
          <w:sz w:val="21"/>
          <w:szCs w:val="21"/>
          <w:highlight w:val="none"/>
          <w:lang w:val="en-US" w:eastAsia="zh-CN"/>
        </w:rPr>
        <w:t>三</w:t>
      </w:r>
      <w:r>
        <w:rPr>
          <w:rFonts w:hint="eastAsia" w:ascii="宋体" w:hAnsi="宋体" w:eastAsia="宋体" w:cs="宋体"/>
          <w:b/>
          <w:color w:val="000000"/>
          <w:sz w:val="21"/>
          <w:szCs w:val="21"/>
          <w:highlight w:val="none"/>
        </w:rPr>
        <w:t>、争议的解决</w:t>
      </w:r>
    </w:p>
    <w:p w14:paraId="56CFF7EC">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1.因履行本合同引起的或与本合同有关的争议，甲、乙双方应首先通过友好协商解决，如果协商不能解决争议，则采取以下第(2)种方式解决争议:</w:t>
      </w:r>
    </w:p>
    <w:p w14:paraId="657BA0A7">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向甲方所在地有管辖权的人民法院提起诉讼；</w:t>
      </w:r>
    </w:p>
    <w:p w14:paraId="3FDFF4AB">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向常州仲裁委员会按其仲裁规则申请仲裁。</w:t>
      </w:r>
    </w:p>
    <w:p w14:paraId="029E2ADD">
      <w:pPr>
        <w:keepNext w:val="0"/>
        <w:keepLines w:val="0"/>
        <w:pageBreakBefore w:val="0"/>
        <w:widowControl w:val="0"/>
        <w:spacing w:line="360" w:lineRule="auto"/>
        <w:ind w:lef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2.在仲裁期间，本合同应继续履行。</w:t>
      </w:r>
    </w:p>
    <w:p w14:paraId="1D72D7CD">
      <w:pPr>
        <w:keepNext w:val="0"/>
        <w:keepLines w:val="0"/>
        <w:pageBreakBefore w:val="0"/>
        <w:widowControl w:val="0"/>
        <w:spacing w:line="360" w:lineRule="auto"/>
        <w:ind w:left="0"/>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十</w:t>
      </w:r>
      <w:r>
        <w:rPr>
          <w:rFonts w:hint="eastAsia" w:ascii="宋体" w:hAnsi="宋体" w:eastAsia="宋体" w:cs="宋体"/>
          <w:b/>
          <w:color w:val="000000"/>
          <w:sz w:val="21"/>
          <w:szCs w:val="21"/>
          <w:highlight w:val="none"/>
          <w:lang w:val="en-US" w:eastAsia="zh-CN"/>
        </w:rPr>
        <w:t>四</w:t>
      </w:r>
      <w:r>
        <w:rPr>
          <w:rFonts w:hint="eastAsia" w:ascii="宋体" w:hAnsi="宋体" w:eastAsia="宋体" w:cs="宋体"/>
          <w:b/>
          <w:color w:val="000000"/>
          <w:sz w:val="21"/>
          <w:szCs w:val="21"/>
          <w:highlight w:val="none"/>
        </w:rPr>
        <w:t>、 合同生效及其他</w:t>
      </w:r>
    </w:p>
    <w:p w14:paraId="5A8E577D">
      <w:pPr>
        <w:keepNext w:val="0"/>
        <w:keepLines w:val="0"/>
        <w:pageBreakBefore w:val="0"/>
        <w:widowControl w:val="0"/>
        <w:spacing w:line="360" w:lineRule="auto"/>
        <w:ind w:left="0" w:firstLine="422"/>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1.本合同自经甲乙双方授权代表签订并加盖公章后，自签订之日起生效。见证方仅对甲乙双方签订政府采购合同的事实进行见证，不代表任何承诺或保证，该合同的履行等相关情况均与见证方无任何关系。</w:t>
      </w:r>
    </w:p>
    <w:p w14:paraId="26C555D5">
      <w:pPr>
        <w:keepNext w:val="0"/>
        <w:keepLines w:val="0"/>
        <w:pageBreakBefore w:val="0"/>
        <w:widowControl w:val="0"/>
        <w:spacing w:line="360" w:lineRule="auto"/>
        <w:ind w:left="0" w:firstLine="422"/>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2.本合同一式</w:t>
      </w:r>
      <w:r>
        <w:rPr>
          <w:rFonts w:hint="eastAsia" w:ascii="宋体" w:hAnsi="宋体" w:eastAsia="宋体" w:cs="宋体"/>
          <w:color w:val="000000"/>
          <w:sz w:val="21"/>
          <w:szCs w:val="21"/>
          <w:highlight w:val="none"/>
          <w:lang w:eastAsia="zh-CN"/>
        </w:rPr>
        <w:t>肆</w:t>
      </w:r>
      <w:r>
        <w:rPr>
          <w:rFonts w:hint="eastAsia" w:ascii="宋体" w:hAnsi="宋体" w:eastAsia="宋体" w:cs="宋体"/>
          <w:color w:val="000000"/>
          <w:sz w:val="21"/>
          <w:szCs w:val="21"/>
          <w:highlight w:val="none"/>
        </w:rPr>
        <w:t>份，甲乙双方各执贰份。</w:t>
      </w:r>
    </w:p>
    <w:p w14:paraId="440A62ED">
      <w:pPr>
        <w:keepNext w:val="0"/>
        <w:keepLines w:val="0"/>
        <w:pageBreakBefore w:val="0"/>
        <w:widowControl/>
        <w:spacing w:beforeAutospacing="0" w:afterAutospacing="0" w:line="360" w:lineRule="auto"/>
        <w:ind w:left="0" w:firstLine="420"/>
        <w:jc w:val="left"/>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3.本合同应按照中华人民共和国的现行法律进行解释。</w:t>
      </w:r>
    </w:p>
    <w:p w14:paraId="3156DBDC">
      <w:pPr>
        <w:keepNext w:val="0"/>
        <w:keepLines w:val="0"/>
        <w:pageBreakBefore w:val="0"/>
        <w:widowControl/>
        <w:spacing w:beforeAutospacing="0" w:afterAutospacing="0" w:line="360" w:lineRule="auto"/>
        <w:jc w:val="left"/>
        <w:outlineLvl w:val="0"/>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 xml:space="preserve">    附件：保密协议</w:t>
      </w:r>
    </w:p>
    <w:p w14:paraId="2CF573C6">
      <w:pPr>
        <w:keepNext w:val="0"/>
        <w:keepLines w:val="0"/>
        <w:pageBreakBefore w:val="0"/>
        <w:widowControl w:val="0"/>
        <w:spacing w:line="360" w:lineRule="auto"/>
        <w:ind w:left="0"/>
        <w:jc w:val="left"/>
        <w:rPr>
          <w:rFonts w:hint="eastAsia" w:ascii="宋体" w:hAnsi="宋体" w:eastAsia="宋体" w:cs="宋体"/>
          <w:b/>
          <w:bCs/>
          <w:color w:val="000000"/>
          <w:sz w:val="21"/>
          <w:szCs w:val="21"/>
          <w:highlight w:val="none"/>
        </w:rPr>
      </w:pPr>
    </w:p>
    <w:p w14:paraId="19855CD1">
      <w:pPr>
        <w:keepNext w:val="0"/>
        <w:keepLines w:val="0"/>
        <w:pageBreakBefore w:val="0"/>
        <w:widowControl w:val="0"/>
        <w:spacing w:line="360" w:lineRule="auto"/>
        <w:ind w:left="0" w:firstLine="422"/>
        <w:jc w:val="left"/>
        <w:rPr>
          <w:rFonts w:hint="eastAsia" w:ascii="宋体" w:hAnsi="宋体" w:eastAsia="宋体" w:cs="宋体"/>
          <w:b/>
          <w:bCs/>
          <w:color w:val="000000"/>
          <w:sz w:val="21"/>
          <w:szCs w:val="21"/>
          <w:highlight w:val="none"/>
        </w:rPr>
      </w:pPr>
    </w:p>
    <w:p w14:paraId="1AAC389C">
      <w:pPr>
        <w:keepNext w:val="0"/>
        <w:keepLines w:val="0"/>
        <w:pageBreakBefore w:val="0"/>
        <w:widowControl w:val="0"/>
        <w:spacing w:line="360" w:lineRule="auto"/>
        <w:ind w:left="0" w:firstLine="422"/>
        <w:jc w:val="left"/>
        <w:rPr>
          <w:rFonts w:hint="eastAsia" w:ascii="宋体" w:hAnsi="宋体" w:eastAsia="宋体" w:cs="宋体"/>
          <w:b/>
          <w:bCs/>
          <w:color w:val="000000"/>
          <w:sz w:val="21"/>
          <w:szCs w:val="21"/>
          <w:highlight w:val="none"/>
        </w:rPr>
      </w:pPr>
    </w:p>
    <w:p w14:paraId="3C44D694">
      <w:pPr>
        <w:keepNext w:val="0"/>
        <w:keepLines w:val="0"/>
        <w:pageBreakBefore w:val="0"/>
        <w:widowControl w:val="0"/>
        <w:spacing w:line="360" w:lineRule="auto"/>
        <w:jc w:val="left"/>
        <w:rPr>
          <w:rFonts w:hint="eastAsia" w:ascii="宋体" w:hAnsi="宋体" w:eastAsia="宋体" w:cs="宋体"/>
          <w:b/>
          <w:bCs/>
          <w:color w:val="000000"/>
          <w:sz w:val="21"/>
          <w:szCs w:val="21"/>
          <w:highlight w:val="none"/>
        </w:rPr>
      </w:pPr>
    </w:p>
    <w:p w14:paraId="7567CFE6">
      <w:pPr>
        <w:keepNext w:val="0"/>
        <w:keepLines w:val="0"/>
        <w:pageBreakBefore w:val="0"/>
        <w:widowControl w:val="0"/>
        <w:spacing w:line="360" w:lineRule="auto"/>
        <w:ind w:left="0" w:firstLine="422"/>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甲方(章):</w:t>
      </w:r>
    </w:p>
    <w:p w14:paraId="3B917875">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单位名称:</w:t>
      </w:r>
      <w:r>
        <w:rPr>
          <w:rFonts w:hint="eastAsia" w:ascii="宋体" w:hAnsi="宋体" w:eastAsia="宋体" w:cs="宋体"/>
          <w:color w:val="000000"/>
          <w:sz w:val="21"/>
          <w:szCs w:val="21"/>
          <w:highlight w:val="none"/>
          <w:lang w:eastAsia="zh-CN"/>
        </w:rPr>
        <w:t>常州高新技术产业开发区（新北区）数据局</w:t>
      </w:r>
      <w:r>
        <w:rPr>
          <w:rFonts w:hint="eastAsia" w:ascii="宋体" w:hAnsi="宋体" w:eastAsia="宋体" w:cs="宋体"/>
          <w:color w:val="000000"/>
          <w:sz w:val="21"/>
          <w:szCs w:val="21"/>
          <w:highlight w:val="none"/>
        </w:rPr>
        <w:t xml:space="preserve">   </w:t>
      </w:r>
    </w:p>
    <w:p w14:paraId="760F950F">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法定代表人或委托代理人:</w:t>
      </w:r>
    </w:p>
    <w:p w14:paraId="7CD0F561">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地址:常州市新北区云河路69号（社会管理服务中心二楼）      </w:t>
      </w:r>
    </w:p>
    <w:p w14:paraId="5C3F044C">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eastAsia="宋体" w:cs="宋体"/>
          <w:color w:val="000000"/>
          <w:sz w:val="24"/>
          <w:highlight w:val="none"/>
        </w:rPr>
        <w:t>0519-85180867</w:t>
      </w:r>
    </w:p>
    <w:p w14:paraId="5D02C7A3">
      <w:pPr>
        <w:keepNext w:val="0"/>
        <w:keepLines w:val="0"/>
        <w:pageBreakBefore w:val="0"/>
        <w:widowControl w:val="0"/>
        <w:spacing w:line="360" w:lineRule="auto"/>
        <w:ind w:left="0" w:firstLine="42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rPr>
        <w:t>签订日期:    年   月   日</w:t>
      </w:r>
    </w:p>
    <w:p w14:paraId="3DA38911">
      <w:pPr>
        <w:pStyle w:val="7"/>
        <w:pageBreakBefore w:val="0"/>
        <w:spacing w:before="0" w:line="360" w:lineRule="auto"/>
        <w:ind w:left="0"/>
        <w:rPr>
          <w:rFonts w:hint="eastAsia" w:ascii="宋体" w:hAnsi="宋体" w:eastAsia="宋体" w:cs="宋体"/>
          <w:color w:val="000000"/>
          <w:sz w:val="21"/>
          <w:szCs w:val="21"/>
          <w:highlight w:val="none"/>
        </w:rPr>
      </w:pPr>
    </w:p>
    <w:p w14:paraId="407A92DF">
      <w:pPr>
        <w:keepNext w:val="0"/>
        <w:keepLines w:val="0"/>
        <w:pageBreakBefore w:val="0"/>
        <w:widowControl w:val="0"/>
        <w:spacing w:line="360" w:lineRule="auto"/>
        <w:ind w:left="0" w:firstLine="422"/>
        <w:jc w:val="left"/>
        <w:rPr>
          <w:rFonts w:hint="eastAsia" w:ascii="宋体" w:hAnsi="宋体" w:eastAsia="宋体" w:cs="宋体"/>
          <w:b/>
          <w:bCs/>
          <w:color w:val="000000"/>
          <w:sz w:val="21"/>
          <w:szCs w:val="21"/>
          <w:highlight w:val="none"/>
        </w:rPr>
      </w:pPr>
    </w:p>
    <w:p w14:paraId="5D6C73BD">
      <w:pPr>
        <w:keepNext w:val="0"/>
        <w:keepLines w:val="0"/>
        <w:pageBreakBefore w:val="0"/>
        <w:widowControl w:val="0"/>
        <w:spacing w:line="360" w:lineRule="auto"/>
        <w:ind w:left="0" w:firstLine="422"/>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乙方(章):</w:t>
      </w:r>
    </w:p>
    <w:p w14:paraId="63C9C4F6">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单位名称:</w:t>
      </w:r>
      <w:r>
        <w:rPr>
          <w:rFonts w:hint="eastAsia" w:ascii="宋体" w:hAnsi="宋体" w:eastAsia="宋体" w:cs="宋体"/>
          <w:color w:val="000000"/>
          <w:sz w:val="21"/>
          <w:szCs w:val="21"/>
          <w:highlight w:val="none"/>
          <w:lang w:val="en-US" w:eastAsia="zh-CN"/>
        </w:rPr>
        <w:t>常州数据科技有限公司</w:t>
      </w:r>
      <w:r>
        <w:rPr>
          <w:rFonts w:hint="eastAsia" w:ascii="宋体" w:hAnsi="宋体" w:eastAsia="宋体" w:cs="宋体"/>
          <w:color w:val="000000"/>
          <w:sz w:val="21"/>
          <w:szCs w:val="21"/>
          <w:highlight w:val="none"/>
        </w:rPr>
        <w:t xml:space="preserve"> </w:t>
      </w:r>
    </w:p>
    <w:p w14:paraId="295F6D46">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lang w:val="zh-TW"/>
        </w:rPr>
      </w:pPr>
      <w:r>
        <w:rPr>
          <w:rFonts w:hint="eastAsia" w:ascii="宋体" w:hAnsi="宋体" w:eastAsia="宋体" w:cs="宋体"/>
          <w:color w:val="000000"/>
          <w:sz w:val="21"/>
          <w:szCs w:val="21"/>
          <w:highlight w:val="none"/>
        </w:rPr>
        <w:t>法定代表人或委托代理人:</w:t>
      </w:r>
    </w:p>
    <w:p w14:paraId="08989032">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lang w:val="zh-TW"/>
        </w:rPr>
      </w:pPr>
      <w:r>
        <w:rPr>
          <w:rFonts w:hint="eastAsia" w:ascii="宋体" w:hAnsi="宋体" w:eastAsia="宋体" w:cs="宋体"/>
          <w:color w:val="000000"/>
          <w:sz w:val="21"/>
          <w:szCs w:val="21"/>
          <w:highlight w:val="none"/>
          <w:lang w:val="zh-TW" w:eastAsia="zh-TW"/>
        </w:rPr>
        <w:t>地址</w:t>
      </w:r>
      <w:r>
        <w:rPr>
          <w:rFonts w:hint="eastAsia" w:ascii="宋体" w:hAnsi="宋体" w:eastAsia="宋体" w:cs="宋体"/>
          <w:color w:val="000000"/>
          <w:sz w:val="21"/>
          <w:szCs w:val="21"/>
          <w:highlight w:val="none"/>
          <w:lang w:val="zh-TW"/>
        </w:rPr>
        <w:t>:</w:t>
      </w:r>
      <w:r>
        <w:rPr>
          <w:rFonts w:hint="eastAsia" w:ascii="宋体" w:hAnsi="宋体" w:eastAsia="宋体" w:cs="宋体"/>
          <w:color w:val="000000"/>
          <w:sz w:val="21"/>
          <w:szCs w:val="21"/>
          <w:highlight w:val="none"/>
          <w:lang w:val="en-US" w:eastAsia="zh-CN"/>
        </w:rPr>
        <w:t>江苏省常州市钟楼区关河西路180号（恒远大厦4楼）</w:t>
      </w:r>
      <w:r>
        <w:rPr>
          <w:rFonts w:hint="eastAsia" w:ascii="宋体" w:hAnsi="宋体" w:eastAsia="宋体" w:cs="宋体"/>
          <w:color w:val="000000"/>
          <w:sz w:val="21"/>
          <w:szCs w:val="21"/>
          <w:highlight w:val="none"/>
        </w:rPr>
        <w:t xml:space="preserve"> </w:t>
      </w:r>
    </w:p>
    <w:p w14:paraId="60EFACC2">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联系电话:</w:t>
      </w:r>
      <w:r>
        <w:rPr>
          <w:rFonts w:hint="eastAsia" w:ascii="宋体" w:hAnsi="宋体" w:eastAsia="宋体" w:cs="宋体"/>
          <w:color w:val="000000"/>
          <w:sz w:val="21"/>
          <w:szCs w:val="21"/>
          <w:highlight w:val="none"/>
          <w:lang w:val="en-US" w:eastAsia="zh-CN"/>
        </w:rPr>
        <w:t>0519- 83600231</w:t>
      </w:r>
    </w:p>
    <w:p w14:paraId="79C8866C">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签订日期:    年   月   日</w:t>
      </w:r>
    </w:p>
    <w:p w14:paraId="2B6A3DCB">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p>
    <w:p w14:paraId="235DFEA4">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p>
    <w:p w14:paraId="2401ACE6">
      <w:pPr>
        <w:spacing w:before="0" w:after="0" w:line="432" w:lineRule="auto"/>
        <w:jc w:val="center"/>
        <w:rPr>
          <w:rFonts w:ascii="宋体" w:hAnsi="宋体" w:eastAsia="宋体" w:cs="宋体"/>
          <w:b/>
          <w:sz w:val="48"/>
          <w:szCs w:val="48"/>
          <w:u w:val="none"/>
        </w:rPr>
      </w:pPr>
    </w:p>
    <w:p w14:paraId="629581EB">
      <w:pPr>
        <w:spacing w:before="0" w:after="0" w:line="432" w:lineRule="auto"/>
        <w:jc w:val="center"/>
        <w:rPr>
          <w:rFonts w:ascii="宋体" w:hAnsi="宋体" w:eastAsia="宋体" w:cs="宋体"/>
          <w:b/>
          <w:sz w:val="48"/>
          <w:szCs w:val="48"/>
          <w:u w:val="none"/>
        </w:rPr>
      </w:pPr>
    </w:p>
    <w:p w14:paraId="23C7D499">
      <w:pPr>
        <w:spacing w:before="0" w:after="0" w:line="432" w:lineRule="auto"/>
        <w:jc w:val="center"/>
        <w:rPr>
          <w:u w:val="none"/>
        </w:rPr>
      </w:pPr>
      <w:r>
        <w:rPr>
          <w:rFonts w:ascii="宋体" w:hAnsi="宋体" w:eastAsia="宋体" w:cs="宋体"/>
          <w:b/>
          <w:sz w:val="48"/>
          <w:szCs w:val="48"/>
          <w:u w:val="none"/>
        </w:rPr>
        <w:t>保 密 协 议</w:t>
      </w:r>
    </w:p>
    <w:p w14:paraId="5BACB27C">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甲方：常州高新技术产业开发区（新北区）数据局</w:t>
      </w:r>
    </w:p>
    <w:p w14:paraId="088806D6">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 xml:space="preserve">通讯地址：常州市新北区云河路69号（社会管理服务中心二楼） </w:t>
      </w:r>
    </w:p>
    <w:p w14:paraId="1670CDBB">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联系方式：0519-85180867</w:t>
      </w:r>
    </w:p>
    <w:p w14:paraId="171E608E">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乙方：常州数据科技有限公司</w:t>
      </w:r>
    </w:p>
    <w:p w14:paraId="7912FFAC">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通讯地址：常州市关河西路180号（恒远大厦四楼）</w:t>
      </w:r>
    </w:p>
    <w:p w14:paraId="1B996DFA">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联系方式：0519-83600231</w:t>
      </w:r>
    </w:p>
    <w:p w14:paraId="7B6DC543">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鉴于：</w:t>
      </w:r>
      <w:r>
        <w:rPr>
          <w:rFonts w:hint="eastAsia" w:ascii="仿宋" w:hAnsi="仿宋" w:eastAsia="仿宋" w:cs="仿宋"/>
          <w:kern w:val="2"/>
          <w:sz w:val="24"/>
          <w:szCs w:val="24"/>
          <w:u w:val="single"/>
          <w:lang w:val="en-US" w:eastAsia="zh-CN" w:bidi="ar-SA"/>
        </w:rPr>
        <w:t>一体化大数据共享交换平台运维服务</w:t>
      </w:r>
      <w:r>
        <w:rPr>
          <w:rFonts w:hint="eastAsia" w:ascii="仿宋" w:hAnsi="仿宋" w:eastAsia="仿宋" w:cs="仿宋"/>
          <w:kern w:val="2"/>
          <w:sz w:val="24"/>
          <w:szCs w:val="24"/>
          <w:lang w:val="en-US" w:eastAsia="zh-CN" w:bidi="ar-SA"/>
        </w:rPr>
        <w:t>项目（以下简称“项目”），甲方与乙方进行技术及业务合作事宜，双方将以书面或口头形式要求对方提供拥有或已经拥有的对方某些非公开的、保密的、专业的信息和数据，避免因信息泄露而给合作双方造成损失，为保护公司、合作方及项目参与人员的合法利益，保证合作双方实现顺利合作，参与本项目的所有公司员工应承诺遵守本保密协议内容。双方愿依本协议规定对本协议项下的保密信息承担保密义务。</w:t>
      </w:r>
    </w:p>
    <w:p w14:paraId="6CFEE4A8">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为此，双方达成协议如下：</w:t>
      </w:r>
    </w:p>
    <w:p w14:paraId="0C19ABC9">
      <w:pPr>
        <w:widowControl w:val="0"/>
        <w:spacing w:line="360" w:lineRule="auto"/>
        <w:ind w:firstLine="482" w:firstLineChars="20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第一条 定义</w:t>
      </w:r>
    </w:p>
    <w:p w14:paraId="52111EB1">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保密信息：指披露方以口头告知、以磁盘或电子形式或书面方式标注或指定为保密信息的非公开信息，以及根据披露时的客观情况应当被视为保密信息的非公开信息。披露方将以直接或间接的方式向接收方披露其技术信息、财务数据、商业合作、数据信息等。这些信息在披露时以口头告知、以磁盘或电子形式或书面标示为“保密”的。其中技术信息包括但不限于披露方的技术、设计、图样、模型、软件程序、资料分析、项目研究、有关研究与实验工作的记录或成果等；商业信息包括但不限于披露方的合同（协议）文件、投标文件、财务数据、人事数据、采购资料、客户资料或销售数据等；数据信息包括但不限于披露方提供的数据、程序、用户名、口令和资料以及在项目实施中涉及的业务及技术文档，包括方案设计细节、程序文件、数据结构，以及相关业务系统的硬软件、文档、测试和测试产生的数据等，保密信息包括且不限于：</w:t>
      </w:r>
    </w:p>
    <w:p w14:paraId="432D7B0E">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1、有关合作或交易活动本身相关的一切活动及相关信息（含任何接触、磋商、讨论、开会、谈判、调查、签署文件等相关活动相关的各种信息），包括历史的、现在的和即将发生的；</w:t>
      </w:r>
    </w:p>
    <w:p w14:paraId="20ACBD30">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经营信息，其范围主要包括股东、投资人及关联方信息、公司决议、公司组织架构、股权架构、重大投资交易、成本与收益分析、行业竞争优劣势分析、客户与供应商资料、营销计划、商业模式、市场拓展筹备计划、合同内容、投标中的标底与标书内容、采购资料、定价策略、进货渠道、产品策略、财务报表及财会档案、工资福利分配方案、人力资源信息、法律纠纷等等；</w:t>
      </w:r>
    </w:p>
    <w:p w14:paraId="61AA11D5">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项目信息，其范围主要包括项目货值明细、规划条件和数据、设计文件和数据、土地使用权划拨、出让或出租合同及其相关信息、各类工程图纸、模型、平面图和示意图、建设工程量、工程节点和相关数据、税务信息、计算依据和凭证、项目人员配置和人员信息、不动产权证及其他项目证照和备案文件、房产原值和评估信息、项目财务信息和会计账簿及数据汇总表、租赁合同及其相关租赁信息等等；</w:t>
      </w:r>
    </w:p>
    <w:p w14:paraId="4032C058">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技术信息，其范围主要包括知识产权、技术方案、信息系统设计方案、操作流程、制造方法、技术指标、技术文档、计算机软件、计算机程序、数据库、图纸、样品、样机、模具、操作手册、涉及保密信息的业务函电等等；</w:t>
      </w:r>
    </w:p>
    <w:p w14:paraId="76159ACC">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5、属于第三人的保密信息但依照法律规定或者有关约定，一方承诺对外承担保密义务的信息；</w:t>
      </w:r>
    </w:p>
    <w:p w14:paraId="20400750">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6、任何一方未予公开的其他商业信息，或其他合理认为，并告知另一方属于保密的内容。</w:t>
      </w:r>
    </w:p>
    <w:p w14:paraId="013DE1AC">
      <w:pPr>
        <w:widowControl w:val="0"/>
        <w:spacing w:line="360" w:lineRule="auto"/>
        <w:ind w:firstLine="482" w:firstLineChars="20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第二条 保密范围</w:t>
      </w:r>
    </w:p>
    <w:p w14:paraId="4C19B8BE">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1、双方已有的技术秘密；</w:t>
      </w:r>
    </w:p>
    <w:p w14:paraId="6644C092">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2、双方敏感信息、内部管理信息、经营管理信息、业务信息、知识产权信息；</w:t>
      </w:r>
    </w:p>
    <w:p w14:paraId="580CFCCF">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3、乙方持有的科研成果和技术秘密，经双方协商，乙方同意被甲方使用的。</w:t>
      </w:r>
    </w:p>
    <w:p w14:paraId="7C6316A0">
      <w:pPr>
        <w:widowControl w:val="0"/>
        <w:spacing w:line="360" w:lineRule="auto"/>
        <w:ind w:firstLine="482" w:firstLineChars="20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第三条 保密信息不包括以下信息：</w:t>
      </w:r>
    </w:p>
    <w:p w14:paraId="6EC70316">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1、在接收保密信息之时，乙方已经通过其他来源获悉无保密限制的信息；</w:t>
      </w:r>
    </w:p>
    <w:p w14:paraId="5C68DA64">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2、一方通过合法行为获悉已经或即将公之于众的信息；</w:t>
      </w:r>
    </w:p>
    <w:p w14:paraId="701E5961">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3、根据政府要求、命令和司法条例所披露的信息。</w:t>
      </w:r>
    </w:p>
    <w:p w14:paraId="22208331">
      <w:pPr>
        <w:widowControl w:val="0"/>
        <w:spacing w:line="360" w:lineRule="auto"/>
        <w:ind w:firstLine="482" w:firstLineChars="20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第四条 保密义务：</w:t>
      </w:r>
    </w:p>
    <w:p w14:paraId="570D79EC">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遵守《中华人民共和国网络安全法》《中华人民共和国数据安全法》《中华人民共和国计算机信息系统安全保护条例》和《计算机信息网络国际联网安全保护管理办法》及有关法律法规和行政规章制度、文件规定；</w:t>
      </w:r>
    </w:p>
    <w:p w14:paraId="25325ED5">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双方应采取尽可能的措施对所有来自对方的信息严格保密，包括执行有效的安全措施和操作规程；提供符合国家标准的产品和服务，不设置恶意程序；完善数据安全防护，制定应急预案，切实加强数据收集、存储、使用、加工、传输、提供、公开、销毁等全流程各环节安全管理，协助相关部门处理系统漏洞、病毒、网络攻击、网络入侵等安全风险；</w:t>
      </w:r>
    </w:p>
    <w:p w14:paraId="16BDA3C8">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3、双方承诺对另一方以书面、口头、电子文本、电子数据等方式提供的保密信息承担保密义务；</w:t>
      </w:r>
    </w:p>
    <w:p w14:paraId="3A3A1BE7">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承诺未经书面同意，不得直接或间接以任何形式或任何方式把保密信息或其中的任何部分，披露或透露给任何第三方（仅可向有知悉必要的内部人员披露，同时仅为项目所需使用）以及提供可以接触上述保密信息的手段，包括在公开场合展览，公开对外宣传，作为文章、讯息、参考数据发表；双方均有义务妥善保管上述文件和数据，不得复制、泄漏或遗失；双方亦不得依据他方提供的任何保密信息，就任何问题，向任何第三方作出任何建议；</w:t>
      </w:r>
    </w:p>
    <w:p w14:paraId="06795E47">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5、对保密信息谨慎、妥善持有，并严格保密，没有另一方事先书面同意，不得向任何第三方披露；</w:t>
      </w:r>
    </w:p>
    <w:p w14:paraId="194F0C57">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项目维护过程中，如因业务需要，一方需采购第三方软件或软件服务的，其需以数据最小化为原则，明确数据范围及用途，并与第三方签订数据安全保密协议，确保另一方数据安全，在对数据安全的要求未实施适当的控制之前不应向第三方以及外包服务提供权限进行数据的访问；</w:t>
      </w:r>
    </w:p>
    <w:p w14:paraId="1A9DF0D4">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7、双方仅可为双方合作之必须，将保密信息披露给其指定的第三方公司，并且该第三方公司应首先以书面形式承诺保守该保密信息。披露方与第三方公司签订保密协议；</w:t>
      </w:r>
    </w:p>
    <w:p w14:paraId="34B86336">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8、双方仅可为双方合作业务之必需，将保密信息披露给其直接或间接参与合作事项的管理人员、职员、顾问和其他雇员（统称“有关人员”），但应保证该类有关人员对保密信息严格保密。披露方与有关人员签订保密协议；</w:t>
      </w:r>
    </w:p>
    <w:p w14:paraId="44FCDA58">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9、双方承诺和保证，除第三条或另一方主体不存在，将一直对另一方披露的保密信息进行保密；</w:t>
      </w:r>
    </w:p>
    <w:p w14:paraId="652AB24E">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10、双方需加强自身保密意识及保密措施，从管理及技术方面保障另一方数据安全，对其员工进行必要的数据安全意识、技能培训和教育，使其满足工作要求，并与员工签订保密协议，约束监督员工，防止个别工作人员将另一方数据泄露。员工离岗或授权期满后应当按要求及时做好数据、文档、权限等资源移交收回工作；</w:t>
      </w:r>
    </w:p>
    <w:p w14:paraId="15CF1195">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11、若一方在本条中所述的第三方公司或本条中所述的有关人员违反本协议的保密义务，违约方须承担相应责任，并赔偿守约方由此造成的损失。</w:t>
      </w:r>
    </w:p>
    <w:p w14:paraId="49CD3D0D">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第五条</w:t>
      </w:r>
      <w:r>
        <w:rPr>
          <w:rFonts w:hint="eastAsia" w:ascii="仿宋" w:hAnsi="仿宋" w:eastAsia="仿宋" w:cs="仿宋"/>
          <w:kern w:val="2"/>
          <w:sz w:val="24"/>
          <w:szCs w:val="24"/>
          <w:lang w:val="en-US" w:eastAsia="zh-CN" w:bidi="ar-SA"/>
        </w:rPr>
        <w:t xml:space="preserve"> 任何一方未遵守本协议的约定泄露或带着与该项目无关的目的使用了本协议约定的保密信息，另一方有权终止双方的合作项目，并有权要求违约方承担由此造成的全部损失，损失无法确认的，至少承担合作项目金额10%的违约金。守约方有权保留进一步追究其一切相关法律责任的权利。</w:t>
      </w:r>
    </w:p>
    <w:p w14:paraId="564F3B45">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第六条</w:t>
      </w:r>
      <w:r>
        <w:rPr>
          <w:rFonts w:hint="eastAsia" w:ascii="仿宋" w:hAnsi="仿宋" w:eastAsia="仿宋" w:cs="仿宋"/>
          <w:kern w:val="2"/>
          <w:sz w:val="24"/>
          <w:szCs w:val="24"/>
          <w:lang w:val="en-US" w:eastAsia="zh-CN" w:bidi="ar-SA"/>
        </w:rPr>
        <w:t xml:space="preserve"> 没有得到另一方的书面同意，任何一方不得将其在本协议书项下的权利和义务转让给第三方。</w:t>
      </w:r>
    </w:p>
    <w:p w14:paraId="3AD4A6FF">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第七条</w:t>
      </w:r>
      <w:r>
        <w:rPr>
          <w:rFonts w:hint="eastAsia" w:ascii="仿宋" w:hAnsi="仿宋" w:eastAsia="仿宋" w:cs="仿宋"/>
          <w:kern w:val="2"/>
          <w:sz w:val="24"/>
          <w:szCs w:val="24"/>
          <w:lang w:val="en-US" w:eastAsia="zh-CN" w:bidi="ar-SA"/>
        </w:rPr>
        <w:t xml:space="preserve"> 本协议不作为双方建立任何合作关系或其他业务关系的依据。 </w:t>
      </w:r>
    </w:p>
    <w:p w14:paraId="650078DC">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第八条</w:t>
      </w:r>
      <w:r>
        <w:rPr>
          <w:rFonts w:hint="eastAsia" w:ascii="仿宋" w:hAnsi="仿宋" w:eastAsia="仿宋" w:cs="仿宋"/>
          <w:kern w:val="2"/>
          <w:sz w:val="24"/>
          <w:szCs w:val="24"/>
          <w:lang w:val="en-US" w:eastAsia="zh-CN" w:bidi="ar-SA"/>
        </w:rPr>
        <w:t xml:space="preserve"> 双方同意，本协议生效后，如国家颁布有关的法律法规与管理条例，双方有义务遵守这些法律法规与管理条例。</w:t>
      </w:r>
    </w:p>
    <w:p w14:paraId="7F23D60F">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第九条</w:t>
      </w:r>
      <w:r>
        <w:rPr>
          <w:rFonts w:hint="eastAsia" w:ascii="仿宋" w:hAnsi="仿宋" w:eastAsia="仿宋" w:cs="仿宋"/>
          <w:kern w:val="2"/>
          <w:sz w:val="24"/>
          <w:szCs w:val="24"/>
          <w:lang w:val="en-US" w:eastAsia="zh-CN" w:bidi="ar-SA"/>
        </w:rPr>
        <w:t xml:space="preserve"> 本协议的各部分构成完整的保密协议，并取代双方此前任何有关本协议所述事项的理解或协议。未经另一方书面同意，本协议不得变更或修改。</w:t>
      </w:r>
    </w:p>
    <w:p w14:paraId="3DF64F24">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第十条</w:t>
      </w:r>
      <w:r>
        <w:rPr>
          <w:rFonts w:hint="eastAsia" w:ascii="仿宋" w:hAnsi="仿宋" w:eastAsia="仿宋" w:cs="仿宋"/>
          <w:kern w:val="2"/>
          <w:sz w:val="24"/>
          <w:szCs w:val="24"/>
          <w:lang w:val="en-US" w:eastAsia="zh-CN" w:bidi="ar-SA"/>
        </w:rPr>
        <w:t xml:space="preserve"> 双方承认并同意，除任何一方以书面形式明确表达外，一方向另一方披露保密信息并不构成一方向另一方转让或授予另一方享有对其数据、技术秘密或其他知识产权拥有的利益。</w:t>
      </w:r>
    </w:p>
    <w:p w14:paraId="2B3FE70E">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第十一条</w:t>
      </w:r>
      <w:r>
        <w:rPr>
          <w:rFonts w:hint="eastAsia" w:ascii="仿宋" w:hAnsi="仿宋" w:eastAsia="仿宋" w:cs="仿宋"/>
          <w:kern w:val="2"/>
          <w:sz w:val="24"/>
          <w:szCs w:val="24"/>
          <w:lang w:val="en-US" w:eastAsia="zh-CN" w:bidi="ar-SA"/>
        </w:rPr>
        <w:t xml:space="preserve"> 本协议接受中国法律管辖并按中国法律解释。对因本协议项下各方的权利和义务而发生的有关的任何争议，双方应首先协商解决，如无法通过协商解决，则应在常州仲裁委员会解决。</w:t>
      </w:r>
    </w:p>
    <w:p w14:paraId="326130A6">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第十二条</w:t>
      </w:r>
      <w:r>
        <w:rPr>
          <w:rFonts w:hint="eastAsia" w:ascii="仿宋" w:hAnsi="仿宋" w:eastAsia="仿宋" w:cs="仿宋"/>
          <w:kern w:val="2"/>
          <w:sz w:val="24"/>
          <w:szCs w:val="24"/>
          <w:lang w:val="en-US" w:eastAsia="zh-CN" w:bidi="ar-SA"/>
        </w:rPr>
        <w:t xml:space="preserve"> 双方约定的通讯地址以本协议载明的通讯地址为准。若有变更需及时书面通知对方，一方向另一方寄送的文件或资料如被退回或拒收的，自被退回或拒收之日起即视为送达。本协议载明的通讯地址同时适用于诉讼或者仲裁程序的各个程序中的法律文书的送达。</w:t>
      </w:r>
    </w:p>
    <w:p w14:paraId="67B31706">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第十三条</w:t>
      </w:r>
      <w:r>
        <w:rPr>
          <w:rFonts w:hint="eastAsia" w:ascii="仿宋" w:hAnsi="仿宋" w:eastAsia="仿宋" w:cs="仿宋"/>
          <w:kern w:val="2"/>
          <w:sz w:val="24"/>
          <w:szCs w:val="24"/>
          <w:lang w:val="en-US" w:eastAsia="zh-CN" w:bidi="ar-SA"/>
        </w:rPr>
        <w:t xml:space="preserve"> 双方约定双方签订的其他合同、协议发生部分或全部无效、终止、解除等情形的，不影响本协议的效力。</w:t>
      </w:r>
    </w:p>
    <w:p w14:paraId="0EE74A42">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第十四条</w:t>
      </w:r>
      <w:r>
        <w:rPr>
          <w:rFonts w:hint="eastAsia" w:ascii="仿宋" w:hAnsi="仿宋" w:eastAsia="仿宋" w:cs="仿宋"/>
          <w:kern w:val="2"/>
          <w:sz w:val="24"/>
          <w:szCs w:val="24"/>
          <w:lang w:val="en-US" w:eastAsia="zh-CN" w:bidi="ar-SA"/>
        </w:rPr>
        <w:t xml:space="preserve"> 本协议自双方签字盖章之日起生效，项目结束后，如果本协议中包括的某些保密信息并未失去保密性的，本协议仍对这些未失去保密性的信息发生效力，约束双方的行为。</w:t>
      </w:r>
    </w:p>
    <w:p w14:paraId="62307079">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第十五条</w:t>
      </w:r>
      <w:r>
        <w:rPr>
          <w:rFonts w:hint="eastAsia" w:ascii="仿宋" w:hAnsi="仿宋" w:eastAsia="仿宋" w:cs="仿宋"/>
          <w:kern w:val="2"/>
          <w:sz w:val="24"/>
          <w:szCs w:val="24"/>
          <w:lang w:val="en-US" w:eastAsia="zh-CN" w:bidi="ar-SA"/>
        </w:rPr>
        <w:t xml:space="preserve"> 本协议是为防止双方的保密信息在双方合作期间发生泄漏而制定。因任何理由而导致双方的合作项目终止时，一方应归还另一方所有有关信息资料和文件，但并不免除其保密义务。</w:t>
      </w:r>
    </w:p>
    <w:p w14:paraId="14D8FA22">
      <w:pPr>
        <w:widowControl w:val="0"/>
        <w:spacing w:line="360" w:lineRule="auto"/>
        <w:ind w:firstLine="482"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第十六条</w:t>
      </w:r>
      <w:r>
        <w:rPr>
          <w:rFonts w:hint="eastAsia" w:ascii="仿宋" w:hAnsi="仿宋" w:eastAsia="仿宋" w:cs="仿宋"/>
          <w:kern w:val="2"/>
          <w:sz w:val="24"/>
          <w:szCs w:val="24"/>
          <w:lang w:val="en-US" w:eastAsia="zh-CN" w:bidi="ar-SA"/>
        </w:rPr>
        <w:t xml:space="preserve"> 本协议一式肆份，双方各持贰份，具有同等法律效力。</w:t>
      </w:r>
    </w:p>
    <w:tbl>
      <w:tblPr>
        <w:tblStyle w:val="2"/>
        <w:tblW w:w="9099" w:type="dxa"/>
        <w:tblInd w:w="0" w:type="dxa"/>
        <w:tblBorders>
          <w:top w:val="none" w:color="999999" w:sz="6" w:space="0"/>
          <w:left w:val="none" w:color="999999" w:sz="6" w:space="0"/>
          <w:bottom w:val="none" w:color="999999" w:sz="6" w:space="0"/>
          <w:right w:val="none" w:color="999999" w:sz="6" w:space="0"/>
          <w:insideH w:val="none" w:color="999999" w:sz="6" w:space="0"/>
          <w:insideV w:val="none" w:color="999999" w:sz="6" w:space="0"/>
        </w:tblBorders>
        <w:tblLayout w:type="autofit"/>
        <w:tblCellMar>
          <w:top w:w="0" w:type="dxa"/>
          <w:left w:w="10" w:type="dxa"/>
          <w:bottom w:w="0" w:type="dxa"/>
          <w:right w:w="10" w:type="dxa"/>
        </w:tblCellMar>
      </w:tblPr>
      <w:tblGrid>
        <w:gridCol w:w="4620"/>
        <w:gridCol w:w="4479"/>
      </w:tblGrid>
      <w:tr w14:paraId="73D6D29B">
        <w:tblPrEx>
          <w:tblBorders>
            <w:top w:val="none" w:color="999999" w:sz="6" w:space="0"/>
            <w:left w:val="none" w:color="999999" w:sz="6" w:space="0"/>
            <w:bottom w:val="none" w:color="999999" w:sz="6" w:space="0"/>
            <w:right w:val="none" w:color="999999" w:sz="6" w:space="0"/>
            <w:insideH w:val="none" w:color="999999" w:sz="6" w:space="0"/>
            <w:insideV w:val="none" w:color="999999" w:sz="6" w:space="0"/>
          </w:tblBorders>
          <w:tblCellMar>
            <w:top w:w="0" w:type="dxa"/>
            <w:left w:w="10" w:type="dxa"/>
            <w:bottom w:w="0" w:type="dxa"/>
            <w:right w:w="10" w:type="dxa"/>
          </w:tblCellMar>
        </w:tblPrEx>
        <w:trPr>
          <w:trHeight w:val="546" w:hRule="atLeast"/>
        </w:trPr>
        <w:tc>
          <w:tcPr>
            <w:tcW w:w="4620" w:type="dxa"/>
            <w:tcBorders>
              <w:top w:val="single" w:color="AAAAAA" w:sz="8" w:space="0"/>
              <w:left w:val="single" w:color="AAAAAA" w:sz="8" w:space="0"/>
              <w:bottom w:val="single" w:color="AAAAAA" w:sz="8" w:space="0"/>
              <w:right w:val="single" w:color="AAAAAA" w:sz="8" w:space="0"/>
            </w:tcBorders>
            <w:shd w:val="clear" w:color="auto" w:fill="auto"/>
            <w:vAlign w:val="center"/>
          </w:tcPr>
          <w:p w14:paraId="4140DC40">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甲方：常州高新技术产业开发区（新北区）数据局</w:t>
            </w:r>
          </w:p>
        </w:tc>
        <w:tc>
          <w:tcPr>
            <w:tcW w:w="4479" w:type="dxa"/>
            <w:tcBorders>
              <w:top w:val="single" w:color="AAAAAA" w:sz="8" w:space="0"/>
              <w:left w:val="single" w:color="AAAAAA" w:sz="8" w:space="0"/>
              <w:bottom w:val="single" w:color="AAAAAA" w:sz="8" w:space="0"/>
              <w:right w:val="single" w:color="AAAAAA" w:sz="8" w:space="0"/>
            </w:tcBorders>
            <w:shd w:val="clear" w:color="auto" w:fill="auto"/>
            <w:vAlign w:val="center"/>
          </w:tcPr>
          <w:p w14:paraId="58B16C7E">
            <w:pPr>
              <w:widowControl w:val="0"/>
              <w:spacing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乙方：常州市数据科技有限公司</w:t>
            </w:r>
          </w:p>
        </w:tc>
      </w:tr>
      <w:tr w14:paraId="1C7819F5">
        <w:tblPrEx>
          <w:tblBorders>
            <w:top w:val="none" w:color="999999" w:sz="6" w:space="0"/>
            <w:left w:val="none" w:color="999999" w:sz="6" w:space="0"/>
            <w:bottom w:val="none" w:color="999999" w:sz="6" w:space="0"/>
            <w:right w:val="none" w:color="999999" w:sz="6" w:space="0"/>
            <w:insideH w:val="none" w:color="999999" w:sz="6" w:space="0"/>
            <w:insideV w:val="none" w:color="999999" w:sz="6" w:space="0"/>
          </w:tblBorders>
          <w:tblCellMar>
            <w:top w:w="0" w:type="dxa"/>
            <w:left w:w="10" w:type="dxa"/>
            <w:bottom w:w="0" w:type="dxa"/>
            <w:right w:w="10" w:type="dxa"/>
          </w:tblCellMar>
        </w:tblPrEx>
        <w:trPr>
          <w:trHeight w:val="546" w:hRule="atLeast"/>
        </w:trPr>
        <w:tc>
          <w:tcPr>
            <w:tcW w:w="4620" w:type="dxa"/>
            <w:tcBorders>
              <w:top w:val="single" w:color="AAAAAA" w:sz="8" w:space="0"/>
              <w:left w:val="single" w:color="AAAAAA" w:sz="8" w:space="0"/>
              <w:bottom w:val="single" w:color="AAAAAA" w:sz="8" w:space="0"/>
              <w:right w:val="single" w:color="AAAAAA" w:sz="8" w:space="0"/>
            </w:tcBorders>
            <w:shd w:val="clear" w:color="auto" w:fill="auto"/>
            <w:vAlign w:val="center"/>
          </w:tcPr>
          <w:p w14:paraId="09AD6DF8">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（授权代表）____________</w:t>
            </w:r>
          </w:p>
        </w:tc>
        <w:tc>
          <w:tcPr>
            <w:tcW w:w="4479" w:type="dxa"/>
            <w:tcBorders>
              <w:top w:val="single" w:color="AAAAAA" w:sz="8" w:space="0"/>
              <w:left w:val="single" w:color="AAAAAA" w:sz="8" w:space="0"/>
              <w:bottom w:val="single" w:color="AAAAAA" w:sz="8" w:space="0"/>
              <w:right w:val="single" w:color="AAAAAA" w:sz="8" w:space="0"/>
            </w:tcBorders>
            <w:shd w:val="clear" w:color="auto" w:fill="auto"/>
            <w:vAlign w:val="center"/>
          </w:tcPr>
          <w:p w14:paraId="7BC3D489">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（授权代表）______________</w:t>
            </w:r>
          </w:p>
        </w:tc>
      </w:tr>
      <w:tr w14:paraId="411A2730">
        <w:tblPrEx>
          <w:tblBorders>
            <w:top w:val="none" w:color="999999" w:sz="6" w:space="0"/>
            <w:left w:val="none" w:color="999999" w:sz="6" w:space="0"/>
            <w:bottom w:val="none" w:color="999999" w:sz="6" w:space="0"/>
            <w:right w:val="none" w:color="999999" w:sz="6" w:space="0"/>
            <w:insideH w:val="none" w:color="999999" w:sz="6" w:space="0"/>
            <w:insideV w:val="none" w:color="999999" w:sz="6" w:space="0"/>
          </w:tblBorders>
          <w:tblCellMar>
            <w:top w:w="0" w:type="dxa"/>
            <w:left w:w="10" w:type="dxa"/>
            <w:bottom w:w="0" w:type="dxa"/>
            <w:right w:w="10" w:type="dxa"/>
          </w:tblCellMar>
        </w:tblPrEx>
        <w:trPr>
          <w:trHeight w:val="546" w:hRule="atLeast"/>
        </w:trPr>
        <w:tc>
          <w:tcPr>
            <w:tcW w:w="4620" w:type="dxa"/>
            <w:tcBorders>
              <w:top w:val="single" w:color="AAAAAA" w:sz="8" w:space="0"/>
              <w:left w:val="single" w:color="AAAAAA" w:sz="8" w:space="0"/>
              <w:bottom w:val="single" w:color="AAAAAA" w:sz="8" w:space="0"/>
              <w:right w:val="single" w:color="AAAAAA" w:sz="8" w:space="0"/>
            </w:tcBorders>
            <w:shd w:val="clear" w:color="auto" w:fill="auto"/>
            <w:vAlign w:val="center"/>
          </w:tcPr>
          <w:p w14:paraId="080EFACD">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日    期：</w:t>
            </w:r>
          </w:p>
        </w:tc>
        <w:tc>
          <w:tcPr>
            <w:tcW w:w="4479" w:type="dxa"/>
            <w:tcBorders>
              <w:top w:val="single" w:color="AAAAAA" w:sz="8" w:space="0"/>
              <w:left w:val="single" w:color="AAAAAA" w:sz="8" w:space="0"/>
              <w:bottom w:val="single" w:color="AAAAAA" w:sz="8" w:space="0"/>
              <w:right w:val="single" w:color="AAAAAA" w:sz="8" w:space="0"/>
            </w:tcBorders>
            <w:shd w:val="clear" w:color="auto" w:fill="auto"/>
            <w:vAlign w:val="center"/>
          </w:tcPr>
          <w:p w14:paraId="3F7EAF56">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日    期：</w:t>
            </w:r>
          </w:p>
        </w:tc>
      </w:tr>
      <w:tr w14:paraId="11638418">
        <w:tblPrEx>
          <w:tblBorders>
            <w:top w:val="none" w:color="999999" w:sz="6" w:space="0"/>
            <w:left w:val="none" w:color="999999" w:sz="6" w:space="0"/>
            <w:bottom w:val="none" w:color="999999" w:sz="6" w:space="0"/>
            <w:right w:val="none" w:color="999999" w:sz="6" w:space="0"/>
            <w:insideH w:val="none" w:color="999999" w:sz="6" w:space="0"/>
            <w:insideV w:val="none" w:color="999999" w:sz="6" w:space="0"/>
          </w:tblBorders>
          <w:tblCellMar>
            <w:top w:w="0" w:type="dxa"/>
            <w:left w:w="10" w:type="dxa"/>
            <w:bottom w:w="0" w:type="dxa"/>
            <w:right w:w="10" w:type="dxa"/>
          </w:tblCellMar>
        </w:tblPrEx>
        <w:trPr>
          <w:trHeight w:val="579" w:hRule="atLeast"/>
        </w:trPr>
        <w:tc>
          <w:tcPr>
            <w:tcW w:w="9099" w:type="dxa"/>
            <w:gridSpan w:val="2"/>
            <w:tcBorders>
              <w:top w:val="single" w:color="AAAAAA" w:sz="8" w:space="0"/>
              <w:left w:val="single" w:color="AAAAAA" w:sz="8" w:space="0"/>
              <w:bottom w:val="single" w:color="AAAAAA" w:sz="8" w:space="0"/>
              <w:right w:val="single" w:color="AAAAAA" w:sz="8" w:space="0"/>
            </w:tcBorders>
            <w:shd w:val="clear" w:color="auto" w:fill="auto"/>
            <w:vAlign w:val="center"/>
          </w:tcPr>
          <w:p w14:paraId="245C4FF1">
            <w:pPr>
              <w:widowControl w:val="0"/>
              <w:spacing w:line="360" w:lineRule="auto"/>
              <w:ind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本协议书由双方于    年    月     日签署。</w:t>
            </w:r>
          </w:p>
        </w:tc>
      </w:tr>
    </w:tbl>
    <w:p w14:paraId="6FAAFAF9">
      <w:pPr>
        <w:keepNext w:val="0"/>
        <w:keepLines w:val="0"/>
        <w:pageBreakBefore w:val="0"/>
        <w:widowControl w:val="0"/>
        <w:spacing w:line="360" w:lineRule="auto"/>
        <w:ind w:left="0" w:firstLine="420"/>
        <w:jc w:val="left"/>
        <w:rPr>
          <w:rFonts w:hint="eastAsia" w:ascii="宋体" w:hAnsi="宋体" w:eastAsia="宋体" w:cs="宋体"/>
          <w:color w:val="000000"/>
          <w:sz w:val="21"/>
          <w:szCs w:val="21"/>
          <w:highlight w:val="none"/>
        </w:rPr>
      </w:pPr>
    </w:p>
    <w:p w14:paraId="1391A0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7C1A7D"/>
    <w:rsid w:val="06222576"/>
    <w:rsid w:val="087C1A7D"/>
    <w:rsid w:val="0C6C62F9"/>
    <w:rsid w:val="0E372937"/>
    <w:rsid w:val="17AF1790"/>
    <w:rsid w:val="1A4837D6"/>
    <w:rsid w:val="1B06750C"/>
    <w:rsid w:val="207812B9"/>
    <w:rsid w:val="230639FB"/>
    <w:rsid w:val="297E7214"/>
    <w:rsid w:val="2A273408"/>
    <w:rsid w:val="2DEC04BA"/>
    <w:rsid w:val="3012213B"/>
    <w:rsid w:val="366C6D72"/>
    <w:rsid w:val="371F710E"/>
    <w:rsid w:val="420267DC"/>
    <w:rsid w:val="4A03383C"/>
    <w:rsid w:val="4F4523C3"/>
    <w:rsid w:val="523D0A75"/>
    <w:rsid w:val="534410BD"/>
    <w:rsid w:val="57D17DD7"/>
    <w:rsid w:val="591B758D"/>
    <w:rsid w:val="65CC7125"/>
    <w:rsid w:val="67AB0BF9"/>
    <w:rsid w:val="6A7F011B"/>
    <w:rsid w:val="6BE566A3"/>
    <w:rsid w:val="72076122"/>
    <w:rsid w:val="7DDA3B8E"/>
    <w:rsid w:val="7F14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pPr>
    <w:rPr>
      <w:rFonts w:hint="default" w:ascii="Symbol" w:hAnsi="Symbol" w:eastAsia="宋体" w:cs="Symbol"/>
      <w:color w:val="000000"/>
      <w:sz w:val="24"/>
      <w:szCs w:val="24"/>
      <w:lang w:val="en-US" w:eastAsia="zh-CN" w:bidi="ar-SA"/>
    </w:rPr>
  </w:style>
  <w:style w:type="paragraph" w:customStyle="1" w:styleId="5">
    <w:name w:val="标题 211"/>
    <w:basedOn w:val="1"/>
    <w:next w:val="1"/>
    <w:qFormat/>
    <w:uiPriority w:val="0"/>
    <w:pPr>
      <w:keepNext/>
      <w:keepLines/>
      <w:spacing w:before="120" w:line="300" w:lineRule="auto"/>
      <w:jc w:val="center"/>
      <w:outlineLvl w:val="1"/>
    </w:pPr>
    <w:rPr>
      <w:rFonts w:ascii="Arial" w:hAnsi="Arial" w:eastAsia="黑体"/>
      <w:b/>
      <w:sz w:val="30"/>
      <w:szCs w:val="20"/>
    </w:rPr>
  </w:style>
  <w:style w:type="paragraph" w:customStyle="1" w:styleId="6">
    <w:name w:val="列出段落"/>
    <w:basedOn w:val="1"/>
    <w:qFormat/>
    <w:uiPriority w:val="34"/>
    <w:pPr>
      <w:ind w:firstLine="420"/>
    </w:pPr>
    <w:rPr>
      <w:rFonts w:ascii="Calibri" w:hAnsi="Calibri"/>
      <w:szCs w:val="22"/>
    </w:rPr>
  </w:style>
  <w:style w:type="paragraph" w:customStyle="1" w:styleId="7">
    <w:name w:val="正文文本11"/>
    <w:basedOn w:val="1"/>
    <w:next w:val="1"/>
    <w:qFormat/>
    <w:uiPriority w:val="0"/>
    <w:pPr>
      <w:tabs>
        <w:tab w:val="left" w:pos="567"/>
      </w:tabs>
      <w:spacing w:before="120" w:line="22" w:lineRule="atLeast"/>
    </w:pPr>
    <w:rPr>
      <w:rFonts w:ascii="宋体" w:hAns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6695</Words>
  <Characters>7006</Characters>
  <Lines>0</Lines>
  <Paragraphs>0</Paragraphs>
  <TotalTime>13</TotalTime>
  <ScaleCrop>false</ScaleCrop>
  <LinksUpToDate>false</LinksUpToDate>
  <CharactersWithSpaces>7253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2025-12-16T06:16:00Z</dcterms:created>
  <dc:creator>Hassan</dc:creator>
  <cp:lastModifiedBy>我们一起洗石头呀</cp:lastModifiedBy>
  <dcterms:modified xsi:type="dcterms:W3CDTF">2025-12-17T03:03:24Z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5376763447394314AB58DA54F339F3F7_11</vt:lpwstr>
  </property>
  <property fmtid="{D5CDD505-2E9C-101B-9397-08002B2CF9AE}" pid="4" name="KSOTemplateDocerSaveRecord">
    <vt:lpwstr>eyJoZGlkIjoiYTM3MTU4Nzg0MWZjM2Y5MTRlMjk2MWEzNmViZTBkODMiLCJ1c2VySWQiOiIxMjA0MjM2OTc3In0=</vt:lpwstr>
  </property>
</Properties>
</file>