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项目名称：</w:t>
      </w:r>
      <w:r>
        <w:rPr>
          <w:rFonts w:ascii="SimSun" w:hAnsi="SimSun" w:eastAsia="SimSun" w:cs="SimSun"/>
          <w:color w:val="000000"/>
          <w:sz w:val="48"/>
        </w:rPr>
        <w:t xml:space="preserve">盐城市公安局经济技术开发区分局智慧安防村居建设项目</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color w:val="000000"/>
          <w:sz w:val="36"/>
        </w:rPr>
        <w:t xml:space="preserve">JSZC-320991-JZCG-G2024-0006</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采购单位：盐城市公安局经济技术开发区分局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2024</w:t>
      </w:r>
      <w:r>
        <w:rPr>
          <w:rFonts w:ascii="SimSun" w:hAnsi="SimSun" w:eastAsia="SimSun" w:cs="SimSun"/>
          <w:b/>
          <w:color w:val="000000"/>
          <w:sz w:val="36"/>
        </w:rPr>
        <w:t xml:space="preserve">年</w:t>
      </w:r>
      <w:r>
        <w:rPr>
          <w:rFonts w:ascii="Arial" w:hAnsi="Arial" w:eastAsia="Arial" w:cs="Arial"/>
          <w:b/>
          <w:color w:val="000000"/>
          <w:sz w:val="36"/>
        </w:rPr>
        <w:t xml:space="preserve">8</w:t>
      </w:r>
      <w:r>
        <w:rPr>
          <w:rFonts w:ascii="SimSun" w:hAnsi="SimSun" w:eastAsia="SimSun" w:cs="SimSun"/>
          <w:b/>
          <w:color w:val="000000"/>
          <w:sz w:val="36"/>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shd w:val="nil" w:color="auto"/>
      </w:pPr>
      <w:r>
        <w:rPr>
          <w:rFonts w:ascii="SimHei" w:hAnsi="SimHei" w:eastAsia="SimHei" w:cs="SimHei"/>
          <w:b/>
          <w:color w:val="000000"/>
          <w:sz w:val="44"/>
          <w:highlight w:val="none"/>
        </w:rPr>
        <w:br w:type="page" w:clear="all"/>
      </w:r>
      <w:r>
        <w:rPr>
          <w:rFonts w:ascii="SimHei" w:hAnsi="SimHei" w:eastAsia="SimHei" w:cs="SimHei"/>
          <w:b/>
          <w:color w:val="000000"/>
          <w:sz w:val="44"/>
          <w:highlight w:val="none"/>
        </w:rPr>
      </w:r>
      <w:r/>
    </w:p>
    <w:p>
      <w:pPr>
        <w:ind w:left="0" w:right="0" w:firstLine="0"/>
        <w:jc w:val="center"/>
        <w:spacing w:before="240" w:after="24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招标公告……………………………………3</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w:t>
      </w:r>
      <w:r>
        <w:rPr>
          <w:rFonts w:ascii="SimSun" w:hAnsi="SimSun" w:eastAsia="SimSun" w:cs="SimSun"/>
          <w:color w:val="000000"/>
          <w:sz w:val="36"/>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合同文本……………………………………18</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采购需求……………………………………24</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评标方法与评标标准………………………44</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投标文件格式………………………………49</w:t>
      </w:r>
      <w:r>
        <w:rPr>
          <w:rFonts w:ascii="SimSun" w:hAnsi="SimSun" w:eastAsia="SimSun" w:cs="SimSun"/>
          <w:color w:val="000000"/>
          <w:sz w:val="36"/>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center"/>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盐城市公安局经济技术开发区分局智慧安防村居建设项目</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中国政府采购网、江苏政府采购网、盐城市政府采购网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2024年9月4日09点00分（</w:t>
      </w:r>
      <w:r>
        <w:rPr>
          <w:rFonts w:ascii="SimSun" w:hAnsi="SimSun" w:eastAsia="SimSun" w:cs="SimSun"/>
          <w:color w:val="000000"/>
          <w:sz w:val="24"/>
        </w:rPr>
        <w:t xml:space="preserve">北京时间）前递交投标文件。</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1.项目编号：JSZC-320991-JZCG-G2024-0006</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2.项目名称：盐城市公安局经济技术开发区分局智慧安防村居建设项目</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3.采购方式：公开招标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4.预算金额：项目预算294.51万元。</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5.最高限价：294.51万元。</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盐城市公安局经济技术开发区分局智慧安防村居建设项目，主要包括（但不仅限于）相关设备及配件的供货、安装、调试、验收、技术培训、维保、售前、售后等相关伴随服务，具体技术要求详见清单，招标人保留对上述采购规模进行调整的权利。（详细内容见本招标文件第四章）</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7.合同履行期限：60日历天</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8.本项目不接受联合体</w:t>
      </w:r>
      <w:r>
        <w:rPr>
          <w:rFonts w:ascii="SimSun" w:hAnsi="SimSun" w:eastAsia="SimSun" w:cs="SimSun"/>
          <w:color w:val="000000"/>
          <w:sz w:val="24"/>
        </w:rPr>
        <w:t xml:space="preserve">参与招标。</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3.依法缴纳税收和社会保障资金的相关材料（成立不满一年不需提供）；</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（三）本项目其他特定资格条件：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1.投标人为网络运营商(具有《中华人民共和国基础电信业务经营许可证》或营业执照经营范围中包含“广播电视传输网络建设、改造、经营、维护和管理”)或其分（支）公司。</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2.投标人须保证项目负责人与授权委托人均为本单位的正式职工，并提供开标前近1个月均已在本单位缴纳养老保险相关证明材料（投标人或分（支）公司均可）。</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4.未被“信用盐城”网站（http://credit.yancheng.gov.cn/）列入公示期内的失信行为。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5.单位负责人为同一人或者存在直接控股、管理关系的不同供应商，不得参加同一合同项下的政府采购活动。</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highlight w:val="white"/>
          <w:u w:val="single"/>
        </w:rPr>
        <w:t xml:space="preserve">2024年8月14日</w:t>
      </w:r>
      <w:r>
        <w:rPr>
          <w:rFonts w:ascii="SimSun" w:hAnsi="SimSun" w:eastAsia="SimSun" w:cs="SimSun"/>
          <w:color w:val="000000"/>
          <w:sz w:val="24"/>
          <w:highlight w:val="white"/>
        </w:rPr>
        <w:t xml:space="preserve">至</w:t>
      </w:r>
      <w:r>
        <w:rPr>
          <w:rFonts w:ascii="SimSun" w:hAnsi="SimSun" w:eastAsia="SimSun" w:cs="SimSun"/>
          <w:color w:val="000000"/>
          <w:sz w:val="24"/>
          <w:highlight w:val="white"/>
          <w:u w:val="single"/>
        </w:rPr>
        <w:t xml:space="preserve">2024年8月20日</w:t>
      </w:r>
      <w:r>
        <w:rPr>
          <w:rFonts w:ascii="SimSun" w:hAnsi="SimSun" w:eastAsia="SimSun" w:cs="SimSun"/>
          <w:color w:val="000000"/>
          <w:sz w:val="24"/>
          <w:highlight w:val="white"/>
        </w:rPr>
        <w:t xml:space="preserve">，每天上午</w:t>
      </w:r>
      <w:r>
        <w:rPr>
          <w:rFonts w:ascii="SimSun" w:hAnsi="SimSun" w:eastAsia="SimSun" w:cs="SimSun"/>
          <w:color w:val="000000"/>
          <w:sz w:val="24"/>
          <w:highlight w:val="white"/>
          <w:u w:val="single"/>
        </w:rPr>
        <w:t xml:space="preserve">00:00</w:t>
      </w:r>
      <w:r>
        <w:rPr>
          <w:rFonts w:ascii="SimSun" w:hAnsi="SimSun" w:eastAsia="SimSun" w:cs="SimSun"/>
          <w:color w:val="000000"/>
          <w:sz w:val="24"/>
          <w:highlight w:val="white"/>
        </w:rPr>
        <w:t xml:space="preserve">至</w:t>
      </w:r>
      <w:r>
        <w:rPr>
          <w:rFonts w:ascii="SimSun" w:hAnsi="SimSun" w:eastAsia="SimSun" w:cs="SimSun"/>
          <w:color w:val="000000"/>
          <w:sz w:val="24"/>
          <w:highlight w:val="white"/>
          <w:u w:val="single"/>
        </w:rPr>
        <w:t xml:space="preserve">12:00</w:t>
      </w:r>
      <w:r>
        <w:rPr>
          <w:rFonts w:ascii="SimSun" w:hAnsi="SimSun" w:eastAsia="SimSun" w:cs="SimSun"/>
          <w:color w:val="000000"/>
          <w:sz w:val="24"/>
          <w:highlight w:val="white"/>
        </w:rPr>
        <w:t xml:space="preserve">，下午</w:t>
      </w:r>
      <w:r>
        <w:rPr>
          <w:rFonts w:ascii="SimSun" w:hAnsi="SimSun" w:eastAsia="SimSun" w:cs="SimSun"/>
          <w:color w:val="000000"/>
          <w:sz w:val="24"/>
          <w:highlight w:val="white"/>
          <w:u w:val="single"/>
        </w:rPr>
        <w:t xml:space="preserve">12:00</w:t>
      </w:r>
      <w:r>
        <w:rPr>
          <w:rFonts w:ascii="SimSun" w:hAnsi="SimSun" w:eastAsia="SimSun" w:cs="SimSun"/>
          <w:color w:val="000000"/>
          <w:sz w:val="24"/>
          <w:highlight w:val="white"/>
        </w:rPr>
        <w:t xml:space="preserve">至</w:t>
      </w:r>
      <w:r>
        <w:rPr>
          <w:rFonts w:ascii="SimSun" w:hAnsi="SimSun" w:eastAsia="SimSun" w:cs="SimSun"/>
          <w:color w:val="000000"/>
          <w:sz w:val="24"/>
          <w:highlight w:val="white"/>
          <w:u w:val="single"/>
        </w:rPr>
        <w:t xml:space="preserve">23:59</w:t>
      </w:r>
      <w:r>
        <w:rPr>
          <w:rFonts w:ascii="SimSun" w:hAnsi="SimSun" w:eastAsia="SimSun" w:cs="SimSun"/>
          <w:color w:val="000000"/>
          <w:sz w:val="24"/>
          <w:highlight w:val="white"/>
        </w:rPr>
        <w:t xml:space="preserve">（北京时间，法定节假日除外 ）</w:t>
      </w:r>
      <w:r>
        <w:rPr>
          <w:rFonts w:ascii="SimSun" w:hAnsi="SimSun" w:eastAsia="SimSun" w:cs="SimSun"/>
          <w:color w:val="000000"/>
          <w:sz w:val="24"/>
        </w:rPr>
        <w:t xml:space="preserve">。</w:t>
      </w:r>
      <w:r/>
    </w:p>
    <w:p>
      <w:pPr>
        <w:ind w:left="0" w:right="0" w:firstLine="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2.地点：中国政府采购网、江苏政府采购网、盐城市政府采购网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3.方式：在中国政府采购网、江苏政府采购网、盐城市政府采购网自行免费下载招标文件。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pStyle w:val="824"/>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pStyle w:val="824"/>
        <w:ind w:left="0" w:right="0" w:firstLine="48"/>
        <w:jc w:val="both"/>
        <w:spacing w:before="0" w:after="0" w:line="85" w:lineRule="atLeast"/>
        <w:shd w:val="clear" w:color="ffffff" w:fill="ffffff"/>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1.截止时间：2024年9月4日09：00时</w:t>
      </w:r>
      <w:r>
        <w:rPr>
          <w:b w:val="0"/>
          <w:bCs w:val="0"/>
        </w:rPr>
      </w:r>
      <w:r/>
    </w:p>
    <w:p>
      <w:pPr>
        <w:pStyle w:val="824"/>
        <w:ind w:left="0" w:right="0" w:firstLine="48"/>
        <w:jc w:val="both"/>
        <w:spacing w:before="0" w:after="0" w:line="85" w:lineRule="atLeast"/>
        <w:shd w:val="clear" w:color="ffffff" w:fill="ffffff"/>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2.地点：“苏采云”政府采购交易系统网上开标大厅。</w:t>
      </w:r>
      <w:r>
        <w:rPr>
          <w:b w:val="0"/>
          <w:bCs w:val="0"/>
        </w:rPr>
      </w:r>
      <w:r/>
    </w:p>
    <w:p>
      <w:pPr>
        <w:pStyle w:val="824"/>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pStyle w:val="824"/>
        <w:ind w:left="0" w:right="0" w:firstLine="48"/>
        <w:jc w:val="both"/>
        <w:spacing w:before="0" w:after="0" w:line="85" w:lineRule="atLeast"/>
        <w:shd w:val="clear" w:color="ffffff" w:fill="ffffff"/>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自本公告发布之日起5个工作日。</w:t>
      </w:r>
      <w:r>
        <w:rPr>
          <w:b w:val="0"/>
          <w:bCs w:val="0"/>
        </w:rPr>
      </w:r>
      <w:r/>
    </w:p>
    <w:p>
      <w:pPr>
        <w:pStyle w:val="824"/>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2.有关本次招标的事项若存在变动或修改，敬请及时关注采购人在中国政府采购网、江苏政府采购网、盐城市政府采购网发布的更正公告。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pStyle w:val="824"/>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八、对本次招标提出询问，请按以下方式联系。</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称：盐城市公安局经济技术开发区分局</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地址：盐城市亭湖区盐渎东路86号  </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联系人：吴星星              </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联系方式：0515-66872830　      </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称：江苏苏伟项目管理有限公司</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址：盐城市亭湖区盐马路元亨公寓3楼</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联系人：林杨                     </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联系方式：17710023336                   </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项目联系人：吴星星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话：0515-66872830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投标人须知</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投标人应自行承担所有与参加投标有关的费用，无论投标过程中的做法和结果如何，采购人与代理机构在任何情况下均无义务和责任承担这些费用。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4.2本次招标代理公司和采购人不收取标书工本费。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请仔细检查招标文件是否齐全，如有缺漏请立即与代理公司联系解决。</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前按招标公告中的通讯地址，以书面形式通知代理公司。</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招标文件的修改将在中国政府采购网、江苏政府采购网、盐城市政府采购网公布，补充文件将作为招标文件的组成部分，并对投标人具有约束力。</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w:t>
      </w:r>
      <w:r>
        <w:rPr>
          <w:rFonts w:ascii="SimSun" w:hAnsi="SimSun" w:eastAsia="SimSun" w:cs="SimSun"/>
          <w:color w:val="333333"/>
          <w:sz w:val="24"/>
          <w:highlight w:val="white"/>
        </w:rPr>
        <w:t xml:space="preserve">中国政府采购网、江苏政府采购网、盐城市政府采购网</w:t>
      </w:r>
      <w:r>
        <w:rPr>
          <w:rFonts w:ascii="SimSun" w:hAnsi="SimSun" w:eastAsia="SimSun" w:cs="SimSun"/>
          <w:color w:val="000000"/>
          <w:sz w:val="24"/>
        </w:rPr>
        <w:t xml:space="preserve">发布的招标文件不一致，请以中国政府采购网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w:t>
      </w:r>
      <w:r>
        <w:rPr>
          <w:rFonts w:ascii="SimSun" w:hAnsi="SimSun" w:eastAsia="SimSun" w:cs="SimSun"/>
          <w:color w:val="000000"/>
          <w:sz w:val="24"/>
        </w:rPr>
        <w:t xml:space="preserve">发布的招标文件为准。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投标报价内容包括但不限于：设备本身、安装调试费、人工费、服务费、后续使用时的电费、招标代理费、税金以及交付使用过程中涉及到的其他一切费用。</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其它费用处理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本项目招标代理费按照苏招协（2022）002号文件规定标准*60%计取，该费用由中标单位在领取中标通知书时一次性支付，此项费用含在投标报价中，不单独列项，由投标单位在报价时综合考虑。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15、投标函和开标一览表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18、电子投标文件的递交</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color w:val="000000"/>
          <w:sz w:val="24"/>
          <w:u w:val="single"/>
        </w:rPr>
        <w:t xml:space="preserve">投标人上传电子投标文件的时间不得迟于招标公告中规定的投标截止时间。</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20、投标文件的拒收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代理公司拒绝接收在其规定的投标截止时间后上传的任何投标文件。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21、投标文件的撤回和修改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22、开标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代理公司将在招标公告中规定的时间和地点组织公开开标。投标人应当按照《操作手册》规定，参加开标活动和在苏采云系统规定的时间内对投标文件进行解密。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22.2开标仪式由代理公司组织。苏采云系统将自动对项目进行开标，并宣布各投标人名称和投标价格。</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23、评标委员会</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开标后，代理公司将立即组织评标委员会（以下简称评委会）进行评标。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23.3评委会独立工作，负责评审所有投标文件并确定中标侯选人。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24.1凡是与审查、澄清、评价和比较投标的有关资料以及授标建议等，采购人、评委、代理公司均不得向投标人或与评标无关的其他人员透露。</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代理公司和评标委员会不向未中标的投标人解释未中标原因，也不公布评标过程中的相关细节。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25．投标文件的澄清</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投标人的澄清、说明或者补正不得超出投标文件的范围或者改变投标文件的实质性内容。评标委员会并非对每个投标人都做澄清要求。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未通过资格审查或符合性审查的投标人，代理公司将在苏采云系统中告知未通过资格审查或符合性审查的原因，评审结束后，代理公司将不再告知未通过资格审查或符合性审查的原因。</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26.7投标人在开、评标全过程中应保持通讯畅通，及时登录苏采云系统查阅、答复相关信息，并安排专人与代理公司及评标委员会联系。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28、确定中标单位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28.3代理公司将在中国政府采购网、江苏政府采购网、盐城市政府采购网</w:t>
      </w:r>
      <w:r>
        <w:rPr>
          <w:rFonts w:ascii="SimSun" w:hAnsi="SimSun" w:eastAsia="SimSun" w:cs="SimSun"/>
          <w:color w:val="000000"/>
          <w:sz w:val="24"/>
        </w:rPr>
        <w:t xml:space="preserve">发布中标公告，公告期限为1个工作日。</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28.4.2向采购人、代理公司行贿或者提供其他不正当利益的。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公司提出，由代理公司负责答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公司只接收以纸质原件形式送达的质疑,采购人和代理公司心不接受未填写快递运单的快件。质疑接收部门为江苏苏伟项目管理有限公司，联系地址：盐城市亭湖区盐马路元亨公寓3楼，联系电话：17710023336。</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32、服务（包含与服务相关的货物）的追加</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33、政府采购线上合同信用融资政策</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34、其他</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34.2本文件中若涉及到数据中心采购，应按照《&lt;绿色数据中心政府采购需求标准（试行）&gt;的通知》（财库〔2023〕7号）执行。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本项目落实预付款制度，预付款比例为30%。在签订合同时，中标、成交供应商明确书面表示无需预付款或者主动要求降低预付款比例的，采购人可就预付款比例作相应调整。</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确需收取履约保证金的，履约保证金的缴纳形式：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shd w:val="nil" w:color="auto"/>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本合同金额为（大写）：_______圆（___元）人民币或其他币种。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w:t>
      </w:r>
      <w:r/>
    </w:p>
    <w:p>
      <w:pPr>
        <w:ind w:left="21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6.3履约保证金的退还：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6.3.1方式：无息退还至投标人缴纳履约保证金的账户。如为保函，在到期时自行失效。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6.3.2时间：验收合格且采购人收到发票后30日内。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6.3.3条件：按合同要求全部履约完成并经采购人验收合格，且采购人收到中标人出具的发票。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6.3.4不予退还情形：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8.1合同签订后，采购人收到发票后10个工作日内付合同金额的30%作为预付款到合同约定的乙方账户；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8.2招标范围内所有内容竣工验收合格并满足招标人项目交接要求，采购人收到发票后10个工作日内支付至合同价的75%，同时退还履约保证金到合同约定的乙方账户；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8.3审计结束且竣工验收合格满一年，采购人收到发票后10个工作日内支付审定价的5%到合同约定的乙方账户；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8.4审计结束且竣工验收合格满两年，采购人收到发票后10个工作日内支付审定价的5%到合同约定的乙方账户；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8.5竣工验收合格满三年，采购人收到发票后10个工作日支付审定价的5%到合同约定的乙方账户；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8.6竣工验收合格满四年，采购人收到发票后10个工作日支付审定价的5%到合同约定的乙方账户；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余款待维保期满且无质量问题、设备完好交给招标人，采购人收到发票后10个工作日内付一次性付清余款到合同约定的乙方账户，如维保期间出现的相关问题产生的费用均由投标人自行承担，招标人不再另行支付相关费用。上述付款均不计利息。</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注：上述审计结束且竣工验收合格后每年的5%付款结合《维保服务要求及考核方式》中计分方式支付。即如当年考评结果=85分，则当年实际付款金额=审定价的5%（扣除当年罚款等）*90%。</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42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如在使用过程中发生质量问题，乙方在接到甲方通知后在_________小时内到达甲方现场。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十三、安全管理的行为约定，包括但不限于：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网络安全方面，擅自建立跨网跨域运维通道，违规连接公安网络，设置应用系统后面、木马等恶意程序，恶意探测扫描网络及系统，拆除破坏监管设施、程序等；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数据安全方面，违规下载、留存、使用公安数据，篡改、毁损、出售公安数据等；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13.3安全保密方面，擅自扩大与合作事项相关信息的知悉范围，不及时清除、收回离职离岗或者不再参与信息化建设人员持有的公安文档资料、数据等；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其他有害公安机关安全管理的行为。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违反安全管理行为需承担的责任，包括但不限于：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支付违约金。违反安全管理行为乙方应按付款总额的百分之十向甲方支付违约金，并直接从本项目的合同价款直接扣除；对违约金不足以弥补造成的损失的，超出部分由乙方继续承担赔偿责任；对逾期支付违约金的，应按逾期付款总额每日万分之五向甲方额外支付违约金逾期利息；乙方需承担消除负面影响产生的诉讼费、取证费、律师费等费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14.1.2采取补救措施。发生违约行为后乙方必须提交切实可行的补救措施，可以结合所提供软硬件产品及服务的类型，明确采取减少运维经费、提供替代软硬件产品等措施。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14.1.3提前解除合同。对违约行为不可整改且造成特别严重后果，参与单位拒不整改、整改后仍不符合安全管理要求，或者违约行为造成合同目的的无法实现的，甲方可单方面解除合同。</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14.1.4失信惩戒措施。对同时构成违法犯罪的违约行为，甲方有权提请将涉事参与单位及人员列入政府采购严重违法失信行为记录名单、市场监督管理严重失信名单。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14.1.5后续追偿权利。鉴于有的违约行为造成的后果较长时间才能显现，或者损失数额难以一次性确认，应当协商约定公安机关保留进一步追偿的权利。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其他违约责任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百分之十的违约金，如造成甲方损失超过违约金的，超出部分由乙方继续承担赔偿责任。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16.1甲乙双方因合同签订、履行而发生的一切争议，应通过友好协商解决。如协商不成由甲方住所地人民法院管辖。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本合同正本一式肆份，具有同等法律效力，甲方、乙方各执贰份。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Hei" w:hAnsi="SimHei" w:eastAsia="SimHei" w:cs="SimHei"/>
          <w:color w:val="000000"/>
          <w:sz w:val="44"/>
        </w:rPr>
        <w:t xml:space="preserve">第四章 采购需求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一、项目概况</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1.项目编号：JSZC-320991-JZCG-G2024-0006</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2.项目名称：盐城市公安局经济技术开发区分局盐城市公安局经济技术开发区分局智慧安防村居建设项目</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3.项目预算（最高限价）金额为：人民币294.51万元。投标报价超过最高限价的为无效报价，按照无效响应处理。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内容：盐城市公安局经济技术开发区分局盐城市公安局经济技术开发区分局智慧安防村居建设项目，主要包括（但不仅限于）相关设备及配件的供货、安装、调试、验收、技术培训、维保、售前、售后等相关伴随服务，具体技术要求详见清单，招标人保留对上述采购规模进行调整的权利。</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5.工期（供货期）：接到招标人通知后，中标人应当在60个日历天内，完成全部设备的供应、安装、调试并通过验收（中标人不得以法律规定以外事由延长工期）。</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6.质量标准：国家“合格”标准，质保期（维保）不少于5年（含软件终身升级）。并符合招标文件中技术需求、国家现行的相关规范标准及有关部门最新颁布的相应的最新标准。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7.售后服务及其他：供应商应对设备的安装、启动、运行及维护等对作业人员进行免费培训，保证作业人员能熟练操作设备。维保期间，保证24小时响应用户报修，并及时上门服务。</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二、采购清单及货物参数（该项目投标货物的参数须无偏离或正偏离，含负偏离货物将作无效投标处理）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85"/>
        <w:gridCol w:w="857"/>
        <w:gridCol w:w="4677"/>
        <w:gridCol w:w="850"/>
        <w:gridCol w:w="850"/>
        <w:gridCol w:w="1001"/>
      </w:tblGrid>
      <w:tr>
        <w:trPr>
          <w:trHeight w:val="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一、前端部分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91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智能变焦人脸抓拍相机</w:t>
              <w:br/>
              <w:t xml:space="preserve">（含安装支架，电源和平台通道授权）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采用深度学习算法，以海量图片及视频资源为路基，通过机器自身提取目标特征，形成深层可供学习的图像。极大的提升了算法的检出率;</w:t>
              <w:br/>
              <w:t xml:space="preserve">支持智能资源模式切换：人脸抓拍、道路监控、Smart事件、人数统计、热度图;</w:t>
              <w:br/>
              <w:t xml:space="preserve">人脸抓拍模式：支持对运动人脸进行检测、抓拍，最多同时检测30张，支持快速抓拍模式和优选抓拍模式;</w:t>
              <w:br/>
              <w:t xml:space="preserve">道路监控模式：a)车辆检测：支持车牌识别并抓拍，车牌号码/车身颜色/车辆类型/车辆品牌，b)混行检测：检测正向或逆向行驶的车辆以及行人和非机动车，自动对车辆牌照进行识别，可以抓拍无车牌的车辆图片;</w:t>
              <w:br/>
              <w:t xml:space="preserve">Smart事件</w:t>
            </w:r>
            <w:r>
              <w:rPr>
                <w:rFonts w:ascii="SimSun" w:hAnsi="SimSun" w:eastAsia="SimSun" w:cs="SimSun"/>
                <w:color w:val="000000"/>
                <w:sz w:val="20"/>
              </w:rPr>
              <w:t xml:space="preserve">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b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w:t>
            </w:r>
            <w:r>
              <w:rPr>
                <w:rFonts w:ascii="SimSun" w:hAnsi="SimSun" w:eastAsia="SimSun" w:cs="SimSun"/>
                <w:color w:val="000000"/>
                <w:sz w:val="20"/>
              </w:rPr>
              <w:t xml:space="preserve">并支持区域人数分析和队列状态分析展示;</w:t>
              <w:br/>
              <w:t xml:space="preserve">热度图：支持设备上报和平台查询方式获取信息，并支持上报伪彩图背景大图;</w:t>
              <w:br/>
              <w:t xml:space="preserve">鳞镜补光：采用隐藏式灯珠设计，通过鳞甲密布排列形成的镜面反射出光，见光不见灯。增加发光面积，降低聚光效果，补光柔和均匀;</w:t>
              <w:br/>
              <w:t xml:space="preserve">支持电量检测：支持设备功耗检测，支持设备功耗报表展示，报表类型支持日报表和周报表（默认日报表，单位瓦时（W·h））;</w:t>
              <w:br/>
              <w:t xml:space="preserve">Smart录像：支持断网续传功能保证录像不丢失，配合Smart NVR/SD卡实现事件录像的智能后检索、分析和浓缩播放，Smart编码：支持低码率、低延时、RO</w:t>
            </w:r>
            <w:r>
              <w:rPr>
                <w:rFonts w:ascii="SimSun" w:hAnsi="SimSun" w:eastAsia="SimSun" w:cs="SimSun"/>
                <w:color w:val="000000"/>
                <w:sz w:val="20"/>
              </w:rPr>
              <w:t xml:space="preserve">I感兴趣区域增强编码、SVC自适应编码技术，支持Smart265编码;</w:t>
              <w:br/>
              <w:t xml:space="preserve">设备内置电动变焦镜头，操作便易，变焦过程平稳;</w:t>
              <w:br/>
              <w:t xml:space="preserve">设备内置2个麦克风，内置1个扬声器;</w:t>
              <w:br/>
              <w:t xml:space="preserve">支持标准的512 GB MicroSD/MicroSDHC/MicroSDXC卡存储，支持10 M/100 M自适应网口;</w:t>
              <w:br/>
              <w:t xml:space="preserve">最高分辨率可达400万像素，并在此分辨率下可输出30 fps实时图像，图像更流畅，支持透雾、电子防抖，支持宽动态120 dB;</w:t>
              <w:br/>
              <w:t xml:space="preserve">音频：2路输入，1路输出；报警：3路输入，2路输出;</w:t>
              <w:br/>
              <w:t xml:space="preserve">支持开放型网络视频接口，GB/T28181-20</w:t>
            </w:r>
            <w:r>
              <w:rPr>
                <w:rFonts w:ascii="SimSun" w:hAnsi="SimSun" w:eastAsia="SimSun" w:cs="SimSun"/>
                <w:color w:val="000000"/>
                <w:sz w:val="20"/>
              </w:rPr>
              <w:t xml:space="preserve">16，视图库;</w:t>
              <w:br/>
              <w:t xml:space="preserve">支持三码流技术，支持同时20路取流;</w:t>
              <w:br/>
              <w:t xml:space="preserve">支持三级用户权限管理，支持授权的用户和密码，支持IP地址过滤;</w:t>
              <w:br/>
              <w:t xml:space="preserve">防护等级：IP67;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人脸抓拍，8-32mm大镜头，满足远近抓拍需求</w:t>
            </w:r>
            <w:r/>
          </w:p>
        </w:tc>
      </w:tr>
      <w:tr>
        <w:trPr>
          <w:trHeight w:val="9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全结构化云台抓拍摄像机</w:t>
              <w:br/>
              <w:t xml:space="preserve">（含安装支架，电源和平台通道授权）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采用深度学习算法，以海量图片及视频资源为路基，通过机器自身提取目标特征，形成深层可供学习的人脸图像。极大的提升了目标人脸的检出率;</w:t>
              <w:br/>
              <w:t xml:space="preserve">支持智能资源模式切换：全结构化（默认）、人脸抓拍、人脸比对、道路监控、Smart事件;</w:t>
              <w:br/>
              <w:t xml:space="preserve">全结构化模式：a)抓拍人体：支持运动方向、上衣颜色、下装颜色、性别、戴眼镜、背包、拎东西、戴帽子、戴口罩、上衣类型、下装类型、发型、骑行状态、载人状态、骑车类型等属性识别；b)抓拍人脸：支持性别、年龄、年龄段、戴眼镜、戴口罩、表情、戴帽子等属性识别；c)抓拍非机动车：支持上衣颜色、下装颜色、</w:t>
            </w:r>
            <w:r>
              <w:rPr>
                <w:rFonts w:ascii="SimSun" w:hAnsi="SimSun" w:eastAsia="SimSun" w:cs="SimSun"/>
                <w:color w:val="000000"/>
                <w:sz w:val="20"/>
              </w:rPr>
              <w:t xml:space="preserve">性别、戴眼镜、年龄段、背包、拎东西、戴帽子、上衣类型、下装类型、戴口罩、发型、非机动车类型，帽子款式等属性识别；d)抓拍机动车：支持车牌号码、车牌类型、车辆类型、车身颜色、车辆品牌等属性识别;</w:t>
              <w:br/>
              <w:t xml:space="preserve">人脸抓拍模式：a)支持对运动人脸进行检测、抓拍、评分、筛选，输出优选的人脸，b)支持人脸去误报、快速抓拍人脸，c)支持快速抓拍和优选抓拍两种模式，d)最多同时检测60张人脸，e)支持人脸去重;</w:t>
              <w:br/>
              <w:t xml:space="preserve">人脸比对模式：a)支持前端人脸比对，b)支持最多10个人脸库的管理，最多15万张人脸的导入，c)支持合计人脸库的存储空间最大</w:t>
            </w:r>
            <w:r>
              <w:rPr>
                <w:rFonts w:ascii="SimSun" w:hAnsi="SimSun" w:eastAsia="SimSun" w:cs="SimSun"/>
                <w:color w:val="000000"/>
                <w:sz w:val="20"/>
              </w:rPr>
              <w:t xml:space="preserve">3 GB，单张人脸不超过300 KB，d)支持不同人脸库不同时间布防，e)支持名单比对成功报警输出，f)支持人脸瞳距20像素以上的人脸检测，g)支持人脸快速比对，优选比对方式设置，h)最多同时检测60个目标;</w:t>
              <w:br/>
              <w:t xml:space="preserve">道路监控模式：a)车辆检测：支持车牌识别并抓拍，车牌号码/车身颜色/车辆类型/车辆品牌，b)混行检测：检测正向或逆向行驶的车辆以及行人和非机动车，自动对车辆牌照进行识别，可以抓拍无车牌的车辆图片;</w:t>
              <w:br/>
              <w:t xml:space="preserve">Smart事件模式：支持越界侦测，区域入侵侦测，进入区域侦测，离开区域侦测，徘徊侦测，人员聚集侦测，快速</w:t>
            </w:r>
            <w:r>
              <w:rPr>
                <w:rFonts w:ascii="SimSun" w:hAnsi="SimSun" w:eastAsia="SimSun" w:cs="SimSun"/>
                <w:color w:val="000000"/>
                <w:sz w:val="20"/>
              </w:rPr>
              <w:t xml:space="preserve">移动侦测，停车侦测，物品遗留侦测，物品拿取侦测，场景变更侦测，音频陡升侦测，音频陡降侦测，音频有无侦测，虚焦侦测;</w:t>
              <w:br/>
              <w:t xml:space="preserve">Smart录像：支持断网续传功能保证录像不丢失，配合Smart NVR/SD卡实现事件录像的智能后检索、分析和浓缩播放，Smart编码：支持低码率、低延时、ROI感兴趣区域增强编码、SVC自适应编码技术，支持Smart265编码;</w:t>
              <w:br/>
              <w:t xml:space="preserve">设备支持上下双通道镜头，上通道内置电动变焦镜头，操作便易，变焦过程平稳，最高分辨率可达2560 × 1440 @25 fps，图像更流畅，支持透雾、电子防抖，支持宽</w:t>
            </w:r>
            <w:r>
              <w:rPr>
                <w:rFonts w:ascii="SimSun" w:hAnsi="SimSun" w:eastAsia="SimSun" w:cs="SimSun"/>
                <w:color w:val="000000"/>
                <w:sz w:val="20"/>
              </w:rPr>
              <w:t xml:space="preserve">动态120 dB；下通道定焦全彩镜头，满足低照度下的监控需求;</w:t>
              <w:br/>
              <w:t xml:space="preserve">设备支持双通道PT控制功能：细节通道水平方向支持0-355°旋转，垂直方向支持-15°-30°旋转；全景通道垂直方向支持-5°-15°旋转。支持全景采集通道和细节采集通道互为180°夹角监控;</w:t>
              <w:br/>
              <w:t xml:space="preserve">支持五码流技术，支持同时20路取流;</w:t>
              <w:br/>
              <w:t xml:space="preserve">支持开放型网络视频接口，GB/T28181-2016，E-HOME2.0/4.0接入，视图库;</w:t>
              <w:br/>
              <w:t xml:space="preserve">鳞镜补光：采用隐藏式灯珠设计，通过鳞甲密布排列形成的镜面反射出光，见光不见灯。增加发光面积，降低聚光效果，补光柔和均匀;</w:t>
            </w:r>
            <w:r>
              <w:rPr>
                <w:rFonts w:ascii="SimSun" w:hAnsi="SimSun" w:eastAsia="SimSun" w:cs="SimSun"/>
                <w:color w:val="000000"/>
                <w:sz w:val="20"/>
              </w:rPr>
              <w:br/>
              <w:t xml:space="preserve">支持电量检测：支持设备功耗检测，支持设备功耗报表展示，报表类型支持日报表和周报表（默认日报表，单位瓦时（W·h））;</w:t>
              <w:br/>
              <w:t xml:space="preserve">支持三级用户权限管理，支持授权的用户和密码，支持IP地址过滤，支持GB35114安全加密;</w:t>
              <w:br/>
              <w:t xml:space="preserve">支持标准的256 GB MicroSD/MicroSDHC/MicroSDXC卡存储，支持10 M/100 M/1000 M自适应网口;</w:t>
              <w:br/>
              <w:t xml:space="preserve">音频：标配2个内置麦克风，1个内置扬声器，支持2路输入，1路输出;</w:t>
              <w:br/>
              <w:t xml:space="preserve">报警：3路输入，2路输出（报警输入支持开关量，报警输出最大支持DC12 V，30 mA）;</w:t>
              <w:br/>
              <w:t xml:space="preserve">防</w:t>
            </w:r>
            <w:r>
              <w:rPr>
                <w:rFonts w:ascii="SimSun" w:hAnsi="SimSun" w:eastAsia="SimSun" w:cs="SimSun"/>
                <w:color w:val="000000"/>
                <w:sz w:val="20"/>
              </w:rPr>
              <w:t xml:space="preserve">护等级：IP67;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人车同拍，带云台，有全景画面，细节可调试。效果好</w:t>
            </w:r>
            <w:r/>
          </w:p>
        </w:tc>
      </w:tr>
      <w:tr>
        <w:trPr>
          <w:trHeight w:val="7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多目全结构化抓拍摄像机</w:t>
              <w:br/>
              <w:t xml:space="preserve">（含安装支架，电源和平台通道授权）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采用深度学习算法，以海量图片及视频资源为路基，通过机器自身提取目标特征，形成深层可供学习的目标图像，极大的提升了目标的检出率。;</w:t>
              <w:br/>
              <w:t xml:space="preserve">全结构化模式：a)抓拍人脸：支持性别、年龄、年龄段、戴眼镜、戴口罩、表情、戴帽子等9种属性识别；b)抓拍人体：支持运动方向、上衣颜色、下装颜色、性别、年龄段、戴眼镜、背包、拎东西、戴帽子、戴口罩、发型、上衣类型、下装类型等13种属性识别；c)抓拍非机动车：支持非机动车牌识别并抓拍，支持非机动车类型、骑车类型、骑车人数、戴头盔、性别、戴眼镜、年龄段、背包、拎东西、发型 、上衣颜色、</w:t>
            </w:r>
            <w:r>
              <w:rPr>
                <w:rFonts w:ascii="SimSun" w:hAnsi="SimSun" w:eastAsia="SimSun" w:cs="SimSun"/>
                <w:color w:val="000000"/>
                <w:sz w:val="20"/>
              </w:rPr>
              <w:t xml:space="preserve">下衣颜色、上衣类型、下装类型；d)抓拍机动车：支持车牌识别并抓拍，支持车身颜色、车型识别、车辆行驶方向、车牌颜色、车牌类型等属性识别;</w:t>
              <w:br/>
              <w:t xml:space="preserve">道路监控模式：a)车辆检测：支持车牌识别并抓拍，车牌号码/车身颜色/车辆类型/车辆品牌 b)混行检测：检测正向或逆向行驶的车辆以及行人和非机动车，自动对车辆牌照进行识别，可以抓拍无车牌的车辆图片;</w:t>
              <w:br/>
              <w:t xml:space="preserve">Smart事件模式： 支持越界侦测，区域入侵侦测，进入/离开区域侦测，徘徊侦测，人员聚集侦测，快速运动侦测，停车侦测，物品遗留/拿取侦测;</w:t>
              <w:br/>
              <w:t xml:space="preserve"> 内置微云台功能：支持远程电动调节，水</w:t>
            </w:r>
            <w:r>
              <w:rPr>
                <w:rFonts w:ascii="SimSun" w:hAnsi="SimSun" w:eastAsia="SimSun" w:cs="SimSun"/>
                <w:color w:val="000000"/>
                <w:sz w:val="20"/>
              </w:rPr>
              <w:t xml:space="preserve">平最大调节范围0°~180°，垂直最大调节范围-5°~30°;</w:t>
              <w:br/>
              <w:t xml:space="preserve"> 图像相关：最高分辨率可达400万像素（2560 × 1440），并在此分辨率下可输出30 fps实时图像;</w:t>
              <w:br/>
              <w:t xml:space="preserve">系统功能：开放型网络视频接口，GB28181-2016，视图库，GB35114;</w:t>
              <w:br/>
              <w:t xml:space="preserve">接口功能：音频：2路音频输入，1路音频输出，报警：3路报警输入，2路报警输出，电源输出：1路电源输出;</w:t>
              <w:br/>
              <w:t xml:space="preserve">安全服务：支持三级用户权限管理，支持授权的用户和密码，支持IP地址过滤；支持GB35114安全加密;</w:t>
              <w:br/>
              <w:t xml:space="preserve">防护：IP67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全结构化抓拍，双镜头，可同时抓拍多个角度，可以一个路口抓拍两个方向</w:t>
            </w:r>
            <w:r/>
          </w:p>
        </w:tc>
      </w:tr>
      <w:tr>
        <w:trPr>
          <w:trHeight w:val="4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全景结构化球机</w:t>
              <w:br/>
              <w:t xml:space="preserve">（含安装支架，电源和平台通道授权）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600万拼接全彩枪球一体机;</w:t>
              <w:br/>
              <w:t xml:space="preserve">全景采用2个F1.0大光圈全彩镜头，可输出190°大场景拼接画面;</w:t>
              <w:br/>
              <w:t xml:space="preserve">支持多种智能资源切换：【全景】人员密度检测，Smart事件；【细节】全抓拍、道路监控、Smart事件;</w:t>
              <w:br/>
              <w:t xml:space="preserve">支持AR功能，摄像机的实时视频画面中添加最多500个AR标签，且可实现标签与标签联动的功能;</w:t>
              <w:br/>
              <w:t xml:space="preserve">适用于城市道路、路口、路段、广场、操场、服务区、停车场、景区、江面、湖面等;</w:t>
              <w:br/>
              <w:t xml:space="preserve">Smart事件：支持全景路对设定区域进行布防，当检测到目标时联动细节摄像机对目标进行跟踪及报警，实现周界布防，全景Smart事件检测距离5</w:t>
            </w:r>
            <w:r>
              <w:rPr>
                <w:rFonts w:ascii="SimSun" w:hAnsi="SimSun" w:eastAsia="SimSun" w:cs="SimSun"/>
                <w:color w:val="000000"/>
                <w:sz w:val="20"/>
              </w:rPr>
              <w:t xml:space="preserve">0米;</w:t>
              <w:br/>
              <w:t xml:space="preserve">支持声光警戒，报警联动白光闪烁报警和声音报警，声音内容可选;</w:t>
              <w:br/>
              <w:t xml:space="preserve">人员密度检测：全景支持人员密度检测功能，输出实时人数概况及拥堵等级，可根据人数和占空比配置密度等级;</w:t>
              <w:br/>
              <w:t xml:space="preserve">全抓拍：细节支持人、非机动车、车辆混行检测，可同时对人、非机动车、车辆进行抓拍并可对车牌识别提取;</w:t>
              <w:br/>
              <w:t xml:space="preserve">道路监控：细节支持车辆检测（支持车牌识别，车型/车身颜色/车牌颜色识别）和混行检测;</w:t>
              <w:br/>
              <w:t xml:space="preserve">支持点击全景画面联动特写镜头，手动跟踪运动目标;</w:t>
              <w:br/>
              <w:t xml:space="preserve">支持GB35114安全加密;</w:t>
              <w:br/>
              <w:br/>
              <w:t xml:space="preserve">传感器类型：【全景】1/1.8＂ progressive scan CM</w:t>
            </w:r>
            <w:r>
              <w:rPr>
                <w:rFonts w:ascii="SimSun" w:hAnsi="SimSun" w:eastAsia="SimSun" w:cs="SimSun"/>
                <w:color w:val="000000"/>
                <w:sz w:val="20"/>
              </w:rPr>
              <w:t xml:space="preserve">OS,【细节】1/1.8＂ progressive scan CMOS</w:t>
              <w:br/>
              <w:t xml:space="preserve"> 最低照度：【全景】彩色 0.0005Lux @ (F1.4，AGC ON)，黑白0.0001Lux @(F1.4，AGC ON)， 0Lux with IR；【细节】彩色 0.0005Lux @ (F1.3，AGC ON)，黑白0.0001Lux @(F1.3，AGC ON)， 0Lux with IR；</w:t>
              <w:br/>
              <w:t xml:space="preserve"> 变倍：数字变倍：【全景】不支持；【细节】16倍</w:t>
              <w:br/>
              <w:t xml:space="preserve">光学变倍：【细节】25倍 </w:t>
              <w:br/>
              <w:t xml:space="preserve">焦距：【全景】2.8mm；【细节】6.0~150mm</w:t>
            </w:r>
            <w:r>
              <w:rPr>
                <w:rFonts w:ascii="SimSun" w:hAnsi="SimSun" w:eastAsia="SimSun" w:cs="SimSun"/>
                <w:color w:val="000000"/>
                <w:sz w:val="20"/>
              </w:rPr>
              <w:br/>
              <w:t xml:space="preserve"> 视场角：【全景】水平190°±5°，垂直80°±5°；【细节】58.5°~3° </w:t>
              <w:br/>
              <w:t xml:space="preserve">白光照射距离：30 m</w:t>
              <w:br/>
              <w:t xml:space="preserve"> 补光灯距离：【全景】30米；【细节】200米</w:t>
              <w:br/>
              <w:t xml:space="preserve"> 防补光过曝：支持 </w:t>
              <w:br/>
              <w:t xml:space="preserve">水平范围：【全景】不支持；【细节】0-360° </w:t>
              <w:br/>
              <w:t xml:space="preserve"> 垂直范围：【全景】12°~24°；【细节】-20-90°</w:t>
              <w:br/>
              <w:t xml:space="preserve"> 水平速度：【全景】不支持；【细节】水平键控速度：0.1°-160°/s,速度可设;水平预置点速度：240°/s </w:t>
              <w:br/>
              <w:t xml:space="preserve"> 垂直速度：【全景】垂直键控速度可设；【细节】垂直键控速度：0.1°-120°/s,速度可设;垂直预置点速</w:t>
            </w:r>
            <w:r>
              <w:rPr>
                <w:rFonts w:ascii="SimSun" w:hAnsi="SimSun" w:eastAsia="SimSun" w:cs="SimSun"/>
                <w:color w:val="000000"/>
                <w:sz w:val="20"/>
              </w:rPr>
              <w:t xml:space="preserve">度：200°/s </w:t>
              <w:br/>
              <w:t xml:space="preserve">主码流帧率分辨率：【全景】</w:t>
              <w:br/>
              <w:t xml:space="preserve">50 Hz：25 fps（3680 × 1656，3632 × 1632）；60 Hz：30 fps（3680 × 1656，3632 × 1632）</w:t>
              <w:br/>
              <w:t xml:space="preserve">【细节】</w:t>
              <w:br/>
              <w:t xml:space="preserve">50 Hz：25 fps（2560 × 1440，1920 × 1080，1280 × 960，1280 × 720）</w:t>
              <w:br/>
              <w:t xml:space="preserve">60 Hz：30 fps（2560 × 1440，1920 × 1080，1280 × 960，1280 × 720）</w:t>
              <w:br/>
              <w:t xml:space="preserve"> 视频压缩标准：H.265,H.264,MJPEG </w:t>
              <w:br/>
              <w:t xml:space="preserve">宽动态：</w:t>
            </w:r>
            <w:r>
              <w:rPr>
                <w:rFonts w:ascii="SimSun" w:hAnsi="SimSun" w:eastAsia="SimSun" w:cs="SimSun"/>
                <w:color w:val="000000"/>
                <w:sz w:val="20"/>
              </w:rPr>
              <w:t xml:space="preserve">【全景】数字宽动态；【细节】120dB超宽动态 </w:t>
              <w:br/>
              <w:t xml:space="preserve">网络接口：支持100 M网络数据，RJ45网口，自适应网络数据</w:t>
              <w:br/>
              <w:t xml:space="preserve"> SD卡扩展：内置Micro SD卡插槽,支持Micro SD/Micro SDHC/Micro SDXC卡,最大支持256G</w:t>
              <w:br/>
              <w:t xml:space="preserve"> 报警：7路报警输入</w:t>
              <w:br/>
              <w:t xml:space="preserve"> 报警输出：2路报警输出</w:t>
              <w:br/>
              <w:t xml:space="preserve"> 音频：1路音频输入，音频峰值：2-2.4V[p-p]，输入阻抗：1 kΩ±10%</w:t>
              <w:br/>
              <w:t xml:space="preserve"> 音频输出：1路音频输出，线性电平，阻抗:600Ω</w:t>
              <w:br/>
              <w:t xml:space="preserve"> RS-485：采用半双工模式</w:t>
              <w:br/>
              <w:t xml:space="preserve"> 恢复出厂设置：支持 </w:t>
              <w:br/>
              <w:t xml:space="preserve"> 除雾：支持</w:t>
              <w:br/>
              <w:t xml:space="preserve">防护：IP67;</w:t>
            </w:r>
            <w:r>
              <w:rPr>
                <w:rFonts w:ascii="SimSun" w:hAnsi="SimSun" w:eastAsia="SimSun" w:cs="SimSun"/>
                <w:color w:val="000000"/>
                <w:sz w:val="20"/>
              </w:rPr>
              <w:t xml:space="preserve"> 6000V防雷、防浪涌、防突波，符合GB/T17626.2/3/4/5/6四级标准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190度全景全结构化球机</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900W卡口相机</w:t>
              <w:br/>
              <w:t xml:space="preserve">（含安装支架，电源和平台通道授权）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卡口抓拍单元由防护罩组件及高清智能摄像机组成，抓拍单元防护罩前面板具有防尘、防水功能，单元内置LED暖光灯，单元支持网络防雷、防浪涌，宽温宽压等；</w:t>
              <w:br/>
              <w:t xml:space="preserve">内置摄像机采用1英寸高帧率全局曝光CMOS传感器，分辨率可达4096 × 2160，帧率高达25帧，具有清晰度高、照度低、帧率高、色彩还原度好等特点；</w:t>
              <w:br/>
              <w:t xml:space="preserve">视频采用H.265、H.264或MJPEG编码，低延时，低码率，压缩比高，处理灵活；</w:t>
              <w:br/>
              <w:t xml:space="preserve">支持视频触发等多种触发模式并实现全结构化：支持深度学习算法，支持多目标混合场景应用，实时提取机动车、非机动车、行人、目标等目标</w:t>
            </w:r>
            <w:r>
              <w:rPr>
                <w:rFonts w:ascii="SimSun" w:hAnsi="SimSun" w:eastAsia="SimSun" w:cs="SimSun"/>
                <w:color w:val="000000"/>
                <w:sz w:val="20"/>
              </w:rPr>
              <w:t xml:space="preserve">全结构化信息，为大数据业务提供全方位的特征数据基础；</w:t>
              <w:br/>
              <w:t xml:space="preserve">支持机动车的车牌，车身颜色，车型，子品牌，驾驶室人员等特征检测，支持机动车的过车记录和违章行为检测抓拍；</w:t>
              <w:br/>
              <w:t xml:space="preserve">支持非机动车和行人的抓拍和特征检测；</w:t>
              <w:br/>
              <w:t xml:space="preserve">支持车辆检测处理器、雷达、补光灯的接入；</w:t>
              <w:br/>
              <w:t xml:space="preserve">使用闪光灯补光时，抓拍图片可看清司乘人员目标；</w:t>
              <w:br/>
              <w:t xml:space="preserve">支持远程数据上传，GB/T 28181-2016视频联网标准、GA/T 1400视图库标准、FTP协议，可将抓拍的图片上传给终端服务器、FTP服务器或者后端平台；</w:t>
              <w:br/>
              <w:t xml:space="preserve">可支持TF插卡本地存储，可支持至256G，抓拍图片可断网续传</w:t>
            </w:r>
            <w:r>
              <w:rPr>
                <w:rFonts w:ascii="SimSun" w:hAnsi="SimSun" w:eastAsia="SimSun" w:cs="SimSun"/>
                <w:color w:val="000000"/>
                <w:sz w:val="20"/>
              </w:rPr>
              <w:t xml:space="preserve">；</w:t>
              <w:br/>
              <w:t xml:space="preserve">基础功能</w:t>
              <w:br/>
              <w:t xml:space="preserve">视频分辨率：4096(H) × 2160(V)</w:t>
              <w:br/>
              <w:t xml:space="preserve">帧率：25fps</w:t>
              <w:br/>
              <w:t xml:space="preserve">图像控制：曝光速度、AGC控制、白平衡方式控制等</w:t>
              <w:br/>
              <w:t xml:space="preserve">压缩输出码率：32 Kbps~16 Mbps</w:t>
              <w:br/>
              <w:t xml:space="preserve">镜头规格：50mm</w:t>
              <w:br/>
              <w:t xml:space="preserve">抓拍图片分辨率：4096(H) × 2160(V)</w:t>
              <w:br/>
              <w:t xml:space="preserve">视频压缩标准：H.264, H.265, MJPEG</w:t>
              <w:br/>
              <w:t xml:space="preserve">抓拍图片格式：JPEG</w:t>
              <w:br/>
              <w:t xml:space="preserve">存储功能：TF, USB</w:t>
              <w:br/>
              <w:t xml:space="preserve">光圈类型：手动光圈</w:t>
              <w:br/>
              <w:t xml:space="preserve">多码流：支持3码流：</w:t>
              <w:br/>
              <w:t xml:space="preserve">主码流：4096*2160（默认）；</w:t>
              <w:br/>
              <w:t xml:space="preserve">子码流：1920*1080P（默认）；</w:t>
              <w:br/>
              <w:t xml:space="preserve">三码流：704*576（默认）</w:t>
              <w:br/>
              <w:t xml:space="preserve">传感器类</w:t>
            </w:r>
            <w:r>
              <w:rPr>
                <w:rFonts w:ascii="SimSun" w:hAnsi="SimSun" w:eastAsia="SimSun" w:cs="SimSun"/>
                <w:color w:val="000000"/>
                <w:sz w:val="20"/>
              </w:rPr>
              <w:t xml:space="preserve">型：1” Global shutter CMOS</w:t>
              <w:br/>
              <w:t xml:space="preserve">支持协议：GB/T 28181-2016视频联网标准，GA/T 1400视图库标准，SDK，FTP协议等</w:t>
              <w:br/>
              <w:t xml:space="preserve">接口</w:t>
              <w:br/>
              <w:t xml:space="preserve">同步输入：SYNC信号灯电源同步输入</w:t>
              <w:br/>
              <w:t xml:space="preserve">触发输出：7路F+/F-输出接口，可作为补光灯同步输出控制</w:t>
              <w:br/>
              <w:t xml:space="preserve">触发输入：1个触发/报警输入</w:t>
              <w:br/>
              <w:t xml:space="preserve">通讯接口：3个RS-485接口，1个RS-232接口；2个RJ45 10M/100M/1000M自适应以太网口</w:t>
              <w:br/>
              <w:t xml:space="preserve">智能功能</w:t>
              <w:br/>
              <w:t xml:space="preserve">非机动车：车型识别、特征识别</w:t>
              <w:br/>
              <w:t xml:space="preserve">机动车：车牌识别：民用车牌，新能源车牌；</w:t>
              <w:br/>
              <w:t xml:space="preserve">车身颜色识别：白、灰、黄、红</w:t>
            </w:r>
            <w:r>
              <w:rPr>
                <w:rFonts w:ascii="SimSun" w:hAnsi="SimSun" w:eastAsia="SimSun" w:cs="SimSun"/>
                <w:color w:val="000000"/>
                <w:sz w:val="20"/>
              </w:rPr>
              <w:t xml:space="preserve">、紫、绿、蓝、棕、黑；</w:t>
              <w:br/>
              <w:t xml:space="preserve">车型识别：大客车、中型客车、大货车、小货车、面包车、皮卡、轿车、SUV/MPV、二轮车、三轮车；</w:t>
              <w:br/>
              <w:t xml:space="preserve">车辆品牌，子品牌识别</w:t>
              <w:br/>
              <w:t xml:space="preserve">违章检测：超速、压车道线、违章变道、未系安全带、未戴头盔、非机动车载人、不礼让行人、逆行、低速、机动车闯禁令、打电话、占用机动车道、摩托车闯禁令、加塞等违法行为</w:t>
              <w:br/>
              <w:t xml:space="preserve">行人：人体识别、目标识别、特征识别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代替卡口的抓拍相机，无需爆闪灯人，大镜头</w:t>
            </w:r>
            <w:r/>
          </w:p>
        </w:tc>
      </w:tr>
      <w:tr>
        <w:trPr>
          <w:trHeight w:val="2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多合一补光灯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铝合金灯体，鳍片式散热结构，</w:t>
              <w:br/>
              <w:t xml:space="preserve">采用24颗优质高亮度LED芯片，</w:t>
              <w:br/>
              <w:t xml:space="preserve"> 气体灯管采用氙气灯管</w:t>
              <w:br/>
              <w:t xml:space="preserve">气体光源回电时间小于67ms，支持超速连拍</w:t>
              <w:br/>
              <w:t xml:space="preserve">气体补光控制具有峰值抑制功能 </w:t>
              <w:br/>
              <w:t xml:space="preserve">支持LED灯频闪、爆闪，气体爆闪 </w:t>
              <w:br/>
              <w:t xml:space="preserve">支持相机误触发保护功能，触发信号输入异常时自动保护、且自动恢复</w:t>
              <w:br/>
              <w:t xml:space="preserve">结构采用IP65设计，增加透气孔，保持内外压强均衡，防水、防尘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常亮补光灯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大功率暖光LED</w:t>
              <w:br/>
              <w:t xml:space="preserve">发光角度40°</w:t>
              <w:br/>
              <w:t xml:space="preserve">补光距离16米~26米</w:t>
              <w:br/>
              <w:t xml:space="preserve">响应时间小于20us</w:t>
              <w:br/>
              <w:t xml:space="preserve">支持环境亮度检测，低照度下自动开启 </w:t>
              <w:br/>
              <w:t xml:space="preserve">一般规范</w:t>
              <w:br/>
              <w:t xml:space="preserve">工作温度：温度-30℃~70℃</w:t>
              <w:br/>
              <w:t xml:space="preserve">电源：220VAC±10%</w:t>
              <w:br/>
              <w:t xml:space="preserve">功耗：不大于35W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常亮灯</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杆件及基础3.5米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立杆高3.5米，挑臂1-3米（壁厚≥4mm），整杆热镀锌处理，表面喷塑处理，含基础及接地。详见设计图纸。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杆件及基础6.5米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立杆高6.5米，挑臂2-5米（壁厚≥4mm），整杆热镀锌处理，表面喷塑处理，含基础及接地。详见设计图纸。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1、箱体尺寸≥500*400*300mm，板材厚度≥1.2mm，冷轧钢板镀锌喷塑，配导轨，5位接地铜排；</w:t>
              <w:br/>
              <w:t xml:space="preserve">2、防水、防锈、防晒设计，工作电压范围不低于AC110～AC260V，防护等级≥IP65；</w:t>
              <w:br/>
              <w:t xml:space="preserve">3、配装1个16A空开、1个10A自动重合闸、1个温控风扇、不少于4个10A交流空开、1个电源引入防雷模块，可根据实际情况增加配置，满足使用需求；</w:t>
              <w:br/>
              <w:t xml:space="preserve">4、箱体两侧配红蓝警灯。</w:t>
              <w:br/>
              <w:t xml:space="preserve">5、定制LOGO，式样经业主招标人确认后采购施工。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二、传输部分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光纤收发器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千兆SFP光纤收发器，LC口单模双纤1SFP+1GE，传输距离不低于20公里含光纤模块，后端须配备机框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单模千兆光模块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SFP-GE-LX-SM1310，双芯LC口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汇聚交换机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≥24个千兆光口，≥4个电口，≥2个万兆光口，支持可热插拔冗余双电源；</w:t>
              <w:br/>
              <w:t xml:space="preserve">交换容量≥700Gbps，包转发率≥300Mpps；</w:t>
              <w:br/>
              <w:t xml:space="preserve">支持IPv4和IPv6的三层路由功能，支持静态路由、RIP、OSPF、BGP，支持的OSPF路由条目数≥12k；</w:t>
              <w:br/>
              <w:t xml:space="preserve">含光模块，光纤尾纤，须能与光纤收发器兼容使用。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传输光纤建设及维护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独享光纤（摄像机端光纤传输设备至机房端光纤传输设备之间的光纤租用，一个点位为一条线路，所有线路点对点传输到开发区分局指定机房。含光缆等材料费用和使用期间的维护、检修费用），各点传输必须通过裸光纤方式传输，途中不得经过任何数据处理设备。可通过自行建设形式或租赁形式建设，单点光纤资源不少于2芯。五年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三、后台机房部分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人脸图片流解析许可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单路人脸图片流解析接入许可                                                                                                                                                                                         1、针对人脸结构属性包括：年龄（儿童、少年、青年、中年、老年）、性别（男、女）、眼镜（戴眼镜、不戴眼镜）、有关民族、</w:t>
            </w:r>
            <w:r>
              <w:rPr>
                <w:rFonts w:ascii="SimSun" w:hAnsi="SimSun" w:eastAsia="SimSun" w:cs="SimSun"/>
                <w:color w:val="000000"/>
                <w:sz w:val="20"/>
              </w:rPr>
              <w:t xml:space="preserve">帽子（带帽、不戴帽）、口罩（有口罩、无口罩）、打电话（打电话、不在打电话）、发型（长发、短发、光头）。</w:t>
              <w:br/>
              <w:t xml:space="preserve">2、人像库建库：系统可以对40*40像素以上，眼间距30像素以上的人像照片进行建库；支持jpg、jpeg、png、gif、bmp照片格式；支持zip、rar、tar、winzip、winrar压缩文件上传；支持对多类目录、多层目录自动搜索照片；建库成功率100%。</w:t>
              <w:br/>
              <w:t xml:space="preserve">3、单人图片的人脸检出率不低于99.99%。</w:t>
              <w:br/>
              <w:t xml:space="preserve">4、同画面人脸抓拍：同一画面人脸数大于50人、人脸大于40像素×40像素条件下，人脸抓拍率大于9</w:t>
            </w:r>
            <w:r>
              <w:rPr>
                <w:rFonts w:ascii="SimSun" w:hAnsi="SimSun" w:eastAsia="SimSun" w:cs="SimSun"/>
                <w:color w:val="000000"/>
                <w:sz w:val="20"/>
              </w:rPr>
              <w:t xml:space="preserve">9%，人脸识别准确率大于99%。</w:t>
              <w:br/>
              <w:t xml:space="preserve">5、人像感知系统，必须考虑到与现有人脸识别平台的关系，与现有人像系统上无缝对接，与市局人像感知平台能够实现级联，满足使用需求。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NTP校时服务器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(晶振+BD +NTP+1*1路IPPS+RS485×5+光口×4+1000Mbps×4×2)/1U </w:t>
              <w:br/>
              <w:t xml:space="preserve">支持北斗、上级NTP；（选配支持CDMA校时） </w:t>
              <w:br/>
              <w:t xml:space="preserve">支持多网域校时 </w:t>
              <w:br/>
              <w:t xml:space="preserve">支持双机热备、级联方案 </w:t>
              <w:br/>
              <w:t xml:space="preserve">处理器：嵌入式ARM处理器 </w:t>
              <w:br/>
              <w:t xml:space="preserve">同步精度：卫星同步精度&lt;20ns </w:t>
              <w:br/>
              <w:t xml:space="preserve">存储：512M </w:t>
              <w:br/>
              <w:t xml:space="preserve">守时精度：≤28us </w:t>
              <w:br/>
              <w:t xml:space="preserve">跟踪通道数：32 </w:t>
              <w:br/>
              <w:t xml:space="preserve">捕获通道数：128 </w:t>
              <w:br/>
              <w:t xml:space="preserve">冷启动捕获灵敏度：-148dBm </w:t>
              <w:br/>
              <w:t xml:space="preserve">热启动捕获灵敏度：-156dBm </w:t>
              <w:br/>
              <w:t xml:space="preserve">热启动时间＜2min；冷启动时间＜20min </w:t>
              <w:br/>
              <w:t xml:space="preserve">授时容量： 10000次/每秒（单千兆网口）</w:t>
            </w:r>
            <w:r>
              <w:rPr>
                <w:rFonts w:ascii="SimSun" w:hAnsi="SimSun" w:eastAsia="SimSun" w:cs="SimSun"/>
                <w:color w:val="000000"/>
                <w:sz w:val="20"/>
              </w:rPr>
              <w:t xml:space="preserve"> </w:t>
              <w:br/>
              <w:t xml:space="preserve">授时精度：≤5us  </w:t>
              <w:br/>
              <w:t xml:space="preserve">授时频段：北斗: 1561.098±2.046MHz </w:t>
              <w:br/>
              <w:t xml:space="preserve">接口（4个可插拔模块化输出卡） </w:t>
              <w:br/>
              <w:t xml:space="preserve">NTP输出卡1（RJ45）：NTP1~NTP4，支持端口、双卡绑定 </w:t>
              <w:br/>
              <w:t xml:space="preserve">NTP输出卡2（RJ45）：NTP5~NTP8，支持端口、双卡绑定 </w:t>
              <w:br/>
              <w:t xml:space="preserve">光输出卡1（ST）：1-4路 </w:t>
              <w:br/>
              <w:t xml:space="preserve">RS422/485输出卡1：1-5路  </w:t>
              <w:br/>
              <w:t xml:space="preserve">网络管理端口（RJ45）：管理口 </w:t>
              <w:br/>
              <w:t xml:space="preserve">NTP输入端口（RJ45）:NTP INP </w:t>
              <w:br/>
              <w:t xml:space="preserve">PPS授时端口（SMA）：1PPS </w:t>
              <w:br/>
              <w:t xml:space="preserve">10M授时端口（SMA）：10MHZ </w:t>
              <w:br/>
              <w:t xml:space="preserve">串行管理端口（RS2</w:t>
            </w:r>
            <w:r>
              <w:rPr>
                <w:rFonts w:ascii="SimSun" w:hAnsi="SimSun" w:eastAsia="SimSun" w:cs="SimSun"/>
                <w:color w:val="000000"/>
                <w:sz w:val="20"/>
              </w:rPr>
              <w:t xml:space="preserve">32）：串口 </w:t>
              <w:br/>
              <w:t xml:space="preserve">1路BD线接口 （支持选配2路） </w:t>
              <w:br/>
              <w:t xml:space="preserve">电源电压：90-240V/55Hz±8Hz 65w（1+1冗余电源） </w:t>
              <w:br/>
              <w:t xml:space="preserve">工作温度：晶振：-10° C- +60° C； </w:t>
              <w:br/>
              <w:t xml:space="preserve">机箱尺寸：483*300*44mm (1U机架式设备) </w:t>
              <w:br/>
              <w:t xml:space="preserve">重量： 4 KG </w:t>
              <w:br/>
              <w:t xml:space="preserve">软件功能： </w:t>
              <w:br/>
              <w:t xml:space="preserve">支持web管理、设备级联、双机热备、双卡绑定、用户列表、告警等功能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NTP 天馈包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用于NTP时钟接收GPS/BD信号的天馈包。天馈包包括1套GPS/BD授时天线接收器（蘑菇头）、60米RG58成品馈线、1套安装套件、1套防雷包组成。 </w:t>
              <w:br/>
              <w:t xml:space="preserve">天线材质：介质陶瓷 </w:t>
              <w:br/>
              <w:t xml:space="preserve">天线罩材质：ABS </w:t>
              <w:br/>
              <w:t xml:space="preserve">工作温度：-40℃~+80℃ </w:t>
              <w:br/>
              <w:t xml:space="preserve">相对湿度：Up to 90% </w:t>
              <w:br/>
              <w:t xml:space="preserve">防护等级：IP67 </w:t>
              <w:br/>
              <w:t xml:space="preserve">接口方式：入室侧BNC公头 </w:t>
              <w:br/>
              <w:t xml:space="preserve">配套材料： </w:t>
              <w:br/>
              <w:t xml:space="preserve">60米转BNC公射频电缆； </w:t>
              <w:br/>
              <w:t xml:space="preserve">安装套件1副； </w:t>
              <w:br/>
              <w:t xml:space="preserve">射频同轴天馈防雷器1个，尺寸51.5*24.8mm； </w:t>
              <w:br/>
              <w:t xml:space="preserve">3米BNC公转BNC公跳线； </w:t>
              <w:br/>
              <w:t xml:space="preserve">黄绿接地线1根；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16"/>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图片存储（内置不少于200T企业级存储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U机架式24盘位，64位多核处理器；16GB缓存；冗余电源；24块8T的企业级IoT硬盘；6个千兆网口；1个系统SSD盘，支持网络RAID，支持视音频、图片、直接写入，支持视频高速预览、回放、下载，支持云内容灾备份，支持一体化运维，支持GB/T28181-2011、Onvif、RTSP、H265、SVAC等标准视频协议。系统同时提供多副本、Erasure Code数据保护机制，其中Erasure Code安全级别可支持设置44+4，安全级别可在线动态修改，系统根据当前节点状态使用相应的容错算法。支持数据冗</w:t>
            </w:r>
            <w:r>
              <w:rPr>
                <w:rFonts w:ascii="SimSun" w:hAnsi="SimSun" w:eastAsia="SimSun" w:cs="SimSun"/>
                <w:color w:val="000000"/>
                <w:sz w:val="20"/>
              </w:rPr>
              <w:t xml:space="preserve">余N+M模式下，当损坏节点数量超过M台（或数据块超过M）时，系统内的正常存储节点不少于1台，业务仍可持续写入，且存留的视频数据仍可进行回放，回放数据无马赛克。当故障存储或者硬盘上线后，损坏数据可自动恢复支持查看硬盘体检报告、硬盘深度体检和磁盘档案；支持下载单个硬盘或批量硬盘的报告，支持按时间显示硬盘的坏扇区、温度、振动变化趋势的曲线图；支持硬盘体检报告打印输出；支持查看硬盘体检的历史记录、硬盘健康状态，并对硬盘健康状态进行分级分类，包括健康（良好、正常）、亚健康（警告、即将损坏）、故障（错误、损坏）等；可对</w:t>
            </w:r>
            <w:r>
              <w:rPr>
                <w:rFonts w:ascii="SimSun" w:hAnsi="SimSun" w:eastAsia="SimSun" w:cs="SimSun"/>
                <w:color w:val="000000"/>
                <w:sz w:val="20"/>
              </w:rPr>
              <w:t xml:space="preserve">系统中的磁盘进行周期性体检、对有风险的磁盘做深度体检，并给出处理意见，对有损坏风险的磁盘，可使用RAID技术进行数据处理； 支持磁盘故障预测，通过对硬盘SMART信息进行周期性检测，监测会导致硬盘故障的关键指标，通过分析关键指标的变化趋势实现硬盘故障预测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重点部位3个月，常用点位1个月 大图6个月，小图12个月，数据3年，云存储</w:t>
              <w:br/>
              <w:t xml:space="preserve">额外准备20%系统冗余</w:t>
            </w:r>
            <w:r/>
          </w:p>
        </w:tc>
      </w:tr>
      <w:tr>
        <w:trPr>
          <w:trHeight w:val="6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视频存储（内置不少于800T企业级存储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U机架式48盘位；双路64位多核处理器；32GB缓存（可扩展256G）；支持SATA硬盘；6个千兆网口；冗余电源；支持网络RAID；内置2颗SSD图片加速盘；一套云存储系统，同时提供7类数据存储服务，15种存储协议，构建统一数据湖。存储服务包含：流式存储-视频存储（GB/T 28181、RTSP、Onvif）、流式存储-图片存储（GA/T 1400.4、REST）、NAS文件存储（NFS、CIFS、FTP）、对象存储（S3、OSS）、块存储（iSCSI，FC）、大数据存储（HDFS）、结构化数据存储(RE</w:t>
            </w:r>
            <w:r>
              <w:rPr>
                <w:rFonts w:ascii="SimSun" w:hAnsi="SimSun" w:eastAsia="SimSun" w:cs="SimSun"/>
                <w:color w:val="000000"/>
                <w:sz w:val="20"/>
              </w:rPr>
              <w:t xml:space="preserve">ST、原生ElasticSearch http接口协议)；同时系统支持HDFS文件数据存储服务，支持大数据组件MapReduce、Hive、Spark、Flink、ElasticSearch、Hbase接入，HDFS数据存储可同时提供多副本、Erasure Code数据保护机制；支持Cinder插件，为第三方云计算提供云硬盘服务；支持CSI容器存储接口标准，通过标准NFS、iscsi协议兼容容器编排平台，CSI（容器存储接口）插件将块存储资源、文件存储资源作为持久化数据服务提供给容器应用。支持多协议间数据互</w:t>
            </w:r>
            <w:r>
              <w:rPr>
                <w:rFonts w:ascii="SimSun" w:hAnsi="SimSun" w:eastAsia="SimSun" w:cs="SimSun"/>
                <w:color w:val="000000"/>
                <w:sz w:val="20"/>
              </w:rPr>
              <w:t xml:space="preserve">通(以对象协议上传的数据通过NAS协议提取，支持以NAS协议上传的数据通过对象协议获取)支持超融合架构服务模式，利用云原生架构与容器技术，将设备内的计算、网络、存储资源进行虚拟化，对外可同时提供虚拟机、容器、流式存储-视频存储（GB/T 28181、RTSP、Onvif）、流式存储-图片存储（GA/T 1400.4）、NAS文件存储（NFS、CIFS、FTP）、对象存储（S3、OSS）、块存储（iSCSI，FC）、大数据存储（HDFS）、结构化数据存储(REST、原生ElasticSearch http接口</w:t>
            </w:r>
            <w:r>
              <w:rPr>
                <w:rFonts w:ascii="SimSun" w:hAnsi="SimSun" w:eastAsia="SimSun" w:cs="SimSun"/>
                <w:color w:val="000000"/>
                <w:sz w:val="20"/>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单制冷空调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壁挂式，不小于2匹，单制冷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联网视频传输终端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新一代核心技术自主、搭载HarmonyOS、依托高算力硬件平台架构的超高清视频会议终端。</w:t>
              <w:br/>
              <w:t xml:space="preserve">支持ITU-T H.323、IETF SIP协议</w:t>
              <w:br/>
              <w:t xml:space="preserve">支持H.265、H.264 HP、H.264 BP、H.263、H.263+视频编码协议</w:t>
              <w:br/>
              <w:t xml:space="preserve">活动图像分辨率：</w:t>
              <w:br/>
              <w:t xml:space="preserve">1080P30、720P60，720P30</w:t>
              <w:br/>
              <w:t xml:space="preserve">活动双流：</w:t>
              <w:br/>
              <w:t xml:space="preserve">1080P60 + 1080P60</w:t>
              <w:br/>
              <w:t xml:space="preserve">1080P30 + 1080P30</w:t>
              <w:br/>
              <w:t xml:space="preserve">视频输入接口：1 x HT-RX、2 × HDMI</w:t>
              <w:br/>
              <w:t xml:space="preserve">视频输出接口：2× HDMI</w:t>
              <w:br/>
              <w:t xml:space="preserve">音频输入接口：1 × HD-AI、1 × 卡农头、</w:t>
              <w:br/>
              <w:t xml:space="preserve">2</w:t>
            </w:r>
            <w:r>
              <w:rPr>
                <w:rFonts w:ascii="SimSun" w:hAnsi="SimSun" w:eastAsia="SimSun" w:cs="SimSun"/>
                <w:color w:val="000000"/>
                <w:sz w:val="20"/>
              </w:rPr>
              <w:t xml:space="preserve">× HDMI（音频输入）、2 × RCA</w:t>
              <w:br/>
              <w:t xml:space="preserve">音频输出接口：4 × RCA、1 × HDMI（音频输出）</w:t>
              <w:br/>
              <w:t xml:space="preserve">无线互联(内置Wi-Fi)，接入IdeaShare高清无线辅流</w:t>
              <w:br/>
              <w:t xml:space="preserve">最大30%视频抗丢包能力，80%音频抗丢包能力</w:t>
              <w:br/>
              <w:t xml:space="preserve">支持AAC-LD双声道宽频语音和Opus</w:t>
              <w:br/>
              <w:t xml:space="preserve">独有的回声抵消和噪声抑制技术，提供高保真语音效果</w:t>
              <w:br/>
              <w:t xml:space="preserve">标配一体化10.1英寸触控Touch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8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采集控制终端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主机+显示器,CPU类型:国产海光3000系列,CPU型号:海光3250,主频( GHZ )2.8GHz,核心数:8,内存容量:8GB,固态硬盘容量256GB,机械硬盘容量:1TB,主板:中科可控自研主板,网卡:板载单口千兆网卡，支持扩展,显卡类型:独立显卡,光类型:DVDRW,显示器分辨率1920*1080.屏幕尺寸:23.8寸,操作系统:正式版麒麟操作系统或正式版统信操作系统,,配件:键盘,鼠标,音箱，质保服务:原厂整机免费上门保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接线手井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净空间400mm*400mm*400mm式样经业主招标人确认后施工。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扎带、电工胶带、网络水晶头、膨胀螺栓、强弱电线缆等本项目所需一切辅材，施工单位自行勘探现场，深化设计经业主认可后方可施工，此项抱死价，中标后不做调整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施工恢复及管路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涉及监控等安装所需路面、绿化破坏的恢复费用及管路，投标人根据所采用的的施工工艺自行测算费用。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取电、用电费用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现场接电，在接电过程中涉及的所有费用（含开户、部分挂表、管道、线缆、架杆等），</w:t>
              <w:br/>
              <w:t xml:space="preserve">必须满足验收要求，由投标人自行现场踏勘考虑实际情况并综合报价，5年服务期。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三、综合说明及其它要求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1.投标人投标前可以与招标人联系，进行现场勘察，充分了解本项目招标人采购需求及有关事宜。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2.投标人拟提供的设备技术参数不得低于招标参数要求，所投设备必须明确所响应产品的品牌、型号、规格及一些必须说明的技术参数（自制品要求有详细的技术参数的说明），否则投标将被拒绝。</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3.所供商品（货物采购及服务响应时提供的货物）均为原厂正宗原配产品（包括在标配基础上增加的配件也必须为原厂原配）。</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4.上述技术要求中未明确的，须符合国家现行规范标准要求。投标人必须承诺响应招标文件中提出的全部技术规格与要求，如果其中某些条款不响应时，应在文件中逐条列出。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必须在响应文件中提供完整、详细、合理、真实的项目实施方案、施工计划、人员安排和施工进度表。必须承诺采购文件中提出的全部要求，如果其中某些条款不响应时，应在投标文件中逐条列出，未列出的视同响应。</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采购清单等仅供参考，如有不满足项目整体正常运行的，请各投标人在投标时自行考虑，中标后中标人须确保项目整体正常运行。此部分费用请各投标人包含在投标综合单价当中。招标人不再另行增加费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7.投标人须保证所供货物、服务或其任何一部分等不受第三方提出侵犯其专利权、商标权、版权和工业设计权的指控。因专利权引起的相关事宜由投标单位自行负责解决，与采购方无关。</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8.中标人负责项目所有设备的供货及安装过程中所需的工程辅料等，所有费用均含在投标报价中。</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由于招标内容中对部分采购商品要求（需求）不详细，请各投标人在投标时必须补充说明其详细型号规格配置质保（需求）等。如不作明确说明，评标委员会可认定其所报配置型号（需求）为可能存在情况的最高标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10.投标人中标后需及时与招标人联系采购货物具体情况，所供货物及相关服务需满足招标人要求。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为保证产品质量，投标人中标后需向招标人提供符合国家规定验收标准的相关产品质量合格证书、质保书、检测报告等相关资料。如中标人弄虚作假，未能提供产品相关资料，招标人有权拒收产品，取消中标人中标资格并报招标主管部门通报，并追究责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四、工期要求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到招标人通知后，中标人应当在60个日历天内竣工（合同工期以承包人承诺工期为准）。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3.本项目实施过程中，所有矛盾均由中标人自行解决，由此产生的相关费用自行承担。因此类问题延误工期的，按照工期违约进行处理。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五、项目组要求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2.项目实行施工通报制度，招标人定期向中标人总经理办公室通报一次工程施工质量、施工管理、施工进度、施工安全等情况，中标人需在接到招标人通报后一周内，以书面方式反馈招标人。</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3.项目实施期间，中标人不得转包、分包，一经发现，招标人有权终止合同。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并且招标人有权处中标人不少于5000元/人的扣除，在当年度合同价款中予以扣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1.中标人按照国家、省、市、区规定的标准和招标规定的标准执行。</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5.中标人应按招标文件规定的货物性能、技术要求、质量标准向招标人提供未经使用的全新产品。 </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6.中标人提供的货物在质保期内因货物本身的质量问题发生故障，中标人应负责免费更换。</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7.对达不到技术要求者，根据实际情况，经双方协商，可按以下办法处理：⑴更换：由中标人承担所发生的全部费用。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8.在质保期内，中标人应对货物出现的质量及安全问题负责处理解决并承担一切费用。</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验收通过后，须每日进行网上巡检，每三日上路巡检一次，以确认所有设备及系统工作正常（中标人须对所有设备清洁保养，本项目验收合格后视频图像周平均在线率须达到96%以上，每次检查每低1%扣除5000元，每低2%扣除10000元，以此类推。前三年内每半年至少清洁保养一次、后两年每季度至少清洁保养一次，确保镜头清洁率不低于99%，如发生镜头未清洁或影响使用的，每次每个镜头扣除500元），并做好记录形成台账，每缺少一次，扣除500元；在接到招标人的故障通知后的30分钟内响应，2小时到达现场处理问题，直至故障</w:t>
      </w:r>
      <w:r>
        <w:rPr>
          <w:rFonts w:ascii="SimSun" w:hAnsi="SimSun" w:eastAsia="SimSun" w:cs="SimSun"/>
          <w:color w:val="000000"/>
          <w:sz w:val="24"/>
        </w:rPr>
        <w:t xml:space="preserve">排除设备完全恢复正常使用为止，系统需12小时内恢复运行，不能响应的每次扣除1000元；无特殊情况下，所有维修要求必须在48小时内完全得到解决；若不能在48小时内修复的，每次扣除1000元。因设备服务等问题，影响招标人工作的，每次扣除5000元；影响重特大案事件取证的，招标人有权全额没收履约保证金（约定性赔偿）并终止合同（视为中标人服务不能本质上满足招标人的招标需求）。一个月内同一设备出现三次及以上故障的，中标人须无条件更换成全新的设备，相关费用由中标人自行承担。因产品质量问题，导致出现重大数据安全事故的，中</w:t>
      </w:r>
      <w:r>
        <w:rPr>
          <w:rFonts w:ascii="SimSun" w:hAnsi="SimSun" w:eastAsia="SimSun" w:cs="SimSun"/>
          <w:color w:val="000000"/>
          <w:sz w:val="24"/>
        </w:rPr>
        <w:t xml:space="preserve">标人及产品厂家同时承担安全法律责任。</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大型会议、重大活动期间中标人须确保设备正常运行，涉及到的重要设备中标人须提供备用设备确保活动正常进行，并增派技术保障团队参与现场维护。中标人如不响应招标人要求的或造成重大影响的，每次扣除10000元。</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七、驻场服务要求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标人必须提供不少于5年免费维保服务，实行7*24小时响应。中标人必须配备不少于2名维保人员驻场服务，另外有1名具有数据机房管理维护经验技术人员支撑。维保人员须经招标人面试同意后方可驻场，驻场时间同步盐城市公安局经济技术开发区分局日常勤务时间。技术人员须及时响应招标人服务需求，响应到达时间、服务质量等列入日常考核管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2.驻场人员办公设备由中标人自行提供，招标人提供办公场地。</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驻场人员须在竣工验收合格后一周内进场，如未按招标人要求配备相应人员或人员未及时进场的，招标人按250元/人/日历天进行扣除，在当年度合同价款中予以扣减；配备的人员须参与招标人日常考核，如中标人未经招标人同意擅自更换配备人员或驻场时间不满足招标人要求或不服从招标人日常管理的，招标人每通报一次，扣除2000元，在当年度合同价款中予以扣减。经招标人多次通报仍不整改的，招标人保留合同余款酌情扣减的权利。具体考核内容详见附件《维保服务要求及考核方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八、报价要求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包括（不限于）完成该项工作所需的设备、材料及软件【设备（包括主设备、配套设备、附件等）、材料、备品备件、专用工具、技术资料等】采购费、生产费、设计优化费、包装费、运杂费（含运输费）、装卸费、现有网络的整合、有线（裸光纤接入）网络通信传输、调试（含试运行）费、保修费、保险费、配合费、安装费等费用】、接电材料、施工及相关费用、机械投入费（含吊装费）、安全防护措施费、相关单位及人员配合协调费用、地方矛盾解决费用、技术（含操作、维护等）培训、运行、维护、保密及售后服务费、后续使用时的电费、管理费、利润、</w:t>
      </w:r>
      <w:r>
        <w:rPr>
          <w:rFonts w:ascii="SimSun" w:hAnsi="SimSun" w:eastAsia="SimSun" w:cs="SimSun"/>
          <w:color w:val="000000"/>
          <w:sz w:val="24"/>
        </w:rPr>
        <w:t xml:space="preserve">规费、税金（开具符合招标人要求的发票）、中标服务费（招标代理费）、不可预见费及其他相关所有费用，各类风险和政策性调整等风险已包括在投标报价的综合单价中。</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固定全费用综合单价（即将所有费用均摊销至各综合单价中），报综合单价和总价。工程结算时，工程量按实结算，除设计变更或招标人调整项目内容或合同约定调整外，一律不调整中标综合单价。本项目因扩容、利旧原有光纤链路而产生的所有费用（含设备、材料费）均由投标人在投标报价中综合考虑、不单独报价，招标人不再另外单独支付此项费用。投标人应充分了解和考虑可能存在的风险因素，不得以不了解或预先未知晓事项提出不合理变更和增项。</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3.投标人应按招标清单的内容填写设备综合单价、合价、总价，并由投标人法定代表人或委托代理人签署。投标人必须填写齐全《采购清单报价表》中所列全部设备的价格，并作为项目最终结算的依据。</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4.招标人不接受任何选择报价，对每一种设备只允许有一个报价。</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5.如出现不合理的报价，经评标委员会评审其报价明显高于其市场价或低于其企业成本的，均可作废标处理。</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九、建设要求：详见清单。</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十、结算方式</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1.合同签订后，采购人收到发票后10个工作日内付合同金额的30%作为预付款；</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2.招标范围内所有内容竣工验收合格并满足招标人项目交接要求，采购人收到发票后10个工作日内支付至合同价的75%，同时退还履约保证金；</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3.审计结束且竣工验收合格满一年，采购人收到发票后10个工作日内支付审定价的5%；</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4.审计结束且竣工验收合格满两年，采购人收到发票后10个工作日内支付审定价的5%；</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5.竣工验收合格满三年，采购人收到发票后10个工作日支付审定价的5%；</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6.竣工验收合格满四年，采购人收到发票后10个工作日支付审定价的5%；</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余款待维保期满且无质量问题、设备完好交给招标人，采购人收到发票后10个工作日内付一次性付清余款，如维保期间出现的相关问题产生的费用均由投标人自行承担，招标人不再另行支付相关费用。上述付款均不计利息。</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注：上述审计结束且竣工验收合格后每年的5%付款结合《维保服务要求及考核方式》中计分方式支付。即如当年考评结果=85分，则当年实际付款金额=审定价的5%（扣除当年罚款等）*90%。</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十、其他要求</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1.由于公安工作的特殊性的要求，在重大保卫活动和节假日期间，中标人需根据招标人要求统一安排维护值班力量，加派维护人员实行全程跟踪管理，进行全面保障，随时解决可能出现的突发问题。</w:t>
      </w:r>
      <w:r/>
    </w:p>
    <w:p>
      <w:pPr>
        <w:ind w:left="0" w:right="0" w:firstLine="4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2.涉及到第三方破坏的，中标人自行追责解决问题，招标人予以协助，不再增加费用。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b/>
          <w:color w:val="000000"/>
          <w:sz w:val="24"/>
        </w:rPr>
        <w:t xml:space="preserve">评标办法：综合评分法。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总得分最高的即为中标候选人。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推荐的中标候选人数：1名。</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（一）小微企业优惠情况：</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（1）本项目对小型和微型企业产品最后价格给予20%的扣除，用扣除后的价格参与评审。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如项目为工程类或服务类，施工单位/服务全部由符合政策要求的小微企业承接，对其总报价给予20%的扣除，用扣除后的价格参与价格评审。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（2）供应商须按照采购文件要求提供相应的《企业声明函》（格式附后），不提供声明函或有弄虚作假的，将依法承担相应责任。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（4）以上规定未尽事项，按《政府采购促进中小企业发展管理办法》 （财库【2020】46号）等有关制度规定执行。</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（二）残疾人福利单位价格扣除</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（三）监狱和戒毒企业价格扣除</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color w:val="000000"/>
          <w:sz w:val="24"/>
        </w:rPr>
        <w:t xml:space="preserve">残疾人福利单位、监狱企业属于小型、微型企业的，不重复享受政策。</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ascii="SimSun" w:hAnsi="SimSun" w:eastAsia="SimSun" w:cs="SimSun"/>
          <w:color w:val="000000"/>
          <w:sz w:val="24"/>
        </w:rPr>
        <w:t xml:space="preserve">节能产品、环境标志产品。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供应商对于投标产品的商品包装、快递包装应按照“财办库〔2020〕123号《关于印发《商品包装政府采购需求标准（试行）》、《快递包装政府采购需求标准（试行）》的通知》”执行。</w:t>
      </w:r>
      <w:r/>
    </w:p>
    <w:p>
      <w:pPr>
        <w:ind w:left="0" w:right="0" w:firstLine="480"/>
        <w:spacing w:before="240" w:after="240" w:line="47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本文件中若涉及到数据中心采购，应按照《&lt;绿色数据中心政府采购需求标准（试行）&gt;的通知》（财库〔2023〕7号）执行。</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b/>
          <w:color w:val="000000"/>
          <w:sz w:val="24"/>
        </w:rPr>
        <w:t xml:space="preserve">（八）</w:t>
      </w:r>
      <w:r>
        <w:rPr>
          <w:rFonts w:ascii="SimSun" w:hAnsi="SimSun" w:eastAsia="SimSun" w:cs="SimSun"/>
          <w:color w:val="000000"/>
          <w:sz w:val="24"/>
        </w:rPr>
        <w:t xml:space="preserve">根据《江苏省政府采购信用管理暂行办法》的规定，供应商信用评价结果为三星的扣2分，评价结果为二星的扣3分，评价结果为一星的扣4分。</w:t>
      </w:r>
      <w:r/>
    </w:p>
    <w:p>
      <w:pPr>
        <w:ind w:left="0" w:right="0" w:firstLine="482"/>
        <w:jc w:val="both"/>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三、评分标准（总分值为</w:t>
      </w:r>
      <w:r>
        <w:rPr>
          <w:rFonts w:ascii="Calibri" w:hAnsi="Calibri" w:eastAsia="Calibri" w:cs="Calibri"/>
          <w:b/>
          <w:color w:val="000000"/>
          <w:sz w:val="24"/>
        </w:rPr>
        <w:t xml:space="preserve">100</w:t>
      </w:r>
      <w:r>
        <w:rPr>
          <w:rFonts w:ascii="SimSun" w:hAnsi="SimSun" w:eastAsia="SimSun" w:cs="SimSun"/>
          <w:b/>
          <w:color w:val="000000"/>
          <w:sz w:val="24"/>
        </w:rPr>
        <w:t xml:space="preserve">分）</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2"/>
        <w:gridCol w:w="933"/>
        <w:gridCol w:w="1199"/>
        <w:gridCol w:w="6212"/>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详细评审标准</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2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满足招标文件实质性要求且投标价格的最低报价为评标基准价，其价格分为满分。其他投标人的价格得分按照下列公式计算。投标报价得分=(评标基准价/投标报价)×30（计算结果保留2位小数，第三位四舍五入）。</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环保</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认证证书复印件的，有1个得1分，最多得2分。如投标产品均属于政府强制采购节能产品品目清单范围内，本项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2、投标产品属于财政部、生态环境部公布的“环境标志产品品目清单”范围内的，投标人提供国家确定的认证机构出具的、处于有效期内的该环保产品认证证书复印件的，有1个得1分，最多得2分。</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评标委员会对投标人的实施方案进行评审，以0.1分为一个记分单位,依据本工程的评标规则进行计分、汇总。实施方案一般必须具备如下内容：</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按照现场踏勘情况提出和本项目相吻合的技术方案，以满足本工程的完整性高、实用性强、操作容易、结构合理、先进性的要求，以确保系统安全、准时、快速高效运营；施工组织总体设想、主要施工方法及施工段划分（评分区间4-5）；</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2）对设计文件的优化，提出合理化建议（评分区间3-4）；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4）材料采购及其产品的品牌、质量性能的保证措施（评分区间3-4）；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5）工程质量及其目标的实现、安全文明施工的保证措施（评分区间3-4）；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6）关键施工技术、工艺及施工重点、难点和解决方案（评分区间3-4）；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7）施工项目组人员配备、素质及管理经验（按无标志要求，不得泄露人员姓名等内容）（评分区间3-4）；</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8）施工现场平面布置和临时设施、临时道路布置（评分区间2-3）；</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9）投入本工程的主要施工机械设备情况及进场计划（评分区间2-3）；</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10）季节性施工、已有设施的保护、现场成品及半成品保护措施等特殊情况下的施工措施（评分区间2-3）；</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11）现场成品及半成品保护措施（评分区间2-3）；</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投标文件售后服务方案，包括售后服务保证措施和解决问题的能力、在项目所在地有履行合同相关专业服务机构及人员配置情况、对故障的接受工作制度和机制，售后服务的响应时间、排除故障时间，备品备件方案，质保期外的服务内容及收费标准等情况进行经横向比较（评分区间4-5）。</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注：上述各项内容投标人技术方案未体现的，该项不得分。</w:t>
            </w:r>
            <w:r/>
          </w:p>
        </w:tc>
      </w:tr>
      <w:tr>
        <w:trPr>
          <w:trHeight w:val="1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、项目负责人具有工程类高级职称的，得</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、项目组成员中具有系统集成项目管理工程师证书、</w:t>
            </w:r>
            <w:r>
              <w:rPr>
                <w:rFonts w:ascii="Times New Roman" w:hAnsi="Times New Roman" w:eastAsia="Times New Roman" w:cs="Times New Roman"/>
                <w:color w:val="000000"/>
                <w:sz w:val="24"/>
                <w:highlight w:val="white"/>
              </w:rPr>
              <w:t xml:space="preserve">PMP</w:t>
            </w:r>
            <w:r>
              <w:rPr>
                <w:rFonts w:ascii="SimSun" w:hAnsi="SimSun" w:eastAsia="SimSun" w:cs="SimSun"/>
                <w:color w:val="000000"/>
                <w:sz w:val="24"/>
                <w:highlight w:val="white"/>
              </w:rPr>
              <w:t xml:space="preserve">证书、网络工程师证书、注册安全工程师证书、</w:t>
            </w:r>
            <w:r>
              <w:rPr>
                <w:rFonts w:ascii="Times New Roman" w:hAnsi="Times New Roman" w:eastAsia="Times New Roman" w:cs="Times New Roman"/>
                <w:color w:val="000000"/>
                <w:sz w:val="24"/>
                <w:highlight w:val="white"/>
              </w:rPr>
              <w:t xml:space="preserve">CISP</w:t>
            </w:r>
            <w:r>
              <w:rPr>
                <w:rFonts w:ascii="SimSun" w:hAnsi="SimSun" w:eastAsia="SimSun" w:cs="SimSun"/>
                <w:color w:val="000000"/>
                <w:sz w:val="24"/>
                <w:highlight w:val="white"/>
              </w:rPr>
              <w:t xml:space="preserve">国家注册信息专家认证工程师证书，每有</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个类型的证书得</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分，最高得</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、本项目质保期（维保）为</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年，投标人承诺免费质保期（维保）在</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年基础上每增加</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个月加</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分，最多加</w:t>
            </w: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分。未承诺的本项不得分。以质保函或承诺函为计分依据。</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、投标人承诺中标后在项目质保（维保）期间安排</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名维保人员在盐城市公安局经济技术开发区分局驻场服务的，得基本分</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分，每增加一人加</w:t>
            </w:r>
            <w:r>
              <w:rPr>
                <w:rFonts w:ascii="Times New Roman" w:hAnsi="Times New Roman" w:eastAsia="Times New Roman" w:cs="Times New Roman"/>
                <w:color w:val="000000"/>
                <w:sz w:val="24"/>
                <w:highlight w:val="white"/>
              </w:rPr>
              <w:t xml:space="preserve">0.5</w:t>
            </w:r>
            <w:r>
              <w:rPr>
                <w:rFonts w:ascii="SimSun" w:hAnsi="SimSun" w:eastAsia="SimSun" w:cs="SimSun"/>
                <w:color w:val="000000"/>
                <w:sz w:val="24"/>
                <w:highlight w:val="white"/>
              </w:rPr>
              <w:t xml:space="preserve">分，最多加</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分。承诺不全或未承诺的本项不得分。</w:t>
            </w:r>
            <w:r/>
          </w:p>
        </w:tc>
      </w:tr>
      <w:tr>
        <w:trPr>
          <w:trHeight w:val="3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2"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自2021年1月1日以来（以合同注明时间为准）投标人承接过智慧小区或智慧社区等类似项目业绩的，每有一个加2分，最多加6分。</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上述业绩（包含但不限于）中包含人像识别系统建设的(软件或硬件），加2分；本项最多加2分，如业绩合同不能体现上述指标要求的，以业绩建设单位出具的证明材料为准。以业绩合同为计分依据。</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注：1、投标人所属法人单位本身或投标人所属法人单位各分公司业绩均属认可范围。2、同一招标人同一项目多次发包的，其有效投标业绩为1个。</w:t>
            </w:r>
            <w:r/>
          </w:p>
        </w:tc>
      </w:tr>
      <w:tr>
        <w:trPr>
          <w:trHeight w:val="84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7"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本表评分内容“综合实力、类似业绩”中所涉及要求提供的得分材料，各投标人须按要求将所有材料扫描件放进电子投标文件中。</w:t>
            </w:r>
            <w:r/>
          </w:p>
        </w:tc>
      </w:tr>
    </w:tbl>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1"/>
        <w:gridCol w:w="3291"/>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center"/>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rPr>
          <w:bCs w:val="0"/>
          <w:i w:val="0"/>
        </w:rPr>
        <w:pBdr>
          <w:top w:val="none" w:color="000000" w:sz="4" w:space="0"/>
          <w:left w:val="none" w:color="000000" w:sz="4" w:space="0"/>
          <w:bottom w:val="none" w:color="000000" w:sz="4" w:space="0"/>
          <w:right w:val="none" w:color="000000" w:sz="4" w:space="0"/>
        </w:pBdr>
      </w:pPr>
      <w:r>
        <w:rPr>
          <w:rFonts w:ascii="Calibri" w:hAnsi="Calibri" w:eastAsia="Calibri" w:cs="Calibri"/>
          <w:i w:val="0"/>
          <w:iCs w:val="0"/>
          <w:color w:val="000000"/>
          <w:sz w:val="24"/>
        </w:rPr>
        <w:t xml:space="preserve"> </w:t>
      </w:r>
      <w:r>
        <w:rPr>
          <w:i w:val="0"/>
          <w:iCs w:val="0"/>
        </w:rPr>
      </w:r>
      <w:r/>
    </w:p>
    <w:p>
      <w:pPr>
        <w:ind w:left="480" w:right="0" w:firstLine="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一、法人或者其他组织的营业执照等证明文件，自然人的身份证明</w:t>
      </w:r>
      <w:r>
        <w:rPr>
          <w:i w:val="0"/>
          <w:iCs w:val="0"/>
        </w:rPr>
      </w:r>
      <w:r/>
    </w:p>
    <w:p>
      <w:pPr>
        <w:ind w:left="0" w:right="0" w:firstLine="480"/>
        <w:spacing w:before="0" w:after="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二、上一年度的财务状况报表（至少提供资产负债表、利润表、现金流量表，</w:t>
      </w:r>
      <w:r>
        <w:rPr>
          <w:i w:val="0"/>
          <w:iCs w:val="0"/>
        </w:rPr>
      </w:r>
      <w:r/>
    </w:p>
    <w:p>
      <w:pPr>
        <w:ind w:left="480" w:right="0" w:firstLine="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投标人成立不满一年无需提供）</w:t>
      </w:r>
      <w:r>
        <w:rPr>
          <w:i w:val="0"/>
          <w:iCs w:val="0"/>
        </w:rPr>
      </w:r>
      <w:r/>
    </w:p>
    <w:p>
      <w:pPr>
        <w:ind w:left="480" w:right="0" w:firstLine="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三、具备履行合同所必需的设备和专业技术能力的书面声明</w:t>
      </w:r>
      <w:r>
        <w:rPr>
          <w:i w:val="0"/>
          <w:iCs w:val="0"/>
        </w:rPr>
      </w:r>
      <w:r/>
    </w:p>
    <w:p>
      <w:pPr>
        <w:ind w:left="480" w:right="0" w:firstLine="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i w:val="0"/>
          <w:iCs w:val="0"/>
        </w:rPr>
      </w:r>
      <w:r/>
    </w:p>
    <w:p>
      <w:pPr>
        <w:ind w:left="0" w:right="0" w:firstLine="48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五、参加政府采购活动前 3 年内在经营活动中没有重大违法记录的书面声明</w:t>
      </w:r>
      <w:r>
        <w:rPr>
          <w:i w:val="0"/>
          <w:iCs w:val="0"/>
        </w:rPr>
      </w:r>
      <w:r/>
    </w:p>
    <w:p>
      <w:pPr>
        <w:ind w:left="0" w:right="0" w:firstLine="48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六、特定资格要求的证明文件（如果本项目设置特定资格要求，则需要提供）</w:t>
      </w:r>
      <w:r>
        <w:rPr>
          <w:i w:val="0"/>
          <w:iCs w:val="0"/>
        </w:rPr>
      </w:r>
      <w:r/>
    </w:p>
    <w:p>
      <w:pPr>
        <w:ind w:left="0" w:right="0" w:firstLine="48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七、法人授权书</w:t>
      </w:r>
      <w:r>
        <w:rPr>
          <w:i w:val="0"/>
          <w:iCs w:val="0"/>
        </w:rPr>
      </w:r>
      <w:r/>
    </w:p>
    <w:p>
      <w:pPr>
        <w:ind w:left="0" w:right="0" w:firstLine="480"/>
        <w:jc w:val="both"/>
        <w:spacing w:before="240" w:after="24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u w:val="single"/>
        </w:rPr>
        <w:t xml:space="preserve">八、投标函</w:t>
      </w:r>
      <w:r>
        <w:rPr>
          <w:i w:val="0"/>
          <w:iCs w:val="0"/>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十五、技术方案、综合实力、类似业绩等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rPr>
          <w:rFonts w:ascii="Calibri" w:hAnsi="Calibri" w:eastAsia="Calibri" w:cs="Calibri"/>
          <w:sz w:val="24"/>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44"/>
        </w:rPr>
        <w:t xml:space="preserve"> 声  明</w:t>
      </w:r>
      <w:r>
        <w:rPr>
          <w:rFonts w:ascii="Calibri" w:hAnsi="Calibri" w:eastAsia="Calibri" w:cs="Calibri"/>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致：盐城市公安局经济技术开发区分局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根据贵方的JSZC-320991-</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21"/>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九、小微企业声明函（货物）</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本公司（联合体）郑重声明，根据《政府采购促进中小企业发展管理办法》(财库[2020]46号)的规定，本公司（联合体）参加盐城市公安局经济技术开发区分局组织的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820"/>
        <w:gridCol w:w="678"/>
        <w:gridCol w:w="936"/>
        <w:gridCol w:w="573"/>
        <w:gridCol w:w="686"/>
        <w:gridCol w:w="540"/>
        <w:gridCol w:w="912"/>
        <w:gridCol w:w="8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后续使用时的电费、税金、国际国内运输保险、报关清关、开证、办理全套免税手续费用及其他有关的为完成本项目发生的所有费用，招标文件中另有规定的除外。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2591"/>
        <w:gridCol w:w="2204"/>
        <w:gridCol w:w="1116"/>
        <w:gridCol w:w="9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2591"/>
        <w:gridCol w:w="2204"/>
        <w:gridCol w:w="1116"/>
        <w:gridCol w:w="9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8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8"/>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SimSun" w:hAnsi="SimSun" w:eastAsia="SimSun" w:cs="SimSun"/>
          <w:color w:val="000000"/>
          <w:sz w:val="32"/>
        </w:rPr>
        <w:t xml:space="preserve">十五、技术方案、综合实力、类似业绩等</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ahoma">
    <w:panose1 w:val="020B0604030504040204"/>
  </w:font>
  <w:font w:name="Calibri">
    <w:panose1 w:val="020F0502020204030204"/>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fldSimple w:instr="PAGE \* MERGEFORMAT">
      <w:r>
        <w:t xml:space="preserve">1</w:t>
      </w:r>
    </w:fldSimple>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3"/>
    <w:next w:val="823"/>
    <w:link w:val="651"/>
    <w:uiPriority w:val="9"/>
    <w:qFormat/>
    <w:pPr>
      <w:keepLines/>
      <w:keepNext/>
      <w:spacing w:before="480" w:after="200"/>
      <w:outlineLvl w:val="0"/>
    </w:pPr>
    <w:rPr>
      <w:rFonts w:ascii="Arial" w:hAnsi="Arial" w:eastAsia="Arial" w:cs="Arial"/>
      <w:sz w:val="40"/>
      <w:szCs w:val="40"/>
    </w:rPr>
  </w:style>
  <w:style w:type="character" w:styleId="651">
    <w:name w:val="Heading 1 Char"/>
    <w:basedOn w:val="826"/>
    <w:link w:val="650"/>
    <w:uiPriority w:val="9"/>
    <w:rPr>
      <w:rFonts w:ascii="Arial" w:hAnsi="Arial" w:eastAsia="Arial" w:cs="Arial"/>
      <w:sz w:val="40"/>
      <w:szCs w:val="40"/>
    </w:rPr>
  </w:style>
  <w:style w:type="character" w:styleId="652">
    <w:name w:val="Heading 2 Char"/>
    <w:basedOn w:val="826"/>
    <w:link w:val="824"/>
    <w:uiPriority w:val="9"/>
    <w:rPr>
      <w:rFonts w:ascii="Arial" w:hAnsi="Arial" w:eastAsia="Arial" w:cs="Arial"/>
      <w:sz w:val="34"/>
    </w:rPr>
  </w:style>
  <w:style w:type="character" w:styleId="653">
    <w:name w:val="Heading 3 Char"/>
    <w:basedOn w:val="826"/>
    <w:link w:val="825"/>
    <w:uiPriority w:val="9"/>
    <w:rPr>
      <w:rFonts w:ascii="Arial" w:hAnsi="Arial" w:eastAsia="Arial" w:cs="Arial"/>
      <w:sz w:val="30"/>
      <w:szCs w:val="30"/>
    </w:rPr>
  </w:style>
  <w:style w:type="paragraph" w:styleId="654">
    <w:name w:val="Heading 4"/>
    <w:basedOn w:val="823"/>
    <w:next w:val="823"/>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basedOn w:val="826"/>
    <w:link w:val="654"/>
    <w:uiPriority w:val="9"/>
    <w:rPr>
      <w:rFonts w:ascii="Arial" w:hAnsi="Arial" w:eastAsia="Arial" w:cs="Arial"/>
      <w:b/>
      <w:bCs/>
      <w:sz w:val="26"/>
      <w:szCs w:val="26"/>
    </w:rPr>
  </w:style>
  <w:style w:type="paragraph" w:styleId="656">
    <w:name w:val="Heading 5"/>
    <w:basedOn w:val="823"/>
    <w:next w:val="823"/>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basedOn w:val="826"/>
    <w:link w:val="656"/>
    <w:uiPriority w:val="9"/>
    <w:rPr>
      <w:rFonts w:ascii="Arial" w:hAnsi="Arial" w:eastAsia="Arial" w:cs="Arial"/>
      <w:b/>
      <w:bCs/>
      <w:sz w:val="24"/>
      <w:szCs w:val="24"/>
    </w:rPr>
  </w:style>
  <w:style w:type="paragraph" w:styleId="658">
    <w:name w:val="Heading 6"/>
    <w:basedOn w:val="823"/>
    <w:next w:val="823"/>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basedOn w:val="826"/>
    <w:link w:val="658"/>
    <w:uiPriority w:val="9"/>
    <w:rPr>
      <w:rFonts w:ascii="Arial" w:hAnsi="Arial" w:eastAsia="Arial" w:cs="Arial"/>
      <w:b/>
      <w:bCs/>
      <w:sz w:val="22"/>
      <w:szCs w:val="22"/>
    </w:rPr>
  </w:style>
  <w:style w:type="paragraph" w:styleId="660">
    <w:name w:val="Heading 7"/>
    <w:basedOn w:val="823"/>
    <w:next w:val="823"/>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basedOn w:val="826"/>
    <w:link w:val="660"/>
    <w:uiPriority w:val="9"/>
    <w:rPr>
      <w:rFonts w:ascii="Arial" w:hAnsi="Arial" w:eastAsia="Arial" w:cs="Arial"/>
      <w:b/>
      <w:bCs/>
      <w:i/>
      <w:iCs/>
      <w:sz w:val="22"/>
      <w:szCs w:val="22"/>
    </w:rPr>
  </w:style>
  <w:style w:type="paragraph" w:styleId="662">
    <w:name w:val="Heading 8"/>
    <w:basedOn w:val="823"/>
    <w:next w:val="823"/>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basedOn w:val="826"/>
    <w:link w:val="662"/>
    <w:uiPriority w:val="9"/>
    <w:rPr>
      <w:rFonts w:ascii="Arial" w:hAnsi="Arial" w:eastAsia="Arial" w:cs="Arial"/>
      <w:i/>
      <w:iCs/>
      <w:sz w:val="22"/>
      <w:szCs w:val="22"/>
    </w:rPr>
  </w:style>
  <w:style w:type="paragraph" w:styleId="664">
    <w:name w:val="Heading 9"/>
    <w:basedOn w:val="823"/>
    <w:next w:val="823"/>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basedOn w:val="826"/>
    <w:link w:val="664"/>
    <w:uiPriority w:val="9"/>
    <w:rPr>
      <w:rFonts w:ascii="Arial" w:hAnsi="Arial" w:eastAsia="Arial" w:cs="Arial"/>
      <w:i/>
      <w:iCs/>
      <w:sz w:val="21"/>
      <w:szCs w:val="21"/>
    </w:rPr>
  </w:style>
  <w:style w:type="paragraph" w:styleId="666">
    <w:name w:val="List Paragraph"/>
    <w:basedOn w:val="823"/>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3"/>
    <w:next w:val="823"/>
    <w:link w:val="669"/>
    <w:uiPriority w:val="10"/>
    <w:qFormat/>
    <w:pPr>
      <w:contextualSpacing/>
      <w:spacing w:before="300" w:after="200"/>
    </w:pPr>
    <w:rPr>
      <w:sz w:val="48"/>
      <w:szCs w:val="48"/>
    </w:rPr>
  </w:style>
  <w:style w:type="character" w:styleId="669">
    <w:name w:val="Title Char"/>
    <w:basedOn w:val="826"/>
    <w:link w:val="668"/>
    <w:uiPriority w:val="10"/>
    <w:rPr>
      <w:sz w:val="48"/>
      <w:szCs w:val="48"/>
    </w:rPr>
  </w:style>
  <w:style w:type="paragraph" w:styleId="670">
    <w:name w:val="Subtitle"/>
    <w:basedOn w:val="823"/>
    <w:next w:val="823"/>
    <w:link w:val="671"/>
    <w:uiPriority w:val="11"/>
    <w:qFormat/>
    <w:pPr>
      <w:spacing w:before="200" w:after="200"/>
    </w:pPr>
    <w:rPr>
      <w:sz w:val="24"/>
      <w:szCs w:val="24"/>
    </w:rPr>
  </w:style>
  <w:style w:type="character" w:styleId="671">
    <w:name w:val="Subtitle Char"/>
    <w:basedOn w:val="826"/>
    <w:link w:val="670"/>
    <w:uiPriority w:val="11"/>
    <w:rPr>
      <w:sz w:val="24"/>
      <w:szCs w:val="24"/>
    </w:rPr>
  </w:style>
  <w:style w:type="paragraph" w:styleId="672">
    <w:name w:val="Quote"/>
    <w:basedOn w:val="823"/>
    <w:next w:val="823"/>
    <w:link w:val="673"/>
    <w:uiPriority w:val="29"/>
    <w:qFormat/>
    <w:pPr>
      <w:ind w:left="720" w:right="720"/>
    </w:pPr>
    <w:rPr>
      <w:i/>
    </w:rPr>
  </w:style>
  <w:style w:type="character" w:styleId="673">
    <w:name w:val="Quote Char"/>
    <w:link w:val="672"/>
    <w:uiPriority w:val="29"/>
    <w:rPr>
      <w:i/>
    </w:rPr>
  </w:style>
  <w:style w:type="paragraph" w:styleId="674">
    <w:name w:val="Intense Quote"/>
    <w:basedOn w:val="823"/>
    <w:next w:val="823"/>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character" w:styleId="676">
    <w:name w:val="Header Char"/>
    <w:basedOn w:val="826"/>
    <w:link w:val="834"/>
    <w:uiPriority w:val="99"/>
  </w:style>
  <w:style w:type="character" w:styleId="677">
    <w:name w:val="Footer Char"/>
    <w:basedOn w:val="826"/>
    <w:link w:val="833"/>
    <w:uiPriority w:val="99"/>
  </w:style>
  <w:style w:type="paragraph" w:styleId="678">
    <w:name w:val="Caption"/>
    <w:basedOn w:val="823"/>
    <w:next w:val="823"/>
    <w:uiPriority w:val="35"/>
    <w:semiHidden/>
    <w:unhideWhenUsed/>
    <w:qFormat/>
    <w:pPr>
      <w:spacing w:line="276" w:lineRule="auto"/>
    </w:pPr>
    <w:rPr>
      <w:b/>
      <w:bCs/>
      <w:color w:val="4f81bd" w:themeColor="accent1"/>
      <w:sz w:val="18"/>
      <w:szCs w:val="18"/>
    </w:rPr>
  </w:style>
  <w:style w:type="character" w:styleId="679">
    <w:name w:val="Caption Char"/>
    <w:basedOn w:val="678"/>
    <w:link w:val="833"/>
    <w:uiPriority w:val="99"/>
  </w:style>
  <w:style w:type="table" w:styleId="680">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1">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8">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9">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0">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1">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2">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3">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5">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6">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7">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8">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9">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0">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9">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0">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1">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2">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3">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4">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6">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7">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8">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9">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0">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1">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3">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4">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5">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6">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7">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8">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0">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4">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5">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7">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8">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9">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0">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1">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2">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4">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5">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6">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7">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8">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9">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1">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2">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3">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4">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5">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6">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9">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0">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1">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2">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3">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2">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3">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4">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5">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6">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7">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8">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9">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0">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1">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2">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3">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4">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6">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7">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8">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9">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0">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1">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9">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0">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1">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2">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3">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4">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5">
    <w:name w:val="Hyperlink"/>
    <w:uiPriority w:val="99"/>
    <w:unhideWhenUsed/>
    <w:rPr>
      <w:color w:val="0000ff" w:themeColor="hyperlink"/>
      <w:u w:val="single"/>
    </w:rPr>
  </w:style>
  <w:style w:type="paragraph" w:styleId="806">
    <w:name w:val="footnote text"/>
    <w:basedOn w:val="823"/>
    <w:link w:val="807"/>
    <w:uiPriority w:val="99"/>
    <w:semiHidden/>
    <w:unhideWhenUsed/>
    <w:pPr>
      <w:spacing w:after="40" w:line="240" w:lineRule="auto"/>
    </w:pPr>
    <w:rPr>
      <w:sz w:val="18"/>
    </w:rPr>
  </w:style>
  <w:style w:type="character" w:styleId="807">
    <w:name w:val="Footnote Text Char"/>
    <w:link w:val="806"/>
    <w:uiPriority w:val="99"/>
    <w:rPr>
      <w:sz w:val="18"/>
    </w:rPr>
  </w:style>
  <w:style w:type="character" w:styleId="808">
    <w:name w:val="footnote reference"/>
    <w:basedOn w:val="826"/>
    <w:uiPriority w:val="99"/>
    <w:unhideWhenUsed/>
    <w:rPr>
      <w:vertAlign w:val="superscript"/>
    </w:rPr>
  </w:style>
  <w:style w:type="paragraph" w:styleId="809">
    <w:name w:val="endnote text"/>
    <w:basedOn w:val="823"/>
    <w:link w:val="810"/>
    <w:uiPriority w:val="99"/>
    <w:semiHidden/>
    <w:unhideWhenUsed/>
    <w:pPr>
      <w:spacing w:after="0" w:line="240" w:lineRule="auto"/>
    </w:pPr>
    <w:rPr>
      <w:sz w:val="20"/>
    </w:rPr>
  </w:style>
  <w:style w:type="character" w:styleId="810">
    <w:name w:val="Endnote Text Char"/>
    <w:link w:val="809"/>
    <w:uiPriority w:val="99"/>
    <w:rPr>
      <w:sz w:val="20"/>
    </w:rPr>
  </w:style>
  <w:style w:type="character" w:styleId="811">
    <w:name w:val="endnote reference"/>
    <w:basedOn w:val="826"/>
    <w:uiPriority w:val="99"/>
    <w:semiHidden/>
    <w:unhideWhenUsed/>
    <w:rPr>
      <w:vertAlign w:val="superscript"/>
    </w:rPr>
  </w:style>
  <w:style w:type="paragraph" w:styleId="812">
    <w:name w:val="toc 1"/>
    <w:basedOn w:val="823"/>
    <w:next w:val="823"/>
    <w:uiPriority w:val="39"/>
    <w:unhideWhenUsed/>
    <w:pPr>
      <w:ind w:left="0" w:right="0" w:firstLine="0"/>
      <w:spacing w:after="57"/>
    </w:pPr>
  </w:style>
  <w:style w:type="paragraph" w:styleId="813">
    <w:name w:val="toc 2"/>
    <w:basedOn w:val="823"/>
    <w:next w:val="823"/>
    <w:uiPriority w:val="39"/>
    <w:unhideWhenUsed/>
    <w:pPr>
      <w:ind w:left="283" w:right="0" w:firstLine="0"/>
      <w:spacing w:after="57"/>
    </w:pPr>
  </w:style>
  <w:style w:type="paragraph" w:styleId="814">
    <w:name w:val="toc 3"/>
    <w:basedOn w:val="823"/>
    <w:next w:val="823"/>
    <w:uiPriority w:val="39"/>
    <w:unhideWhenUsed/>
    <w:pPr>
      <w:ind w:left="567" w:right="0" w:firstLine="0"/>
      <w:spacing w:after="57"/>
    </w:pPr>
  </w:style>
  <w:style w:type="paragraph" w:styleId="815">
    <w:name w:val="toc 4"/>
    <w:basedOn w:val="823"/>
    <w:next w:val="823"/>
    <w:uiPriority w:val="39"/>
    <w:unhideWhenUsed/>
    <w:pPr>
      <w:ind w:left="850" w:right="0" w:firstLine="0"/>
      <w:spacing w:after="57"/>
    </w:pPr>
  </w:style>
  <w:style w:type="paragraph" w:styleId="816">
    <w:name w:val="toc 5"/>
    <w:basedOn w:val="823"/>
    <w:next w:val="823"/>
    <w:uiPriority w:val="39"/>
    <w:unhideWhenUsed/>
    <w:pPr>
      <w:ind w:left="1134" w:right="0" w:firstLine="0"/>
      <w:spacing w:after="57"/>
    </w:pPr>
  </w:style>
  <w:style w:type="paragraph" w:styleId="817">
    <w:name w:val="toc 6"/>
    <w:basedOn w:val="823"/>
    <w:next w:val="823"/>
    <w:uiPriority w:val="39"/>
    <w:unhideWhenUsed/>
    <w:pPr>
      <w:ind w:left="1417" w:right="0" w:firstLine="0"/>
      <w:spacing w:after="57"/>
    </w:pPr>
  </w:style>
  <w:style w:type="paragraph" w:styleId="818">
    <w:name w:val="toc 7"/>
    <w:basedOn w:val="823"/>
    <w:next w:val="823"/>
    <w:uiPriority w:val="39"/>
    <w:unhideWhenUsed/>
    <w:pPr>
      <w:ind w:left="1701" w:right="0" w:firstLine="0"/>
      <w:spacing w:after="57"/>
    </w:pPr>
  </w:style>
  <w:style w:type="paragraph" w:styleId="819">
    <w:name w:val="toc 8"/>
    <w:basedOn w:val="823"/>
    <w:next w:val="823"/>
    <w:uiPriority w:val="39"/>
    <w:unhideWhenUsed/>
    <w:pPr>
      <w:ind w:left="1984" w:right="0" w:firstLine="0"/>
      <w:spacing w:after="57"/>
    </w:pPr>
  </w:style>
  <w:style w:type="paragraph" w:styleId="820">
    <w:name w:val="toc 9"/>
    <w:basedOn w:val="823"/>
    <w:next w:val="823"/>
    <w:uiPriority w:val="39"/>
    <w:unhideWhenUsed/>
    <w:pPr>
      <w:ind w:left="2268" w:right="0" w:firstLine="0"/>
      <w:spacing w:after="57"/>
    </w:p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next w:val="82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4">
    <w:name w:val="Heading 2"/>
    <w:basedOn w:val="823"/>
    <w:next w:val="82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25">
    <w:name w:val="Heading 3"/>
    <w:basedOn w:val="823"/>
    <w:next w:val="823"/>
    <w:uiPriority w:val="9"/>
    <w:unhideWhenUsed/>
    <w:qFormat/>
    <w:pPr>
      <w:keepLines/>
      <w:keepNext/>
      <w:spacing w:before="320" w:after="200"/>
      <w:outlineLvl w:val="2"/>
    </w:pPr>
    <w:rPr>
      <w:rFonts w:ascii="Arial" w:hAnsi="Arial" w:eastAsia="Arial" w:cs="Arial"/>
      <w:sz w:val="30"/>
      <w:szCs w:val="30"/>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829">
    <w:name w:val="Body Text"/>
    <w:basedOn w:val="823"/>
    <w:next w:val="830"/>
    <w:uiPriority w:val="99"/>
    <w:qFormat/>
    <w:rPr>
      <w:rFonts w:ascii="楷体_GB2312" w:hAnsi="Arial" w:eastAsia="楷体_GB2312"/>
      <w:sz w:val="28"/>
      <w:szCs w:val="28"/>
    </w:rPr>
  </w:style>
  <w:style w:type="paragraph" w:styleId="830" w:customStyle="1">
    <w:name w:val="一级条标题"/>
    <w:basedOn w:val="831"/>
    <w:next w:val="8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1" w:customStyle="1">
    <w:name w:val="章标题"/>
    <w:next w:val="82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32" w:customStyle="1">
    <w:name w:val="段"/>
    <w:next w:val="82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33">
    <w:name w:val="Footer"/>
    <w:basedOn w:val="823"/>
    <w:link w:val="838"/>
    <w:uiPriority w:val="0"/>
    <w:qFormat/>
    <w:pPr>
      <w:jc w:val="left"/>
      <w:tabs>
        <w:tab w:val="center" w:pos="4153" w:leader="none"/>
        <w:tab w:val="right" w:pos="8306" w:leader="none"/>
      </w:tabs>
    </w:pPr>
    <w:rPr>
      <w:sz w:val="18"/>
      <w:szCs w:val="18"/>
    </w:rPr>
  </w:style>
  <w:style w:type="paragraph" w:styleId="834">
    <w:name w:val="Header"/>
    <w:basedOn w:val="823"/>
    <w:link w:val="837"/>
    <w:uiPriority w:val="0"/>
    <w:qFormat/>
    <w:pPr>
      <w:jc w:val="center"/>
      <w:tabs>
        <w:tab w:val="center" w:pos="4153" w:leader="none"/>
        <w:tab w:val="right" w:pos="8306" w:leader="none"/>
      </w:tabs>
      <w:pBdr>
        <w:bottom w:val="single" w:color="auto" w:sz="6" w:space="1"/>
      </w:pBdr>
    </w:pPr>
    <w:rPr>
      <w:sz w:val="18"/>
      <w:szCs w:val="18"/>
    </w:rPr>
  </w:style>
  <w:style w:type="paragraph" w:styleId="835">
    <w:name w:val="Normal (Web)"/>
    <w:basedOn w:val="823"/>
    <w:uiPriority w:val="0"/>
    <w:qFormat/>
    <w:pPr>
      <w:jc w:val="left"/>
      <w:spacing w:beforeAutospacing="1" w:afterAutospacing="1"/>
    </w:pPr>
    <w:rPr>
      <w:rFonts w:cs="Times New Roman"/>
      <w:sz w:val="24"/>
    </w:rPr>
  </w:style>
  <w:style w:type="table" w:styleId="836">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customStyle="1">
    <w:name w:val="页眉 Char"/>
    <w:basedOn w:val="826"/>
    <w:link w:val="834"/>
    <w:uiPriority w:val="0"/>
    <w:qFormat/>
    <w:rPr>
      <w:rFonts w:asciiTheme="minorHAnsi" w:hAnsiTheme="minorHAnsi" w:eastAsiaTheme="minorEastAsia" w:cstheme="minorBidi"/>
      <w:sz w:val="18"/>
      <w:szCs w:val="18"/>
    </w:rPr>
  </w:style>
  <w:style w:type="character" w:styleId="838" w:customStyle="1">
    <w:name w:val="页脚 Char"/>
    <w:basedOn w:val="826"/>
    <w:link w:val="833"/>
    <w:uiPriority w:val="0"/>
    <w:qFormat/>
    <w:rPr>
      <w:rFonts w:asciiTheme="minorHAnsi" w:hAnsiTheme="minorHAnsi" w:eastAsiaTheme="minorEastAsia" w:cstheme="minorBidi"/>
      <w:sz w:val="18"/>
      <w:szCs w:val="18"/>
    </w:rPr>
  </w:style>
  <w:style w:type="paragraph" w:styleId="839" w:customStyle="1">
    <w:name w:val="正文 A"/>
    <w:next w:val="832"/>
    <w:uiPriority w:val="0"/>
    <w:qFormat/>
    <w:pPr>
      <w:jc w:val="both"/>
      <w:widowControl w:val="off"/>
    </w:pPr>
    <w:rPr>
      <w:rFonts w:hint="default" w:ascii="Calibri" w:hAnsi="Calibri" w:eastAsia="Calibri" w:cs="Calibri"/>
      <w:color w:val="000000"/>
      <w:sz w:val="21"/>
      <w:szCs w:val="21"/>
      <w:lang w:val="en-US" w:eastAsia="zh-CN" w:bidi="ar-SA"/>
    </w:rPr>
  </w:style>
  <w:style w:type="paragraph" w:styleId="840" w:customStyle="1">
    <w:name w:val="正文首行缩进 21"/>
    <w:basedOn w:val="841"/>
    <w:uiPriority w:val="0"/>
    <w:qFormat/>
    <w:pPr>
      <w:ind w:left="420" w:firstLine="420"/>
      <w:tabs>
        <w:tab w:val="left" w:pos="180" w:leader="none"/>
      </w:tabs>
    </w:pPr>
    <w:rPr>
      <w:rFonts w:ascii="Times New Roman" w:hAnsi="Times New Roman"/>
      <w:szCs w:val="24"/>
    </w:rPr>
  </w:style>
  <w:style w:type="paragraph" w:styleId="841" w:customStyle="1">
    <w:name w:val="正文文本缩进1"/>
    <w:basedOn w:val="823"/>
    <w:next w:val="842"/>
    <w:uiPriority w:val="0"/>
    <w:qFormat/>
    <w:pPr>
      <w:ind w:firstLine="480"/>
      <w:tabs>
        <w:tab w:val="left" w:pos="180" w:leader="none"/>
      </w:tabs>
    </w:pPr>
    <w:rPr>
      <w:rFonts w:ascii="Tahoma" w:hAnsi="Tahoma"/>
      <w:sz w:val="24"/>
    </w:rPr>
  </w:style>
  <w:style w:type="paragraph" w:styleId="842" w:customStyle="1">
    <w:name w:val="寄信人地址1"/>
    <w:basedOn w:val="823"/>
    <w:uiPriority w:val="0"/>
    <w:qFormat/>
    <w:rPr>
      <w:rFonts w:ascii="Arial" w:hAnsi="Arial"/>
    </w:rPr>
  </w:style>
  <w:style w:type="numbering" w:styleId="8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江苏苏伟项目管理有限公司</cp:lastModifiedBy>
  <cp:revision>128</cp:revision>
  <dcterms:created xsi:type="dcterms:W3CDTF">2014-10-29T12:08:00Z</dcterms:created>
  <dcterms:modified xsi:type="dcterms:W3CDTF">2024-08-13T09:48:15Z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5E391D288BEE45C4BB53352BA1024622</vt:lpwstr>
  </property>
</Properties>
</file>