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BC015">
      <w:pPr>
        <w:jc w:val="cente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更正内容</w:t>
      </w:r>
    </w:p>
    <w:p w14:paraId="5D09D3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原招标文件中“第四章 采购需求”中：</w:t>
      </w:r>
    </w:p>
    <w:p w14:paraId="467A47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“第一部分  项目技术要求”中：序号7，1号楼的“L型办公桌（长1500*宽1500*高1100）”中，原“</w:t>
      </w:r>
      <w:r>
        <w:rPr>
          <w:rFonts w:hint="default"/>
          <w:lang w:val="en-US" w:eastAsia="zh-CN"/>
        </w:rPr>
        <w:t>5.屏风:外框采用银色铝合金，厚度32mm.台面上面屏风分割一层为麻绒布料，高度为150mm，一层为磨砂玻璃200mm；台面下面均为麻绒布料；走线槽上带3个</w:t>
      </w:r>
      <w:r>
        <w:rPr>
          <w:rFonts w:hint="eastAsia"/>
          <w:lang w:val="en-US" w:eastAsia="zh-CN"/>
        </w:rPr>
        <w:t>56</w:t>
      </w:r>
      <w:r>
        <w:rPr>
          <w:rFonts w:hint="default"/>
          <w:lang w:val="en-US" w:eastAsia="zh-CN"/>
        </w:rPr>
        <w:t>型五孔暗装插座，方便走线。</w:t>
      </w:r>
      <w:r>
        <w:rPr>
          <w:rFonts w:hint="eastAsia"/>
          <w:lang w:val="en-US" w:eastAsia="zh-CN"/>
        </w:rPr>
        <w:t>”</w:t>
      </w:r>
    </w:p>
    <w:p w14:paraId="753416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b/>
          <w:bCs/>
          <w:lang w:val="en-US" w:eastAsia="zh-CN"/>
        </w:rPr>
        <w:t>更正为：</w:t>
      </w:r>
      <w:r>
        <w:rPr>
          <w:rFonts w:hint="eastAsia"/>
          <w:lang w:val="en-US" w:eastAsia="zh-CN"/>
        </w:rPr>
        <w:t>“</w:t>
      </w:r>
      <w:r>
        <w:rPr>
          <w:rFonts w:hint="default"/>
          <w:lang w:val="en-US" w:eastAsia="zh-CN"/>
        </w:rPr>
        <w:t>5.屏风:外框采用银色铝合金，厚度32mm.台面上面屏风分割一层为麻绒布料，高度为150mm，一层为磨砂玻璃200mm；台面下面均为麻绒布料；走线槽上带3个</w:t>
      </w:r>
      <w:r>
        <w:rPr>
          <w:rFonts w:hint="default"/>
          <w:b/>
          <w:bCs/>
          <w:lang w:val="en-US" w:eastAsia="zh-CN"/>
        </w:rPr>
        <w:t>86型</w:t>
      </w:r>
      <w:r>
        <w:rPr>
          <w:rFonts w:hint="default"/>
          <w:lang w:val="en-US" w:eastAsia="zh-CN"/>
        </w:rPr>
        <w:t>五孔暗装插座，方便走线。</w:t>
      </w:r>
      <w:r>
        <w:rPr>
          <w:rFonts w:hint="eastAsia"/>
          <w:lang w:val="en-US" w:eastAsia="zh-CN"/>
        </w:rPr>
        <w:t>”</w:t>
      </w:r>
    </w:p>
    <w:p w14:paraId="075841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原招标文件中“第五章 评标方法与评标标准”中：</w:t>
      </w:r>
    </w:p>
    <w:p w14:paraId="5CD75A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原：2.技术（5分）：投标文件中提供2024年7月1日以来的具有CMA标识的包含下列材料及检测项的检验结果为合格或符合的检测报告原件的扫描件，检测报告须清晰且完整含封底及封面，检测报告不完整视作无效。（检测报告提供封面二维码查询或质量监督检验机构官网的网络查询截图及全国认证认可信息公共服务平台中报告编号查询截图扫描件佐证并加盖投标人公章，报告必须扫描完整，不可缺页）本项共5分，任意条件不满足或检测缺项不得分。</w:t>
      </w:r>
    </w:p>
    <w:p w14:paraId="4D818E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2.1 核心产品相关检测报告（4分）：</w:t>
      </w:r>
    </w:p>
    <w:p w14:paraId="308320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2.1.1 提供“课桌”检测报告（1分）：检测依据：GB/T 3325-2024、GB/T 228.1-2021、GB/T 232-2024、GB/T 1865-2009、GB/T 20854-2007。</w:t>
      </w:r>
    </w:p>
    <w:p w14:paraId="4DB85C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检测项包含：课桌椅主要尺寸；金属件外观（焊接件、喷涂层）；理化性能：硬度≥4H、冲击强度符合要求、附着力≥1级；涂层厚度≥80μm；洛氏硬度≥20HRC；显微组织：铁素体（主要组织）；力学性能：规定塑性延伸强度≥195Mpa，抗拉强度315～430Mpa，断后伸长率≥40%，冷弯试验-弯曲外表面无可见裂纹；成分：碳≤0.12、硅≤0.30、锰≤0.50、磷≤0.035、硫≤0.040；黑标温度：65℃，窄频带：340nm，辐照度：0.51W/m2，润湿时间18min，干燥时间102min，相对湿度50%，实验时间432h，试验后失光程度等级应不低于3级，变色等级应不低于3级，粉化等级应不低于3级，开裂等级应不低于1级 (S1)，起泡等级不低于1级(S1)；中性盐雾试验（连续喷雾≥432h）试验后镀(涂)层对基体的保护等级≥9级且镀(涂)层本身耐腐蚀等级≥9级；金相组织-晶粒度：≥9级；循环暴露干盐雾试验240h；产品寿命：桌面水平耐久性6万次。检测报告无不符合项的为有效报告。全部满足的得1分。</w:t>
      </w:r>
    </w:p>
    <w:p w14:paraId="72638D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2.1.2 提供“水性油漆”检测报告（1分）：检测依据：QB/T 4371-2012。</w:t>
      </w:r>
    </w:p>
    <w:p w14:paraId="6D3D53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检测项包含：VOC含量合格；甲醛含量合格；总铅（Pb）含量未检出；可溶性重金属含量（镉、铬、汞）未检出、苯系物总和含量（限苯、甲苯、二甲苯）未检出、抗菌性能（大肠杆菌）抑菌率达到100%。全部满足的得1分，缺项不得分。 </w:t>
      </w:r>
    </w:p>
    <w:p w14:paraId="0DA2BD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2.1.3 提供“生态板”检测报告（1分）：检测依据：GB/T 34722-2017。</w:t>
      </w:r>
    </w:p>
    <w:p w14:paraId="64D5FD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检测项包含：含水率、浸渍剥离、表面胶合强度、表面耐划痕、表面耐磨、表面耐香烟灼烧、表面耐干热、表面耐污染腐蚀、表面耐冷热循环、表面耐龟裂、表面耐水蒸气、耐光色牢度/级合格；甲醛释放量达到Enf级别。全部满足的得1分，缺项不得分。</w:t>
      </w:r>
    </w:p>
    <w:p w14:paraId="6DBCE8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2.1.4 提供“实木多层板”检测报告（1分）：检测依据：GB/T 9846-2015、HJ 571-2010、QB/T 4371-2012。</w:t>
      </w:r>
    </w:p>
    <w:p w14:paraId="42613E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检测项包含：含水率、胶合强度、静曲强度、弹性模量合格；甲醛释放量达到Enf级别；挥发性有机化合物（72h）（苯、甲苯、二甲苯、总挥发性有机化合物（TVOC））未检出；总挥发性有机化合物(TVOC)释放率未检出；抗菌性能（大肠杆菌、金黄色葡萄球菌）抑菌率100%；抗菌防霉性能（黑曲霉）达到0级。全部满足的得1分，缺项不得分。</w:t>
      </w:r>
    </w:p>
    <w:p w14:paraId="7A235B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更正为：</w:t>
      </w:r>
    </w:p>
    <w:p w14:paraId="43F0EC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bCs/>
          <w:lang w:val="en-US" w:eastAsia="zh-CN"/>
        </w:rPr>
      </w:pPr>
      <w:r>
        <w:rPr>
          <w:rFonts w:hint="default"/>
          <w:b w:val="0"/>
          <w:bCs w:val="0"/>
          <w:lang w:val="en-US" w:eastAsia="zh-CN"/>
        </w:rPr>
        <w:t>2.技术（5分）：</w:t>
      </w:r>
      <w:r>
        <w:rPr>
          <w:rFonts w:hint="default"/>
          <w:b/>
          <w:bCs/>
          <w:lang w:val="en-US" w:eastAsia="zh-CN"/>
        </w:rPr>
        <w:t>投标人承诺中标后提供</w:t>
      </w:r>
      <w:r>
        <w:rPr>
          <w:rFonts w:hint="default"/>
          <w:b w:val="0"/>
          <w:bCs w:val="0"/>
          <w:lang w:val="en-US" w:eastAsia="zh-CN"/>
        </w:rPr>
        <w:t>2024年7月1日以来的具有CMA标识的包含下列材料及检测项的检验结果为合格或符合的检测报告原件的扫描件，检测报告须清晰且完整含封底及封面，检测报告不完整视作无效。（检测报告提供封面二维码查询或质量监督检验机构官网的网络查询截图及全国认证认可信息公共服务平台中报告编号查询截图扫描件佐证并加盖投标人公章，报告必须扫描完整，不可缺页）。</w:t>
      </w:r>
      <w:r>
        <w:rPr>
          <w:rFonts w:hint="default"/>
          <w:b/>
          <w:bCs/>
          <w:lang w:val="en-US" w:eastAsia="zh-CN"/>
        </w:rPr>
        <w:t>本项共5分，投标人须承诺中标后提供各项所需的完整的检测报告（检测内容必须符合所列的全部检测内容），需提供承诺函并加盖投标人公章，不提供不得分。</w:t>
      </w:r>
    </w:p>
    <w:p w14:paraId="4EA163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default"/>
          <w:b w:val="0"/>
          <w:bCs w:val="0"/>
          <w:lang w:val="en-US" w:eastAsia="zh-CN"/>
        </w:rPr>
        <w:t>2.1 核心产品相关检测报告（4分）：</w:t>
      </w:r>
    </w:p>
    <w:p w14:paraId="356F4A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bCs/>
          <w:lang w:val="en-US" w:eastAsia="zh-CN"/>
        </w:rPr>
      </w:pPr>
      <w:r>
        <w:rPr>
          <w:rFonts w:hint="default"/>
          <w:b w:val="0"/>
          <w:bCs w:val="0"/>
          <w:lang w:val="en-US" w:eastAsia="zh-CN"/>
        </w:rPr>
        <w:t xml:space="preserve">2.1.1 </w:t>
      </w:r>
      <w:r>
        <w:rPr>
          <w:rFonts w:hint="default"/>
          <w:b/>
          <w:bCs/>
          <w:lang w:val="en-US" w:eastAsia="zh-CN"/>
        </w:rPr>
        <w:t>投标人承诺中标后提供</w:t>
      </w:r>
      <w:r>
        <w:rPr>
          <w:rFonts w:hint="default"/>
          <w:b w:val="0"/>
          <w:bCs w:val="0"/>
          <w:lang w:val="en-US" w:eastAsia="zh-CN"/>
        </w:rPr>
        <w:t>“课桌”检测报告（1分）：检测依据：GB/T 3325-2024、GB/T 228.1-2021、GB/T 232-2024、GB/T 1865-2009、GB/T 20854-2007。</w:t>
      </w:r>
      <w:r>
        <w:rPr>
          <w:rFonts w:hint="default"/>
          <w:b/>
          <w:bCs/>
          <w:lang w:val="en-US" w:eastAsia="zh-CN"/>
        </w:rPr>
        <w:t>需提供承诺函并加盖投标人公章，不提供不得分。</w:t>
      </w:r>
    </w:p>
    <w:p w14:paraId="3489A4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default"/>
          <w:b w:val="0"/>
          <w:bCs w:val="0"/>
          <w:lang w:val="en-US" w:eastAsia="zh-CN"/>
        </w:rPr>
        <w:t>检测项包含：课桌椅主要尺寸；金属件外观（焊接件、喷涂层）；理化性能：硬度≥4H、冲击强度符合要求、附着力≥1级；涂层厚度≥80μm；洛氏硬度≥20HRC；显微组织：铁素体（主要组织）；力学性能：规定塑性延伸强度≥195Mpa，抗拉强度315～430Mpa，断后伸长率≥40%，冷弯试验-弯曲外表面无可见裂纹；成分：碳≤0.12、硅≤0.30、锰≤0.50、磷≤0.035、硫≤0.040；黑标温度：65℃，窄频带：340nm，辐照度：0.51W/m2，润湿时间18min，干燥时间102min，相对湿度50%，实验时间432h，试验后失光程度等级应不低于3级，变色等级应不低于3级，粉化等级应不低于3级，开裂等级应不低于1级 (S1)，起泡等级不低于1级(S1)；中性盐雾试验（连续喷雾≥432h）试验后镀(涂)层对基体的保护等级≥9级且镀(涂)层本身耐腐蚀等级≥9级；金相组织-晶粒度：≥9级；循环暴露干盐雾试验240h；产品寿命：桌面水平耐久性6万次。检测报告无不符合项的为有效报告。</w:t>
      </w:r>
    </w:p>
    <w:p w14:paraId="06C4AA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bCs/>
          <w:lang w:val="en-US" w:eastAsia="zh-CN"/>
        </w:rPr>
      </w:pPr>
      <w:r>
        <w:rPr>
          <w:rFonts w:hint="default"/>
          <w:b w:val="0"/>
          <w:bCs w:val="0"/>
          <w:lang w:val="en-US" w:eastAsia="zh-CN"/>
        </w:rPr>
        <w:t xml:space="preserve">2.1.2  </w:t>
      </w:r>
      <w:r>
        <w:rPr>
          <w:rFonts w:hint="default"/>
          <w:b/>
          <w:bCs/>
          <w:lang w:val="en-US" w:eastAsia="zh-CN"/>
        </w:rPr>
        <w:t>投标人承诺中标后提供</w:t>
      </w:r>
      <w:r>
        <w:rPr>
          <w:rFonts w:hint="default"/>
          <w:b w:val="0"/>
          <w:bCs w:val="0"/>
          <w:lang w:val="en-US" w:eastAsia="zh-CN"/>
        </w:rPr>
        <w:t>“水性油漆”检测报告（1分）：检测依据：QB/T 4371-2012。</w:t>
      </w:r>
      <w:r>
        <w:rPr>
          <w:rFonts w:hint="default"/>
          <w:b/>
          <w:bCs/>
          <w:lang w:val="en-US" w:eastAsia="zh-CN"/>
        </w:rPr>
        <w:t>需提供承诺函并加盖投标人公章，不提供不得分。</w:t>
      </w:r>
    </w:p>
    <w:p w14:paraId="1A9C41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default"/>
          <w:b w:val="0"/>
          <w:bCs w:val="0"/>
          <w:lang w:val="en-US" w:eastAsia="zh-CN"/>
        </w:rPr>
        <w:t>检测项包含：VOC含量合格；甲醛含量合格；总铅（Pb）含量未检出；可溶性重金属含量（镉、铬、汞）未检出、苯系物总和含量（限苯、甲苯、二甲苯）未检出、抗菌性能（大肠杆菌）抑菌率</w:t>
      </w:r>
      <w:r>
        <w:rPr>
          <w:rFonts w:hint="default"/>
          <w:b/>
          <w:bCs/>
          <w:lang w:val="en-US" w:eastAsia="zh-CN"/>
        </w:rPr>
        <w:t>不低于99%</w:t>
      </w:r>
      <w:r>
        <w:rPr>
          <w:rFonts w:hint="default"/>
          <w:b w:val="0"/>
          <w:bCs w:val="0"/>
          <w:lang w:val="en-US" w:eastAsia="zh-CN"/>
        </w:rPr>
        <w:t xml:space="preserve">。 </w:t>
      </w:r>
    </w:p>
    <w:p w14:paraId="6BAC4C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bCs/>
          <w:lang w:val="en-US" w:eastAsia="zh-CN"/>
        </w:rPr>
      </w:pPr>
      <w:r>
        <w:rPr>
          <w:rFonts w:hint="default"/>
          <w:b w:val="0"/>
          <w:bCs w:val="0"/>
          <w:lang w:val="en-US" w:eastAsia="zh-CN"/>
        </w:rPr>
        <w:t xml:space="preserve">2.1.3  </w:t>
      </w:r>
      <w:r>
        <w:rPr>
          <w:rFonts w:hint="default"/>
          <w:b/>
          <w:bCs/>
          <w:lang w:val="en-US" w:eastAsia="zh-CN"/>
        </w:rPr>
        <w:t>投标人承诺中标后提供</w:t>
      </w:r>
      <w:r>
        <w:rPr>
          <w:rFonts w:hint="default"/>
          <w:b w:val="0"/>
          <w:bCs w:val="0"/>
          <w:lang w:val="en-US" w:eastAsia="zh-CN"/>
        </w:rPr>
        <w:t>“生态板”检测报告（1分）：检测依据：GB/T 34722-2017。</w:t>
      </w:r>
      <w:r>
        <w:rPr>
          <w:rFonts w:hint="default"/>
          <w:b/>
          <w:bCs/>
          <w:lang w:val="en-US" w:eastAsia="zh-CN"/>
        </w:rPr>
        <w:t>需提供承诺函并加盖投标人公章，不提供不得分。</w:t>
      </w:r>
    </w:p>
    <w:p w14:paraId="2022AE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default"/>
          <w:b w:val="0"/>
          <w:bCs w:val="0"/>
          <w:lang w:val="en-US" w:eastAsia="zh-CN"/>
        </w:rPr>
        <w:t>检测项包含：含水率、浸渍剥离、表面胶合强度、表面耐划痕、表面耐磨、表面耐香烟灼烧、表面耐干热、表面耐污染腐蚀、表面耐冷热循环、表面耐龟裂、表面耐水蒸气、耐光色牢度/级合格；甲醛释放量达到Enf级别。</w:t>
      </w:r>
    </w:p>
    <w:p w14:paraId="02A74B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default"/>
          <w:b w:val="0"/>
          <w:bCs w:val="0"/>
          <w:lang w:val="en-US" w:eastAsia="zh-CN"/>
        </w:rPr>
        <w:t xml:space="preserve">2.1.4  </w:t>
      </w:r>
      <w:r>
        <w:rPr>
          <w:rFonts w:hint="default"/>
          <w:b/>
          <w:bCs/>
          <w:lang w:val="en-US" w:eastAsia="zh-CN"/>
        </w:rPr>
        <w:t>投标人承诺中标后提供</w:t>
      </w:r>
      <w:r>
        <w:rPr>
          <w:rFonts w:hint="default"/>
          <w:b w:val="0"/>
          <w:bCs w:val="0"/>
          <w:lang w:val="en-US" w:eastAsia="zh-CN"/>
        </w:rPr>
        <w:t>“实木多层板”检测报告（1分）：检测依据：GB/T 9846-2015、HJ 571-2010、QB/T 4371-2012。</w:t>
      </w:r>
      <w:r>
        <w:rPr>
          <w:rFonts w:hint="default"/>
          <w:b/>
          <w:bCs/>
          <w:lang w:val="en-US" w:eastAsia="zh-CN"/>
        </w:rPr>
        <w:t>需提供承诺函并加盖投标人公章，不提供不得分。</w:t>
      </w:r>
    </w:p>
    <w:p w14:paraId="6DA164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default"/>
          <w:b w:val="0"/>
          <w:bCs w:val="0"/>
          <w:lang w:val="en-US" w:eastAsia="zh-CN"/>
        </w:rPr>
        <w:t>检测项包含：含水率、胶合强度、静曲强度、弹性模量合格；甲醛释放量达到Enf级别；</w:t>
      </w:r>
      <w:r>
        <w:rPr>
          <w:rFonts w:hint="default"/>
          <w:b/>
          <w:bCs/>
          <w:lang w:val="en-US" w:eastAsia="zh-CN"/>
        </w:rPr>
        <w:t>挥发性有机化合物释放浓度（7d）（苯、甲苯、二甲苯、总挥发性有机化合物（TVOC））未检出</w:t>
      </w:r>
      <w:r>
        <w:rPr>
          <w:rFonts w:hint="default"/>
          <w:b w:val="0"/>
          <w:bCs w:val="0"/>
          <w:lang w:val="en-US" w:eastAsia="zh-CN"/>
        </w:rPr>
        <w:t>；总挥发性有机化合物(TVOC)释放率未检出；抗菌性能（大肠杆菌、金黄色葡萄球菌）抑菌率</w:t>
      </w:r>
      <w:r>
        <w:rPr>
          <w:rFonts w:hint="default"/>
          <w:b/>
          <w:bCs/>
          <w:lang w:val="en-US" w:eastAsia="zh-CN"/>
        </w:rPr>
        <w:t>不低于99%</w:t>
      </w:r>
      <w:r>
        <w:rPr>
          <w:rFonts w:hint="default"/>
          <w:b w:val="0"/>
          <w:bCs w:val="0"/>
          <w:lang w:val="en-US" w:eastAsia="zh-CN"/>
        </w:rPr>
        <w:t>；抗菌防霉性能（黑曲霉）达到0级。</w:t>
      </w:r>
    </w:p>
    <w:p w14:paraId="393AD4F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b w:val="0"/>
          <w:bCs w:val="0"/>
          <w:lang w:val="en-US" w:eastAsia="zh-CN"/>
        </w:rPr>
      </w:pPr>
      <w:r>
        <w:rPr>
          <w:rFonts w:hint="eastAsia"/>
          <w:b/>
          <w:bCs/>
          <w:lang w:val="en-US" w:eastAsia="zh-CN"/>
        </w:rPr>
        <w:t>删除</w:t>
      </w:r>
      <w:r>
        <w:rPr>
          <w:rFonts w:hint="eastAsia"/>
          <w:b w:val="0"/>
          <w:bCs w:val="0"/>
          <w:lang w:val="en-US" w:eastAsia="zh-CN"/>
        </w:rPr>
        <w:t>原“6.1 产品深化设计方案（5分）：投标供应商根据本项目清单进行设计，提供包括序号7、15和19家具产品的深化设计结构三视图、拆分图、安装示意图、生产工艺图、强弱电走线图（仅针对L型办公桌、会议桌）、单品效果图等。”</w:t>
      </w:r>
    </w:p>
    <w:p w14:paraId="1216AE6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原“6.2 针对本项目提供项目进度计划安排（11分）”</w:t>
      </w:r>
      <w:r>
        <w:rPr>
          <w:rFonts w:hint="eastAsia"/>
          <w:b/>
          <w:bCs/>
          <w:lang w:val="en-US" w:eastAsia="zh-CN"/>
        </w:rPr>
        <w:t>更正为</w:t>
      </w:r>
      <w:r>
        <w:rPr>
          <w:rFonts w:hint="eastAsia"/>
          <w:b w:val="0"/>
          <w:bCs w:val="0"/>
          <w:lang w:val="en-US" w:eastAsia="zh-CN"/>
        </w:rPr>
        <w:t>“6.1 针对本项目提供项目进度计划安排（13分）”。</w:t>
      </w:r>
    </w:p>
    <w:p w14:paraId="1BB6628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原“6.3 针对本项目提供安装及验收方案（11分）：包括但不限于投标人总体概述、施工方案及文明安装环境保护措施、验收准备工作、验收标准、家具验收流程及后续等。”</w:t>
      </w:r>
      <w:r>
        <w:rPr>
          <w:rFonts w:hint="eastAsia"/>
          <w:b/>
          <w:bCs/>
          <w:lang w:val="en-US" w:eastAsia="zh-CN"/>
        </w:rPr>
        <w:t>更正为</w:t>
      </w:r>
      <w:r>
        <w:rPr>
          <w:rFonts w:hint="eastAsia"/>
          <w:b w:val="0"/>
          <w:bCs w:val="0"/>
          <w:lang w:val="en-US" w:eastAsia="zh-CN"/>
        </w:rPr>
        <w:t>“6.2 针对本项目提供安装及验收方案（12分）：包括但不限于投标人总体概述、施工方案及文明安装环境保护措施、验收准备工作、家具验收流程及后续等。”</w:t>
      </w:r>
    </w:p>
    <w:p w14:paraId="02ED47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val="en-US" w:eastAsia="zh-CN"/>
        </w:rPr>
        <w:t>五、原“6.4 针对本项目提供售后服务管理及措施（11分）”</w:t>
      </w:r>
      <w:r>
        <w:rPr>
          <w:rFonts w:hint="eastAsia"/>
          <w:b/>
          <w:bCs/>
          <w:lang w:val="en-US" w:eastAsia="zh-CN"/>
        </w:rPr>
        <w:t>更正为</w:t>
      </w:r>
      <w:r>
        <w:rPr>
          <w:rFonts w:hint="eastAsia"/>
          <w:b w:val="0"/>
          <w:bCs w:val="0"/>
          <w:lang w:val="en-US" w:eastAsia="zh-CN"/>
        </w:rPr>
        <w:t>“6.3 针对本项目提供售后服务管理及措施（13分）”。</w:t>
      </w:r>
    </w:p>
    <w:p w14:paraId="6910E4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val="en-US" w:eastAsia="zh-CN"/>
        </w:rPr>
        <w:t>六、原“6.5 针对本项目提供项目验收方案（11分）”</w:t>
      </w:r>
      <w:r>
        <w:rPr>
          <w:rFonts w:hint="eastAsia"/>
          <w:b/>
          <w:bCs/>
          <w:lang w:val="en-US" w:eastAsia="zh-CN"/>
        </w:rPr>
        <w:t>更正为</w:t>
      </w:r>
      <w:r>
        <w:rPr>
          <w:rFonts w:hint="eastAsia"/>
          <w:b w:val="0"/>
          <w:bCs w:val="0"/>
          <w:lang w:val="en-US" w:eastAsia="zh-CN"/>
        </w:rPr>
        <w:t>“6.4 针对本项目提供生产及维护方案（11分）”。</w:t>
      </w:r>
    </w:p>
    <w:p w14:paraId="2B1A6A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default"/>
          <w:b w:val="0"/>
          <w:bCs w:val="0"/>
          <w:lang w:val="en-US" w:eastAsia="zh-CN"/>
        </w:rPr>
        <w:t>注:因以上评分标准调整后引起的评分项序号以及评分项标题的改变将做相应调整，不再赘述。</w:t>
      </w:r>
    </w:p>
    <w:p w14:paraId="7119F4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default"/>
          <w:b w:val="0"/>
          <w:bCs w:val="0"/>
          <w:lang w:val="en-US" w:eastAsia="zh-CN"/>
        </w:rPr>
        <w:t>招标文件“第一章 投标邀请”项目概况中递交投标文</w:t>
      </w:r>
      <w:r>
        <w:rPr>
          <w:rFonts w:hint="default"/>
          <w:b w:val="0"/>
          <w:bCs w:val="0"/>
          <w:color w:val="auto"/>
          <w:lang w:val="en-US" w:eastAsia="zh-CN"/>
        </w:rPr>
        <w:t>件的时间以及提交投标文件截止时间均由原:“2025年</w:t>
      </w:r>
      <w:r>
        <w:rPr>
          <w:rFonts w:hint="eastAsia"/>
          <w:b w:val="0"/>
          <w:bCs w:val="0"/>
          <w:color w:val="auto"/>
          <w:lang w:val="en-US" w:eastAsia="zh-CN"/>
        </w:rPr>
        <w:t>9</w:t>
      </w:r>
      <w:r>
        <w:rPr>
          <w:rFonts w:hint="default"/>
          <w:b w:val="0"/>
          <w:bCs w:val="0"/>
          <w:color w:val="auto"/>
          <w:lang w:val="en-US" w:eastAsia="zh-CN"/>
        </w:rPr>
        <w:t>月2日09点30分(北京时间)”更正为:“2025年</w:t>
      </w:r>
      <w:r>
        <w:rPr>
          <w:rFonts w:hint="eastAsia"/>
          <w:b w:val="0"/>
          <w:bCs w:val="0"/>
          <w:color w:val="auto"/>
          <w:lang w:val="en-US" w:eastAsia="zh-CN"/>
        </w:rPr>
        <w:t>9</w:t>
      </w:r>
      <w:r>
        <w:rPr>
          <w:rFonts w:hint="default"/>
          <w:b w:val="0"/>
          <w:bCs w:val="0"/>
          <w:color w:val="auto"/>
          <w:lang w:val="en-US" w:eastAsia="zh-CN"/>
        </w:rPr>
        <w:t>月</w:t>
      </w:r>
      <w:r>
        <w:rPr>
          <w:rFonts w:hint="eastAsia"/>
          <w:b w:val="0"/>
          <w:bCs w:val="0"/>
          <w:color w:val="auto"/>
          <w:lang w:val="en-US" w:eastAsia="zh-CN"/>
        </w:rPr>
        <w:t>19</w:t>
      </w:r>
      <w:bookmarkStart w:id="0" w:name="_GoBack"/>
      <w:bookmarkEnd w:id="0"/>
      <w:r>
        <w:rPr>
          <w:rFonts w:hint="default"/>
          <w:b w:val="0"/>
          <w:bCs w:val="0"/>
          <w:color w:val="auto"/>
          <w:lang w:val="en-US" w:eastAsia="zh-CN"/>
        </w:rPr>
        <w:t>日09点</w:t>
      </w:r>
      <w:r>
        <w:rPr>
          <w:rFonts w:hint="default"/>
          <w:b w:val="0"/>
          <w:bCs w:val="0"/>
          <w:lang w:val="en-US" w:eastAsia="zh-CN"/>
        </w:rPr>
        <w:t>30分(北京时间)”</w:t>
      </w:r>
    </w:p>
    <w:p w14:paraId="0A0F04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default"/>
          <w:b w:val="0"/>
          <w:bCs w:val="0"/>
          <w:lang w:val="en-US" w:eastAsia="zh-CN"/>
        </w:rPr>
        <w:t>如采购文件中涉及到以上修改的部分相同内容的，其具体要求视同相应修改。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26146"/>
    <w:multiLevelType w:val="singleLevel"/>
    <w:tmpl w:val="1532614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30B5F"/>
    <w:rsid w:val="091A51B9"/>
    <w:rsid w:val="155641C8"/>
    <w:rsid w:val="16530B5F"/>
    <w:rsid w:val="3CBC30A5"/>
    <w:rsid w:val="57B47949"/>
    <w:rsid w:val="5E9B04E5"/>
    <w:rsid w:val="70BB1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rPr>
      <w:kern w:val="0"/>
      <w:sz w:val="20"/>
    </w:rPr>
  </w:style>
  <w:style w:type="character" w:styleId="5">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3068</Words>
  <Characters>3631</Characters>
  <Lines>0</Lines>
  <Paragraphs>0</Paragraphs>
  <TotalTime>1</TotalTime>
  <ScaleCrop>false</ScaleCrop>
  <LinksUpToDate>false</LinksUpToDate>
  <CharactersWithSpaces>3682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2025-08-22T07:34:00Z</dcterms:created>
  <dc:creator>Enchancer</dc:creator>
  <cp:lastModifiedBy>Enchancer</cp:lastModifiedBy>
  <dcterms:modified xsi:type="dcterms:W3CDTF">2025-09-01T01:18:11Z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F0E8B8B75632412E983748E78674ECB5_11</vt:lpwstr>
  </property>
  <property fmtid="{D5CDD505-2E9C-101B-9397-08002B2CF9AE}" pid="4" name="KSOTemplateDocerSaveRecord">
    <vt:lpwstr>eyJoZGlkIjoiOTkzYzU2MmFiOWRiOGFhMTI3NWE2Nzg4ODM2NWM1ZTciLCJ1c2VySWQiOiIyNTc4ODEyMTgifQ==</vt:lpwstr>
  </property>
</Properties>
</file>