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sz w:val="24"/>
          <w:szCs w:val="24"/>
        </w:rPr>
      </w:pPr>
      <w:r>
        <w:rPr>
          <w:rFonts w:ascii="宋体"/>
          <w:sz w:val="24"/>
          <w:szCs w:val="24"/>
        </w:rPr>
      </w:r>
      <w:r/>
    </w:p>
    <w:p>
      <w:pPr>
        <w:ind w:firstLine="482"/>
        <w:jc w:val="center"/>
        <w:spacing w:line="500" w:lineRule="exact"/>
        <w:rPr>
          <w:rFonts w:ascii="宋体"/>
          <w:b/>
          <w:sz w:val="24"/>
          <w:szCs w:val="24"/>
        </w:rPr>
      </w:pPr>
      <w:r>
        <w:rPr>
          <w:rFonts w:ascii="宋体"/>
          <w:b/>
          <w:sz w:val="24"/>
          <w:szCs w:val="24"/>
        </w:rPr>
      </w:r>
      <w:r/>
    </w:p>
    <w:p>
      <w:pPr>
        <w:ind w:firstLine="482"/>
        <w:jc w:val="center"/>
        <w:spacing w:line="500" w:lineRule="exact"/>
        <w:rPr>
          <w:rFonts w:ascii="宋体"/>
          <w:b/>
          <w:sz w:val="24"/>
          <w:szCs w:val="24"/>
        </w:rPr>
      </w:pPr>
      <w:r>
        <w:rPr>
          <w:rFonts w:ascii="宋体"/>
          <w:b/>
          <w:sz w:val="24"/>
          <w:szCs w:val="24"/>
        </w:rPr>
      </w:r>
      <w:r/>
    </w:p>
    <w:p>
      <w:pPr>
        <w:jc w:val="center"/>
        <w:spacing w:line="420" w:lineRule="auto"/>
        <w:rPr>
          <w:rFonts w:hint="eastAsia" w:ascii="宋体" w:hAnsi="宋体" w:eastAsia="宋体" w:cs="宋体"/>
          <w:bCs/>
          <w:sz w:val="72"/>
          <w:szCs w:val="72"/>
        </w:rPr>
      </w:pPr>
      <w:r>
        <w:rPr>
          <w:rFonts w:hint="eastAsia" w:ascii="宋体" w:hAnsi="宋体" w:eastAsia="宋体" w:cs="宋体"/>
          <w:bCs/>
          <w:sz w:val="72"/>
          <w:szCs w:val="72"/>
        </w:rPr>
        <w:t xml:space="preserve">滨海县政府采购招标文件</w:t>
      </w:r>
      <w:r/>
    </w:p>
    <w:p>
      <w:pPr>
        <w:ind w:firstLine="482"/>
        <w:spacing w:line="500" w:lineRule="exact"/>
        <w:rPr>
          <w:rFonts w:ascii="宋体"/>
          <w:b/>
          <w:sz w:val="24"/>
          <w:szCs w:val="24"/>
        </w:rPr>
      </w:pPr>
      <w:r>
        <w:rPr>
          <w:rFonts w:ascii="宋体"/>
          <w:b/>
          <w:sz w:val="24"/>
          <w:szCs w:val="24"/>
        </w:rPr>
      </w:r>
      <w:r/>
    </w:p>
    <w:p>
      <w:pPr>
        <w:ind w:firstLine="482"/>
        <w:jc w:val="center"/>
        <w:spacing w:line="500" w:lineRule="exact"/>
        <w:rPr>
          <w:rFonts w:ascii="宋体"/>
          <w:b/>
          <w:sz w:val="24"/>
          <w:szCs w:val="24"/>
        </w:rPr>
      </w:pPr>
      <w:r>
        <w:rPr>
          <w:rFonts w:ascii="宋体"/>
          <w:b/>
          <w:sz w:val="24"/>
          <w:szCs w:val="24"/>
        </w:rPr>
      </w:r>
      <w:r/>
    </w:p>
    <w:p>
      <w:pPr>
        <w:ind w:firstLine="482"/>
        <w:jc w:val="center"/>
        <w:spacing w:line="500" w:lineRule="exact"/>
        <w:rPr>
          <w:rFonts w:ascii="宋体"/>
          <w:b/>
          <w:sz w:val="24"/>
          <w:szCs w:val="24"/>
        </w:rPr>
      </w:pPr>
      <w:r>
        <w:rPr>
          <w:rFonts w:ascii="宋体"/>
          <w:b/>
          <w:sz w:val="24"/>
          <w:szCs w:val="24"/>
        </w:rPr>
      </w:r>
      <w:r/>
    </w:p>
    <w:p>
      <w:pPr>
        <w:ind w:firstLine="482"/>
        <w:jc w:val="center"/>
        <w:spacing w:line="500" w:lineRule="exact"/>
        <w:rPr>
          <w:rFonts w:ascii="宋体"/>
          <w:b/>
          <w:sz w:val="24"/>
          <w:szCs w:val="24"/>
        </w:rPr>
      </w:pPr>
      <w:r>
        <w:rPr>
          <w:rFonts w:ascii="宋体"/>
          <w:b/>
          <w:sz w:val="24"/>
          <w:szCs w:val="24"/>
        </w:rPr>
      </w:r>
      <w:r/>
    </w:p>
    <w:p>
      <w:pPr>
        <w:ind w:firstLine="1968"/>
        <w:jc w:val="left"/>
        <w:spacing w:line="720" w:lineRule="auto"/>
        <w:rPr>
          <w:rFonts w:hint="eastAsia" w:ascii="宋体" w:hAnsi="宋体" w:cs="宋体"/>
          <w:b/>
          <w:sz w:val="28"/>
          <w:szCs w:val="28"/>
          <w:u w:val="single"/>
        </w:rPr>
      </w:pPr>
      <w:r>
        <w:rPr>
          <w:rFonts w:hint="eastAsia" w:ascii="宋体" w:hAnsi="宋体" w:cs="宋体"/>
          <w:b/>
          <w:sz w:val="28"/>
          <w:szCs w:val="28"/>
        </w:rPr>
        <w:t xml:space="preserve">项目编号：JSZC-320922-SWGC-G2024-0192</w:t>
      </w:r>
      <w:r/>
    </w:p>
    <w:p>
      <w:pPr>
        <w:ind w:left="1401" w:firstLine="562"/>
        <w:spacing w:line="500" w:lineRule="exact"/>
        <w:rPr>
          <w:rFonts w:ascii="宋体"/>
          <w:b/>
          <w:sz w:val="24"/>
          <w:szCs w:val="24"/>
        </w:rPr>
      </w:pPr>
      <w:r>
        <w:rPr>
          <w:rFonts w:hint="eastAsia" w:ascii="宋体" w:hAnsi="宋体" w:cs="宋体"/>
          <w:b/>
          <w:sz w:val="28"/>
          <w:szCs w:val="28"/>
        </w:rPr>
        <w:t xml:space="preserve">项目名称</w:t>
      </w:r>
      <w:r>
        <w:rPr>
          <w:rFonts w:hint="eastAsia" w:ascii="宋体" w:hAnsi="宋体" w:cs="宋体"/>
          <w:b/>
          <w:sz w:val="32"/>
          <w:szCs w:val="32"/>
          <w:u w:val="none"/>
        </w:rPr>
        <w:t xml:space="preserve">：</w:t>
      </w:r>
      <w:r>
        <w:rPr>
          <w:rFonts w:hint="eastAsia" w:ascii="宋体" w:hAnsi="宋体" w:cs="宋体"/>
          <w:b/>
          <w:sz w:val="28"/>
          <w:szCs w:val="28"/>
          <w:u w:val="none"/>
        </w:rPr>
        <w:t xml:space="preserve">滨海县滨海港镇养殖尾水治理项目</w:t>
      </w:r>
      <w:r/>
    </w:p>
    <w:p>
      <w:pPr>
        <w:ind w:firstLine="482"/>
        <w:spacing w:line="500" w:lineRule="exact"/>
        <w:rPr>
          <w:rFonts w:ascii="宋体"/>
          <w:b/>
          <w:sz w:val="24"/>
          <w:szCs w:val="24"/>
        </w:rPr>
      </w:pPr>
      <w:r>
        <w:rPr>
          <w:rFonts w:ascii="宋体"/>
          <w:b/>
          <w:sz w:val="24"/>
          <w:szCs w:val="24"/>
        </w:rPr>
      </w:r>
      <w:r/>
    </w:p>
    <w:p>
      <w:pPr>
        <w:ind w:firstLine="482"/>
        <w:spacing w:line="500" w:lineRule="exact"/>
        <w:rPr>
          <w:rFonts w:ascii="宋体"/>
          <w:b/>
          <w:sz w:val="24"/>
          <w:szCs w:val="24"/>
        </w:rPr>
      </w:pPr>
      <w:r>
        <w:rPr>
          <w:rFonts w:ascii="宋体"/>
          <w:b/>
          <w:sz w:val="24"/>
          <w:szCs w:val="24"/>
        </w:rPr>
      </w:r>
      <w:r/>
    </w:p>
    <w:p>
      <w:pPr>
        <w:ind w:firstLine="482"/>
        <w:spacing w:line="500" w:lineRule="exact"/>
        <w:rPr>
          <w:rFonts w:ascii="宋体"/>
          <w:b/>
          <w:sz w:val="24"/>
          <w:szCs w:val="24"/>
        </w:rPr>
      </w:pPr>
      <w:r>
        <w:rPr>
          <w:rFonts w:ascii="宋体"/>
          <w:b/>
          <w:sz w:val="24"/>
          <w:szCs w:val="24"/>
        </w:rPr>
      </w:r>
      <w:r/>
    </w:p>
    <w:p>
      <w:pPr>
        <w:ind w:firstLine="700"/>
        <w:jc w:val="center"/>
        <w:spacing w:line="500" w:lineRule="exact"/>
        <w:rPr>
          <w:rFonts w:ascii="宋体" w:cs="黑体"/>
          <w:bCs/>
          <w:spacing w:val="15"/>
          <w:sz w:val="32"/>
          <w:szCs w:val="32"/>
        </w:rPr>
      </w:pPr>
      <w:r>
        <w:rPr>
          <w:rFonts w:ascii="宋体" w:cs="黑体"/>
          <w:bCs/>
          <w:spacing w:val="15"/>
          <w:sz w:val="32"/>
          <w:szCs w:val="32"/>
        </w:rPr>
      </w:r>
      <w:r/>
    </w:p>
    <w:p>
      <w:pPr>
        <w:ind w:firstLine="700"/>
        <w:jc w:val="center"/>
        <w:spacing w:line="500" w:lineRule="exact"/>
        <w:rPr>
          <w:rFonts w:ascii="宋体" w:cs="黑体"/>
          <w:bCs/>
          <w:spacing w:val="15"/>
          <w:sz w:val="32"/>
          <w:szCs w:val="32"/>
        </w:rPr>
      </w:pPr>
      <w:r>
        <w:rPr>
          <w:rFonts w:ascii="宋体" w:cs="黑体"/>
          <w:bCs/>
          <w:spacing w:val="15"/>
          <w:sz w:val="32"/>
          <w:szCs w:val="32"/>
        </w:rPr>
      </w:r>
      <w:r/>
    </w:p>
    <w:p>
      <w:pPr>
        <w:ind w:firstLine="700"/>
        <w:spacing w:line="720" w:lineRule="auto"/>
        <w:rPr>
          <w:rFonts w:hint="eastAsia" w:ascii="宋体" w:hAnsi="宋体" w:cs="黑体"/>
          <w:bCs/>
          <w:spacing w:val="15"/>
          <w:sz w:val="32"/>
          <w:szCs w:val="32"/>
        </w:rPr>
      </w:pPr>
      <w:r>
        <w:rPr>
          <w:rFonts w:hint="eastAsia" w:ascii="宋体" w:hAnsi="宋体" w:cs="黑体"/>
          <w:bCs/>
          <w:spacing w:val="15"/>
          <w:sz w:val="32"/>
          <w:szCs w:val="32"/>
        </w:rPr>
      </w:r>
      <w:r/>
    </w:p>
    <w:p>
      <w:pPr>
        <w:ind w:firstLine="640"/>
        <w:jc w:val="center"/>
        <w:spacing w:line="720" w:lineRule="auto"/>
        <w:rPr>
          <w:rFonts w:ascii="宋体"/>
          <w:sz w:val="32"/>
          <w:szCs w:val="32"/>
        </w:rPr>
      </w:pPr>
      <w:r>
        <w:rPr>
          <w:rFonts w:hint="eastAsia" w:ascii="宋体"/>
          <w:sz w:val="32"/>
          <w:szCs w:val="32"/>
          <w:lang w:val="en-US" w:eastAsia="zh-CN"/>
        </w:rPr>
        <w:t xml:space="preserve">采购人：</w:t>
      </w:r>
      <w:r>
        <w:rPr>
          <w:rFonts w:hint="eastAsia" w:ascii="宋体"/>
          <w:sz w:val="32"/>
          <w:szCs w:val="32"/>
        </w:rPr>
        <w:t xml:space="preserve">滨海县滨海港镇人民政府</w:t>
      </w:r>
      <w:r/>
    </w:p>
    <w:p>
      <w:pPr>
        <w:ind w:firstLine="640"/>
        <w:jc w:val="center"/>
        <w:spacing w:line="500" w:lineRule="exact"/>
        <w:rPr>
          <w:rFonts w:ascii="宋体"/>
          <w:sz w:val="32"/>
          <w:szCs w:val="32"/>
        </w:rPr>
      </w:pPr>
      <w:r>
        <w:rPr>
          <w:rFonts w:hint="eastAsia" w:ascii="宋体" w:hAnsi="宋体"/>
          <w:sz w:val="32"/>
          <w:szCs w:val="32"/>
        </w:rPr>
        <w:t xml:space="preserve">2024年08月</w:t>
      </w:r>
      <w:r/>
    </w:p>
    <w:p>
      <w:pPr>
        <w:ind w:firstLine="1044"/>
        <w:jc w:val="center"/>
        <w:spacing w:line="500" w:lineRule="exact"/>
        <w:rPr>
          <w:rFonts w:hint="eastAsia" w:ascii="宋体" w:hAnsi="宋体"/>
          <w:b/>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720" w:equalWidth="1"/>
          <w:docGrid w:linePitch="360"/>
        </w:sectPr>
        <w:outlineLvl w:val="0"/>
      </w:pPr>
      <w:r/>
      <w:bookmarkStart w:id="0" w:name="_Toc120614210"/>
      <w:r/>
      <w:bookmarkStart w:id="1" w:name="_Toc523127445"/>
      <w:r/>
      <w:bookmarkStart w:id="2" w:name="_Toc16938516"/>
      <w:r/>
      <w:bookmarkStart w:id="3" w:name="_Toc479757206"/>
      <w:r/>
      <w:bookmarkStart w:id="4" w:name="_Toc513029200"/>
      <w:r/>
      <w:bookmarkStart w:id="5" w:name="_Toc20823272"/>
      <w:r/>
      <w:r/>
    </w:p>
    <w:p>
      <w:pPr>
        <w:ind w:firstLine="1044"/>
        <w:jc w:val="center"/>
        <w:spacing w:line="500" w:lineRule="exact"/>
        <w:rPr>
          <w:rFonts w:ascii="宋体"/>
          <w:sz w:val="24"/>
          <w:szCs w:val="24"/>
        </w:rPr>
        <w:outlineLvl w:val="0"/>
      </w:pPr>
      <w:r>
        <w:rPr>
          <w:rFonts w:hint="eastAsia" w:ascii="宋体" w:hAnsi="宋体"/>
          <w:b/>
          <w:sz w:val="52"/>
          <w:szCs w:val="52"/>
        </w:rPr>
        <w:t xml:space="preserve">总目录</w:t>
      </w:r>
      <w:r/>
    </w:p>
    <w:p>
      <w:pPr>
        <w:ind w:firstLine="482"/>
        <w:jc w:val="center"/>
        <w:spacing w:line="500" w:lineRule="exact"/>
        <w:rPr>
          <w:rFonts w:ascii="宋体"/>
          <w:b/>
          <w:sz w:val="24"/>
          <w:szCs w:val="24"/>
        </w:rPr>
      </w:pPr>
      <w:r>
        <w:rPr>
          <w:rFonts w:ascii="宋体"/>
          <w:b/>
          <w:sz w:val="24"/>
          <w:szCs w:val="24"/>
        </w:rPr>
      </w:r>
      <w:r/>
    </w:p>
    <w:p>
      <w:pPr>
        <w:numPr>
          <w:ilvl w:val="0"/>
          <w:numId w:val="2"/>
        </w:numPr>
        <w:ind w:left="940" w:firstLine="640"/>
        <w:jc w:val="center"/>
        <w:spacing w:line="1000" w:lineRule="exact"/>
        <w:rPr>
          <w:rFonts w:ascii="宋体"/>
          <w:sz w:val="32"/>
          <w:szCs w:val="32"/>
        </w:rPr>
        <w:outlineLvl w:val="0"/>
      </w:pPr>
      <w:r>
        <w:rPr>
          <w:rFonts w:hint="eastAsia" w:ascii="宋体" w:hAnsi="宋体"/>
          <w:sz w:val="32"/>
          <w:szCs w:val="32"/>
        </w:rPr>
        <w:t xml:space="preserve">招标公告……………………………………1</w:t>
      </w:r>
      <w:r/>
    </w:p>
    <w:p>
      <w:pPr>
        <w:numPr>
          <w:ilvl w:val="0"/>
          <w:numId w:val="2"/>
        </w:numPr>
        <w:ind w:left="940" w:firstLine="640"/>
        <w:jc w:val="center"/>
        <w:spacing w:line="1000" w:lineRule="exact"/>
        <w:rPr>
          <w:rFonts w:ascii="宋体"/>
          <w:sz w:val="32"/>
          <w:szCs w:val="32"/>
        </w:rPr>
        <w:outlineLvl w:val="0"/>
      </w:pPr>
      <w:r>
        <w:rPr>
          <w:rFonts w:hint="eastAsia" w:ascii="宋体" w:hAnsi="宋体"/>
          <w:bCs/>
          <w:sz w:val="32"/>
          <w:szCs w:val="32"/>
        </w:rPr>
        <w:t xml:space="preserve">投标人须知</w:t>
      </w:r>
      <w:r>
        <w:rPr>
          <w:rFonts w:hint="eastAsia" w:ascii="宋体" w:hAnsi="宋体"/>
          <w:sz w:val="32"/>
          <w:szCs w:val="32"/>
        </w:rPr>
        <w:t xml:space="preserve">…………………………………6</w:t>
      </w:r>
      <w:r/>
    </w:p>
    <w:p>
      <w:pPr>
        <w:numPr>
          <w:ilvl w:val="0"/>
          <w:numId w:val="2"/>
        </w:numPr>
        <w:ind w:left="940" w:firstLine="640"/>
        <w:jc w:val="center"/>
        <w:spacing w:line="1000" w:lineRule="exact"/>
        <w:rPr>
          <w:rFonts w:ascii="宋体"/>
          <w:sz w:val="32"/>
          <w:szCs w:val="32"/>
        </w:rPr>
        <w:outlineLvl w:val="0"/>
      </w:pPr>
      <w:r>
        <w:rPr>
          <w:rFonts w:hint="eastAsia" w:ascii="宋体" w:hAnsi="宋体"/>
          <w:sz w:val="32"/>
          <w:szCs w:val="32"/>
        </w:rPr>
        <w:t xml:space="preserve">合同主要条款…………………………… 20</w:t>
      </w:r>
      <w:r/>
    </w:p>
    <w:p>
      <w:pPr>
        <w:numPr>
          <w:ilvl w:val="0"/>
          <w:numId w:val="2"/>
        </w:numPr>
        <w:ind w:left="940" w:firstLine="640"/>
        <w:jc w:val="center"/>
        <w:spacing w:line="1000" w:lineRule="exact"/>
        <w:rPr>
          <w:rFonts w:ascii="宋体"/>
          <w:sz w:val="32"/>
          <w:szCs w:val="32"/>
        </w:rPr>
        <w:outlineLvl w:val="0"/>
      </w:pPr>
      <w:r>
        <w:rPr>
          <w:rFonts w:hint="eastAsia" w:ascii="宋体" w:hAnsi="宋体"/>
          <w:sz w:val="32"/>
          <w:szCs w:val="32"/>
        </w:rPr>
        <w:t xml:space="preserve">项目需求………………………… ………28</w:t>
      </w:r>
      <w:r/>
    </w:p>
    <w:p>
      <w:pPr>
        <w:numPr>
          <w:ilvl w:val="0"/>
          <w:numId w:val="2"/>
        </w:numPr>
        <w:ind w:left="940" w:firstLine="640"/>
        <w:jc w:val="center"/>
        <w:spacing w:line="1000" w:lineRule="exact"/>
        <w:rPr>
          <w:rFonts w:ascii="宋体"/>
          <w:sz w:val="32"/>
          <w:szCs w:val="32"/>
        </w:rPr>
        <w:outlineLvl w:val="0"/>
      </w:pPr>
      <w:r>
        <w:rPr>
          <w:rFonts w:hint="eastAsia" w:ascii="宋体" w:hAnsi="宋体"/>
          <w:bCs/>
          <w:sz w:val="32"/>
          <w:szCs w:val="32"/>
        </w:rPr>
        <w:t xml:space="preserve">评标方法与评标标准</w:t>
      </w:r>
      <w:r>
        <w:rPr>
          <w:rFonts w:hint="eastAsia" w:ascii="宋体" w:hAnsi="宋体"/>
          <w:sz w:val="32"/>
          <w:szCs w:val="32"/>
        </w:rPr>
        <w:t xml:space="preserve">……………………33</w:t>
      </w:r>
      <w:r/>
    </w:p>
    <w:p>
      <w:pPr>
        <w:numPr>
          <w:ilvl w:val="0"/>
          <w:numId w:val="2"/>
        </w:numPr>
        <w:ind w:left="940" w:firstLine="640"/>
        <w:jc w:val="center"/>
        <w:spacing w:line="1000" w:lineRule="exact"/>
        <w:rPr>
          <w:rFonts w:ascii="宋体"/>
          <w:sz w:val="32"/>
          <w:szCs w:val="32"/>
        </w:rPr>
        <w:outlineLvl w:val="0"/>
      </w:pPr>
      <w:r>
        <w:rPr>
          <w:rFonts w:hint="eastAsia" w:ascii="宋体" w:hAnsi="宋体"/>
          <w:sz w:val="32"/>
          <w:szCs w:val="32"/>
        </w:rPr>
        <w:t xml:space="preserve">投标文件格式……………………………39</w:t>
      </w:r>
      <w:r/>
    </w:p>
    <w:p>
      <w:pPr>
        <w:pStyle w:val="969"/>
        <w:ind w:firstLine="600"/>
      </w:pPr>
      <w:r/>
      <w:r/>
    </w:p>
    <w:p>
      <w:pPr>
        <w:ind w:firstLine="1080"/>
        <w:widowControl/>
        <w:rPr>
          <w:rFonts w:hint="eastAsia" w:ascii="宋体" w:hAnsi="宋体"/>
          <w:bCs/>
          <w:sz w:val="36"/>
          <w:szCs w:val="36"/>
        </w:rPr>
      </w:pPr>
      <w:r>
        <w:rPr>
          <w:rFonts w:hint="eastAsia" w:ascii="宋体" w:hAnsi="宋体"/>
          <w:bCs/>
          <w:sz w:val="36"/>
          <w:szCs w:val="36"/>
        </w:rPr>
      </w:r>
      <w:r/>
    </w:p>
    <w:p>
      <w:pPr>
        <w:pStyle w:val="969"/>
        <w:ind w:firstLine="600"/>
      </w:pPr>
      <w:r/>
      <w:r/>
    </w:p>
    <w:p>
      <w:pPr>
        <w:pStyle w:val="933"/>
        <w:spacing w:line="500" w:lineRule="exact"/>
        <w:rPr>
          <w:rFonts w:hint="eastAsia" w:ascii="宋体" w:hAnsi="宋体" w:eastAsia="宋体"/>
          <w:bCs/>
          <w:sz w:val="24"/>
          <w:szCs w:val="24"/>
        </w:rPr>
      </w:pPr>
      <w:r>
        <w:rPr>
          <w:rFonts w:hint="eastAsia" w:ascii="宋体" w:hAnsi="宋体" w:eastAsia="宋体"/>
          <w:bCs/>
          <w:sz w:val="24"/>
          <w:szCs w:val="24"/>
        </w:rPr>
      </w:r>
      <w:r/>
    </w:p>
    <w:p>
      <w:pPr>
        <w:pStyle w:val="933"/>
        <w:spacing w:line="500" w:lineRule="exact"/>
        <w:rPr>
          <w:rFonts w:hint="eastAsia" w:ascii="宋体" w:hAnsi="宋体" w:eastAsia="宋体"/>
          <w:bCs/>
          <w:sz w:val="24"/>
          <w:szCs w:val="24"/>
        </w:rPr>
      </w:pPr>
      <w:r>
        <w:rPr>
          <w:rFonts w:hint="eastAsia" w:ascii="宋体" w:hAnsi="宋体" w:eastAsia="宋体"/>
          <w:bCs/>
          <w:sz w:val="24"/>
          <w:szCs w:val="24"/>
        </w:rPr>
      </w:r>
      <w:r/>
    </w:p>
    <w:p>
      <w:pPr>
        <w:ind w:firstLine="883"/>
        <w:jc w:val="center"/>
        <w:spacing w:before="156" w:after="156"/>
        <w:widowControl/>
        <w:rPr>
          <w:rFonts w:hint="eastAsia" w:ascii="宋体" w:hAnsi="宋体"/>
          <w:b/>
          <w:sz w:val="44"/>
          <w:szCs w:val="4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b/>
          <w:sz w:val="44"/>
          <w:szCs w:val="44"/>
        </w:rPr>
      </w:r>
      <w:r/>
    </w:p>
    <w:p>
      <w:pPr>
        <w:ind w:firstLine="883"/>
        <w:jc w:val="center"/>
        <w:spacing w:before="156" w:after="156"/>
        <w:widowControl/>
        <w:rPr>
          <w:rFonts w:hint="eastAsia" w:ascii="宋体" w:hAnsi="宋体"/>
          <w:b/>
          <w:sz w:val="44"/>
          <w:szCs w:val="44"/>
        </w:rPr>
      </w:pPr>
      <w:r>
        <w:rPr>
          <w:rFonts w:hint="eastAsia" w:ascii="宋体" w:hAnsi="宋体"/>
          <w:b/>
          <w:sz w:val="44"/>
          <w:szCs w:val="44"/>
        </w:rPr>
        <w:t xml:space="preserve">第一章</w:t>
      </w:r>
      <w:bookmarkEnd w:id="0"/>
      <w:r>
        <w:rPr>
          <w:rFonts w:hint="eastAsia" w:ascii="宋体" w:hAnsi="宋体"/>
          <w:b/>
          <w:sz w:val="44"/>
          <w:szCs w:val="44"/>
        </w:rPr>
        <w:t xml:space="preserve">  招标公告</w:t>
      </w:r>
      <w:r/>
    </w:p>
    <w:p>
      <w:pPr>
        <w:ind w:firstLine="482"/>
        <w:spacing w:line="400" w:lineRule="exact"/>
        <w:widowControl/>
        <w:rPr>
          <w:rFonts w:hint="eastAsia" w:ascii="宋体" w:hAnsi="宋体" w:cs="Arial"/>
          <w:b/>
          <w:sz w:val="24"/>
          <w:szCs w:val="24"/>
        </w:rPr>
      </w:pPr>
      <w:r/>
      <w:bookmarkStart w:id="6" w:name="_Toc28359079"/>
      <w:r/>
      <w:bookmarkStart w:id="7" w:name="_Toc35393790"/>
      <w:r/>
      <w:bookmarkStart w:id="8" w:name="_Toc35393621"/>
      <w:r/>
      <w:bookmarkStart w:id="9" w:name="_Toc28359002"/>
      <w:r/>
      <w:bookmarkStart w:id="10" w:name="_Hlk24379207"/>
      <w:r>
        <w:rPr>
          <w:rFonts w:hint="eastAsia" w:ascii="宋体" w:hAnsi="宋体" w:cs="Arial"/>
          <w:b/>
          <w:sz w:val="24"/>
          <w:szCs w:val="24"/>
        </w:rPr>
        <w:t xml:space="preserve">一、项目基本情况</w:t>
      </w:r>
      <w:bookmarkEnd w:id="6"/>
      <w:r/>
      <w:bookmarkEnd w:id="7"/>
      <w:r/>
      <w:bookmarkEnd w:id="8"/>
      <w:r/>
      <w:bookmarkEnd w:id="9"/>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1.项目编号：JSZC-320922-SWGC-G2024-0192</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2.项目名称：滨海县滨海港镇养殖尾水治理项目</w:t>
      </w:r>
      <w:r/>
    </w:p>
    <w:p>
      <w:pPr>
        <w:ind w:firstLine="480"/>
        <w:spacing w:line="400" w:lineRule="exact"/>
        <w:rPr>
          <w:rFonts w:hint="eastAsia" w:ascii="宋体" w:hAnsi="宋体" w:cs="Arial"/>
          <w:bCs/>
          <w:sz w:val="24"/>
          <w:szCs w:val="24"/>
        </w:rPr>
      </w:pPr>
      <w:r>
        <w:rPr>
          <w:rFonts w:hint="eastAsia" w:ascii="宋体" w:hAnsi="宋体" w:cs="Arial"/>
          <w:bCs/>
          <w:sz w:val="24"/>
          <w:szCs w:val="24"/>
        </w:rPr>
        <w:t xml:space="preserve">3.预算金额:610万元</w:t>
      </w:r>
      <w:r/>
    </w:p>
    <w:p>
      <w:pPr>
        <w:ind w:firstLine="480"/>
        <w:spacing w:line="400" w:lineRule="exact"/>
        <w:rPr>
          <w:rFonts w:hint="eastAsia" w:ascii="宋体" w:hAnsi="宋体" w:cs="Arial"/>
          <w:bCs/>
          <w:sz w:val="24"/>
          <w:szCs w:val="24"/>
        </w:rPr>
      </w:pPr>
      <w:r>
        <w:rPr>
          <w:rFonts w:hint="eastAsia" w:ascii="宋体" w:hAnsi="宋体" w:cs="Arial"/>
          <w:bCs/>
          <w:sz w:val="24"/>
          <w:szCs w:val="24"/>
        </w:rPr>
        <w:t xml:space="preserve">4.最高限价:人民币610万元，高于投标最高限价作为废标处理</w:t>
      </w:r>
      <w:r/>
    </w:p>
    <w:p>
      <w:pPr>
        <w:ind w:firstLine="480"/>
        <w:spacing w:line="400" w:lineRule="exact"/>
        <w:rPr>
          <w:rFonts w:ascii="宋体" w:hAnsi="宋体" w:cs="Arial"/>
          <w:bCs/>
          <w:sz w:val="24"/>
          <w:szCs w:val="24"/>
        </w:rPr>
      </w:pPr>
      <w:r>
        <w:rPr>
          <w:rFonts w:hint="eastAsia" w:ascii="宋体" w:hAnsi="宋体" w:cs="Arial"/>
          <w:bCs/>
          <w:sz w:val="24"/>
          <w:szCs w:val="24"/>
        </w:rPr>
        <w:t xml:space="preserve">5.</w:t>
      </w:r>
      <w:bookmarkEnd w:id="10"/>
      <w:r>
        <w:rPr>
          <w:rFonts w:hint="eastAsia" w:ascii="宋体" w:hAnsi="宋体" w:cs="Arial"/>
          <w:bCs/>
          <w:sz w:val="24"/>
          <w:szCs w:val="24"/>
        </w:rPr>
        <w:t xml:space="preserve">项目概况：</w:t>
      </w:r>
      <w:r/>
    </w:p>
    <w:p>
      <w:pPr>
        <w:ind w:firstLine="480"/>
        <w:spacing w:line="400" w:lineRule="exact"/>
        <w:rPr>
          <w:rFonts w:hint="eastAsia" w:ascii="宋体" w:hAnsi="宋体" w:cs="Arial"/>
          <w:bCs/>
          <w:sz w:val="24"/>
          <w:szCs w:val="24"/>
        </w:rPr>
      </w:pPr>
      <w:r>
        <w:rPr>
          <w:rFonts w:hint="eastAsia" w:ascii="宋体" w:hAnsi="宋体" w:cs="Arial"/>
          <w:bCs/>
          <w:sz w:val="24"/>
          <w:szCs w:val="24"/>
        </w:rPr>
        <w:t xml:space="preserve">滨海县滨海港镇养殖尾水治理项目，养殖区域位于滨海港镇海堤河以东，属于盐城珍禽保护区实验区范围，养殖水</w:t>
      </w:r>
      <w:r>
        <w:rPr>
          <w:rFonts w:hint="eastAsia" w:ascii="宋体" w:hAnsi="宋体" w:cs="Arial"/>
          <w:bCs/>
          <w:sz w:val="24"/>
          <w:szCs w:val="24"/>
        </w:rPr>
        <w:t xml:space="preserve">面面积约为5605.33亩，养殖品种以淡水鱼类为主，该片区存在池塘建设标准不高、池塘尾水水质不达标的问题。近年来，省市县各级政策要求实施池塘生态化改造，对改造过程中有关规划设计、改造标准、配套设施、周边环境、长效管理等方面提出了具体要求，通过实施生态化改造，建设一定比例的尾水净化区及配套相关尾水处理设施等，促进池塘养殖尾水达标排放。根据滨海港镇待治理养殖池塘区位和受纳水域情况，本项目养殖尾水排放执行《池塘养殖尾水排放标准》（DB32/4043-2021）海水受纳水域养殖尾水排放一级限值，治理达标后排入黄海。</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6.采购内容：</w:t>
      </w:r>
      <w:r/>
    </w:p>
    <w:p>
      <w:pPr>
        <w:ind w:firstLine="480"/>
        <w:spacing w:line="400" w:lineRule="exact"/>
        <w:rPr>
          <w:rFonts w:hint="eastAsia" w:ascii="宋体" w:hAnsi="宋体"/>
          <w:sz w:val="24"/>
          <w:szCs w:val="24"/>
        </w:rPr>
      </w:pPr>
      <w:r>
        <w:rPr>
          <w:rFonts w:hint="eastAsia" w:ascii="宋体" w:hAnsi="宋体" w:cs="Arial"/>
          <w:bCs/>
          <w:sz w:val="24"/>
          <w:szCs w:val="24"/>
        </w:rPr>
        <w:t xml:space="preserve">滨海县滨海港镇养殖尾水治理项目的设计、采购、施工、调试直至竣工验收合格。本项目位于盐场珍禽保护区实验区范围内，若需编制本项目对珍禽保护区生物多样性影响评价报告，则报告编制工作包含在采购内容中，具体以相关部门要求为准。</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宋体" w:hAnsi="宋体" w:cs="Arial"/>
          <w:bCs/>
          <w:sz w:val="24"/>
          <w:szCs w:val="24"/>
        </w:rPr>
        <w:t xml:space="preserve">7.</w:t>
      </w:r>
      <w:r>
        <w:rPr>
          <w:rFonts w:hint="eastAsia" w:ascii="宋体" w:hAnsi="宋体" w:eastAsia="宋体" w:cs="宋体"/>
          <w:b/>
          <w:bCs/>
          <w:sz w:val="24"/>
          <w:szCs w:val="24"/>
        </w:rPr>
        <w:t xml:space="preserve">工期</w:t>
      </w:r>
      <w:r>
        <w:rPr>
          <w:rFonts w:hint="eastAsia" w:ascii="宋体" w:hAnsi="宋体" w:eastAsia="宋体" w:cs="宋体"/>
          <w:b/>
          <w:bCs/>
          <w:sz w:val="24"/>
          <w:szCs w:val="24"/>
          <w:lang w:eastAsia="zh-CN"/>
        </w:rPr>
        <w:t xml:space="preserve">：</w:t>
      </w:r>
      <w:r>
        <w:rPr>
          <w:rFonts w:hint="eastAsia" w:asciiTheme="minorEastAsia" w:hAnsiTheme="minorEastAsia" w:eastAsiaTheme="minorEastAsia" w:cstheme="minorEastAsia"/>
          <w:sz w:val="24"/>
          <w:szCs w:val="24"/>
        </w:rPr>
        <w:t xml:space="preserve">80日历天。其中设计周期10日历天，施工周期70日历天。</w:t>
      </w:r>
      <w:r/>
    </w:p>
    <w:p>
      <w:pPr>
        <w:ind w:firstLine="480"/>
        <w:spacing w:line="400" w:lineRule="exact"/>
        <w:rPr>
          <w:rFonts w:ascii="宋体" w:hAnsi="宋体" w:cs="宋体"/>
          <w:sz w:val="24"/>
          <w:szCs w:val="24"/>
        </w:rPr>
      </w:pPr>
      <w:r>
        <w:rPr>
          <w:rFonts w:hint="eastAsia" w:ascii="宋体" w:hAnsi="宋体" w:cs="宋体"/>
          <w:bCs/>
          <w:sz w:val="24"/>
          <w:szCs w:val="24"/>
        </w:rPr>
        <w:t xml:space="preserve">8.合格标准：</w:t>
      </w:r>
      <w:r>
        <w:rPr>
          <w:rFonts w:ascii="宋体" w:hAnsi="宋体" w:cs="宋体"/>
          <w:sz w:val="24"/>
          <w:szCs w:val="24"/>
        </w:rPr>
        <w:t xml:space="preserve"> </w:t>
      </w:r>
      <w:r/>
    </w:p>
    <w:p>
      <w:pPr>
        <w:ind w:firstLine="480"/>
        <w:spacing w:line="400" w:lineRule="exact"/>
        <w:rPr>
          <w:sz w:val="24"/>
          <w:szCs w:val="24"/>
        </w:rPr>
      </w:pPr>
      <w:r>
        <w:rPr>
          <w:rFonts w:hint="eastAsia"/>
          <w:sz w:val="24"/>
          <w:szCs w:val="24"/>
        </w:rPr>
        <w:t xml:space="preserve">（1）设计质量标准：所有工程设计须符合现行国家、行业、地方的相关设计规范、标准、规定等要求，确保设计方案通过主管部门组织的专家评审，施工图审查合格（包括各专项审查）。</w:t>
      </w:r>
      <w:r/>
    </w:p>
    <w:p>
      <w:pPr>
        <w:ind w:firstLine="480"/>
        <w:spacing w:line="400" w:lineRule="exact"/>
        <w:rPr>
          <w:rFonts w:hint="eastAsia"/>
        </w:rPr>
      </w:pPr>
      <w:r>
        <w:rPr>
          <w:rFonts w:hint="eastAsia"/>
          <w:sz w:val="24"/>
          <w:szCs w:val="24"/>
        </w:rPr>
        <w:t xml:space="preserve">（2）设备采购标准：所有设备质量等级均为“合格”，并符合施工图纸中技术需求、国家现行的相关规范标准及有关部门最新颁布的相应的最新标准，项目确保按规范和标准验收，且达合格标准。</w:t>
      </w:r>
      <w:r/>
    </w:p>
    <w:p>
      <w:pPr>
        <w:ind w:firstLine="480"/>
        <w:spacing w:line="400" w:lineRule="exact"/>
        <w:rPr>
          <w:sz w:val="24"/>
          <w:szCs w:val="24"/>
        </w:rPr>
      </w:pPr>
      <w:r>
        <w:rPr>
          <w:rFonts w:hint="eastAsia"/>
          <w:sz w:val="24"/>
          <w:szCs w:val="24"/>
        </w:rPr>
        <w:t xml:space="preserve">（3）施工质量标准：符合现行国家施工及验收规范标准要求，质量标准达“合格”标准，通过镇级、县级、市级验收合格。</w:t>
      </w:r>
      <w:r/>
    </w:p>
    <w:p>
      <w:pPr>
        <w:ind w:left="480"/>
        <w:jc w:val="left"/>
        <w:spacing w:line="400" w:lineRule="exact"/>
        <w:widowControl/>
        <w:tabs>
          <w:tab w:val="left" w:pos="737" w:leader="none"/>
        </w:tabs>
        <w:rPr>
          <w:rFonts w:hint="eastAsia" w:ascii="宋体" w:hAnsi="宋体" w:cs="Arial"/>
          <w:bCs/>
          <w:sz w:val="24"/>
          <w:szCs w:val="24"/>
        </w:rPr>
      </w:pPr>
      <w:r>
        <w:rPr>
          <w:rFonts w:hint="eastAsia" w:ascii="宋体" w:hAnsi="宋体" w:cs="Arial"/>
          <w:bCs/>
          <w:sz w:val="24"/>
          <w:szCs w:val="24"/>
        </w:rPr>
        <w:t xml:space="preserve">9.本项目(是/否)接</w:t>
      </w:r>
      <w:r>
        <w:rPr>
          <w:rFonts w:hint="eastAsia" w:ascii="Times New Roman" w:hAnsi="Times New Roman" w:eastAsia="宋体" w:cs="Times New Roman"/>
          <w:sz w:val="24"/>
          <w:szCs w:val="24"/>
        </w:rPr>
        <w:t xml:space="preserve">受联合体投标:否。</w:t>
      </w:r>
      <w:r/>
    </w:p>
    <w:p>
      <w:pPr>
        <w:ind w:firstLine="482"/>
        <w:spacing w:line="400" w:lineRule="exact"/>
        <w:widowControl/>
        <w:rPr>
          <w:rFonts w:hint="eastAsia" w:ascii="宋体" w:hAnsi="宋体" w:cs="Arial"/>
          <w:b/>
          <w:sz w:val="24"/>
          <w:szCs w:val="24"/>
        </w:rPr>
      </w:pPr>
      <w:r>
        <w:rPr>
          <w:rFonts w:hint="eastAsia" w:ascii="宋体" w:hAnsi="宋体" w:cs="Arial"/>
          <w:b/>
          <w:sz w:val="24"/>
          <w:szCs w:val="24"/>
        </w:rPr>
        <w:t xml:space="preserve">二、申请人的资格要求：</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1.满足《中华人民共和国政府采购法》第二十二条规定，并提供下列材料；</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(2)上一年度的财务报表（2022年度、2023年度均可，成立不满一年不需提供）；</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(3)依法缴纳税收和社会保障资金的相关材料；</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(4)具备履行合同所必需的设备和专业技术能力的书面声明；</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2.落实政府采购政策需满足的资格要求：无。</w:t>
      </w:r>
      <w:r/>
    </w:p>
    <w:p>
      <w:pPr>
        <w:ind w:firstLine="480"/>
        <w:jc w:val="left"/>
        <w:spacing w:line="400" w:lineRule="exact"/>
        <w:widowControl/>
        <w:rPr>
          <w:rFonts w:hint="eastAsia" w:ascii="宋体" w:hAnsi="宋体" w:cs="Arial"/>
          <w:bCs/>
          <w:sz w:val="24"/>
          <w:szCs w:val="24"/>
        </w:rPr>
      </w:pPr>
      <w:r>
        <w:rPr>
          <w:rFonts w:hint="eastAsia" w:ascii="宋体" w:hAnsi="宋体" w:cs="Arial"/>
          <w:bCs/>
          <w:sz w:val="24"/>
          <w:szCs w:val="24"/>
        </w:rPr>
        <w:t xml:space="preserve">3.本项目的特定资格要求：</w:t>
      </w:r>
      <w:r/>
    </w:p>
    <w:p>
      <w:pPr>
        <w:ind w:left="420" w:firstLine="240"/>
        <w:spacing w:line="400" w:lineRule="exact"/>
        <w:rPr>
          <w:rFonts w:hint="eastAsia" w:ascii="宋体" w:hAnsi="宋体"/>
          <w:sz w:val="24"/>
          <w:szCs w:val="24"/>
        </w:rPr>
      </w:pPr>
      <w:r>
        <w:rPr>
          <w:rFonts w:hint="eastAsia" w:ascii="宋体" w:hAnsi="宋体"/>
          <w:sz w:val="24"/>
          <w:szCs w:val="24"/>
        </w:rPr>
        <w:t xml:space="preserve">（1）投标人未被“信用中国”网站（www.creditchina.gov.cn）、“信用江苏”列入失信被执行人、重大税收违法案件当事人名单、政府采购严重失信行为记录名单；</w:t>
      </w:r>
      <w:r/>
    </w:p>
    <w:p>
      <w:pPr>
        <w:ind w:left="420" w:firstLine="240"/>
        <w:spacing w:line="400" w:lineRule="exact"/>
        <w:rPr>
          <w:rFonts w:hint="eastAsia" w:ascii="宋体" w:hAnsi="宋体"/>
          <w:sz w:val="24"/>
          <w:szCs w:val="24"/>
        </w:rPr>
      </w:pPr>
      <w:r>
        <w:rPr>
          <w:rFonts w:hint="eastAsia" w:ascii="宋体" w:hAnsi="宋体"/>
          <w:sz w:val="24"/>
          <w:szCs w:val="24"/>
        </w:rPr>
        <w:t xml:space="preserve">（2）单位负责人为同一人或者存在直接控股、管理关系的不同企业，不得参加同一合同项下的政府采购活动；</w:t>
      </w:r>
      <w:r/>
    </w:p>
    <w:p>
      <w:pPr>
        <w:ind w:left="420" w:firstLine="240"/>
        <w:spacing w:line="400" w:lineRule="exact"/>
        <w:rPr>
          <w:rFonts w:hint="eastAsia" w:ascii="宋体" w:hAnsi="宋体"/>
          <w:sz w:val="24"/>
          <w:szCs w:val="24"/>
        </w:rPr>
      </w:pPr>
      <w:r>
        <w:rPr>
          <w:rFonts w:hint="eastAsia" w:ascii="宋体" w:hAnsi="宋体"/>
          <w:sz w:val="24"/>
          <w:szCs w:val="24"/>
        </w:rPr>
        <w:t xml:space="preserve">(3)投标人资质类别和等级：</w:t>
      </w:r>
      <w:r/>
    </w:p>
    <w:p>
      <w:pPr>
        <w:ind w:left="420" w:firstLine="240"/>
        <w:spacing w:line="400" w:lineRule="exact"/>
        <w:rPr>
          <w:rFonts w:hint="eastAsia" w:ascii="宋体" w:hAnsi="宋体"/>
          <w:sz w:val="24"/>
          <w:szCs w:val="24"/>
        </w:rPr>
      </w:pPr>
      <w:r>
        <w:rPr>
          <w:rFonts w:hint="eastAsia" w:ascii="宋体" w:hAnsi="宋体"/>
          <w:sz w:val="24"/>
          <w:szCs w:val="24"/>
        </w:rPr>
        <w:t xml:space="preserve">投标人需同时具有：</w:t>
      </w:r>
      <w:r/>
    </w:p>
    <w:p>
      <w:pPr>
        <w:ind w:left="630" w:firstLine="480"/>
        <w:spacing w:line="400" w:lineRule="exact"/>
        <w:rPr>
          <w:rFonts w:hint="eastAsia" w:ascii="宋体" w:hAnsi="宋体"/>
          <w:sz w:val="24"/>
          <w:szCs w:val="24"/>
        </w:rPr>
      </w:pPr>
      <w:r>
        <w:rPr>
          <w:rFonts w:ascii="Calibri" w:hAnsi="Calibri" w:cs="Calibri"/>
          <w:sz w:val="24"/>
          <w:szCs w:val="24"/>
        </w:rPr>
        <w:t xml:space="preserve">①</w:t>
      </w:r>
      <w:r>
        <w:rPr>
          <w:rFonts w:hint="eastAsia" w:ascii="宋体" w:hAnsi="宋体"/>
          <w:sz w:val="24"/>
          <w:szCs w:val="24"/>
        </w:rPr>
        <w:t xml:space="preserve">环保工程专业承包三级及以上资质的独立法人，并取得建设行政主管部门颁发的安全生产许可证。</w:t>
      </w:r>
      <w:r/>
    </w:p>
    <w:p>
      <w:pPr>
        <w:ind w:left="630" w:firstLine="480"/>
        <w:spacing w:line="400" w:lineRule="exact"/>
        <w:rPr>
          <w:rFonts w:hint="eastAsia" w:ascii="宋体" w:hAnsi="宋体"/>
          <w:sz w:val="24"/>
          <w:szCs w:val="24"/>
        </w:rPr>
      </w:pPr>
      <w:r>
        <w:rPr>
          <w:rFonts w:ascii="Calibri" w:hAnsi="Calibri" w:cs="Calibri"/>
          <w:sz w:val="24"/>
          <w:szCs w:val="24"/>
        </w:rPr>
        <w:t xml:space="preserve">②</w:t>
      </w:r>
      <w:r>
        <w:rPr>
          <w:rFonts w:hint="eastAsia" w:ascii="宋体" w:hAnsi="宋体"/>
          <w:sz w:val="24"/>
          <w:szCs w:val="24"/>
        </w:rPr>
        <w:t xml:space="preserve">工程设计综合甲级资质或环境工程专项（水污染防治工程）设计乙级及以上资质。</w:t>
      </w:r>
      <w:r/>
    </w:p>
    <w:p>
      <w:pPr>
        <w:ind w:left="630"/>
        <w:spacing w:line="400" w:lineRule="exact"/>
        <w:rPr>
          <w:rFonts w:hint="eastAsia" w:ascii="宋体" w:hAnsi="宋体"/>
          <w:sz w:val="24"/>
          <w:szCs w:val="24"/>
        </w:rPr>
      </w:pPr>
      <w:r>
        <w:rPr>
          <w:rFonts w:hint="eastAsia" w:ascii="宋体" w:hAnsi="宋体"/>
          <w:sz w:val="24"/>
          <w:szCs w:val="24"/>
        </w:rPr>
        <w:t xml:space="preserve">（4）项目负责人资格和要求：</w:t>
      </w:r>
      <w:r/>
    </w:p>
    <w:p>
      <w:pPr>
        <w:ind w:left="420" w:firstLine="480"/>
        <w:spacing w:line="400" w:lineRule="exact"/>
        <w:rPr>
          <w:rFonts w:hint="eastAsia" w:ascii="宋体" w:hAnsi="宋体"/>
          <w:sz w:val="24"/>
          <w:szCs w:val="24"/>
        </w:rPr>
      </w:pPr>
      <w:r>
        <w:rPr>
          <w:rFonts w:hint="eastAsia" w:ascii="宋体" w:hAnsi="宋体"/>
          <w:sz w:val="24"/>
          <w:szCs w:val="24"/>
        </w:rPr>
        <w:t xml:space="preserve">项目负责人须是本单位的正式职工，具有二级建造师（市政公用工程）注册证书或环境工程专业中级及以上职称。</w:t>
      </w:r>
      <w:r/>
    </w:p>
    <w:p>
      <w:pPr>
        <w:ind w:left="420" w:firstLine="240"/>
        <w:spacing w:line="400" w:lineRule="exact"/>
        <w:rPr>
          <w:rFonts w:hint="eastAsia" w:ascii="宋体" w:hAnsi="宋体"/>
          <w:sz w:val="24"/>
          <w:szCs w:val="24"/>
        </w:rPr>
      </w:pPr>
      <w:r>
        <w:rPr>
          <w:rFonts w:hint="eastAsia" w:ascii="宋体" w:hAnsi="宋体"/>
          <w:sz w:val="24"/>
          <w:szCs w:val="24"/>
        </w:rPr>
        <w:t xml:space="preserve">(5)投标申请人须保证项目负责人为本单位的正式职工，并确保从投标截止之日当月向前连续3个月均已在本单位缴纳养老保险（例：如开标日期为202</w:t>
      </w:r>
      <w:r>
        <w:rPr>
          <w:rFonts w:hint="eastAsia" w:ascii="宋体" w:hAnsi="宋体"/>
          <w:sz w:val="24"/>
          <w:szCs w:val="24"/>
          <w:lang w:val="en-US" w:eastAsia="zh-CN"/>
        </w:rPr>
        <w:t xml:space="preserve">4</w:t>
      </w:r>
      <w:r>
        <w:rPr>
          <w:rFonts w:hint="eastAsia" w:ascii="宋体" w:hAnsi="宋体"/>
          <w:sz w:val="24"/>
          <w:szCs w:val="24"/>
        </w:rPr>
        <w:t xml:space="preserve">年</w:t>
      </w:r>
      <w:r>
        <w:rPr>
          <w:rFonts w:hint="eastAsia" w:ascii="宋体" w:hAnsi="宋体"/>
          <w:sz w:val="24"/>
          <w:szCs w:val="24"/>
          <w:lang w:val="en-US" w:eastAsia="zh-CN"/>
        </w:rPr>
        <w:t xml:space="preserve">9</w:t>
      </w:r>
      <w:r>
        <w:rPr>
          <w:rFonts w:hint="eastAsia" w:ascii="宋体" w:hAnsi="宋体"/>
          <w:sz w:val="24"/>
          <w:szCs w:val="24"/>
        </w:rPr>
        <w:t xml:space="preserve">月的某一天，则投标单位需保证以上人员202</w:t>
      </w:r>
      <w:r>
        <w:rPr>
          <w:rFonts w:hint="eastAsia" w:ascii="宋体" w:hAnsi="宋体"/>
          <w:sz w:val="24"/>
          <w:szCs w:val="24"/>
          <w:lang w:val="en-US" w:eastAsia="zh-CN"/>
        </w:rPr>
        <w:t xml:space="preserve">4</w:t>
      </w:r>
      <w:r>
        <w:rPr>
          <w:rFonts w:hint="eastAsia" w:ascii="宋体" w:hAnsi="宋体"/>
          <w:sz w:val="24"/>
          <w:szCs w:val="24"/>
        </w:rPr>
        <w:t xml:space="preserve">年</w:t>
      </w:r>
      <w:r>
        <w:rPr>
          <w:rFonts w:hint="eastAsia" w:ascii="宋体" w:hAnsi="宋体"/>
          <w:sz w:val="24"/>
          <w:szCs w:val="24"/>
          <w:lang w:val="en-US" w:eastAsia="zh-CN"/>
        </w:rPr>
        <w:t xml:space="preserve">6</w:t>
      </w:r>
      <w:r>
        <w:rPr>
          <w:rFonts w:hint="eastAsia" w:ascii="宋体" w:hAnsi="宋体"/>
          <w:sz w:val="24"/>
          <w:szCs w:val="24"/>
        </w:rPr>
        <w:t xml:space="preserve">月-202</w:t>
      </w:r>
      <w:r>
        <w:rPr>
          <w:rFonts w:hint="eastAsia" w:ascii="宋体" w:hAnsi="宋体"/>
          <w:sz w:val="24"/>
          <w:szCs w:val="24"/>
          <w:lang w:val="en-US" w:eastAsia="zh-CN"/>
        </w:rPr>
        <w:t xml:space="preserve">4</w:t>
      </w:r>
      <w:r>
        <w:rPr>
          <w:rFonts w:hint="eastAsia" w:ascii="宋体" w:hAnsi="宋体"/>
          <w:sz w:val="24"/>
          <w:szCs w:val="24"/>
        </w:rPr>
        <w:t xml:space="preserve">年</w:t>
      </w:r>
      <w:r>
        <w:rPr>
          <w:rFonts w:hint="eastAsia" w:ascii="宋体" w:hAnsi="宋体"/>
          <w:sz w:val="24"/>
          <w:szCs w:val="24"/>
          <w:lang w:val="en-US" w:eastAsia="zh-CN"/>
        </w:rPr>
        <w:t xml:space="preserve">8</w:t>
      </w:r>
      <w:r>
        <w:rPr>
          <w:rFonts w:hint="eastAsia" w:ascii="宋体" w:hAnsi="宋体"/>
          <w:sz w:val="24"/>
          <w:szCs w:val="24"/>
        </w:rPr>
        <w:t xml:space="preserve">月的养老保险均在本单位缴纳），投标时需提供从投标截止之日当月向前连续3个月缴费记录证明。</w:t>
      </w:r>
      <w:r/>
    </w:p>
    <w:p>
      <w:pPr>
        <w:ind w:left="420" w:firstLine="482"/>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sz w:val="24"/>
          <w:szCs w:val="24"/>
        </w:rPr>
      </w:pPr>
      <w:r>
        <w:rPr>
          <w:rFonts w:hint="eastAsia" w:ascii="宋体" w:hAnsi="宋体"/>
          <w:sz w:val="24"/>
          <w:szCs w:val="24"/>
        </w:rPr>
        <w:t xml:space="preserve">时间：2024年</w:t>
      </w:r>
      <w:r>
        <w:rPr>
          <w:rFonts w:hint="eastAsia" w:ascii="宋体" w:hAnsi="宋体"/>
          <w:sz w:val="24"/>
          <w:szCs w:val="24"/>
          <w:lang w:val="en-US" w:eastAsia="zh-CN"/>
        </w:rPr>
        <w:t xml:space="preserve">8</w:t>
      </w:r>
      <w:r>
        <w:rPr>
          <w:rFonts w:hint="eastAsia" w:ascii="宋体" w:hAnsi="宋体"/>
          <w:sz w:val="24"/>
          <w:szCs w:val="24"/>
        </w:rPr>
        <w:t xml:space="preserve">月</w:t>
      </w:r>
      <w:r>
        <w:rPr>
          <w:rFonts w:hint="eastAsia" w:ascii="宋体" w:hAnsi="宋体"/>
          <w:sz w:val="24"/>
          <w:szCs w:val="24"/>
          <w:lang w:val="en-US" w:eastAsia="zh-CN"/>
        </w:rPr>
        <w:t xml:space="preserve">28</w:t>
      </w:r>
      <w:r>
        <w:rPr>
          <w:rFonts w:hint="eastAsia" w:ascii="宋体" w:hAnsi="宋体"/>
          <w:sz w:val="24"/>
          <w:szCs w:val="24"/>
        </w:rPr>
        <w:t xml:space="preserve">日至2024年</w:t>
      </w:r>
      <w:r>
        <w:rPr>
          <w:rFonts w:hint="eastAsia" w:ascii="宋体" w:hAnsi="宋体"/>
          <w:sz w:val="24"/>
          <w:szCs w:val="24"/>
          <w:lang w:val="en-US" w:eastAsia="zh-CN"/>
        </w:rPr>
        <w:t xml:space="preserve">9</w:t>
      </w:r>
      <w:r>
        <w:rPr>
          <w:rFonts w:hint="eastAsia" w:ascii="宋体" w:hAnsi="宋体"/>
          <w:sz w:val="24"/>
          <w:szCs w:val="24"/>
        </w:rPr>
        <w:t xml:space="preserve">月</w:t>
      </w:r>
      <w:r>
        <w:rPr>
          <w:rFonts w:hint="eastAsia" w:ascii="宋体" w:hAnsi="宋体"/>
          <w:sz w:val="24"/>
          <w:szCs w:val="24"/>
          <w:lang w:val="en-US" w:eastAsia="zh-CN"/>
        </w:rPr>
        <w:t xml:space="preserve">5</w:t>
      </w:r>
      <w:r>
        <w:rPr>
          <w:rFonts w:hint="eastAsia" w:ascii="宋体" w:hAnsi="宋体"/>
          <w:sz w:val="24"/>
          <w:szCs w:val="24"/>
        </w:rPr>
        <w:t xml:space="preserve">日，每天上午08:00-11:30，下午14:00-18:00(北京时间，法定节假日除外)</w:t>
      </w:r>
      <w:r/>
    </w:p>
    <w:p>
      <w:pPr>
        <w:ind w:firstLine="480"/>
        <w:spacing w:line="400" w:lineRule="exact"/>
        <w:rPr>
          <w:rFonts w:hint="eastAsia" w:ascii="宋体" w:hAnsi="宋体"/>
          <w:sz w:val="24"/>
          <w:szCs w:val="24"/>
        </w:rPr>
      </w:pPr>
      <w:r>
        <w:rPr>
          <w:rFonts w:hint="eastAsia" w:ascii="宋体" w:hAnsi="宋体"/>
          <w:sz w:val="24"/>
          <w:szCs w:val="24"/>
        </w:rPr>
        <w:t xml:space="preserve">地点：江苏苏维工程管理有限公司盐城分公司(</w:t>
      </w:r>
      <w:r>
        <w:rPr>
          <w:rFonts w:hint="eastAsia" w:ascii="宋体" w:hAnsi="宋体" w:cs="Arial"/>
          <w:bCs/>
          <w:sz w:val="24"/>
          <w:szCs w:val="24"/>
        </w:rPr>
        <w:t xml:space="preserve">滨海县富康路西侧华德名人苑H5栋111室</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方式：公告发布后，凡自愿参加且能满足上述资格条件的申请人，请于2024年 </w:t>
      </w:r>
      <w:r>
        <w:rPr>
          <w:rFonts w:hint="eastAsia" w:ascii="宋体" w:hAnsi="宋体"/>
          <w:sz w:val="24"/>
          <w:szCs w:val="24"/>
          <w:lang w:val="en-US" w:eastAsia="zh-CN"/>
        </w:rPr>
        <w:t xml:space="preserve">9</w:t>
      </w:r>
      <w:r>
        <w:rPr>
          <w:rFonts w:hint="eastAsia" w:ascii="宋体" w:hAnsi="宋体"/>
          <w:sz w:val="24"/>
          <w:szCs w:val="24"/>
        </w:rPr>
        <w:t xml:space="preserve">月</w:t>
      </w:r>
      <w:r>
        <w:rPr>
          <w:rFonts w:hint="eastAsia" w:ascii="宋体" w:hAnsi="宋体"/>
          <w:sz w:val="24"/>
          <w:szCs w:val="24"/>
          <w:lang w:val="en-US" w:eastAsia="zh-CN"/>
        </w:rPr>
        <w:t xml:space="preserve">5</w:t>
      </w:r>
      <w:r>
        <w:rPr>
          <w:rFonts w:hint="eastAsia" w:ascii="宋体" w:hAnsi="宋体"/>
          <w:sz w:val="24"/>
          <w:szCs w:val="24"/>
        </w:rPr>
        <w:t xml:space="preserve">日18时 00分前，</w:t>
      </w:r>
      <w:r>
        <w:rPr>
          <w:rFonts w:hint="eastAsia" w:ascii="宋体" w:hAnsi="宋体"/>
          <w:sz w:val="24"/>
          <w:szCs w:val="24"/>
        </w:rPr>
        <w:t xml:space="preserve">到</w:t>
      </w:r>
      <w:r>
        <w:rPr>
          <w:rFonts w:hint="eastAsia" w:ascii="宋体" w:hAnsi="宋体" w:cs="Arial"/>
          <w:bCs/>
          <w:sz w:val="24"/>
          <w:szCs w:val="24"/>
        </w:rPr>
        <w:t xml:space="preserve">滨海县富康路西侧华德名人苑H5栋111室</w:t>
      </w:r>
      <w:r>
        <w:rPr>
          <w:rFonts w:hint="eastAsia" w:ascii="宋体" w:hAnsi="宋体"/>
          <w:sz w:val="24"/>
          <w:szCs w:val="24"/>
        </w:rPr>
        <w:t xml:space="preserve">确认参与报名或发送报名材料至767010265@qq.com，并电话联系：0515-84121888/18994845959确认参与报名（报名时须提供介绍信或法人授权委托书以及本人身份证复印件并加盖公章）。报名确认后获取招标文件（未参与投标报名的，其投标文件将不予接受）。投标申请人获取招标文件后如放弃投标的，须在开标三天前以邮件（767010265@qq.com）或其他有效形式通知招标代理机构或采购人，否则，将以不诚信投标在网上予以公示一个月。在公告期间，采购人可以不接受其他项目投标。</w:t>
      </w:r>
      <w:r/>
    </w:p>
    <w:p>
      <w:pPr>
        <w:pStyle w:val="933"/>
        <w:ind w:firstLine="482"/>
        <w:jc w:val="left"/>
        <w:spacing w:before="156" w:after="156" w:line="400" w:lineRule="exact"/>
        <w:tabs>
          <w:tab w:val="left" w:pos="0" w:leader="none"/>
          <w:tab w:val="left" w:pos="3165"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四、提交投标文件截止时间、开标时间和地点</w:t>
      </w:r>
      <w:r/>
    </w:p>
    <w:p>
      <w:pPr>
        <w:ind w:firstLine="480"/>
        <w:spacing w:line="400" w:lineRule="exact"/>
        <w:rPr>
          <w:rFonts w:hint="eastAsia" w:ascii="宋体" w:hAnsi="宋体"/>
          <w:sz w:val="24"/>
          <w:szCs w:val="24"/>
          <w:highlight w:val="yellow"/>
        </w:rPr>
      </w:pPr>
      <w:r>
        <w:rPr>
          <w:rFonts w:hint="eastAsia" w:ascii="宋体" w:hAnsi="宋体"/>
          <w:sz w:val="24"/>
          <w:szCs w:val="24"/>
        </w:rPr>
        <w:t xml:space="preserve">时间</w:t>
      </w:r>
      <w:r>
        <w:rPr>
          <w:rFonts w:hint="eastAsia" w:ascii="宋体" w:hAnsi="宋体" w:cs="Arial"/>
          <w:bCs/>
          <w:sz w:val="24"/>
          <w:szCs w:val="24"/>
        </w:rPr>
        <w:t xml:space="preserve">：2024年</w:t>
      </w:r>
      <w:r>
        <w:rPr>
          <w:rFonts w:hint="eastAsia" w:ascii="宋体" w:hAnsi="宋体" w:cs="Arial"/>
          <w:bCs/>
          <w:sz w:val="24"/>
          <w:szCs w:val="24"/>
          <w:lang w:val="en-US" w:eastAsia="zh-CN"/>
        </w:rPr>
        <w:t xml:space="preserve">9</w:t>
      </w:r>
      <w:r>
        <w:rPr>
          <w:rFonts w:hint="eastAsia" w:ascii="宋体" w:hAnsi="宋体" w:cs="Arial"/>
          <w:bCs/>
          <w:sz w:val="24"/>
          <w:szCs w:val="24"/>
        </w:rPr>
        <w:t xml:space="preserve">月</w:t>
      </w:r>
      <w:r>
        <w:rPr>
          <w:rFonts w:hint="eastAsia" w:ascii="宋体" w:hAnsi="宋体" w:cs="Arial"/>
          <w:bCs/>
          <w:sz w:val="24"/>
          <w:szCs w:val="24"/>
          <w:lang w:val="en-US" w:eastAsia="zh-CN"/>
        </w:rPr>
        <w:t xml:space="preserve">19</w:t>
      </w:r>
      <w:r>
        <w:rPr>
          <w:rFonts w:hint="eastAsia" w:ascii="宋体" w:hAnsi="宋体" w:cs="Arial"/>
          <w:bCs/>
          <w:sz w:val="24"/>
          <w:szCs w:val="24"/>
        </w:rPr>
        <w:t xml:space="preserve">日 </w:t>
      </w:r>
      <w:r>
        <w:rPr>
          <w:rFonts w:hint="eastAsia" w:ascii="宋体" w:hAnsi="宋体" w:cs="Arial"/>
          <w:bCs/>
          <w:sz w:val="24"/>
          <w:szCs w:val="24"/>
          <w:lang w:val="en-US" w:eastAsia="zh-CN"/>
        </w:rPr>
        <w:t xml:space="preserve">9</w:t>
      </w:r>
      <w:r>
        <w:rPr>
          <w:rFonts w:hint="eastAsia" w:ascii="宋体" w:hAnsi="宋体" w:cs="Arial"/>
          <w:bCs/>
          <w:sz w:val="24"/>
          <w:szCs w:val="24"/>
        </w:rPr>
        <w:t xml:space="preserve">点 </w:t>
      </w:r>
      <w:r>
        <w:rPr>
          <w:rFonts w:hint="eastAsia" w:ascii="宋体" w:hAnsi="宋体" w:cs="Arial"/>
          <w:bCs/>
          <w:sz w:val="24"/>
          <w:szCs w:val="24"/>
          <w:lang w:val="en-US" w:eastAsia="zh-CN"/>
        </w:rPr>
        <w:t xml:space="preserve">00</w:t>
      </w:r>
      <w:r>
        <w:rPr>
          <w:rFonts w:hint="eastAsia" w:ascii="宋体" w:hAnsi="宋体" w:cs="Arial"/>
          <w:bCs/>
          <w:sz w:val="24"/>
          <w:szCs w:val="24"/>
        </w:rPr>
        <w:t xml:space="preserve"> 分（北京时间）</w:t>
      </w:r>
      <w:r/>
    </w:p>
    <w:p>
      <w:pPr>
        <w:ind w:firstLine="480"/>
        <w:spacing w:line="400" w:lineRule="exact"/>
        <w:rPr>
          <w:rFonts w:hint="eastAsia" w:ascii="宋体" w:hAnsi="宋体"/>
          <w:sz w:val="24"/>
          <w:szCs w:val="24"/>
          <w:u w:val="single"/>
        </w:rPr>
      </w:pPr>
      <w:r>
        <w:rPr>
          <w:rFonts w:hint="eastAsia" w:ascii="宋体" w:hAnsi="宋体"/>
          <w:sz w:val="24"/>
          <w:szCs w:val="24"/>
        </w:rPr>
        <w:t xml:space="preserve">地点：</w:t>
      </w:r>
      <w:r>
        <w:rPr>
          <w:rFonts w:hint="eastAsia" w:ascii="宋体" w:hAnsi="宋体"/>
          <w:sz w:val="24"/>
          <w:szCs w:val="24"/>
          <w:u w:val="single"/>
        </w:rPr>
        <w:t xml:space="preserve">江苏苏维工程管理有限公司盐城分公司（</w:t>
      </w:r>
      <w:r>
        <w:rPr>
          <w:rFonts w:hint="eastAsia" w:ascii="宋体" w:hAnsi="宋体" w:cs="Arial"/>
          <w:bCs/>
          <w:sz w:val="24"/>
          <w:szCs w:val="24"/>
        </w:rPr>
        <w:t xml:space="preserve">滨海县富康路西侧华德名人苑H5栋111室</w:t>
      </w:r>
      <w:r>
        <w:rPr>
          <w:rFonts w:hint="eastAsia" w:ascii="宋体" w:hAnsi="宋体"/>
          <w:sz w:val="24"/>
          <w:szCs w:val="24"/>
          <w:u w:val="single"/>
        </w:rPr>
        <w:t xml:space="preserve">）</w:t>
      </w:r>
      <w:r/>
    </w:p>
    <w:p>
      <w:pPr>
        <w:pStyle w:val="933"/>
        <w:ind w:firstLine="482"/>
        <w:jc w:val="left"/>
        <w:spacing w:before="156" w:after="156" w:line="400" w:lineRule="exact"/>
        <w:tabs>
          <w:tab w:val="left" w:pos="0" w:leader="none"/>
          <w:tab w:val="left" w:pos="3165"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pStyle w:val="933"/>
        <w:ind w:firstLine="482"/>
        <w:jc w:val="left"/>
        <w:spacing w:before="156" w:after="156" w:line="400" w:lineRule="exact"/>
        <w:tabs>
          <w:tab w:val="left" w:pos="0" w:leader="none"/>
          <w:tab w:val="left" w:pos="3165"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六、其他补充事宜</w:t>
      </w:r>
      <w:r/>
    </w:p>
    <w:p>
      <w:pPr>
        <w:ind w:firstLine="240"/>
        <w:jc w:val="left"/>
        <w:spacing w:line="4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1.投标文件要求正本一份，副本四份。</w:t>
      </w:r>
      <w:r/>
    </w:p>
    <w:p>
      <w:pPr>
        <w:ind w:firstLine="240"/>
        <w:jc w:val="left"/>
        <w:spacing w:line="4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2.各投标人在投标截止时间前应当每天都上网查询，以便获取更新的澄清、修改、补充内容，凡涉及到该项目的补充说明和修改，均以江苏政府采购网上的更正或补充通知为准。</w:t>
      </w:r>
      <w:r/>
    </w:p>
    <w:p>
      <w:pPr>
        <w:ind w:firstLine="240"/>
        <w:jc w:val="left"/>
        <w:spacing w:line="4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3.投标人如在投标过程中存在以下行为，将被列入不良行为记录名单。</w:t>
      </w:r>
      <w:r/>
    </w:p>
    <w:p>
      <w:pPr>
        <w:ind w:firstLine="240"/>
        <w:jc w:val="left"/>
        <w:spacing w:line="4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3.1提供虚假材料谋取中标成交的或采取不正当手段诋毁、排挤其他供应商的；</w:t>
      </w:r>
      <w:r/>
    </w:p>
    <w:p>
      <w:pPr>
        <w:ind w:firstLine="240"/>
        <w:jc w:val="left"/>
        <w:spacing w:line="4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3.2投标人递交无竞争力投标文件的。</w:t>
      </w:r>
      <w:r/>
    </w:p>
    <w:p>
      <w:pPr>
        <w:ind w:firstLine="240"/>
        <w:spacing w:line="400" w:lineRule="exact"/>
        <w:rPr>
          <w:rFonts w:hint="eastAsia" w:ascii="宋体" w:hAnsi="宋体" w:cs="宋体"/>
          <w:sz w:val="24"/>
          <w:szCs w:val="24"/>
        </w:rPr>
      </w:pPr>
      <w:r>
        <w:rPr>
          <w:rFonts w:hint="eastAsia" w:ascii="宋体" w:hAnsi="宋体" w:cs="宋体"/>
          <w:sz w:val="24"/>
          <w:szCs w:val="24"/>
        </w:rPr>
        <w:t xml:space="preserve">4.投标人存在串通投标、以他人名义投标、弄虚作假等违法违规行为，或者无正当理由放弃投标、中标资格，造成项目招标失败的，不得参加该项目重新招标的投标。</w:t>
      </w:r>
      <w:r/>
    </w:p>
    <w:p>
      <w:pPr>
        <w:ind w:firstLine="240"/>
        <w:spacing w:line="400" w:lineRule="exact"/>
        <w:rPr>
          <w:rFonts w:hint="eastAsia" w:ascii="宋体" w:hAnsi="宋体" w:cs="宋体"/>
          <w:sz w:val="24"/>
          <w:szCs w:val="24"/>
        </w:rPr>
      </w:pPr>
      <w:r>
        <w:rPr>
          <w:rFonts w:hint="eastAsia" w:ascii="宋体" w:hAnsi="宋体" w:cs="宋体"/>
          <w:sz w:val="24"/>
          <w:szCs w:val="24"/>
        </w:rPr>
        <w:t xml:space="preserve">5、（1）、根据 盐财购〔2021〕19号文件要求采购人应当在政府采购活动中应用第三方信用报告，通过“信易购”应用场景，促进市场主体诚信经营。从2022年开始所有政府采购项目纳入信易购管理；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（2）、根据盐财购〔2021〕19号文件要求，代理机构积极配合做好政府采购线上合同信用融资工作。</w:t>
      </w:r>
      <w:r/>
    </w:p>
    <w:p>
      <w:pPr>
        <w:pStyle w:val="969"/>
        <w:ind w:firstLine="240"/>
        <w:spacing w:line="400" w:lineRule="exact"/>
        <w:rPr>
          <w:rFonts w:hint="eastAsia" w:ascii="宋体" w:hAnsi="宋体" w:eastAsia="宋体" w:cs="宋体"/>
          <w:sz w:val="24"/>
          <w:szCs w:val="24"/>
        </w:rPr>
      </w:pPr>
      <w:r>
        <w:rPr>
          <w:rFonts w:hint="eastAsia" w:ascii="宋体" w:hAnsi="宋体" w:cs="宋体"/>
          <w:sz w:val="24"/>
          <w:szCs w:val="24"/>
        </w:rPr>
        <w:t xml:space="preserve">6、</w:t>
      </w:r>
      <w:r>
        <w:rPr>
          <w:rFonts w:hint="eastAsia" w:ascii="宋体" w:hAnsi="宋体" w:eastAsia="宋体" w:cs="宋体"/>
          <w:sz w:val="24"/>
          <w:szCs w:val="24"/>
        </w:rPr>
        <w:t xml:space="preserve">各投标人自行勘察现场，勘察现场前请先行与采购人联系。</w:t>
      </w:r>
      <w:r/>
    </w:p>
    <w:p>
      <w:pPr>
        <w:ind w:firstLine="240"/>
        <w:jc w:val="left"/>
        <w:spacing w:line="400" w:lineRule="exact"/>
        <w:shd w:val="clear" w:color="auto" w:fill="ffffff"/>
        <w:widowControl/>
      </w:pPr>
      <w:r>
        <w:rPr>
          <w:rFonts w:hint="eastAsia" w:ascii="宋体" w:hAnsi="宋体" w:cs="宋体"/>
          <w:sz w:val="24"/>
          <w:szCs w:val="24"/>
        </w:rPr>
        <w:t xml:space="preserve">7、本项目不接受联合体投标。</w:t>
      </w:r>
      <w:r/>
    </w:p>
    <w:p>
      <w:pPr>
        <w:pStyle w:val="933"/>
        <w:ind w:firstLine="482"/>
        <w:jc w:val="left"/>
        <w:spacing w:before="156" w:after="156" w:line="400" w:lineRule="exact"/>
        <w:tabs>
          <w:tab w:val="left" w:pos="0" w:leader="none"/>
          <w:tab w:val="left" w:pos="3165"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七、对本次招标提出询问，请按</w:t>
      </w:r>
      <w:r>
        <w:rPr>
          <w:rFonts w:ascii="宋体" w:hAnsi="宋体" w:eastAsia="宋体"/>
          <w:b/>
          <w:sz w:val="24"/>
          <w:szCs w:val="24"/>
        </w:rPr>
        <w:t xml:space="preserve">以下方式</w:t>
      </w:r>
      <w:r>
        <w:rPr>
          <w:rFonts w:hint="eastAsia" w:ascii="宋体" w:hAnsi="宋体" w:eastAsia="宋体"/>
          <w:b/>
          <w:sz w:val="24"/>
          <w:szCs w:val="24"/>
        </w:rPr>
        <w:t xml:space="preserve">联系。</w:t>
      </w:r>
      <w:r/>
    </w:p>
    <w:p>
      <w:pPr>
        <w:pStyle w:val="933"/>
        <w:jc w:val="both"/>
        <w:spacing w:line="400" w:lineRule="exact"/>
        <w:tabs>
          <w:tab w:val="left" w:pos="0" w:leader="none"/>
          <w:tab w:val="left" w:pos="3165" w:leader="none"/>
          <w:tab w:val="center" w:pos="4153" w:leader="none"/>
        </w:tabs>
        <w:rPr>
          <w:rFonts w:hint="eastAsia" w:ascii="宋体" w:hAnsi="宋体" w:eastAsia="宋体"/>
          <w:sz w:val="24"/>
          <w:szCs w:val="24"/>
        </w:rPr>
      </w:pPr>
      <w:r>
        <w:rPr>
          <w:rFonts w:hint="eastAsia" w:ascii="宋体" w:hAnsi="宋体" w:eastAsia="宋体" w:cs="宋体"/>
          <w:sz w:val="24"/>
          <w:szCs w:val="24"/>
        </w:rPr>
        <w:t xml:space="preserve">1.采购人信息</w:t>
      </w:r>
      <w:r/>
    </w:p>
    <w:p>
      <w:pPr>
        <w:ind w:left="1079" w:hanging="300"/>
        <w:jc w:val="left"/>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滨海县滨海港镇人民政府</w:t>
      </w:r>
      <w:r/>
    </w:p>
    <w:p>
      <w:pPr>
        <w:ind w:left="1079" w:hanging="300"/>
        <w:jc w:val="left"/>
        <w:spacing w:line="400" w:lineRule="exact"/>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滨海县滨海港镇府前路1号</w:t>
      </w:r>
      <w:r/>
    </w:p>
    <w:p>
      <w:pPr>
        <w:ind w:firstLine="720"/>
        <w:spacing w:line="40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李</w:t>
      </w:r>
      <w:r>
        <w:rPr>
          <w:rFonts w:hint="eastAsia" w:hAnsi="宋体"/>
          <w:sz w:val="24"/>
          <w:szCs w:val="24"/>
          <w:u w:val="single"/>
        </w:rPr>
        <w:t xml:space="preserve">先生</w:t>
      </w:r>
      <w:r>
        <w:rPr>
          <w:rFonts w:hint="eastAsia" w:ascii="宋体" w:hAnsi="宋体"/>
          <w:sz w:val="24"/>
          <w:szCs w:val="24"/>
        </w:rPr>
        <w:t xml:space="preserve">             </w:t>
      </w:r>
      <w:r/>
    </w:p>
    <w:p>
      <w:pPr>
        <w:ind w:firstLine="720"/>
        <w:spacing w:line="400" w:lineRule="exact"/>
        <w:rPr>
          <w:rFonts w:hint="eastAsia" w:ascii="宋体" w:hAnsi="宋体"/>
          <w:sz w:val="24"/>
          <w:szCs w:val="24"/>
          <w:u w:val="single"/>
        </w:rPr>
      </w:pPr>
      <w:r>
        <w:rPr>
          <w:rFonts w:hint="eastAsia" w:ascii="宋体" w:hAnsi="宋体"/>
          <w:sz w:val="24"/>
          <w:szCs w:val="24"/>
        </w:rPr>
        <w:t xml:space="preserve">联系电话：13914687938</w:t>
      </w:r>
      <w:r/>
    </w:p>
    <w:p>
      <w:pPr>
        <w:jc w:val="left"/>
        <w:spacing w:line="400" w:lineRule="exact"/>
        <w:rPr>
          <w:rFonts w:hint="eastAsia" w:ascii="宋体" w:hAnsi="宋体"/>
          <w:sz w:val="24"/>
          <w:szCs w:val="24"/>
        </w:rPr>
      </w:pPr>
      <w:r>
        <w:rPr>
          <w:rFonts w:hint="eastAsia" w:ascii="宋体" w:hAnsi="宋体" w:cs="宋体"/>
          <w:sz w:val="24"/>
          <w:szCs w:val="24"/>
        </w:rPr>
        <w:t xml:space="preserve">2.采购代理机构信息</w:t>
      </w:r>
      <w:r/>
    </w:p>
    <w:p>
      <w:pPr>
        <w:ind w:firstLine="720"/>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cs="宋体"/>
          <w:sz w:val="24"/>
          <w:szCs w:val="24"/>
          <w:u w:val="single"/>
        </w:rPr>
        <w:t xml:space="preserve">江苏苏维工程管理有限公司盐城分公司</w:t>
      </w:r>
      <w:r/>
    </w:p>
    <w:p>
      <w:pPr>
        <w:ind w:firstLine="720"/>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cs="Arial"/>
          <w:bCs/>
          <w:sz w:val="24"/>
          <w:szCs w:val="24"/>
          <w:u w:val="single"/>
        </w:rPr>
        <w:t xml:space="preserve">滨海县富康路西侧华德名人苑H5栋111室</w:t>
      </w:r>
      <w:r/>
    </w:p>
    <w:p>
      <w:pPr>
        <w:ind w:firstLine="720"/>
        <w:jc w:val="left"/>
        <w:spacing w:line="40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李</w:t>
      </w:r>
      <w:r>
        <w:rPr>
          <w:rFonts w:hint="eastAsia" w:ascii="宋体" w:hAnsi="宋体" w:cs="宋体"/>
          <w:sz w:val="24"/>
          <w:szCs w:val="24"/>
          <w:u w:val="single"/>
        </w:rPr>
        <w:t xml:space="preserve">工</w:t>
      </w:r>
      <w:r/>
    </w:p>
    <w:p>
      <w:pPr>
        <w:ind w:firstLine="720"/>
        <w:jc w:val="left"/>
        <w:spacing w:line="400" w:lineRule="exact"/>
        <w:rPr>
          <w:rFonts w:hint="eastAsia" w:ascii="宋体" w:hAnsi="宋体"/>
          <w:sz w:val="24"/>
          <w:szCs w:val="24"/>
          <w:u w:val="single"/>
        </w:rPr>
      </w:pPr>
      <w:r>
        <w:rPr>
          <w:rFonts w:hint="eastAsia" w:ascii="宋体" w:hAnsi="宋体"/>
          <w:sz w:val="24"/>
          <w:szCs w:val="24"/>
        </w:rPr>
        <w:t xml:space="preserve">联系电话：</w:t>
      </w:r>
      <w:r>
        <w:rPr>
          <w:rFonts w:hint="eastAsia" w:ascii="宋体" w:hAnsi="宋体" w:cs="宋体"/>
          <w:sz w:val="24"/>
          <w:szCs w:val="24"/>
          <w:u w:val="single"/>
        </w:rPr>
        <w:t xml:space="preserve">0515-84121888/18994845959 </w:t>
      </w:r>
      <w:r/>
    </w:p>
    <w:p>
      <w:pPr>
        <w:jc w:val="left"/>
        <w:spacing w:line="400" w:lineRule="exact"/>
        <w:rPr>
          <w:rFonts w:hint="eastAsia" w:ascii="宋体" w:hAnsi="宋体"/>
          <w:sz w:val="24"/>
          <w:szCs w:val="24"/>
        </w:rPr>
      </w:pPr>
      <w:r>
        <w:rPr>
          <w:rFonts w:hint="eastAsia" w:ascii="宋体" w:hAnsi="宋体" w:cs="宋体"/>
          <w:sz w:val="24"/>
          <w:szCs w:val="24"/>
        </w:rPr>
        <w:t xml:space="preserve">3.项目联系</w:t>
      </w:r>
      <w:r>
        <w:rPr>
          <w:rFonts w:ascii="宋体" w:hAnsi="宋体" w:cs="宋体"/>
          <w:sz w:val="24"/>
          <w:szCs w:val="24"/>
        </w:rPr>
        <w:t xml:space="preserve">方式</w:t>
      </w:r>
      <w:r/>
    </w:p>
    <w:p>
      <w:pPr>
        <w:pStyle w:val="955"/>
        <w:ind w:firstLine="720"/>
        <w:spacing w:line="400" w:lineRule="exact"/>
        <w:rPr>
          <w:rFonts w:hint="eastAsia" w:hAnsi="宋体"/>
          <w:sz w:val="24"/>
          <w:szCs w:val="24"/>
          <w:u w:val="single"/>
        </w:rPr>
      </w:pPr>
      <w:r>
        <w:rPr>
          <w:rFonts w:hint="eastAsia" w:hAnsi="宋体"/>
          <w:sz w:val="24"/>
          <w:szCs w:val="24"/>
        </w:rPr>
        <w:t xml:space="preserve">项目联系人：</w:t>
      </w:r>
      <w:r>
        <w:rPr>
          <w:rFonts w:hint="eastAsia" w:hAnsi="宋体"/>
          <w:sz w:val="24"/>
          <w:szCs w:val="24"/>
          <w:u w:val="single"/>
        </w:rPr>
        <w:t xml:space="preserve">李先生</w:t>
      </w:r>
      <w:r/>
    </w:p>
    <w:p>
      <w:pPr>
        <w:ind w:firstLine="720"/>
        <w:spacing w:line="400" w:lineRule="exact"/>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sz w:val="24"/>
          <w:szCs w:val="24"/>
        </w:rPr>
        <w:t xml:space="preserve">电 话：</w:t>
      </w:r>
      <w:r>
        <w:rPr>
          <w:rFonts w:hint="eastAsia" w:ascii="宋体" w:hAnsi="宋体"/>
          <w:sz w:val="24"/>
          <w:szCs w:val="24"/>
          <w:u w:val="single"/>
        </w:rPr>
        <w:t xml:space="preserve">13914687938</w:t>
      </w:r>
      <w:bookmarkEnd w:id="1"/>
      <w:r/>
      <w:bookmarkEnd w:id="2"/>
      <w:r/>
      <w:bookmarkEnd w:id="3"/>
      <w:r/>
      <w:bookmarkEnd w:id="4"/>
      <w:r/>
      <w:bookmarkEnd w:id="5"/>
      <w:r/>
      <w:r/>
    </w:p>
    <w:p>
      <w:pPr>
        <w:pStyle w:val="934"/>
        <w:ind w:firstLine="2650"/>
        <w:jc w:val="both"/>
        <w:spacing w:line="400" w:lineRule="exact"/>
        <w:rPr>
          <w:rFonts w:hint="eastAsia" w:ascii="宋体" w:hAnsi="宋体" w:eastAsia="宋体"/>
          <w:b w:val="0"/>
          <w:bCs w:val="0"/>
        </w:rPr>
      </w:pPr>
      <w:r/>
      <w:bookmarkStart w:id="11" w:name="_Toc120614211"/>
      <w:r/>
      <w:bookmarkStart w:id="12" w:name="_Toc120614221"/>
      <w:r/>
      <w:bookmarkStart w:id="13" w:name="_Toc479757207"/>
      <w:r/>
      <w:bookmarkStart w:id="14" w:name="_Toc16938558"/>
      <w:r/>
      <w:bookmarkStart w:id="15" w:name="_Toc513029242"/>
      <w:r/>
      <w:bookmarkStart w:id="16" w:name="_Toc20823314"/>
      <w:r>
        <w:rPr>
          <w:rFonts w:hint="eastAsia" w:ascii="宋体" w:hAnsi="宋体" w:eastAsia="宋体"/>
        </w:rPr>
        <w:t xml:space="preserve">第二章</w:t>
      </w:r>
      <w:bookmarkEnd w:id="11"/>
      <w:r/>
      <w:bookmarkStart w:id="17" w:name="_Toc16938518"/>
      <w:r/>
      <w:bookmarkStart w:id="18" w:name="_Toc20823274"/>
      <w:r/>
      <w:bookmarkStart w:id="19" w:name="_Toc513029202"/>
      <w:r/>
      <w:bookmarkStart w:id="20" w:name="_Toc120614213"/>
      <w:r>
        <w:rPr>
          <w:rFonts w:hint="eastAsia" w:ascii="宋体" w:hAnsi="宋体" w:eastAsia="宋体"/>
        </w:rPr>
        <w:t xml:space="preserve">  投标人须知</w:t>
      </w:r>
      <w:bookmarkEnd w:id="17"/>
      <w:r/>
      <w:bookmarkEnd w:id="18"/>
      <w:r/>
      <w:bookmarkEnd w:id="19"/>
      <w:r/>
      <w:bookmarkEnd w:id="20"/>
      <w:r/>
      <w:r/>
    </w:p>
    <w:p>
      <w:pPr>
        <w:pStyle w:val="935"/>
        <w:ind w:firstLine="373"/>
        <w:spacing w:before="156" w:after="156" w:line="400" w:lineRule="exact"/>
        <w:rPr>
          <w:rFonts w:hint="eastAsia" w:asciiTheme="minorEastAsia" w:hAnsiTheme="minorEastAsia" w:eastAsiaTheme="minorEastAsia" w:cstheme="minorEastAsia"/>
          <w:sz w:val="24"/>
          <w:szCs w:val="24"/>
        </w:rPr>
      </w:pPr>
      <w:r/>
      <w:bookmarkStart w:id="21" w:name="_Toc16938519"/>
      <w:r/>
      <w:bookmarkStart w:id="22" w:name="_Toc20823275"/>
      <w:r/>
      <w:bookmarkStart w:id="23" w:name="_Toc513029203"/>
      <w:r/>
      <w:bookmarkStart w:id="24" w:name="_Toc120614214"/>
      <w:r>
        <w:rPr>
          <w:rFonts w:hint="eastAsia" w:asciiTheme="minorEastAsia" w:hAnsiTheme="minorEastAsia" w:eastAsiaTheme="minorEastAsia" w:cstheme="minorEastAsia"/>
          <w:sz w:val="24"/>
          <w:szCs w:val="24"/>
        </w:rPr>
        <w:t xml:space="preserve">一、总则</w:t>
      </w:r>
      <w:bookmarkEnd w:id="21"/>
      <w:r/>
      <w:bookmarkEnd w:id="22"/>
      <w:r/>
      <w:bookmarkEnd w:id="23"/>
      <w:r/>
      <w:bookmarkEnd w:id="24"/>
      <w:r/>
      <w:r/>
    </w:p>
    <w:p>
      <w:pPr>
        <w:pStyle w:val="936"/>
        <w:ind w:firstLine="361"/>
        <w:spacing w:before="0" w:after="0" w:line="400" w:lineRule="exact"/>
        <w:rPr>
          <w:rFonts w:hint="eastAsia" w:asciiTheme="minorEastAsia" w:hAnsiTheme="minorEastAsia" w:eastAsiaTheme="minorEastAsia" w:cstheme="minorEastAsia"/>
          <w:sz w:val="24"/>
          <w:szCs w:val="24"/>
        </w:rPr>
      </w:pPr>
      <w:r/>
      <w:bookmarkStart w:id="25" w:name="_Toc458694821"/>
      <w:r/>
      <w:bookmarkStart w:id="26" w:name="_Toc20823276"/>
      <w:r/>
      <w:bookmarkStart w:id="27" w:name="_Toc16938520"/>
      <w:r/>
      <w:bookmarkStart w:id="28" w:name="_Toc513029204"/>
      <w:r>
        <w:rPr>
          <w:rFonts w:hint="eastAsia" w:asciiTheme="minorEastAsia" w:hAnsiTheme="minorEastAsia" w:eastAsiaTheme="minorEastAsia" w:cstheme="minorEastAsia"/>
          <w:sz w:val="24"/>
          <w:szCs w:val="24"/>
        </w:rPr>
        <w:t xml:space="preserve">1</w:t>
      </w:r>
      <w:bookmarkEnd w:id="25"/>
      <w:r>
        <w:rPr>
          <w:rFonts w:hint="eastAsia" w:asciiTheme="minorEastAsia" w:hAnsiTheme="minorEastAsia" w:eastAsiaTheme="minorEastAsia" w:cstheme="minorEastAsia"/>
          <w:sz w:val="24"/>
          <w:szCs w:val="24"/>
        </w:rPr>
        <w:t xml:space="preserve">、招标方式</w:t>
      </w:r>
      <w:bookmarkEnd w:id="26"/>
      <w:r/>
      <w:bookmarkEnd w:id="27"/>
      <w:r/>
      <w:bookmarkEnd w:id="28"/>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pStyle w:val="936"/>
        <w:ind w:firstLine="361"/>
        <w:spacing w:before="0" w:after="0" w:line="400" w:lineRule="exact"/>
        <w:rPr>
          <w:rFonts w:hint="eastAsia" w:asciiTheme="minorEastAsia" w:hAnsiTheme="minorEastAsia" w:eastAsiaTheme="minorEastAsia" w:cstheme="minorEastAsia"/>
          <w:sz w:val="24"/>
          <w:szCs w:val="24"/>
        </w:rPr>
      </w:pPr>
      <w:r/>
      <w:bookmarkStart w:id="29" w:name="_Toc513029205"/>
      <w:r/>
      <w:bookmarkStart w:id="30" w:name="_Toc20823277"/>
      <w:r/>
      <w:bookmarkStart w:id="31" w:name="_Toc16938521"/>
      <w:r>
        <w:rPr>
          <w:rFonts w:hint="eastAsia" w:asciiTheme="minorEastAsia" w:hAnsiTheme="minorEastAsia" w:eastAsiaTheme="minorEastAsia" w:cstheme="minorEastAsia"/>
          <w:sz w:val="24"/>
          <w:szCs w:val="24"/>
        </w:rPr>
        <w:t xml:space="preserve">2、合格的投标人</w:t>
      </w:r>
      <w:bookmarkEnd w:id="29"/>
      <w:r/>
      <w:bookmarkEnd w:id="30"/>
      <w:r/>
      <w:bookmarkEnd w:id="31"/>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满足招标公告中投标人的资格要求的规定。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满足本文件实质性条款的规定。</w:t>
      </w:r>
      <w:r/>
    </w:p>
    <w:p>
      <w:pPr>
        <w:pStyle w:val="936"/>
        <w:ind w:firstLine="361"/>
        <w:spacing w:before="0" w:after="0" w:line="400" w:lineRule="exact"/>
        <w:rPr>
          <w:rFonts w:hint="eastAsia" w:asciiTheme="minorEastAsia" w:hAnsiTheme="minorEastAsia" w:eastAsiaTheme="minorEastAsia" w:cstheme="minorEastAsia"/>
          <w:sz w:val="24"/>
          <w:szCs w:val="24"/>
        </w:rPr>
      </w:pPr>
      <w:r/>
      <w:bookmarkStart w:id="32" w:name="_Toc513029206"/>
      <w:r/>
      <w:bookmarkStart w:id="33" w:name="_Toc16938522"/>
      <w:r/>
      <w:bookmarkStart w:id="34" w:name="_Toc20823278"/>
      <w:r>
        <w:rPr>
          <w:rFonts w:hint="eastAsia" w:asciiTheme="minorEastAsia" w:hAnsiTheme="minorEastAsia" w:eastAsiaTheme="minorEastAsia" w:cstheme="minorEastAsia"/>
          <w:sz w:val="24"/>
          <w:szCs w:val="24"/>
        </w:rPr>
        <w:t xml:space="preserve">3、适用法律</w:t>
      </w:r>
      <w:bookmarkEnd w:id="32"/>
      <w:r/>
      <w:bookmarkEnd w:id="33"/>
      <w:r/>
      <w:bookmarkEnd w:id="34"/>
      <w:r/>
      <w:r/>
    </w:p>
    <w:p>
      <w:pPr>
        <w:ind w:firstLine="42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本次招标及由此产生的合同受中华人民共和国有关的法律法规制约和保护。</w:t>
      </w:r>
      <w:r/>
    </w:p>
    <w:p>
      <w:pPr>
        <w:pStyle w:val="936"/>
        <w:ind w:firstLine="361"/>
        <w:spacing w:before="0" w:after="0" w:line="400" w:lineRule="exact"/>
        <w:rPr>
          <w:rFonts w:hint="eastAsia" w:asciiTheme="minorEastAsia" w:hAnsiTheme="minorEastAsia" w:eastAsiaTheme="minorEastAsia" w:cstheme="minorEastAsia"/>
          <w:sz w:val="24"/>
          <w:szCs w:val="24"/>
        </w:rPr>
      </w:pPr>
      <w:r/>
      <w:bookmarkStart w:id="35" w:name="_Toc513029207"/>
      <w:r/>
      <w:bookmarkStart w:id="36" w:name="_Toc462564067"/>
      <w:r/>
      <w:bookmarkStart w:id="37" w:name="_Toc20823279"/>
      <w:r/>
      <w:bookmarkStart w:id="38" w:name="_Toc16938523"/>
      <w:r>
        <w:rPr>
          <w:rFonts w:hint="eastAsia" w:asciiTheme="minorEastAsia" w:hAnsiTheme="minorEastAsia" w:eastAsiaTheme="minorEastAsia" w:cstheme="minorEastAsia"/>
          <w:sz w:val="24"/>
          <w:szCs w:val="24"/>
        </w:rPr>
        <w:t xml:space="preserve">4、投标费用</w:t>
      </w:r>
      <w:bookmarkEnd w:id="35"/>
      <w:r/>
      <w:bookmarkEnd w:id="36"/>
      <w:r/>
      <w:bookmarkEnd w:id="37"/>
      <w:r/>
      <w:bookmarkEnd w:id="38"/>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4.1</w:t>
      </w:r>
      <w:r>
        <w:rPr>
          <w:rFonts w:hint="eastAsia" w:asciiTheme="minorEastAsia" w:hAnsiTheme="minorEastAsia" w:eastAsiaTheme="minorEastAsia" w:cstheme="minorEastAsia"/>
          <w:sz w:val="24"/>
          <w:szCs w:val="24"/>
        </w:rPr>
        <w:t xml:space="preserve">投标人应自行承担所有与参加投标有关的费用，无论投标过程中的做法和结果如何，采购人在任何情况下均无义务和责任承担上述费用。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本项目代理费（含评审费、评委工资、餐饮费、路费等相关费用及场地服务费等其他费用）共计</w:t>
      </w:r>
      <w:r>
        <w:rPr>
          <w:rFonts w:hint="eastAsia" w:asciiTheme="minorEastAsia" w:hAnsiTheme="minorEastAsia" w:eastAsiaTheme="minorEastAsia" w:cstheme="minorEastAsia"/>
          <w:b/>
          <w:bCs/>
          <w:sz w:val="24"/>
          <w:szCs w:val="24"/>
          <w:u w:val="single"/>
          <w:lang w:val="en-US" w:eastAsia="zh-CN"/>
        </w:rPr>
        <w:t xml:space="preserve">63000</w:t>
      </w:r>
      <w:r>
        <w:rPr>
          <w:rFonts w:hint="eastAsia" w:asciiTheme="minorEastAsia" w:hAnsiTheme="minorEastAsia" w:eastAsiaTheme="minorEastAsia" w:cstheme="minorEastAsia"/>
          <w:sz w:val="24"/>
          <w:szCs w:val="24"/>
        </w:rPr>
        <w:t xml:space="preserve">元包含在投标单价中，不单独立项，相关费用由成交人代为承担。</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上述费用由各投标人在投标时自行综合考虑分摊在投标报价中，且不得单列，采购人不再承担上述费用。</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5、招标文件的约束力</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投标人一旦参加本项目采购活动，即被认为接受了本招标文件的规定和约束，并且视为自招标公告期限届满之日起知道或应当知道自身权益是否受到了损害。</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6、招标文件的解释</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6.1 本招标文件由采购人负责解释。</w:t>
      </w:r>
      <w:r/>
    </w:p>
    <w:p>
      <w:pPr>
        <w:pStyle w:val="935"/>
        <w:ind w:firstLine="241"/>
        <w:spacing w:before="156" w:after="156" w:line="400" w:lineRule="exact"/>
        <w:rPr>
          <w:rFonts w:hint="eastAsia" w:asciiTheme="minorEastAsia" w:hAnsiTheme="minorEastAsia" w:eastAsiaTheme="minorEastAsia" w:cstheme="minorEastAsia"/>
          <w:sz w:val="24"/>
          <w:szCs w:val="24"/>
        </w:rPr>
      </w:pPr>
      <w:r/>
      <w:bookmarkStart w:id="39" w:name="_Toc120614215"/>
      <w:r/>
      <w:bookmarkStart w:id="40" w:name="_Toc20823281"/>
      <w:r/>
      <w:bookmarkStart w:id="41" w:name="_Toc16938525"/>
      <w:r/>
      <w:bookmarkStart w:id="42" w:name="_Toc513029209"/>
      <w:r>
        <w:rPr>
          <w:rFonts w:hint="eastAsia" w:asciiTheme="minorEastAsia" w:hAnsiTheme="minorEastAsia" w:eastAsiaTheme="minorEastAsia" w:cstheme="minorEastAsia"/>
          <w:sz w:val="24"/>
          <w:szCs w:val="24"/>
        </w:rPr>
        <w:t xml:space="preserve">二、招标文件</w:t>
      </w:r>
      <w:bookmarkEnd w:id="39"/>
      <w:r/>
      <w:bookmarkEnd w:id="40"/>
      <w:r/>
      <w:bookmarkEnd w:id="41"/>
      <w:r/>
      <w:bookmarkEnd w:id="42"/>
      <w:r/>
      <w:r/>
    </w:p>
    <w:p>
      <w:pPr>
        <w:pStyle w:val="936"/>
        <w:ind w:firstLine="361"/>
        <w:spacing w:before="0" w:after="0" w:line="400" w:lineRule="exact"/>
        <w:rPr>
          <w:rFonts w:hint="eastAsia" w:asciiTheme="minorEastAsia" w:hAnsiTheme="minorEastAsia" w:eastAsiaTheme="minorEastAsia" w:cstheme="minorEastAsia"/>
          <w:sz w:val="24"/>
          <w:szCs w:val="24"/>
        </w:rPr>
      </w:pPr>
      <w:r/>
      <w:bookmarkStart w:id="43" w:name="_Toc513029210"/>
      <w:r/>
      <w:bookmarkStart w:id="44" w:name="_Toc20823282"/>
      <w:r/>
      <w:bookmarkStart w:id="45" w:name="_Toc16938526"/>
      <w:r>
        <w:rPr>
          <w:rFonts w:hint="eastAsia" w:asciiTheme="minorEastAsia" w:hAnsiTheme="minorEastAsia" w:eastAsiaTheme="minorEastAsia" w:cstheme="minorEastAsia"/>
          <w:sz w:val="24"/>
          <w:szCs w:val="24"/>
        </w:rPr>
        <w:t xml:space="preserve">7、招标文件构成</w:t>
      </w:r>
      <w:bookmarkEnd w:id="43"/>
      <w:r/>
      <w:bookmarkEnd w:id="44"/>
      <w:r/>
      <w:bookmarkEnd w:id="45"/>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7.1 招标文件有以下部分组成：</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（1）招标公告</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（2）投标人须知</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（3）合同条款及格式</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（4）项目需求</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（5）评标方法与评标标准</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（6）投标文件格式</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请仔细检查招标文件是否齐全，如有缺漏请立即与采购人或采购代理机构联系解决。</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46" w:name="_Toc462564070"/>
      <w:r/>
      <w:bookmarkStart w:id="47" w:name="_Toc16938527"/>
      <w:r/>
      <w:bookmarkStart w:id="48" w:name="_Toc20823283"/>
      <w:r/>
      <w:bookmarkStart w:id="49" w:name="_Toc513029211"/>
      <w:r>
        <w:rPr>
          <w:rFonts w:hint="eastAsia" w:asciiTheme="minorEastAsia" w:hAnsiTheme="minorEastAsia" w:eastAsiaTheme="minorEastAsia" w:cstheme="minorEastAsia"/>
          <w:sz w:val="24"/>
          <w:szCs w:val="24"/>
        </w:rPr>
        <w:t xml:space="preserve">8、招标文件的</w:t>
      </w:r>
      <w:bookmarkEnd w:id="46"/>
      <w:r/>
      <w:bookmarkEnd w:id="47"/>
      <w:r/>
      <w:bookmarkEnd w:id="48"/>
      <w:r/>
      <w:bookmarkEnd w:id="49"/>
      <w:r>
        <w:rPr>
          <w:rFonts w:hint="eastAsia" w:asciiTheme="minorEastAsia" w:hAnsiTheme="minorEastAsia" w:eastAsiaTheme="minorEastAsia" w:cstheme="minorEastAsia"/>
          <w:sz w:val="24"/>
          <w:szCs w:val="24"/>
        </w:rPr>
        <w:t xml:space="preserve">询问、澄清及修改</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 任何要求对招标文件进行询问的投标人，应在投标截止日期10日前按招标公告中的通讯地址，向采购人或者采购代理机构提出。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8.2 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50" w:name="_Toc462564071"/>
      <w:r/>
      <w:bookmarkStart w:id="51" w:name="_Toc20823284"/>
      <w:r/>
      <w:bookmarkStart w:id="52" w:name="_Toc513029212"/>
      <w:r/>
      <w:bookmarkStart w:id="53" w:name="_Toc16938528"/>
      <w:r>
        <w:rPr>
          <w:rFonts w:hint="eastAsia" w:asciiTheme="minorEastAsia" w:hAnsiTheme="minorEastAsia" w:eastAsiaTheme="minorEastAsia" w:cstheme="minorEastAsia"/>
          <w:sz w:val="24"/>
          <w:szCs w:val="24"/>
        </w:rPr>
        <w:t xml:space="preserve">9、招标文件的修改</w:t>
      </w:r>
      <w:bookmarkEnd w:id="50"/>
      <w:r/>
      <w:bookmarkEnd w:id="51"/>
      <w:r/>
      <w:bookmarkEnd w:id="52"/>
      <w:r/>
      <w:bookmarkEnd w:id="53"/>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9.1 在投标截止时间三天前，采购人或者采购代理机构可以对招标文件进行修改。</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9.2采购人有权依法推迟投标截止日期和开标日期。</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9.3招标文件的修改将在“江苏政府采购网（http://www.ccgp-jiangsu.gov.cn/）</w:t>
      </w:r>
      <w:r>
        <w:rPr>
          <w:rFonts w:hint="eastAsia" w:asciiTheme="minorEastAsia" w:hAnsiTheme="minorEastAsia" w:eastAsiaTheme="minorEastAsia" w:cstheme="minorEastAsia"/>
          <w:bCs/>
          <w:sz w:val="24"/>
          <w:szCs w:val="24"/>
          <w:lang w:val="en-US" w:eastAsia="zh-CN"/>
        </w:rPr>
        <w:t xml:space="preserve">和盐城市政府采购网（http://czj.yancheng.gov.cn/col/col2383/）</w:t>
      </w:r>
      <w:r>
        <w:rPr>
          <w:rFonts w:hint="eastAsia" w:asciiTheme="minorEastAsia" w:hAnsiTheme="minorEastAsia" w:eastAsiaTheme="minorEastAsia" w:cstheme="minorEastAsia"/>
          <w:bCs/>
          <w:sz w:val="24"/>
          <w:szCs w:val="24"/>
        </w:rPr>
        <w:t xml:space="preserve">”公布，补充文件将作为招标文件的组成部分，并对投标人具有约束力。</w:t>
      </w:r>
      <w:r/>
    </w:p>
    <w:p>
      <w:pPr>
        <w:pStyle w:val="935"/>
        <w:ind w:firstLine="361"/>
        <w:spacing w:before="156" w:after="156" w:line="400" w:lineRule="exact"/>
        <w:rPr>
          <w:rFonts w:hint="eastAsia" w:asciiTheme="minorEastAsia" w:hAnsiTheme="minorEastAsia" w:eastAsiaTheme="minorEastAsia" w:cstheme="minorEastAsia"/>
          <w:sz w:val="24"/>
          <w:szCs w:val="24"/>
        </w:rPr>
      </w:pPr>
      <w:r/>
      <w:bookmarkStart w:id="54" w:name="_Toc20823285"/>
      <w:r/>
      <w:bookmarkStart w:id="55" w:name="_Toc462564072"/>
      <w:r/>
      <w:bookmarkStart w:id="56" w:name="_Toc513029213"/>
      <w:r/>
      <w:bookmarkStart w:id="57" w:name="_Toc16938529"/>
      <w:r/>
      <w:bookmarkStart w:id="58" w:name="_Toc120614216"/>
      <w:r>
        <w:rPr>
          <w:rFonts w:hint="eastAsia" w:asciiTheme="minorEastAsia" w:hAnsiTheme="minorEastAsia" w:eastAsiaTheme="minorEastAsia" w:cstheme="minorEastAsia"/>
          <w:sz w:val="24"/>
          <w:szCs w:val="24"/>
        </w:rPr>
        <w:t xml:space="preserve">三、投标文件的编制</w:t>
      </w:r>
      <w:bookmarkEnd w:id="54"/>
      <w:r/>
      <w:bookmarkEnd w:id="55"/>
      <w:r/>
      <w:bookmarkEnd w:id="56"/>
      <w:r/>
      <w:bookmarkEnd w:id="57"/>
      <w:r/>
      <w:bookmarkEnd w:id="58"/>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59" w:name="_Toc20823286"/>
      <w:r/>
      <w:bookmarkStart w:id="60" w:name="_Toc513029214"/>
      <w:r/>
      <w:bookmarkStart w:id="61" w:name="_Toc462564073"/>
      <w:r/>
      <w:bookmarkStart w:id="62" w:name="_Toc16938530"/>
      <w:r>
        <w:rPr>
          <w:rFonts w:hint="eastAsia" w:asciiTheme="minorEastAsia" w:hAnsiTheme="minorEastAsia" w:eastAsiaTheme="minorEastAsia" w:cstheme="minorEastAsia"/>
          <w:sz w:val="24"/>
          <w:szCs w:val="24"/>
        </w:rPr>
        <w:t xml:space="preserve">10、投标文件的语言及度量衡单位</w:t>
      </w:r>
      <w:bookmarkEnd w:id="59"/>
      <w:r/>
      <w:bookmarkEnd w:id="60"/>
      <w:r/>
      <w:bookmarkEnd w:id="61"/>
      <w:r/>
      <w:bookmarkEnd w:id="62"/>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10.1</w:t>
      </w:r>
      <w:r>
        <w:rPr>
          <w:rFonts w:hint="eastAsia" w:asciiTheme="minorEastAsia" w:hAnsiTheme="minorEastAsia" w:eastAsiaTheme="minorEastAsia" w:cstheme="minorEastAsia"/>
          <w:sz w:val="24"/>
          <w:szCs w:val="24"/>
        </w:rPr>
        <w:t xml:space="preserve"> 投标人提交的投标文件以及投标人与采购人就有关投标的所有来往通知、函件和文件均应使用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10.2</w:t>
      </w:r>
      <w:r>
        <w:rPr>
          <w:rFonts w:hint="eastAsia" w:asciiTheme="minorEastAsia" w:hAnsiTheme="minorEastAsia" w:eastAsiaTheme="minorEastAsia" w:cstheme="minorEastAsia"/>
          <w:sz w:val="24"/>
          <w:szCs w:val="24"/>
        </w:rPr>
        <w:t xml:space="preserve"> 除技术性能另有规定外，投标文件所使用的度量衡单位，均须采用国家法定计量单位。</w:t>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63" w:name="_Toc16938531"/>
      <w:r/>
      <w:bookmarkStart w:id="64" w:name="_Toc20823287"/>
      <w:r/>
      <w:bookmarkStart w:id="65" w:name="_Toc513029215"/>
      <w:r/>
      <w:bookmarkStart w:id="66" w:name="_Toc462564074"/>
      <w:r>
        <w:rPr>
          <w:rFonts w:hint="eastAsia" w:asciiTheme="minorEastAsia" w:hAnsiTheme="minorEastAsia" w:eastAsiaTheme="minorEastAsia" w:cstheme="minorEastAsia"/>
          <w:sz w:val="24"/>
          <w:szCs w:val="24"/>
        </w:rPr>
        <w:t xml:space="preserve">11、投标文件构成</w:t>
      </w:r>
      <w:bookmarkEnd w:id="63"/>
      <w:r/>
      <w:bookmarkEnd w:id="64"/>
      <w:r/>
      <w:bookmarkEnd w:id="65"/>
      <w:r/>
      <w:bookmarkEnd w:id="66"/>
      <w:r/>
      <w:r/>
    </w:p>
    <w:p>
      <w:pPr>
        <w:ind w:firstLine="480"/>
        <w:spacing w:line="400" w:lineRule="exact"/>
        <w:rPr>
          <w:rFonts w:hint="eastAsia" w:asciiTheme="minorEastAsia" w:hAnsiTheme="minorEastAsia" w:eastAsiaTheme="minorEastAsia" w:cstheme="minorEastAsia"/>
          <w:sz w:val="24"/>
          <w:szCs w:val="24"/>
        </w:rPr>
      </w:pPr>
      <w:r/>
      <w:bookmarkStart w:id="67" w:name="_Toc14577357"/>
      <w:r/>
      <w:bookmarkStart w:id="68" w:name="_Toc513029219"/>
      <w:r/>
      <w:bookmarkStart w:id="69" w:name="_Toc49090509"/>
      <w:r/>
      <w:bookmarkStart w:id="70" w:name="_Toc49090507"/>
      <w:r/>
      <w:bookmarkStart w:id="71" w:name="_Toc14577354"/>
      <w:r/>
      <w:bookmarkStart w:id="72" w:name="_Toc513029216"/>
      <w:r>
        <w:rPr>
          <w:rFonts w:hint="eastAsia" w:asciiTheme="minorEastAsia" w:hAnsiTheme="minorEastAsia" w:eastAsiaTheme="minorEastAsia" w:cstheme="minorEastAsia"/>
          <w:bCs/>
          <w:sz w:val="24"/>
          <w:szCs w:val="24"/>
        </w:rPr>
        <w:t xml:space="preserve">11.1</w:t>
      </w:r>
      <w:r>
        <w:rPr>
          <w:rFonts w:hint="eastAsia" w:asciiTheme="minorEastAsia" w:hAnsiTheme="minorEastAsia" w:eastAsiaTheme="minorEastAsia" w:cstheme="minorEastAsia"/>
          <w:sz w:val="24"/>
          <w:szCs w:val="24"/>
        </w:rPr>
        <w:t xml:space="preserve"> 投标人编写的投标文件应包括资信证明文件、投标报价、投标配置与分项报价表（如有）、技术参数响应及偏离表（如有）、商务条款响应及偏离表（如有）、技术及售后服务承诺书（如有）、投标函、开标一览表等部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11.2投标人应将投标文件按顺序装订成册，并编制投标文件资料目录。</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12、证明投标人资格及符合招标文件规定的文件</w:t>
      </w:r>
      <w:bookmarkEnd w:id="67"/>
      <w:r/>
      <w:bookmarkEnd w:id="68"/>
      <w:r/>
      <w:bookmarkEnd w:id="69"/>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12.1投标人应按要求提交资格证明文件及符合招标文件规定的文件。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12.2投标人应提交证明其有资格参加投标和中标后有能力独立履行合同的文件。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12.3投标人除必须具有履行合同所需提供的货物以及服务的能力外，还必须具备相应的财务、技术方面的能力。</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12.4投标人应提交根据合同要求提供的证明产品质量合格以及符合招标文件规定的证明文件。</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12.5证明投标人所提供服务与招标文件的要求相一致的文件可以是手册、图纸、文字资料和数据。</w:t>
      </w:r>
      <w:bookmarkEnd w:id="70"/>
      <w:r/>
      <w:bookmarkEnd w:id="71"/>
      <w:r/>
      <w:bookmarkEnd w:id="72"/>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73" w:name="_Toc49090508"/>
      <w:r/>
      <w:bookmarkStart w:id="74" w:name="_Toc14577355"/>
      <w:r>
        <w:rPr>
          <w:rFonts w:hint="eastAsia" w:asciiTheme="minorEastAsia" w:hAnsiTheme="minorEastAsia" w:eastAsiaTheme="minorEastAsia" w:cstheme="minorEastAsia"/>
          <w:sz w:val="24"/>
          <w:szCs w:val="24"/>
        </w:rPr>
        <w:t xml:space="preserve">13、</w:t>
      </w:r>
      <w:bookmarkEnd w:id="73"/>
      <w:r/>
      <w:bookmarkEnd w:id="74"/>
      <w:r>
        <w:rPr>
          <w:rFonts w:hint="eastAsia" w:asciiTheme="minorEastAsia" w:hAnsiTheme="minorEastAsia" w:eastAsiaTheme="minorEastAsia" w:cstheme="minorEastAsia"/>
          <w:sz w:val="24"/>
          <w:szCs w:val="24"/>
        </w:rPr>
        <w:t xml:space="preserve">投标报价的计价方法</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13.1固定总价合同。工程量依据建设单位提供的工程量及现场实际测量进行计算。</w:t>
      </w:r>
      <w:r/>
    </w:p>
    <w:p>
      <w:pPr>
        <w:pStyle w:val="948"/>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由招标人（发包人）提供招标工程量，投标人（承包人）自主报价。</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13.2其它费用处理</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招标文件未列明，而投标人认为必需的费用也需列入报价。</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13.3投标货币</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投标文件中的货物单价和总价无特殊规定的采用人民币报价，以元为单位标注。招标文件中另有规定的按规定执行。</w:t>
      </w:r>
      <w:r/>
    </w:p>
    <w:p>
      <w:pPr>
        <w:ind w:firstLine="482"/>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14、技术参数响应及偏离表、商务条款响应及偏离表及投标货物说明（如有）</w:t>
      </w:r>
      <w:r/>
    </w:p>
    <w:p>
      <w:pPr>
        <w:ind w:firstLine="480"/>
        <w:spacing w:line="400" w:lineRule="exact"/>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14.1 对招标文件中的技术与商务条款要求逐项作出响应或偏离，并说明原因；</w:t>
      </w:r>
      <w:r/>
    </w:p>
    <w:p>
      <w:pPr>
        <w:ind w:firstLine="480"/>
        <w:spacing w:line="400" w:lineRule="exact"/>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14.2 提供参加本项目类似案例简介；</w:t>
      </w:r>
      <w:r/>
    </w:p>
    <w:p>
      <w:pPr>
        <w:ind w:firstLine="480"/>
        <w:spacing w:line="400" w:lineRule="exact"/>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14.3 培训计划；</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Cs/>
          <w:sz w:val="24"/>
          <w:szCs w:val="24"/>
          <w:lang w:val="zh-CN"/>
        </w:rPr>
        <w:t xml:space="preserve">14.</w:t>
      </w:r>
      <w:r>
        <w:rPr>
          <w:rFonts w:hint="eastAsia" w:asciiTheme="minorEastAsia" w:hAnsiTheme="minorEastAsia" w:eastAsiaTheme="minorEastAsia" w:cstheme="minorEastAsia"/>
          <w:bCs/>
          <w:sz w:val="24"/>
          <w:szCs w:val="24"/>
        </w:rPr>
        <w:t xml:space="preserve">4</w:t>
      </w:r>
      <w:r>
        <w:rPr>
          <w:rFonts w:hint="eastAsia" w:asciiTheme="minorEastAsia" w:hAnsiTheme="minorEastAsia" w:eastAsiaTheme="minorEastAsia" w:cstheme="minorEastAsia"/>
          <w:bCs/>
          <w:sz w:val="24"/>
          <w:szCs w:val="24"/>
          <w:lang w:val="zh-CN"/>
        </w:rPr>
        <w:t xml:space="preserve"> 投标人认为需要的其他技术文件或说明。</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sz w:val="24"/>
          <w:szCs w:val="24"/>
        </w:rPr>
        <w:t xml:space="preserve">15、服务承诺及售后服务机构、人员的情况介绍（如有）</w:t>
      </w:r>
      <w:r/>
    </w:p>
    <w:p>
      <w:pPr>
        <w:ind w:firstLine="480"/>
        <w:spacing w:line="400" w:lineRule="exact"/>
        <w:tabs>
          <w:tab w:val="left" w:pos="1035" w:leader="none"/>
        </w:tabs>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15.1投标人的服务承诺应按不低于招标文件中商务要求的标准。</w:t>
      </w:r>
      <w:r/>
    </w:p>
    <w:p>
      <w:pPr>
        <w:ind w:firstLine="480"/>
        <w:spacing w:line="400" w:lineRule="exact"/>
        <w:tabs>
          <w:tab w:val="left" w:pos="1035" w:leader="none"/>
        </w:tabs>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15.2提供投标人有关售后服务的管理制度、售后服务机构的分布情况、售后服务人员的数量、素质、技术水平及售后服务的反应能力。</w:t>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75" w:name="_Toc49090510"/>
      <w:r/>
      <w:bookmarkStart w:id="76" w:name="_Toc14577359"/>
      <w:r>
        <w:rPr>
          <w:rFonts w:hint="eastAsia" w:asciiTheme="minorEastAsia" w:hAnsiTheme="minorEastAsia" w:eastAsiaTheme="minorEastAsia" w:cstheme="minorEastAsia"/>
          <w:sz w:val="24"/>
          <w:szCs w:val="24"/>
        </w:rPr>
        <w:t xml:space="preserve">16、投标函和开标一览表</w:t>
      </w:r>
      <w:bookmarkEnd w:id="75"/>
      <w:r/>
      <w:bookmarkEnd w:id="76"/>
      <w:r/>
      <w:r/>
    </w:p>
    <w:p>
      <w:pPr>
        <w:ind w:firstLine="480"/>
        <w:spacing w:line="400" w:lineRule="exact"/>
        <w:rPr>
          <w:rFonts w:hint="eastAsia" w:asciiTheme="minorEastAsia" w:hAnsiTheme="minorEastAsia" w:eastAsiaTheme="minorEastAsia" w:cstheme="minorEastAsia"/>
          <w:bCs/>
          <w:sz w:val="24"/>
          <w:szCs w:val="24"/>
        </w:rPr>
      </w:pPr>
      <w:r/>
      <w:bookmarkStart w:id="77" w:name="_Toc49090511"/>
      <w:r/>
      <w:bookmarkStart w:id="78" w:name="_Toc14577360"/>
      <w:r>
        <w:rPr>
          <w:rFonts w:hint="eastAsia" w:asciiTheme="minorEastAsia" w:hAnsiTheme="minorEastAsia" w:eastAsiaTheme="minorEastAsia" w:cstheme="minorEastAsia"/>
          <w:bCs/>
          <w:sz w:val="24"/>
          <w:szCs w:val="24"/>
        </w:rPr>
        <w:t xml:space="preserve">16.1 投标人应按照招标文件中提供的格式完整、正确填写投标函、开标一览表。</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17、投标有效期</w:t>
      </w:r>
      <w:bookmarkEnd w:id="77"/>
      <w:r/>
      <w:bookmarkEnd w:id="78"/>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eastAsiaTheme="minorEastAsia" w:cstheme="minorEastAsia"/>
          <w:bCs/>
          <w:sz w:val="24"/>
          <w:szCs w:val="24"/>
        </w:rPr>
        <w:t xml:space="preserve">投标有效期为开标之日后</w:t>
      </w:r>
      <w:r>
        <w:rPr>
          <w:rFonts w:hint="eastAsia" w:asciiTheme="minorEastAsia" w:hAnsiTheme="minorEastAsia" w:eastAsiaTheme="minorEastAsia" w:cstheme="minorEastAsia"/>
          <w:bCs/>
          <w:sz w:val="24"/>
          <w:szCs w:val="24"/>
          <w:u w:val="single"/>
          <w:lang w:val="en-US" w:eastAsia="zh-CN"/>
        </w:rPr>
        <w:t xml:space="preserve">九</w:t>
      </w:r>
      <w:r>
        <w:rPr>
          <w:rFonts w:hint="eastAsia" w:asciiTheme="minorEastAsia" w:hAnsiTheme="minorEastAsia" w:eastAsiaTheme="minorEastAsia" w:cstheme="minorEastAsia"/>
          <w:bCs/>
          <w:sz w:val="24"/>
          <w:szCs w:val="24"/>
          <w:u w:val="single"/>
        </w:rPr>
        <w:t xml:space="preserve">十（</w:t>
      </w:r>
      <w:r>
        <w:rPr>
          <w:rFonts w:hint="eastAsia" w:asciiTheme="minorEastAsia" w:hAnsiTheme="minorEastAsia" w:eastAsiaTheme="minorEastAsia" w:cstheme="minorEastAsia"/>
          <w:bCs/>
          <w:sz w:val="24"/>
          <w:szCs w:val="24"/>
          <w:u w:val="single"/>
          <w:lang w:val="en-US" w:eastAsia="zh-CN"/>
        </w:rPr>
        <w:t xml:space="preserve">9</w:t>
      </w:r>
      <w:r>
        <w:rPr>
          <w:rFonts w:hint="eastAsia" w:asciiTheme="minorEastAsia" w:hAnsiTheme="minorEastAsia" w:eastAsiaTheme="minorEastAsia" w:cstheme="minorEastAsia"/>
          <w:bCs/>
          <w:sz w:val="24"/>
          <w:szCs w:val="24"/>
          <w:u w:val="single"/>
        </w:rPr>
        <w:t xml:space="preserve">0）日历天</w:t>
      </w:r>
      <w:r>
        <w:rPr>
          <w:rFonts w:hint="eastAsia" w:asciiTheme="minorEastAsia" w:hAnsiTheme="minorEastAsia" w:eastAsiaTheme="minorEastAsia" w:cstheme="minorEastAsia"/>
          <w:bCs/>
          <w:sz w:val="24"/>
          <w:szCs w:val="24"/>
        </w:rPr>
        <w:t xml:space="preserve">。投标有效期比规定短的将被视为非响应性投标而予以拒绝。</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17.2</w:t>
      </w:r>
      <w:r>
        <w:rPr>
          <w:rFonts w:hint="eastAsia" w:asciiTheme="minorEastAsia" w:hAnsiTheme="minorEastAsia" w:eastAsiaTheme="minorEastAsia" w:cstheme="minorEastAsia"/>
          <w:bCs/>
          <w:sz w:val="24"/>
          <w:szCs w:val="24"/>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p>
    <w:p>
      <w:pPr>
        <w:pStyle w:val="936"/>
        <w:ind w:firstLine="361"/>
        <w:spacing w:before="0" w:after="0" w:line="400" w:lineRule="exact"/>
        <w:rPr>
          <w:rFonts w:hint="eastAsia" w:asciiTheme="minorEastAsia" w:hAnsiTheme="minorEastAsia" w:eastAsiaTheme="minorEastAsia" w:cstheme="minorEastAsia"/>
          <w:sz w:val="24"/>
          <w:szCs w:val="24"/>
        </w:rPr>
      </w:pPr>
      <w:r/>
      <w:bookmarkStart w:id="79" w:name="_Toc14577361"/>
      <w:r/>
      <w:bookmarkStart w:id="80" w:name="_Toc49090512"/>
      <w:r>
        <w:rPr>
          <w:rFonts w:hint="eastAsia" w:asciiTheme="minorEastAsia" w:hAnsiTheme="minorEastAsia" w:eastAsiaTheme="minorEastAsia" w:cstheme="minorEastAsia"/>
          <w:sz w:val="24"/>
          <w:szCs w:val="24"/>
        </w:rPr>
        <w:t xml:space="preserve">18、投标文件份数和签署</w:t>
      </w:r>
      <w:bookmarkEnd w:id="79"/>
      <w:r/>
      <w:bookmarkEnd w:id="80"/>
      <w:r/>
      <w:r/>
    </w:p>
    <w:p>
      <w:pPr>
        <w:ind w:firstLine="48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18.1 投标文件要求正本一份，副本四份</w:t>
      </w:r>
      <w:r>
        <w:rPr>
          <w:rFonts w:hint="eastAsia" w:asciiTheme="minorEastAsia" w:hAnsiTheme="minorEastAsia" w:eastAsiaTheme="minorEastAsia" w:cstheme="minorEastAsia"/>
          <w:sz w:val="24"/>
          <w:szCs w:val="24"/>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18.2投标人应严格按照招标公告和招标文件要求的份数准备投标文件，每份投标文件须清楚地标明“正本”或“副本”字样。一旦正本和副本不符，以正本为准。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18.3招标文件要求提供的原件可直接放入投标文件封袋内或单独密封在一个封袋内，如果原件是单独密封的须在封袋上标明项目名称、投标人名称并在封口处密封并加盖投标人公章，与投标文件一起递交。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本采购文件所表述（指定）的公章是指法定名称章，不包括合同专用章、业务专用章等印章。（招标文件中要求提供原件的须在投标文件中提供复印件）</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18.4 除投标人对错处做必要修改外，投标文件不得行间插字、涂改或增删。如有修改错漏处，必须由投标文件签署人签字或盖章。</w:t>
      </w:r>
      <w:r/>
    </w:p>
    <w:p>
      <w:pPr>
        <w:pStyle w:val="935"/>
        <w:ind w:firstLine="361"/>
        <w:spacing w:before="156" w:after="156" w:line="400" w:lineRule="exact"/>
        <w:rPr>
          <w:rFonts w:hint="eastAsia" w:asciiTheme="minorEastAsia" w:hAnsiTheme="minorEastAsia" w:eastAsiaTheme="minorEastAsia" w:cstheme="minorEastAsia"/>
          <w:sz w:val="24"/>
          <w:szCs w:val="24"/>
        </w:rPr>
      </w:pPr>
      <w:r/>
      <w:bookmarkStart w:id="81" w:name="_Toc513029224"/>
      <w:r/>
      <w:bookmarkStart w:id="82" w:name="_Toc20823296"/>
      <w:r/>
      <w:bookmarkStart w:id="83" w:name="_Toc120614217"/>
      <w:r/>
      <w:bookmarkStart w:id="84" w:name="_Toc16938540"/>
      <w:r>
        <w:rPr>
          <w:rFonts w:hint="eastAsia" w:asciiTheme="minorEastAsia" w:hAnsiTheme="minorEastAsia" w:eastAsiaTheme="minorEastAsia" w:cstheme="minorEastAsia"/>
          <w:sz w:val="24"/>
          <w:szCs w:val="24"/>
        </w:rPr>
        <w:t xml:space="preserve">四、投标文件的递交</w:t>
      </w:r>
      <w:bookmarkEnd w:id="81"/>
      <w:r/>
      <w:bookmarkEnd w:id="82"/>
      <w:r/>
      <w:bookmarkEnd w:id="83"/>
      <w:r/>
      <w:bookmarkEnd w:id="84"/>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85" w:name="_Toc20823297"/>
      <w:r/>
      <w:bookmarkStart w:id="86" w:name="_Toc462564084"/>
      <w:r/>
      <w:bookmarkStart w:id="87" w:name="_Toc513029225"/>
      <w:r/>
      <w:bookmarkStart w:id="88" w:name="_Toc16938541"/>
      <w:r>
        <w:rPr>
          <w:rFonts w:hint="eastAsia" w:asciiTheme="minorEastAsia" w:hAnsiTheme="minorEastAsia" w:eastAsiaTheme="minorEastAsia" w:cstheme="minorEastAsia"/>
          <w:sz w:val="24"/>
          <w:szCs w:val="24"/>
        </w:rPr>
        <w:t xml:space="preserve">19、投标文件的密封和标记</w:t>
      </w:r>
      <w:bookmarkEnd w:id="85"/>
      <w:r/>
      <w:bookmarkEnd w:id="86"/>
      <w:r/>
      <w:bookmarkEnd w:id="87"/>
      <w:r/>
      <w:bookmarkEnd w:id="88"/>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19.1投标人应将投标文件正本和所有副本密封，不论投标人中标与否，投标文件均不退回（投标原件除外）。</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密封的投标文件应：</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19.2.1 投标文件按招标文件的格式、样式要求装订、签署和盖章后装入封袋，封袋大小根据需要自行制作，在封袋上正确标明项目名称、投标人名称。</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注明投标人名称，如因标注不清而产生的后果由投标人自负。按招标公告中注明的地址送达；</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19.2.2  所有投标文件装入封袋后都必须在封口处密封并加盖投标人公章。</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19.2.3  未按要求密封和加写标记的投标文件，采购人或采购代理机构将予以拒收。</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20、投标截止日期</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采购人或者采购代理机构收到投标文件的时间不得迟于招标公告中规定的截止时间。</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20.2 采购人有权通过修改招标文件酌情延长投标截止日期，在此情况下，投标人的所有权利和义务以及投标人受制的截止日期均应以延长后新的截止日期为准。</w:t>
      </w:r>
      <w:r/>
    </w:p>
    <w:p>
      <w:pPr>
        <w:pStyle w:val="936"/>
        <w:ind w:firstLine="482"/>
        <w:spacing w:before="0" w:after="0" w:line="40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21、迟交的投标文件</w:t>
      </w:r>
      <w:r/>
    </w:p>
    <w:p>
      <w:pPr>
        <w:ind w:firstLine="480"/>
        <w:spacing w:line="400" w:lineRule="exact"/>
        <w:rPr>
          <w:rFonts w:hint="eastAsia" w:asciiTheme="minorEastAsia" w:hAnsiTheme="minorEastAsia" w:eastAsiaTheme="minorEastAsia" w:cstheme="minorEastAsia"/>
          <w:sz w:val="24"/>
          <w:szCs w:val="24"/>
        </w:rPr>
      </w:pPr>
      <w:r/>
      <w:bookmarkStart w:id="89" w:name="_Toc120614218"/>
      <w:r/>
      <w:bookmarkStart w:id="90" w:name="_Toc20823301"/>
      <w:r/>
      <w:bookmarkStart w:id="91" w:name="_Toc16938545"/>
      <w:r/>
      <w:bookmarkStart w:id="92" w:name="_Toc513029229"/>
      <w:r>
        <w:rPr>
          <w:rFonts w:hint="eastAsia" w:asciiTheme="minorEastAsia" w:hAnsiTheme="minorEastAsia" w:eastAsiaTheme="minorEastAsia" w:cstheme="minorEastAsia"/>
          <w:sz w:val="24"/>
          <w:szCs w:val="24"/>
        </w:rPr>
        <w:t xml:space="preserve">21.1 采购人、采购代理机构拒绝接收在其规定的投标截止时间后递交的任何投标文件。</w:t>
      </w:r>
      <w:r/>
    </w:p>
    <w:p>
      <w:pPr>
        <w:pStyle w:val="969"/>
        <w:ind w:firstLine="482"/>
        <w:spacing w:line="400" w:lineRule="exact"/>
        <w:rPr>
          <w:rFonts w:hint="eastAsia" w:asciiTheme="minorEastAsia" w:hAnsiTheme="minorEastAsia" w:eastAsiaTheme="minorEastAsia" w:cstheme="minorEastAsia"/>
          <w:b/>
          <w:bCs/>
          <w:sz w:val="24"/>
          <w:szCs w:val="24"/>
        </w:rPr>
      </w:pPr>
      <w:r/>
      <w:bookmarkStart w:id="93" w:name="_Toc16938544"/>
      <w:r/>
      <w:bookmarkStart w:id="94" w:name="_Toc20823300"/>
      <w:r/>
      <w:bookmarkStart w:id="95" w:name="_Toc513029228"/>
      <w:r>
        <w:rPr>
          <w:rFonts w:hint="eastAsia" w:asciiTheme="minorEastAsia" w:hAnsiTheme="minorEastAsia" w:eastAsiaTheme="minorEastAsia" w:cstheme="minorEastAsia"/>
          <w:b/>
          <w:bCs/>
          <w:sz w:val="24"/>
          <w:szCs w:val="24"/>
        </w:rPr>
        <w:t xml:space="preserve">22、投标文件的修改和撤回</w:t>
      </w:r>
      <w:bookmarkEnd w:id="93"/>
      <w:r/>
      <w:bookmarkEnd w:id="94"/>
      <w:r/>
      <w:bookmarkEnd w:id="95"/>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w:t>
      </w:r>
      <w:r>
        <w:rPr>
          <w:rFonts w:hint="eastAsia" w:asciiTheme="minorEastAsia" w:hAnsiTheme="minorEastAsia" w:eastAsiaTheme="minorEastAsia" w:cstheme="minorEastAsia"/>
          <w:bCs/>
          <w:sz w:val="24"/>
          <w:szCs w:val="24"/>
        </w:rPr>
        <w:t xml:space="preserve"> 投标人在递交投标文件后，可以修改或撤回其投标文件，但这种修改和撤回，必须在规定的投标截止时间前，以书面形式</w:t>
      </w:r>
      <w:r>
        <w:rPr>
          <w:rFonts w:hint="eastAsia" w:asciiTheme="minorEastAsia" w:hAnsiTheme="minorEastAsia" w:eastAsiaTheme="minorEastAsia" w:cstheme="minorEastAsia"/>
          <w:sz w:val="24"/>
          <w:szCs w:val="24"/>
        </w:rPr>
        <w:t xml:space="preserve">通知</w:t>
      </w:r>
      <w:r>
        <w:rPr>
          <w:rFonts w:hint="eastAsia" w:asciiTheme="minorEastAsia" w:hAnsiTheme="minorEastAsia" w:eastAsiaTheme="minorEastAsia" w:cstheme="minorEastAsia"/>
          <w:bCs/>
          <w:sz w:val="24"/>
          <w:szCs w:val="24"/>
        </w:rPr>
        <w:t xml:space="preserve">采购人或者采购代理机构</w:t>
      </w:r>
      <w:r>
        <w:rPr>
          <w:rFonts w:hint="eastAsia" w:asciiTheme="minorEastAsia" w:hAnsiTheme="minorEastAsia" w:eastAsiaTheme="minorEastAsia" w:cstheme="minorEastAsia"/>
          <w:sz w:val="24"/>
          <w:szCs w:val="24"/>
        </w:rPr>
        <w:t xml:space="preserve">，修改或撤回其投标文件。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eastAsiaTheme="minorEastAsia" w:cstheme="minorEastAsia"/>
          <w:bCs/>
          <w:sz w:val="24"/>
          <w:szCs w:val="24"/>
        </w:rPr>
        <w:t xml:space="preserve"> 投标人的修改或撤回文件应按规定进行编制、密封、标记和发送，并应在封套上加注“修改”或“撤回”字样。</w:t>
      </w:r>
      <w:r>
        <w:rPr>
          <w:rFonts w:hint="eastAsia" w:asciiTheme="minorEastAsia" w:hAnsiTheme="minorEastAsia" w:eastAsiaTheme="minorEastAsia" w:cstheme="minorEastAsia"/>
          <w:sz w:val="24"/>
          <w:szCs w:val="24"/>
        </w:rPr>
        <w:t xml:space="preserve">上述补充或修改若涉及投标报价，必须注明“最后唯一报价”字样，否则将视为有选择的报价。补充、修改的文件必须在投标截止时间前送达开标地点。</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eastAsiaTheme="minorEastAsia" w:cstheme="minorEastAsia"/>
          <w:bCs/>
          <w:sz w:val="24"/>
          <w:szCs w:val="24"/>
        </w:rPr>
        <w:t xml:space="preserve"> 在投标截止时间之后，投标人不得对其投标文件作任何补充、修改。</w:t>
      </w:r>
      <w:r/>
    </w:p>
    <w:p>
      <w:pPr>
        <w:pStyle w:val="969"/>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22.4 在投标截止时间至招标文件中规定的投标有效期满之间的这段时间内，投标人不得撤回其投标。</w:t>
      </w:r>
      <w:r/>
    </w:p>
    <w:p>
      <w:pPr>
        <w:pStyle w:val="935"/>
        <w:ind w:firstLine="361"/>
        <w:spacing w:before="156" w:after="156"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五、开标与评标</w:t>
      </w:r>
      <w:bookmarkEnd w:id="89"/>
      <w:r/>
      <w:bookmarkEnd w:id="90"/>
      <w:r/>
      <w:bookmarkEnd w:id="91"/>
      <w:r/>
      <w:bookmarkEnd w:id="92"/>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96" w:name="_Toc513029230"/>
      <w:r/>
      <w:bookmarkStart w:id="97" w:name="_Toc16938546"/>
      <w:r/>
      <w:bookmarkStart w:id="98" w:name="_Toc20823302"/>
      <w:r>
        <w:rPr>
          <w:rFonts w:hint="eastAsia" w:asciiTheme="minorEastAsia" w:hAnsiTheme="minorEastAsia" w:eastAsiaTheme="minorEastAsia" w:cstheme="minorEastAsia"/>
          <w:sz w:val="24"/>
          <w:szCs w:val="24"/>
        </w:rPr>
        <w:t xml:space="preserve">23、开标</w:t>
      </w:r>
      <w:bookmarkEnd w:id="96"/>
      <w:r/>
      <w:bookmarkEnd w:id="97"/>
      <w:r/>
      <w:bookmarkEnd w:id="98"/>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开标在招标公告中规定的时间和地点组织公开开标。投标人应委派携带有效证件的代表准时参加，参加开标的代表需签名以证明其出席。</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23.2开标由采购人或者采购代理机构主持，邀请投标人参加。</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23.3按照规定同意撤回的投标将不予开封。</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开标时请投标人代表查验投标文件密封情况，确认无误后，由采购人或者采购代理机构工作人员当众拆封宣布投标人开标一览表和招标文件规定的需要宣布的其他内容。开标时未宣布的投标报价信息，不得在评标时采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23.5 采购人或者采购代理机构负责记录开标过程，由参加开标的各投标人代表和相关工作人员签字确认后随采购文件一并存档。</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23.6 投标人在报价时不允许采用选择性报价，否则将被视为无效投标。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23.7投标人未参加开标的，视同认可开标结果。</w:t>
      </w:r>
      <w:r/>
    </w:p>
    <w:p>
      <w:pPr>
        <w:pStyle w:val="936"/>
        <w:ind w:firstLine="482"/>
        <w:spacing w:before="0" w:after="0" w:line="400" w:lineRule="exact"/>
        <w:rPr>
          <w:rFonts w:hint="eastAsia" w:asciiTheme="minorEastAsia" w:hAnsiTheme="minorEastAsia" w:eastAsiaTheme="minorEastAsia" w:cstheme="minorEastAsia"/>
          <w:sz w:val="24"/>
          <w:szCs w:val="24"/>
        </w:rPr>
      </w:pPr>
      <w:r/>
      <w:bookmarkStart w:id="99" w:name="_Toc20823303"/>
      <w:r/>
      <w:bookmarkStart w:id="100" w:name="_Toc513029231"/>
      <w:r/>
      <w:bookmarkStart w:id="101" w:name="_Toc16938547"/>
      <w:r>
        <w:rPr>
          <w:rFonts w:hint="eastAsia" w:asciiTheme="minorEastAsia" w:hAnsiTheme="minorEastAsia" w:eastAsiaTheme="minorEastAsia" w:cstheme="minorEastAsia"/>
          <w:sz w:val="24"/>
          <w:szCs w:val="24"/>
        </w:rPr>
        <w:t xml:space="preserve">24、资格审查</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w:t>
      </w:r>
      <w:r>
        <w:rPr>
          <w:rFonts w:hint="eastAsia" w:asciiTheme="minorEastAsia" w:hAnsiTheme="minorEastAsia" w:eastAsiaTheme="minorEastAsia" w:cstheme="minorEastAsia"/>
          <w:sz w:val="24"/>
          <w:szCs w:val="24"/>
        </w:rPr>
        <w:t xml:space="preserve">“信用江苏”网站（http://credit.jiangsu.gov.cn/）</w:t>
      </w:r>
      <w:r>
        <w:rPr>
          <w:rFonts w:hint="eastAsia" w:asciiTheme="minorEastAsia" w:hAnsiTheme="minorEastAsia" w:eastAsiaTheme="minorEastAsia" w:cstheme="minorEastAsia"/>
          <w:sz w:val="24"/>
          <w:szCs w:val="24"/>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合格投标人不足3家的，不得评标。</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25、评标委员会</w:t>
      </w:r>
      <w:bookmarkEnd w:id="99"/>
      <w:r/>
      <w:bookmarkEnd w:id="100"/>
      <w:r/>
      <w:bookmarkEnd w:id="101"/>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 资格审查通过后，组织评标委员会（以下简称评委会）进行评标。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 评委确定：评委数量为5人，由采购人评委和有关技术、经济等方面的专家组成，其中经济评委不得少于1人。评委从省政府采购专家库中抽取；</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25.3评标委员会负责具体评标事务，并独立履行下列职责：</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25.3.1审查、评价投标文件是否符合招标文件的商务、技术等实质性要求；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25.3.2要求投标人对投标文件有关事项作出澄清或者说明；</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25.3.3对投标文件进行比较和评价；</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25.3.4确定中标候选人名单，以及根据采购人委托直接确定中标人；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25.3.5向采购人、采购代理机构或者有关部门报告评标中发现的违法行为。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25.4评委会独立工作，负责评审所有投标文件并确定中标侯选人。</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26、评标过程的保密与公正</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26.1公开开标后，直至签订合同之日止，凡是与审查、澄清、评价和比较投标的有关资料以及授标建议等，采购人、评委、采购代理机构均不得向投标人或与评标无关的其他人员透露。</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26.2在评标过程中，投标人不得以任何行为影响评标过程，否则其投标文件将被作为无效投标文件。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 有关人员对评标情况以及在评标过程中获悉的国家秘密、商业秘密负有保密责任。</w:t>
      </w:r>
      <w:r/>
    </w:p>
    <w:p>
      <w:pPr>
        <w:ind w:firstLine="482"/>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27、投标的澄清</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27.1评标期间，为有助于对投标文件的审查、评价和比较，评委会有权以书面形式要求投标人对其投标文件进行澄清，但并非对每个投标人都作澄清要求。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接到评委会澄清要求的投标人如未按规定做出澄清，其风险由投标人自行承担。</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28、对投标文件的评审</w:t>
      </w:r>
      <w:r/>
    </w:p>
    <w:p>
      <w:pPr>
        <w:ind w:firstLine="480"/>
        <w:spacing w:line="400" w:lineRule="exact"/>
        <w:rPr>
          <w:rFonts w:hint="eastAsia" w:asciiTheme="minorEastAsia" w:hAnsiTheme="minorEastAsia" w:eastAsiaTheme="minorEastAsia" w:cstheme="minorEastAsia"/>
          <w:sz w:val="24"/>
          <w:szCs w:val="24"/>
        </w:rPr>
      </w:pPr>
      <w:r/>
      <w:bookmarkStart w:id="102" w:name="_Toc20823307"/>
      <w:r/>
      <w:bookmarkStart w:id="103" w:name="_Toc16938551"/>
      <w:r/>
      <w:bookmarkStart w:id="104" w:name="_Toc513029235"/>
      <w:r>
        <w:rPr>
          <w:rFonts w:hint="eastAsia" w:asciiTheme="minorEastAsia" w:hAnsiTheme="minorEastAsia" w:eastAsiaTheme="minorEastAsia" w:cstheme="minorEastAsia"/>
          <w:sz w:val="24"/>
          <w:szCs w:val="24"/>
        </w:rPr>
        <w:t xml:space="preserve">28.1符合性检查：依据招标文件的规定，从投标文件的有效性、完整性和对招标文件的响应程度进行审查，以确定是否对招标文件的实质性要求作出响应。</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28.3如果投标文件实质上没有响应招标文件的要求，评委会将按无效投标处理，投标人不得通过修改或撤销不合要求的偏离或保留而使其投标成为实质性响应的投标。</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28.4评委会将对确定为实质性响应的投标进行进一步审核，看其是否有计算上或累加上的算术错误，修正错误的原则如下：</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评标委员会将按上述修正错误的方法调整投标文件中的投标报价，修正后的报价应当采用书面形式，并加盖公章，或者由法定代表人或其授权的代表签字，经投标人确认后产生约束力，如果投标人不接受修正后的价格，则其投标将被拒绝。</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28.6评委会将允许修正投标文件中不构成重大偏离的、微小的、非正规的、不一致的或不规则的地方，但这些修改不能影响任何投标人相应的名次排列。</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28.7</w:t>
      </w:r>
      <w:r>
        <w:rPr>
          <w:rFonts w:hint="eastAsia" w:asciiTheme="minorEastAsia" w:hAnsiTheme="minorEastAsia" w:eastAsiaTheme="minorEastAsia" w:cstheme="minorEastAsia"/>
          <w:b/>
          <w:bCs/>
          <w:sz w:val="24"/>
          <w:szCs w:val="24"/>
        </w:rPr>
        <w:t xml:space="preserve">采用最低评标价法的采购项目</w:t>
      </w:r>
      <w:r>
        <w:rPr>
          <w:rFonts w:hint="eastAsia" w:asciiTheme="minorEastAsia" w:hAnsiTheme="minorEastAsia" w:eastAsiaTheme="minorEastAsia" w:cstheme="minorEastAsia"/>
          <w:sz w:val="24"/>
          <w:szCs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contextualSpacing/>
        <w:ind w:firstLine="482"/>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使用综合评分法的采购项目</w:t>
      </w:r>
      <w:r>
        <w:rPr>
          <w:rFonts w:hint="eastAsia" w:asciiTheme="minorEastAsia" w:hAnsiTheme="minorEastAsia" w:eastAsiaTheme="minorEastAsia" w:cstheme="minorEastAsia"/>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contextualSpacing/>
        <w:ind w:firstLine="482"/>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非单一产品采购项目</w:t>
      </w:r>
      <w:r>
        <w:rPr>
          <w:rFonts w:hint="eastAsia" w:asciiTheme="minorEastAsia" w:hAnsiTheme="minorEastAsia" w:eastAsiaTheme="minorEastAsia" w:cstheme="minorEastAsia"/>
          <w:sz w:val="24"/>
          <w:szCs w:val="24"/>
        </w:rPr>
        <w:t xml:space="preserve">，采购人应当根据采购项目技术构成、产品价格比重等合理确定核心产品，并在招标文件中载明。多家投标人提供的核心产品品牌相同的，按前两款规定处理。   (87号令第31条)</w:t>
      </w:r>
      <w:bookmarkEnd w:id="102"/>
      <w:r/>
      <w:bookmarkEnd w:id="103"/>
      <w:r/>
      <w:bookmarkEnd w:id="104"/>
      <w:r/>
      <w:r/>
    </w:p>
    <w:p>
      <w:pPr>
        <w:ind w:firstLine="48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29、无效投标条款和废标条款</w:t>
      </w:r>
      <w:r/>
    </w:p>
    <w:p>
      <w:pPr>
        <w:ind w:firstLine="480"/>
        <w:spacing w:line="400" w:lineRule="exact"/>
        <w:rPr>
          <w:rFonts w:hint="eastAsia" w:asciiTheme="minorEastAsia" w:hAnsiTheme="minorEastAsia" w:eastAsiaTheme="minorEastAsia" w:cstheme="minorEastAsia"/>
          <w:bCs/>
          <w:sz w:val="24"/>
          <w:szCs w:val="24"/>
        </w:rPr>
      </w:pPr>
      <w:r/>
      <w:bookmarkStart w:id="105" w:name="_Toc200451960"/>
      <w:r>
        <w:rPr>
          <w:rFonts w:hint="eastAsia" w:asciiTheme="minorEastAsia" w:hAnsiTheme="minorEastAsia" w:eastAsiaTheme="minorEastAsia" w:cstheme="minorEastAsia"/>
          <w:bCs/>
          <w:sz w:val="24"/>
          <w:szCs w:val="24"/>
        </w:rPr>
        <w:t xml:space="preserve">29.1无效投标条款</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29.1.1未按照招标文件规定要求密封、签署、盖章的；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29.1.2投标人在报价时采用选择性报价；</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29.1.3投标人不具备招标文件中规定资格要求的；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29.1.4投标人的报价超过了采购预算或最高限价的；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29.1.5未通过符合性检查的；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29.1.6不符合招标文件中规定的其他实质性要求和条件的；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29.1.7投标人串通投标；</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29.1.8投标文件含有采购人不能接受的附加条件的。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29.1.10其他法律、法规及本招标文件规定的属无效投标的情形。</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29.2废标条款：</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29.2.1符合专业条件的供应商或者对招标文件作实质响应的供应商不足三家的；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29.2.2出现影响采购公正的违法、违规行为的；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29.2.3因重大变故，采购任务取消的；</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29.2.4评标委员会认定招标文件存在歧义、重大缺陷导致评审工作无法进行。</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29.3 投标截止时间结束后参加投标的供应商不足三家的处理：</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29.3.1如出现投标截止时间结束后参加投标的供应商或者在评标期间对招标文件做出实质响应的供应商不足三家情况，按财政部第八十七号令第四十三条的规定执行。</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29.4投标截止后投标人不足3家或者通过资格审查、符合性审查的投标人不足3家的，除采购任务取消情形外，按照以下方式处理：</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29.4.1招标文件存在不合理条款或者招标程序不符合规定的，采购人、采购代理机构改正后依法重新招标；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29.4.2招标文件没有不合理条款、招标程序符合规定，需要采用其他采购方式采购的，采购人应当依法报财政部门批准。</w:t>
      </w:r>
      <w:bookmarkEnd w:id="105"/>
      <w:r/>
      <w:r/>
    </w:p>
    <w:p>
      <w:pPr>
        <w:pStyle w:val="935"/>
        <w:ind w:firstLine="241"/>
        <w:spacing w:before="156" w:after="156" w:line="400" w:lineRule="exact"/>
        <w:rPr>
          <w:rFonts w:hint="eastAsia" w:asciiTheme="minorEastAsia" w:hAnsiTheme="minorEastAsia" w:eastAsiaTheme="minorEastAsia" w:cstheme="minorEastAsia"/>
          <w:sz w:val="24"/>
          <w:szCs w:val="24"/>
        </w:rPr>
      </w:pPr>
      <w:r/>
      <w:bookmarkStart w:id="106" w:name="_Toc120614219"/>
      <w:r>
        <w:rPr>
          <w:rFonts w:hint="eastAsia" w:asciiTheme="minorEastAsia" w:hAnsiTheme="minorEastAsia" w:eastAsiaTheme="minorEastAsia" w:cstheme="minorEastAsia"/>
          <w:sz w:val="24"/>
          <w:szCs w:val="24"/>
        </w:rPr>
        <w:t xml:space="preserve">六、定标</w:t>
      </w:r>
      <w:bookmarkEnd w:id="106"/>
      <w:r/>
      <w:r/>
    </w:p>
    <w:p>
      <w:pPr>
        <w:pStyle w:val="936"/>
        <w:ind w:firstLine="361"/>
        <w:spacing w:before="0" w:after="0" w:line="400" w:lineRule="exact"/>
        <w:rPr>
          <w:rFonts w:hint="eastAsia" w:asciiTheme="minorEastAsia" w:hAnsiTheme="minorEastAsia" w:eastAsiaTheme="minorEastAsia" w:cstheme="minorEastAsia"/>
          <w:b w:val="0"/>
          <w:sz w:val="24"/>
          <w:szCs w:val="24"/>
        </w:rPr>
      </w:pPr>
      <w:r/>
      <w:bookmarkStart w:id="107" w:name="_Toc513029238"/>
      <w:r/>
      <w:bookmarkStart w:id="108" w:name="_Toc20823310"/>
      <w:r/>
      <w:bookmarkStart w:id="109" w:name="_Toc16938554"/>
      <w:r>
        <w:rPr>
          <w:rFonts w:hint="eastAsia" w:asciiTheme="minorEastAsia" w:hAnsiTheme="minorEastAsia" w:eastAsiaTheme="minorEastAsia" w:cstheme="minorEastAsia"/>
          <w:sz w:val="24"/>
          <w:szCs w:val="24"/>
        </w:rPr>
        <w:t xml:space="preserve">30、</w:t>
      </w:r>
      <w:bookmarkEnd w:id="107"/>
      <w:r>
        <w:rPr>
          <w:rFonts w:hint="eastAsia" w:asciiTheme="minorEastAsia" w:hAnsiTheme="minorEastAsia" w:eastAsiaTheme="minorEastAsia" w:cstheme="minorEastAsia"/>
          <w:sz w:val="24"/>
          <w:szCs w:val="24"/>
        </w:rPr>
        <w:t xml:space="preserve">确定</w:t>
      </w:r>
      <w:bookmarkEnd w:id="108"/>
      <w:r/>
      <w:bookmarkEnd w:id="109"/>
      <w:r>
        <w:rPr>
          <w:rFonts w:hint="eastAsia" w:asciiTheme="minorEastAsia" w:hAnsiTheme="minorEastAsia" w:eastAsiaTheme="minorEastAsia" w:cstheme="minorEastAsia"/>
          <w:sz w:val="24"/>
          <w:szCs w:val="24"/>
        </w:rPr>
        <w:t xml:space="preserve">中标单位</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30.1评委会根据本招标文件规定评标方法与评标标准向采购人推荐出中标候选人。</w:t>
      </w:r>
      <w:r/>
    </w:p>
    <w:p>
      <w:pPr>
        <w:contextualSpacing/>
        <w:ind w:firstLine="480"/>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30.2 </w:t>
      </w:r>
      <w:r>
        <w:rPr>
          <w:rFonts w:hint="eastAsia" w:asciiTheme="minorEastAsia" w:hAnsiTheme="minorEastAsia" w:eastAsiaTheme="minorEastAsia" w:cstheme="minorEastAsia"/>
          <w:sz w:val="24"/>
          <w:szCs w:val="24"/>
        </w:rPr>
        <w:t xml:space="preserve">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30.3</w:t>
      </w:r>
      <w:r>
        <w:rPr>
          <w:rFonts w:hint="eastAsia" w:asciiTheme="minorEastAsia" w:hAnsiTheme="minorEastAsia" w:eastAsiaTheme="minorEastAsia" w:cstheme="minorEastAsia"/>
          <w:sz w:val="24"/>
          <w:szCs w:val="24"/>
        </w:rPr>
        <w:t xml:space="preserve">采购人或者采购代理机构自中标人确定之日起2个工作日内，在“江苏政府采购网（http://www.ccgp-jiangsu.gov.cn/）</w:t>
      </w:r>
      <w:r>
        <w:rPr>
          <w:rFonts w:hint="eastAsia" w:asciiTheme="minorEastAsia" w:hAnsiTheme="minorEastAsia" w:eastAsiaTheme="minorEastAsia" w:cstheme="minorEastAsia"/>
          <w:bCs/>
          <w:sz w:val="24"/>
          <w:szCs w:val="24"/>
          <w:lang w:val="en-US" w:eastAsia="zh-CN"/>
        </w:rPr>
        <w:t xml:space="preserve">和盐城市政府采购网（http://czj.yancheng.gov.cn/col/col2383/）</w:t>
      </w:r>
      <w:r>
        <w:rPr>
          <w:rFonts w:hint="eastAsia" w:asciiTheme="minorEastAsia" w:hAnsiTheme="minorEastAsia" w:eastAsiaTheme="minorEastAsia" w:cstheme="minorEastAsia"/>
          <w:sz w:val="24"/>
          <w:szCs w:val="24"/>
        </w:rPr>
        <w:t xml:space="preserve">”上公告中标结果</w:t>
      </w:r>
      <w:r>
        <w:rPr>
          <w:rFonts w:hint="eastAsia" w:asciiTheme="minorEastAsia" w:hAnsiTheme="minorEastAsia" w:eastAsiaTheme="minorEastAsia" w:cstheme="minorEastAsia"/>
          <w:sz w:val="24"/>
          <w:szCs w:val="24"/>
        </w:rPr>
        <w:t xml:space="preserve">，公告期限为1个工作日。</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30.4中标人有下列情形之一的，一经查实，将被取消中标资格并列入不良行为记录，在1至3年内禁止参加滨海县滨海港人民政府采购活动：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30.4.1提供虚假材料谋取中标的；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30.4.2向采购人、采购代理机构行贿或者提供其他不正当利益的；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30.4.3恶意竞争，投标总报价明显低于其自身合理成本且又无法提供证明的；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30.4.4属于本文件规定的无效条件，但在评标过程中又未被评委会发现的；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30.4.5与采购人或者其他供应商恶意串通的；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30.4.6采取不正当手段诋毁、排挤其他供应商的；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30.4.7不符合法律、法规的规定的。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30.5.</w:t>
      </w:r>
      <w:r>
        <w:rPr>
          <w:rFonts w:hint="eastAsia" w:asciiTheme="minorEastAsia" w:hAnsiTheme="minorEastAsia" w:eastAsiaTheme="minorEastAsia" w:cstheme="minorEastAsia"/>
          <w:sz w:val="24"/>
          <w:szCs w:val="24"/>
        </w:rPr>
        <w:t xml:space="preserve">有下列情形之一的，视为投标人串通投标，投标无效：</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30.5.1不同投标人的投标文件由同一单位或者个人编制。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30.5.2不同投标人委托同一单位或者个人办理投标事宜。</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30.5.3 不同投标人的投标文件载明的项目管理成员或者联系人员为同一人。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30.5.4不同投标人的投标文件异常一致或者投标报价呈规律性差异。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30.5.5不同投标人的投标文件相互混装。</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w:t>
      </w:r>
      <w:r>
        <w:rPr>
          <w:rFonts w:hint="eastAsia" w:asciiTheme="minorEastAsia" w:hAnsiTheme="minorEastAsia" w:eastAsiaTheme="minorEastAsia" w:cstheme="minorEastAsia"/>
          <w:sz w:val="24"/>
          <w:szCs w:val="24"/>
        </w:rPr>
        <w:t xml:space="preserve">有下列情形之一的，属于恶意串通：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30.6.1</w:t>
      </w:r>
      <w:r>
        <w:rPr>
          <w:rFonts w:hint="eastAsia" w:asciiTheme="minorEastAsia" w:hAnsiTheme="minorEastAsia" w:eastAsiaTheme="minorEastAsia" w:cstheme="minorEastAsia"/>
          <w:sz w:val="24"/>
          <w:szCs w:val="24"/>
        </w:rPr>
        <w:t xml:space="preserve">投标人直接或者间接从采购人或者采购代理机构处获得其他投标人的相关情况并修改其投标文件；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30.6.2</w:t>
      </w:r>
      <w:r>
        <w:rPr>
          <w:rFonts w:hint="eastAsia" w:asciiTheme="minorEastAsia" w:hAnsiTheme="minorEastAsia" w:eastAsiaTheme="minorEastAsia" w:cstheme="minorEastAsia"/>
          <w:sz w:val="24"/>
          <w:szCs w:val="24"/>
        </w:rPr>
        <w:t xml:space="preserve">投标人按照采购人或者采购代理机构的授意撤换、修改投标文件；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30.6.3</w:t>
      </w:r>
      <w:r>
        <w:rPr>
          <w:rFonts w:hint="eastAsia" w:asciiTheme="minorEastAsia" w:hAnsiTheme="minorEastAsia" w:eastAsiaTheme="minorEastAsia" w:cstheme="minorEastAsia"/>
          <w:sz w:val="24"/>
          <w:szCs w:val="24"/>
        </w:rPr>
        <w:t xml:space="preserve">投标人之间协商报价、技术方案等投标文件的实质性内容；</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30.6.4</w:t>
      </w:r>
      <w:r>
        <w:rPr>
          <w:rFonts w:hint="eastAsia" w:asciiTheme="minorEastAsia" w:hAnsiTheme="minorEastAsia" w:eastAsiaTheme="minorEastAsia" w:cstheme="minorEastAsia"/>
          <w:sz w:val="24"/>
          <w:szCs w:val="24"/>
        </w:rPr>
        <w:t xml:space="preserve">属于同一集团、协会、商会等组织成员的投标人按照该组织要求协同参加政府采购活动；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30.6.5</w:t>
      </w:r>
      <w:r>
        <w:rPr>
          <w:rFonts w:hint="eastAsia" w:asciiTheme="minorEastAsia" w:hAnsiTheme="minorEastAsia" w:eastAsiaTheme="minorEastAsia" w:cstheme="minorEastAsia"/>
          <w:sz w:val="24"/>
          <w:szCs w:val="24"/>
        </w:rPr>
        <w:t xml:space="preserve">投标人之间事先约定由某一特定投标人中标；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30.6.6</w:t>
      </w:r>
      <w:r>
        <w:rPr>
          <w:rFonts w:hint="eastAsia" w:asciiTheme="minorEastAsia" w:hAnsiTheme="minorEastAsia" w:eastAsiaTheme="minorEastAsia" w:cstheme="minorEastAsia"/>
          <w:sz w:val="24"/>
          <w:szCs w:val="24"/>
        </w:rPr>
        <w:t xml:space="preserve">投标人之间商定部分投标人放弃参加政府采购活动或者放弃中标；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30.6.7</w:t>
      </w:r>
      <w:r>
        <w:rPr>
          <w:rFonts w:hint="eastAsia" w:asciiTheme="minorEastAsia" w:hAnsiTheme="minorEastAsia" w:eastAsiaTheme="minorEastAsia" w:cstheme="minorEastAsia"/>
          <w:sz w:val="24"/>
          <w:szCs w:val="24"/>
        </w:rPr>
        <w:t xml:space="preserve">投标人与采购人或者采购代理机构之间、投标人相互之间，为谋求特定投标人中标或者排斥其他投标人的其他串通行为。</w:t>
      </w:r>
      <w:r/>
    </w:p>
    <w:p>
      <w:pPr>
        <w:pStyle w:val="936"/>
        <w:ind w:firstLine="361"/>
        <w:spacing w:before="0" w:after="0" w:line="400" w:lineRule="exact"/>
        <w:tabs>
          <w:tab w:val="left" w:pos="4120" w:leader="none"/>
        </w:tabs>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sz w:val="24"/>
          <w:szCs w:val="24"/>
        </w:rPr>
        <w:t xml:space="preserve">31、质疑处理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31.1参加投标供应商认为招标文件、采购过程和中标结果使自己的权益受到损害的，可以在知道或应知其权益受到损害之日起七个工作日内，以书面形式向采购人提出质疑。上述应知其权益受到损害之日，是指：</w:t>
      </w:r>
      <w:r/>
    </w:p>
    <w:p>
      <w:pPr>
        <w:ind w:firstLine="72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31.1.1</w:t>
      </w:r>
      <w:r>
        <w:rPr>
          <w:rFonts w:hint="eastAsia" w:asciiTheme="minorEastAsia" w:hAnsiTheme="minorEastAsia" w:eastAsiaTheme="minorEastAsia" w:cstheme="minorEastAsia"/>
          <w:sz w:val="24"/>
          <w:szCs w:val="24"/>
        </w:rPr>
        <w:t xml:space="preserve">对可以质疑的招标文件提出质疑的，为收到招标文件之日或者招标文件公告期限届满之日；</w:t>
      </w:r>
      <w:r/>
    </w:p>
    <w:p>
      <w:pPr>
        <w:ind w:firstLine="72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31.1.2</w:t>
      </w:r>
      <w:r>
        <w:rPr>
          <w:rFonts w:hint="eastAsia" w:asciiTheme="minorEastAsia" w:hAnsiTheme="minorEastAsia" w:eastAsiaTheme="minorEastAsia" w:cstheme="minorEastAsia"/>
          <w:sz w:val="24"/>
          <w:szCs w:val="24"/>
        </w:rPr>
        <w:t xml:space="preserve">对采购过程提出质疑的，为各采购程序环节结束之日；</w:t>
      </w:r>
      <w:r/>
    </w:p>
    <w:p>
      <w:pPr>
        <w:ind w:firstLine="72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31.1.3</w:t>
      </w:r>
      <w:r>
        <w:rPr>
          <w:rFonts w:hint="eastAsia" w:asciiTheme="minorEastAsia" w:hAnsiTheme="minorEastAsia" w:eastAsiaTheme="minorEastAsia" w:cstheme="minorEastAsia"/>
          <w:sz w:val="24"/>
          <w:szCs w:val="24"/>
        </w:rPr>
        <w:t xml:space="preserve">对中标结果提出质疑的，为中标结果公告期限届满之日。</w:t>
      </w:r>
      <w:r/>
    </w:p>
    <w:p>
      <w:pPr>
        <w:ind w:firstLine="47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质疑必须按《政府采购法》、《政府采购法实施条例》及《江苏省政府采购供应商监督管理暂行办法》的相关规定提交，未按上述要求提交的质疑函（含传真、电子邮件等）采购人（采购代理机构）有权不予受理。</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31.3未参加投标活动的供应商或在投标活动中自身权益未受到损害的供应商所提出的质疑不予受理。</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31.4质疑函应当包括下列内容：</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31.4.1质疑投标人的名称、地址、邮编、联系人、联系电话；</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31.4.2具体的质疑事项及明确的请求；</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31.4.3认为自己合法权益受到损害或可能受到损害的相关证据材料；</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31.4.4提起质疑的日期；</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31.4.5质疑函应当署名：供应商为自然人的，应当由本人签字；供应商为法人或者其他组织的，应当由法定代表人、主要负责人，或者其授权代表签字或者盖章，并加盖公章。（质疑人为联合体的，则联合体各方法定代表人均须签字并加盖单位公章）。供应商委托代理质疑的，应当向采购人、采购代理机构提交授权委托书，并载明代理人的姓名或者名称、代理事项、具体权限、期限和相关事项。</w:t>
      </w:r>
      <w:r/>
    </w:p>
    <w:p>
      <w:pPr>
        <w:ind w:firstLine="24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供应商认为采购文件、采购过程、中标或者成交结果使自己的权益受到损害的，应当在法定质疑期内一次性提出针对同一采购程序环节的质疑。两次或多次对同一采购程序环节提出的质疑，采购人、采购代理机构将拒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31.5采购人、采购代理机构收到质疑函后，将对质疑的形式和内容进行审查，如质疑函内容、格式不符合规定，采购人、采购代理机构将告知质疑人进行补正。</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31.6质疑人应当在法定质疑期限内进行补正并重新提交质疑函，拒不补正或者在法定期限内未重新提交质疑函的，为无效质疑，采购人、采购代理机构将不予受理。</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31.7对于内容、格式符合规定的质疑函，采购人、采购代理机构应当在收到投标投标人的书面质疑后七个工作日内作出答复，并以书面形式通知质疑人和其他相关投标人，但答复的内容不得涉及商业秘密。</w:t>
      </w:r>
      <w:r/>
    </w:p>
    <w:p>
      <w:pPr>
        <w:ind w:firstLine="468"/>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31.8投标人提出书面质疑必须有理、有据，不得恶意质疑或提交虚假质疑。否则，一经查实，采购人有权依据政府采购的有关规定，报请政府采购监管部门对该投标人进行相应的行政处罚。</w:t>
      </w:r>
      <w:r/>
    </w:p>
    <w:p>
      <w:pPr>
        <w:pStyle w:val="936"/>
        <w:ind w:firstLine="361"/>
        <w:spacing w:before="0" w:after="0" w:line="400" w:lineRule="exact"/>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sz w:val="24"/>
          <w:szCs w:val="24"/>
        </w:rPr>
        <w:t xml:space="preserve">32、中标通知书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32.l中标结果确定后，采购人（采购代理机构）将向中标供应商发出中标通知书。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32.2 中标人收到中标通知书后，应签字确认中标通知书已收到。若无回复，则公告后视同中标人已经知悉并同意接受。</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32.3中标通知书将是合同的一个组成部分。对采购人和中标供应商均具有法律效力。中标通知书发出后，采购人改变中标结果的，或者中标供应商放弃中标项目的，应当依法承担法律责任。</w:t>
      </w:r>
      <w:r/>
    </w:p>
    <w:p>
      <w:pPr>
        <w:pStyle w:val="935"/>
        <w:ind w:firstLine="241"/>
        <w:spacing w:before="156" w:after="156" w:line="400" w:lineRule="exact"/>
        <w:rPr>
          <w:rFonts w:hint="eastAsia" w:asciiTheme="minorEastAsia" w:hAnsiTheme="minorEastAsia" w:eastAsiaTheme="minorEastAsia" w:cstheme="minorEastAsia"/>
          <w:sz w:val="24"/>
          <w:szCs w:val="24"/>
        </w:rPr>
      </w:pPr>
      <w:r/>
      <w:bookmarkStart w:id="110" w:name="_Toc120614220"/>
      <w:r/>
      <w:bookmarkStart w:id="111" w:name="_Toc20823308"/>
      <w:r/>
      <w:bookmarkStart w:id="112" w:name="_Toc513029236"/>
      <w:r/>
      <w:bookmarkStart w:id="113" w:name="_Toc16938552"/>
      <w:r>
        <w:rPr>
          <w:rFonts w:hint="eastAsia" w:asciiTheme="minorEastAsia" w:hAnsiTheme="minorEastAsia" w:eastAsiaTheme="minorEastAsia" w:cstheme="minorEastAsia"/>
          <w:sz w:val="24"/>
          <w:szCs w:val="24"/>
        </w:rPr>
        <w:t xml:space="preserve">七、合同</w:t>
      </w:r>
      <w:bookmarkEnd w:id="110"/>
      <w:r>
        <w:rPr>
          <w:rFonts w:hint="eastAsia" w:asciiTheme="minorEastAsia" w:hAnsiTheme="minorEastAsia" w:eastAsiaTheme="minorEastAsia" w:cstheme="minorEastAsia"/>
          <w:sz w:val="24"/>
          <w:szCs w:val="24"/>
        </w:rPr>
        <w:t xml:space="preserve">签订相关事项</w:t>
      </w:r>
      <w:bookmarkEnd w:id="111"/>
      <w:r/>
      <w:bookmarkEnd w:id="112"/>
      <w:r/>
      <w:bookmarkEnd w:id="113"/>
      <w:r/>
      <w:r/>
    </w:p>
    <w:p>
      <w:pPr>
        <w:pStyle w:val="936"/>
        <w:ind w:firstLine="361"/>
        <w:spacing w:before="0" w:after="0" w:line="400" w:lineRule="exact"/>
        <w:rPr>
          <w:rFonts w:hint="eastAsia" w:asciiTheme="minorEastAsia" w:hAnsiTheme="minorEastAsia" w:eastAsiaTheme="minorEastAsia" w:cstheme="minorEastAsia"/>
          <w:b w:val="0"/>
          <w:sz w:val="24"/>
          <w:szCs w:val="24"/>
        </w:rPr>
      </w:pPr>
      <w:r/>
      <w:bookmarkStart w:id="114" w:name="_Toc20823309"/>
      <w:r/>
      <w:bookmarkStart w:id="115" w:name="_Toc513029237"/>
      <w:r/>
      <w:bookmarkStart w:id="116" w:name="_Toc16938553"/>
      <w:r>
        <w:rPr>
          <w:rFonts w:hint="eastAsia" w:asciiTheme="minorEastAsia" w:hAnsiTheme="minorEastAsia" w:eastAsiaTheme="minorEastAsia" w:cstheme="minorEastAsia"/>
          <w:sz w:val="24"/>
          <w:szCs w:val="24"/>
        </w:rPr>
        <w:t xml:space="preserve">33. 签订合同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33</w:t>
      </w:r>
      <w:r>
        <w:rPr>
          <w:rFonts w:hint="eastAsia" w:asciiTheme="minorEastAsia" w:hAnsiTheme="minorEastAsia" w:eastAsiaTheme="minorEastAsia" w:cstheme="minorEastAsia"/>
          <w:sz w:val="24"/>
          <w:szCs w:val="24"/>
        </w:rPr>
        <w:t xml:space="preserve">.l中标供应商应按中标通知书规定的时间、地点,按照招标文件确定的事项与采购人签订政府采购合同，且不得迟于中标通知书发出之日起三十日内，由此给采购人造成损失的，中标供应商还应承担赔偿责任。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33.2招标文件、中标供应商的投标文件及招标过程中有关澄清、承诺文件均应作为合同附件。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33.4中标或者成交后无正当理由拒不与采购人签订政府采购合同的，将被列入不良行为记录名单，在一至三年内禁止参加政府采购活动。</w:t>
      </w:r>
      <w:r/>
    </w:p>
    <w:p>
      <w:pPr>
        <w:pStyle w:val="936"/>
        <w:ind w:firstLine="361"/>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34、货物和服务的追加、减少和添购。</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34.1政府采购合同履行中，采购人需追加与合同标的相同的货物和服务的，在不改变合同其他条款的前提下，可以与中标供应商协商签订补充合同，但所有补充合同的采购金额不超过原合同金额10%。</w:t>
      </w:r>
      <w:r/>
    </w:p>
    <w:p>
      <w:pPr>
        <w:ind w:firstLine="600"/>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bookmarkEnd w:id="114"/>
      <w:r/>
      <w:bookmarkEnd w:id="115"/>
      <w:r/>
      <w:bookmarkEnd w:id="116"/>
      <w:r/>
      <w:r/>
    </w:p>
    <w:p>
      <w:pPr>
        <w:pStyle w:val="936"/>
        <w:ind w:firstLine="361"/>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35、履约保证金</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为合同价的10%，供应商可自主选择以转账、支票、汇票、本票、履约保函（保险）的形式缴纳或提交，推荐使用银行保函（银行保函须为见索即付保函，其他保函需从省政府采购网-保险保函入口办理）。提供第三方信用服务机构依据标准规范评定为AA级及以上的政府采购供应商（须在签订采购合同前提供信用管理部门备案的第三方信用报告，且信用报告通过“信用盐城网”可查实）可免交履约保证金。</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36、政府采购履约资金扶持政策</w:t>
      </w:r>
      <w:r/>
    </w:p>
    <w:p>
      <w:pPr>
        <w:ind w:firstLine="480"/>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55"/>
        <w:ind w:firstLine="482"/>
        <w:jc w:val="center"/>
        <w:spacing w:before="120" w:after="12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br w:type="page" w:clear="all"/>
      </w:r>
      <w:bookmarkEnd w:id="12"/>
      <w:r/>
      <w:bookmarkEnd w:id="13"/>
      <w:r/>
      <w:bookmarkEnd w:id="14"/>
      <w:r/>
      <w:bookmarkEnd w:id="15"/>
      <w:r/>
      <w:bookmarkEnd w:id="16"/>
      <w:r/>
      <w:bookmarkStart w:id="117" w:name="_Toc16938590"/>
      <w:r/>
      <w:bookmarkStart w:id="118" w:name="_Toc20823346"/>
      <w:r/>
      <w:bookmarkStart w:id="119" w:name="_Toc120614244"/>
      <w:r/>
      <w:bookmarkStart w:id="120" w:name="_Toc462564139"/>
      <w:r/>
      <w:bookmarkStart w:id="121" w:name="_Toc479757211"/>
      <w:r>
        <w:rPr>
          <w:rFonts w:hint="eastAsia" w:asciiTheme="minorEastAsia" w:hAnsiTheme="minorEastAsia" w:eastAsiaTheme="minorEastAsia" w:cstheme="minorEastAsia"/>
          <w:b/>
          <w:bCs/>
          <w:sz w:val="32"/>
          <w:szCs w:val="32"/>
        </w:rPr>
        <w:t xml:space="preserve">第三章 </w:t>
      </w:r>
      <w:r>
        <w:rPr>
          <w:rFonts w:hint="eastAsia" w:asciiTheme="minorEastAsia" w:hAnsiTheme="minorEastAsia" w:eastAsiaTheme="minorEastAsia" w:cstheme="minorEastAsia"/>
          <w:sz w:val="32"/>
          <w:szCs w:val="32"/>
        </w:rPr>
        <w:t xml:space="preserve">合同主要条款</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lang w:val="zh-CN"/>
        </w:rPr>
        <w:t xml:space="preserve">甲方：</w:t>
      </w:r>
      <w:r>
        <w:rPr>
          <w:rFonts w:hint="eastAsia" w:asciiTheme="minorEastAsia" w:hAnsiTheme="minorEastAsia" w:eastAsiaTheme="minorEastAsia" w:cstheme="minorEastAsia"/>
          <w:sz w:val="24"/>
          <w:szCs w:val="24"/>
          <w:u w:val="single"/>
        </w:rPr>
        <w:t xml:space="preserve">滨海县滨海港镇人民政府</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w:t>
      </w:r>
      <w:r>
        <w:rPr>
          <w:rFonts w:hint="eastAsia" w:asciiTheme="minorEastAsia" w:hAnsiTheme="minorEastAsia" w:eastAsiaTheme="minorEastAsia" w:cstheme="minorEastAsia"/>
          <w:sz w:val="24"/>
          <w:szCs w:val="24"/>
          <w:u w:val="single"/>
        </w:rPr>
        <w:t xml:space="preserve">                                  </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依照《中华人民共和国</w:t>
      </w:r>
      <w:r>
        <w:rPr>
          <w:rFonts w:hint="eastAsia" w:asciiTheme="minorEastAsia" w:hAnsiTheme="minorEastAsia" w:eastAsiaTheme="minorEastAsia" w:cstheme="minorEastAsia"/>
          <w:sz w:val="24"/>
          <w:szCs w:val="24"/>
        </w:rPr>
        <w:t xml:space="preserve">民法典</w:t>
      </w:r>
      <w:r>
        <w:rPr>
          <w:rFonts w:hint="eastAsia" w:asciiTheme="minorEastAsia" w:hAnsiTheme="minorEastAsia" w:eastAsiaTheme="minorEastAsia" w:cstheme="minorEastAsia"/>
          <w:sz w:val="24"/>
          <w:szCs w:val="24"/>
          <w:lang w:val="zh-CN"/>
        </w:rPr>
        <w:t xml:space="preserve">》《中华人民共和国政府采购法》</w:t>
      </w:r>
      <w:r>
        <w:rPr>
          <w:rFonts w:hint="eastAsia" w:asciiTheme="minorEastAsia" w:hAnsiTheme="minorEastAsia" w:eastAsiaTheme="minorEastAsia" w:cstheme="minorEastAsia"/>
          <w:sz w:val="24"/>
          <w:szCs w:val="24"/>
        </w:rPr>
        <w:t xml:space="preserve">等相</w:t>
      </w:r>
      <w:r>
        <w:rPr>
          <w:rFonts w:hint="eastAsia" w:asciiTheme="minorEastAsia" w:hAnsiTheme="minorEastAsia" w:eastAsiaTheme="minorEastAsia" w:cstheme="minorEastAsia"/>
          <w:sz w:val="24"/>
          <w:szCs w:val="24"/>
          <w:lang w:val="zh-CN"/>
        </w:rPr>
        <w:t xml:space="preserve">关法律法规，遵循平等、自愿、公平和诚实信用的原则，双方就本项目协商一致，订立本合同。</w:t>
      </w:r>
      <w:r/>
    </w:p>
    <w:p>
      <w:pPr>
        <w:ind w:firstLine="482"/>
        <w:spacing w:line="40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一、工程概况</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lang w:val="zh-CN"/>
        </w:rPr>
        <w:t xml:space="preserve">项目名称：</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sz w:val="24"/>
          <w:szCs w:val="24"/>
          <w:u w:val="single"/>
        </w:rPr>
        <w:t xml:space="preserve">滨海县滨海港镇养殖尾水治理项目</w:t>
      </w:r>
      <w:r>
        <w:rPr>
          <w:rFonts w:hint="eastAsia" w:asciiTheme="minorEastAsia" w:hAnsiTheme="minorEastAsia" w:eastAsiaTheme="minorEastAsia" w:cstheme="minorEastAsia"/>
          <w:bCs/>
          <w:sz w:val="24"/>
          <w:szCs w:val="24"/>
          <w:u w:val="single"/>
        </w:rPr>
        <w:t xml:space="preserve">  </w:t>
      </w:r>
      <w:r/>
    </w:p>
    <w:p>
      <w:pPr>
        <w:pStyle w:val="955"/>
        <w:ind w:firstLine="480"/>
        <w:spacing w:line="400" w:lineRule="exac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sz w:val="24"/>
          <w:szCs w:val="24"/>
          <w:lang w:val="zh-CN"/>
        </w:rPr>
        <w:t xml:space="preserve">项目地点：</w:t>
      </w:r>
      <w:r>
        <w:rPr>
          <w:rFonts w:hint="eastAsia" w:asciiTheme="minorEastAsia" w:hAnsiTheme="minorEastAsia" w:eastAsiaTheme="minorEastAsia" w:cstheme="minorEastAsia"/>
          <w:sz w:val="24"/>
          <w:szCs w:val="24"/>
          <w:u w:val="single"/>
        </w:rPr>
        <w:t xml:space="preserve"> 滨海港镇海堤河以东              </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lang w:val="zh-CN"/>
        </w:rPr>
        <w:t xml:space="preserve">资金来源：</w:t>
      </w:r>
      <w:r>
        <w:rPr>
          <w:rFonts w:hint="eastAsia" w:asciiTheme="minorEastAsia" w:hAnsiTheme="minorEastAsia" w:eastAsiaTheme="minorEastAsia" w:cstheme="minorEastAsia"/>
          <w:sz w:val="24"/>
          <w:szCs w:val="24"/>
          <w:u w:val="single"/>
        </w:rPr>
        <w:t xml:space="preserve"> 省级奖补资金              </w:t>
      </w:r>
      <w:r/>
    </w:p>
    <w:p>
      <w:pPr>
        <w:ind w:firstLine="480"/>
        <w:spacing w:line="400" w:lineRule="exact"/>
        <w:rPr>
          <w:rFonts w:hint="eastAsia" w:ascii="宋体" w:hAnsi="宋体" w:cs="Arial"/>
          <w:bCs/>
          <w:sz w:val="24"/>
          <w:szCs w:val="24"/>
        </w:rPr>
      </w:pPr>
      <w:r>
        <w:rPr>
          <w:rFonts w:hint="eastAsia" w:asciiTheme="minorEastAsia" w:hAnsiTheme="minorEastAsia" w:eastAsiaTheme="minorEastAsia" w:cstheme="minorEastAsia"/>
          <w:sz w:val="24"/>
          <w:szCs w:val="24"/>
          <w:lang w:val="zh-CN"/>
        </w:rPr>
        <w:t xml:space="preserve">工程内容：</w:t>
      </w:r>
      <w:r>
        <w:rPr>
          <w:rFonts w:hint="eastAsia" w:ascii="宋体" w:hAnsi="宋体" w:cs="Arial"/>
          <w:bCs/>
          <w:sz w:val="24"/>
          <w:szCs w:val="24"/>
          <w:u w:val="single"/>
        </w:rPr>
        <w:t xml:space="preserve">滨海县滨海港镇养殖尾水治理项目，养殖区域位于滨海港镇海堤河以东，属于盐城珍禽保护区实验区范围，</w:t>
      </w:r>
      <w:r>
        <w:rPr>
          <w:sz w:val="24"/>
          <w:szCs w:val="24"/>
          <w:u w:val="single"/>
        </w:rPr>
        <w:t xml:space="preserve">养殖水面面积</w:t>
      </w:r>
      <w:r>
        <w:rPr>
          <w:rFonts w:hint="eastAsia"/>
          <w:sz w:val="24"/>
          <w:szCs w:val="24"/>
          <w:u w:val="single"/>
        </w:rPr>
        <w:t xml:space="preserve">约为5605.33</w:t>
      </w:r>
      <w:r>
        <w:rPr>
          <w:sz w:val="24"/>
          <w:szCs w:val="24"/>
          <w:u w:val="single"/>
        </w:rPr>
        <w:t xml:space="preserve">亩，</w:t>
      </w:r>
      <w:r>
        <w:rPr>
          <w:rFonts w:hint="eastAsia"/>
          <w:sz w:val="24"/>
          <w:szCs w:val="24"/>
          <w:u w:val="single"/>
        </w:rPr>
        <w:t xml:space="preserve">养殖品种以淡水鱼类为主，该</w:t>
      </w:r>
      <w:r>
        <w:rPr>
          <w:sz w:val="24"/>
          <w:szCs w:val="24"/>
          <w:u w:val="single"/>
        </w:rPr>
        <w:t xml:space="preserve">片区存在池塘建设标准不高、池塘尾水水质不达标的问题</w:t>
      </w:r>
      <w:r>
        <w:rPr>
          <w:rFonts w:hint="eastAsia"/>
          <w:sz w:val="24"/>
          <w:szCs w:val="24"/>
          <w:u w:val="single"/>
        </w:rPr>
        <w:t xml:space="preserve">。近年来，省市县各级政策要求实施池塘生态化改造，对改造过程中有关规划设计、改造标准、配套设施、周边环境、长效管理等方面提出了具体要求，通过实施生态化改造，建设一定比例的尾水净化区及配套相关尾水处理设施等，促进池塘养殖尾水达标排放。根据滨海港镇待治理养殖池塘区位和受纳水域情况，本项目养殖</w:t>
      </w:r>
      <w:r>
        <w:rPr>
          <w:sz w:val="24"/>
          <w:szCs w:val="24"/>
          <w:u w:val="single"/>
        </w:rPr>
        <w:t xml:space="preserve">尾水排放执行《池塘养殖尾水排放标准》（DB32/4043-2021）</w:t>
      </w:r>
      <w:r>
        <w:rPr>
          <w:rFonts w:hint="eastAsia"/>
          <w:sz w:val="24"/>
          <w:szCs w:val="24"/>
          <w:u w:val="single"/>
        </w:rPr>
        <w:t xml:space="preserve">海水</w:t>
      </w:r>
      <w:r>
        <w:rPr>
          <w:sz w:val="24"/>
          <w:szCs w:val="24"/>
          <w:u w:val="single"/>
        </w:rPr>
        <w:t xml:space="preserve">受纳水域</w:t>
      </w:r>
      <w:r>
        <w:rPr>
          <w:rFonts w:ascii="宋体" w:hAnsi="宋体" w:cs="Arial"/>
          <w:bCs/>
          <w:sz w:val="24"/>
          <w:szCs w:val="24"/>
          <w:u w:val="single"/>
        </w:rPr>
        <w:t xml:space="preserve">养殖</w:t>
      </w:r>
      <w:r>
        <w:rPr>
          <w:sz w:val="24"/>
          <w:szCs w:val="24"/>
          <w:u w:val="single"/>
        </w:rPr>
        <w:t xml:space="preserve">尾水排放</w:t>
      </w:r>
      <w:r>
        <w:rPr>
          <w:rFonts w:hint="eastAsia"/>
          <w:sz w:val="24"/>
          <w:szCs w:val="24"/>
          <w:u w:val="single"/>
        </w:rPr>
        <w:t xml:space="preserve">一</w:t>
      </w:r>
      <w:r>
        <w:rPr>
          <w:sz w:val="24"/>
          <w:szCs w:val="24"/>
          <w:u w:val="single"/>
        </w:rPr>
        <w:t xml:space="preserve">级限值，</w:t>
      </w:r>
      <w:r>
        <w:rPr>
          <w:rFonts w:hint="eastAsia"/>
          <w:sz w:val="24"/>
          <w:szCs w:val="24"/>
          <w:u w:val="single"/>
        </w:rPr>
        <w:t xml:space="preserve">治理达标后排入黄海</w:t>
      </w:r>
      <w:r>
        <w:rPr>
          <w:sz w:val="24"/>
          <w:szCs w:val="24"/>
          <w:u w:val="single"/>
        </w:rPr>
        <w:t xml:space="preserve">。</w:t>
      </w:r>
      <w:r/>
    </w:p>
    <w:p>
      <w:pPr>
        <w:ind w:firstLine="482"/>
        <w:spacing w:line="40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二、工程承包范围</w:t>
      </w:r>
      <w:r/>
    </w:p>
    <w:p>
      <w:pPr>
        <w:ind w:firstLine="480"/>
        <w:spacing w:line="400" w:lineRule="exact"/>
        <w:rPr>
          <w:rFonts w:hint="eastAsia" w:asciiTheme="minorEastAsia" w:hAnsiTheme="minorEastAsia" w:eastAsiaTheme="minorEastAsia" w:cstheme="minorEastAsia"/>
          <w:sz w:val="24"/>
          <w:szCs w:val="24"/>
          <w:u w:val="single"/>
          <w:lang w:val="zh-CN"/>
        </w:rPr>
      </w:pPr>
      <w:r>
        <w:rPr>
          <w:rFonts w:hint="eastAsia" w:asciiTheme="minorEastAsia" w:hAnsiTheme="minorEastAsia" w:eastAsiaTheme="minorEastAsia" w:cstheme="minorEastAsia"/>
          <w:sz w:val="24"/>
          <w:szCs w:val="24"/>
          <w:lang w:val="zh-CN"/>
        </w:rPr>
        <w:t xml:space="preserve">承包方式：</w:t>
      </w:r>
      <w:r>
        <w:rPr>
          <w:rFonts w:hint="eastAsia" w:asciiTheme="minorEastAsia" w:hAnsiTheme="minorEastAsia" w:eastAsiaTheme="minorEastAsia" w:cstheme="minorEastAsia"/>
          <w:sz w:val="24"/>
          <w:szCs w:val="24"/>
          <w:u w:val="single"/>
          <w:lang w:val="zh-CN"/>
        </w:rPr>
        <w:t xml:space="preserve">包工包料。</w:t>
      </w:r>
      <w:r/>
    </w:p>
    <w:p>
      <w:pPr>
        <w:ind w:firstLine="480"/>
        <w:jc w:val="left"/>
        <w:spacing w:line="400" w:lineRule="exact"/>
        <w:widowControl/>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sz w:val="24"/>
          <w:szCs w:val="24"/>
          <w:lang w:val="zh-CN"/>
        </w:rPr>
        <w:t xml:space="preserve">承包范围：</w:t>
      </w:r>
      <w:r>
        <w:rPr>
          <w:rFonts w:hint="eastAsia" w:ascii="宋体" w:hAnsi="宋体" w:cs="Arial"/>
          <w:bCs/>
          <w:sz w:val="24"/>
          <w:szCs w:val="24"/>
          <w:u w:val="single"/>
        </w:rPr>
        <w:t xml:space="preserve">滨海县滨海港镇养殖尾水治理项目的设计、采购、施工、调试直至竣工验收合格。本项目位于盐场珍禽保护区实验区范围内，若需编制本项目对珍禽保护区生物多样性影响评价报告，则报告编制工作包含在采购内容中，具体以相关部门要求为准。</w:t>
      </w:r>
      <w:r/>
    </w:p>
    <w:p>
      <w:pPr>
        <w:ind w:firstLine="482"/>
        <w:spacing w:line="40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三、合同工期</w:t>
      </w:r>
      <w:r/>
    </w:p>
    <w:p>
      <w:pPr>
        <w:ind w:firstLine="480"/>
        <w:jc w:val="left"/>
        <w:spacing w:line="400" w:lineRule="exact"/>
        <w:widowControl/>
        <w:rPr>
          <w:rFonts w:hint="eastAsia" w:asciiTheme="minorEastAsia" w:hAnsiTheme="minorEastAsia" w:eastAsiaTheme="minorEastAsia" w:cstheme="minorEastAsia"/>
          <w:sz w:val="24"/>
          <w:szCs w:val="24"/>
          <w:u w:val="single"/>
          <w:lang w:val="zh-CN"/>
        </w:rPr>
      </w:pPr>
      <w:r>
        <w:rPr>
          <w:rFonts w:hint="eastAsia" w:asciiTheme="minorEastAsia" w:hAnsiTheme="minorEastAsia" w:eastAsiaTheme="minorEastAsia" w:cstheme="minorEastAsia"/>
          <w:sz w:val="24"/>
          <w:szCs w:val="24"/>
          <w:u w:val="single"/>
          <w:lang w:val="zh-CN"/>
        </w:rPr>
        <w:t xml:space="preserve">80日历天。其中设计周期10日历天，施工周期70日历天。</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缺陷责任期：</w:t>
      </w:r>
      <w:r>
        <w:rPr>
          <w:rFonts w:hint="eastAsia" w:asciiTheme="minorEastAsia" w:hAnsiTheme="minorEastAsia" w:eastAsiaTheme="minorEastAsia" w:cstheme="minorEastAsia"/>
          <w:sz w:val="24"/>
          <w:szCs w:val="24"/>
          <w:u w:val="single"/>
        </w:rPr>
        <w:t xml:space="preserve">竣工验收合格后两年。</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四、履约担保</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为合同价的10%，供应商可自主选择以转账、支票、汇票、本票、履约保函（保险）的形式缴纳或提交。提供第三方信用服务机构依据标准规范评定为AA级及以上的政府采购供应商（须在签订采购合同前提供信用管理部门备案的第三方信用报告，且信用报告通过“信用盐城网”可查实）可免交履约保证金。</w:t>
      </w:r>
      <w:r/>
    </w:p>
    <w:p>
      <w:pPr>
        <w:ind w:firstLine="482"/>
        <w:spacing w:line="40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五、质量标准</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（1）设计质量标准：所有工程设计须符合现行国家、行业、地方的相关设计规范、标准、规定等要求，确保设计方案通过主管部门组织的专家评审，施工图审查合格（包括各专项审查）。</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（2）设备采购标准：所有设备质量等级均为“合格”，并符合施工图纸中技术需求、国家现行的相关规范标准及有关部门最新颁布的相应的最新标准，项目确保按规范和标准验收，且达合格标准。</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（3）施工质量标准：符合现行国家施工及验收规范标准要求，质量标准达“合格”标准，通过镇级、县级、市级验收合格。</w:t>
      </w:r>
      <w:r/>
    </w:p>
    <w:p>
      <w:pPr>
        <w:ind w:firstLine="482"/>
        <w:spacing w:line="40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六、合同价款</w:t>
      </w:r>
      <w:r/>
    </w:p>
    <w:p>
      <w:pPr>
        <w:ind w:firstLine="480"/>
        <w:spacing w:line="400" w:lineRule="exact"/>
        <w:rPr>
          <w:rFonts w:hint="eastAsia" w:asciiTheme="minorEastAsia" w:hAnsiTheme="minorEastAsia" w:eastAsiaTheme="minorEastAsia" w:cstheme="minorEastAsia"/>
          <w:sz w:val="24"/>
          <w:szCs w:val="24"/>
          <w:u w:val="single"/>
          <w:lang w:val="zh-CN"/>
        </w:rPr>
      </w:pPr>
      <w:r>
        <w:rPr>
          <w:rFonts w:hint="eastAsia" w:asciiTheme="minorEastAsia" w:hAnsiTheme="minorEastAsia" w:eastAsiaTheme="minorEastAsia" w:cstheme="minorEastAsia"/>
          <w:sz w:val="24"/>
          <w:szCs w:val="24"/>
          <w:lang w:val="zh-CN"/>
        </w:rPr>
        <w:t xml:space="preserve">合同金额为人民币（大写）：</w:t>
      </w:r>
      <w:r>
        <w:rPr>
          <w:rFonts w:hint="eastAsia" w:asciiTheme="minorEastAsia" w:hAnsiTheme="minorEastAsia" w:eastAsiaTheme="minorEastAsia" w:cstheme="minorEastAsia"/>
          <w:sz w:val="24"/>
          <w:szCs w:val="24"/>
          <w:u w:val="single"/>
          <w:lang w:val="zh-CN"/>
        </w:rPr>
        <w:t xml:space="preserve">               （¥：             元）。</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包含完成本项目的一切费用，除项目实施方案变更外，合同价不作调整。上述报价包含但不限于完成该项目的成本、利润、规费、税金、开办费、技术措施费、大型机械进退场费、保险费、风险费、检测费、政策性文件规定费用、专家咨询费、验收费、评审费等一切费用。</w:t>
      </w:r>
      <w:r/>
    </w:p>
    <w:p>
      <w:pPr>
        <w:numPr>
          <w:ilvl w:val="0"/>
          <w:numId w:val="3"/>
        </w:numPr>
        <w:ind w:firstLine="482"/>
        <w:spacing w:line="400" w:lineRule="exact"/>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工程付款</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签订合同后甲方向乙方支付合同总价10%的预付款，工程竣工后经镇级、县级、市级验收合格且奖补资金到位后支付至合同总价的85%，项目审计结束后付至审定价的95%，余款满一年（维护期）付清。按以上付款进度，无任何利息补偿，每次付款时提供采购人认可的增值税发票。</w:t>
      </w:r>
      <w:r/>
    </w:p>
    <w:p>
      <w:pPr>
        <w:ind w:firstLine="482"/>
        <w:spacing w:line="40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rPr>
        <w:t xml:space="preserve">八、</w:t>
      </w:r>
      <w:r>
        <w:rPr>
          <w:rFonts w:hint="eastAsia" w:asciiTheme="minorEastAsia" w:hAnsiTheme="minorEastAsia" w:eastAsiaTheme="minorEastAsia" w:cstheme="minorEastAsia"/>
          <w:b/>
          <w:bCs/>
          <w:sz w:val="24"/>
          <w:szCs w:val="24"/>
          <w:lang w:val="zh-CN"/>
        </w:rPr>
        <w:t xml:space="preserve">合同定价方式与结算</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8.1.因本项目实施的地点属于湿地，不确定因素较多，投标人应充分考虑项目实施过程中包含但不限于极端天气等盐城湿地特有安全隐患，导致施工机械损坏和人员人身财产安全等风险，除不可抗力外，其余一切因素导致的索赔后期均不予支持。</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本项目风险费用不单独列支，均包含在清单综合单价中。</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 合同价格形式</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8.2.1.“固定总价”合同。</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全费用固定总价合同，除项目实施方案变更外，本项目结算价不予调整，投标人的投标报价为完成该项目的全部内容。</w:t>
      </w:r>
      <w:r/>
    </w:p>
    <w:p>
      <w:pPr>
        <w:pStyle w:val="948"/>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施工图通过审查后编制的最终预算*（1-中标下浮率）超过投标总价，按投标总价结算；施工图通过审查后编制的最终预算*（1-中标下浮率）低于投标总价，按施工图通过审查后编制的最终预算*（1-中标下浮率）结算。</w:t>
      </w:r>
      <w:r/>
    </w:p>
    <w:p>
      <w:pPr>
        <w:pStyle w:val="948"/>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经招标人确认后参照中标下浮率同比下浮后进行结算。</w:t>
      </w:r>
      <w:r/>
    </w:p>
    <w:p>
      <w:pPr>
        <w:pStyle w:val="948"/>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中标下浮率计算公式如下：</w:t>
      </w:r>
      <w:r/>
    </w:p>
    <w:p>
      <w:pPr>
        <w:pStyle w:val="948"/>
        <w:ind w:firstLine="216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投标报价（扣除预算价中暂列金额、材料暂估价总价、</w:t>
      </w:r>
      <w:r/>
    </w:p>
    <w:p>
      <w:pPr>
        <w:pStyle w:val="948"/>
        <w:ind w:firstLine="16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专业工程暂估价、发包人供应材料总价及其以上项目的规费和税金）</w:t>
      </w:r>
      <w:r/>
    </w:p>
    <w:p>
      <w:pPr>
        <w:pStyle w:val="948"/>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下浮率＝1－ ——————————————————————————— ×100%</w:t>
      </w:r>
      <w:r/>
    </w:p>
    <w:p>
      <w:pPr>
        <w:pStyle w:val="948"/>
        <w:ind w:firstLine="216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招标控制价（扣除招标控制价中暂列金额、材料暂估价总价、</w:t>
      </w:r>
      <w:r/>
    </w:p>
    <w:p>
      <w:pPr>
        <w:pStyle w:val="948"/>
        <w:ind w:firstLine="16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专业工程暂估价、发包人供应材料总价及其以上项目的规费和税金）</w:t>
      </w:r>
      <w:r/>
    </w:p>
    <w:p>
      <w:pPr>
        <w:pStyle w:val="948"/>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注：上式中暂估材料总价、发包人供应材料总价以招标人公布的为准。</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8.2.2乙方须注意：施工过程中须考虑成品保护措施费用以及材料运输过程中防尘、密闭运输、安全等措施费用、路面清洁、洒水等相关费用及与建设、城管等部门之间的矛盾协调、处罚及应上缴的相关规费等费用，乙方须自行考虑，并将其考虑进入承包报价中，与甲方无涉。成品保护按相关要求执行，工程施工不得随意破坏已完工的项目，如破坏需及时按原状修复，否则由甲方另行安排施工队伍修复，费用由发包方安排的施工单位报价，在乙方结算总价中按3倍的价格扣减。</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8.2.3乙方应严格按现行的行业规定落实材料款、机械费支付措施执行，确保及时支付。若发生拖欠现象，乙方不及时、妥善处理并影响甲方的，甲方可直接支付。甲方因此而提前支付的部分，每天按所提前支付的部分万分之五向乙方计取罚金，直至甲方向乙方下次付款之日，并在付款时作相应扣罚。</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8.2.4本项目乙方应严格按照《关于进一步做好建筑施工拖欠农民工工资治理工作的通知》(盐建建筑〔2016〕35号)要求执行。</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8.2.5本工程施工过程中遇到的地方矛盾及由此发生的费用由乙方自行负责。请各乙方在投标报价中予以自行考虑，与甲方无涉。本项目合同实施期间所有消防、市容保洁、环境噪声、成品保护、文明施工均由乙方负责，并自行承担由此发生的相关费用。</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8.2.6工程所发生施工、生活、消防用水、用电由乙方挂表计量，水、电费用按供电局、自来水公司收费费用及损耗在每次电费结算时按月缴清。</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8.2.7以上关于合同定价与结算方式条款中未尽事宜由双方依据《建设工程工程量清单计价规范》（GB 50500-2013）以及相关配套文件中关于工程价款调整与结算的内容进行协商。</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8.3合同生效后，乙方应严格按投标承诺履行合同，中标项目经理（或建造师）及项目部组成人员必须驻现场实施施工管理工作，其中中标项目经理（或建造师）驻场时间不得少于本月施工时间的80%，中途如需离开超过3个工作日，必须经甲方同意。</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8.4如在本项目实施内容范围以外的项目，则按本项目下浮率重新组价予以结算。</w:t>
      </w:r>
      <w:r/>
    </w:p>
    <w:p>
      <w:pPr>
        <w:pStyle w:val="948"/>
        <w:ind w:firstLine="216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投标报价（扣除预算价中暂列金额、材料暂估价总价、</w:t>
      </w:r>
      <w:r/>
    </w:p>
    <w:p>
      <w:pPr>
        <w:pStyle w:val="948"/>
        <w:ind w:firstLine="16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专业工程暂估价、发包人供应材料总价及其以上项目的规费和税金）</w:t>
      </w:r>
      <w:r/>
    </w:p>
    <w:p>
      <w:pPr>
        <w:pStyle w:val="948"/>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下浮率＝1－ ——————————————————————————— ×100%</w:t>
      </w:r>
      <w:r/>
    </w:p>
    <w:p>
      <w:pPr>
        <w:pStyle w:val="948"/>
        <w:ind w:firstLine="216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招标控制价（扣除招标控制价中暂列金额、材料暂估价总价、</w:t>
      </w:r>
      <w:r/>
    </w:p>
    <w:p>
      <w:pPr>
        <w:pStyle w:val="948"/>
        <w:ind w:firstLine="16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专业工程暂估价、发包人供应材料总价及其以上项目的规费和税金）</w:t>
      </w:r>
      <w:r/>
    </w:p>
    <w:p>
      <w:pPr>
        <w:pStyle w:val="948"/>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注：上式中暂估材料总价、发包人供应材料总价以招标人公布的为准。</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8.5本工程价款一律通过银行非现金结算，实行专款专用。</w:t>
      </w:r>
      <w:r/>
    </w:p>
    <w:p>
      <w:pPr>
        <w:ind w:firstLine="482"/>
        <w:spacing w:line="400" w:lineRule="exact"/>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九、安全施工</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此工程必须确保安全，若发生不安全问题，工程施工过程中遇到的一切施工矛盾及由此发生的费用与采购人无涉，均由供应商自行负责处理并承担一切责任。</w:t>
      </w:r>
      <w:r/>
    </w:p>
    <w:p>
      <w:pPr>
        <w:ind w:firstLine="482"/>
        <w:spacing w:line="400" w:lineRule="exact"/>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十、违约责任</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合同生效后，采购人或供应商如有违约，应按《中华人民共和国</w:t>
      </w:r>
      <w:r>
        <w:rPr>
          <w:rFonts w:hint="eastAsia" w:asciiTheme="minorEastAsia" w:hAnsiTheme="minorEastAsia" w:eastAsiaTheme="minorEastAsia" w:cstheme="minorEastAsia"/>
          <w:sz w:val="24"/>
          <w:szCs w:val="24"/>
        </w:rPr>
        <w:t xml:space="preserve">民法典</w:t>
      </w:r>
      <w:r>
        <w:rPr>
          <w:rFonts w:hint="eastAsia" w:asciiTheme="minorEastAsia" w:hAnsiTheme="minorEastAsia" w:eastAsiaTheme="minorEastAsia" w:cstheme="minorEastAsia"/>
          <w:sz w:val="24"/>
          <w:szCs w:val="24"/>
          <w:lang w:val="zh-CN"/>
        </w:rPr>
        <w:t xml:space="preserve">》承担其违约责任，赔偿因其违约给对方造成的损失。具体由双方在合同中约定赔偿损失的计算方法或者约定支付违约金的数额或计算方法。</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1、因中标人自身原因导致本项目实施进度拖延超出合同规定的工期，按合同金额的5‱ /天扣款。如因中标人原因超过合同工期的50%。招标人有权终止合同并就此项原因造成的损失向中标人索赔。</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2、在施工过程中，中标人应根据中华人民共和国的相关法律法规和规范要求进行施工。若因中标人原因导致的重大质量事故，招标人有权终止合同并就此项原因造成的损失向中标人索赔。</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3、如因中标人的原因未达到竣工验收的要求，或因未能通过建设单位组织的竣工验收，导致招标人资金支付出现问题或无法支付。则造成的一切后果及损失有由中标人负责。</w:t>
      </w:r>
      <w:r/>
    </w:p>
    <w:p>
      <w:pPr>
        <w:ind w:firstLine="482"/>
        <w:spacing w:line="400" w:lineRule="exact"/>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十一、争议</w:t>
      </w:r>
      <w:r/>
    </w:p>
    <w:p>
      <w:pPr>
        <w:pStyle w:val="950"/>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本合同发生争议，发包人、承包人应及时协商解决，也可由当地建设行政主管部门调解，协商或调解不成时，可向项目所在地人民法院起诉。</w:t>
      </w:r>
      <w:r/>
    </w:p>
    <w:p>
      <w:pPr>
        <w:ind w:firstLine="482"/>
        <w:spacing w:line="40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十</w:t>
      </w:r>
      <w:r>
        <w:rPr>
          <w:rFonts w:hint="eastAsia" w:asciiTheme="minorEastAsia" w:hAnsiTheme="minorEastAsia" w:eastAsiaTheme="minorEastAsia" w:cstheme="minorEastAsia"/>
          <w:b/>
          <w:bCs/>
          <w:sz w:val="24"/>
          <w:szCs w:val="24"/>
        </w:rPr>
        <w:t xml:space="preserve">二</w:t>
      </w:r>
      <w:r>
        <w:rPr>
          <w:rFonts w:hint="eastAsia" w:asciiTheme="minorEastAsia" w:hAnsiTheme="minorEastAsia" w:eastAsiaTheme="minorEastAsia" w:cstheme="minorEastAsia"/>
          <w:b/>
          <w:bCs/>
          <w:sz w:val="24"/>
          <w:szCs w:val="24"/>
          <w:lang w:val="zh-CN"/>
        </w:rPr>
        <w:t xml:space="preserve">、合同生效</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本合同一式</w:t>
      </w:r>
      <w:r>
        <w:rPr>
          <w:rFonts w:hint="eastAsia" w:asciiTheme="minorEastAsia" w:hAnsiTheme="minorEastAsia" w:eastAsiaTheme="minorEastAsia" w:cstheme="minorEastAsia"/>
          <w:sz w:val="24"/>
          <w:szCs w:val="24"/>
          <w:u w:val="single"/>
          <w:lang w:val="zh-CN"/>
        </w:rPr>
        <w:t xml:space="preserve">陆</w:t>
      </w:r>
      <w:r>
        <w:rPr>
          <w:rFonts w:hint="eastAsia" w:asciiTheme="minorEastAsia" w:hAnsiTheme="minorEastAsia" w:eastAsiaTheme="minorEastAsia" w:cstheme="minorEastAsia"/>
          <w:sz w:val="24"/>
          <w:szCs w:val="24"/>
          <w:lang w:val="zh-CN"/>
        </w:rPr>
        <w:t xml:space="preserve">份，甲、乙双方各执</w:t>
      </w:r>
      <w:r>
        <w:rPr>
          <w:rFonts w:hint="eastAsia" w:asciiTheme="minorEastAsia" w:hAnsiTheme="minorEastAsia" w:eastAsiaTheme="minorEastAsia" w:cstheme="minorEastAsia"/>
          <w:sz w:val="24"/>
          <w:szCs w:val="24"/>
          <w:u w:val="single"/>
          <w:lang w:val="zh-CN"/>
        </w:rPr>
        <w:t xml:space="preserve">叁</w:t>
      </w:r>
      <w:r>
        <w:rPr>
          <w:rFonts w:hint="eastAsia" w:asciiTheme="minorEastAsia" w:hAnsiTheme="minorEastAsia" w:eastAsiaTheme="minorEastAsia" w:cstheme="minorEastAsia"/>
          <w:sz w:val="24"/>
          <w:szCs w:val="24"/>
          <w:lang w:val="zh-CN"/>
        </w:rPr>
        <w:t xml:space="preserve">份，具有同等效力，双方盖章后生效。</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合同签订地点：</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zh-CN"/>
        </w:rPr>
        <w:t xml:space="preserve">                </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采购人：（公章）                   供应商：（公章）</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法定代表人：                      法定代表人：</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或委托代理人：                    或委托代理人：</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电    话：                        电    话： </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开户银行：                        开户银行：</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账户名称：                        账户名称： </w:t>
      </w:r>
      <w:r/>
    </w:p>
    <w:p>
      <w:pPr>
        <w:ind w:firstLine="480"/>
        <w:spacing w:line="4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帐    号：                        帐    号： </w:t>
      </w:r>
      <w:r/>
    </w:p>
    <w:p>
      <w:pPr>
        <w:pStyle w:val="950"/>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邮政编码：                        邮政编码： </w:t>
      </w:r>
      <w:r/>
    </w:p>
    <w:p>
      <w:pPr>
        <w:ind w:firstLine="482"/>
        <w:jc w:val="center"/>
        <w:spacing w:before="156" w:after="156" w:line="400" w:lineRule="exact"/>
        <w:rPr>
          <w:rFonts w:hint="eastAsia" w:asciiTheme="minorEastAsia" w:hAnsiTheme="minorEastAsia" w:eastAsiaTheme="minorEastAsia" w:cstheme="minorEastAsia"/>
          <w:b/>
          <w:sz w:val="30"/>
          <w:szCs w:val="30"/>
        </w:rPr>
        <w:outlineLvl w:val="1"/>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30"/>
          <w:szCs w:val="30"/>
        </w:rPr>
        <w:t xml:space="preserve">廉政合同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根据有关工程建设、廉政建设的规定，为做好工程建设中的党风廉政建设，保证工程建设高效优质，保证建设资金的安全和有效使用以及投资效益，</w:t>
      </w:r>
      <w:r>
        <w:rPr>
          <w:rFonts w:hint="eastAsia" w:asciiTheme="minorEastAsia" w:hAnsiTheme="minorEastAsia" w:eastAsiaTheme="minorEastAsia" w:cstheme="minorEastAsia"/>
          <w:bCs/>
          <w:sz w:val="24"/>
          <w:szCs w:val="24"/>
          <w:u w:val="single"/>
        </w:rPr>
        <w:t xml:space="preserve">滨海县滨海港镇养殖尾水治理项目</w:t>
      </w:r>
      <w:r>
        <w:rPr>
          <w:rFonts w:hint="eastAsia" w:asciiTheme="minorEastAsia" w:hAnsiTheme="minorEastAsia" w:eastAsiaTheme="minorEastAsia" w:cstheme="minorEastAsia"/>
          <w:sz w:val="24"/>
          <w:szCs w:val="24"/>
        </w:rPr>
        <w:t xml:space="preserve">的法人</w:t>
      </w:r>
      <w:r>
        <w:rPr>
          <w:rFonts w:hint="eastAsia" w:asciiTheme="minorEastAsia" w:hAnsiTheme="minorEastAsia" w:eastAsiaTheme="minorEastAsia" w:cstheme="minorEastAsia"/>
          <w:bCs/>
          <w:sz w:val="24"/>
          <w:szCs w:val="24"/>
          <w:u w:val="single"/>
        </w:rPr>
        <w:t xml:space="preserve">滨海县滨海港镇人民政府</w:t>
      </w:r>
      <w:r>
        <w:rPr>
          <w:rFonts w:hint="eastAsia" w:asciiTheme="minorEastAsia" w:hAnsiTheme="minorEastAsia" w:eastAsiaTheme="minorEastAsia" w:cstheme="minorEastAsia"/>
          <w:sz w:val="24"/>
          <w:szCs w:val="24"/>
        </w:rPr>
        <w:t xml:space="preserve">（以下简称“甲方”）与该项目的总承包单位</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sz w:val="24"/>
          <w:szCs w:val="24"/>
        </w:rPr>
        <w:t xml:space="preserve">（以下简称“乙方”），特订立如下合同。</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1、甲方和乙方双方的权利和义务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(1)严格遵守党的政策规定和国家有关法律法规的有关规定。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(2)严格执行</w:t>
      </w:r>
      <w:r>
        <w:rPr>
          <w:rFonts w:hint="eastAsia" w:asciiTheme="minorEastAsia" w:hAnsiTheme="minorEastAsia" w:eastAsiaTheme="minorEastAsia" w:cstheme="minorEastAsia"/>
          <w:bCs/>
          <w:sz w:val="24"/>
          <w:szCs w:val="24"/>
          <w:u w:val="single"/>
        </w:rPr>
        <w:t xml:space="preserve">滨海县滨海港镇养殖尾水治理项目</w:t>
      </w:r>
      <w:r>
        <w:rPr>
          <w:rFonts w:hint="eastAsia" w:asciiTheme="minorEastAsia" w:hAnsiTheme="minorEastAsia" w:eastAsiaTheme="minorEastAsia" w:cstheme="minorEastAsia"/>
          <w:sz w:val="24"/>
          <w:szCs w:val="24"/>
        </w:rPr>
        <w:t xml:space="preserve">总承包合同文件，自觉按合同办事。</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(3)双方的业务活动坚持公开、公正、诚信、透明的原则(法律认定的商业秘密和合同文件另有规定除外)，不得损害国家和集体利益，不得违反工程建设管理规章制度。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(4)建立健全廉政制度，开展廉政教育，设廉政告示牌，公布举报电话，监督并认真查处违法违纪行为。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(5)发现对方在业务活动中有违反廉政规定的行为，有及时提醒对方纠正的权利和义务。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(6)发现对方严重违反本合同义务条款的行为，有向其上级有关部门举报、建议给予处理并要求告知处理结果的权利。</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2、甲方的义务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(1)甲方及其工作人员不得索要或接受乙方的礼金、有价证券和贵重物品，不得让乙方报销任何应由甲方或甲方工作人员个人支付的费用等。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(2)甲方工作人员不得参加乙方安排的超标准宴请和娱乐活动；不得接受乙方提供的通讯工具、交通工具和高档办公用品等。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(3)甲方及其工作人员不得要求或者接受乙方为其住房装修、婚丧嫁娶活动、配偶子女的工作安排以及出国出境、旅游等提供方便等。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(4)甲方工作人员及其配偶、子女不得从事与甲方工程有关的材料设备供应、工程分包、劳务等经济活动等。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(5)甲方及其工作人员不得以任何理由向乙方推荐分包单位或推销材料，不得要求乙方购买合同规定外的材料和设备。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(6)甲方工作人员要秉公办事，不准营私舞弊，不准利用职权从事各种个人有偿中介活动和安排个人施工队伍。</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3、乙方的义务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(1)乙方不得以任何理由向甲方及其工作人员行贿或馈赠礼金、有价证券、贵重礼品。</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(2)乙方不得以任何名义为甲方及其工作人员报销应由甲方单位或个人支付的任何费用。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(3)乙方不得以任何理由安排甲方工作人员参加超标准宴请及娱乐活动。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(4)乙方不得为甲方单位和个人购置或提供通讯工具、交通工具和高档办公用品等。</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4、违约责任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(1)甲方及其工作人员违反本合同第l、2条，按管理权限，依据有关规定给予党纪、政纪或组织处理；涉嫌犯罪的，移交司法机关追究刑事责任；给乙方单位造成经济损失的，应予以赔偿。</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及其工作人员违反本合同第l、3条，按管理权限，依据有关规定给予党纪、政纪或组织处理；给甲方单位造成经济损失的，应予以赔偿；情节严重的，甲方建议建筑主管部门给予乙方一至三年内不得进入其主管的建筑建设市场的处罚。</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5、双方约定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本合同由双方或双方上级单位的纪检监察部门负责监督执行。由甲方或甲方上级单位的纪检监察部门约请乙方或乙方上级单位纪检监察部门对本合同执行情况进行检查，提出在本合同规定范围内的裁定意见。</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6、本合同有效期</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甲方和乙方签署之日起至该工程项目竣工验收后止。</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7、合同生效</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本合同作为</w:t>
      </w:r>
      <w:r>
        <w:rPr>
          <w:rFonts w:hint="eastAsia" w:asciiTheme="minorEastAsia" w:hAnsiTheme="minorEastAsia" w:eastAsiaTheme="minorEastAsia" w:cstheme="minorEastAsia"/>
          <w:bCs/>
          <w:sz w:val="24"/>
          <w:szCs w:val="24"/>
          <w:u w:val="single"/>
        </w:rPr>
        <w:t xml:space="preserve">滨海县滨海港镇养殖尾水治理项目</w:t>
      </w:r>
      <w:r>
        <w:rPr>
          <w:rFonts w:hint="eastAsia" w:asciiTheme="minorEastAsia" w:hAnsiTheme="minorEastAsia" w:eastAsiaTheme="minorEastAsia" w:cstheme="minorEastAsia"/>
          <w:sz w:val="24"/>
          <w:szCs w:val="24"/>
        </w:rPr>
        <w:t xml:space="preserve">合同的附件，与工程施工合同具有同等的法律效力，经合同双方签署后立即生效。</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8、合同份数</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本合同一式陆份，发乙方双方各执叁份。</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甲方：(盖单位章)                    乙方：(盖单位章)</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                          法定代表人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或其委托代理人：(签字或盖章)       或其委托代理人：(签字或盖章)</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1440"/>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年     月     日                    年     月     日</w:t>
      </w:r>
      <w:r/>
    </w:p>
    <w:p>
      <w:pPr>
        <w:ind w:firstLine="482"/>
        <w:jc w:val="center"/>
        <w:spacing w:before="156" w:after="156" w:line="400" w:lineRule="exact"/>
        <w:rPr>
          <w:rFonts w:hint="eastAsia" w:asciiTheme="minorEastAsia" w:hAnsiTheme="minorEastAsia" w:eastAsiaTheme="minorEastAsia" w:cstheme="minorEastAsia"/>
          <w:b/>
          <w:sz w:val="24"/>
          <w:szCs w:val="24"/>
        </w:rPr>
        <w:outlineLvl w:val="1"/>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安全生产合同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为在</w:t>
      </w:r>
      <w:r>
        <w:rPr>
          <w:rFonts w:hint="eastAsia" w:asciiTheme="minorEastAsia" w:hAnsiTheme="minorEastAsia" w:eastAsiaTheme="minorEastAsia" w:cstheme="minorEastAsia"/>
          <w:bCs/>
          <w:sz w:val="24"/>
          <w:szCs w:val="24"/>
          <w:u w:val="single"/>
        </w:rPr>
        <w:t xml:space="preserve">滨海县滨海港镇养殖尾水治理项目</w:t>
      </w:r>
      <w:r>
        <w:rPr>
          <w:rFonts w:hint="eastAsia" w:asciiTheme="minorEastAsia" w:hAnsiTheme="minorEastAsia" w:eastAsiaTheme="minorEastAsia" w:cstheme="minorEastAsia"/>
          <w:sz w:val="24"/>
          <w:szCs w:val="24"/>
        </w:rPr>
        <w:t xml:space="preserve">施工的实施过程中创造安全、高效的施工环境，切实搞好本项目的安全管理工作，本项目甲方</w:t>
      </w:r>
      <w:r>
        <w:rPr>
          <w:rFonts w:hint="eastAsia" w:asciiTheme="minorEastAsia" w:hAnsiTheme="minorEastAsia" w:eastAsiaTheme="minorEastAsia" w:cstheme="minorEastAsia"/>
          <w:bCs/>
          <w:sz w:val="24"/>
          <w:szCs w:val="24"/>
          <w:u w:val="single"/>
        </w:rPr>
        <w:t xml:space="preserve">滨海县滨海港镇人民政府</w:t>
      </w:r>
      <w:r>
        <w:rPr>
          <w:rFonts w:hint="eastAsia" w:asciiTheme="minorEastAsia" w:hAnsiTheme="minorEastAsia" w:eastAsiaTheme="minorEastAsia" w:cstheme="minorEastAsia"/>
          <w:sz w:val="24"/>
          <w:szCs w:val="24"/>
        </w:rPr>
        <w:t xml:space="preserve">（甲方名称，以下简称“甲方”）与乙方</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sz w:val="24"/>
          <w:szCs w:val="24"/>
        </w:rPr>
        <w:t xml:space="preserve">（乙方名称，以下简称“乙方”）特此签订安全生产合同：</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1、甲方职责</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(1)严格遵守国家有关安全生产的法律法规，认真执行工程承包合同中的有关安全要求。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(2)按照“安全第一、预防为主”和坚持“管生产必须管安全”的原则进行安全生产管理，做到生产与安全工作同时计划、布置、检查、总结和评比。</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(3)重要的安全设施必须坚持与主体工程“三同时”的原则，即：同时设计、审批，同时施工，同时验收、投入使用。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(4)定期召开安全生产调度会，及时传达中央及地方有关安全生产的精神。</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(5)组织对乙方施工现场进行安全生产检查，监督乙方及时处理发现的各种安全隐患。</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2、乙方职责</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(4)乙方在任何时候都应采取各种合理的预防措施，防止其员工发生任何违法、违禁、暴力或妨碍治安的行为。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(7)操作人员上岗，必须按规定穿戴防护用品。施工负责人和安全检查员应随时检查劳动防护用品的穿戴情况，不按规定穿戴防护用品的人员不得上岗。</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(8)所有施工机具设备和高空作业的设备均应定期检查，并有安全员的签字记录，保证其经常处于完好状态；不合格的机具、设备和劳动保护用品严禁使用。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(9)施工中采用新技术、新工艺、新设备、新材料时，必须制定相应的安全技术措施，施工现场必须具有相关的安全标志牌。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乙方必须按照本工程项目特点，组织制定本工程实施中的生产安全事故应急救援预案；本项目自实施之日起，由乙方统一承担安全生产责任，发生一切安全生产事故均与甲方无关；如果发生安全事故，应按照相关规定，及时上报有关部门，并坚持“四不放过”的原则，严肃处理乙方的相关责任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(11)安全生产费用按照《建设工程安全生产管理条例》的相关使用和管理。</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3、违约责任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如因甲方或乙方违约造成安全事故，将依法追究责任。</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4、合同生效</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本合同由双方法定代表人或其授权的代理人签署并加盖单位章后生效，全部工程竣工验收后失效。</w:t>
      </w:r>
      <w:r/>
    </w:p>
    <w:p>
      <w:pPr>
        <w:ind w:firstLine="482"/>
        <w:spacing w:before="93" w:line="400" w:lineRule="exact"/>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5、合同份数</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本合同一式陆份，发乙方双方各执叁份。</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9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          (盖单位章)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bookmarkStart w:id="131" w:name="_GoBack"/>
      <w:r/>
      <w:bookmarkEnd w:id="131"/>
      <w:r>
        <w:rPr>
          <w:rFonts w:hint="eastAsia" w:asciiTheme="minorEastAsia" w:hAnsiTheme="minorEastAsia" w:eastAsiaTheme="minorEastAsia" w:cstheme="minorEastAsia"/>
          <w:sz w:val="24"/>
          <w:szCs w:val="24"/>
        </w:rPr>
        <w:t xml:space="preserve">乙方：          (盖单位章)</w:t>
      </w:r>
      <w:r/>
    </w:p>
    <w:p>
      <w:pPr>
        <w:ind w:firstLine="9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                              法定代表人</w:t>
      </w:r>
      <w:r/>
    </w:p>
    <w:p>
      <w:pPr>
        <w:ind w:firstLine="9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       (签字)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或其委托代理人：       (签字)</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1680"/>
        <w:spacing w:line="400" w:lineRule="exact"/>
        <w:rPr>
          <w:rFonts w:hint="eastAsia" w:asciiTheme="minorEastAsia" w:hAnsiTheme="minorEastAsia" w:eastAsiaTheme="minorEastAsia" w:cstheme="minorEastAsia"/>
          <w:b/>
          <w:sz w:val="24"/>
          <w:szCs w:val="24"/>
        </w:rPr>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Theme="minorEastAsia" w:hAnsiTheme="minorEastAsia" w:eastAsiaTheme="minorEastAsia" w:cstheme="minorEastAsia"/>
          <w:sz w:val="24"/>
          <w:szCs w:val="24"/>
        </w:rPr>
        <w:t xml:space="preserve">年     月     日                  年     月     日</w:t>
      </w:r>
      <w:r/>
    </w:p>
    <w:p>
      <w:pPr>
        <w:pStyle w:val="955"/>
        <w:ind w:firstLine="602"/>
        <w:jc w:val="center"/>
        <w:spacing w:before="120" w:after="120" w:line="400" w:lineRule="exact"/>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第四章 项目需求</w:t>
      </w:r>
      <w:bookmarkEnd w:id="117"/>
      <w:r/>
      <w:bookmarkEnd w:id="118"/>
      <w:r/>
      <w:bookmarkEnd w:id="119"/>
      <w:r/>
      <w:bookmarkStart w:id="122" w:name="_Toc26554093"/>
      <w:r/>
      <w:bookmarkStart w:id="123" w:name="_Toc49090575"/>
      <w:r/>
      <w:r/>
    </w:p>
    <w:p>
      <w:pPr>
        <w:ind w:firstLine="482"/>
        <w:spacing w:line="400" w:lineRule="exact"/>
        <w:rPr>
          <w:rFonts w:hint="eastAsia" w:asciiTheme="minorEastAsia" w:hAnsiTheme="minorEastAsia" w:eastAsiaTheme="minorEastAsia" w:cstheme="minorEastAsia"/>
          <w:b/>
          <w:bCs/>
          <w:sz w:val="24"/>
          <w:szCs w:val="24"/>
        </w:rPr>
      </w:pPr>
      <w:r/>
      <w:bookmarkStart w:id="124" w:name="_Toc120614281"/>
      <w:r>
        <w:rPr>
          <w:rFonts w:hint="eastAsia" w:asciiTheme="minorEastAsia" w:hAnsiTheme="minorEastAsia" w:eastAsiaTheme="minorEastAsia" w:cstheme="minorEastAsia"/>
          <w:b/>
          <w:bCs/>
          <w:sz w:val="24"/>
          <w:szCs w:val="24"/>
        </w:rPr>
        <w:t xml:space="preserve">一、项目主要内容</w:t>
      </w:r>
      <w:r/>
    </w:p>
    <w:p>
      <w:pPr>
        <w:pStyle w:val="969"/>
        <w:ind w:firstLine="0"/>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1、项目名称</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滨海县滨海港镇养殖尾水治理项目</w:t>
      </w:r>
      <w:r/>
    </w:p>
    <w:p>
      <w:pPr>
        <w:pStyle w:val="969"/>
        <w:ind w:firstLine="0"/>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2、项目建设规模</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滨海港镇海堤河以东养殖区，养殖面积5605.33亩。</w:t>
      </w:r>
      <w:r/>
    </w:p>
    <w:p>
      <w:pPr>
        <w:pStyle w:val="969"/>
        <w:ind w:firstLine="0"/>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3、项目建设背景</w:t>
      </w:r>
      <w:r/>
    </w:p>
    <w:p>
      <w:pPr>
        <w:pStyle w:val="969"/>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滨海县滨海港镇养殖尾水治理项目，养殖区域位于滨海港镇海堤河以东，属于盐城珍禽保护区实验区范围，养殖水</w:t>
      </w:r>
      <w:r>
        <w:rPr>
          <w:rFonts w:hint="eastAsia" w:asciiTheme="minorEastAsia" w:hAnsiTheme="minorEastAsia" w:eastAsiaTheme="minorEastAsia" w:cstheme="minorEastAsia"/>
          <w:sz w:val="24"/>
          <w:szCs w:val="24"/>
        </w:rPr>
        <w:t xml:space="preserve">面面积约为5605.33亩，养殖品种以淡水鱼类为主，该片区存在池塘建设标准不高、池塘尾水水质不达标的问题。近年来，省市县各级政策要求实施池塘生态化改造，对改造过程中有关规划设计、改造标准、配套设施、周边环境、长效管理等方面提出了具体要求，通过实施生态化改造，建设一定比例的尾水净化区及配套相关尾水处理设施等，促进池塘养殖尾水达标排放。根据滨海港镇待治理养殖池塘区位和受纳水域情况，本项目养殖尾水排放执行《池塘养殖尾水排放标准》（DB32/4043-2021）海水受纳水域养殖尾水排放一级限值，治理达标后排入黄海。</w:t>
      </w:r>
      <w:r/>
    </w:p>
    <w:p>
      <w:pPr>
        <w:pStyle w:val="969"/>
        <w:ind w:firstLine="0"/>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4、项目建设目标</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遵循“标本兼治、重点突出、分区治理、综合防治”的原则，设计出可以充分利用现有空间、投资少、效果稳定、运维简单的尾水治理路径，实现项目区养殖尾水排放稳定达到《池塘养殖尾水排放标准》（DB32/4043-2021）海水受纳水域养殖尾水一级标准。</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（2）通过相应监控监管设备进行运维全过程监管和科学管理，推进养殖尾水处理的智能化，实现水产经济与环保效益双递进。</w:t>
      </w:r>
      <w:r/>
    </w:p>
    <w:p>
      <w:pPr>
        <w:pStyle w:val="969"/>
        <w:ind w:firstLine="0"/>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5、养殖塘分布</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本项目位于江苏省盐城市滨海港镇东部，养殖区西侧紧靠海堤河，东侧紧邻黄海，北部为南八滩渠，南部为淮河入海河道，养殖区域水域总面积约5605.33亩，具体如下图所示：</w:t>
      </w:r>
      <w:r/>
    </w:p>
    <w:p>
      <w:pPr>
        <w:pStyle w:val="969"/>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inline xmlns:wp="http://schemas.openxmlformats.org/drawingml/2006/wordprocessingDrawing" distT="0" distB="0" distL="0" distR="0">
                <wp:extent cx="4640580" cy="3157855"/>
                <wp:effectExtent l="0" t="0" r="7620" b="4445"/>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r/>
                      </pic:nvPicPr>
                      <pic:blipFill>
                        <a:blip r:embed="rId14"/>
                        <a:stretch/>
                      </pic:blipFill>
                      <pic:spPr bwMode="auto">
                        <a:xfrm>
                          <a:off x="0" y="0"/>
                          <a:ext cx="4640580" cy="31578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5.4pt;height:248.6pt;mso-wrap-distance-left:0.0pt;mso-wrap-distance-top:0.0pt;mso-wrap-distance-right:0.0pt;mso-wrap-distance-bottom:0.0pt;" stroked="false">
                <v:path textboxrect="0,0,0,0"/>
                <v:imagedata r:id="rId14" o:title=""/>
              </v:shape>
            </w:pict>
          </mc:Fallback>
        </mc:AlternateContent>
      </w:r>
      <w:r/>
    </w:p>
    <w:p>
      <w:pPr>
        <w:pStyle w:val="969"/>
        <w:ind w:firstLine="0"/>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图1 项目区位图</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滨海港镇连片养殖区位于滨海港镇以东，场区南北长约2.5km,东西长约1.5公里，养殖区面积约5605.33亩，净养殖面积约4700亩，其中：振东乡养殖场面积总计3913.12亩，水利局养殖场面积共计919.43亩，农业农村局养殖面积共计772.78亩，现有大小鱼塘约130口，养殖区内单个塘口面积10-240亩不等，区域内最大单塘面积238亩，多数塘口面积集中在60-70亩之间。片区养殖以淡水鱼类为主。塘口具体分布详见下图：</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inline xmlns:wp="http://schemas.openxmlformats.org/drawingml/2006/wordprocessingDrawing" distT="0" distB="0" distL="0" distR="0">
                <wp:extent cx="4493260" cy="3630295"/>
                <wp:effectExtent l="0" t="0" r="2540" b="8255"/>
                <wp:docPr id="5" name="图片 31" descr="振东鱼塘改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振东鱼塘改_00"/>
                        <pic:cNvPicPr>
                          <a:picLocks noChangeAspect="1"/>
                        </pic:cNvPicPr>
                        <pic:nvPr/>
                      </pic:nvPicPr>
                      <pic:blipFill>
                        <a:blip r:embed="rId15"/>
                        <a:srcRect l="5182" t="2898" r="1914" b="3120"/>
                        <a:stretch/>
                      </pic:blipFill>
                      <pic:spPr bwMode="auto">
                        <a:xfrm>
                          <a:off x="0" y="0"/>
                          <a:ext cx="4493260" cy="3630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53.8pt;height:285.8pt;mso-wrap-distance-left:0.0pt;mso-wrap-distance-top:0.0pt;mso-wrap-distance-right:0.0pt;mso-wrap-distance-bottom:0.0pt;" stroked="false">
                <v:path textboxrect="0,0,0,0"/>
                <v:imagedata r:id="rId15" o:title=""/>
              </v:shape>
            </w:pict>
          </mc:Fallback>
        </mc:AlternateContent>
      </w:r>
      <w:r/>
    </w:p>
    <w:p>
      <w:pPr>
        <w:pStyle w:val="969"/>
        <w:ind w:firstLine="0"/>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6、工艺技术路线</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采用“改良型三池两坝”的技术对其尾水进行净化处理，尾水治理工艺路线主要包括：沉淀池→过滤坝→曝气池→过滤坝→生态净化池→尾水监测→达标排放。</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二、采购内容</w:t>
      </w:r>
      <w:r/>
    </w:p>
    <w:p>
      <w:pPr>
        <w:ind w:firstLine="480"/>
        <w:spacing w:line="400" w:lineRule="exact"/>
        <w:rPr>
          <w:rFonts w:hint="eastAsia" w:ascii="宋体" w:hAnsi="宋体"/>
          <w:sz w:val="24"/>
          <w:szCs w:val="24"/>
        </w:rPr>
      </w:pPr>
      <w:r>
        <w:rPr>
          <w:rFonts w:hint="eastAsia" w:ascii="宋体" w:hAnsi="宋体" w:cs="Arial"/>
          <w:bCs/>
          <w:sz w:val="24"/>
          <w:szCs w:val="24"/>
        </w:rPr>
        <w:t xml:space="preserve">滨海县滨海港镇养殖尾水治理项目的设计、采购、施工、调试直至竣工验收合格。本项目位于盐场珍禽保护区实验区范围内，若需编制本项目对珍禽保护区生物多样性影响评价报告，则报告编制工作包含在采购内容中，具体以相关部门要求为准。</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三、设计和施工依据</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1、发包人提供的经确认的立项文件、项目用地范围及周边相关资料等；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2、相关政府主管部门对本项目的批复文件、给定的技术条件和意见要求；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3、设计和施工标准应符合国家建设部及地方有关设计、施工的标准及规定；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4、国家相关法律、法规、强制性条文、国家及各行业设计和施工规范、规程及项目所在地方规定和标准；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5、在项目设计和施工过程中发包人提出的条件、合理意见和要求。</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四、技术要求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1、执行国家生态环境保护政策，符合国家的有关法规、规范及标准；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2、结合本项目的实际情况，充分发挥建设项目的社会效益、环境效益和经济效益；</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3、总体设计应该因地制宜，严格实施方案及其批复要求开展设计和施工；</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4、节约能源，降低工程基建投资和运行费用，提高管理水平；</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5、采用适合自然保护区管理要求的技术措施和施工工艺，力争技术可靠，运行高效，管理方便，维护简单。</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五、工期</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80日历天。其中设计周期10日历天，施工周期70日历天。</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六、合格标准</w:t>
      </w:r>
      <w:r/>
    </w:p>
    <w:p>
      <w:pPr>
        <w:ind w:firstLine="480"/>
        <w:spacing w:line="400" w:lineRule="exact"/>
        <w:rPr>
          <w:sz w:val="24"/>
          <w:szCs w:val="24"/>
        </w:rPr>
      </w:pPr>
      <w:r>
        <w:rPr>
          <w:rFonts w:hint="eastAsia"/>
          <w:sz w:val="24"/>
          <w:szCs w:val="24"/>
        </w:rPr>
        <w:t xml:space="preserve">（1）设计质量标准：所有工程设计须符合现行国家、行业、地方的相关设计规范、标准、规定等要求，确保设计方案通过主管部门组织的专家评审，施工图审查合格（包括各专项审查）。</w:t>
      </w:r>
      <w:r/>
    </w:p>
    <w:p>
      <w:pPr>
        <w:ind w:firstLine="480"/>
        <w:spacing w:line="400" w:lineRule="exact"/>
        <w:rPr>
          <w:rFonts w:hint="eastAsia"/>
        </w:rPr>
      </w:pPr>
      <w:r>
        <w:rPr>
          <w:rFonts w:hint="eastAsia"/>
          <w:sz w:val="24"/>
          <w:szCs w:val="24"/>
        </w:rPr>
        <w:t xml:space="preserve">（2）设备采购标准：所有设备质量等级均为“合格”，并符合施工图纸中技术需求、国家现行的相关规范标准及有关部门最新颁布的相应的最新标准，项目确保按规范和标准验收，且达合格标准。</w:t>
      </w:r>
      <w:r/>
    </w:p>
    <w:p>
      <w:pPr>
        <w:ind w:firstLine="480"/>
        <w:spacing w:line="400" w:lineRule="exact"/>
        <w:rPr>
          <w:sz w:val="24"/>
          <w:szCs w:val="24"/>
        </w:rPr>
      </w:pPr>
      <w:r>
        <w:rPr>
          <w:rFonts w:hint="eastAsia"/>
          <w:sz w:val="24"/>
          <w:szCs w:val="24"/>
        </w:rPr>
        <w:t xml:space="preserve">（3）施工质量标准：符合现行国家施工及验收规范标准要求，质量标准达“合格”标准，通过镇级、县级、市级验收合格。</w:t>
      </w:r>
      <w:r/>
    </w:p>
    <w:p>
      <w:pPr>
        <w:ind w:firstLine="643"/>
        <w:jc w:val="center"/>
        <w:spacing w:line="400" w:lineRule="exact"/>
        <w:rPr>
          <w:rFonts w:hint="eastAsia" w:asciiTheme="minorEastAsia" w:hAnsiTheme="minorEastAsia" w:eastAsiaTheme="minorEastAsia" w:cstheme="minorEastAsia"/>
          <w:b/>
          <w:bCs/>
          <w:sz w:val="32"/>
          <w:szCs w:val="32"/>
        </w:rPr>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43"/>
        <w:jc w:val="center"/>
        <w:spacing w:line="40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评标方法与评标标准</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一、评标方法与定标原则</w:t>
      </w:r>
      <w:r/>
    </w:p>
    <w:p>
      <w:pPr>
        <w:ind w:right="-4" w:firstLine="48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本项目采用</w:t>
      </w:r>
      <w:r>
        <w:rPr>
          <w:rFonts w:hint="eastAsia" w:asciiTheme="minorEastAsia" w:hAnsiTheme="minorEastAsia" w:eastAsiaTheme="minorEastAsia" w:cstheme="minorEastAsia"/>
          <w:bCs/>
          <w:sz w:val="24"/>
          <w:szCs w:val="24"/>
          <w:u w:val="single"/>
        </w:rPr>
        <w:t xml:space="preserve"> 综合评分 </w:t>
      </w:r>
      <w:r>
        <w:rPr>
          <w:rFonts w:hint="eastAsia" w:asciiTheme="minorEastAsia" w:hAnsiTheme="minorEastAsia" w:eastAsiaTheme="minorEastAsia" w:cstheme="minorEastAsia"/>
          <w:bCs/>
          <w:sz w:val="24"/>
          <w:szCs w:val="24"/>
        </w:rPr>
        <w:t xml:space="preserve">法。</w:t>
      </w:r>
      <w:r>
        <w:rPr>
          <w:rFonts w:hint="eastAsia" w:asciiTheme="minorEastAsia" w:hAnsiTheme="minorEastAsia" w:eastAsiaTheme="minorEastAsia" w:cstheme="minorEastAsia"/>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936"/>
        <w:ind w:firstLine="482"/>
        <w:spacing w:before="0" w:after="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二、对投标文件的初审</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投标文件初审分为资格审查和符合性审查。</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资格审查</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开标结束后，采购人或者采购代理机构依法对投标人的资格进行审查。</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审查投标文件中的资格、资信证明文件等，以确定投标人是否具备投标资格。（资格审查需提供的材料详见《资格信誉等证明文件要求》）</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符合性审查</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评标委员会对符合资格的投标人的投标文件进行符合性审查。</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依据招标文件的规定，从投标文件的有效性、完整性和对招标文件的响应程度进行审查，以确定其是否满足招标文件的实质性要求。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明确响应的投标应该是与招标文件要求的全部条款、条件和规格相符，没有重大偏离或保留的投标。</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Theme="minorEastAsia" w:hAnsiTheme="minorEastAsia" w:eastAsiaTheme="minorEastAsia" w:cstheme="minorEastAsia"/>
          <w:bCs/>
          <w:sz w:val="24"/>
          <w:szCs w:val="24"/>
        </w:rPr>
        <w:t xml:space="preserve">评委决定投标文件的响应性只根据投标文件本身的内容，而不寻求外部的证据。</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评标委员会将对确定为明确响应的投标进行进一步审核，</w:t>
      </w:r>
      <w:r>
        <w:rPr>
          <w:rFonts w:hint="eastAsia" w:asciiTheme="minorEastAsia" w:hAnsiTheme="minorEastAsia" w:eastAsiaTheme="minorEastAsia" w:cstheme="minorEastAsia"/>
          <w:sz w:val="24"/>
          <w:szCs w:val="24"/>
        </w:rPr>
        <w:t xml:space="preserve">投标文件报价出现前后不一致的，除招标文件另有规定外，按照下列规定修正：</w:t>
      </w:r>
      <w:r/>
    </w:p>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投标文件中开标一览表内容与投标文件中相应内容不一致的，以开标一览表为准；</w:t>
      </w:r>
      <w:r/>
    </w:p>
    <w:p>
      <w:pPr>
        <w:contextualSpacing/>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sz w:val="24"/>
          <w:szCs w:val="24"/>
        </w:rPr>
        <w:t xml:space="preserve">大写金额和小写金额不一致的，以大写金额为准；</w:t>
      </w:r>
      <w:r/>
    </w:p>
    <w:p>
      <w:pPr>
        <w:contextualSpacing/>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sz w:val="24"/>
          <w:szCs w:val="24"/>
        </w:rPr>
        <w:t xml:space="preserve">单价金额小数点或者百分比有明显错位的，以开标一览表的总价为准，并修改单价；</w:t>
      </w:r>
      <w:r/>
    </w:p>
    <w:p>
      <w:pPr>
        <w:contextualSpacing/>
        <w:jc w:val="left"/>
        <w:spacing w:before="100" w:beforeAutospacing="1" w:after="240"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4.</w:t>
      </w:r>
      <w:r>
        <w:rPr>
          <w:rFonts w:hint="eastAsia" w:asciiTheme="minorEastAsia" w:hAnsiTheme="minorEastAsia" w:eastAsiaTheme="minorEastAsia" w:cstheme="minorEastAsia"/>
          <w:sz w:val="24"/>
          <w:szCs w:val="24"/>
        </w:rPr>
        <w:t xml:space="preserve">总价金额与按单价汇总金额不一致的，以单价金额计算结果为准。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评标委员会将按上述修正错误的方法调整投标文件中的投标报价，</w:t>
      </w:r>
      <w:r>
        <w:rPr>
          <w:rFonts w:hint="eastAsia" w:asciiTheme="minorEastAsia" w:hAnsiTheme="minorEastAsia" w:eastAsiaTheme="minorEastAsia" w:cstheme="minorEastAsia"/>
          <w:sz w:val="24"/>
          <w:szCs w:val="24"/>
        </w:rPr>
        <w:t xml:space="preserve">修正后的报价应当采用书面形式，并加盖公章，或者由法定代表人或其授权的代表签字，经投标人确认后产生约束力，投标人不确认的，其投标无效。</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非单一产品采购，采购人根据采购项目技术构成、产品价格比重等合理确定核心产品，并在招标文件中载明。多家投标人提供的核心产品品牌相同的按上述规定处理。</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三、评分标准</w:t>
      </w:r>
      <w:r/>
    </w:p>
    <w:p>
      <w:pPr>
        <w:ind w:firstLine="632"/>
        <w:rPr>
          <w:rFonts w:hint="eastAsia" w:ascii="宋体" w:hAnsi="宋体"/>
          <w:b/>
          <w:highlight w:val="yellow"/>
        </w:rPr>
      </w:pPr>
      <w:r>
        <w:rPr>
          <w:rFonts w:hint="eastAsia" w:ascii="宋体" w:hAnsi="宋体"/>
          <w:b/>
        </w:rPr>
        <w:t xml:space="preserve">政府采购政策功能落实</w:t>
      </w:r>
      <w:r/>
    </w:p>
    <w:p>
      <w:pPr>
        <w:pStyle w:val="1018"/>
        <w:spacing w:line="0" w:lineRule="atLeast"/>
        <w:rPr>
          <w:rFonts w:hint="eastAsia" w:ascii="宋体" w:hAnsi="宋体"/>
        </w:rPr>
      </w:pPr>
      <w:r>
        <w:rPr>
          <w:rFonts w:hint="eastAsia" w:ascii="宋体" w:hAnsi="宋体"/>
        </w:rPr>
        <w:t xml:space="preserve">1、小微型企业价格扣除</w:t>
      </w:r>
      <w:r/>
    </w:p>
    <w:p>
      <w:pPr>
        <w:pStyle w:val="1018"/>
        <w:ind w:firstLine="360"/>
        <w:spacing w:line="0" w:lineRule="atLeast"/>
        <w:rPr>
          <w:rFonts w:hint="eastAsia" w:ascii="宋体" w:hAnsi="宋体"/>
        </w:rPr>
      </w:pPr>
      <w:r>
        <w:rPr>
          <w:rFonts w:hint="eastAsia" w:ascii="宋体" w:hAnsi="宋体"/>
        </w:rPr>
        <w:t xml:space="preserve">（1）本项目对小型和微型企业产品给予20%的扣除价格，用扣除后的价格参与评审。</w:t>
      </w:r>
      <w:r/>
    </w:p>
    <w:p>
      <w:pPr>
        <w:pStyle w:val="1018"/>
        <w:ind w:firstLine="360"/>
        <w:spacing w:line="0" w:lineRule="atLeast"/>
        <w:rPr>
          <w:rFonts w:hint="eastAsia" w:ascii="宋体" w:hAnsi="宋体"/>
        </w:rPr>
      </w:pPr>
      <w:r>
        <w:rPr>
          <w:rFonts w:hint="eastAsia" w:ascii="宋体" w:hAnsi="宋体"/>
        </w:rPr>
        <w:t xml:space="preserve">（2）供应商需按照采购文件的要求提供相应的《企业声明函》。</w:t>
      </w:r>
      <w:r/>
    </w:p>
    <w:p>
      <w:pPr>
        <w:pStyle w:val="101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18"/>
        <w:ind w:firstLine="361"/>
        <w:spacing w:line="0" w:lineRule="atLeast"/>
        <w:rPr>
          <w:rFonts w:hint="eastAsia" w:ascii="宋体" w:hAnsi="宋体"/>
          <w:b/>
          <w:bCs/>
        </w:rPr>
      </w:pPr>
      <w:r>
        <w:rPr>
          <w:rFonts w:hint="eastAsia" w:ascii="宋体" w:hAnsi="宋体"/>
          <w:b/>
          <w:bCs/>
        </w:rPr>
        <w:t xml:space="preserve">（4）在货物采购项目中，供应商提供的货物既有中小企业制造货物，也有大型企业制造货物的，不享受本办法规定的中小企业扶持政策。</w:t>
      </w:r>
      <w:r/>
    </w:p>
    <w:p>
      <w:pPr>
        <w:pStyle w:val="1018"/>
        <w:spacing w:line="0" w:lineRule="atLeast"/>
        <w:rPr>
          <w:rFonts w:hint="eastAsia" w:ascii="宋体" w:hAnsi="宋体"/>
        </w:rPr>
      </w:pPr>
      <w:r>
        <w:rPr>
          <w:rFonts w:hint="eastAsia" w:ascii="宋体" w:hAnsi="宋体"/>
        </w:rPr>
        <w:t xml:space="preserve">2、残疾人福利单位价格扣除</w:t>
      </w:r>
      <w:r/>
    </w:p>
    <w:p>
      <w:pPr>
        <w:pStyle w:val="1018"/>
        <w:ind w:left="120" w:firstLine="360"/>
        <w:spacing w:line="0" w:lineRule="atLeast"/>
        <w:rPr>
          <w:rFonts w:hint="eastAsia" w:ascii="宋体" w:hAnsi="宋体"/>
        </w:rPr>
      </w:pPr>
      <w:r>
        <w:rPr>
          <w:rFonts w:hint="eastAsia" w:ascii="宋体" w:hAnsi="宋体"/>
        </w:rPr>
        <w:t xml:space="preserve">（1）本项目对残疾人福利性单位视同小型、微型企业，给予20%的价格扣除，用扣除后的价格参与评审。</w:t>
      </w:r>
      <w:r/>
    </w:p>
    <w:p>
      <w:pPr>
        <w:pStyle w:val="1018"/>
        <w:ind w:left="120" w:firstLine="360"/>
        <w:spacing w:line="0" w:lineRule="atLeast"/>
        <w:rPr>
          <w:rFonts w:hint="eastAsia" w:ascii="宋体" w:hAnsi="宋体"/>
        </w:rPr>
      </w:pPr>
      <w:r>
        <w:rPr>
          <w:rFonts w:hint="eastAsia" w:ascii="宋体" w:hAnsi="宋体"/>
        </w:rPr>
        <w:t xml:space="preserve">（2）残疾人福利单位需提供《残疾人福利性单位声明函》。</w:t>
      </w:r>
      <w:r/>
    </w:p>
    <w:p>
      <w:pPr>
        <w:pStyle w:val="101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8"/>
        <w:spacing w:line="0" w:lineRule="atLeast"/>
        <w:rPr>
          <w:rFonts w:hint="eastAsia" w:ascii="宋体" w:hAnsi="宋体"/>
        </w:rPr>
      </w:pPr>
      <w:r>
        <w:rPr>
          <w:rFonts w:hint="eastAsia" w:ascii="宋体" w:hAnsi="宋体"/>
        </w:rPr>
        <w:t xml:space="preserve">3、监狱和戒毒企业价格扣除</w:t>
      </w:r>
      <w:r/>
    </w:p>
    <w:p>
      <w:pPr>
        <w:pStyle w:val="1018"/>
        <w:spacing w:line="0" w:lineRule="atLeast"/>
        <w:rPr>
          <w:rFonts w:hint="eastAsia" w:ascii="宋体" w:hAnsi="宋体"/>
        </w:rPr>
      </w:pPr>
      <w:r>
        <w:rPr>
          <w:rFonts w:hint="eastAsia" w:ascii="宋体" w:hAnsi="宋体"/>
        </w:rPr>
        <w:t xml:space="preserve">（1）本项目对监狱和戒毒企业（简称监狱企业）视同小型、微型企业，给予20%的价格扣除，用扣除后的价格参与评审。</w:t>
      </w:r>
      <w:r/>
    </w:p>
    <w:p>
      <w:pPr>
        <w:pStyle w:val="101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5、★符合本采购文件优先采购 “环境标志产品”或“节能产品”的；必须提供“环境标志产品”或“节能产品”证明，否则不予认可。</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2"/>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sz w:val="24"/>
          <w:szCs w:val="24"/>
        </w:rPr>
        <w:t xml:space="preserve">三、评分标准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评标时，评标委员会各成员独立对每个投标人的投标文件进行评价，并汇总每个投标人的得分。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本项目评分总分值为100分</w:t>
      </w:r>
      <w:bookmarkEnd w:id="122"/>
      <w:r/>
      <w:bookmarkEnd w:id="123"/>
      <w:r/>
      <w:bookmarkEnd w:id="124"/>
      <w:r/>
      <w:bookmarkStart w:id="125" w:name="_Toc120614282"/>
      <w:r/>
      <w:bookmarkStart w:id="126" w:name="_Toc26554094"/>
      <w:r/>
      <w:bookmarkStart w:id="127" w:name="_Toc49090576"/>
      <w:r>
        <w:rPr>
          <w:rFonts w:hint="eastAsia" w:asciiTheme="minorEastAsia" w:hAnsiTheme="minorEastAsia" w:eastAsiaTheme="minorEastAsia" w:cstheme="minorEastAsia"/>
          <w:sz w:val="24"/>
          <w:szCs w:val="24"/>
        </w:rPr>
        <w:t xml:space="preserve">。</w:t>
      </w:r>
      <w:r/>
    </w:p>
    <w:tbl>
      <w:tblPr>
        <w:tblStyle w:val="9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8"/>
        <w:gridCol w:w="8304"/>
      </w:tblGrid>
      <w:tr>
        <w:trPr>
          <w:jc w:val="center"/>
          <w:trHeight w:val="517"/>
        </w:trPr>
        <w:tc>
          <w:tcPr>
            <w:gridSpan w:val="2"/>
            <w:tcW w:w="5000" w:type="pct"/>
            <w:vAlign w:val="center"/>
            <w:textDirection w:val="lrTb"/>
            <w:noWrap w:val="false"/>
          </w:tcPr>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一、投标报价（10分）</w:t>
            </w:r>
            <w:r/>
          </w:p>
        </w:tc>
      </w:tr>
      <w:tr>
        <w:trPr>
          <w:jc w:val="center"/>
          <w:trHeight w:val="1335"/>
        </w:trPr>
        <w:tc>
          <w:tcPr>
            <w:gridSpan w:val="2"/>
            <w:tcW w:w="5000" w:type="pct"/>
            <w:vAlign w:val="center"/>
            <w:textDirection w:val="lrTb"/>
            <w:noWrap w:val="false"/>
          </w:tcPr>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1.有效投标报价：在各阶段评审中未被确定为无效投标或废标的为有效投标文件，无效投标文件不参与详细评审环节。</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2.以有效投标报价的算术平均值为评标基准价A（若有效投标文件小于等于5家时，取所有有效投标文件的投标价算术平均值为 A值；若有效投标文件大于5家时，去掉其中的一个最高价和一个最低价后取算术平均值为 A值）。</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3.投标报价得分计算：</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投标报价等于评标基准价的得满分10分；偏离评标基准价的，投标报价每偏离评标基准价1%扣减0.1分，偏离不足1%的，用插入法计算。</w:t>
            </w:r>
            <w:r/>
          </w:p>
        </w:tc>
      </w:tr>
      <w:tr>
        <w:trPr>
          <w:jc w:val="center"/>
          <w:trHeight w:val="526"/>
        </w:trPr>
        <w:tc>
          <w:tcPr>
            <w:gridSpan w:val="2"/>
            <w:tcW w:w="5000" w:type="pct"/>
            <w:vAlign w:val="center"/>
            <w:textDirection w:val="lrTb"/>
            <w:noWrap w:val="false"/>
          </w:tcPr>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二、综合实力（40分）</w:t>
            </w:r>
            <w:r/>
          </w:p>
        </w:tc>
      </w:tr>
      <w:tr>
        <w:trPr>
          <w:jc w:val="center"/>
          <w:trHeight w:val="23"/>
        </w:trPr>
        <w:tc>
          <w:tcPr>
            <w:tcW w:w="832" w:type="pct"/>
            <w:vAlign w:val="center"/>
            <w:textDirection w:val="lrTb"/>
            <w:noWrap w:val="false"/>
          </w:tcPr>
          <w:p>
            <w:pPr>
              <w:jc w:val="cente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投标人业绩</w:t>
            </w:r>
            <w:r/>
          </w:p>
          <w:p>
            <w:pPr>
              <w:jc w:val="cente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（9分）</w:t>
            </w:r>
            <w:r/>
          </w:p>
        </w:tc>
        <w:tc>
          <w:tcPr>
            <w:tcW w:w="4168" w:type="pct"/>
            <w:vAlign w:val="center"/>
            <w:textDirection w:val="lrTb"/>
            <w:noWrap w:val="false"/>
          </w:tcPr>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投标人自2021年8月1日以来（以合同签订时间为准）承担过类似的养殖尾水治理或生态修复或生境质量提升工程总承包或施工业绩的（合同额不低于300万元），每个</w:t>
            </w:r>
            <w:r>
              <w:rPr>
                <w:rFonts w:hint="eastAsia" w:asciiTheme="minorEastAsia" w:hAnsiTheme="minorEastAsia" w:eastAsiaTheme="minorEastAsia" w:cstheme="minorEastAsia"/>
                <w:sz w:val="24"/>
                <w:szCs w:val="24"/>
                <w:lang w:val="en-US" w:eastAsia="zh-CN"/>
              </w:rPr>
              <w:t xml:space="preserve">得</w:t>
            </w:r>
            <w:r>
              <w:rPr>
                <w:rFonts w:hint="eastAsia" w:asciiTheme="minorEastAsia" w:hAnsiTheme="minorEastAsia" w:eastAsiaTheme="minorEastAsia" w:cstheme="minorEastAsia"/>
                <w:sz w:val="24"/>
                <w:szCs w:val="24"/>
              </w:rPr>
              <w:t xml:space="preserve">3分，最多得9分。</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（须提供业绩中标通知书、合同、竣工验收证明扫描件并加盖投标人公章，三者缺一不可，否则不得分。）</w:t>
            </w:r>
            <w:r/>
          </w:p>
        </w:tc>
      </w:tr>
      <w:tr>
        <w:trPr>
          <w:jc w:val="center"/>
          <w:trHeight w:val="23"/>
        </w:trPr>
        <w:tc>
          <w:tcPr>
            <w:tcW w:w="832" w:type="pct"/>
            <w:vAlign w:val="center"/>
            <w:textDirection w:val="lrTb"/>
            <w:noWrap w:val="false"/>
          </w:tcPr>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投标人资信</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（15分）</w:t>
            </w:r>
            <w:r/>
          </w:p>
        </w:tc>
        <w:tc>
          <w:tcPr>
            <w:tcW w:w="4168" w:type="pct"/>
            <w:vAlign w:val="center"/>
            <w:textDirection w:val="lrTb"/>
            <w:noWrap w:val="false"/>
          </w:tcPr>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具有质量管理体系认证证书、环境管理体系认证证书、知识产权管理体系认证证书的有一项得2分，满分6分。（证书认证覆盖的业务范围须包含环境工程。且在国家市场监督管理总局全国认证认可信息公共服务平台在线查询处于有效状态，提供证书扫描件并附查询截图并加盖投标人公章，否则不得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2.投标人在区域流域环境治理领域，纳入省级及以上工程技术研究中心建设名录的得5分（</w:t>
            </w:r>
            <w:r>
              <w:rPr>
                <w:rFonts w:hint="eastAsia" w:asciiTheme="minorEastAsia" w:hAnsiTheme="minorEastAsia" w:eastAsiaTheme="minorEastAsia" w:cstheme="minorEastAsia"/>
                <w:sz w:val="24"/>
                <w:szCs w:val="24"/>
                <w:lang w:val="en-US" w:eastAsia="zh-CN"/>
              </w:rPr>
              <w:t xml:space="preserve">需提供相关证明材料，</w:t>
            </w:r>
            <w:r>
              <w:rPr>
                <w:rFonts w:hint="eastAsia" w:asciiTheme="minorEastAsia" w:hAnsiTheme="minorEastAsia" w:eastAsiaTheme="minorEastAsia" w:cstheme="minorEastAsia"/>
                <w:sz w:val="24"/>
                <w:szCs w:val="24"/>
              </w:rPr>
              <w:t xml:space="preserve">以省市级科技部门发文认可为准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不提供不得分</w:t>
            </w:r>
            <w:r>
              <w:rPr>
                <w:rFonts w:hint="eastAsia" w:asciiTheme="minorEastAsia" w:hAnsiTheme="minorEastAsia" w:eastAsiaTheme="minorEastAsia" w:cstheme="minorEastAsia"/>
                <w:sz w:val="24"/>
                <w:szCs w:val="24"/>
              </w:rPr>
              <w:t xml:space="preserve">）。</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3.投标人具有省级自然资源部门颁发的乙级及以上测绘资质证书，且证书专业类别包含工程测量和测绘航空摄影的得4分。（</w:t>
            </w:r>
            <w:r>
              <w:rPr>
                <w:rFonts w:hint="eastAsia" w:asciiTheme="minorEastAsia" w:hAnsiTheme="minorEastAsia" w:eastAsiaTheme="minorEastAsia" w:cstheme="minorEastAsia"/>
                <w:sz w:val="24"/>
                <w:szCs w:val="24"/>
                <w:lang w:val="en-US" w:eastAsia="zh-CN"/>
              </w:rPr>
              <w:t xml:space="preserve">需提供相关证明材料，不提供不得分）</w:t>
            </w:r>
            <w:r/>
          </w:p>
        </w:tc>
      </w:tr>
      <w:tr>
        <w:trPr>
          <w:jc w:val="center"/>
          <w:trHeight w:val="23"/>
        </w:trPr>
        <w:tc>
          <w:tcPr>
            <w:tcW w:w="832" w:type="pct"/>
            <w:vAlign w:val="center"/>
            <w:textDirection w:val="lrTb"/>
            <w:noWrap w:val="false"/>
          </w:tcPr>
          <w:p>
            <w:pPr>
              <w:ind w:left="-13" w:right="55"/>
              <w:jc w:val="center"/>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项目负责人</w:t>
            </w:r>
            <w:r/>
          </w:p>
          <w:p>
            <w:pPr>
              <w:jc w:val="cente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（6分）</w:t>
            </w:r>
            <w:r/>
          </w:p>
        </w:tc>
        <w:tc>
          <w:tcPr>
            <w:tcW w:w="4168" w:type="pct"/>
            <w:vAlign w:val="center"/>
            <w:textDirection w:val="lrTb"/>
            <w:noWrap w:val="false"/>
          </w:tcPr>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1、项目负责人具有注册环保工程师资格证书得3分。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2、项目负责人具有环境工程专业高级工程师职称的，得3分。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（须提供有效的证书扫描件并加盖投标人公章，提供</w:t>
            </w:r>
            <w:r>
              <w:rPr>
                <w:rFonts w:hint="eastAsia" w:ascii="宋体" w:hAnsi="宋体"/>
                <w:sz w:val="24"/>
                <w:szCs w:val="24"/>
              </w:rPr>
              <w:t xml:space="preserve">从投标截止之日当月向前连续3个月均已在本单位缴纳养老保险证明，</w:t>
            </w:r>
            <w:r>
              <w:rPr>
                <w:rFonts w:hint="eastAsia" w:asciiTheme="minorEastAsia" w:hAnsiTheme="minorEastAsia" w:eastAsiaTheme="minorEastAsia" w:cstheme="minorEastAsia"/>
                <w:sz w:val="24"/>
                <w:szCs w:val="24"/>
              </w:rPr>
              <w:t xml:space="preserve">否则不得分。）</w:t>
            </w:r>
            <w:r/>
          </w:p>
        </w:tc>
      </w:tr>
      <w:tr>
        <w:trPr>
          <w:jc w:val="center"/>
          <w:trHeight w:val="23"/>
        </w:trPr>
        <w:tc>
          <w:tcPr>
            <w:tcW w:w="832" w:type="pct"/>
            <w:vAlign w:val="center"/>
            <w:textDirection w:val="lrTb"/>
            <w:noWrap w:val="false"/>
          </w:tcPr>
          <w:p>
            <w:pPr>
              <w:ind w:left="3" w:right="55" w:hanging="16"/>
              <w:jc w:val="center"/>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项目组成员</w:t>
            </w:r>
            <w:r/>
          </w:p>
          <w:p>
            <w:pPr>
              <w:ind w:left="-13" w:right="55"/>
              <w:jc w:val="center"/>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（10分）</w:t>
            </w:r>
            <w:r/>
          </w:p>
        </w:tc>
        <w:tc>
          <w:tcPr>
            <w:tcW w:w="4168" w:type="pct"/>
            <w:vAlign w:val="center"/>
            <w:textDirection w:val="lrTb"/>
            <w:noWrap w:val="false"/>
          </w:tcPr>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除项目负责人外，各专业负责人必须为投标单位正式职工，且：</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1、具有注册环保工程师和高级工程师职称的，得2分；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2、具有一级注册结构工程师和高级工程师职称的，得2分；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3、具有注册咨询工程师（投资）和高级工程师职称的，得2分；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4、具有注册公用设备工程师（给水排水）和高级工程师职称的，得2分；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5、具有注册造价工程师和高级工程师职称的，得2分；</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注：以上各专业负责人不得相互兼职。</w:t>
            </w:r>
            <w:r/>
          </w:p>
          <w:p>
            <w:pPr>
              <w:ind w:right="55"/>
              <w:spacing w:before="50"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（须提供有效的职称证书、注册证书扫描件并加盖投标人公章，提供</w:t>
            </w:r>
            <w:r>
              <w:rPr>
                <w:rFonts w:hint="eastAsia" w:ascii="宋体" w:hAnsi="宋体"/>
                <w:sz w:val="24"/>
                <w:szCs w:val="24"/>
              </w:rPr>
              <w:t xml:space="preserve">从投标截止之日当月向前连续3个月均已在本单位缴纳养老保险证明，</w:t>
            </w:r>
            <w:r>
              <w:rPr>
                <w:rFonts w:hint="eastAsia" w:asciiTheme="minorEastAsia" w:hAnsiTheme="minorEastAsia" w:eastAsiaTheme="minorEastAsia" w:cstheme="minorEastAsia"/>
                <w:sz w:val="24"/>
                <w:szCs w:val="24"/>
              </w:rPr>
              <w:t xml:space="preserve">否则不得分。）</w:t>
            </w:r>
            <w:r/>
          </w:p>
        </w:tc>
      </w:tr>
      <w:tr>
        <w:trPr>
          <w:jc w:val="center"/>
          <w:trHeight w:val="481"/>
        </w:trPr>
        <w:tc>
          <w:tcPr>
            <w:gridSpan w:val="2"/>
            <w:tcW w:w="5000" w:type="pct"/>
            <w:vAlign w:val="center"/>
            <w:textDirection w:val="lrTb"/>
            <w:noWrap w:val="false"/>
          </w:tcPr>
          <w:p>
            <w:pPr>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 w:val="24"/>
                <w:szCs w:val="24"/>
              </w:rPr>
              <w:t xml:space="preserve">三、技术方案 （50分）</w:t>
            </w:r>
            <w:r/>
          </w:p>
        </w:tc>
      </w:tr>
      <w:tr>
        <w:trPr>
          <w:jc w:val="center"/>
          <w:trHeight w:val="23"/>
        </w:trPr>
        <w:tc>
          <w:tcPr>
            <w:gridSpan w:val="2"/>
            <w:tcW w:w="5000" w:type="pct"/>
            <w:vAlign w:val="center"/>
            <w:textDirection w:val="lrTb"/>
            <w:noWrap w:val="false"/>
          </w:tcPr>
          <w:p>
            <w:pPr>
              <w:pStyle w:val="1046"/>
              <w:numPr>
                <w:ilvl w:val="0"/>
                <w:numId w:val="4"/>
              </w:numPr>
              <w:ind w:left="0" w:firstLine="0"/>
              <w:jc w:val="left"/>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项目的概述及现状：项目背景、现状、周边环境、水系连通、相关规划描述准确、分析得当。内容完整得基本分为8分，加分区间为0-2分，以0.1分为一个计分单位，未提供本项内容的本项不得分。</w:t>
            </w:r>
            <w:r/>
          </w:p>
          <w:p>
            <w:pPr>
              <w:pStyle w:val="1046"/>
              <w:numPr>
                <w:ilvl w:val="0"/>
                <w:numId w:val="4"/>
              </w:numPr>
              <w:ind w:left="0" w:firstLine="0"/>
              <w:jc w:val="left"/>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工程设计方案：建设目标、技术路线明晰，技术介绍详细，工程布置科学、工程量分配合理准确，周边景观布局协调，设计效果呈现清晰，合理有效的利用现状设施，内容完整得基本分为8分，加分区间为0-2分，以0.1分为一个计分单位，未提供本项内容的本项不得分。</w:t>
            </w:r>
            <w:r/>
          </w:p>
          <w:p>
            <w:pPr>
              <w:pStyle w:val="1046"/>
              <w:numPr>
                <w:ilvl w:val="0"/>
                <w:numId w:val="4"/>
              </w:numPr>
              <w:ind w:left="0" w:firstLine="0"/>
              <w:jc w:val="left"/>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工程施工方案：针对本项目提出的施工方法和施工管理组织方案进行评议：提供相应方案得基本分8分，加分区间0-2分，以0.2分为一个计分单位。未提供本项不得分。</w:t>
            </w:r>
            <w:r/>
          </w:p>
          <w:p>
            <w:pPr>
              <w:pStyle w:val="1046"/>
              <w:numPr>
                <w:ilvl w:val="0"/>
                <w:numId w:val="4"/>
              </w:numPr>
              <w:ind w:left="0" w:firstLine="0"/>
              <w:jc w:val="left"/>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进度计划及保证措施：设计和施工工作计划、设计和施工的进度及控制措施。内容完整得基本分为3分，加分区间为0-2分，以0.1分为一个计分单位，未提供本项内容的本项不得分。</w:t>
            </w:r>
            <w:r/>
          </w:p>
          <w:p>
            <w:pPr>
              <w:pStyle w:val="1046"/>
              <w:numPr>
                <w:ilvl w:val="0"/>
                <w:numId w:val="4"/>
              </w:numPr>
              <w:ind w:left="0" w:firstLine="0"/>
              <w:jc w:val="left"/>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质量保证措施：设计的质量、后续服务安排及保证措施。内容完整得基本分为3分，加分区间为0-2分，以0.1分为一个计分单位，未提供本项内容的本项不得分。</w:t>
            </w:r>
            <w:r/>
          </w:p>
          <w:p>
            <w:pPr>
              <w:pStyle w:val="1046"/>
              <w:numPr>
                <w:ilvl w:val="0"/>
                <w:numId w:val="4"/>
              </w:numPr>
              <w:ind w:left="0" w:firstLine="0"/>
              <w:jc w:val="left"/>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工程的重点难点及应对方法：设计工作重点难点分析全面、准确，处理措施得当。后期施工的重点难点及应对方法。内容完整得基本分为3分，加分区间为0-2分，以0.1分为一个计分单位，未提供本项内容的本项不得分。</w:t>
            </w:r>
            <w:r/>
          </w:p>
          <w:p>
            <w:pPr>
              <w:pStyle w:val="1046"/>
              <w:numPr>
                <w:ilvl w:val="0"/>
                <w:numId w:val="4"/>
              </w:numPr>
              <w:ind w:left="0" w:firstLine="0"/>
              <w:jc w:val="left"/>
              <w:spacing w:line="276"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资估算分析：投资分析内容全面，经济指标科学，合理，在满足设计规范及使用功能、招标人要求的同时，合理节约造价。内容完整得基本分为3分，加分区间为0-2分，以0.1分为一个计分单位，未提供本项内容的本项不得分。</w:t>
            </w:r>
            <w:r/>
          </w:p>
        </w:tc>
      </w:tr>
    </w:tbl>
    <w:p>
      <w:pPr>
        <w:ind w:firstLine="482"/>
        <w:jc w:val="center"/>
        <w:spacing w:line="400" w:lineRule="exact"/>
        <w:rPr>
          <w:rFonts w:hint="eastAsia" w:asciiTheme="minorEastAsia" w:hAnsiTheme="minorEastAsia" w:eastAsiaTheme="minorEastAsia" w:cstheme="minorEastAsia"/>
          <w:b/>
          <w:bCs/>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43"/>
        <w:jc w:val="center"/>
        <w:spacing w:line="40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第六章</w:t>
      </w:r>
      <w:r>
        <w:rPr>
          <w:rFonts w:hint="eastAsia" w:asciiTheme="minorEastAsia" w:hAnsiTheme="minorEastAsia" w:eastAsiaTheme="minorEastAsia" w:cstheme="minorEastAsia"/>
          <w:b/>
          <w:bCs/>
          <w:sz w:val="32"/>
          <w:szCs w:val="32"/>
          <w:lang w:val="en-US" w:eastAsia="zh-CN"/>
        </w:rPr>
        <w:t xml:space="preserve"> </w:t>
      </w:r>
      <w:r>
        <w:rPr>
          <w:rFonts w:hint="eastAsia" w:asciiTheme="minorEastAsia" w:hAnsiTheme="minorEastAsia" w:eastAsiaTheme="minorEastAsia" w:cstheme="minorEastAsia"/>
          <w:b/>
          <w:bCs/>
          <w:sz w:val="32"/>
          <w:szCs w:val="32"/>
        </w:rPr>
        <w:t xml:space="preserve">投标文件格式</w:t>
      </w:r>
      <w:r/>
    </w:p>
    <w:p>
      <w:pPr>
        <w:ind w:firstLine="643"/>
        <w:jc w:val="center"/>
        <w:spacing w:line="40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pStyle w:val="969"/>
        <w:ind w:firstLine="600"/>
      </w:pPr>
      <w:r/>
      <w:r/>
    </w:p>
    <w:p>
      <w:pPr>
        <w:pStyle w:val="969"/>
        <w:ind w:firstLine="600"/>
        <w:rPr>
          <w:rFonts w:hint="eastAsia"/>
        </w:rPr>
      </w:pPr>
      <w:r>
        <w:rPr>
          <w:rFonts w:hint="eastAsia"/>
        </w:rPr>
      </w:r>
      <w:r/>
    </w:p>
    <w:p>
      <w:pPr>
        <w:ind w:firstLine="482"/>
        <w:jc w:val="center"/>
        <w:spacing w:line="360" w:lineRule="auto"/>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 xml:space="preserve">投标文件</w:t>
      </w:r>
      <w:r/>
    </w:p>
    <w:p>
      <w:pPr>
        <w:ind w:firstLine="482"/>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（正或副本）</w:t>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cente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pStyle w:val="969"/>
        <w:ind w:firstLine="600"/>
      </w:pPr>
      <w:r/>
      <w:r/>
    </w:p>
    <w:p>
      <w:pPr>
        <w:pStyle w:val="969"/>
        <w:ind w:firstLine="600"/>
      </w:pPr>
      <w:r/>
      <w:r/>
    </w:p>
    <w:p>
      <w:pPr>
        <w:pStyle w:val="969"/>
        <w:ind w:firstLine="600"/>
      </w:pPr>
      <w:r/>
      <w:r/>
    </w:p>
    <w:p>
      <w:pPr>
        <w:pStyle w:val="969"/>
        <w:ind w:firstLine="600"/>
        <w:rPr>
          <w:rFonts w:hint="eastAsia"/>
        </w:rPr>
      </w:pPr>
      <w:r>
        <w:rPr>
          <w:rFonts w:hint="eastAsia"/>
        </w:rPr>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1701"/>
        <w:spacing w:line="400" w:lineRule="exact"/>
        <w:rPr>
          <w:rFonts w:hint="eastAsia" w:asciiTheme="minorEastAsia" w:hAnsiTheme="minorEastAsia" w:eastAsiaTheme="minorEastAsia" w:cstheme="minorEastAsia"/>
          <w:b/>
          <w:sz w:val="28"/>
          <w:szCs w:val="28"/>
          <w:u w:val="single"/>
        </w:rPr>
      </w:pPr>
      <w:r>
        <w:rPr>
          <w:rFonts w:hint="eastAsia" w:asciiTheme="minorEastAsia" w:hAnsiTheme="minorEastAsia" w:eastAsiaTheme="minorEastAsia" w:cstheme="minorEastAsia"/>
          <w:b/>
          <w:sz w:val="28"/>
          <w:szCs w:val="28"/>
        </w:rPr>
        <w:t xml:space="preserve">项目编号：</w:t>
      </w:r>
      <w:r>
        <w:rPr>
          <w:rFonts w:hint="eastAsia" w:asciiTheme="minorEastAsia" w:hAnsiTheme="minorEastAsia" w:eastAsiaTheme="minorEastAsia" w:cstheme="minorEastAsia"/>
          <w:b/>
          <w:sz w:val="28"/>
          <w:szCs w:val="28"/>
          <w:u w:val="single"/>
        </w:rPr>
        <w:t xml:space="preserve">                      </w:t>
      </w:r>
      <w:r/>
    </w:p>
    <w:p>
      <w:pPr>
        <w:ind w:firstLine="1701"/>
        <w:spacing w:line="400" w:lineRule="exact"/>
        <w:rPr>
          <w:rFonts w:hint="eastAsia" w:asciiTheme="minorEastAsia" w:hAnsiTheme="minorEastAsia" w:eastAsiaTheme="minorEastAsia" w:cstheme="minorEastAsia"/>
          <w:b/>
          <w:sz w:val="28"/>
          <w:szCs w:val="28"/>
          <w:u w:val="single"/>
        </w:rPr>
      </w:pPr>
      <w:r>
        <w:rPr>
          <w:rFonts w:hint="eastAsia" w:asciiTheme="minorEastAsia" w:hAnsiTheme="minorEastAsia" w:eastAsiaTheme="minorEastAsia" w:cstheme="minorEastAsia"/>
          <w:b/>
          <w:sz w:val="28"/>
          <w:szCs w:val="28"/>
          <w:u w:val="single"/>
        </w:rPr>
      </w:r>
      <w:r/>
    </w:p>
    <w:p>
      <w:pPr>
        <w:ind w:firstLine="1701"/>
        <w:spacing w:line="400" w:lineRule="exact"/>
        <w:rPr>
          <w:rFonts w:hint="eastAsia" w:asciiTheme="minorEastAsia" w:hAnsiTheme="minorEastAsia" w:eastAsiaTheme="minorEastAsia" w:cstheme="minorEastAsia"/>
          <w:b/>
          <w:sz w:val="28"/>
          <w:szCs w:val="28"/>
          <w:u w:val="single"/>
        </w:rPr>
      </w:pPr>
      <w:r>
        <w:rPr>
          <w:rFonts w:hint="eastAsia" w:asciiTheme="minorEastAsia" w:hAnsiTheme="minorEastAsia" w:eastAsiaTheme="minorEastAsia" w:cstheme="minorEastAsia"/>
          <w:b/>
          <w:sz w:val="28"/>
          <w:szCs w:val="28"/>
        </w:rPr>
        <w:t xml:space="preserve">项目名称：</w:t>
      </w:r>
      <w:r>
        <w:rPr>
          <w:rFonts w:hint="eastAsia" w:asciiTheme="minorEastAsia" w:hAnsiTheme="minorEastAsia" w:eastAsiaTheme="minorEastAsia" w:cstheme="minorEastAsia"/>
          <w:b/>
          <w:sz w:val="28"/>
          <w:szCs w:val="28"/>
          <w:u w:val="single"/>
        </w:rPr>
        <w:t xml:space="preserve">                      </w:t>
      </w:r>
      <w:r/>
    </w:p>
    <w:p>
      <w:pPr>
        <w:ind w:firstLine="1701"/>
        <w:spacing w:line="400" w:lineRule="exact"/>
        <w:rPr>
          <w:rFonts w:hint="eastAsia" w:asciiTheme="minorEastAsia" w:hAnsiTheme="minorEastAsia" w:eastAsiaTheme="minorEastAsia" w:cstheme="minorEastAsia"/>
          <w:b/>
          <w:sz w:val="28"/>
          <w:szCs w:val="28"/>
          <w:u w:val="single"/>
        </w:rPr>
      </w:pPr>
      <w:r>
        <w:rPr>
          <w:rFonts w:hint="eastAsia" w:asciiTheme="minorEastAsia" w:hAnsiTheme="minorEastAsia" w:eastAsiaTheme="minorEastAsia" w:cstheme="minorEastAsia"/>
          <w:b/>
          <w:sz w:val="28"/>
          <w:szCs w:val="28"/>
          <w:u w:val="single"/>
        </w:rPr>
      </w:r>
      <w:r/>
    </w:p>
    <w:p>
      <w:pPr>
        <w:ind w:firstLine="1701"/>
        <w:spacing w:line="400" w:lineRule="exact"/>
        <w:rPr>
          <w:rFonts w:hint="eastAsia" w:asciiTheme="minorEastAsia" w:hAnsiTheme="minorEastAsia" w:eastAsiaTheme="minorEastAsia" w:cstheme="minorEastAsia"/>
          <w:b/>
          <w:sz w:val="28"/>
          <w:szCs w:val="28"/>
          <w:u w:val="single"/>
        </w:rPr>
      </w:pPr>
      <w:r>
        <w:rPr>
          <w:rFonts w:hint="eastAsia" w:asciiTheme="minorEastAsia" w:hAnsiTheme="minorEastAsia" w:eastAsiaTheme="minorEastAsia" w:cstheme="minorEastAsia"/>
          <w:b/>
          <w:sz w:val="28"/>
          <w:szCs w:val="28"/>
        </w:rPr>
        <w:t xml:space="preserve">投标人名称：</w:t>
      </w:r>
      <w:r>
        <w:rPr>
          <w:rFonts w:hint="eastAsia" w:asciiTheme="minorEastAsia" w:hAnsiTheme="minorEastAsia" w:eastAsiaTheme="minorEastAsia" w:cstheme="minorEastAsia"/>
          <w:b/>
          <w:sz w:val="28"/>
          <w:szCs w:val="28"/>
          <w:u w:val="single"/>
        </w:rPr>
        <w:t xml:space="preserve">                    </w:t>
      </w:r>
      <w:r/>
    </w:p>
    <w:p>
      <w:pPr>
        <w:ind w:firstLine="1701"/>
        <w:spacing w:line="400" w:lineRule="exact"/>
        <w:rPr>
          <w:rFonts w:hint="eastAsia" w:asciiTheme="minorEastAsia" w:hAnsiTheme="minorEastAsia" w:eastAsiaTheme="minorEastAsia" w:cstheme="minorEastAsia"/>
          <w:b/>
          <w:sz w:val="28"/>
          <w:szCs w:val="28"/>
          <w:u w:val="single"/>
        </w:rPr>
      </w:pPr>
      <w:r>
        <w:rPr>
          <w:rFonts w:hint="eastAsia" w:asciiTheme="minorEastAsia" w:hAnsiTheme="minorEastAsia" w:eastAsiaTheme="minorEastAsia" w:cstheme="minorEastAsia"/>
          <w:b/>
          <w:sz w:val="28"/>
          <w:szCs w:val="28"/>
          <w:u w:val="single"/>
        </w:rPr>
      </w:r>
      <w:r/>
    </w:p>
    <w:p>
      <w:pPr>
        <w:ind w:firstLine="1701"/>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日  期：</w:t>
      </w:r>
      <w:r>
        <w:rPr>
          <w:rFonts w:hint="eastAsia" w:asciiTheme="minorEastAsia" w:hAnsiTheme="minorEastAsia" w:eastAsiaTheme="minorEastAsia" w:cstheme="minorEastAsia"/>
          <w:b/>
          <w:sz w:val="28"/>
          <w:szCs w:val="28"/>
          <w:u w:val="single"/>
        </w:rPr>
        <w:t xml:space="preserve">                        </w:t>
      </w:r>
      <w:r/>
    </w:p>
    <w:p>
      <w:pPr>
        <w:ind w:firstLine="482"/>
        <w:jc w:val="center"/>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b/>
          <w:sz w:val="24"/>
          <w:szCs w:val="24"/>
        </w:rPr>
        <w:t xml:space="preserve">评分索引表</w:t>
      </w:r>
      <w:r/>
    </w:p>
    <w:tbl>
      <w:tblPr>
        <w:tblStyle w:val="943"/>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textDirection w:val="lrTb"/>
            <w:noWrap w:val="false"/>
          </w:tcPr>
          <w:p>
            <w:pPr>
              <w:pStyle w:val="1040"/>
              <w:ind w:left="479" w:firstLine="482"/>
              <w:jc w:val="center"/>
              <w:spacing w:line="400" w:lineRule="exact"/>
              <w:shd w:val="clear" w:color="auto" w:fill="ffffff"/>
              <w:rPr>
                <w:rFonts w:hint="eastAsia" w:asciiTheme="minorEastAsia" w:hAnsiTheme="minorEastAsia" w:eastAsiaTheme="minorEastAsia" w:cstheme="minorEastAsia"/>
                <w:b/>
                <w:bCs/>
                <w:szCs w:val="24"/>
                <w:lang w:eastAsia="zh-CN"/>
              </w:rPr>
            </w:pPr>
            <w:r>
              <w:rPr>
                <w:rFonts w:hint="eastAsia" w:asciiTheme="minorEastAsia" w:hAnsiTheme="minorEastAsia" w:eastAsiaTheme="minorEastAsia" w:cstheme="minorEastAsia"/>
                <w:b/>
                <w:szCs w:val="24"/>
              </w:rPr>
              <w:t xml:space="preserve">评分项目</w:t>
            </w:r>
            <w:r/>
          </w:p>
        </w:tc>
        <w:tc>
          <w:tcPr>
            <w:tcW w:w="3570" w:type="dxa"/>
            <w:textDirection w:val="lrTb"/>
            <w:noWrap w:val="false"/>
          </w:tcPr>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在投标文件中的页码位置</w:t>
            </w:r>
            <w:r/>
          </w:p>
        </w:tc>
      </w:tr>
      <w:tr>
        <w:trPr>
          <w:jc w:val="center"/>
          <w:trHeight w:val="446"/>
        </w:trPr>
        <w:tc>
          <w:tcPr>
            <w:tcW w:w="5670" w:type="dxa"/>
            <w:textDirection w:val="lrTb"/>
            <w:noWrap w:val="false"/>
          </w:tcPr>
          <w:p>
            <w:pPr>
              <w:pStyle w:val="1040"/>
              <w:ind w:left="479" w:firstLine="482"/>
              <w:jc w:val="both"/>
              <w:spacing w:line="400" w:lineRule="exact"/>
              <w:shd w:val="clear" w:color="auto" w:fill="ffffff"/>
              <w:rPr>
                <w:rFonts w:hint="eastAsia" w:asciiTheme="minorEastAsia" w:hAnsiTheme="minorEastAsia" w:eastAsiaTheme="minorEastAsia" w:cstheme="minorEastAsia"/>
                <w:b/>
                <w:szCs w:val="24"/>
                <w:lang w:eastAsia="zh-CN"/>
              </w:rPr>
            </w:pPr>
            <w:r>
              <w:rPr>
                <w:rFonts w:hint="eastAsia" w:asciiTheme="minorEastAsia" w:hAnsiTheme="minorEastAsia" w:eastAsiaTheme="minorEastAsia" w:cstheme="minorEastAsia"/>
                <w:b/>
                <w:szCs w:val="24"/>
                <w:lang w:eastAsia="zh-CN"/>
              </w:rPr>
            </w:r>
            <w:r/>
          </w:p>
        </w:tc>
        <w:tc>
          <w:tcPr>
            <w:tcW w:w="3570" w:type="dxa"/>
            <w:textDirection w:val="lrTb"/>
            <w:noWrap w:val="false"/>
          </w:tcPr>
          <w:p>
            <w:pPr>
              <w:ind w:firstLine="482"/>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r>
        <w:trPr>
          <w:jc w:val="center"/>
          <w:trHeight w:val="300"/>
        </w:trPr>
        <w:tc>
          <w:tcPr>
            <w:gridSpan w:val="2"/>
            <w:tcW w:w="9240" w:type="dxa"/>
            <w:textDirection w:val="lrTb"/>
            <w:noWrap w:val="false"/>
          </w:tcPr>
          <w:p>
            <w:pPr>
              <w:pStyle w:val="1040"/>
              <w:ind w:left="479"/>
              <w:jc w:val="both"/>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r>
      <w:tr>
        <w:trPr>
          <w:jc w:val="center"/>
          <w:trHeight w:val="32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6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6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89"/>
        </w:trPr>
        <w:tc>
          <w:tcPr>
            <w:gridSpan w:val="2"/>
            <w:tcW w:w="9240" w:type="dxa"/>
            <w:textDirection w:val="lrTb"/>
            <w:noWrap w:val="false"/>
          </w:tcPr>
          <w:p>
            <w:pPr>
              <w:pStyle w:val="1040"/>
              <w:ind w:left="479"/>
              <w:jc w:val="both"/>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r>
      <w:tr>
        <w:trPr>
          <w:jc w:val="center"/>
          <w:trHeight w:val="60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16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9"/>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78"/>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69"/>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60"/>
        </w:trPr>
        <w:tc>
          <w:tcPr>
            <w:gridSpan w:val="2"/>
            <w:tcW w:w="9240" w:type="dxa"/>
            <w:textDirection w:val="lrTb"/>
            <w:noWrap w:val="false"/>
          </w:tcPr>
          <w:p>
            <w:pPr>
              <w:pStyle w:val="1040"/>
              <w:ind w:left="479" w:firstLine="482"/>
              <w:jc w:val="both"/>
              <w:spacing w:line="400" w:lineRule="exact"/>
              <w:shd w:val="clear" w:color="auto" w:fill="ffffff"/>
              <w:rPr>
                <w:rFonts w:hint="eastAsia" w:asciiTheme="minorEastAsia" w:hAnsiTheme="minorEastAsia" w:eastAsiaTheme="minorEastAsia" w:cstheme="minorEastAsia"/>
                <w:b/>
                <w:szCs w:val="24"/>
                <w:lang w:eastAsia="zh-CN"/>
              </w:rPr>
            </w:pPr>
            <w:r>
              <w:rPr>
                <w:rFonts w:hint="eastAsia" w:asciiTheme="minorEastAsia" w:hAnsiTheme="minorEastAsia" w:eastAsiaTheme="minorEastAsia" w:cstheme="minorEastAsia"/>
                <w:b/>
                <w:szCs w:val="24"/>
                <w:lang w:eastAsia="zh-CN"/>
              </w:rPr>
            </w:r>
            <w:r/>
          </w:p>
        </w:tc>
      </w:tr>
      <w:tr>
        <w:trPr>
          <w:jc w:val="center"/>
          <w:trHeight w:val="320"/>
        </w:trPr>
        <w:tc>
          <w:tcPr>
            <w:tcW w:w="5670" w:type="dxa"/>
            <w:textDirection w:val="lrTb"/>
            <w:noWrap w:val="false"/>
          </w:tcPr>
          <w:p>
            <w:pPr>
              <w:pStyle w:val="1040"/>
              <w:ind w:left="479" w:firstLine="482"/>
              <w:spacing w:line="400" w:lineRule="exact"/>
              <w:shd w:val="clear" w:color="auto" w:fill="ffffff"/>
              <w:rPr>
                <w:rFonts w:hint="eastAsia" w:asciiTheme="minorEastAsia" w:hAnsiTheme="minorEastAsia" w:eastAsiaTheme="minorEastAsia" w:cstheme="minorEastAsia"/>
                <w:b/>
                <w:bCs/>
                <w:szCs w:val="24"/>
                <w:lang w:eastAsia="zh-CN"/>
              </w:rPr>
            </w:pPr>
            <w:r>
              <w:rPr>
                <w:rFonts w:hint="eastAsia" w:asciiTheme="minorEastAsia" w:hAnsiTheme="minorEastAsia" w:eastAsiaTheme="minorEastAsia" w:cstheme="minorEastAsia"/>
                <w:b/>
                <w:bCs/>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0"/>
        </w:trPr>
        <w:tc>
          <w:tcPr>
            <w:tcW w:w="5670" w:type="dxa"/>
            <w:textDirection w:val="lrTb"/>
            <w:noWrap w:val="false"/>
          </w:tcPr>
          <w:p>
            <w:pPr>
              <w:pStyle w:val="1040"/>
              <w:ind w:left="479"/>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0"/>
        </w:trPr>
        <w:tc>
          <w:tcPr>
            <w:tcW w:w="5670" w:type="dxa"/>
            <w:textDirection w:val="lrTb"/>
            <w:noWrap w:val="false"/>
          </w:tcPr>
          <w:p>
            <w:pPr>
              <w:pStyle w:val="1040"/>
              <w:ind w:left="479" w:firstLine="482"/>
              <w:spacing w:line="400" w:lineRule="exact"/>
              <w:shd w:val="clear" w:color="auto" w:fill="ffffff"/>
              <w:rPr>
                <w:rFonts w:hint="eastAsia" w:asciiTheme="minorEastAsia" w:hAnsiTheme="minorEastAsia" w:eastAsiaTheme="minorEastAsia" w:cstheme="minorEastAsia"/>
                <w:b/>
                <w:bCs/>
                <w:szCs w:val="24"/>
                <w:lang w:eastAsia="zh-CN"/>
              </w:rPr>
            </w:pPr>
            <w:r>
              <w:rPr>
                <w:rFonts w:hint="eastAsia" w:asciiTheme="minorEastAsia" w:hAnsiTheme="minorEastAsia" w:eastAsiaTheme="minorEastAsia" w:cstheme="minorEastAsia"/>
                <w:b/>
                <w:bCs/>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60"/>
        </w:trPr>
        <w:tc>
          <w:tcPr>
            <w:gridSpan w:val="2"/>
            <w:tcW w:w="9240" w:type="dxa"/>
            <w:textDirection w:val="lrTb"/>
            <w:noWrap w:val="false"/>
          </w:tcPr>
          <w:p>
            <w:pPr>
              <w:pStyle w:val="1040"/>
              <w:ind w:left="479" w:firstLine="482"/>
              <w:jc w:val="both"/>
              <w:spacing w:line="400" w:lineRule="exact"/>
              <w:shd w:val="clear" w:color="auto" w:fill="ffffff"/>
              <w:rPr>
                <w:rFonts w:hint="eastAsia" w:asciiTheme="minorEastAsia" w:hAnsiTheme="minorEastAsia" w:eastAsiaTheme="minorEastAsia" w:cstheme="minorEastAsia"/>
                <w:b/>
                <w:szCs w:val="24"/>
                <w:lang w:eastAsia="zh-CN"/>
              </w:rPr>
            </w:pPr>
            <w:r>
              <w:rPr>
                <w:rFonts w:hint="eastAsia" w:asciiTheme="minorEastAsia" w:hAnsiTheme="minorEastAsia" w:eastAsiaTheme="minorEastAsia" w:cstheme="minorEastAsia"/>
                <w:b/>
                <w:szCs w:val="24"/>
                <w:lang w:eastAsia="zh-CN"/>
              </w:rPr>
            </w:r>
            <w:r/>
          </w:p>
        </w:tc>
      </w:tr>
      <w:tr>
        <w:trPr>
          <w:jc w:val="center"/>
          <w:trHeight w:val="500"/>
        </w:trPr>
        <w:tc>
          <w:tcPr>
            <w:tcW w:w="5670" w:type="dxa"/>
            <w:textDirection w:val="lrTb"/>
            <w:noWrap w:val="false"/>
          </w:tcPr>
          <w:p>
            <w:pPr>
              <w:pStyle w:val="1040"/>
              <w:ind w:left="479" w:firstLine="480"/>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40"/>
        </w:trPr>
        <w:tc>
          <w:tcPr>
            <w:tcW w:w="5670" w:type="dxa"/>
            <w:textDirection w:val="lrTb"/>
            <w:noWrap w:val="false"/>
          </w:tcPr>
          <w:p>
            <w:pPr>
              <w:pStyle w:val="1040"/>
              <w:ind w:left="479" w:firstLine="480"/>
              <w:spacing w:line="400" w:lineRule="exact"/>
              <w:shd w:val="clear" w:color="auto" w:fill="ffffff"/>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r>
            <w:r/>
          </w:p>
        </w:tc>
        <w:tc>
          <w:tcPr>
            <w:tcW w:w="3570"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ind w:firstLine="482"/>
        <w:jc w:val="center"/>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投标主要文件目录</w:t>
      </w:r>
      <w:r/>
    </w:p>
    <w:p>
      <w:pPr>
        <w:numPr>
          <w:ilvl w:val="0"/>
          <w:numId w:val="5"/>
        </w:num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资信证明文件要求</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二、资格性审查响应对照表</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三、符合性检查响应对照表</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四、投标函</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五、开标一览表</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六、设计方案</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七、投标报价表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jc w:val="left"/>
        <w:spacing w:line="4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left"/>
        <w:spacing w:line="4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left"/>
        <w:spacing w:line="4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left"/>
        <w:spacing w:line="4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left"/>
        <w:spacing w:line="4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left"/>
        <w:spacing w:line="4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bookmarkEnd w:id="125"/>
      <w:r/>
      <w:bookmarkEnd w:id="126"/>
      <w:r/>
      <w:bookmarkEnd w:id="127"/>
      <w:r/>
      <w:r/>
    </w:p>
    <w:p>
      <w:pPr>
        <w:ind w:firstLine="482"/>
        <w:jc w:val="center"/>
        <w:spacing w:before="50" w:after="50" w:line="4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4"/>
          <w:szCs w:val="24"/>
        </w:rPr>
        <w:br w:type="page" w:clear="all"/>
      </w:r>
      <w:r>
        <w:rPr>
          <w:rFonts w:hint="eastAsia" w:asciiTheme="minorEastAsia" w:hAnsiTheme="minorEastAsia" w:eastAsiaTheme="minorEastAsia" w:cstheme="minorEastAsia"/>
          <w:b/>
          <w:bCs/>
          <w:sz w:val="28"/>
          <w:szCs w:val="28"/>
        </w:rPr>
        <w:t xml:space="preserve">一、资格信誉等证明文件要求</w:t>
      </w:r>
      <w:r/>
    </w:p>
    <w:p>
      <w:pPr>
        <w:spacing w:before="50" w:after="50" w:line="40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ind w:firstLine="480"/>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1、实质性资格证明文件目录</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文件1法人或者其他组织的营业执照等证明文件，自然人的身份证明，投标人的企业资质证书，安全生产许可证复印件，项目负责人的证书（复印件加盖公章），项目负责人投标截止日前3个月的养老保险记录（复印件加盖单位公章）。</w:t>
      </w:r>
      <w:r/>
    </w:p>
    <w:p>
      <w:pPr>
        <w:ind w:firstLine="480"/>
        <w:jc w:val="left"/>
        <w:spacing w:before="50" w:after="156"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文件2上一年度财务状况报表（复印件加盖公章，2022年度、2023年度均可，成立不满一年不需提供）</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文件3依法缴纳税收和社会保障资金的相关材料（清晰可辨的复印件加盖公章）</w:t>
      </w:r>
      <w:r/>
    </w:p>
    <w:p>
      <w:pPr>
        <w:ind w:firstLine="480"/>
        <w:jc w:val="left"/>
        <w:spacing w:before="50" w:after="156"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文件4具备履行合同所必需的设备和专业技术能力证明材料（原件,格式见附表）</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文件5参加政府采购活动前3年内在经营活动中没有重大违法记录的书面声明（原件,格式见附表）</w:t>
      </w:r>
      <w:r/>
    </w:p>
    <w:p>
      <w:pPr>
        <w:ind w:firstLine="480"/>
        <w:jc w:val="left"/>
        <w:spacing w:before="50" w:after="156"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文件6 法人授权书（原件,格式见附表）（如有）</w:t>
      </w:r>
      <w:r/>
    </w:p>
    <w:p>
      <w:pPr>
        <w:pStyle w:val="969"/>
        <w:rPr>
          <w:rFonts w:hint="default" w:eastAsiaTheme="minorEastAsia"/>
          <w:lang w:val="en-US" w:eastAsia="zh-CN"/>
        </w:rPr>
      </w:pPr>
      <w:r>
        <w:rPr>
          <w:rFonts w:hint="eastAsia" w:asciiTheme="minorEastAsia" w:hAnsiTheme="minorEastAsia" w:eastAsiaTheme="minorEastAsia" w:cstheme="minorEastAsia"/>
          <w:sz w:val="24"/>
          <w:szCs w:val="24"/>
          <w:u w:val="single"/>
          <w:lang w:val="en-US" w:eastAsia="zh-CN"/>
        </w:rPr>
        <w:t xml:space="preserve">文件7 投标单位的资质证书和项目负责人证书</w:t>
      </w:r>
      <w:r/>
    </w:p>
    <w:p>
      <w:pPr>
        <w:ind w:firstLine="480"/>
        <w:jc w:val="left"/>
        <w:spacing w:before="50" w:after="156"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文件</w:t>
      </w:r>
      <w:r>
        <w:rPr>
          <w:rFonts w:hint="eastAsia" w:asciiTheme="minorEastAsia" w:hAnsiTheme="minorEastAsia" w:eastAsiaTheme="minorEastAsia" w:cstheme="minorEastAsia"/>
          <w:sz w:val="24"/>
          <w:szCs w:val="24"/>
          <w:u w:val="single"/>
          <w:lang w:val="en-US" w:eastAsia="zh-CN"/>
        </w:rPr>
        <w:t xml:space="preserve">8</w:t>
      </w:r>
      <w:r>
        <w:rPr>
          <w:rFonts w:hint="eastAsia" w:asciiTheme="minorEastAsia" w:hAnsiTheme="minorEastAsia" w:eastAsiaTheme="minorEastAsia" w:cstheme="minorEastAsia"/>
          <w:sz w:val="24"/>
          <w:szCs w:val="24"/>
          <w:u w:val="single"/>
        </w:rPr>
        <w:t xml:space="preserve">招标文件中规定要求提供的证明材料和投标人认为需要提供的其他材料</w:t>
      </w:r>
      <w:r/>
    </w:p>
    <w:p>
      <w:pPr>
        <w:ind w:firstLine="482"/>
        <w:jc w:val="left"/>
        <w:spacing w:before="50" w:after="156" w:line="400" w:lineRule="exact"/>
        <w:rPr>
          <w:rFonts w:hint="eastAsia"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b/>
          <w:sz w:val="24"/>
          <w:szCs w:val="24"/>
          <w:u w:val="single"/>
        </w:rPr>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1"/>
        <w:jc w:val="left"/>
        <w:spacing w:before="50" w:after="156"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935"/>
        <w:jc w:val="center"/>
        <w:rPr>
          <w:rFonts w:hint="eastAsia" w:asciiTheme="minorEastAsia" w:hAnsiTheme="minorEastAsia" w:eastAsiaTheme="minorEastAsia" w:cstheme="minorEastAsia"/>
          <w:sz w:val="24"/>
          <w:szCs w:val="24"/>
        </w:rPr>
      </w:pPr>
      <w:r/>
      <w:bookmarkStart w:id="128" w:name="_Toc120614284"/>
      <w:r>
        <w:rPr>
          <w:rFonts w:hint="eastAsia" w:asciiTheme="minorEastAsia" w:hAnsiTheme="minorEastAsia" w:eastAsiaTheme="minorEastAsia" w:cstheme="minorEastAsia"/>
          <w:sz w:val="24"/>
          <w:szCs w:val="24"/>
        </w:rPr>
        <w:br w:type="page" w:clear="all"/>
      </w:r>
      <w:bookmarkStart w:id="129" w:name="_Toc398107936"/>
      <w:r/>
      <w:r/>
    </w:p>
    <w:p>
      <w:pPr>
        <w:pStyle w:val="935"/>
        <w:jc w:val="center"/>
        <w:rPr>
          <w:rFonts w:hint="eastAsia" w:ascii="宋体" w:hAnsi="宋体"/>
          <w:color w:val="000000"/>
        </w:rPr>
      </w:pPr>
      <w:r>
        <w:rPr>
          <w:rFonts w:hint="eastAsia" w:ascii="宋体" w:hAnsi="宋体"/>
          <w:color w:val="000000"/>
        </w:rPr>
        <w:t xml:space="preserve">拟选派项目组成员一览表</w:t>
      </w:r>
      <w:bookmarkEnd w:id="129"/>
      <w:r/>
      <w:r/>
    </w:p>
    <w:p>
      <w:pPr>
        <w:jc w:val="center"/>
        <w:rPr>
          <w:rFonts w:hint="eastAsia" w:ascii="宋体" w:hAnsi="宋体"/>
          <w:color w:val="ff0000"/>
          <w:sz w:val="32"/>
          <w:szCs w:val="32"/>
        </w:rPr>
      </w:pPr>
      <w:r>
        <w:rPr>
          <w:rFonts w:hint="eastAsia" w:ascii="宋体" w:hAnsi="宋体"/>
          <w:color w:val="ff0000"/>
          <w:sz w:val="32"/>
          <w:szCs w:val="32"/>
        </w:rPr>
        <w:t xml:space="preserve">我单位承诺拟选派项目组成员一览表如下：</w:t>
      </w:r>
      <w:r/>
    </w:p>
    <w:p>
      <w:pPr>
        <w:rPr>
          <w:rFonts w:hint="eastAsia" w:ascii="宋体" w:hAnsi="宋体"/>
        </w:rPr>
      </w:pPr>
      <w:r>
        <w:rPr>
          <w:rFonts w:hint="eastAsia" w:ascii="宋体" w:hAnsi="宋体"/>
        </w:rPr>
      </w:r>
      <w:r/>
    </w:p>
    <w:tbl>
      <w:tblPr>
        <w:tblStyle w:val="9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570"/>
        <w:gridCol w:w="1774"/>
        <w:gridCol w:w="1774"/>
        <w:gridCol w:w="3770"/>
      </w:tblGrid>
      <w:tr>
        <w:trPr>
          <w:trHeight w:val="680" w:hRule="exact"/>
        </w:trPr>
        <w:tc>
          <w:tcPr>
            <w:tcW w:w="537" w:type="pct"/>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序号</w:t>
            </w:r>
            <w:r/>
          </w:p>
        </w:tc>
        <w:tc>
          <w:tcPr>
            <w:tcW w:w="788" w:type="pct"/>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姓  名</w:t>
            </w:r>
            <w:r/>
          </w:p>
        </w:tc>
        <w:tc>
          <w:tcPr>
            <w:tcW w:w="890" w:type="pct"/>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性 别</w:t>
            </w:r>
            <w:r/>
          </w:p>
        </w:tc>
        <w:tc>
          <w:tcPr>
            <w:tcW w:w="890" w:type="pct"/>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职称</w:t>
            </w:r>
            <w:r/>
          </w:p>
        </w:tc>
        <w:tc>
          <w:tcPr>
            <w:tcW w:w="1892" w:type="pct"/>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专业</w:t>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r>
        <w:trPr>
          <w:trHeight w:val="680" w:hRule="exact"/>
        </w:trPr>
        <w:tc>
          <w:tcPr>
            <w:tcW w:w="537"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788"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890"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tcW w:w="1892" w:type="pct"/>
            <w:vAlign w:val="top"/>
            <w:textDirection w:val="lrTb"/>
            <w:noWrap w:val="false"/>
          </w:tcPr>
          <w:p>
            <w:pPr>
              <w:jc w:val="center"/>
              <w:rPr>
                <w:rFonts w:hint="eastAsia" w:ascii="宋体" w:hAnsi="宋体" w:cs="宋体"/>
                <w:b/>
                <w:color w:val="000000"/>
              </w:rPr>
            </w:pPr>
            <w:r>
              <w:rPr>
                <w:rFonts w:hint="eastAsia" w:ascii="宋体" w:hAnsi="宋体" w:cs="宋体"/>
                <w:b/>
                <w:color w:val="000000"/>
              </w:rPr>
            </w:r>
            <w:r/>
          </w:p>
        </w:tc>
      </w:tr>
    </w:tbl>
    <w:p>
      <w:pPr>
        <w:jc w:val="center"/>
        <w:rPr>
          <w:rFonts w:hint="eastAsia" w:ascii="宋体" w:hAnsi="宋体" w:cs="宋体"/>
          <w:b/>
          <w:color w:val="000000"/>
        </w:rPr>
      </w:pPr>
      <w:r>
        <w:rPr>
          <w:rFonts w:hint="eastAsia" w:ascii="宋体" w:hAnsi="宋体" w:cs="宋体"/>
          <w:b/>
          <w:color w:val="000000"/>
        </w:rPr>
      </w:r>
      <w:r/>
    </w:p>
    <w:p>
      <w:pPr>
        <w:jc w:val="center"/>
        <w:rPr>
          <w:rFonts w:hint="eastAsia" w:ascii="宋体" w:hAnsi="宋体" w:cs="宋体"/>
          <w:b/>
          <w:color w:val="ff0000"/>
        </w:rPr>
      </w:pPr>
      <w:r>
        <w:rPr>
          <w:rFonts w:hint="eastAsia" w:ascii="宋体" w:hAnsi="宋体" w:cs="宋体"/>
          <w:b/>
          <w:color w:val="ff0000"/>
        </w:rPr>
        <w:t xml:space="preserve">并不仅限于此表，满足服务需要。</w:t>
      </w:r>
      <w:r/>
    </w:p>
    <w:p>
      <w:pPr>
        <w:jc w:val="center"/>
        <w:rPr>
          <w:rFonts w:hint="eastAsia" w:ascii="宋体" w:hAnsi="宋体" w:cs="宋体"/>
          <w:b/>
          <w:color w:val="000000"/>
        </w:rPr>
      </w:pPr>
      <w:r>
        <w:rPr>
          <w:rFonts w:hint="eastAsia" w:ascii="宋体" w:hAnsi="宋体" w:cs="宋体"/>
          <w:b/>
          <w:color w:val="000000"/>
        </w:rPr>
      </w:r>
      <w:r/>
    </w:p>
    <w:p>
      <w:pPr>
        <w:jc w:val="center"/>
        <w:spacing w:line="500" w:lineRule="exact"/>
        <w:widowControl/>
        <w:rPr>
          <w:rFonts w:hint="eastAsia" w:ascii="宋体" w:hAnsi="宋体"/>
          <w:sz w:val="24"/>
          <w:szCs w:val="24"/>
        </w:rPr>
      </w:pPr>
      <w:r>
        <w:rPr>
          <w:rFonts w:hint="eastAsia" w:ascii="宋体" w:hAnsi="宋体"/>
          <w:sz w:val="24"/>
          <w:szCs w:val="24"/>
        </w:rPr>
      </w:r>
      <w:r/>
    </w:p>
    <w:p>
      <w:pPr>
        <w:jc w:val="center"/>
        <w:spacing w:line="500" w:lineRule="exact"/>
        <w:widowControl/>
        <w:rPr>
          <w:rFonts w:hint="eastAsia" w:ascii="宋体" w:hAnsi="宋体"/>
          <w:sz w:val="24"/>
          <w:szCs w:val="24"/>
        </w:rPr>
      </w:pPr>
      <w:r>
        <w:rPr>
          <w:rFonts w:hint="eastAsia" w:ascii="宋体" w:hAnsi="宋体"/>
          <w:sz w:val="24"/>
          <w:szCs w:val="24"/>
        </w:rPr>
        <w:t xml:space="preserve">法定代表人签名：</w:t>
      </w:r>
      <w:r/>
    </w:p>
    <w:p>
      <w:pPr>
        <w:jc w:val="right"/>
        <w:spacing w:line="500" w:lineRule="exact"/>
        <w:widowControl/>
        <w:rPr>
          <w:rFonts w:hint="eastAsia" w:ascii="宋体" w:hAnsi="宋体"/>
          <w:sz w:val="24"/>
          <w:szCs w:val="24"/>
        </w:rPr>
      </w:pPr>
      <w:r>
        <w:rPr>
          <w:rFonts w:hint="eastAsia" w:ascii="宋体" w:hAnsi="宋体"/>
          <w:sz w:val="24"/>
          <w:szCs w:val="24"/>
        </w:rPr>
        <w:t xml:space="preserve">               单位名称（盖章）：</w:t>
      </w:r>
      <w:r/>
    </w:p>
    <w:p>
      <w:pPr>
        <w:jc w:val="right"/>
        <w:spacing w:line="500" w:lineRule="exact"/>
        <w:widowControl/>
        <w:rPr>
          <w:rFonts w:hint="eastAsia" w:ascii="宋体" w:hAnsi="宋体"/>
          <w:color w:val="000000"/>
        </w:rPr>
      </w:pPr>
      <w:r>
        <w:rPr>
          <w:rFonts w:hint="eastAsia" w:ascii="宋体" w:hAnsi="宋体"/>
          <w:sz w:val="24"/>
          <w:szCs w:val="24"/>
        </w:rPr>
        <w:t xml:space="preserve">                   年    月    日</w:t>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944"/>
        <w:ind w:firstLine="480"/>
        <w:jc w:val="center"/>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具备履行合同所必需的设备和专业技术能力的书面声明</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我公司郑重声明：我公司具备履行本项采购合同所必需的设备和专业技术能力，为履行本项采购合同我公司具备如下主要设备和主要专业技术能力：</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主要设备有：</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主要专业技术能力有：</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w:t>
      </w:r>
      <w:r/>
    </w:p>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516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供应商名称（公章）：</w:t>
      </w:r>
      <w:r/>
    </w:p>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516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日期：  年  月  日</w:t>
      </w:r>
      <w:r/>
    </w:p>
    <w:p>
      <w:pPr>
        <w:pStyle w:val="944"/>
        <w:ind w:firstLine="480"/>
        <w:spacing w:line="400" w:lineRule="exact"/>
        <w:rPr>
          <w:rFonts w:hint="eastAsia" w:asciiTheme="minorEastAsia" w:hAnsiTheme="minorEastAsia" w:eastAsiaTheme="minorEastAsia" w:cstheme="minorEastAsia"/>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sz w:val="24"/>
          <w:szCs w:val="24"/>
        </w:rPr>
      </w:r>
      <w:r/>
    </w:p>
    <w:p>
      <w:pPr>
        <w:ind w:firstLine="482"/>
        <w:jc w:val="center"/>
        <w:spacing w:before="50" w:after="50" w:line="4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参加政府采购活动前3年内在经营活动中没有重大违法记录的书面声明</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ind w:firstLine="482"/>
        <w:jc w:val="center"/>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516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供应商名称（公章）：</w:t>
      </w:r>
      <w:r/>
    </w:p>
    <w:p>
      <w:pPr>
        <w:ind w:firstLine="516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授权代表签字：</w:t>
      </w:r>
      <w:r/>
    </w:p>
    <w:p>
      <w:pPr>
        <w:ind w:firstLine="52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日期： 年  月  日</w:t>
      </w:r>
      <w:r/>
    </w:p>
    <w:p>
      <w:pPr>
        <w:pStyle w:val="944"/>
        <w:ind w:firstLine="480"/>
        <w:spacing w:line="400" w:lineRule="exact"/>
        <w:rPr>
          <w:rFonts w:hint="eastAsia" w:asciiTheme="minorEastAsia" w:hAnsiTheme="minorEastAsia" w:eastAsiaTheme="minorEastAsia" w:cstheme="minorEastAsia"/>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sz w:val="24"/>
          <w:szCs w:val="24"/>
        </w:rPr>
      </w:r>
      <w:r/>
    </w:p>
    <w:p>
      <w:pPr>
        <w:ind w:firstLine="482"/>
        <w:jc w:val="center"/>
        <w:spacing w:before="50" w:after="50" w:line="400" w:lineRule="exact"/>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法人授权书</w:t>
      </w:r>
      <w:r/>
    </w:p>
    <w:p>
      <w:pPr>
        <w:pStyle w:val="969"/>
        <w:ind w:firstLine="600"/>
        <w:rPr>
          <w:rFonts w:hint="eastAsia"/>
        </w:rPr>
      </w:pPr>
      <w:r>
        <w:rPr>
          <w:rFonts w:hint="eastAsia"/>
        </w:rPr>
      </w:r>
      <w:r/>
    </w:p>
    <w:p>
      <w:pPr>
        <w:pStyle w:val="1031"/>
        <w:ind w:firstLine="480"/>
        <w:spacing w:line="400" w:lineRule="exact"/>
        <w:shd w:val="clear" w:color="auto" w:fil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本授权书声明：____________（供应商名称）授权________________（被授权人姓名）为我方就</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号项目采购活动的合法代理人，以本公司名义全权处理一切与该项目采购有关的事务。</w:t>
      </w:r>
      <w:r/>
    </w:p>
    <w:p>
      <w:pPr>
        <w:pStyle w:val="1031"/>
        <w:ind w:firstLine="480"/>
        <w:spacing w:line="400" w:lineRule="exact"/>
        <w:shd w:val="clear" w:color="auto" w:fil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本授权书于______年____月____日起生效，特此声明。</w:t>
      </w:r>
      <w:r/>
    </w:p>
    <w:p>
      <w:pPr>
        <w:pStyle w:val="1031"/>
        <w:spacing w:line="400" w:lineRule="exact"/>
        <w:shd w:val="clear" w:color="auto" w:fill="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31"/>
        <w:ind w:firstLine="1200"/>
        <w:spacing w:line="400" w:lineRule="exact"/>
        <w:shd w:val="clear" w:color="auto" w:fil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代理人（被授权人）：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1031"/>
        <w:ind w:firstLine="1200"/>
        <w:spacing w:line="400" w:lineRule="exact"/>
        <w:shd w:val="clear" w:color="auto" w:fil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单位名称：_____________________________________</w:t>
      </w:r>
      <w:r/>
    </w:p>
    <w:p>
      <w:pPr>
        <w:pStyle w:val="1031"/>
        <w:ind w:firstLine="1200"/>
        <w:spacing w:line="400" w:lineRule="exact"/>
        <w:shd w:val="clear" w:color="auto" w:fil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授权单位盖章：_________________________________</w:t>
      </w:r>
      <w:r/>
    </w:p>
    <w:p>
      <w:pPr>
        <w:pStyle w:val="1031"/>
        <w:ind w:firstLine="1200"/>
        <w:spacing w:line="400" w:lineRule="exact"/>
        <w:shd w:val="clear" w:color="auto" w:fil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单位名称：_____________________________________</w:t>
      </w:r>
      <w:r/>
    </w:p>
    <w:p>
      <w:pPr>
        <w:pStyle w:val="1031"/>
        <w:ind w:firstLine="1200"/>
        <w:spacing w:line="400" w:lineRule="exact"/>
        <w:shd w:val="clear" w:color="auto" w:fill="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地址：</w:t>
      </w:r>
      <w:r>
        <w:rPr>
          <w:rFonts w:hint="eastAsia" w:asciiTheme="minorEastAsia" w:hAnsiTheme="minorEastAsia" w:eastAsiaTheme="minorEastAsia" w:cstheme="minorEastAsia"/>
          <w:u w:val="single"/>
        </w:rPr>
        <w:t xml:space="preserve">                                         </w:t>
      </w:r>
      <w:r/>
    </w:p>
    <w:p>
      <w:pPr>
        <w:pStyle w:val="1031"/>
        <w:ind w:firstLine="1200"/>
        <w:spacing w:line="400" w:lineRule="exact"/>
        <w:shd w:val="clear" w:color="auto" w:fill="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日期：</w:t>
      </w:r>
      <w:r>
        <w:rPr>
          <w:rFonts w:hint="eastAsia" w:asciiTheme="minorEastAsia" w:hAnsiTheme="minorEastAsia" w:eastAsiaTheme="minorEastAsia" w:cstheme="minorEastAsia"/>
          <w:u w:val="single"/>
        </w:rPr>
        <w:t xml:space="preserve">                                         </w:t>
      </w:r>
      <w:r/>
    </w:p>
    <w:p>
      <w:pPr>
        <w:ind w:firstLine="482"/>
        <w:jc w:val="cente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b/>
          <w:bCs/>
          <w:sz w:val="28"/>
          <w:szCs w:val="28"/>
        </w:rPr>
        <w:t xml:space="preserve">二、资格性审查响应对照表（格式）</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投标人全称（加盖公章）：</w:t>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W w:w="5447"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资格性审查响应内容</w:t>
            </w:r>
            <w:r/>
          </w:p>
        </w:tc>
        <w:tc>
          <w:tcPr>
            <w:tcW w:w="1680"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是否响应</w:t>
            </w:r>
            <w:r/>
          </w:p>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（填是或者否）</w:t>
            </w:r>
            <w:r/>
          </w:p>
        </w:tc>
        <w:tc>
          <w:tcPr>
            <w:tcW w:w="1785"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投标文件中的</w:t>
            </w:r>
            <w:r/>
          </w:p>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页码位置</w:t>
            </w:r>
            <w:r/>
          </w:p>
        </w:tc>
      </w:tr>
      <w:tr>
        <w:trPr>
          <w:trHeight w:val="585"/>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85"/>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85"/>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41"/>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49"/>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90"/>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400"/>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bl>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jc w:val="center"/>
        <w:spacing w:before="50" w:after="5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b/>
          <w:bCs/>
          <w:sz w:val="28"/>
          <w:szCs w:val="28"/>
        </w:rPr>
        <w:t xml:space="preserve">三、符合性检查响应对照表（格式）</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投标人全称（加盖公章）：</w:t>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W w:w="5447"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符合性检查响应内容</w:t>
            </w:r>
            <w:r/>
          </w:p>
        </w:tc>
        <w:tc>
          <w:tcPr>
            <w:tcW w:w="1680"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是否响应</w:t>
            </w:r>
            <w:r/>
          </w:p>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（填是或者否）</w:t>
            </w:r>
            <w:r/>
          </w:p>
        </w:tc>
        <w:tc>
          <w:tcPr>
            <w:tcW w:w="1785" w:type="dxa"/>
            <w:vAlign w:val="center"/>
            <w:textDirection w:val="lrTb"/>
            <w:noWrap/>
          </w:tcPr>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投标文件中的</w:t>
            </w:r>
            <w:r/>
          </w:p>
          <w:p>
            <w:pPr>
              <w:jc w:val="cente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页码位置</w:t>
            </w:r>
            <w:r/>
          </w:p>
        </w:tc>
      </w:tr>
      <w:tr>
        <w:trPr>
          <w:trHeight w:val="585"/>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85"/>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85"/>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41"/>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549"/>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90"/>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r>
        <w:trPr>
          <w:trHeight w:val="400"/>
        </w:trPr>
        <w:tc>
          <w:tcPr>
            <w:tcW w:w="646"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w:t>
            </w:r>
            <w:r/>
          </w:p>
        </w:tc>
        <w:tc>
          <w:tcPr>
            <w:tcW w:w="5447" w:type="dxa"/>
            <w:vAlign w:val="center"/>
            <w:textDirection w:val="lrTb"/>
            <w:noWrap/>
          </w:tcPr>
          <w:p>
            <w:pPr>
              <w:spacing w:line="360" w:lineRule="auto"/>
              <w:rPr>
                <w:rFonts w:hint="eastAsia"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 xml:space="preserve">招标文件中的其他实质性要求</w:t>
            </w:r>
            <w:r/>
          </w:p>
        </w:tc>
        <w:tc>
          <w:tcPr>
            <w:tcW w:w="1680"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c>
          <w:tcPr>
            <w:tcW w:w="1785" w:type="dxa"/>
            <w:vAlign w:val="center"/>
            <w:textDirection w:val="lrTb"/>
            <w:noWrap/>
          </w:tcPr>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tc>
      </w:tr>
    </w:tbl>
    <w:p>
      <w:pPr>
        <w:pStyle w:val="934"/>
        <w:spacing w:line="400" w:lineRule="exact"/>
        <w:rPr>
          <w:rFonts w:hint="eastAsia" w:asciiTheme="minorEastAsia" w:hAnsiTheme="minorEastAsia" w:eastAsiaTheme="minorEastAsia" w:cstheme="minorEastAsia"/>
          <w:b w:val="0"/>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b w:val="0"/>
          <w:sz w:val="24"/>
          <w:szCs w:val="24"/>
        </w:rPr>
      </w:r>
      <w:r/>
    </w:p>
    <w:p>
      <w:pPr>
        <w:ind w:firstLine="482"/>
        <w:jc w:val="center"/>
        <w:spacing w:before="50" w:after="50" w:line="4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四、投标函（格式）</w:t>
      </w:r>
      <w:r/>
    </w:p>
    <w:p>
      <w:pPr>
        <w:pStyle w:val="1018"/>
        <w:spacing w:before="0" w:after="0" w:line="40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致：</w:t>
      </w:r>
      <w:r>
        <w:rPr>
          <w:rFonts w:hint="eastAsia" w:asciiTheme="minorEastAsia" w:hAnsiTheme="minorEastAsia" w:eastAsiaTheme="minorEastAsia" w:cstheme="minorEastAsia"/>
          <w:u w:val="single"/>
        </w:rPr>
        <w:t xml:space="preserve"> （采购人名称）</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根据贵方的</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招标文件，正式授权下述签字人___________(姓名)代表我方______________（投标人的名称），全权处理本次项目投标的有关事宜。</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据此函，__________签字人兹宣布同意如下：</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1.按招标文件规定的各项要求，向买方提供所需的工程与服务。</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2.我们完全理解贵方不一定将合同授予最低报价的投标人。</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3.我们已详细审核全部招标文件及其有效补充文件，我们知道必须放弃提出含糊不清或误解问题的权利。</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4.我们同意从规定的开标日期起遵循本投标文件，并在规定的投标有效期期满之前均具有约束力。</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5.如果在开标后规定的投标有效期内撤回投标或中标后拒绝签订合同，则按照国家相关法律法规受到相应处罚。</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6.同意向贵方提供贵方可能另外要求的与投标有关的任何证据或资料，并保证我方已提供和将要提供的文件是真实的、准确的。</w:t>
      </w:r>
      <w:r/>
    </w:p>
    <w:p>
      <w:pPr>
        <w:pStyle w:val="1018"/>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7.一旦我方中标,我方将根据招标文件的规定，严格履行合同的责任和义务,并保证在招标文件规定的时间完成项目，交付买方验收、使用。</w:t>
      </w:r>
      <w:r/>
    </w:p>
    <w:p>
      <w:pPr>
        <w:pStyle w:val="1018"/>
        <w:ind w:left="479"/>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8.与本投标有关的正式通讯地址为：</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邮编：</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电话：</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传真：</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投标人开户行：</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账户：</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投标人授权代表姓名（签字）：</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投标人名称（公章）：</w:t>
      </w:r>
      <w:r/>
    </w:p>
    <w:p>
      <w:pPr>
        <w:pStyle w:val="1018"/>
        <w:ind w:left="420"/>
        <w:spacing w:before="0" w:after="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日期：_____年____月____日</w:t>
      </w:r>
      <w:r/>
    </w:p>
    <w:p>
      <w:pPr>
        <w:pStyle w:val="934"/>
        <w:ind w:firstLine="482"/>
        <w:spacing w:line="400" w:lineRule="exact"/>
        <w:rPr>
          <w:rFonts w:hint="eastAsia" w:asciiTheme="minorEastAsia" w:hAnsiTheme="minorEastAsia" w:eastAsiaTheme="minorEastAsia" w:cstheme="minorEastAsia"/>
          <w:bCs w:val="0"/>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bCs w:val="0"/>
          <w:sz w:val="24"/>
          <w:szCs w:val="24"/>
        </w:rPr>
      </w:r>
      <w:r/>
    </w:p>
    <w:p>
      <w:pPr>
        <w:ind w:firstLine="482"/>
        <w:jc w:val="center"/>
        <w:spacing w:before="50" w:after="50" w:line="4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五、开标一览表</w:t>
      </w:r>
      <w:r/>
    </w:p>
    <w:tbl>
      <w:tblPr>
        <w:tblStyle w:val="943"/>
        <w:tblW w:w="10145"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项目编号</w:t>
            </w:r>
            <w:r/>
          </w:p>
        </w:tc>
        <w:tc>
          <w:tcPr>
            <w:tcW w:w="7445" w:type="dxa"/>
            <w:vAlign w:val="center"/>
            <w:textDirection w:val="lrTb"/>
            <w:noWrap w:val="false"/>
          </w:tcPr>
          <w:p>
            <w:pPr>
              <w:pStyle w:val="934"/>
              <w:spacing w:line="400" w:lineRule="exact"/>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 </w:t>
            </w:r>
            <w:r/>
          </w:p>
        </w:tc>
      </w:tr>
      <w:tr>
        <w:trPr>
          <w:cantSplit/>
          <w:trHeight w:val="789"/>
        </w:trPr>
        <w:tc>
          <w:tcPr>
            <w:tcW w:w="2700" w:type="dxa"/>
            <w:vAlign w:val="center"/>
            <w:textDirection w:val="lrTb"/>
            <w:noWrap w:val="false"/>
          </w:tcPr>
          <w:p>
            <w:pPr>
              <w:ind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项目名称</w:t>
            </w:r>
            <w:r/>
          </w:p>
        </w:tc>
        <w:tc>
          <w:tcPr>
            <w:tcW w:w="7445" w:type="dxa"/>
            <w:vAlign w:val="center"/>
            <w:textDirection w:val="lrTb"/>
            <w:noWrap w:val="false"/>
          </w:tcPr>
          <w:p>
            <w:pPr>
              <w:pStyle w:val="934"/>
              <w:jc w:val="both"/>
              <w:spacing w:line="400" w:lineRule="exact"/>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滨海县滨海港镇养殖尾水治理项目</w:t>
            </w:r>
            <w:r/>
          </w:p>
        </w:tc>
      </w:tr>
      <w:tr>
        <w:trPr>
          <w:cantSplit/>
          <w:trHeight w:val="821"/>
        </w:trPr>
        <w:tc>
          <w:tcPr>
            <w:gridSpan w:val="2"/>
            <w:tcW w:w="10145" w:type="dxa"/>
            <w:vAlign w:val="center"/>
            <w:textDirection w:val="lrTb"/>
            <w:noWrap w:val="false"/>
          </w:tcPr>
          <w:p>
            <w:pPr>
              <w:spacing w:line="400" w:lineRule="exac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项目投标报价：人民币（大写）</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元（¥</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元）</w:t>
            </w:r>
            <w:r/>
          </w:p>
        </w:tc>
      </w:tr>
      <w:tr>
        <w:trPr>
          <w:cantSplit/>
          <w:trHeight w:val="821"/>
        </w:trPr>
        <w:tc>
          <w:tcPr>
            <w:gridSpan w:val="2"/>
            <w:tcW w:w="10145" w:type="dxa"/>
            <w:vAlign w:val="center"/>
            <w:textDirection w:val="lrTb"/>
            <w:noWrap w:val="false"/>
          </w:tcPr>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项目负责人：</w:t>
            </w:r>
            <w:r/>
          </w:p>
        </w:tc>
      </w:tr>
      <w:tr>
        <w:trPr>
          <w:cantSplit/>
          <w:trHeight w:val="821"/>
        </w:trPr>
        <w:tc>
          <w:tcPr>
            <w:gridSpan w:val="2"/>
            <w:tcW w:w="10145" w:type="dxa"/>
            <w:vAlign w:val="center"/>
            <w:textDirection w:val="lrTb"/>
            <w:noWrap w:val="false"/>
          </w:tcPr>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是否提供《企业类型声明函》：</w:t>
            </w:r>
            <w:r>
              <w:rPr>
                <w:rFonts w:hint="eastAsia" w:asciiTheme="minorEastAsia" w:hAnsiTheme="minorEastAsia" w:eastAsiaTheme="minorEastAsia" w:cstheme="minorEastAsia"/>
                <w:bCs/>
                <w:sz w:val="24"/>
                <w:szCs w:val="24"/>
                <w:u w:val="single"/>
              </w:rPr>
              <w:t xml:space="preserve">  是/否  </w:t>
            </w:r>
            <w:r>
              <w:rPr>
                <w:rFonts w:hint="eastAsia" w:asciiTheme="minorEastAsia" w:hAnsiTheme="minorEastAsia" w:eastAsiaTheme="minorEastAsia" w:cstheme="minorEastAsia"/>
                <w:bCs/>
                <w:sz w:val="24"/>
                <w:szCs w:val="24"/>
              </w:rPr>
              <w:t xml:space="preserve">            见（ ）页</w:t>
            </w:r>
            <w:r/>
          </w:p>
        </w:tc>
      </w:tr>
      <w:tr>
        <w:trPr>
          <w:cantSplit/>
          <w:trHeight w:val="807"/>
        </w:trPr>
        <w:tc>
          <w:tcPr>
            <w:gridSpan w:val="2"/>
            <w:tcW w:w="10145" w:type="dxa"/>
            <w:vAlign w:val="center"/>
            <w:textDirection w:val="lrTb"/>
            <w:noWrap w:val="false"/>
          </w:tcPr>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项目实施时间（供期或工期）：   日历天</w:t>
            </w:r>
            <w:r/>
          </w:p>
        </w:tc>
      </w:tr>
      <w:tr>
        <w:trPr>
          <w:cantSplit/>
          <w:trHeight w:val="807"/>
        </w:trPr>
        <w:tc>
          <w:tcPr>
            <w:gridSpan w:val="2"/>
            <w:tcW w:w="10145" w:type="dxa"/>
            <w:vAlign w:val="center"/>
            <w:textDirection w:val="lrTb"/>
            <w:noWrap w:val="false"/>
          </w:tcPr>
          <w:p>
            <w:pPr>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质量要求：合格。</w:t>
            </w:r>
            <w:r/>
          </w:p>
        </w:tc>
      </w:tr>
    </w:tbl>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填写说明：</w:t>
      </w:r>
      <w:r/>
    </w:p>
    <w:p>
      <w:pPr>
        <w:numPr>
          <w:ilvl w:val="0"/>
          <w:numId w:val="6"/>
        </w:numPr>
        <w:ind w:left="959"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开标一览表不得填报选择性报价，否则将作为无效投标；</w:t>
      </w:r>
      <w:r/>
    </w:p>
    <w:p>
      <w:pPr>
        <w:numPr>
          <w:ilvl w:val="0"/>
          <w:numId w:val="6"/>
        </w:numPr>
        <w:ind w:left="959"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开标一览表中报价与投标报价清单中不符时时，以开标一览表为准；</w:t>
      </w:r>
      <w:r/>
    </w:p>
    <w:p>
      <w:pPr>
        <w:ind w:firstLine="144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51"/>
        <w:ind w:firstLine="4336"/>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供应商名称（盖章）：</w:t>
      </w:r>
      <w:r/>
    </w:p>
    <w:p>
      <w:pPr>
        <w:pStyle w:val="951"/>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r/>
    </w:p>
    <w:p>
      <w:pPr>
        <w:ind w:firstLine="482"/>
        <w:spacing w:line="400" w:lineRule="exact"/>
        <w:rPr>
          <w:rFonts w:hint="eastAsia" w:asciiTheme="minorEastAsia" w:hAnsiTheme="minorEastAsia" w:eastAsiaTheme="minorEastAsia" w:cstheme="minorEastAsia"/>
          <w:b/>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b/>
          <w:sz w:val="24"/>
          <w:szCs w:val="24"/>
        </w:rPr>
      </w:r>
      <w:bookmarkEnd w:id="128"/>
      <w:r/>
      <w:r/>
    </w:p>
    <w:p>
      <w:pPr>
        <w:ind w:firstLine="482"/>
        <w:spacing w:line="400" w:lineRule="exact"/>
        <w:rPr>
          <w:rFonts w:hint="eastAsia" w:asciiTheme="minorEastAsia" w:hAnsiTheme="minorEastAsia" w:eastAsiaTheme="minorEastAsia" w:cstheme="minorEastAsia"/>
          <w:b/>
          <w:bCs/>
          <w:sz w:val="24"/>
          <w:szCs w:val="24"/>
        </w:rPr>
      </w:pPr>
      <w:r/>
      <w:bookmarkStart w:id="130" w:name="_Toc462564146"/>
      <w:r>
        <w:rPr>
          <w:rFonts w:hint="eastAsia" w:asciiTheme="minorEastAsia" w:hAnsiTheme="minorEastAsia" w:eastAsiaTheme="minorEastAsia" w:cstheme="minorEastAsia"/>
          <w:b/>
          <w:sz w:val="24"/>
          <w:szCs w:val="24"/>
        </w:rPr>
        <w:t xml:space="preserve">附1</w:t>
      </w:r>
      <w:r/>
    </w:p>
    <w:p>
      <w:pPr>
        <w:ind w:firstLine="482"/>
        <w:jc w:val="center"/>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中小企业声明函（货物）</w:t>
      </w:r>
      <w:r/>
    </w:p>
    <w:p>
      <w:pPr>
        <w:ind w:firstLine="482"/>
        <w:jc w:val="center"/>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（采购文件中明确的所属行业）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，从业人员人，营业收入为万元，资产总额为万元，属于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numPr>
          <w:ilvl w:val="0"/>
          <w:numId w:val="7"/>
        </w:num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（采购文件中明确的所属行业）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firstLine="40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企业名称（盖章）：</w:t>
      </w:r>
      <w:r/>
    </w:p>
    <w:p>
      <w:pPr>
        <w:ind w:firstLine="40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ind w:firstLine="482"/>
        <w:jc w:val="center"/>
        <w:spacing w:line="400" w:lineRule="exact"/>
        <w:rPr>
          <w:rFonts w:hint="eastAsia" w:asciiTheme="minorEastAsia" w:hAnsiTheme="minorEastAsia" w:eastAsiaTheme="minorEastAsia" w:cstheme="minorEastAsia"/>
          <w:b/>
          <w:bCs/>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b/>
          <w:bCs/>
          <w:sz w:val="24"/>
          <w:szCs w:val="24"/>
        </w:rPr>
        <w:t xml:space="preserve">从业人员、营业收入、资产总额填报上一年度数据，无上一年度数据的新成立企业可不填报。</w:t>
      </w:r>
      <w:r/>
    </w:p>
    <w:p>
      <w:pPr>
        <w:ind w:firstLine="482"/>
        <w:jc w:val="center"/>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中小企业声明函（工程、服务）</w:t>
      </w:r>
      <w:r/>
    </w:p>
    <w:p>
      <w:pPr>
        <w:ind w:firstLine="482"/>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（采购文件中明确的所属行业）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（采购文件中明确的所属行业）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firstLine="40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企业名称（盖章）：</w:t>
      </w:r>
      <w:r/>
    </w:p>
    <w:p>
      <w:pPr>
        <w:ind w:firstLine="40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ind w:firstLine="482"/>
        <w:jc w:val="center"/>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从业人员、营业收入、资产总额填报上一年度数据，无上一年度数据的新成立企业可不填报。</w:t>
      </w:r>
      <w:r/>
    </w:p>
    <w:p>
      <w:pPr>
        <w:ind w:firstLine="482"/>
        <w:spacing w:line="400" w:lineRule="exact"/>
        <w:rPr>
          <w:rFonts w:hint="eastAsia" w:asciiTheme="minorEastAsia" w:hAnsiTheme="minorEastAsia" w:eastAsiaTheme="minorEastAsia" w:cstheme="minorEastAsia"/>
          <w:b/>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b/>
          <w:sz w:val="24"/>
          <w:szCs w:val="24"/>
        </w:rPr>
      </w:r>
      <w:r/>
    </w:p>
    <w:p>
      <w:pPr>
        <w:ind w:firstLine="482"/>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附件：2残疾人福利性单位声明函</w:t>
      </w:r>
      <w:r/>
    </w:p>
    <w:p>
      <w:pPr>
        <w:ind w:firstLine="482"/>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残疾人福利性单位声明函</w:t>
      </w:r>
      <w:r/>
    </w:p>
    <w:p>
      <w:pPr>
        <w:ind w:firstLine="482"/>
        <w:jc w:val="cente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本单位对上述声明的真实性负责。如有虚假，将依法承担相应责任。</w:t>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69"/>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960"/>
        <w:spacing w:line="400" w:lineRule="exact"/>
        <w:rPr>
          <w:rStyle w:val="1044"/>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残疾人福利性</w:t>
      </w:r>
      <w:r>
        <w:rPr>
          <w:rFonts w:hint="eastAsia" w:asciiTheme="minorEastAsia" w:hAnsiTheme="minorEastAsia" w:eastAsiaTheme="minorEastAsia" w:cstheme="minorEastAsia"/>
          <w:sz w:val="24"/>
          <w:szCs w:val="24"/>
        </w:rPr>
        <w:t xml:space="preserve">单位名称（盖章）：</w:t>
      </w:r>
      <w:r/>
    </w:p>
    <w:p>
      <w:pPr>
        <w:ind w:firstLine="39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960"/>
        <w:spacing w:line="400" w:lineRule="exact"/>
        <w:rPr>
          <w:rFonts w:hint="eastAsia" w:asciiTheme="minorEastAsia" w:hAnsiTheme="minorEastAsia" w:eastAsiaTheme="minorEastAsia" w:cstheme="minorEastAsia"/>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日</w:t>
      </w:r>
      <w:r>
        <w:rPr>
          <w:rStyle w:val="1044"/>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 期：</w:t>
      </w:r>
      <w:bookmarkEnd w:id="120"/>
      <w:r/>
      <w:bookmarkEnd w:id="121"/>
      <w:r/>
      <w:bookmarkEnd w:id="130"/>
      <w:r/>
      <w:r/>
    </w:p>
    <w:p>
      <w:pPr>
        <w:ind w:firstLine="482"/>
        <w:jc w:val="center"/>
        <w:spacing w:before="50" w:after="50" w:line="4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六、设计方案</w:t>
      </w:r>
      <w:r/>
    </w:p>
    <w:p>
      <w:pPr>
        <w:ind w:firstLine="2891"/>
        <w:spacing w:line="4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(按评标办法的相关内容进行编制)</w:t>
      </w:r>
      <w:r/>
    </w:p>
    <w:p>
      <w:pPr>
        <w:pStyle w:val="978"/>
        <w:ind w:left="420"/>
        <w:spacing w:line="400" w:lineRule="exact"/>
        <w:rPr>
          <w:rFonts w:hint="eastAsia" w:asciiTheme="minorEastAsia" w:hAnsiTheme="minorEastAsia" w:eastAsiaTheme="minorEastAsia" w:cstheme="minorEastAsia"/>
          <w:color w:val="auto"/>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Theme="minorEastAsia" w:hAnsiTheme="minorEastAsia" w:eastAsiaTheme="minorEastAsia" w:cstheme="minorEastAsia"/>
          <w:color w:val="auto"/>
        </w:rPr>
      </w:r>
      <w:r/>
    </w:p>
    <w:p>
      <w:pPr>
        <w:ind w:firstLine="482"/>
        <w:jc w:val="center"/>
        <w:spacing w:before="50" w:after="50" w:line="400" w:lineRule="exact"/>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七、投标报价表</w:t>
      </w:r>
      <w:r/>
    </w:p>
    <w:p>
      <w:pPr>
        <w:pStyle w:val="969"/>
        <w:ind w:firstLine="600"/>
        <w:rPr>
          <w:rFonts w:hint="eastAsia"/>
        </w:rPr>
      </w:pPr>
      <w:r>
        <w:rPr>
          <w:rFonts w:hint="eastAsia"/>
        </w:rPr>
      </w:r>
      <w:r/>
    </w:p>
    <w:tbl>
      <w:tblPr>
        <w:tblStyle w:val="9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62"/>
        <w:gridCol w:w="3130"/>
        <w:gridCol w:w="1992"/>
        <w:gridCol w:w="1087"/>
        <w:gridCol w:w="2005"/>
      </w:tblGrid>
      <w:tr>
        <w:trPr>
          <w:jc w:val="center"/>
          <w:trHeight w:val="537" w:hRule="exact"/>
        </w:trPr>
        <w:tc>
          <w:tcPr>
            <w:tcMar>
              <w:left w:w="15" w:type="dxa"/>
              <w:top w:w="15" w:type="dxa"/>
              <w:right w:w="15" w:type="dxa"/>
              <w:bottom w:w="0" w:type="dxa"/>
            </w:tcMar>
            <w:tcW w:w="799" w:type="pct"/>
            <w:vAlign w:val="center"/>
            <w:textDirection w:val="lrTb"/>
            <w:noWrap w:val="false"/>
          </w:tcPr>
          <w:p>
            <w:pPr>
              <w:jc w:val="center"/>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项目名称</w:t>
            </w:r>
            <w:r/>
          </w:p>
        </w:tc>
        <w:tc>
          <w:tcPr>
            <w:tcMar>
              <w:left w:w="15" w:type="dxa"/>
              <w:top w:w="15" w:type="dxa"/>
              <w:right w:w="15" w:type="dxa"/>
              <w:bottom w:w="0" w:type="dxa"/>
            </w:tcMar>
            <w:tcW w:w="1601" w:type="pct"/>
            <w:vAlign w:val="center"/>
            <w:textDirection w:val="lrTb"/>
            <w:noWrap w:val="false"/>
          </w:tcPr>
          <w:p>
            <w:pPr>
              <w:jc w:val="center"/>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项目名称</w:t>
            </w:r>
            <w:r/>
          </w:p>
        </w:tc>
        <w:tc>
          <w:tcPr>
            <w:tcMar>
              <w:left w:w="15" w:type="dxa"/>
              <w:top w:w="15" w:type="dxa"/>
              <w:right w:w="15" w:type="dxa"/>
              <w:bottom w:w="0" w:type="dxa"/>
            </w:tcMar>
            <w:tcW w:w="1019" w:type="pct"/>
            <w:vAlign w:val="center"/>
            <w:textDirection w:val="lrTb"/>
            <w:noWrap w:val="false"/>
          </w:tcPr>
          <w:p>
            <w:pPr>
              <w:jc w:val="center"/>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报价（万元）</w:t>
            </w:r>
            <w:r/>
          </w:p>
        </w:tc>
        <w:tc>
          <w:tcPr>
            <w:tcW w:w="556" w:type="pct"/>
            <w:vAlign w:val="center"/>
            <w:textDirection w:val="lrTb"/>
            <w:noWrap w:val="false"/>
          </w:tcPr>
          <w:p>
            <w:pPr>
              <w:jc w:val="center"/>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税率</w:t>
            </w:r>
            <w:r/>
          </w:p>
        </w:tc>
        <w:tc>
          <w:tcPr>
            <w:tcMar>
              <w:left w:w="15" w:type="dxa"/>
              <w:top w:w="15" w:type="dxa"/>
              <w:right w:w="15" w:type="dxa"/>
              <w:bottom w:w="0" w:type="dxa"/>
            </w:tcMar>
            <w:tcW w:w="1025" w:type="pct"/>
            <w:vAlign w:val="center"/>
            <w:textDirection w:val="lrTb"/>
            <w:noWrap w:val="false"/>
          </w:tcPr>
          <w:p>
            <w:pPr>
              <w:jc w:val="center"/>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备注</w:t>
            </w:r>
            <w:r/>
          </w:p>
        </w:tc>
      </w:tr>
      <w:tr>
        <w:trPr>
          <w:jc w:val="center"/>
          <w:trHeight w:val="537" w:hRule="exact"/>
        </w:trPr>
        <w:tc>
          <w:tcPr>
            <w:tcMar>
              <w:left w:w="15" w:type="dxa"/>
              <w:top w:w="15" w:type="dxa"/>
              <w:right w:w="15" w:type="dxa"/>
              <w:bottom w:w="0" w:type="dxa"/>
            </w:tcMar>
            <w:tcW w:w="799" w:type="pct"/>
            <w:vAlign w:val="center"/>
            <w:vMerge w:val="restart"/>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滨海县滨海港镇养殖尾水治理项目</w:t>
            </w:r>
            <w:r/>
          </w:p>
        </w:tc>
        <w:tc>
          <w:tcPr>
            <w:tcMar>
              <w:left w:w="15" w:type="dxa"/>
              <w:top w:w="15" w:type="dxa"/>
              <w:right w:w="15" w:type="dxa"/>
              <w:bottom w:w="0" w:type="dxa"/>
            </w:tcMar>
            <w:tcW w:w="1601" w:type="pct"/>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设计费用</w:t>
            </w:r>
            <w:r/>
          </w:p>
        </w:tc>
        <w:tc>
          <w:tcPr>
            <w:tcMar>
              <w:left w:w="15" w:type="dxa"/>
              <w:top w:w="15" w:type="dxa"/>
              <w:right w:w="15" w:type="dxa"/>
              <w:bottom w:w="0" w:type="dxa"/>
            </w:tcMar>
            <w:tcW w:w="1019"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556"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025" w:type="pct"/>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含勘测和评审</w:t>
            </w:r>
            <w:r/>
          </w:p>
        </w:tc>
      </w:tr>
      <w:tr>
        <w:trPr>
          <w:jc w:val="center"/>
          <w:trHeight w:val="537" w:hRule="exact"/>
        </w:trPr>
        <w:tc>
          <w:tcPr>
            <w:tcMar>
              <w:left w:w="15" w:type="dxa"/>
              <w:top w:w="15" w:type="dxa"/>
              <w:right w:w="15" w:type="dxa"/>
              <w:bottom w:w="0" w:type="dxa"/>
            </w:tcMar>
            <w:tcW w:w="799" w:type="pct"/>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Mar>
              <w:left w:w="15" w:type="dxa"/>
              <w:top w:w="15" w:type="dxa"/>
              <w:right w:w="15" w:type="dxa"/>
              <w:bottom w:w="0" w:type="dxa"/>
            </w:tcMar>
            <w:tcW w:w="1601"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采购和施工费用</w:t>
            </w:r>
            <w:r/>
          </w:p>
        </w:tc>
        <w:tc>
          <w:tcPr>
            <w:tcMar>
              <w:left w:w="15" w:type="dxa"/>
              <w:top w:w="15" w:type="dxa"/>
              <w:right w:w="15" w:type="dxa"/>
              <w:bottom w:w="0" w:type="dxa"/>
            </w:tcMar>
            <w:tcW w:w="1019"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556"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025"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含调试合格</w:t>
            </w:r>
            <w:r/>
          </w:p>
        </w:tc>
      </w:tr>
      <w:tr>
        <w:trPr>
          <w:jc w:val="center"/>
          <w:trHeight w:val="537" w:hRule="exact"/>
        </w:trPr>
        <w:tc>
          <w:tcPr>
            <w:tcMar>
              <w:left w:w="15" w:type="dxa"/>
              <w:top w:w="15" w:type="dxa"/>
              <w:right w:w="15" w:type="dxa"/>
              <w:bottom w:w="0" w:type="dxa"/>
            </w:tcMar>
            <w:tcW w:w="799" w:type="pct"/>
            <w:vAlign w:val="center"/>
            <w:vMerge w:val="continue"/>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601" w:type="pct"/>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生物多样性报告费用</w:t>
            </w:r>
            <w:r/>
          </w:p>
        </w:tc>
        <w:tc>
          <w:tcPr>
            <w:tcMar>
              <w:left w:w="15" w:type="dxa"/>
              <w:top w:w="15" w:type="dxa"/>
              <w:right w:w="15" w:type="dxa"/>
              <w:bottom w:w="0" w:type="dxa"/>
            </w:tcMar>
            <w:tcW w:w="1019"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556"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025"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含评审通过</w:t>
            </w:r>
            <w:r/>
          </w:p>
        </w:tc>
      </w:tr>
      <w:tr>
        <w:trPr>
          <w:jc w:val="center"/>
          <w:trHeight w:val="537" w:hRule="exact"/>
        </w:trPr>
        <w:tc>
          <w:tcPr>
            <w:tcMar>
              <w:left w:w="15" w:type="dxa"/>
              <w:top w:w="15" w:type="dxa"/>
              <w:right w:w="15" w:type="dxa"/>
              <w:bottom w:w="0" w:type="dxa"/>
            </w:tcMar>
            <w:tcW w:w="799" w:type="pct"/>
            <w:vAlign w:val="center"/>
            <w:vMerge w:val="continue"/>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601" w:type="pct"/>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其他费用</w:t>
            </w:r>
            <w:r/>
          </w:p>
        </w:tc>
        <w:tc>
          <w:tcPr>
            <w:tcMar>
              <w:left w:w="15" w:type="dxa"/>
              <w:top w:w="15" w:type="dxa"/>
              <w:right w:w="15" w:type="dxa"/>
              <w:bottom w:w="0" w:type="dxa"/>
            </w:tcMar>
            <w:tcW w:w="1019"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556"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025"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Height w:val="537" w:hRule="exact"/>
        </w:trPr>
        <w:tc>
          <w:tcPr>
            <w:tcMar>
              <w:left w:w="15" w:type="dxa"/>
              <w:top w:w="15" w:type="dxa"/>
              <w:right w:w="15" w:type="dxa"/>
              <w:bottom w:w="0" w:type="dxa"/>
            </w:tcMar>
            <w:tcW w:w="799" w:type="pct"/>
            <w:vAlign w:val="center"/>
            <w:vMerge w:val="continue"/>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601"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合计总价</w:t>
            </w:r>
            <w:r/>
          </w:p>
        </w:tc>
        <w:tc>
          <w:tcPr>
            <w:tcMar>
              <w:left w:w="15" w:type="dxa"/>
              <w:top w:w="15" w:type="dxa"/>
              <w:right w:w="15" w:type="dxa"/>
              <w:bottom w:w="0" w:type="dxa"/>
            </w:tcMar>
            <w:tcW w:w="1019"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556"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Mar>
              <w:left w:w="15" w:type="dxa"/>
              <w:top w:w="15" w:type="dxa"/>
              <w:right w:w="15" w:type="dxa"/>
              <w:bottom w:w="0" w:type="dxa"/>
            </w:tcMar>
            <w:tcW w:w="1025" w:type="pct"/>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bl>
    <w:p>
      <w:pPr>
        <w:pStyle w:val="957"/>
        <w:ind w:left="0" w:firstLine="480"/>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注：以上工程量仅供参考，实际工程量以本项目施工图为准。投标人的投标报价应包含完成本项目的一切费用，除项目实施方案变更外，合同价不作调整。上述报价包含包括但不限于完成该项目的成本、利润、规费、税金、开办费、技术措施费、大型机械进退场费、保险费、风险费、检测费、政策性文件规定费用、专家咨询费、验收费、评审费等一切费用。</w:t>
      </w:r>
      <w:r/>
    </w:p>
    <w:p>
      <w:pPr>
        <w:pStyle w:val="951"/>
        <w:ind w:firstLine="480"/>
        <w:jc w:val="righ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51"/>
        <w:ind w:firstLine="480"/>
        <w:jc w:val="right"/>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供应商名称（盖章）：</w:t>
      </w:r>
      <w:r/>
    </w:p>
    <w:p>
      <w:pPr>
        <w:pStyle w:val="957"/>
        <w:ind w:left="479" w:firstLine="480"/>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                                                        日期：  年  月  日</w:t>
      </w:r>
      <w:r/>
    </w:p>
    <w:p>
      <w:pPr>
        <w:pStyle w:val="957"/>
        <w:ind w:left="479" w:firstLine="482"/>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957"/>
        <w:ind w:left="479" w:firstLine="482"/>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before="260" w:after="280" w:line="400" w:lineRule="exact"/>
        <w:tabs>
          <w:tab w:val="left" w:pos="16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3"/>
      </w:rPr>
      <w:framePr w:wrap="around" w:vAnchor="text" w:hAnchor="margin" w:xAlign="center" w:y="1"/>
    </w:pPr>
    <w:r>
      <w:rPr>
        <w:rStyle w:val="973"/>
      </w:rPr>
      <w:fldChar w:fldCharType="begin"/>
    </w:r>
    <w:r>
      <w:rPr>
        <w:rStyle w:val="973"/>
      </w:rPr>
      <w:instrText xml:space="preserve">PAGE  </w:instrText>
    </w:r>
    <w:r>
      <w:rPr>
        <w:rStyle w:val="973"/>
      </w:rPr>
      <w:fldChar w:fldCharType="separate"/>
    </w:r>
    <w:r>
      <w:rPr>
        <w:rStyle w:val="973"/>
      </w:rPr>
      <w:t xml:space="preserve">1</w:t>
    </w:r>
    <w:r>
      <w:rPr>
        <w:rStyle w:val="973"/>
      </w:rPr>
      <w:fldChar w:fldCharType="end"/>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jc w:val="center"/>
                          </w:pPr>
                          <w:r>
                            <w:fldChar w:fldCharType="begin"/>
                          </w:r>
                          <w:r>
                            <w:instrText xml:space="preserve"> PAGE   \* MERGEFORMAT </w:instrText>
                          </w:r>
                          <w:r>
                            <w:fldChar w:fldCharType="separate"/>
                          </w:r>
                          <w:r>
                            <w:rPr>
                              <w:lang w:val="zh-CN"/>
                            </w:rP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jc w:val="center"/>
                    </w:pPr>
                    <w:r>
                      <w:fldChar w:fldCharType="begin"/>
                    </w:r>
                    <w:r>
                      <w:instrText xml:space="preserve"> PAGE   \* MERGEFORMAT </w:instrText>
                    </w:r>
                    <w:r>
                      <w:fldChar w:fldCharType="separate"/>
                    </w:r>
                    <w:r>
                      <w:rPr>
                        <w:lang w:val="zh-CN"/>
                      </w:rPr>
                      <w:t xml:space="preserve">33</w:t>
                    </w:r>
                    <w:r>
                      <w:fldChar w:fldCharType="end"/>
                    </w:r>
                    <w:r/>
                  </w:p>
                </w:txbxContent>
              </v:textbox>
            </v:shape>
          </w:pict>
        </mc:Fallback>
      </mc:AlternateContent>
    </w:r>
    <w:r/>
  </w:p>
  <w:p>
    <w:pPr>
      <w:pStyle w:val="959"/>
      <w:ind w:firstLine="361"/>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80" w:hanging="480"/>
        <w:tabs>
          <w:tab w:val="left"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938"/>
      <w:isLgl w:val="false"/>
      <w:suff w:val="nothing"/>
      <w:lvlText w:val=""/>
      <w:lvlJc w:val="left"/>
      <w:pPr/>
      <w:rPr>
        <w:rFonts w:hint="eastAsia" w:cs="Times New Roman"/>
      </w:rPr>
    </w:lvl>
    <w:lvl w:ilvl="6">
      <w:start w:val="1"/>
      <w:numFmt w:val="none"/>
      <w:pStyle w:val="939"/>
      <w:isLgl w:val="false"/>
      <w:suff w:val="nothing"/>
      <w:lvlText w:val=""/>
      <w:lvlJc w:val="left"/>
      <w:pPr/>
      <w:rPr>
        <w:rFonts w:hint="eastAsia" w:cs="Times New Roman"/>
      </w:rPr>
    </w:lvl>
    <w:lvl w:ilvl="7">
      <w:start w:val="1"/>
      <w:numFmt w:val="none"/>
      <w:pStyle w:val="940"/>
      <w:isLgl w:val="false"/>
      <w:suff w:val="nothing"/>
      <w:lvlText w:val=""/>
      <w:lvlJc w:val="left"/>
      <w:pPr/>
      <w:rPr>
        <w:rFonts w:hint="eastAsia" w:cs="Times New Roman"/>
      </w:rPr>
    </w:lvl>
    <w:lvl w:ilvl="8">
      <w:start w:val="1"/>
      <w:numFmt w:val="none"/>
      <w:pStyle w:val="941"/>
      <w:isLgl w:val="false"/>
      <w:suff w:val="nothing"/>
      <w:lvlText w:val=""/>
      <w:lvlJc w:val="left"/>
      <w:pPr/>
      <w:rPr>
        <w:rFonts w:hint="eastAsia" w:cs="Times New Roman"/>
      </w:r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第%1章"/>
      <w:lvlJc w:val="left"/>
      <w:pPr>
        <w:ind w:left="461"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0"/>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42"/>
    <w:link w:val="933"/>
    <w:uiPriority w:val="9"/>
    <w:rPr>
      <w:rFonts w:ascii="Arial" w:hAnsi="Arial" w:eastAsia="Arial" w:cs="Arial"/>
      <w:sz w:val="40"/>
      <w:szCs w:val="40"/>
    </w:rPr>
  </w:style>
  <w:style w:type="character" w:styleId="775">
    <w:name w:val="Heading 2 Char"/>
    <w:basedOn w:val="942"/>
    <w:link w:val="934"/>
    <w:uiPriority w:val="9"/>
    <w:rPr>
      <w:rFonts w:ascii="Arial" w:hAnsi="Arial" w:eastAsia="Arial" w:cs="Arial"/>
      <w:sz w:val="34"/>
    </w:rPr>
  </w:style>
  <w:style w:type="character" w:styleId="776">
    <w:name w:val="Heading 3 Char"/>
    <w:basedOn w:val="942"/>
    <w:link w:val="935"/>
    <w:uiPriority w:val="9"/>
    <w:rPr>
      <w:rFonts w:ascii="Arial" w:hAnsi="Arial" w:eastAsia="Arial" w:cs="Arial"/>
      <w:sz w:val="30"/>
      <w:szCs w:val="30"/>
    </w:rPr>
  </w:style>
  <w:style w:type="character" w:styleId="777">
    <w:name w:val="Heading 4 Char"/>
    <w:basedOn w:val="942"/>
    <w:link w:val="936"/>
    <w:uiPriority w:val="9"/>
    <w:rPr>
      <w:rFonts w:ascii="Arial" w:hAnsi="Arial" w:eastAsia="Arial" w:cs="Arial"/>
      <w:b/>
      <w:bCs/>
      <w:sz w:val="26"/>
      <w:szCs w:val="26"/>
    </w:rPr>
  </w:style>
  <w:style w:type="character" w:styleId="778">
    <w:name w:val="Heading 5 Char"/>
    <w:basedOn w:val="942"/>
    <w:link w:val="937"/>
    <w:uiPriority w:val="9"/>
    <w:rPr>
      <w:rFonts w:ascii="Arial" w:hAnsi="Arial" w:eastAsia="Arial" w:cs="Arial"/>
      <w:b/>
      <w:bCs/>
      <w:sz w:val="24"/>
      <w:szCs w:val="24"/>
    </w:rPr>
  </w:style>
  <w:style w:type="character" w:styleId="779">
    <w:name w:val="Heading 6 Char"/>
    <w:basedOn w:val="942"/>
    <w:link w:val="938"/>
    <w:uiPriority w:val="9"/>
    <w:rPr>
      <w:rFonts w:ascii="Arial" w:hAnsi="Arial" w:eastAsia="Arial" w:cs="Arial"/>
      <w:b/>
      <w:bCs/>
      <w:sz w:val="22"/>
      <w:szCs w:val="22"/>
    </w:rPr>
  </w:style>
  <w:style w:type="character" w:styleId="780">
    <w:name w:val="Heading 7 Char"/>
    <w:basedOn w:val="942"/>
    <w:link w:val="939"/>
    <w:uiPriority w:val="9"/>
    <w:rPr>
      <w:rFonts w:ascii="Arial" w:hAnsi="Arial" w:eastAsia="Arial" w:cs="Arial"/>
      <w:b/>
      <w:bCs/>
      <w:i/>
      <w:iCs/>
      <w:sz w:val="22"/>
      <w:szCs w:val="22"/>
    </w:rPr>
  </w:style>
  <w:style w:type="character" w:styleId="781">
    <w:name w:val="Heading 8 Char"/>
    <w:basedOn w:val="942"/>
    <w:link w:val="940"/>
    <w:uiPriority w:val="9"/>
    <w:rPr>
      <w:rFonts w:ascii="Arial" w:hAnsi="Arial" w:eastAsia="Arial" w:cs="Arial"/>
      <w:i/>
      <w:iCs/>
      <w:sz w:val="22"/>
      <w:szCs w:val="22"/>
    </w:rPr>
  </w:style>
  <w:style w:type="character" w:styleId="782">
    <w:name w:val="Heading 9 Char"/>
    <w:basedOn w:val="942"/>
    <w:link w:val="941"/>
    <w:uiPriority w:val="9"/>
    <w:rPr>
      <w:rFonts w:ascii="Arial" w:hAnsi="Arial" w:eastAsia="Arial" w:cs="Arial"/>
      <w:i/>
      <w:iCs/>
      <w:sz w:val="21"/>
      <w:szCs w:val="21"/>
    </w:rPr>
  </w:style>
  <w:style w:type="paragraph" w:styleId="783">
    <w:name w:val="Title"/>
    <w:basedOn w:val="932"/>
    <w:next w:val="932"/>
    <w:link w:val="784"/>
    <w:uiPriority w:val="10"/>
    <w:qFormat/>
    <w:pPr>
      <w:contextualSpacing/>
      <w:spacing w:before="300" w:after="200"/>
    </w:pPr>
    <w:rPr>
      <w:sz w:val="48"/>
      <w:szCs w:val="48"/>
    </w:rPr>
  </w:style>
  <w:style w:type="character" w:styleId="784">
    <w:name w:val="Title Char"/>
    <w:basedOn w:val="942"/>
    <w:link w:val="783"/>
    <w:uiPriority w:val="10"/>
    <w:rPr>
      <w:sz w:val="48"/>
      <w:szCs w:val="48"/>
    </w:rPr>
  </w:style>
  <w:style w:type="paragraph" w:styleId="785">
    <w:name w:val="Subtitle"/>
    <w:basedOn w:val="932"/>
    <w:next w:val="932"/>
    <w:link w:val="786"/>
    <w:uiPriority w:val="11"/>
    <w:qFormat/>
    <w:pPr>
      <w:spacing w:before="200" w:after="200"/>
    </w:pPr>
    <w:rPr>
      <w:sz w:val="24"/>
      <w:szCs w:val="24"/>
    </w:rPr>
  </w:style>
  <w:style w:type="character" w:styleId="786">
    <w:name w:val="Subtitle Char"/>
    <w:basedOn w:val="942"/>
    <w:link w:val="785"/>
    <w:uiPriority w:val="11"/>
    <w:rPr>
      <w:sz w:val="24"/>
      <w:szCs w:val="24"/>
    </w:rPr>
  </w:style>
  <w:style w:type="paragraph" w:styleId="787">
    <w:name w:val="Quote"/>
    <w:basedOn w:val="932"/>
    <w:next w:val="932"/>
    <w:link w:val="788"/>
    <w:uiPriority w:val="29"/>
    <w:qFormat/>
    <w:pPr>
      <w:ind w:left="720" w:right="720"/>
    </w:pPr>
    <w:rPr>
      <w:i/>
    </w:rPr>
  </w:style>
  <w:style w:type="character" w:styleId="788">
    <w:name w:val="Quote Char"/>
    <w:link w:val="787"/>
    <w:uiPriority w:val="29"/>
    <w:rPr>
      <w:i/>
    </w:rPr>
  </w:style>
  <w:style w:type="paragraph" w:styleId="789">
    <w:name w:val="Intense Quote"/>
    <w:basedOn w:val="932"/>
    <w:next w:val="932"/>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character" w:styleId="791">
    <w:name w:val="Header Char"/>
    <w:basedOn w:val="942"/>
    <w:link w:val="960"/>
    <w:uiPriority w:val="99"/>
  </w:style>
  <w:style w:type="character" w:styleId="792">
    <w:name w:val="Footer Char"/>
    <w:basedOn w:val="942"/>
    <w:link w:val="959"/>
    <w:uiPriority w:val="99"/>
  </w:style>
  <w:style w:type="character" w:styleId="793">
    <w:name w:val="Caption Char"/>
    <w:basedOn w:val="946"/>
    <w:link w:val="959"/>
    <w:uiPriority w:val="99"/>
  </w:style>
  <w:style w:type="table" w:styleId="794">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9">
    <w:name w:val="footnote text"/>
    <w:basedOn w:val="932"/>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42"/>
    <w:uiPriority w:val="99"/>
    <w:unhideWhenUsed/>
    <w:rPr>
      <w:vertAlign w:val="superscript"/>
    </w:rPr>
  </w:style>
  <w:style w:type="paragraph" w:styleId="922">
    <w:name w:val="endnote text"/>
    <w:basedOn w:val="932"/>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42"/>
    <w:uiPriority w:val="99"/>
    <w:semiHidden/>
    <w:unhideWhenUsed/>
    <w:rPr>
      <w:vertAlign w:val="superscript"/>
    </w:rPr>
  </w:style>
  <w:style w:type="paragraph" w:styleId="925">
    <w:name w:val="toc 4"/>
    <w:basedOn w:val="932"/>
    <w:next w:val="932"/>
    <w:uiPriority w:val="39"/>
    <w:unhideWhenUsed/>
    <w:pPr>
      <w:ind w:left="850" w:right="0" w:firstLine="0"/>
      <w:spacing w:after="57"/>
    </w:pPr>
  </w:style>
  <w:style w:type="paragraph" w:styleId="926">
    <w:name w:val="toc 5"/>
    <w:basedOn w:val="932"/>
    <w:next w:val="932"/>
    <w:uiPriority w:val="39"/>
    <w:unhideWhenUsed/>
    <w:pPr>
      <w:ind w:left="1134"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33">
    <w:name w:val="Heading 1"/>
    <w:basedOn w:val="932"/>
    <w:next w:val="932"/>
    <w:link w:val="983"/>
    <w:uiPriority w:val="0"/>
    <w:qFormat/>
    <w:pPr>
      <w:jc w:val="center"/>
      <w:keepNext/>
      <w:outlineLvl w:val="0"/>
    </w:pPr>
    <w:rPr>
      <w:rFonts w:ascii="楷体_GB2312" w:eastAsia="楷体_GB2312"/>
      <w:sz w:val="28"/>
      <w:szCs w:val="28"/>
    </w:rPr>
  </w:style>
  <w:style w:type="paragraph" w:styleId="934">
    <w:name w:val="Heading 2"/>
    <w:basedOn w:val="932"/>
    <w:next w:val="932"/>
    <w:link w:val="9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name w:val="Heading 3"/>
    <w:basedOn w:val="932"/>
    <w:next w:val="944"/>
    <w:link w:val="985"/>
    <w:uiPriority w:val="99"/>
    <w:qFormat/>
    <w:pPr>
      <w:keepLines/>
      <w:keepNext/>
      <w:spacing w:before="260" w:after="260" w:line="416" w:lineRule="auto"/>
      <w:outlineLvl w:val="2"/>
    </w:pPr>
    <w:rPr>
      <w:b/>
      <w:bCs/>
      <w:sz w:val="32"/>
      <w:szCs w:val="32"/>
    </w:rPr>
  </w:style>
  <w:style w:type="paragraph" w:styleId="936">
    <w:name w:val="Heading 4"/>
    <w:basedOn w:val="932"/>
    <w:next w:val="944"/>
    <w:link w:val="987"/>
    <w:uiPriority w:val="99"/>
    <w:qFormat/>
    <w:pPr>
      <w:keepLines/>
      <w:keepNext/>
      <w:spacing w:before="280" w:after="290" w:line="376" w:lineRule="auto"/>
      <w:outlineLvl w:val="3"/>
    </w:pPr>
    <w:rPr>
      <w:rFonts w:ascii="Arial" w:hAnsi="Arial" w:eastAsia="黑体" w:cs="Arial"/>
      <w:b/>
      <w:bCs/>
      <w:sz w:val="28"/>
      <w:szCs w:val="28"/>
    </w:rPr>
  </w:style>
  <w:style w:type="paragraph" w:styleId="937">
    <w:name w:val="Heading 5"/>
    <w:basedOn w:val="932"/>
    <w:next w:val="932"/>
    <w:link w:val="988"/>
    <w:uiPriority w:val="99"/>
    <w:qFormat/>
    <w:pPr>
      <w:keepNext/>
      <w:outlineLvl w:val="4"/>
    </w:pPr>
    <w:rPr>
      <w:rFonts w:ascii="宋体"/>
      <w:color w:val="000000"/>
      <w:sz w:val="28"/>
      <w:szCs w:val="28"/>
    </w:rPr>
  </w:style>
  <w:style w:type="paragraph" w:styleId="938">
    <w:name w:val="Heading 6"/>
    <w:basedOn w:val="932"/>
    <w:next w:val="932"/>
    <w:link w:val="989"/>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Heading 7"/>
    <w:basedOn w:val="932"/>
    <w:next w:val="932"/>
    <w:link w:val="990"/>
    <w:uiPriority w:val="99"/>
    <w:qFormat/>
    <w:pPr>
      <w:numPr>
        <w:ilvl w:val="6"/>
        <w:numId w:val="1"/>
      </w:numPr>
      <w:keepLines/>
      <w:keepNext/>
      <w:spacing w:before="240" w:after="64" w:line="320" w:lineRule="auto"/>
      <w:outlineLvl w:val="6"/>
    </w:pPr>
    <w:rPr>
      <w:b/>
      <w:bCs/>
      <w:sz w:val="24"/>
      <w:szCs w:val="24"/>
    </w:rPr>
  </w:style>
  <w:style w:type="paragraph" w:styleId="940">
    <w:name w:val="Heading 8"/>
    <w:basedOn w:val="932"/>
    <w:next w:val="932"/>
    <w:link w:val="991"/>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Heading 9"/>
    <w:basedOn w:val="932"/>
    <w:next w:val="932"/>
    <w:link w:val="992"/>
    <w:uiPriority w:val="99"/>
    <w:qFormat/>
    <w:pPr>
      <w:numPr>
        <w:ilvl w:val="8"/>
        <w:numId w:val="1"/>
      </w:numPr>
      <w:keepLines/>
      <w:keepNext/>
      <w:spacing w:before="240" w:after="64" w:line="320" w:lineRule="auto"/>
      <w:outlineLvl w:val="8"/>
    </w:pPr>
    <w:rPr>
      <w:rFonts w:ascii="Arial" w:hAnsi="Arial" w:eastAsia="黑体"/>
    </w:rPr>
  </w:style>
  <w:style w:type="character" w:styleId="942" w:default="1">
    <w:name w:val="Default Paragraph Font"/>
    <w:uiPriority w:val="1"/>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Normal Indent"/>
    <w:basedOn w:val="932"/>
    <w:link w:val="986"/>
    <w:uiPriority w:val="0"/>
    <w:qFormat/>
    <w:pPr>
      <w:ind w:firstLine="420"/>
    </w:pPr>
    <w:rPr>
      <w:szCs w:val="20"/>
    </w:rPr>
  </w:style>
  <w:style w:type="paragraph" w:styleId="945">
    <w:name w:val="List 3"/>
    <w:basedOn w:val="932"/>
    <w:uiPriority w:val="99"/>
    <w:qFormat/>
    <w:pPr>
      <w:ind w:left="100" w:hanging="200"/>
    </w:pPr>
  </w:style>
  <w:style w:type="paragraph" w:styleId="946">
    <w:name w:val="Caption"/>
    <w:basedOn w:val="932"/>
    <w:next w:val="932"/>
    <w:uiPriority w:val="0"/>
    <w:unhideWhenUsed/>
    <w:qFormat/>
    <w:pPr>
      <w:jc w:val="center"/>
      <w:spacing w:line="360" w:lineRule="auto"/>
    </w:pPr>
    <w:rPr>
      <w:rFonts w:ascii="宋体" w:hAnsi="宋体"/>
      <w:b/>
      <w:bCs/>
      <w:sz w:val="24"/>
      <w:szCs w:val="24"/>
    </w:rPr>
  </w:style>
  <w:style w:type="paragraph" w:styleId="947">
    <w:name w:val="Document Map"/>
    <w:basedOn w:val="932"/>
    <w:link w:val="993"/>
    <w:uiPriority w:val="99"/>
    <w:semiHidden/>
    <w:qFormat/>
    <w:pPr>
      <w:shd w:val="clear" w:color="auto" w:fill="000080"/>
    </w:pPr>
  </w:style>
  <w:style w:type="paragraph" w:styleId="948">
    <w:name w:val="annotation text"/>
    <w:basedOn w:val="932"/>
    <w:link w:val="994"/>
    <w:uiPriority w:val="99"/>
    <w:semiHidden/>
    <w:qFormat/>
    <w:pPr>
      <w:jc w:val="left"/>
    </w:pPr>
  </w:style>
  <w:style w:type="paragraph" w:styleId="949">
    <w:name w:val="Body Text 3"/>
    <w:basedOn w:val="932"/>
    <w:link w:val="995"/>
    <w:uiPriority w:val="99"/>
    <w:qFormat/>
    <w:rPr>
      <w:rFonts w:ascii="仿宋_GB2312" w:hAnsi="Arial" w:eastAsia="仿宋_GB2312"/>
      <w:sz w:val="32"/>
      <w:szCs w:val="32"/>
    </w:rPr>
  </w:style>
  <w:style w:type="paragraph" w:styleId="950">
    <w:name w:val="Body Text"/>
    <w:basedOn w:val="932"/>
    <w:link w:val="996"/>
    <w:uiPriority w:val="99"/>
    <w:qFormat/>
    <w:rPr>
      <w:rFonts w:ascii="楷体_GB2312" w:hAnsi="Arial" w:eastAsia="楷体_GB2312"/>
      <w:sz w:val="28"/>
      <w:szCs w:val="28"/>
    </w:rPr>
  </w:style>
  <w:style w:type="paragraph" w:styleId="951">
    <w:name w:val="Body Text Indent"/>
    <w:basedOn w:val="932"/>
    <w:next w:val="952"/>
    <w:link w:val="997"/>
    <w:uiPriority w:val="99"/>
    <w:qFormat/>
    <w:pPr>
      <w:ind w:firstLine="645"/>
    </w:pPr>
    <w:rPr>
      <w:rFonts w:ascii="楷体_GB2312" w:eastAsia="楷体_GB2312"/>
      <w:sz w:val="32"/>
      <w:szCs w:val="32"/>
    </w:rPr>
  </w:style>
  <w:style w:type="paragraph" w:styleId="952">
    <w:name w:val="envelope return"/>
    <w:basedOn w:val="932"/>
    <w:uiPriority w:val="0"/>
    <w:qFormat/>
    <w:rPr>
      <w:rFonts w:ascii="Arial" w:hAnsi="Arial"/>
    </w:rPr>
  </w:style>
  <w:style w:type="paragraph" w:styleId="953">
    <w:name w:val="List 2"/>
    <w:basedOn w:val="932"/>
    <w:uiPriority w:val="99"/>
    <w:qFormat/>
    <w:pPr>
      <w:ind w:left="100" w:hanging="200"/>
    </w:pPr>
  </w:style>
  <w:style w:type="paragraph" w:styleId="954">
    <w:name w:val="toc 3"/>
    <w:basedOn w:val="932"/>
    <w:next w:val="932"/>
    <w:uiPriority w:val="39"/>
    <w:unhideWhenUsed/>
    <w:qFormat/>
    <w:pPr>
      <w:ind w:left="840"/>
      <w:spacing w:line="360" w:lineRule="auto"/>
    </w:pPr>
    <w:rPr>
      <w:sz w:val="24"/>
      <w:szCs w:val="22"/>
    </w:rPr>
  </w:style>
  <w:style w:type="paragraph" w:styleId="955">
    <w:name w:val="Plain Text"/>
    <w:basedOn w:val="932"/>
    <w:link w:val="998"/>
    <w:uiPriority w:val="99"/>
    <w:qFormat/>
    <w:rPr>
      <w:rFonts w:ascii="宋体" w:hAnsi="Courier New" w:cs="Courier New"/>
    </w:rPr>
  </w:style>
  <w:style w:type="paragraph" w:styleId="956">
    <w:name w:val="Date"/>
    <w:basedOn w:val="932"/>
    <w:next w:val="932"/>
    <w:link w:val="999"/>
    <w:uiPriority w:val="99"/>
    <w:qFormat/>
    <w:rPr>
      <w:sz w:val="24"/>
      <w:szCs w:val="24"/>
    </w:rPr>
  </w:style>
  <w:style w:type="paragraph" w:styleId="957">
    <w:name w:val="Body Text Indent 2"/>
    <w:basedOn w:val="932"/>
    <w:link w:val="982"/>
    <w:uiPriority w:val="99"/>
    <w:qFormat/>
    <w:pPr>
      <w:ind w:left="630" w:firstLine="645"/>
    </w:pPr>
    <w:rPr>
      <w:rFonts w:ascii="Arial" w:hAnsi="Arial" w:eastAsia="仿宋_GB2312" w:cs="Arial"/>
      <w:sz w:val="32"/>
      <w:szCs w:val="32"/>
    </w:rPr>
  </w:style>
  <w:style w:type="paragraph" w:styleId="958">
    <w:name w:val="Balloon Text"/>
    <w:basedOn w:val="932"/>
    <w:link w:val="1000"/>
    <w:uiPriority w:val="99"/>
    <w:semiHidden/>
    <w:qFormat/>
    <w:rPr>
      <w:sz w:val="18"/>
      <w:szCs w:val="18"/>
    </w:rPr>
  </w:style>
  <w:style w:type="paragraph" w:styleId="959">
    <w:name w:val="Footer"/>
    <w:basedOn w:val="932"/>
    <w:link w:val="1001"/>
    <w:uiPriority w:val="99"/>
    <w:qFormat/>
    <w:pPr>
      <w:jc w:val="left"/>
      <w:tabs>
        <w:tab w:val="center" w:pos="4153" w:leader="none"/>
        <w:tab w:val="right" w:pos="8306" w:leader="none"/>
      </w:tabs>
    </w:pPr>
    <w:rPr>
      <w:sz w:val="18"/>
      <w:szCs w:val="18"/>
    </w:rPr>
  </w:style>
  <w:style w:type="paragraph" w:styleId="960">
    <w:name w:val="Header"/>
    <w:basedOn w:val="932"/>
    <w:link w:val="1002"/>
    <w:uiPriority w:val="99"/>
    <w:qFormat/>
    <w:pPr>
      <w:jc w:val="center"/>
      <w:tabs>
        <w:tab w:val="center" w:pos="4153" w:leader="none"/>
        <w:tab w:val="right" w:pos="8306" w:leader="none"/>
      </w:tabs>
      <w:pBdr>
        <w:bottom w:val="single" w:color="auto" w:sz="6" w:space="1"/>
      </w:pBdr>
    </w:pPr>
    <w:rPr>
      <w:sz w:val="18"/>
      <w:szCs w:val="18"/>
    </w:rPr>
  </w:style>
  <w:style w:type="paragraph" w:styleId="961">
    <w:name w:val="toc 1"/>
    <w:basedOn w:val="932"/>
    <w:next w:val="932"/>
    <w:uiPriority w:val="39"/>
    <w:unhideWhenUsed/>
    <w:qFormat/>
    <w:pPr>
      <w:spacing w:line="360" w:lineRule="auto"/>
    </w:pPr>
    <w:rPr>
      <w:sz w:val="24"/>
      <w:szCs w:val="22"/>
    </w:rPr>
  </w:style>
  <w:style w:type="paragraph" w:styleId="962">
    <w:name w:val="List"/>
    <w:basedOn w:val="932"/>
    <w:uiPriority w:val="99"/>
    <w:qFormat/>
    <w:pPr>
      <w:ind w:left="200" w:hanging="200"/>
    </w:pPr>
  </w:style>
  <w:style w:type="paragraph" w:styleId="963">
    <w:name w:val="toc 6"/>
    <w:basedOn w:val="932"/>
    <w:next w:val="932"/>
    <w:uiPriority w:val="0"/>
    <w:semiHidden/>
    <w:qFormat/>
    <w:pPr>
      <w:ind w:left="1050"/>
      <w:jc w:val="left"/>
    </w:pPr>
  </w:style>
  <w:style w:type="paragraph" w:styleId="964">
    <w:name w:val="Body Text Indent 3"/>
    <w:basedOn w:val="932"/>
    <w:link w:val="1003"/>
    <w:uiPriority w:val="99"/>
    <w:qFormat/>
    <w:pPr>
      <w:ind w:left="645" w:firstLine="645"/>
    </w:pPr>
    <w:rPr>
      <w:rFonts w:ascii="Arial" w:hAnsi="Arial" w:eastAsia="仿宋_GB2312" w:cs="Arial"/>
      <w:color w:val="ffff00"/>
      <w:sz w:val="32"/>
      <w:szCs w:val="32"/>
    </w:rPr>
  </w:style>
  <w:style w:type="paragraph" w:styleId="965">
    <w:name w:val="toc 2"/>
    <w:basedOn w:val="932"/>
    <w:next w:val="932"/>
    <w:uiPriority w:val="39"/>
    <w:unhideWhenUsed/>
    <w:qFormat/>
    <w:pPr>
      <w:ind w:left="420"/>
      <w:spacing w:line="360" w:lineRule="auto"/>
    </w:pPr>
    <w:rPr>
      <w:sz w:val="24"/>
      <w:szCs w:val="22"/>
    </w:rPr>
  </w:style>
  <w:style w:type="paragraph" w:styleId="966">
    <w:name w:val="Body Text 2"/>
    <w:basedOn w:val="932"/>
    <w:link w:val="1004"/>
    <w:uiPriority w:val="99"/>
    <w:qFormat/>
    <w:pPr>
      <w:jc w:val="center"/>
      <w:widowControl/>
    </w:pPr>
    <w:rPr>
      <w:rFonts w:ascii="楷体_GB2312" w:eastAsia="楷体_GB2312"/>
      <w:sz w:val="28"/>
      <w:szCs w:val="28"/>
    </w:rPr>
  </w:style>
  <w:style w:type="paragraph" w:styleId="967">
    <w:name w:val="Normal (Web)"/>
    <w:basedOn w:val="932"/>
    <w:uiPriority w:val="99"/>
    <w:qFormat/>
    <w:pPr>
      <w:jc w:val="left"/>
      <w:spacing w:before="100" w:beforeAutospacing="1" w:after="100" w:afterAutospacing="1"/>
      <w:widowControl/>
    </w:pPr>
    <w:rPr>
      <w:rFonts w:ascii="宋体" w:hAnsi="宋体" w:cs="宋体"/>
      <w:sz w:val="24"/>
      <w:szCs w:val="24"/>
    </w:rPr>
  </w:style>
  <w:style w:type="paragraph" w:styleId="968">
    <w:name w:val="annotation subject"/>
    <w:basedOn w:val="948"/>
    <w:next w:val="948"/>
    <w:link w:val="1005"/>
    <w:uiPriority w:val="99"/>
    <w:semiHidden/>
    <w:qFormat/>
    <w:rPr>
      <w:b/>
      <w:bCs/>
    </w:rPr>
  </w:style>
  <w:style w:type="paragraph" w:styleId="969">
    <w:name w:val="Body Text First Indent"/>
    <w:basedOn w:val="950"/>
    <w:link w:val="1006"/>
    <w:uiPriority w:val="99"/>
    <w:qFormat/>
    <w:pPr>
      <w:ind w:firstLine="200"/>
      <w:spacing w:line="360" w:lineRule="auto"/>
    </w:pPr>
    <w:rPr>
      <w:rFonts w:ascii="仿宋_GB2312" w:eastAsia="仿宋_GB2312"/>
      <w:sz w:val="30"/>
      <w:szCs w:val="30"/>
    </w:rPr>
  </w:style>
  <w:style w:type="paragraph" w:styleId="970">
    <w:name w:val="Body Text First Indent 2"/>
    <w:basedOn w:val="951"/>
    <w:next w:val="932"/>
    <w:link w:val="1007"/>
    <w:uiPriority w:val="99"/>
    <w:qFormat/>
    <w:pPr>
      <w:ind w:firstLine="420"/>
      <w:spacing w:line="360" w:lineRule="auto"/>
    </w:pPr>
    <w:rPr>
      <w:rFonts w:ascii="宋体" w:hAnsi="宋体" w:eastAsia="宋体"/>
      <w:sz w:val="21"/>
      <w:szCs w:val="20"/>
    </w:rPr>
  </w:style>
  <w:style w:type="table" w:styleId="971">
    <w:name w:val="Table Grid"/>
    <w:basedOn w:val="94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Strong"/>
    <w:basedOn w:val="942"/>
    <w:uiPriority w:val="22"/>
    <w:qFormat/>
    <w:rPr>
      <w:rFonts w:cs="Times New Roman"/>
      <w:b/>
    </w:rPr>
  </w:style>
  <w:style w:type="character" w:styleId="973">
    <w:name w:val="page number"/>
    <w:basedOn w:val="942"/>
    <w:uiPriority w:val="99"/>
    <w:qFormat/>
    <w:rPr>
      <w:rFonts w:cs="Times New Roman"/>
    </w:rPr>
  </w:style>
  <w:style w:type="character" w:styleId="974">
    <w:name w:val="FollowedHyperlink"/>
    <w:basedOn w:val="942"/>
    <w:uiPriority w:val="99"/>
    <w:qFormat/>
    <w:rPr>
      <w:rFonts w:cs="Times New Roman"/>
      <w:color w:val="800080"/>
      <w:u w:val="single"/>
    </w:rPr>
  </w:style>
  <w:style w:type="character" w:styleId="975">
    <w:name w:val="Emphasis"/>
    <w:basedOn w:val="942"/>
    <w:uiPriority w:val="0"/>
    <w:qFormat/>
    <w:rPr>
      <w:i/>
    </w:rPr>
  </w:style>
  <w:style w:type="character" w:styleId="976">
    <w:name w:val="Hyperlink"/>
    <w:basedOn w:val="942"/>
    <w:uiPriority w:val="99"/>
    <w:qFormat/>
    <w:rPr>
      <w:rFonts w:cs="Times New Roman"/>
      <w:color w:val="0000ff"/>
      <w:u w:val="single"/>
    </w:rPr>
  </w:style>
  <w:style w:type="character" w:styleId="977">
    <w:name w:val="annotation reference"/>
    <w:basedOn w:val="942"/>
    <w:uiPriority w:val="99"/>
    <w:semiHidden/>
    <w:qFormat/>
    <w:rPr>
      <w:rFonts w:cs="Times New Roman"/>
      <w:sz w:val="21"/>
    </w:rPr>
  </w:style>
  <w:style w:type="paragraph" w:styleId="978"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979" w:customStyle="1">
    <w:name w:val="一级条标题"/>
    <w:basedOn w:val="980"/>
    <w:next w:val="981"/>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980" w:customStyle="1">
    <w:name w:val="章标题"/>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81" w:customStyle="1">
    <w:name w:val="段"/>
    <w:next w:val="932"/>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82" w:customStyle="1">
    <w:name w:val="正文文本缩进 2 字符"/>
    <w:basedOn w:val="942"/>
    <w:link w:val="957"/>
    <w:uiPriority w:val="99"/>
    <w:qFormat/>
    <w:rPr>
      <w:rFonts w:ascii="Arial" w:hAnsi="Arial" w:eastAsia="仿宋_GB2312" w:cs="Arial"/>
      <w:sz w:val="32"/>
      <w:szCs w:val="32"/>
    </w:rPr>
  </w:style>
  <w:style w:type="character" w:styleId="983" w:customStyle="1">
    <w:name w:val="标题 1 字符"/>
    <w:basedOn w:val="942"/>
    <w:link w:val="933"/>
    <w:uiPriority w:val="99"/>
    <w:qFormat/>
    <w:rPr>
      <w:rFonts w:ascii="楷体_GB2312" w:hAnsi="Times New Roman" w:eastAsia="楷体_GB2312" w:cs="Times New Roman"/>
      <w:sz w:val="28"/>
      <w:szCs w:val="28"/>
    </w:rPr>
  </w:style>
  <w:style w:type="character" w:styleId="984" w:customStyle="1">
    <w:name w:val="标题 2 字符"/>
    <w:basedOn w:val="942"/>
    <w:link w:val="934"/>
    <w:uiPriority w:val="99"/>
    <w:qFormat/>
    <w:rPr>
      <w:rFonts w:ascii="Arial" w:hAnsi="Arial" w:eastAsia="幼圆" w:cs="Arial"/>
      <w:b/>
      <w:bCs/>
      <w:sz w:val="44"/>
      <w:szCs w:val="44"/>
    </w:rPr>
  </w:style>
  <w:style w:type="character" w:styleId="985" w:customStyle="1">
    <w:name w:val="标题 3 字符"/>
    <w:basedOn w:val="942"/>
    <w:link w:val="935"/>
    <w:uiPriority w:val="99"/>
    <w:qFormat/>
    <w:rPr>
      <w:rFonts w:ascii="Times New Roman" w:hAnsi="Times New Roman" w:eastAsia="宋体" w:cs="Times New Roman"/>
      <w:b/>
      <w:bCs/>
      <w:sz w:val="32"/>
      <w:szCs w:val="32"/>
    </w:rPr>
  </w:style>
  <w:style w:type="character" w:styleId="986" w:customStyle="1">
    <w:name w:val="正文缩进 字符"/>
    <w:link w:val="944"/>
    <w:uiPriority w:val="0"/>
    <w:qFormat/>
    <w:rPr>
      <w:rFonts w:ascii="Times New Roman" w:hAnsi="Times New Roman" w:eastAsia="宋体"/>
      <w:sz w:val="21"/>
    </w:rPr>
  </w:style>
  <w:style w:type="character" w:styleId="987" w:customStyle="1">
    <w:name w:val="标题 4 字符"/>
    <w:basedOn w:val="942"/>
    <w:link w:val="936"/>
    <w:uiPriority w:val="99"/>
    <w:qFormat/>
    <w:rPr>
      <w:rFonts w:ascii="Arial" w:hAnsi="Arial" w:eastAsia="黑体" w:cs="Arial"/>
      <w:b/>
      <w:bCs/>
      <w:sz w:val="28"/>
      <w:szCs w:val="28"/>
    </w:rPr>
  </w:style>
  <w:style w:type="character" w:styleId="988" w:customStyle="1">
    <w:name w:val="标题 5 字符"/>
    <w:basedOn w:val="942"/>
    <w:link w:val="937"/>
    <w:uiPriority w:val="99"/>
    <w:qFormat/>
    <w:rPr>
      <w:rFonts w:ascii="宋体" w:hAnsi="Times New Roman" w:eastAsia="宋体" w:cs="Times New Roman"/>
      <w:color w:val="000000"/>
      <w:sz w:val="28"/>
      <w:szCs w:val="28"/>
    </w:rPr>
  </w:style>
  <w:style w:type="character" w:styleId="989" w:customStyle="1">
    <w:name w:val="标题 6 字符"/>
    <w:basedOn w:val="942"/>
    <w:link w:val="938"/>
    <w:uiPriority w:val="99"/>
    <w:qFormat/>
    <w:rPr>
      <w:rFonts w:ascii="Arial" w:hAnsi="Arial" w:eastAsia="黑体" w:cs="Times New Roman"/>
      <w:b/>
      <w:bCs/>
      <w:sz w:val="24"/>
      <w:szCs w:val="24"/>
    </w:rPr>
  </w:style>
  <w:style w:type="character" w:styleId="990" w:customStyle="1">
    <w:name w:val="标题 7 字符"/>
    <w:basedOn w:val="942"/>
    <w:link w:val="939"/>
    <w:uiPriority w:val="99"/>
    <w:qFormat/>
    <w:rPr>
      <w:rFonts w:ascii="Times New Roman" w:hAnsi="Times New Roman" w:eastAsia="宋体" w:cs="Times New Roman"/>
      <w:b/>
      <w:bCs/>
      <w:sz w:val="24"/>
      <w:szCs w:val="24"/>
    </w:rPr>
  </w:style>
  <w:style w:type="character" w:styleId="991" w:customStyle="1">
    <w:name w:val="标题 8 字符"/>
    <w:basedOn w:val="942"/>
    <w:link w:val="940"/>
    <w:uiPriority w:val="99"/>
    <w:qFormat/>
    <w:rPr>
      <w:rFonts w:ascii="Arial" w:hAnsi="Arial" w:eastAsia="黑体" w:cs="Times New Roman"/>
      <w:sz w:val="24"/>
      <w:szCs w:val="24"/>
    </w:rPr>
  </w:style>
  <w:style w:type="character" w:styleId="992" w:customStyle="1">
    <w:name w:val="标题 9 字符"/>
    <w:basedOn w:val="942"/>
    <w:link w:val="941"/>
    <w:uiPriority w:val="99"/>
    <w:qFormat/>
    <w:rPr>
      <w:rFonts w:ascii="Arial" w:hAnsi="Arial" w:eastAsia="黑体" w:cs="Times New Roman"/>
      <w:sz w:val="21"/>
      <w:szCs w:val="21"/>
    </w:rPr>
  </w:style>
  <w:style w:type="character" w:styleId="993" w:customStyle="1">
    <w:name w:val="文档结构图 字符"/>
    <w:basedOn w:val="942"/>
    <w:link w:val="947"/>
    <w:uiPriority w:val="99"/>
    <w:semiHidden/>
    <w:qFormat/>
    <w:rPr>
      <w:rFonts w:ascii="Times New Roman" w:hAnsi="Times New Roman" w:eastAsia="宋体" w:cs="Times New Roman"/>
      <w:sz w:val="21"/>
      <w:szCs w:val="21"/>
      <w:shd w:val="clear" w:color="auto" w:fill="000080"/>
    </w:rPr>
  </w:style>
  <w:style w:type="character" w:styleId="994" w:customStyle="1">
    <w:name w:val="批注文字 字符"/>
    <w:basedOn w:val="942"/>
    <w:link w:val="948"/>
    <w:uiPriority w:val="99"/>
    <w:semiHidden/>
    <w:qFormat/>
    <w:rPr>
      <w:rFonts w:ascii="Times New Roman" w:hAnsi="Times New Roman" w:eastAsia="宋体" w:cs="Times New Roman"/>
      <w:sz w:val="21"/>
      <w:szCs w:val="21"/>
    </w:rPr>
  </w:style>
  <w:style w:type="character" w:styleId="995" w:customStyle="1">
    <w:name w:val="正文文本 3 字符"/>
    <w:basedOn w:val="942"/>
    <w:link w:val="949"/>
    <w:uiPriority w:val="99"/>
    <w:qFormat/>
    <w:rPr>
      <w:rFonts w:ascii="仿宋_GB2312" w:hAnsi="Arial" w:eastAsia="仿宋_GB2312" w:cs="Times New Roman"/>
      <w:sz w:val="32"/>
      <w:szCs w:val="32"/>
    </w:rPr>
  </w:style>
  <w:style w:type="character" w:styleId="996" w:customStyle="1">
    <w:name w:val="正文文本 字符"/>
    <w:basedOn w:val="942"/>
    <w:link w:val="950"/>
    <w:uiPriority w:val="99"/>
    <w:qFormat/>
    <w:rPr>
      <w:rFonts w:ascii="楷体_GB2312" w:hAnsi="Arial" w:eastAsia="楷体_GB2312" w:cs="Times New Roman"/>
      <w:sz w:val="28"/>
      <w:szCs w:val="28"/>
    </w:rPr>
  </w:style>
  <w:style w:type="character" w:styleId="997" w:customStyle="1">
    <w:name w:val="正文文本缩进 字符"/>
    <w:basedOn w:val="942"/>
    <w:link w:val="951"/>
    <w:uiPriority w:val="99"/>
    <w:qFormat/>
    <w:rPr>
      <w:rFonts w:ascii="楷体_GB2312" w:hAnsi="Times New Roman" w:eastAsia="楷体_GB2312" w:cs="Times New Roman"/>
      <w:sz w:val="32"/>
      <w:szCs w:val="32"/>
    </w:rPr>
  </w:style>
  <w:style w:type="character" w:styleId="998" w:customStyle="1">
    <w:name w:val="纯文本 字符"/>
    <w:basedOn w:val="942"/>
    <w:link w:val="955"/>
    <w:uiPriority w:val="99"/>
    <w:qFormat/>
    <w:rPr>
      <w:rFonts w:ascii="宋体" w:hAnsi="Courier New" w:eastAsia="宋体" w:cs="Courier New"/>
      <w:sz w:val="21"/>
      <w:szCs w:val="21"/>
    </w:rPr>
  </w:style>
  <w:style w:type="character" w:styleId="999" w:customStyle="1">
    <w:name w:val="日期 字符"/>
    <w:basedOn w:val="942"/>
    <w:link w:val="956"/>
    <w:uiPriority w:val="99"/>
    <w:qFormat/>
    <w:rPr>
      <w:rFonts w:ascii="Times New Roman" w:hAnsi="Times New Roman" w:eastAsia="宋体" w:cs="Times New Roman"/>
      <w:sz w:val="24"/>
      <w:szCs w:val="24"/>
    </w:rPr>
  </w:style>
  <w:style w:type="character" w:styleId="1000" w:customStyle="1">
    <w:name w:val="批注框文本 字符"/>
    <w:basedOn w:val="942"/>
    <w:link w:val="958"/>
    <w:uiPriority w:val="99"/>
    <w:semiHidden/>
    <w:qFormat/>
    <w:rPr>
      <w:rFonts w:ascii="Times New Roman" w:hAnsi="Times New Roman" w:eastAsia="宋体" w:cs="Times New Roman"/>
      <w:sz w:val="18"/>
      <w:szCs w:val="18"/>
    </w:rPr>
  </w:style>
  <w:style w:type="character" w:styleId="1001" w:customStyle="1">
    <w:name w:val="页脚 字符"/>
    <w:basedOn w:val="942"/>
    <w:link w:val="959"/>
    <w:uiPriority w:val="99"/>
    <w:qFormat/>
    <w:rPr>
      <w:rFonts w:ascii="Times New Roman" w:hAnsi="Times New Roman" w:eastAsia="宋体" w:cs="Times New Roman"/>
      <w:sz w:val="18"/>
      <w:szCs w:val="18"/>
    </w:rPr>
  </w:style>
  <w:style w:type="character" w:styleId="1002" w:customStyle="1">
    <w:name w:val="页眉 字符"/>
    <w:basedOn w:val="942"/>
    <w:link w:val="960"/>
    <w:uiPriority w:val="99"/>
    <w:qFormat/>
    <w:rPr>
      <w:rFonts w:ascii="Times New Roman" w:hAnsi="Times New Roman" w:eastAsia="宋体" w:cs="Times New Roman"/>
      <w:sz w:val="18"/>
      <w:szCs w:val="18"/>
    </w:rPr>
  </w:style>
  <w:style w:type="character" w:styleId="1003" w:customStyle="1">
    <w:name w:val="正文文本缩进 3 字符"/>
    <w:basedOn w:val="942"/>
    <w:link w:val="964"/>
    <w:uiPriority w:val="99"/>
    <w:qFormat/>
    <w:rPr>
      <w:rFonts w:ascii="Arial" w:hAnsi="Arial" w:eastAsia="仿宋_GB2312" w:cs="Arial"/>
      <w:color w:val="ffff00"/>
      <w:sz w:val="32"/>
      <w:szCs w:val="32"/>
    </w:rPr>
  </w:style>
  <w:style w:type="character" w:styleId="1004" w:customStyle="1">
    <w:name w:val="正文文本 2 字符"/>
    <w:basedOn w:val="942"/>
    <w:link w:val="966"/>
    <w:uiPriority w:val="99"/>
    <w:qFormat/>
    <w:rPr>
      <w:rFonts w:ascii="楷体_GB2312" w:hAnsi="Times New Roman" w:eastAsia="楷体_GB2312" w:cs="Times New Roman"/>
      <w:sz w:val="28"/>
      <w:szCs w:val="28"/>
    </w:rPr>
  </w:style>
  <w:style w:type="character" w:styleId="1005" w:customStyle="1">
    <w:name w:val="批注主题 字符"/>
    <w:basedOn w:val="994"/>
    <w:link w:val="968"/>
    <w:uiPriority w:val="99"/>
    <w:semiHidden/>
    <w:qFormat/>
    <w:rPr>
      <w:rFonts w:ascii="Times New Roman" w:hAnsi="Times New Roman" w:eastAsia="宋体" w:cs="Times New Roman"/>
      <w:b/>
      <w:bCs/>
      <w:sz w:val="21"/>
      <w:szCs w:val="21"/>
    </w:rPr>
  </w:style>
  <w:style w:type="character" w:styleId="1006" w:customStyle="1">
    <w:name w:val="正文文本首行缩进 字符"/>
    <w:basedOn w:val="996"/>
    <w:link w:val="969"/>
    <w:uiPriority w:val="99"/>
    <w:qFormat/>
    <w:rPr>
      <w:rFonts w:ascii="仿宋_GB2312" w:hAnsi="Times New Roman" w:eastAsia="仿宋_GB2312" w:cs="Times New Roman"/>
      <w:sz w:val="30"/>
      <w:szCs w:val="30"/>
    </w:rPr>
  </w:style>
  <w:style w:type="character" w:styleId="1007" w:customStyle="1">
    <w:name w:val="正文文本首行缩进 2 字符"/>
    <w:basedOn w:val="997"/>
    <w:link w:val="970"/>
    <w:uiPriority w:val="99"/>
    <w:qFormat/>
    <w:rPr>
      <w:rFonts w:ascii="宋体" w:hAnsi="宋体" w:eastAsia="宋体" w:cs="Times New Roman"/>
      <w:sz w:val="20"/>
      <w:szCs w:val="20"/>
    </w:rPr>
  </w:style>
  <w:style w:type="character" w:styleId="1008" w:customStyle="1">
    <w:name w:val="NormalCharacter"/>
    <w:uiPriority w:val="0"/>
    <w:qFormat/>
    <w:rPr>
      <w:sz w:val="21"/>
      <w:szCs w:val="21"/>
      <w:lang w:val="en-US" w:eastAsia="zh-CN" w:bidi="ar-SA"/>
    </w:rPr>
  </w:style>
  <w:style w:type="character" w:styleId="1009" w:customStyle="1">
    <w:name w:val="批注文字 Char1"/>
    <w:basedOn w:val="942"/>
    <w:uiPriority w:val="99"/>
    <w:semiHidden/>
    <w:qFormat/>
    <w:rPr>
      <w:rFonts w:ascii="Times New Roman" w:hAnsi="Times New Roman" w:eastAsia="宋体" w:cs="Times New Roman"/>
      <w:sz w:val="21"/>
      <w:szCs w:val="21"/>
    </w:rPr>
  </w:style>
  <w:style w:type="character" w:styleId="1010" w:customStyle="1">
    <w:name w:val="批注主题 Char1"/>
    <w:basedOn w:val="1009"/>
    <w:uiPriority w:val="99"/>
    <w:semiHidden/>
    <w:qFormat/>
    <w:rPr>
      <w:rFonts w:ascii="Times New Roman" w:hAnsi="Times New Roman" w:eastAsia="宋体" w:cs="Times New Roman"/>
      <w:b/>
      <w:bCs/>
      <w:sz w:val="21"/>
      <w:szCs w:val="21"/>
    </w:rPr>
  </w:style>
  <w:style w:type="character" w:styleId="1011" w:customStyle="1">
    <w:name w:val="批注框文本 Char1"/>
    <w:basedOn w:val="942"/>
    <w:uiPriority w:val="99"/>
    <w:semiHidden/>
    <w:qFormat/>
    <w:rPr>
      <w:rFonts w:ascii="Times New Roman" w:hAnsi="Times New Roman" w:eastAsia="宋体" w:cs="Times New Roman"/>
      <w:sz w:val="18"/>
      <w:szCs w:val="18"/>
    </w:rPr>
  </w:style>
  <w:style w:type="paragraph" w:styleId="1012" w:customStyle="1">
    <w:name w:val="普通 (Web)"/>
    <w:basedOn w:val="932"/>
    <w:uiPriority w:val="99"/>
    <w:qFormat/>
    <w:pPr>
      <w:jc w:val="left"/>
      <w:spacing w:before="100" w:beforeAutospacing="1" w:after="100" w:afterAutospacing="1"/>
      <w:widowControl/>
    </w:pPr>
    <w:rPr>
      <w:rFonts w:ascii="宋体" w:hAnsi="宋体"/>
      <w:sz w:val="24"/>
      <w:szCs w:val="24"/>
    </w:rPr>
  </w:style>
  <w:style w:type="paragraph" w:styleId="1013" w:customStyle="1">
    <w:name w:val="标题3"/>
    <w:basedOn w:val="932"/>
    <w:next w:val="932"/>
    <w:uiPriority w:val="99"/>
    <w:qFormat/>
    <w:pPr>
      <w:ind w:firstLine="624"/>
      <w:spacing w:line="590" w:lineRule="atLeast"/>
    </w:pPr>
    <w:rPr>
      <w:rFonts w:ascii="方正黑体_GBK" w:eastAsia="方正黑体_GBK"/>
      <w:sz w:val="32"/>
      <w:szCs w:val="32"/>
    </w:rPr>
  </w:style>
  <w:style w:type="paragraph" w:styleId="1014" w:customStyle="1">
    <w:name w:val="标题1"/>
    <w:basedOn w:val="932"/>
    <w:next w:val="93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6" w:customStyle="1">
    <w:name w:val="4"/>
    <w:basedOn w:val="932"/>
    <w:next w:val="964"/>
    <w:uiPriority w:val="99"/>
    <w:qFormat/>
    <w:pPr>
      <w:ind w:firstLine="420"/>
      <w:spacing w:line="360" w:lineRule="auto"/>
    </w:pPr>
    <w:rPr>
      <w:color w:val="ff0000"/>
      <w:sz w:val="24"/>
      <w:szCs w:val="24"/>
    </w:rPr>
  </w:style>
  <w:style w:type="paragraph" w:styleId="1017" w:customStyle="1">
    <w:name w:val="样式1"/>
    <w:basedOn w:val="932"/>
    <w:uiPriority w:val="99"/>
    <w:qFormat/>
    <w:pPr>
      <w:ind w:left="709" w:hanging="709"/>
      <w:tabs>
        <w:tab w:val="left" w:pos="709" w:leader="none"/>
      </w:tabs>
    </w:pPr>
    <w:rPr>
      <w:rFonts w:ascii="宋体" w:hAnsi="宋体"/>
    </w:rPr>
  </w:style>
  <w:style w:type="paragraph" w:styleId="1018" w:customStyle="1">
    <w:name w:val="普通正文"/>
    <w:basedOn w:val="932"/>
    <w:next w:val="932"/>
    <w:uiPriority w:val="99"/>
    <w:qFormat/>
    <w:pPr>
      <w:ind w:firstLine="480"/>
      <w:jc w:val="left"/>
      <w:spacing w:before="120" w:after="120" w:line="360" w:lineRule="auto"/>
    </w:pPr>
    <w:rPr>
      <w:rFonts w:ascii="Arial" w:hAnsi="Arial"/>
      <w:sz w:val="24"/>
      <w:szCs w:val="24"/>
    </w:rPr>
  </w:style>
  <w:style w:type="paragraph" w:styleId="1019" w:customStyle="1">
    <w:name w:val="Body Text(ch)"/>
    <w:basedOn w:val="932"/>
    <w:next w:val="950"/>
    <w:uiPriority w:val="99"/>
    <w:qFormat/>
    <w:pPr>
      <w:spacing w:after="120"/>
    </w:pPr>
    <w:rPr>
      <w:rFonts w:ascii="宋体" w:hAnsi="Arial"/>
      <w:bCs/>
      <w:iCs/>
      <w:szCs w:val="24"/>
    </w:rPr>
  </w:style>
  <w:style w:type="paragraph" w:styleId="1020" w:customStyle="1">
    <w:name w:val="图标"/>
    <w:basedOn w:val="932"/>
    <w:next w:val="93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xl25"/>
    <w:basedOn w:val="93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customStyle="1">
    <w:name w:val="font5"/>
    <w:basedOn w:val="932"/>
    <w:uiPriority w:val="99"/>
    <w:qFormat/>
    <w:pPr>
      <w:jc w:val="left"/>
      <w:spacing w:before="100" w:beforeAutospacing="1" w:after="100" w:afterAutospacing="1"/>
      <w:widowControl/>
    </w:pPr>
    <w:rPr>
      <w:rFonts w:ascii="宋体" w:hAnsi="宋体"/>
      <w:sz w:val="28"/>
      <w:szCs w:val="28"/>
    </w:rPr>
  </w:style>
  <w:style w:type="paragraph" w:styleId="1023" w:customStyle="1">
    <w:name w:val="font6"/>
    <w:basedOn w:val="932"/>
    <w:uiPriority w:val="99"/>
    <w:qFormat/>
    <w:pPr>
      <w:jc w:val="left"/>
      <w:spacing w:before="100" w:beforeAutospacing="1" w:after="100" w:afterAutospacing="1"/>
      <w:widowControl/>
    </w:pPr>
    <w:rPr>
      <w:rFonts w:ascii="宋体" w:hAnsi="宋体"/>
      <w:sz w:val="28"/>
      <w:szCs w:val="28"/>
      <w:u w:val="single"/>
    </w:rPr>
  </w:style>
  <w:style w:type="paragraph" w:styleId="1024" w:customStyle="1">
    <w:name w:val="font7"/>
    <w:basedOn w:val="932"/>
    <w:uiPriority w:val="99"/>
    <w:qFormat/>
    <w:pPr>
      <w:jc w:val="left"/>
      <w:spacing w:before="100" w:beforeAutospacing="1" w:after="100" w:afterAutospacing="1"/>
      <w:widowControl/>
    </w:pPr>
    <w:rPr>
      <w:rFonts w:ascii="宋体" w:hAnsi="宋体"/>
      <w:sz w:val="18"/>
      <w:szCs w:val="18"/>
    </w:rPr>
  </w:style>
  <w:style w:type="paragraph" w:styleId="1025" w:customStyle="1">
    <w:name w:val="xl24"/>
    <w:basedOn w:val="93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6" w:customStyle="1">
    <w:name w:val="xl26"/>
    <w:basedOn w:val="9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7" w:customStyle="1">
    <w:name w:val="xl27"/>
    <w:basedOn w:val="93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8" w:customStyle="1">
    <w:name w:val="xl28"/>
    <w:basedOn w:val="93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9" w:customStyle="1">
    <w:name w:val="xl29"/>
    <w:basedOn w:val="932"/>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0" w:customStyle="1">
    <w:name w:val="xl30"/>
    <w:basedOn w:val="932"/>
    <w:uiPriority w:val="99"/>
    <w:qFormat/>
    <w:pPr>
      <w:jc w:val="center"/>
      <w:spacing w:before="100" w:beforeAutospacing="1" w:after="100" w:afterAutospacing="1"/>
      <w:widowControl/>
    </w:pPr>
    <w:rPr>
      <w:rFonts w:ascii="宋体" w:hAnsi="宋体"/>
      <w:b/>
      <w:bCs/>
      <w:sz w:val="36"/>
      <w:szCs w:val="36"/>
    </w:rPr>
  </w:style>
  <w:style w:type="paragraph" w:styleId="1031" w:customStyle="1">
    <w:name w:val="Char"/>
    <w:basedOn w:val="947"/>
    <w:uiPriority w:val="0"/>
    <w:qFormat/>
    <w:rPr>
      <w:rFonts w:ascii="Tahoma" w:hAnsi="Tahoma"/>
      <w:sz w:val="24"/>
      <w:szCs w:val="24"/>
    </w:rPr>
  </w:style>
  <w:style w:type="paragraph" w:styleId="1032" w:customStyle="1">
    <w:name w:val="table_1stline"/>
    <w:basedOn w:val="932"/>
    <w:uiPriority w:val="99"/>
    <w:qFormat/>
    <w:pPr>
      <w:jc w:val="left"/>
      <w:spacing w:before="120"/>
      <w:widowControl/>
    </w:pPr>
    <w:rPr>
      <w:bCs/>
      <w:sz w:val="20"/>
      <w:szCs w:val="20"/>
      <w:lang w:val="de-DE" w:eastAsia="de-DE"/>
    </w:rPr>
  </w:style>
  <w:style w:type="paragraph" w:styleId="1033" w:customStyle="1">
    <w:name w:val="table_lines"/>
    <w:basedOn w:val="932"/>
    <w:uiPriority w:val="99"/>
    <w:qFormat/>
    <w:pPr>
      <w:jc w:val="left"/>
      <w:widowControl/>
    </w:pPr>
    <w:rPr>
      <w:sz w:val="20"/>
      <w:szCs w:val="20"/>
      <w:lang w:val="de-DE" w:eastAsia="de-DE"/>
    </w:rPr>
  </w:style>
  <w:style w:type="character" w:styleId="1034" w:customStyle="1">
    <w:name w:val="font5 Char"/>
    <w:uiPriority w:val="99"/>
    <w:qFormat/>
    <w:rPr>
      <w:rFonts w:ascii="宋体" w:hAnsi="宋体" w:eastAsia="宋体"/>
      <w:sz w:val="28"/>
      <w:lang w:val="en-US" w:eastAsia="zh-CN"/>
    </w:rPr>
  </w:style>
  <w:style w:type="paragraph" w:styleId="1035" w:customStyle="1">
    <w:name w:val="Char Char Char Char"/>
    <w:basedOn w:val="947"/>
    <w:uiPriority w:val="99"/>
    <w:qFormat/>
    <w:pPr>
      <w:spacing w:line="360" w:lineRule="auto"/>
    </w:pPr>
    <w:rPr>
      <w:rFonts w:ascii="Tahoma" w:hAnsi="Tahoma"/>
      <w:sz w:val="24"/>
      <w:szCs w:val="24"/>
    </w:rPr>
  </w:style>
  <w:style w:type="paragraph" w:styleId="1036" w:customStyle="1">
    <w:name w:val="Char Char Char Char Char Char Char Char"/>
    <w:basedOn w:val="932"/>
    <w:uiPriority w:val="99"/>
    <w:qFormat/>
    <w:pPr>
      <w:jc w:val="left"/>
      <w:spacing w:after="160" w:line="240" w:lineRule="exact"/>
      <w:widowControl/>
    </w:pPr>
    <w:rPr>
      <w:rFonts w:ascii="Verdana" w:hAnsi="Verdana"/>
      <w:sz w:val="20"/>
      <w:szCs w:val="20"/>
      <w:lang w:eastAsia="en-US"/>
    </w:rPr>
  </w:style>
  <w:style w:type="paragraph" w:styleId="1037" w:customStyle="1">
    <w:name w:val="列出段落1"/>
    <w:basedOn w:val="932"/>
    <w:uiPriority w:val="99"/>
    <w:qFormat/>
    <w:pPr>
      <w:contextualSpacing/>
      <w:ind w:left="720"/>
      <w:jc w:val="left"/>
      <w:widowControl/>
    </w:pPr>
    <w:rPr>
      <w:rFonts w:ascii="Calibri" w:hAnsi="Calibri"/>
      <w:sz w:val="24"/>
      <w:szCs w:val="24"/>
      <w:lang w:eastAsia="en-US"/>
    </w:rPr>
  </w:style>
  <w:style w:type="paragraph" w:styleId="1038" w:customStyle="1">
    <w:name w:val="Char Char Char Char Char Char Char Char Char Char"/>
    <w:basedOn w:val="932"/>
    <w:uiPriority w:val="99"/>
    <w:qFormat/>
    <w:pPr>
      <w:spacing w:line="360" w:lineRule="auto"/>
    </w:pPr>
    <w:rPr>
      <w:sz w:val="24"/>
      <w:szCs w:val="20"/>
    </w:rPr>
  </w:style>
  <w:style w:type="character" w:styleId="1039" w:customStyle="1">
    <w:name w:val="列出段落 Char"/>
    <w:link w:val="1040"/>
    <w:uiPriority w:val="99"/>
    <w:qFormat/>
    <w:rPr>
      <w:rFonts w:ascii="Calibri" w:hAnsi="Calibri"/>
      <w:sz w:val="24"/>
      <w:lang w:eastAsia="en-US"/>
    </w:rPr>
  </w:style>
  <w:style w:type="paragraph" w:styleId="1040" w:customStyle="1">
    <w:name w:val="列出段落11"/>
    <w:basedOn w:val="932"/>
    <w:link w:val="1039"/>
    <w:uiPriority w:val="99"/>
    <w:qFormat/>
    <w:pPr>
      <w:contextualSpacing/>
      <w:ind w:left="720"/>
      <w:jc w:val="left"/>
      <w:widowControl/>
    </w:pPr>
    <w:rPr>
      <w:rFonts w:ascii="Calibri" w:hAnsi="Calibri"/>
      <w:sz w:val="24"/>
      <w:szCs w:val="20"/>
      <w:lang w:eastAsia="en-US"/>
    </w:rPr>
  </w:style>
  <w:style w:type="character" w:styleId="1041" w:customStyle="1">
    <w:name w:val="二级目录 Char"/>
    <w:link w:val="1042"/>
    <w:uiPriority w:val="99"/>
    <w:qFormat/>
    <w:rPr>
      <w:rFonts w:ascii="Calibri" w:hAnsi="Calibri"/>
      <w:b/>
      <w:sz w:val="30"/>
      <w:szCs w:val="28"/>
      <w:lang w:val="en-US" w:eastAsia="zh-CN" w:bidi="ar-SA"/>
    </w:rPr>
  </w:style>
  <w:style w:type="paragraph" w:styleId="1042" w:customStyle="1">
    <w:name w:val="二级目录"/>
    <w:next w:val="932"/>
    <w:link w:val="1041"/>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3" w:customStyle="1">
    <w:name w:val="news12241"/>
    <w:basedOn w:val="942"/>
    <w:uiPriority w:val="0"/>
    <w:qFormat/>
    <w:rPr>
      <w:color w:val="000000"/>
      <w:sz w:val="18"/>
      <w:szCs w:val="18"/>
      <w:u w:val="none"/>
    </w:rPr>
  </w:style>
  <w:style w:type="character" w:styleId="1044" w:customStyle="1">
    <w:name w:val="apple-converted-space"/>
    <w:basedOn w:val="942"/>
    <w:uiPriority w:val="0"/>
    <w:qFormat/>
  </w:style>
  <w:style w:type="paragraph" w:styleId="1045" w:customStyle="1">
    <w:name w:val="列出段落2"/>
    <w:basedOn w:val="932"/>
    <w:uiPriority w:val="0"/>
    <w:qFormat/>
    <w:pPr>
      <w:ind w:firstLine="420"/>
    </w:pPr>
    <w:rPr>
      <w:rFonts w:ascii="Calibri" w:hAnsi="Calibri"/>
      <w:szCs w:val="22"/>
    </w:rPr>
  </w:style>
  <w:style w:type="paragraph" w:styleId="1046">
    <w:name w:val="List Paragraph"/>
    <w:basedOn w:val="932"/>
    <w:link w:val="1047"/>
    <w:uiPriority w:val="34"/>
    <w:qFormat/>
    <w:pPr>
      <w:ind w:firstLine="420"/>
      <w:spacing w:line="360" w:lineRule="auto"/>
    </w:pPr>
    <w:rPr>
      <w:sz w:val="24"/>
      <w:szCs w:val="22"/>
    </w:rPr>
  </w:style>
  <w:style w:type="character" w:styleId="1047" w:customStyle="1">
    <w:name w:val="列表段落 字符"/>
    <w:link w:val="1046"/>
    <w:uiPriority w:val="34"/>
    <w:qFormat/>
    <w:rPr>
      <w:rFonts w:ascii="Times New Roman" w:hAnsi="Times New Roman" w:eastAsia="宋体" w:cs="Times New Roman"/>
      <w:sz w:val="24"/>
      <w:szCs w:val="22"/>
    </w:rPr>
  </w:style>
  <w:style w:type="paragraph" w:styleId="1048" w:customStyle="1">
    <w:name w:val="TOC 标题1"/>
    <w:basedOn w:val="933"/>
    <w:next w:val="932"/>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49" w:customStyle="1">
    <w:name w:val="default"/>
    <w:basedOn w:val="932"/>
    <w:uiPriority w:val="99"/>
    <w:qFormat/>
    <w:pPr>
      <w:jc w:val="left"/>
      <w:widowControl/>
    </w:pPr>
    <w:rPr>
      <w:rFonts w:ascii="黑体" w:hAnsi="黑体" w:eastAsia="黑体" w:cs="宋体"/>
      <w:color w:val="000000"/>
      <w:sz w:val="24"/>
      <w:szCs w:val="24"/>
    </w:rPr>
  </w:style>
  <w:style w:type="character" w:styleId="1050" w:customStyle="1">
    <w:name w:val="font61"/>
    <w:basedOn w:val="942"/>
    <w:uiPriority w:val="0"/>
    <w:qFormat/>
    <w:rPr>
      <w:rFonts w:hint="eastAsia" w:ascii="微软雅黑" w:hAnsi="微软雅黑" w:eastAsia="微软雅黑" w:cs="微软雅黑"/>
      <w:color w:val="000000"/>
      <w:sz w:val="20"/>
      <w:szCs w:val="20"/>
      <w:u w:val="none"/>
    </w:rPr>
  </w:style>
  <w:style w:type="paragraph" w:styleId="1051" w:customStyle="1">
    <w:name w:val="表格文字"/>
    <w:basedOn w:val="932"/>
    <w:next w:val="950"/>
    <w:uiPriority w:val="0"/>
    <w:qFormat/>
    <w:pPr>
      <w:jc w:val="left"/>
      <w:spacing w:before="25" w:after="25"/>
    </w:pPr>
    <w:rPr>
      <w:bCs/>
      <w:spacing w:val="10"/>
      <w:sz w:val="24"/>
      <w:szCs w:val="20"/>
    </w:rPr>
  </w:style>
  <w:style w:type="paragraph" w:styleId="1052" w:customStyle="1">
    <w:name w:val="Table Paragraph"/>
    <w:basedOn w:val="932"/>
    <w:uiPriority w:val="1"/>
    <w:qFormat/>
    <w:pPr>
      <w:jc w:val="left"/>
    </w:pPr>
    <w:rPr>
      <w:rFonts w:ascii="宋体" w:hAnsi="宋体" w:cs="宋体"/>
      <w:sz w:val="22"/>
      <w:szCs w:val="22"/>
      <w:lang w:val="zh-CN" w:bidi="zh-CN"/>
    </w:rPr>
  </w:style>
  <w:style w:type="paragraph" w:styleId="1053" w:customStyle="1">
    <w:name w:val="Plain Text11"/>
    <w:basedOn w:val="932"/>
    <w:uiPriority w:val="0"/>
    <w:qFormat/>
    <w:rPr>
      <w:rFonts w:ascii="宋体" w:hAnsi="Courier New" w:eastAsia="楷体_GB2312"/>
      <w:sz w:val="28"/>
      <w:szCs w:val="20"/>
    </w:rPr>
  </w:style>
  <w:style w:type="character" w:styleId="1054" w:customStyle="1">
    <w:name w:val="font11"/>
    <w:basedOn w:val="942"/>
    <w:uiPriority w:val="0"/>
    <w:qFormat/>
    <w:rPr>
      <w:rFonts w:hint="eastAsia" w:ascii="宋体" w:hAnsi="宋体" w:eastAsia="宋体" w:cs="宋体"/>
      <w:color w:val="000000"/>
      <w:sz w:val="18"/>
      <w:szCs w:val="18"/>
      <w:u w:val="none"/>
    </w:rPr>
  </w:style>
  <w:style w:type="character" w:styleId="1055" w:customStyle="1">
    <w:name w:val="font21"/>
    <w:basedOn w:val="942"/>
    <w:uiPriority w:val="0"/>
    <w:qFormat/>
    <w:rPr>
      <w:rFonts w:hint="eastAsia" w:ascii="宋体" w:hAnsi="宋体" w:eastAsia="宋体" w:cs="宋体"/>
      <w:color w:val="000000"/>
      <w:sz w:val="20"/>
      <w:szCs w:val="20"/>
      <w:u w:val="none"/>
    </w:rPr>
  </w:style>
  <w:style w:type="paragraph" w:styleId="1056" w:customStyle="1">
    <w:name w:val="Body text|1"/>
    <w:basedOn w:val="932"/>
    <w:uiPriority w:val="0"/>
    <w:qFormat/>
    <w:pPr>
      <w:ind w:firstLine="400"/>
      <w:spacing w:line="360" w:lineRule="auto"/>
    </w:pPr>
    <w:rPr>
      <w:rFonts w:ascii="宋体" w:hAnsi="宋体" w:cs="宋体"/>
      <w:sz w:val="22"/>
      <w:szCs w:val="22"/>
      <w:lang w:val="zh-TW" w:eastAsia="zh-TW" w:bidi="zh-TW"/>
    </w:rPr>
  </w:style>
  <w:style w:type="paragraph" w:styleId="1057" w:customStyle="1">
    <w:name w:val="Other|1"/>
    <w:basedOn w:val="932"/>
    <w:uiPriority w:val="0"/>
    <w:qFormat/>
    <w:pPr>
      <w:ind w:firstLine="400"/>
      <w:spacing w:line="360" w:lineRule="auto"/>
    </w:pPr>
    <w:rPr>
      <w:rFonts w:ascii="宋体" w:hAnsi="宋体" w:cs="宋体"/>
      <w:sz w:val="22"/>
      <w:szCs w:val="22"/>
      <w:lang w:val="zh-TW" w:eastAsia="zh-TW" w:bidi="zh-TW"/>
    </w:rPr>
  </w:style>
  <w:style w:type="paragraph" w:styleId="1058" w:customStyle="1">
    <w:name w:val="表格"/>
    <w:basedOn w:val="932"/>
    <w:uiPriority w:val="0"/>
    <w:qFormat/>
    <w:rPr>
      <w:rFonts w:ascii="华文细黑" w:hAnsi="华文细黑" w:eastAsia="华文细黑"/>
      <w:szCs w:val="24"/>
    </w:rPr>
  </w:style>
  <w:style w:type="table" w:styleId="1059" w:customStyle="1">
    <w:name w:val="Table Normal2"/>
    <w:uiPriority w:val="2"/>
    <w:semiHidden/>
    <w:unhideWhenUsed/>
    <w:qFormat/>
    <w:tblPr>
      <w:tblCellMar>
        <w:left w:w="0" w:type="dxa"/>
        <w:top w:w="0" w:type="dxa"/>
        <w:right w:w="0" w:type="dxa"/>
        <w:bottom w:w="0" w:type="dxa"/>
      </w:tblCellMar>
    </w:tblPr>
  </w:style>
  <w:style w:type="paragraph" w:styleId="1060" w:customStyle="1">
    <w:name w:val="修订1"/>
    <w:hidden/>
    <w:uiPriority w:val="99"/>
    <w:semiHidden/>
    <w:qFormat/>
    <w:rPr>
      <w:rFonts w:ascii="Times New Roman" w:hAnsi="Times New Roman" w:eastAsia="宋体" w:cs="Times New Roman"/>
      <w:sz w:val="21"/>
      <w:szCs w:val="21"/>
      <w:lang w:val="en-US" w:eastAsia="zh-CN" w:bidi="ar-SA"/>
    </w:rPr>
  </w:style>
  <w:style w:type="paragraph" w:styleId="1061" w:customStyle="1">
    <w:name w:val="标题 21"/>
    <w:basedOn w:val="932"/>
    <w:uiPriority w:val="1"/>
    <w:qFormat/>
    <w:pPr>
      <w:ind w:left="100" w:right="108"/>
      <w:outlineLvl w:val="2"/>
    </w:pPr>
    <w:rPr>
      <w:rFonts w:ascii="Microsoft JhengHei" w:hAnsi="Microsoft JhengHei" w:eastAsia="Microsoft JhengHei" w:cs="Microsoft JhengHei"/>
      <w:b/>
      <w:bCs/>
      <w:sz w:val="32"/>
      <w:szCs w:val="32"/>
    </w:rPr>
  </w:style>
  <w:style w:type="character" w:styleId="1062" w:customStyle="1">
    <w:name w:val="font01"/>
    <w:basedOn w:val="942"/>
    <w:uiPriority w:val="0"/>
    <w:qFormat/>
    <w:rPr>
      <w:rFonts w:hint="default" w:ascii="Times New Roman" w:hAnsi="Times New Roman" w:cs="Times New Roman"/>
      <w:color w:val="000000"/>
      <w:sz w:val="21"/>
      <w:szCs w:val="21"/>
      <w:u w:val="none"/>
    </w:rPr>
  </w:style>
  <w:style w:type="character" w:styleId="1063" w:customStyle="1">
    <w:name w:val="font31"/>
    <w:basedOn w:val="942"/>
    <w:uiPriority w:val="0"/>
    <w:qFormat/>
    <w:rPr>
      <w:rFonts w:hint="eastAsia" w:ascii="宋体" w:hAnsi="宋体" w:eastAsia="宋体" w:cs="宋体"/>
      <w:color w:val="000000"/>
      <w:sz w:val="21"/>
      <w:szCs w:val="21"/>
      <w:u w:val="none"/>
    </w:rPr>
  </w:style>
  <w:style w:type="character" w:styleId="1064" w:customStyle="1">
    <w:name w:val="font51"/>
    <w:basedOn w:val="942"/>
    <w:uiPriority w:val="0"/>
    <w:qFormat/>
    <w:rPr>
      <w:rFonts w:hint="default" w:ascii="Times New Roman" w:hAnsi="Times New Roman" w:cs="Times New Roman"/>
      <w:color w:val="000000"/>
      <w:sz w:val="21"/>
      <w:szCs w:val="21"/>
      <w:u w:val="none"/>
    </w:rPr>
  </w:style>
  <w:style w:type="character" w:styleId="1065" w:customStyle="1">
    <w:name w:val="font41"/>
    <w:basedOn w:val="942"/>
    <w:uiPriority w:val="0"/>
    <w:qFormat/>
    <w:rPr>
      <w:rFonts w:hint="default" w:ascii="Times New Roman" w:hAnsi="Times New Roman" w:cs="Times New Roman"/>
      <w:color w:val="000000"/>
      <w:sz w:val="21"/>
      <w:szCs w:val="21"/>
      <w:u w:val="none"/>
      <w:vertAlign w:val="superscript"/>
    </w:rPr>
  </w:style>
  <w:style w:type="paragraph" w:styleId="1066" w:customStyle="1">
    <w:name w:val="正文1"/>
    <w:basedOn w:val="932"/>
    <w:uiPriority w:val="0"/>
    <w:qFormat/>
    <w:pPr>
      <w:ind w:firstLine="420"/>
      <w:spacing w:line="400" w:lineRule="exact"/>
    </w:pPr>
    <w:rPr>
      <w:rFonts w:ascii="宋体" w:hAnsi="宋体"/>
    </w:rPr>
  </w:style>
  <w:style w:type="paragraph" w:styleId="1067"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068"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1069"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070" w:customStyle="1">
    <w:name w:val="图表标题"/>
    <w:basedOn w:val="932"/>
    <w:uiPriority w:val="0"/>
    <w:qFormat/>
    <w:pPr>
      <w:ind w:firstLine="482"/>
      <w:jc w:val="center"/>
      <w:spacing w:line="500" w:lineRule="exact"/>
    </w:pPr>
    <w:rPr>
      <w:rFonts w:eastAsia="仿宋_GB2312"/>
      <w:b/>
      <w:bCs/>
      <w:sz w:val="24"/>
    </w:rPr>
  </w:style>
  <w:style w:type="paragraph" w:styleId="1071">
    <w:name w:val="No Spacing"/>
    <w:uiPriority w:val="1"/>
    <w:qFormat/>
    <w:pPr>
      <w:jc w:val="center"/>
      <w:widowControl w:val="off"/>
    </w:pPr>
    <w:rPr>
      <w:rFonts w:asciiTheme="minorHAnsi" w:hAnsiTheme="minorHAnsi" w:eastAsiaTheme="minorEastAsia" w:cstheme="minorBidi"/>
      <w:sz w:val="21"/>
      <w:szCs w:val="21"/>
      <w:lang w:val="en-US" w:eastAsia="zh-CN" w:bidi="ar-SA"/>
      <w14:ligatures w14:val="standardContextual"/>
    </w:rPr>
  </w:style>
  <w:style w:type="paragraph" w:styleId="1072" w:customStyle="1">
    <w:name w:val="CM5"/>
    <w:basedOn w:val="932"/>
    <w:next w:val="932"/>
    <w:uiPriority w:val="0"/>
    <w:qFormat/>
    <w:pPr>
      <w:jc w:val="left"/>
      <w:spacing w:line="600" w:lineRule="atLeast"/>
    </w:pPr>
    <w:rPr>
      <w:rFonts w:ascii="宋体"/>
      <w:sz w:val="24"/>
      <w:szCs w:val="24"/>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张敏</cp:lastModifiedBy>
  <cp:revision>5</cp:revision>
  <dcterms:created xsi:type="dcterms:W3CDTF">2024-08-22T13:35:00Z</dcterms:created>
  <dcterms:modified xsi:type="dcterms:W3CDTF">2024-08-27T07:13:57Z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020A411501CD4FDDBA3AE6EE91272AE0_13</vt:lpwstr>
  </property>
</Properties>
</file>