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苏州市吴中区政府采购</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服务类公开招标项目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SimSun" w:hAnsi="SimSun" w:eastAsia="SimSun" w:cs="SimSun"/>
          <w:b/>
          <w:color w:val="000000"/>
          <w:sz w:val="30"/>
          <w:u w:val="single"/>
        </w:rPr>
        <w:t xml:space="preserve">JSZC-320506-SZDX-G2024-0016 </w:t>
      </w:r>
      <w:r>
        <w:rPr>
          <w:rFonts w:ascii="SimSun" w:hAnsi="SimSun" w:eastAsia="SimSun" w:cs="SimSun"/>
          <w:b/>
          <w:color w:val="000000"/>
          <w:sz w:val="30"/>
        </w:rPr>
        <w:t xml:space="preserve"> </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师生食堂食材配送服务</w:t>
      </w:r>
      <w:r>
        <w:rPr>
          <w:rFonts w:ascii="SimSun" w:hAnsi="SimSun" w:eastAsia="SimSun" w:cs="SimSun"/>
          <w:b/>
          <w:color w:val="000000"/>
          <w:sz w:val="30"/>
        </w:rPr>
        <w:t xml:space="preserve">   </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w:t>
      </w:r>
      <w:r>
        <w:rPr>
          <w:rFonts w:ascii="SimSun" w:hAnsi="SimSun" w:eastAsia="SimSun" w:cs="SimSun"/>
          <w:b/>
          <w:color w:val="000000"/>
          <w:sz w:val="30"/>
          <w:u w:val="single"/>
        </w:rPr>
        <w:t xml:space="preserve">苏州市吴中区石湖实验幼儿园 </w:t>
      </w:r>
      <w:r>
        <w:rPr>
          <w:rFonts w:ascii="SimSun" w:hAnsi="SimSun" w:eastAsia="SimSun" w:cs="SimSun"/>
          <w:b/>
          <w:color w:val="000000"/>
          <w:sz w:val="30"/>
        </w:rPr>
        <w:t xml:space="preserve">    </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single"/>
        </w:rPr>
        <w:t xml:space="preserve">鼎信工程咨询（苏州）有限公司</w:t>
      </w:r>
      <w:r>
        <w:rPr>
          <w:rFonts w:ascii="SimSun" w:hAnsi="SimSun" w:eastAsia="SimSun" w:cs="SimSun"/>
          <w:b/>
          <w:color w:val="000000"/>
          <w:sz w:val="30"/>
        </w:rPr>
        <w:t xml:space="preserve">    </w:t>
      </w:r>
      <w:r/>
    </w:p>
    <w:p>
      <w:pPr>
        <w:ind w:left="0" w:right="0" w:firstLine="904"/>
        <w:spacing w:before="75" w:after="75"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项目类别：</w:t>
      </w:r>
      <w:r>
        <w:rPr>
          <w:rFonts w:ascii="SimSun" w:hAnsi="SimSun" w:eastAsia="SimSun" w:cs="SimSun"/>
          <w:b/>
          <w:color w:val="000000"/>
          <w:sz w:val="30"/>
          <w:u w:val="single"/>
        </w:rPr>
        <w:t xml:space="preserve">服务类</w:t>
      </w:r>
      <w:r>
        <w:rPr>
          <w:rFonts w:ascii="SimSun" w:hAnsi="SimSun" w:eastAsia="SimSun" w:cs="SimSun"/>
          <w:b/>
          <w:color w:val="000000"/>
          <w:sz w:val="30"/>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2024年7月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投标须知前附表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1"/>
        <w:gridCol w:w="76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项目编号：JSZC-320506-SZDX-G2024-0016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项目名称：师生食堂食材配送服务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预算金额：贰佰伍拾贰万肆仟元整（￥2524000.00）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采购人：苏州市吴中区石湖实验幼儿园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联系人：朱林芳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联系电话：0512-66985051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联系地址：苏州市吴中经济开发区兴吴路106号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招标代理机构：鼎信工程咨询（苏州）有限公司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地址：苏州市吴中区枫津南路18号南都广场1607</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联系人：陆珊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联系电话：0512-66233886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投标有效期：提交投标文件截止之日起45日历日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网上报名截止时间：2024年7月30日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电子投标文件制作要求：电子投标文件制作要求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）系统中下载招标文件后，点击“客户端下载地址”，下载投标文件客户端，查看客户端使用说明。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）将下载的采购文件导入投标文件客户端，按照使用说明完成投标文件的编制和加盖电子签章。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）导出制作完成的投标文件，上传至苏采云系统。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截止时间：2024年8月12日13:30整（北京时间）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投标时间：2024年8月12日13:30整（北京时间）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本项目为不见面开标项目，开启阶段投标单位在【供应商解密】环节必须使用 CA证书解密电子投标文件，如在系统规定的解密时间内未能完成解密的视为放弃参与本项目。“苏采云”系统（网址：http://jszfcg.jsczt.cn/）</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根据【2020年苏州市级政府采购代理服务收费公告信息表（第十二批）】的规定收取中标服务费。领取中标通知书时中标单位向招标代理机构一次性付清。由中标单位支付，按照招标预算100万元以内1.5%、100～500万元以1.1%、500~1000万元以0.8%，1000万元~5000万元以0.5%，差额定率累进法计算并支付中标服务费。本项目第一标段代理服务费按20071.00计收；第二标段代理服务费按15693.00计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账户名称：鼎信工程咨询（苏州）有限公司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开户银行：中国农业银行股份有限公司苏州吴中开发区支行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账号：10541201040081556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评标方法：综合评分法</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第一章 投标邀请函........................................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第二章 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第五章 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 评标方法和评分标准................................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鼎信工程咨询（苏州）有限公司受苏州市吴中区石湖实验幼儿园委托，对其所需采购的师生食堂食材配送服务进行公开招标，欢迎符合资格条件和具备履约能力的供应商单位前来参与。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项目编号：JSZC-320506-SZDX-G2024-0016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项目名称：师生食堂食材配送服务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预算金额：贰佰伍拾贰万肆仟元整（￥2524000.00）</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2"/>
        <w:gridCol w:w="4151"/>
        <w:gridCol w:w="1859"/>
        <w:gridCol w:w="18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石湖幼儿园师生食堂食材配送服务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1461000.00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石湖幼儿园邵昂分园师生食堂食材配送服务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1063000.00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1063000.00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本项目共分为2个标段，每标段成交单位数量为1家。响应单位可对以上2个标段中的其中一个标段或全部标段进行报名投标,但只允许成交一个标段。已在前期标段评审中获得成交资格的供应商，不再具有后续标段的得标权，不计入后续标段的实质性响应供应商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合同履行期限：自合同签订之日起一年。（按实际签订合同内规定的日期计算）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2、落实政府采购政策需满足的资格要求：本项目整体专门面向中小微企业采购，所属行业为</w:t>
      </w:r>
      <w:r>
        <w:rPr>
          <w:rFonts w:ascii="SimSun" w:hAnsi="SimSun" w:eastAsia="SimSun" w:cs="SimSun"/>
          <w:b/>
          <w:color w:val="000000"/>
          <w:sz w:val="24"/>
        </w:rPr>
        <w:t xml:space="preserve">其他未列明行业</w:t>
      </w:r>
      <w:r>
        <w:rPr>
          <w:rFonts w:ascii="SimSun" w:hAnsi="SimSun" w:eastAsia="SimSun" w:cs="SimSun"/>
          <w:color w:val="000000"/>
          <w:sz w:val="24"/>
        </w:rPr>
        <w:t xml:space="preserve">。中小微企业参加本项目政府采购活动在投标文件中需出具《中小企业声明函》（详见格式），残疾人福利性单位（监狱企业）供应商提供的残疾人福利性单位声明函（监狱企业证明文件）视同提供了中小企业声明函。</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（2）投标单位具有有效期内的食品经营许可证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1、报名截止时间：自本公告发布之日起至2024年7月30日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3、报名：“苏采云”系统（网址：http://jszfcg.jsczt.cn/）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1、时间：2024年8月12日13:30（北京时间）。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3、方式：投标文件网上递交 ，不需要现场参加采购活动。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线上参加开标（开启）会方式：供应商登录“苏采云”系统，点击“开标大厅”，选择对应项目，点击进入不见面开标系统。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本项目为不见面开标（开启）项目，</w:t>
      </w:r>
      <w:r>
        <w:rPr>
          <w:rFonts w:ascii="SimSun" w:hAnsi="SimSun" w:eastAsia="SimSun" w:cs="SimSun"/>
          <w:b/>
          <w:color w:val="000000"/>
          <w:sz w:val="24"/>
        </w:rPr>
        <w:t xml:space="preserve">开启阶段供应商在【解密环节】必须使用 CA证书解密电子投标（响应）文件，如在“苏采云”系统规定的时间内未能成功解密的视为放弃参与本项目，投标无效。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请供应商确保电脑、系统及其他设备（视频输入输出设备等）无误，且开启直至项目结束始终保持系统在线状态。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1、本公告同时在江苏政府采购网、苏州市政府采购网发布。</w:t>
      </w:r>
      <w:r>
        <w:rPr>
          <w:rFonts w:ascii="SimSun" w:hAnsi="SimSun" w:eastAsia="SimSun" w:cs="SimSun"/>
          <w:color w:val="000000"/>
          <w:sz w:val="24"/>
          <w:highlight w:val="white"/>
        </w:rPr>
        <w:t xml:space="preserve">苏州吴中经济技术开发区财政分局政府采购监管电话：0512-66565137。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3、本项目获取采购文件截止日期之后仍可以下载采购文件，但截止日期之后下载的采购文件，视为非有效方式且不作为供应商权益受到损害的证明材料和依据。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4、本项目支持政府采购合同信用融资。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名称：苏州市吴中区石湖实验幼儿园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地址：苏州市吴中经济开发区兴吴路106号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联系方式：0512-66985007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联系人：朱林芳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名称：鼎信工程咨询（苏州）有限公司</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地址：苏州市吴中区枫津南路18号南都广场1607</w:t>
      </w:r>
      <w:r/>
    </w:p>
    <w:p>
      <w:pPr>
        <w:ind w:left="0" w:right="0" w:firstLine="6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联系方式：0512-66233886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项目联系人：陆珊电话：0512-66233886</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1188"/>
        <w:jc w:val="both"/>
        <w:spacing w:before="210" w:after="21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w:t>
      </w:r>
      <w:r>
        <w:rPr>
          <w:rFonts w:ascii="SimSun" w:hAnsi="SimSun" w:eastAsia="SimSun" w:cs="SimSun"/>
          <w:color w:val="000000"/>
          <w:sz w:val="24"/>
          <w:u w:val="single"/>
        </w:rPr>
        <w:t xml:space="preserve">鼎信工程咨询（苏州）有限公司</w:t>
      </w:r>
      <w:r>
        <w:rPr>
          <w:rFonts w:ascii="SimSun" w:hAnsi="SimSun" w:eastAsia="SimSun" w:cs="SimSun"/>
          <w:color w:val="000000"/>
          <w:sz w:val="24"/>
        </w:rPr>
        <w:t xml:space="preserve">组织的采购活动。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w:t>
      </w:r>
      <w:r>
        <w:rPr>
          <w:rFonts w:ascii="SimSun" w:hAnsi="SimSun" w:eastAsia="SimSun" w:cs="SimSun"/>
          <w:color w:val="000000"/>
          <w:sz w:val="24"/>
          <w:u w:val="single"/>
        </w:rPr>
        <w:t xml:space="preserve">鼎信工程咨询（苏州）有限公司</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2.1采购人（甲方）：依法进行政府采购的国家机关、事业单位、团体组织。</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2.2采购代理机构：依法接受采购人委托，从事货物、工程和服务等政府采购代理业务的社会中介机构。</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2.3投标人（供应商）：响应招标、参加投标竞争的法人、非法人组织或者自然人。</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潜在投标人（供应商）：以招标文件规定的方式获取本项目招标文件的法人、非法人组织或者自然人。</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2.4响应：投标人根据采购代理机构或采购代理机构发布的招标文件，编制投标文件并按规定投标的行为。</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2.5中标人（乙方）：经评标委员会评定产生、采购合同中规定的向采购方提供货物或服务的法人或其他组织和自然人（中标人）。</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2.6合同：采供双方根据招标文件和中标的投标文件及中标通知书规定的内容签署的以书面形式所达成的协议，包括所有的附件、附录和构成协议的所有文件。</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2.7服务：系指本次招标文件规定乙方应承担的与提供货物和服务有关的辅助服务及合同中规定乙方应承担的其他义务。</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2.8知识产权：指专利权、商标权、著作权等无形财产专有权的统称。</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2.9天：日历日。</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2.10服务（交货）地点：合同中明确约定的服务（交货）的项目所在地。</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2.11合同价款：根据合同规定，乙方在正确地履行合同义务后甲方应支付乙方的价款。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2.13实质响应：满足有关本项目服务的具体要求，包括服务内容、履行期限、履行地点和方式、违约责任和解决争议方法等要求。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2.14进口产品：指通过中国海关报关验放进入中国境内且产自境外的产品。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2.15书面形式：指书面文字、合同书、信件和传真等可以有形地表现所载内容的形式。</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2.16小微企业：小型企业且提供自有服务的，视同为小型企业。微型企业且提供自有服务的，视同为微型企业。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供应商资格要求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3.1供应商应当具备下列一般条件：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3.1.6法律、行政法规规定的其他条件；</w:t>
      </w:r>
      <w:r/>
    </w:p>
    <w:p>
      <w:pPr>
        <w:ind w:left="0" w:right="0" w:firstLine="4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3.2本项目的特定资格要求：</w:t>
      </w:r>
      <w:r/>
    </w:p>
    <w:p>
      <w:pPr>
        <w:ind w:left="0" w:right="0" w:firstLine="4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3.2.1未被“信用中国”网站（WWW.creditchina.gov.cn）或“中国政府采购网”网站（www.ccgp.gov.cn）列入失信被执行人、重大税收违法案件当事人名单、政府采购严重失信行为记录名单；</w:t>
      </w:r>
      <w:r/>
    </w:p>
    <w:p>
      <w:pPr>
        <w:ind w:left="0" w:right="0" w:firstLine="4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3.2.2投标单位具有有效期内的食品经营许可证</w:t>
      </w:r>
      <w:r/>
    </w:p>
    <w:p>
      <w:pPr>
        <w:ind w:left="0" w:right="0" w:firstLine="4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4、投标人代表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4.1指全权代表投标人参加投标活动并签署投标文件的人，如果投标人代表不是法定代表人，须持有《授权委托书》（详见统一格式）。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5、投标费用 </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5.1无论投标过程中的做法和结果如何，投标人自行承担所有与参加投标有关的全部费用。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本采购项目不接受联合体投标。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三、招标文件的说明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采购代理机构无论出于自己的考虑，还是出于对投标人提问的澄清，均可对已发出的招标文件用补充通知（包括更正公告）的方式进行澄清或者修改，并通过中国政府采购网、江苏政府采购网、苏州市政府采购网对外进行发布。澄清或者修改的内容为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澄清或者修改的内容可能影响投标文件编制的，采购人或者采购代理机构应当在投标截止时间至少15日前，并通过江苏政府采购网、苏州市政府采购网对外进行发布；不足15日的，采购人或者采购代理机构应当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投标人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8.4招标文件的澄清、修改、补充等内容均以网上发布的内容为准。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9、勘察现场（本项目不涉及此条）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9.1根据自身投标需要，投标人可对有关现场和周围环境进行勘察，以获取编制投标文件和签署合同所需的信息。勘察现场所发生的费用由投标人自己承担。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9.3经采购人允许，投标人可为勘察目的进入采购人的项目现场，但投标人不得因此使采购人承担有关的责任和蒙受损失。投标人应承担勘察现场的责任和风险。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即《投标供应商确认函》）与质疑函一起递交，否则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10.3本次招标文件要求供应商在法定质疑期内一次性提出针对同一采购程序环节的质疑。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（1）供应商的姓名或者名称（以营业执照副本复印件为准）、地址、邮编、联系人及联系电话；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（7）供应商《投标供应商确认函》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接收质疑函的方式：书面形式（当场送达或邮寄方式）。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w:t>
      </w:r>
      <w:r>
        <w:rPr>
          <w:rFonts w:ascii="SimSun" w:hAnsi="SimSun" w:eastAsia="SimSun" w:cs="SimSun"/>
          <w:color w:val="000000"/>
          <w:sz w:val="24"/>
          <w:u w:val="single"/>
        </w:rPr>
        <w:t xml:space="preserve">陆珊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0512-66233886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苏州市吴中区枫津南路18号南都广场1607</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459" w:right="0" w:hanging="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11、提示与要求</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11.1投标人应仔细阅读招标文件的所有内容，按招标文件的要求提供投标文件，并保证所提供的全部资料的真实性，以使其投标对招标文件做出实质性响应，否则，其投标可能被拒绝。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11.2无论是否递交投标文件，投标人都应将招标文件及相关的所有通知、文件等视为保密文件。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12.1投标文件中所使用的计量单位，除招标文件中有特殊要求外，均应使用中华人民共和国法定计量单位。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投标文件的组成（部分文件格式参见第三章）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13.1封面：</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13.2开标一览表(统一格式,用于唱标)；</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13.3公开报价表</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13.4资格审查文件</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13.4.1具有独立承担民事责任的能力证明。包括法人或者其他组织的营业执照等证明文件，自然人的身份证明；</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13.4.2有依法缴纳税收和社会保障资金的良好记录。如税务登记证（如有）和合理期限内依法缴纳税收的凭据，社会保险登记证（如有）和合理期限内依法缴纳社会保险的凭据（专用收据或社会保险缴纳清单）；</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13.4.3具有良好的商业信誉和健全的财务会计制度证明。包括但不限于最近一期经审计的财务报告，其他组织、自然人及成立未满一年的法人应提供银行出具的资信证明；</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13.4.4参加政府采购活动前三年内，在经营活动中没有重大违法记录的书面声明函；</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13.4.5投标单位证明其满足合格投标人条件的证书、证明、文件等资料以及响应单位所具备的专业设备和专业技术能力，（根据《中华人民共和国市场主体登记管理条例》第十三条及相关部门规章的规定，企业法人性质的政府采购投标单位应在经工商管理部门核准登记注册的经营范围内参与经营活动）；</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13.4.6关于资格文件的声明函；</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13.4.7《中小企业声明函》或《残疾人福利性单位声明函》或由省级以上监狱管理局、戒毒管理局（含新疆生产建设兵团）出具的属于监狱企业的证明文件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13.4.8未被“信用中国”网站（www.creditchina.gov.cn）列入失信被执行人、重大税收违法案件当事人名单、政府采购严重失信行为记录名单；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13.4.9单位负责人为同一人或者存在直接控股、管理关系的不同供应商（包含法定代表人为同一个人的两个及两个以上法人，母公司、全资子公司及其控股公司），不得参加同一合同项下的政府采购活动；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13.4.10投标单位具有有效期内的食品经营许可证。</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13.5符合性审查文件</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13.5.1投标函；</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13.5.2 投标单位《营业执照》副本扫描件；</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13.5.3 投标单位法定代表人身份证扫描件；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13.5.4投标单位代理人身份证扫描件及授权委托书（若有）；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13.5.5苏州市发展和改革委员会网未公布价格的食材品类承诺；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13.5.6投标单位基本情况表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13.6综合评审文件：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13.6.1评分标准中所涉及到的各项方案及其他材料、证明等。</w:t>
      </w:r>
      <w:r/>
    </w:p>
    <w:p>
      <w:pPr>
        <w:ind w:left="0" w:right="0" w:firstLine="49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注：（1）以上13.4.1-13.4.10为资格审查要求提供的材料，是作为对供应商资格审查、质疑身份认定的依据，投标人必须提供并加盖电子公章。否则，投标文件将被认定为不符合资格审查要求。</w:t>
      </w:r>
      <w:r/>
    </w:p>
    <w:p>
      <w:pPr>
        <w:ind w:left="0" w:right="0" w:firstLine="49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（2）以上13.5.1-13.5.6为符合性审查须提供的资料，供应商必须提供并加盖电子公章。否则，投标文件将被认定为未实质性响应。</w:t>
      </w:r>
      <w:r/>
    </w:p>
    <w:p>
      <w:pPr>
        <w:ind w:left="0" w:right="0" w:firstLine="49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（3）制作电子投标文件时必须与投标文件制作软件目录一一对应，将相关资料上传至相应模块。</w:t>
      </w:r>
      <w:r/>
    </w:p>
    <w:p>
      <w:pPr>
        <w:ind w:left="0" w:right="0" w:firstLine="49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本项目采用电子招投标形式，请供应商按照《苏采云系统供应商操作手册》进行制作、上传电子投标文件。</w:t>
      </w:r>
      <w:r>
        <w:rPr>
          <w:rFonts w:ascii="SimSun" w:hAnsi="SimSun" w:eastAsia="SimSun" w:cs="SimSun"/>
          <w:b/>
          <w:color w:val="000000"/>
          <w:sz w:val="24"/>
        </w:rPr>
        <w:t xml:space="preserve">电子投标文件制作完成后请于投标文件递交截止时间前成功上传至“苏采云”系统，否则视为放弃参加该采购项目。</w:t>
      </w:r>
      <w:r>
        <w:rPr>
          <w:rFonts w:ascii="SimSun" w:hAnsi="SimSun" w:eastAsia="SimSun" w:cs="SimSun"/>
          <w:color w:val="000000"/>
          <w:sz w:val="24"/>
        </w:rPr>
        <w:t xml:space="preserve">供应商应充分考虑到网络环境、网络带宽等风险因素，如因供应商自身原因造成的电子投标文件上传不成功由供应商自行承担全部责任。</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（6）如投标（响应）文件制作机器码信息一致，视为不同投标供应商使用同一台电脑编制投标（响应）文件，投标（响应）无效。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14、投标文件编制要求 </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14.1本项目采用电子招投标形式，请供应商按照《苏采云系统供应商操作手册》进行制作、上传电子投标文件。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14.2《开标一览表》为在开标仪式上唱标的内容，要求按格式填写，统一规范，不得自行增减内容。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rPr>
          <w:rFonts w:ascii="SimSun" w:hAnsi="SimSun" w:eastAsia="SimSun" w:cs="SimSun"/>
          <w:b/>
          <w:color w:val="000000"/>
          <w:sz w:val="24"/>
        </w:rPr>
        <w:t xml:space="preserve">电子投标文件制作完成后请于投标文件网上提交截止时间前成功上传至“苏采云”系统，否则视为放弃参加该采购项目。</w:t>
      </w:r>
      <w:r>
        <w:rPr>
          <w:rFonts w:ascii="SimSun" w:hAnsi="SimSun" w:eastAsia="SimSun" w:cs="SimSun"/>
          <w:color w:val="000000"/>
          <w:sz w:val="24"/>
          <w:u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14.4 投标报价（编制）要求的说明</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除非合同中另有规定，投标人在报价表中的优惠率：苏州市发展和改革委员会网公布的每日均价的100%的价格为基准价，按照招标文件中的报价表作规定的让利，同时以上价格不得高于市场零售价。合同最终价格不得超过年采购概预算。（政策性条款例外）。投标报价为最终报价，除非因特殊原因并经买卖双方协商同意，投标人不得再要求追加任何费用。同时，除非合同条款中另有规定，否则，投标人所报优惠率在合同实施期间不因市场变化因素而变动。报价应包括但不限于所有食材、包装、税费、运杂（到位）、保险、管理、售后服务等全部费用以及响应</w:t>
      </w:r>
      <w:r>
        <w:rPr>
          <w:rFonts w:ascii="SimSun" w:hAnsi="SimSun" w:eastAsia="SimSun" w:cs="SimSun"/>
          <w:color w:val="000000"/>
          <w:sz w:val="24"/>
        </w:rPr>
        <w:t xml:space="preserve">单位企业利润、税金和政策性文件规定及合同包含的所有风险、责任、代理服务费等各项应有费用。（政策性条款例外）。</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14.4.2投标人应对招标文件内所要采购的全部内容进行报价，只投其中部分内容者，其标书将被拒绝。但如果招标文件要求分标段投标的，则各标段应分别计算填写单价和总价。本项目共两个标段。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14.4.3 一项投标内容只允许一个报价，采购代理机构不接受任何有选择性的投标报价。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14.4.4投标文件报价中的单价和总价全部采用人民币表示，除非合同的特殊条款另有规定。</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14.4.5最低的投标报价或最高的优惠率是中标的重要条件，但不是中标的唯一条件。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15、投标文件的签署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投标文件每一页均应加盖供应商电子签章。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17.1自投标截止时间之日起</w:t>
      </w:r>
      <w:r>
        <w:rPr>
          <w:rFonts w:ascii="SimSun" w:hAnsi="SimSun" w:eastAsia="SimSun" w:cs="SimSun"/>
          <w:color w:val="000000"/>
          <w:sz w:val="24"/>
          <w:u w:val="single"/>
        </w:rPr>
        <w:t xml:space="preserve">45</w:t>
      </w:r>
      <w:r>
        <w:rPr>
          <w:rFonts w:ascii="SimSun" w:hAnsi="SimSun" w:eastAsia="SimSun" w:cs="SimSun"/>
          <w:color w:val="000000"/>
          <w:sz w:val="24"/>
        </w:rPr>
        <w:t xml:space="preserve">天，投标书应保持有效。有效期短于这个规定期限的投标，将被拒绝。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17.2在特殊情况下，采购代理机构可与投标人协商延长投标书的有效期。这种要求和答复都应以书面、传真的形式进行。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五、投标文件的递交、补充、修改和撤回</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18、投标文件的递交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18.1投标人应当在在投标截止时间前制作并上传电子投标文件。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18.2投标人通过</w:t>
      </w:r>
      <w:r>
        <w:rPr>
          <w:rFonts w:ascii="SimSun" w:hAnsi="SimSun" w:eastAsia="SimSun" w:cs="SimSun"/>
          <w:b/>
          <w:color w:val="000000"/>
          <w:sz w:val="24"/>
        </w:rPr>
        <w:t xml:space="preserve">“苏采云”系统不见面开标大厅在线参与开标活动。（具体操作详见《苏采云系统供应商操作手册》，网址链接https://czju.suzhou.gov.cn/zfcg/html/content/20231220161910031.shtml）</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rPr>
        <w:t xml:space="preserve">电子投标文件制作完成后请于投标文件网上提交截止时间前成功上传至“苏采云”系统，否则视为放弃参加该采购项目。</w:t>
      </w:r>
      <w:r>
        <w:rPr>
          <w:rFonts w:ascii="SimSun" w:hAnsi="SimSun" w:eastAsia="SimSun" w:cs="SimSun"/>
          <w:color w:val="000000"/>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19.2采购人和采购代理机构推迟投标截止时间时，将按规定的更正公告的方式对外发布。在这种情况下，采购人、采购代理机构和投标人的权利和义务将受到新的截止期的约束。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19.3在投标截止时间投标单位少于三家的，采购代理机构有权宣布本次招标失败。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20.投标文件的补充、修改和撤回</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21.1开标由采购代理机构在线主持，邀请投标人在线参加。投标人应当按照《苏采云系统供应商操作手册》规定，</w:t>
      </w:r>
      <w:r>
        <w:rPr>
          <w:rFonts w:ascii="SimSun" w:hAnsi="SimSun" w:eastAsia="SimSun" w:cs="SimSun"/>
          <w:b/>
          <w:color w:val="000000"/>
          <w:sz w:val="24"/>
        </w:rPr>
        <w:t xml:space="preserve">参加开标活动和在“苏采云”系统规定的时间内对投标文件进行解密</w:t>
      </w:r>
      <w:r>
        <w:rPr>
          <w:rFonts w:ascii="SimSun" w:hAnsi="SimSun" w:eastAsia="SimSun" w:cs="SimSun"/>
          <w:color w:val="000000"/>
          <w:sz w:val="24"/>
        </w:rPr>
        <w:t xml:space="preserve">。评标委员会成员不得参加开标活动。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21.3投标人代表未参加开标的，视同认可开标结果。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22、资格审查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22.1公开招标采购项目开标结束后，采购人或者采购代理机构应当依法对投标人的资格进行审查，未通过资格审查的视为无效投标。</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22.2.1查询时间：投标文件递交截止时间。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22.2.2查询渠道：采购代理机构会在接收投标文件截止时间后，在中国政府采购网（www.ccgp.gov.cn）、信用中国（www.creditchina.gov.cn）、信用江苏（</w:t>
      </w:r>
      <w:hyperlink r:id="rId11" w:tooltip="http://www.jscredit.gov.cn/" w:history="1">
        <w:r>
          <w:rPr>
            <w:rStyle w:val="735"/>
            <w:rFonts w:ascii="SimSun" w:hAnsi="SimSun" w:eastAsia="SimSun" w:cs="SimSun"/>
            <w:color w:val="0000ee"/>
            <w:sz w:val="24"/>
            <w:u w:val="single"/>
          </w:rPr>
          <w:t xml:space="preserve">www.jscredit.gov.cn</w:t>
        </w:r>
      </w:hyperlink>
      <w:r>
        <w:rPr>
          <w:rFonts w:ascii="SimSun" w:hAnsi="SimSun" w:eastAsia="SimSun" w:cs="SimSun"/>
          <w:color w:val="000000"/>
          <w:sz w:val="24"/>
        </w:rPr>
        <w:t xml:space="preserve">）、诚信苏州（www.szcredit.gov.cn）的网站输入供应商全称或统一社会信用代码查询信用记录，并将查询结果递交评审小组。</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22.4单位负责人为同一人或者存在直接控股、管理关系的不同供应商，不得参与同一合同项下的投标活动。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22.5本项目通过上述资格审查的合格投标人不足三家的，不得评标。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23.1评标委员会（以下简称评委会）成员依法组建；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23.2评标委员会将对符合资格的投标人的投标文件进行符合性审查，以确定其是否满足招标文件的实质性要求。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23.3评委会组负责具体的评标事务，并独立履行以下职责：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23.3.2要求投标人对投标文件有关事项作出澄清或者说明；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23.3.4签署评标报告、推荐中标候选人并根据采购方委托从中确定中标人；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23.3.5向采购人、采购代理机构或者有关部门报告评标中发现的违法行为。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23.4评委会成员应当履行下列义务：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23.4.3对评标过程和结果，以及投标人的商业秘密保密；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23.4.4评标委员会根据全体评标成员签字的原始评标记录和评标结果编写评标报告。评标报告应当包括以下内容：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（一）招标公告刊登的媒体名称、开标日期和地点；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（二）投标人名单和评标委员会成员名单；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（三）评标方法和标准；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（四）开标记录和评标情况及说明，包括无效投标人名单及原因；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（五）评标结果，确定的中标候选人名单或者经采购人委托直接确定的中标人；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（六）其他需要说明的情况，包括评标过程中投标人根据评标委员会要求进行的澄清、说明或者补正，评标委员会成员的更换等。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23.4.5配合招标采购人答复投标人提出的质疑；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23.4.6配合采购人和采购代理机构答复投标人提出的质疑。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24、保密要求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24.1评标将在严格保密的情况下进行。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24.2有关人员应当遵守评标工作纪律，不得泄露评标文件、评标情况和评标中获悉的国家秘密、商业秘密。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25.1评委会将对符合资格的投标人的投标文件进行符合性审查以确定是否对招标文件的实质性要求作出响应。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投标人存在下列情况之一的，投标无效：</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（一）投标文件未按招标文件要求签署、盖章的；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（二）不具备招标文件中规定的资格要求的；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（三）报价超过招标文件中规定的预算金额或者最高限价的；</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（五）法律、法规和招标文件规定的其他无效情形。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（六）在“苏采云”系统中出现供应商“机器码一致”情形的。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25.2实质性响应的投标应该是与招标文件要求的条款相符。不得限制合同中买方的权利或投标人的义务，也不得对其他实质性响应的投标人的竞争地位产生不公正影响。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25.3对于投标文件中含义不明确、同类问题表述不一致或者有明显文字和计算错误的内容，评标委员会应当以书面形式要求投标人作出必要的澄清、说明或者补正。</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本项目投标人的澄清、说明或者补正采用线上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25.7除上述情形外，对投标文件的判定，只依据投标文件本身，不依靠开标后的任何外来证明。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25.8采购代理机构将拒绝被确定为非实质性响应的投标，投标人不能通过修正或撤销不符之处而使其投标成为实质性响应的投标。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25.10评标委员会成员对需要共同认定的事项存在争议的，应当按照少数服从多数的原则作出结论。持不同意见的评标委员会成员应当在评标报告上签署不同意见及理由，否则视为同意评标报告。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 在招标过程中，出现下列情况之一的，应予废标：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26.1.1符合专业条件的供应商或者对招标文件作实质响应的供应商不足三家的；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26.1.2出现影响采购公正的违法、违规行为的；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26.1.3投标人的报价均超过了采购预算或者最高限价，采购人不能支付的；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26.1.4因重大变故，采购任务取消的；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26.1.5在“苏采云”系统中出现供应商“机器码一致”情形的。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废标后，采购代理机构将发布废标公告。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27、投标文件的评价和比较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27.1评标委员会将仅对按招标文件有关规定确定为实质上响应招标文件要求的投标文件进行评价和比较。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27.2采用综合评分法，评委会严格按照招标文件的规定要求、条件、评分标准，对投标人所提供货物或服务的先进性、可靠性、售后服务承诺、质量保证承诺等实质性响应内容进行比较评价。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最低的投标报价或最高的优惠率是中标的重要条件，但不是唯一条件。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七、确定中标原则：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28.1本次评标采用综合评分法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在满足招标文件实质性要求前提下，按照招标文件中规定的评分标准和各项因素进行综合评审后，以评标总得分最高的投标人作为相应标段的中标候选人。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八、发出中标通知书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29.1确定出中标人后，采购代理机构在法定时间内向中标人发出中标通知书。</w:t>
      </w:r>
      <w:r>
        <w:rPr>
          <w:rFonts w:ascii="SimSun" w:hAnsi="SimSun" w:eastAsia="SimSun" w:cs="SimSun"/>
          <w:b/>
          <w:color w:val="000000"/>
          <w:sz w:val="24"/>
        </w:rPr>
        <w:t xml:space="preserve">请中标人在中标结果公告届满之日起30日内,使用CA证书登录“苏采云”系统及时下载中标通知书。</w:t>
      </w:r>
      <w:r>
        <w:rPr>
          <w:rFonts w:ascii="SimSun" w:hAnsi="SimSun" w:eastAsia="SimSun" w:cs="SimSun"/>
          <w:color w:val="000000"/>
          <w:sz w:val="24"/>
        </w:rPr>
        <w:t xml:space="preserve">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29.2中标通知书将成为合同的组成部分，对采购人和中标供应商具有同等法律效力。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29.3中标通知书发出后，采购人不得违法改变中标结果，中标人无正当理由不得放弃中标。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九、中标单位的确认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十、告知招标结果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对未通过资格审查的投标人，告知其未通过的原因。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在发放中标通知书的同时，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32.2招标文件、中标供应商的投标文件及其澄清文件等，均为签订合同的依据。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32.3中标人无正当理由不得拒绝签订政府采购合同。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十二、其他事项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33.1中标服务费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2020年苏州市级政府采购代理服务收费公告信息表（第十二批）】的规定收取中标服务费。领取中标通知书时中标单位向招标代理机构一次性付清。由中标单位支付，按照招标预算100万元以内1.5%、100～500万元以1.1%、500~1000万元以0.8%，1000万元~5000万元以0.5%，差额定率累进法计算并支付中标服务费。本项目第一标段代理服务费按20071.00计收；第二标段代理服务费按15693.00计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账户名称：鼎信工程咨询（苏州）有限公司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开户银行：中国农业银行股份有限公司苏州吴中开发区支行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账号：10541201040081556</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33.2监督和公证</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33.2.1政府有关监督部门将对招投标全过程进行监督。</w:t>
      </w:r>
      <w:r/>
    </w:p>
    <w:p>
      <w:pPr>
        <w:ind w:left="420" w:right="0" w:firstLine="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33.2.2采购代理机构的开标、评标过程将通过公证机关进行公证。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33.3未尽事宜</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按《中华人民共和国政府采购法》及其他有关政府采购的法律法规的规定执行。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鼎信工程咨询（苏州）有限公司：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号招标文件，经仔细阅读和研究，我们决定参加投标。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完成该项目的全部内容。我们的投标报价包括但不限于所有食材、包装、税费、运杂（到位）、保险、管理、售后服务等全部费用以及投标单位企业利润、税金和政策性文件规定及合同包含的所有风险、责任、代理服务费等各项应有费用。（政策性条款例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2、如果我们的投标被接受，我们将严格履行招标文件中规定的每一项要求，严格履行合同的责任和义务，保证按期、按质履行合同，完成合同内容所规定的全部工作。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3、我们同意按招标文件规定，本投标书的有效期限自提交投标文件的截止之日起</w:t>
      </w:r>
      <w:r>
        <w:rPr>
          <w:rFonts w:ascii="SimSun" w:hAnsi="SimSun" w:eastAsia="SimSun" w:cs="SimSun"/>
          <w:color w:val="000000"/>
          <w:sz w:val="24"/>
          <w:u w:val="single"/>
        </w:rPr>
        <w:t xml:space="preserve">    45</w:t>
      </w:r>
      <w:r>
        <w:rPr>
          <w:rFonts w:ascii="SimSun" w:hAnsi="SimSun" w:eastAsia="SimSun" w:cs="SimSun"/>
          <w:color w:val="000000"/>
          <w:sz w:val="24"/>
        </w:rPr>
        <w:t xml:space="preserve">天。如果我们在开标后规定的投标有效期内撤回投标，我们愿承担一切责任。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4、我们愿意提供招标文件中要求的所有资料，也同意向贵方提供贵方可能另外要求的与其投标有关的任何证据或资料，并保证所提供的资料全部是真实的、有效的，若有虚假，我们愿承担一切责任。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5、我们认为你们有权决定中标人，还认为你们有权接受或拒绝投标人。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6、我们愿意遵守招标公告及招标文件中所列的收费标准。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7、我们承诺本项投标文件在开标后的全过程中保持有效。我们同意中标后若不履行投标文件的内容要求和各项承诺及义务的即被视为违约，我们愿承担一切责任。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8、如果我们中标，我们愿意在签订合同时支付履约保证金，并按招标文件规定支付中标服务费；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联系电话：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                             传真：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rPr>
          <w:sz w:val="24"/>
          <w:szCs w:val="24"/>
        </w:rPr>
      </w:pPr>
      <w:r>
        <w:rPr>
          <w:rFonts w:ascii="SimSun" w:hAnsi="SimSun" w:eastAsia="SimSun" w:cs="SimSun"/>
          <w:color w:val="000000"/>
          <w:sz w:val="24"/>
          <w:highlight w:val="none"/>
        </w:rPr>
        <w:br w:type="page" w:clear="all"/>
      </w:r>
      <w:r>
        <w:rPr>
          <w:rFonts w:ascii="SimSun" w:hAnsi="SimSun" w:eastAsia="SimSun" w:cs="SimSun"/>
          <w:color w:val="000000"/>
          <w:sz w:val="24"/>
          <w:highlight w:val="none"/>
        </w:rPr>
      </w:r>
    </w:p>
    <w:p>
      <w:pPr>
        <w:ind w:left="0" w:right="0" w:firstLine="0"/>
        <w:spacing w:before="240" w:after="24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 </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授权 </w:t>
      </w:r>
      <w:r>
        <w:rPr>
          <w:rFonts w:ascii="SimSun" w:hAnsi="SimSun" w:eastAsia="SimSun" w:cs="SimSun"/>
          <w:color w:val="000000"/>
          <w:sz w:val="24"/>
          <w:u w:val="single"/>
        </w:rPr>
        <w:t xml:space="preserve"> （被授权人的姓名）</w:t>
      </w:r>
      <w:r>
        <w:rPr>
          <w:rFonts w:ascii="SimSun" w:hAnsi="SimSun" w:eastAsia="SimSun" w:cs="SimSun"/>
          <w:color w:val="000000"/>
          <w:sz w:val="24"/>
        </w:rPr>
        <w:t xml:space="preserve">为我方授权代表（即代理人），参加</w:t>
      </w:r>
      <w:r>
        <w:rPr>
          <w:rFonts w:ascii="SimSun" w:hAnsi="SimSun" w:eastAsia="SimSun" w:cs="SimSun"/>
          <w:color w:val="000000"/>
          <w:sz w:val="24"/>
          <w:u w:val="single"/>
        </w:rPr>
        <w:t xml:space="preserve">鼎信工程咨询（苏州）有限公司</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（项目编号）</w:t>
      </w:r>
      <w:r>
        <w:rPr>
          <w:rFonts w:ascii="SimSun" w:hAnsi="SimSun" w:eastAsia="SimSun" w:cs="SimSun"/>
          <w:color w:val="000000"/>
          <w:sz w:val="24"/>
        </w:rPr>
        <w:t xml:space="preserve">的招标活动。代理人在开标、评标、合同签订及处理有关事宜所作出的全部意思表示（包括签署的全部文件），我司均予以承认并由我司承担相应法律后果。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本授权委托书有效期自委托书作出之日起至本项目合同履行完毕之日止。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w:t>
      </w:r>
      <w:r>
        <w:rPr>
          <w:rFonts w:ascii="SimSun" w:hAnsi="SimSun" w:eastAsia="SimSun" w:cs="SimSun"/>
          <w:color w:val="000000"/>
          <w:sz w:val="24"/>
          <w:u w:val="single"/>
        </w:rPr>
        <w:t xml:space="preserve">（手机）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3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63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63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备注：供应商如有授权委托，必须提供该法人授权委托书及法人和代理人的身份证，否则响应无效；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供应商无授权委托的情况下，必须提供法定代表人身份证，否则响应无效。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1）关于资格文件的声明函</w:t>
      </w:r>
      <w:r/>
    </w:p>
    <w:p>
      <w:pPr>
        <w:ind w:left="0" w:right="0" w:firstLine="48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ind w:left="0" w:right="0" w:firstLine="480"/>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29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单位名称（加盖CA电子公章）</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69"/>
        <w:gridCol w:w="2350"/>
        <w:gridCol w:w="1373"/>
        <w:gridCol w:w="639"/>
        <w:gridCol w:w="1471"/>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3"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0"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0" w:type="dxa"/>
            <w:vAlign w:val="top"/>
            <w:textDirection w:val="lrTb"/>
            <w:noWrap w:val="false"/>
          </w:tcPr>
          <w:p>
            <w:pPr>
              <w:ind w:left="0" w:right="-290" w:firstLine="2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1"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29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0" w:type="dxa"/>
            <w:vAlign w:val="top"/>
            <w:textDirection w:val="lrTb"/>
            <w:noWrap w:val="false"/>
          </w:tcPr>
          <w:p>
            <w:pPr>
              <w:ind w:left="0" w:right="-290" w:firstLine="2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0"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          万元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销售数量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0"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w:t>
            </w:r>
            <w:r/>
          </w:p>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0"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center"/>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9" w:type="dxa"/>
            <w:vAlign w:val="top"/>
            <w:textDirection w:val="lrTb"/>
            <w:noWrap w:val="false"/>
          </w:tcPr>
          <w:p>
            <w:pPr>
              <w:ind w:left="0" w:right="-29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3" w:type="dxa"/>
            <w:vAlign w:val="top"/>
            <w:textDirection w:val="lrTb"/>
            <w:noWrap w:val="false"/>
          </w:tcPr>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开标一览表：按投标系统内统一格式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5、公开报价表</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公开报价表（第</w:t>
      </w:r>
      <w:r>
        <w:rPr>
          <w:rFonts w:ascii="SimSun" w:hAnsi="SimSun" w:eastAsia="SimSun" w:cs="SimSun"/>
          <w:color w:val="000000"/>
          <w:sz w:val="24"/>
          <w:u w:val="single"/>
        </w:rPr>
        <w:t xml:space="preserve">   </w:t>
      </w:r>
      <w:r>
        <w:rPr>
          <w:rFonts w:ascii="SimSun" w:hAnsi="SimSun" w:eastAsia="SimSun" w:cs="SimSun"/>
          <w:color w:val="000000"/>
          <w:sz w:val="24"/>
        </w:rPr>
        <w:t xml:space="preserve">标段）</w:t>
      </w:r>
      <w:r>
        <w:rPr>
          <w:rFonts w:ascii="SimSun" w:hAnsi="SimSun" w:eastAsia="SimSun" w:cs="SimSun"/>
          <w:color w:val="000000"/>
          <w:sz w:val="24"/>
          <w:u w:val="single"/>
        </w:rPr>
        <w:t xml:space="preserve">                      </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2"/>
        <w:gridCol w:w="2359"/>
        <w:gridCol w:w="2085"/>
        <w:gridCol w:w="1113"/>
        <w:gridCol w:w="2089"/>
      </w:tblGrid>
      <w:tr>
        <w:trPr>
          <w:trHeight w:val="4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师生食堂食材配送服务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苏州市发展和改革委员会网当日公布每日均价的100%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29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累计结算金额不可超过招标预算。本项目为综合报价，应包括但不限于所有食材、包装、税费、运杂（到位）、保险、管理、售后服务等全部费用以及投标单位企业利润、税金和政策性文件规定及合同包含的所有风险、责任、代理服务费等各项应有费用。（政策性条款例外）</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各供应商按照限价（苏州市发展和改革委员会网当日公布每日均价的食材品类）100%投报优惠率，如：优惠2%，则表中填写2%；优惠5%，则表中填写5%；以此类推。</w:t>
      </w:r>
      <w:r/>
    </w:p>
    <w:p>
      <w:pPr>
        <w:ind w:left="420" w:right="0" w:firstLine="1188"/>
        <w:jc w:val="both"/>
        <w:spacing w:before="210" w:after="21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29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29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29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6、苏州市发展和改革委员会网未公布价格的食材品类承诺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苏州市发展和改革委员会网未公布价格的食材品类承诺</w:t>
      </w:r>
      <w:r/>
    </w:p>
    <w:p>
      <w:pPr>
        <w:ind w:left="0" w:right="0" w:firstLine="199"/>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199"/>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鼎信工程咨询（苏州）有限公司 </w:t>
      </w:r>
      <w:r/>
    </w:p>
    <w:p>
      <w:pPr>
        <w:ind w:left="0" w:right="0" w:firstLine="480"/>
        <w:jc w:val="both"/>
        <w:spacing w:before="156" w:after="156"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我们阅读项目编号</w:t>
      </w:r>
      <w:r>
        <w:rPr>
          <w:rFonts w:ascii="SimSun" w:hAnsi="SimSun" w:eastAsia="SimSun" w:cs="SimSun"/>
          <w:color w:val="000000"/>
          <w:sz w:val="24"/>
          <w:u w:val="single"/>
        </w:rPr>
        <w:t xml:space="preserve">            （第标段）</w:t>
      </w:r>
      <w:r>
        <w:rPr>
          <w:rFonts w:ascii="SimSun" w:hAnsi="SimSun" w:eastAsia="SimSun" w:cs="SimSun"/>
          <w:color w:val="000000"/>
          <w:sz w:val="24"/>
        </w:rPr>
        <w:t xml:space="preserve">要求，针对本项目作如下承诺，除苏州市发展和改革委员会网公布价的食材品类的报价外，在项目服务期间,需配送苏州市发展和改革委员会网未公布价格的食材品类，其价格按大型超市当日零售价格的100%为基准下浮，苏州市发展和改革委员会网未公布价格的食材品类优惠率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156" w:after="156"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注：各投标单位按照按大型超市当日零售价格的100%投报优惠率承诺，如：优惠2%，则表中填写2%；优惠5%，则表中填写5%；以此类推。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r/>
      <w:r/>
      <w:r>
        <w:rPr>
          <w:sz w:val="24"/>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7、人员配备一览表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人员配备一览表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0"/>
        <w:gridCol w:w="1040"/>
        <w:gridCol w:w="645"/>
        <w:gridCol w:w="1116"/>
        <w:gridCol w:w="1164"/>
        <w:gridCol w:w="1833"/>
        <w:gridCol w:w="1239"/>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t xml:space="preserve"> </w:t>
      </w:r>
      <w:r/>
      <w:r>
        <w:rPr>
          <w:sz w:val="24"/>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项目业绩一览表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5"/>
        <w:gridCol w:w="1284"/>
        <w:gridCol w:w="1229"/>
        <w:gridCol w:w="1294"/>
        <w:gridCol w:w="1797"/>
        <w:gridCol w:w="16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9、服务方案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7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供应商应针对本次采购项目特点及区域的具体情况编写拟采取的服务方案。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2、供应商可根据自身情况编写，本页不够可另加页附后。</w:t>
            </w:r>
            <w:r/>
          </w:p>
        </w:tc>
      </w:tr>
      <w:tr>
        <w:trPr>
          <w:trHeight w:val="9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rPr>
                <w:rFonts w:ascii="SimSun" w:hAnsi="SimSun" w:eastAsia="SimSun" w:cs="SimSun"/>
                <w:color w:val="000000"/>
                <w:sz w:val="24"/>
                <w:u w:val="single"/>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（采购文件中明确的所属行业）；承建（承接）企业为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 </w:t>
      </w:r>
      <w:r/>
    </w:p>
    <w:p>
      <w:pPr>
        <w:numPr>
          <w:ilvl w:val="0"/>
          <w:numId w:val="1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（采购文件中明确的所属行业）；承建（承接）企业为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 小型企业、微型企业）；</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6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附：中小企业划型标准规定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（一）农、林、牧、渔业。</w:t>
      </w:r>
      <w:r>
        <w:rPr>
          <w:rFonts w:ascii="SimSun" w:hAnsi="SimSun" w:eastAsia="SimSun" w:cs="SimSun"/>
          <w:color w:val="000000"/>
          <w:sz w:val="24"/>
        </w:rPr>
        <w:t xml:space="preserve">营业收入20000万元以下的为中小微型企业。其中，营业收入500万元及以上的为中型企业，营业收入50万元及以上的为小型企业，营业收入50万元以下的为微型企业。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（二）工业。</w:t>
      </w:r>
      <w:r>
        <w:rPr>
          <w:rFonts w:ascii="SimSun" w:hAnsi="SimSun" w:eastAsia="SimSun" w:cs="SimSun"/>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（三）建筑业。</w:t>
      </w:r>
      <w:r>
        <w:rPr>
          <w:rFonts w:ascii="SimSun" w:hAnsi="SimSun" w:eastAsia="SimSun" w:cs="SimSun"/>
          <w:color w:val="000000"/>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（四）批发业。</w:t>
      </w:r>
      <w:r>
        <w:rPr>
          <w:rFonts w:ascii="SimSun" w:hAnsi="SimSun" w:eastAsia="SimSun" w:cs="SimSun"/>
          <w:color w:val="000000"/>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（五）零售业。</w:t>
      </w:r>
      <w:r>
        <w:rPr>
          <w:rFonts w:ascii="SimSun" w:hAnsi="SimSun" w:eastAsia="SimSun" w:cs="SimSun"/>
          <w:color w:val="000000"/>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（六）交通运输业。</w:t>
      </w:r>
      <w:r>
        <w:rPr>
          <w:rFonts w:ascii="SimSun" w:hAnsi="SimSun" w:eastAsia="SimSun" w:cs="SimSun"/>
          <w:color w:val="000000"/>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（七）仓储业。</w:t>
      </w:r>
      <w:r>
        <w:rPr>
          <w:rFonts w:ascii="SimSun" w:hAnsi="SimSun" w:eastAsia="SimSun" w:cs="SimSun"/>
          <w:color w:val="000000"/>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（八）邮政业。</w:t>
      </w:r>
      <w:r>
        <w:rPr>
          <w:rFonts w:ascii="SimSun" w:hAnsi="SimSun" w:eastAsia="SimSun" w:cs="SimSun"/>
          <w:color w:val="000000"/>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（九）住宿业。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（十）餐饮业。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（十一）信息传输业。</w:t>
      </w:r>
      <w:r>
        <w:rPr>
          <w:rFonts w:ascii="SimSun" w:hAnsi="SimSun" w:eastAsia="SimSun" w:cs="SimSun"/>
          <w:color w:val="000000"/>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（十二）软件和信息技术服务业。</w:t>
      </w:r>
      <w:r>
        <w:rPr>
          <w:rFonts w:ascii="SimSun" w:hAnsi="SimSun" w:eastAsia="SimSun" w:cs="SimSun"/>
          <w:color w:val="000000"/>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（十三）房地产开发经营。</w:t>
      </w:r>
      <w:r>
        <w:rPr>
          <w:rFonts w:ascii="SimSun" w:hAnsi="SimSun" w:eastAsia="SimSun" w:cs="SimSun"/>
          <w:color w:val="000000"/>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（十四）物业管理。</w:t>
      </w:r>
      <w:r>
        <w:rPr>
          <w:rFonts w:ascii="SimSun" w:hAnsi="SimSun" w:eastAsia="SimSun" w:cs="SimSun"/>
          <w:color w:val="000000"/>
          <w:sz w:val="24"/>
        </w:rPr>
        <w:t xml:space="preserve">从业人员1000人以下或营业收入5000万元以下的为中小微型企业。其中，从业人员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（十五）租赁和商务服务业。</w:t>
      </w:r>
      <w:r>
        <w:rPr>
          <w:rFonts w:ascii="SimSun" w:hAnsi="SimSun" w:eastAsia="SimSun" w:cs="SimSun"/>
          <w:color w:val="000000"/>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（十六）其他未列明行业。</w:t>
      </w:r>
      <w:r>
        <w:rPr>
          <w:rFonts w:ascii="SimSun" w:hAnsi="SimSun" w:eastAsia="SimSun" w:cs="SimSun"/>
          <w:color w:val="000000"/>
          <w:sz w:val="24"/>
        </w:rPr>
        <w:t xml:space="preserve">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12、开票信息</w:t>
      </w:r>
      <w:r/>
    </w:p>
    <w:p>
      <w:pPr>
        <w:ind w:left="4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开票信息</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67"/>
        <w:gridCol w:w="664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13、供应商与其他单位存在控股、管理关系情况表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3"/>
          <w:sz w:val="32"/>
        </w:rPr>
        <w:t xml:space="preserve">供应商与其他单位存在控股、管理关系情况表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1"/>
        <w:gridCol w:w="4378"/>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与供应商存在控股、管理关系的单位名称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7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39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1"/>
          <w:sz w:val="24"/>
        </w:rPr>
        <w:t xml:space="preserve">注：供应商应当按实填写所有与之有控股、管理关系的情况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鼎信工程咨询（苏州）有限公司受苏州市吴中区石湖实验幼儿园委托，对其要求采购的师生食堂食材配送服务进行公开招标，欢迎符合资格条件和具备履约能力的供应商单位前来参与。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一、项目编号：JSZC-320506-SZDX-G2024-0016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（一）为进一步规范学校食堂物资采购，全面提升学校食堂卫生安全管理水平，切实维护师生利益，保障广大师生的身体健康和生命安全，苏州市吴中区石湖实验幼儿园拟对师生食堂食材配送服务进行公开招标。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（二）配送范围：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标段一为石湖幼儿园师生食堂食材配送服务</w:t>
      </w:r>
      <w:r>
        <w:rPr>
          <w:rFonts w:ascii="SimSun" w:hAnsi="SimSun" w:eastAsia="SimSun" w:cs="SimSun"/>
          <w:color w:val="000000"/>
          <w:sz w:val="24"/>
        </w:rPr>
        <w:t xml:space="preserve">：教工、学生餐厅食材供货及配送，包括蔬菜、水产、肉、冷冻品、豆制品、鸡蛋、面、米面制品、南北干货、调味品、水果、大米、油、酸奶等；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标段二为石湖幼儿园邵昂分园师生食堂食材配送服务：</w:t>
      </w:r>
      <w:r>
        <w:rPr>
          <w:rFonts w:ascii="SimSun" w:hAnsi="SimSun" w:eastAsia="SimSun" w:cs="SimSun"/>
          <w:color w:val="000000"/>
          <w:sz w:val="24"/>
        </w:rPr>
        <w:t xml:space="preserve">教工、学生餐厅食材供货及配送，包括蔬菜、水产、肉、冷冻品、豆制品、鸡蛋、面、米面制品、南北干货、调味品、水果、大米、油、酸奶等</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1、大米配送标准：一年内新大米（国标一级），符合GB/T 1354-2018标准，并拥有“SC食品生产许可证”。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2、面粉配送标准：面粉级别为特一级，必须符合GB/T 1355-2021标准，并拥有“SC食品生产许可证”。能提供产品合格证明文件。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3、食用油配送标准：非转基因食用油，每桶5升左右，必须符合GB 2716-2018食用植物油卫生标准，并具有“SC食品生产许可证”。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4、猪肉配送标准：使用冷鲜肉品牌产品，猪肉质量必须符合GBT 9959.3-2019 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5、家禽冻品（鸡腿、鸡翅等）质量要求：配送单位须提供产品合格证明文件，动物产品提供《动物或动物产品分销信息凭证》或《动物检疫合格证》。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6、豆制品质量要求：发酵性豆制品必须符合GB2712-2003标准，非发酵豆制品必须符合GBT 22106-2008标准、GB2711-2003非发酵性豆制品及面筋卫生标准，对豆制品的有关安全健康指标符合国家规定。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7、水产品质量要求：必须符合GB 2733-2015《食品安全国家标准 鲜、冻动物性水产品》、GB10132-2005《鱼糜制品卫生标准》、GB 10133-2014《水产调味品卫生标准》、GB10136-2005《腌制生食动物性水产品卫生标准》、GB 10136-2015《食品安全国家标准 动物性水产制品》、GB 19643-2016《食品安全国家标准 藻类及其制品》等。产品的感观、安全、卫生、稳定性等指标符合相关规定。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8、无公害蔬菜质量要求：必须符合GB18406.1-2001 农产品安全质量无公害蔬菜安全要求，对蔬菜中有害物质严格控制在标准规定范围之内。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9、调味品质量要求：食用盐符合GB/T 5461-2016标准，酱油符合GB 2717-2018标准，味精符合GB2720-2015标准，生粉（淀粉制品）符合GB2713-2015标准，食糖符合GB13104-2014卫生标准，食醋符合GB2719—2018标准,酿造食醋符合GB18187-2000标准。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10、食品添加剂质量要求：食品添加剂应符合相应的食品安全标准，添加剂的使用必须符合GB2760-2014标准，对食品的添加量严格控制在标准规定范围之内。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11、鲜蛋质量要求：鸡蛋等新鲜蛋类必须符合GB2749-2015标准。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12、水果 ：新鲜水果，须为非转基因产品，个头均匀，无斑点，无破损，果实成熟新鲜，对水果中有害物质严格控制在标准规定范围之内，必须符合GB/T23351-2009标准。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13、西点 、面包：新鲜西点、面包等，定制点心质量要求：符合GB7099-2015标准。饼干（非自制、非定制饼干）质量要求：符合GB7100-2015标准。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14、牛奶 及其制品：食材包装及外观干净、整洁，生产日期、保质期、贮藏条件标识清晰，须在保质期内；符合国家标准。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（四）品牌及检测报告要求：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1、肉类（含家禽、鱼、肉、冷鲜肉及冷冻肉等）、豆制品、调味品、食用油必须使用品牌产品，即由所处经营领域中有较高知名度与美誉度的大型企业提供，其产品可以追根溯源。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2、每次配送的食材均需提供相关的检测报告或检验合格证。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3、学校将委托权威部门定期对配送单位提供的食材进行抽样检测。如检测发现质量问题，由配送单位承担检测费用。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（五）食材配送日常要求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送单位供应的食材必须符合《中华人民共和国食品安全法》标准，食材须为非转基因，食堂净菜供货，保证送货新鲜。并根据协议约定和招标单位食堂提出的品种、规格、品牌、数量、质量要求在规定的时间内及时送到。每日的配送清单须是打印稿，如发现食材卫生质量问题或者以次充好，招标单位可立即无条件退货或换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单位严禁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w:t>
      </w:r>
      <w:r>
        <w:rPr>
          <w:rFonts w:ascii="SimSun" w:hAnsi="SimSun" w:eastAsia="SimSun" w:cs="SimSun"/>
          <w:color w:val="000000"/>
          <w:sz w:val="24"/>
        </w:rPr>
        <w:t xml:space="preserve">卫生标准和要求的食品。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因配送单位所供应食品的质量问题引起员工食物中毒等食源性疾病的发生或其他事故，由配送单位负全部责任，并承担由此而引起的全部经济损失及相关法律责任。情节较为严重的，招标单位有权立即终止供货协议，并按相关法律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4、每天送货一次，应急配送在收到通知后半小时内响应，1小时内完成或提出解决方案。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单位必须仔细核对采购清单，确保所需的食品原材料品种、规格、品牌、数量、质量等准确无误，并在规定时间内及时送达。配送单位向招标单位提供食材的品牌、规格必须与招标单位要求的一致，严禁擅自更换品牌、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6、本项目需配备人员至少6名，其中项目负责人1名。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7、若招标单位有特殊情况需临时要求供货，配送单位须有相应的应急预案，并承诺在招标单位规定的合理时间范围内能送货至招标单位指定地点。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（六）供货价格确定及结算方式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粮油、食材配送价格以保本微利、不高于阳光食堂综合智能服务平台平均价为原则，每周定价。食材配送价格参考苏州市发展和改革委员会公布价格100%的基础上优惠报价，除苏州市发展和改革委员会网公布价的食材品类的报价外，需配送苏州市发展和改革委员会网未公布价格的食材品类，其价格不高于大型超市当日零售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（2）定价参照“同类货品当日苏州市发展和改革委员会网站公布的每日均价”×（1-中标优惠率）计算。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（3）定价当日，苏州市发展和改革委员会网站未公示零售均价的食材，其价格不高于大型超市当日零售价格。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食材以市场主流品牌为主。结合市场情况，肉类选中粮、双汇、雨润同档次或高于同档次品牌；豆制品以上海艺杏、苏州老相食同档次或高于同档次品牌；冷冻品以泰森、六和、鸿海、正大同档次或高于同档次品牌；调味品以海天、李锦记、老恒和、巧媳妇同档次或高于同档次品牌。牛奶以新希望同档次或高于同档次品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投标报价单》中的全部货物和服务的报价应包括但不限于所有食材、包装、税费、运杂（到位）、保险、管理、售后服务等全部费用以及投标单位企业利润、税金和政策性文件规定及合同包含的所有风险、责任、代理服务费等各项应有费用。（政策性条款例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4、结算付款方式：自货到之日起经验收合格，无质量问题，按月隔月结算(如遇寒假、暑假，则在假期结束后下一个月结清假前款项)，凭合法有效票据通过银行转账支付。</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三、综合说明：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1、投标单位所提供的相关货物或服务应符合国家有关标准和规范，遵循招标文件的要求，并提供详细说明。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应如实进行实质性响应，量化指标必须列明具体数值，否则其投标文件将被拒绝。投标单位在其投标文件中对于招标文件已提供以及未提供的货物或服务情况均须进行完整的阐述和说明，否则其投标文件将有被拒绝的可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3、供应商提供的技术资料必须真实、准确，如提供的参数虚假或对招标文件所要求说明的情况故意隐瞒或虚报，按《中华人民共和国政府采购法》第七十七条的相关办法处理。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文件提出的是最低限度的要求，并未对一切细节作出规定，也未充分引述全部有关标准和规范的条文，投标单位提供的所有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5、投标单位必须说明其是否响应招标文件中提出的全部服务内容与要求，如果以其中某些条款不响应时，应在文件中逐条列出，未列出的视同响应。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6、合同履行期限：自合同签订之日起一年。（按实际签订合同内规定的日期计算）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四、根据苏州市财政局《关于贯彻执行绿色采购、促进残疾人就业和支持监狱企业发展有关政策的通知》（苏财购〔2019〕10号）规定：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（一）关于节能环保产品政府采购要求：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2、《节能产品政府采购清单》、《环境标志产品政府采购清单》以“中国政府采购网”（http://www.ccgp.gov.cn）公告的时间、内容为准，也可通过“苏州市政府采购网”（http://www.zfcg.suzhou.gov.cn）链接查询。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（二）进一步明确政府采购促进残疾人就业政策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中，投标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3、中标、成交供应商为残疾人福利性单位的，采购人或者其委托的采购代理机构应当随中标、成交结果同时公告其《残疾人福利性单位声明函》，接受社会监督。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（三）进一步明确政府采购支持监狱企业发展政策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1、在本次招标中，投标单位如为监狱企业，则视同小型、微型企业，享受评审中价格扣除等政府采购促进中小企业发展的政府采购政策。向监狱企业采购的金额，计入面向中小企业采购的统计数据。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五、根据苏州市财政局《关于进一步做好政府采购正常贯彻执行工作的通知》（苏财购（2017）10号）文件规定：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（一）关于政府采购促进中小企业发展政策要求：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1、不同行业的中小微企业划分标准以工信部、国家统计局、国家发改委、财政部《关于印发中小企业划型标准规定的通知》（工信部联企业〔2011〕300号）为准。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2、小微企业提供中型企业制造或使用中型企业注册商标的货物的，视同为中型企业。小微企业提供大型企业制造或使用大型企业注册商标的货物的，视同为大型企业。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3、中小微企业在投标（响应）文件中，签署《中小企业声明函》，并根据工信部联企业〔2011〕300号,未在投标（响应）文件中提供《中小企业声明函》的，不享受促进中小微企业发展的相关政府采购政策。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4、对小型和微型企业产品或服务的价格给予相关比例的扣除，用扣除后的价格参与评审，具体信息详见评分标准。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（一）关于对参与供应商信用记录的政府采购要求：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会在接收响应文件截止时间后，在中国政府采购网（www.ccgp.gov.cn）、信用中国（www.creditchina.gov.cn）、信用江苏（www.jscredit.gov.cn）、诚信苏州（www.szcredit.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（1）政府采购严重违法记录，即供应商被全国各级财政部门列入“政府采购严重违法失信行为记录名单”，且在处罚有效期内的。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存在失信信息的供应商，评审小组应填写《苏州市级政府采购供应商失信信息确认函》，由失信供应商应签名确认。同时，采购代理机构工作人员应根据评审小组确认的失信信息，登陆到相关来源网站页面进行复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七、行业属性：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根据《政府采购促进中小企业发展管理办法》（财库〔2020〕46号）及《中小企业划型标准规定》（工信部联企业〔2011〕300号），本采购标的对应的中小企业划分标准所属行业为:其他未列明行业。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八、凡涉及招标文件的补充说明和修改，均以苏州政府采购网发布的文件为准。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8"/>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8"/>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合同主要条款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标段一：</w:t>
      </w:r>
      <w:r/>
    </w:p>
    <w:p>
      <w:pPr>
        <w:ind w:left="1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根据鼎信工程咨询（苏州）有限公司招标编号</w:t>
      </w:r>
      <w:r>
        <w:rPr>
          <w:rFonts w:ascii="SimSun" w:hAnsi="SimSun" w:eastAsia="SimSun" w:cs="SimSun"/>
          <w:color w:val="000000"/>
          <w:sz w:val="24"/>
          <w:u w:val="single"/>
        </w:rPr>
        <w:t xml:space="preserve">                 </w:t>
      </w:r>
      <w:r>
        <w:rPr>
          <w:rFonts w:ascii="SimSun" w:hAnsi="SimSun" w:eastAsia="SimSun" w:cs="SimSun"/>
          <w:color w:val="000000"/>
          <w:sz w:val="24"/>
        </w:rPr>
        <w:t xml:space="preserve">号政府招标文件及中标单位的投标文件和中标通知书，甲乙双方就此次中标项目的购销事宜，签订本合同书。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w:t>
      </w:r>
      <w:r>
        <w:rPr>
          <w:rFonts w:ascii="SimSun" w:hAnsi="SimSun" w:eastAsia="SimSun" w:cs="SimSun"/>
          <w:color w:val="000000"/>
          <w:sz w:val="24"/>
          <w:u w:val="single"/>
        </w:rPr>
        <w:t xml:space="preserve"> 石湖幼儿园 </w:t>
      </w:r>
      <w:r>
        <w:rPr>
          <w:rFonts w:ascii="SimSun" w:hAnsi="SimSun" w:eastAsia="SimSun" w:cs="SimSun"/>
          <w:color w:val="000000"/>
          <w:sz w:val="24"/>
        </w:rPr>
        <w:t xml:space="preserve">区域的</w:t>
      </w:r>
      <w:r>
        <w:rPr>
          <w:rFonts w:ascii="SimSun" w:hAnsi="SimSun" w:eastAsia="SimSun" w:cs="SimSun"/>
          <w:color w:val="000000"/>
          <w:sz w:val="24"/>
          <w:u w:val="single"/>
        </w:rPr>
        <w:t xml:space="preserve"> 师生食堂食材配送服务</w:t>
      </w:r>
      <w:r>
        <w:rPr>
          <w:rFonts w:ascii="SimSun" w:hAnsi="SimSun" w:eastAsia="SimSun" w:cs="SimSun"/>
          <w:color w:val="000000"/>
          <w:sz w:val="24"/>
        </w:rPr>
        <w:t xml:space="preserve">（具体内容见招标文件和乙方的投标文件）。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提供服务及管理时间：自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自合同签订之日起一年。（按实际签订合同内规定的日期计算）在协议有效期内一方不得擅自变更或中止此项协议，如未经双方同意，擅自变更或中止此项的一方要负违约责任。此项协议需终止，应在协议期内提前半个月通知对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乙方的投标文件；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乙方在投标过程中所作的其它承诺、声明、书面澄清等；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招标文件及其附件；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 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以上与本合同具有同等法律效力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二、价格及结算：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苏州市发展和改革委员会网公布价的食材品类，根据苏州市发展和改革委员会网公布当日均价×</w:t>
      </w:r>
      <w:r>
        <w:rPr>
          <w:rFonts w:ascii="SimSun" w:hAnsi="SimSun" w:eastAsia="SimSun" w:cs="SimSun"/>
          <w:color w:val="000000"/>
          <w:sz w:val="24"/>
          <w:u w:val="single"/>
        </w:rPr>
        <w:t xml:space="preserve">    </w:t>
      </w:r>
      <w:r>
        <w:rPr>
          <w:rFonts w:ascii="SimSun" w:hAnsi="SimSun" w:eastAsia="SimSun" w:cs="SimSun"/>
          <w:color w:val="000000"/>
          <w:sz w:val="24"/>
        </w:rPr>
        <w:t xml:space="preserve">%，合同最终价格不得超过年采购预算（￥1461000.00元）。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注：对于苏州市发展和改革委员会网未公布价格的食材品类，其价格按大型超市当日零售价格的100%为基准下浮，苏州市发展和改革委员会网未公布价格的食材品类优惠率为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费用结算：合同签订后15天内，乙方可以向甲方申请合同金额的10%作为预付款。自货到之日起经验收合格，无质量问题，按月隔月结算(如遇寒假、暑假，则在假期结束后下一个月结清假前款项)，凭合法有效票据通过银行转账支付。在签订合同时，乙方明确表示无需预付款或者主动要求降低预付款比例的，甲方可不适用上述关于预付款的规定。具体实施要求按苏财购【2020】52号：一、建立政府采购资金预付款制度的相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三、甲乙双方权利、义务：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物价的两倍。</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2、乙方必须持有食品经营许可证、工商营业执照以及其他相关证照，且经营状况良好。</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3、乙方在供货时不得提供以下食品：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(1)无品名、产地、厂名、生产日期、保质期与中文标识及原料说明的定型包装食品。由甲方负责质量把关。</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(2)超过保质期限或不符合食品标签规定的定型包装食品。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(3)腐败变质、油脂酸败、霉变、生虫、污秽不洁、混有异物或者其他感官性状异常，含毒、有害物质污染，可能对人体健康有害的食品。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(4)滥用食品添加剂、农药残留超标的水果等。</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5、乙方必须根据甲方提出的食品、品牌、规格、数量和质量要求送货，并在甲方规定的时间内及时送达甲方指定地点。不按规定时间及地点送达的，将罚款并承担违约责任。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6、如乙方不按规定结算，擅自涨价，乙方应向甲方退回涨价部分金额。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7、因乙方所供应食品的质量问题引起甲方员工食物中毒等食源性疾病的发生或其他事故由乙方负全部责任，并承担由此引起的全部经济损失及相应的法律责任。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8、甲方食堂所用食品按招标文件招标范围全部由乙方供应，甲方在协议期内一般不得另行招标。(特殊情况除外)</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9、甲方在隔月向乙方付清前一个月发生的货款，不得拖欠。</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10、甲方建立食品索证制度及食品验收制度，向乙方索取食品的检验合格证或者检验报告，并进行验收。做好索证登记工作，加强食品库房管理。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11、若甲方有特殊情况需临时要求供货，乙方须按照投标文件中承诺的应急预案执行，并在甲方规定的合理时间内能送货至甲方指定地点。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因重大责任事故，取消配送资格的供应商，不得继续为甲方提供所有物质的配送，已签订的合同双方协商解除。为避免甲方用餐情况发生中断，则由预中标排名第二顺位的供应商继续提供食堂物质配送，以保证甲方正常用餐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13、甲、乙双方均自觉遵守国家有关法律、法规。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14、如有未尽事宜，则由甲方、乙方另行协商决定。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四、违约责任：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乙方违反以上协议或有以下情况发生，甲方有权中止乙方的供货商资格。</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(1)商品短斤缺两、以次充好、擅自提价等失误，经指令整改后还屡有发生；</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(2)因商品质量问题退换三次或供货迟到三次及其以上；</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(3)食物中毒等食源性疾病的发生或其他事故。</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(4)在招投标中乙方存在借资质进行招投标行为的。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甲方权利：</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（1）甲乙双方签订合同以后，乙方提出放弃或被取消配送资格的，乙方不得参与下一轮甲方组织的食堂材料供货及配送服务商公开招标采购</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（2）取消配送资格的供应商，不得继续为甲方提供所有物质的配送，已签订的合同无效。为避免甲方用餐情况发生中断，则由预中标排名第二顺位的供应商继续提供食堂物质配送，以保证甲方正常用餐情况。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五、合同的生效</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本合同在甲乙双方签字盖章后，须经网上系统备案。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六、争议的解决</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甲乙双方因合同发生争议，应在招标机构的主持下进行调解，协商不成，任何一方可以向甲方所在地人民法院起诉。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七、附则</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合同份数：本合同一式六份，甲乙双方各执两份，招标代理机构一份，政府监管部门一份。</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本合同文件使用中文书写、解释和说明。</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本合同履行过程中产生的纪要、协议以及中标通知书、投标响应文件和招标文件为本合同的附件，与合同具有同等效力。</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未尽事宜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本合同未尽事宜应按照《中华人民共和国民法典》、《中华人民共和国产品质量法》、《中华人民共和国政府采购法》之规定解释。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8、考核要求：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甲方每月对乙方服务项目进行考核，具体详见附件《配餐服务月考核表》。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8.1乙方在上级部门检查中不合格受到处罚，甲方将按照处罚金额200元从乙方的服务费中扣除。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8.2因乙方提供不洁食物造成甲方人员食物中毒等食品安全事故的，由乙方负责赔偿并承担相应的法律后果。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8.3乙方所配送甲方的，食材，必须是通过严格删选的，食材要：新鲜、安全，若在配送过程中，出现2次中，甲方将对乙方处以500元，以示警告。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8.4乙方在配送过程中，如若因为特殊因素，不能及时将货物送达，乙方必须提前通知甲方，与甲方协商处理方案，出现2次中的情况下，甲方将处以500元的罚款以示警告。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8.5原材料进货单据必须齐全，单货相符，货物出入库手续完备，甲方会不定时的抽查乙方上述单据情况，若完善结果中，出现2次中，甲方需要对乙方处以500元，以示警告。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8.6配送货物单据，必须齐全，包括：检测报告、送货单等，若一月累计出现3次中的情况，甲方将对乙方处以500元，以示警告。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8.7原材料供应商，索证需要齐全，甲方会不定时的抽查乙方索证情况，若抽查累计3次中，甲方将对乙方处以500元，以示警告。</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815"/>
        <w:gridCol/>
        <w:gridCol w:w="718"/>
        <w:gridCol w:w="673"/>
        <w:gridCol w:w="948"/>
        <w:gridCol w:w="245"/>
        <w:gridCol w:w="963"/>
        <w:gridCol w:w="230"/>
        <w:gridCol w:w="978"/>
        <w:gridCol w:w="6889"/>
        <w:gridCol w:w="2425"/>
      </w:tblGrid>
      <w:tr>
        <w:trPr>
          <w:trHeight w:val="5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69"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月度考核表</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13"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630"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考核时间：    年      月</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2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1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9"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评价制度</w:t>
            </w:r>
            <w:r/>
          </w:p>
        </w:tc>
      </w:tr>
      <w:tr>
        <w:trPr>
          <w:trHeight w:val="70"/>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良</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差</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食材新鲜度、无腐败变质食品（蔬菜、肉类、水产、冷冻、豆制品等）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配送准时度(按照规定时间，将货物送达)</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服务态度（售后服务）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原料进货单据齐全，单货相符，货物出入库手续完备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配送货物单据是否齐全（检测报告、送货单等）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原料厂商索证资料是否齐全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3"/>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考核结果：1、通过以上评分，该供应商的综合得分：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2、该供应商应处于的等级：A、120分以上 B、100-80分 C、60分以下（月考核60以下不合格）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特殊说明:优，20分、良，15分、中，12分、可，10分、差，8分（每日考核8分及以下不合格）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考核部门签字：</w:t>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供应商签字</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13"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处罚办法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每月得分95分以上的，足额支付费用；90分-95分的，扣除5%；80-90分的，扣除当月费用10%；70-80分的，扣除当月费用15%；当月60分以下的，除了责令其改正错误，并写出书面整改报告之外，应扣除当月费用的20%。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188"/>
        <w:jc w:val="both"/>
        <w:spacing w:before="210" w:after="21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188"/>
        <w:jc w:val="both"/>
        <w:spacing w:before="210" w:after="21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188"/>
        <w:jc w:val="both"/>
        <w:spacing w:before="210" w:after="21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1188"/>
        <w:jc w:val="both"/>
        <w:spacing w:before="210" w:after="21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标段二：</w:t>
      </w:r>
      <w:r/>
    </w:p>
    <w:p>
      <w:pPr>
        <w:ind w:left="1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根据鼎信工程咨询（苏州）有限公司招标编号</w:t>
      </w:r>
      <w:r>
        <w:rPr>
          <w:rFonts w:ascii="SimSun" w:hAnsi="SimSun" w:eastAsia="SimSun" w:cs="SimSun"/>
          <w:color w:val="000000"/>
          <w:sz w:val="24"/>
          <w:u w:val="single"/>
        </w:rPr>
        <w:t xml:space="preserve">                 </w:t>
      </w:r>
      <w:r>
        <w:rPr>
          <w:rFonts w:ascii="SimSun" w:hAnsi="SimSun" w:eastAsia="SimSun" w:cs="SimSun"/>
          <w:color w:val="000000"/>
          <w:sz w:val="24"/>
        </w:rPr>
        <w:t xml:space="preserve">号政府招标文件及中标单位的投标文件和中标通知书，甲乙双方就此次中标项目的购销事宜，签订本合同书。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w:t>
      </w:r>
      <w:r>
        <w:rPr>
          <w:rFonts w:ascii="SimSun" w:hAnsi="SimSun" w:eastAsia="SimSun" w:cs="SimSun"/>
          <w:color w:val="000000"/>
          <w:sz w:val="24"/>
          <w:u w:val="single"/>
        </w:rPr>
        <w:t xml:space="preserve"> 石湖幼儿园邵昂分园  </w:t>
      </w:r>
      <w:r>
        <w:rPr>
          <w:rFonts w:ascii="SimSun" w:hAnsi="SimSun" w:eastAsia="SimSun" w:cs="SimSun"/>
          <w:color w:val="000000"/>
          <w:sz w:val="24"/>
        </w:rPr>
        <w:t xml:space="preserve">区域的</w:t>
      </w:r>
      <w:r>
        <w:rPr>
          <w:rFonts w:ascii="SimSun" w:hAnsi="SimSun" w:eastAsia="SimSun" w:cs="SimSun"/>
          <w:color w:val="000000"/>
          <w:sz w:val="24"/>
          <w:u w:val="single"/>
        </w:rPr>
        <w:t xml:space="preserve">  师生食堂食材配送服务</w:t>
      </w:r>
      <w:r>
        <w:rPr>
          <w:rFonts w:ascii="SimSun" w:hAnsi="SimSun" w:eastAsia="SimSun" w:cs="SimSun"/>
          <w:color w:val="000000"/>
          <w:sz w:val="24"/>
        </w:rPr>
        <w:t xml:space="preserve">（具体内容见招标文件和乙方的投标文件）。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提供服务及管理时间：自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自合同签订之日起一年。（按实际签订合同内规定的日期计算）在协议有效期内一方不得擅自变更或中止此项协议，如未经双方同意，擅自变更或中止此项的一方要负违约责任。此项协议需终止，应在协议期内提前半个月通知对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乙方的投标文件；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乙方在投标过程中所作的其它承诺、声明、书面澄清等；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招标文件及其附件；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 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以上与本合同具有同等法律效力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二、价格及结算：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苏州市发展和改革委员会网公布价的食材品类，根据苏州市发展和改革委员会网公布当日均价×</w:t>
      </w:r>
      <w:r>
        <w:rPr>
          <w:rFonts w:ascii="SimSun" w:hAnsi="SimSun" w:eastAsia="SimSun" w:cs="SimSun"/>
          <w:color w:val="000000"/>
          <w:sz w:val="24"/>
          <w:u w:val="single"/>
        </w:rPr>
        <w:t xml:space="preserve">    </w:t>
      </w:r>
      <w:r>
        <w:rPr>
          <w:rFonts w:ascii="SimSun" w:hAnsi="SimSun" w:eastAsia="SimSun" w:cs="SimSun"/>
          <w:color w:val="000000"/>
          <w:sz w:val="24"/>
        </w:rPr>
        <w:t xml:space="preserve">%，合同最终价格不得超过年采购预算（￥1063000.00元）。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注：对于苏州市发展和改革委员会网未公布价格的食材品类，其价格按大型超市当日零售价格的100%为基准下浮，苏州市发展和改革委员会网未公布价格的食材品类优惠率为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费用结算：合同签订后15天内，乙方可以向甲方申请合同金额的10%作为预付款。自货到之日起经验收合格，无质量问题，按月隔月结算(如遇寒假、暑假，则在假期结束后下一个月结清假前款项)，凭合法有效票据通过银行转账支付。在签订合同时，乙方明确表示无需预付款或者主动要求降低预付款比例的，甲方可不适用上述关于预付款的规定。具体实施要求按苏财购【2020】52号：一、建立政府采购资金预付款制度的相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三、甲乙双方权利、义务：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物价的两倍。</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2、乙方必须持有食品经营许可证、工商营业执照以及其他相关证照，且经营状况良好。</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3、乙方在供货时不得提供以下食品：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(1)无品名、产地、厂名、生产日期、保质期与中文标识及原料说明的定型包装食品。由甲方负责质量把关。</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(2)超过保质期限或不符合食品标签规定的定型包装食品。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(3)腐败变质、油脂酸败、霉变、生虫、污秽不洁、混有异物或者其他感官性状异常，含毒、有害物质污染，可能对人体健康有害的食品。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(4)滥用食品添加剂、农药残留超标的水果等。</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5、乙方必须根据甲方提出的食品、品牌、规格、数量和质量要求送货，并在甲方规定的时间内及时送达甲方指定地点。不按规定时间及地点送达的，将罚款并承担违约责任。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6、如乙方不按规定结算，擅自涨价，乙方应向甲方退回涨价部分金额。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7、因乙方所供应食品的质量问题引起甲方员工食物中毒等食源性疾病的发生或其他事故由乙方负全部责任，并承担由此引起的全部经济损失及相应的法律责任。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8、甲方食堂所用食品按招标文件招标范围全部由乙方供应，甲方在协议期内一般不得另行招标。(特殊情况除外)</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9、甲方在隔月向乙方付清前一个月发生的货款，不得拖欠。</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10、甲方建立食品索证制度及食品验收制度，向乙方索取食品的检验合格证或者检验报告，并进行验收。做好索证登记工作，加强食品库房管理。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11、若甲方有特殊情况需临时要求供货，乙方须按照投标文件中承诺的应急预案执行，并在甲方规定的合理时间内能送货至甲方指定地点。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因重大责任事故，取消配送资格的供应商，不得继续为甲方提供所有物质的配送，已签订的合同双方协商解除。为避免甲方用餐情况发生中断，则由预中标排名第二顺位的供应商继续提供食堂物质配送，以保证甲方正常用餐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13、甲、乙双方均自觉遵守国家有关法律、法规。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14、如有未尽事宜，则由甲方、乙方另行协商决定。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四、违约责任：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乙方违反以上协议或有以下情况发生，甲方有权中止乙方的供货商资格。</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(1)商品短斤缺两、以次充好、擅自提价等失误，经指令整改后还屡有发生；</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(2)因商品质量问题退换三次或供货迟到三次及其以上；</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(3)食物中毒等食源性疾病的发生或其他事故。</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(4)在招投标中乙方存在借资质进行招投标行为的。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甲方权利：</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（1）甲乙双方签订合同以后，乙方提出放弃或被取消配送资格的，乙方不得参与下一轮甲方组织的食堂材料供货及配送服务商公开招标采购</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（2）取消配送资格的供应商，不得继续为甲方提供所有物质的配送，已签订的合同无效。为避免甲方用餐情况发生中断，则由预中标排名第二顺位的供应商继续提供食堂物质配送，以保证甲方正常用餐情况。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五、合同的生效</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本合同在甲乙双方签字盖章后，须经网上系统备案。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六、争议的解决</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甲乙双方因合同发生争议，应在招标机构的主持下进行调解，协商不成，任何一方可以向甲方所在地人民法院起诉。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七、附则</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合同份数：本合同一式六份，甲乙双方各执两份，招标代理机构一份，政府监管部门一份。</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本合同文件使用中文书写、解释和说明。</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本合同履行过程中产生的纪要、协议以及中标通知书、投标响应文件和招标文件为本合同的附件，与合同具有同等效力。</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未尽事宜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本合同未尽事宜应按照《中华人民共和国民法典》、《中华人民共和国产品质量法》、《中华人民共和国政府采购法》之规定解释。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8、考核要求：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甲方每月对乙方服务项目进行考核，具体详见附件《配餐服务月考核表》。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8.1乙方在上级部门检查中不合格受到处罚，甲方将按照处罚金额200元从乙方的服务费中扣除。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8.2因乙方提供不洁食物造成甲方人员食物中毒等食品安全事故的，由乙方负责赔偿并承担相应的法律后果。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8.3乙方所配送甲方的，食材，必须是通过严格删选的，食材要：新鲜、安全，若在配送过程中，出现2次中，甲方将对乙方处以500元，以示警告。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8.4乙方在配送过程中，如若因为特殊因素，不能及时将货物送达，乙方必须提前通知甲方，与甲方协商处理方案，出现2次中的情况下，甲方将处以500元的罚款以示警告。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8.5原材料进货单据必须齐全，单货相符，货物出入库手续完备，甲方会不定时的抽查乙方上述单据情况，若完善结果中，出现2次中，甲方需要对乙方处以500元，以示警告。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8.6配送货物单据，必须齐全，包括：检测报告、送货单等，若一月累计出现3次中的情况，甲方将对乙方处以500元，以示警告。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8.7原材料供应商，索证需要齐全，甲方会不定时的抽查乙方索证情况，若抽查累计3次中，甲方将对乙方处以500元，以示警告。</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815"/>
        <w:gridCol/>
        <w:gridCol w:w="718"/>
        <w:gridCol w:w="673"/>
        <w:gridCol w:w="948"/>
        <w:gridCol w:w="245"/>
        <w:gridCol w:w="963"/>
        <w:gridCol w:w="230"/>
        <w:gridCol w:w="978"/>
        <w:gridCol w:w="6889"/>
        <w:gridCol w:w="2425"/>
      </w:tblGrid>
      <w:tr>
        <w:trPr>
          <w:trHeight w:val="5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69"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月度考核表</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13"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630"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考核时间：    年      月</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2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1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9"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评价制度</w:t>
            </w:r>
            <w:r/>
          </w:p>
        </w:tc>
      </w:tr>
      <w:tr>
        <w:trPr>
          <w:trHeight w:val="70"/>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良</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差</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食材新鲜度、无腐败变质食品（蔬菜、肉类、水产、冷冻、豆制品等）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配送准时度(按照规定时间，将货物送达)</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服务态度（售后服务）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原料进货单据齐全，单货相符，货物出入库手续完备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配送货物单据是否齐全（检测报告、送货单等）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原料厂商索证资料是否齐全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6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3"/>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考核结果：1、通过以上评分，该供应商的综合得分：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2、该供应商应处于的等级：A、120分以上 B、100-80分 C、60分以下（月考核60以下不合格）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特殊说明:优，20分、良，15分、中，12分、可，10分、差，8分（每日考核8分及以下不合格）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考核部门签字：</w:t>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供应商签字</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8"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13" w:type="dxa"/>
            <w:vAlign w:val="center"/>
            <w:textDirection w:val="lrTb"/>
            <w:noWrap w:val="false"/>
          </w:tcPr>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处罚办法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每月得分95分以上的，足额支付费用；90分-95分的，扣除5%；80-90分的，扣除当月费用10%；70-80分的，扣除当月费用15%；当月60分以下的，除了责令其改正错误，并写出书面整改报告之外，应扣除当月费用的20%。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评标方法和评分标准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1、本次招标评标采用为综合评分法，即指投标文件满足招标文件全部实质性要求，且按照评审因素的量化指标评审得分最高的投标人为中标候选人的评标方法。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2、评标委员会各成员审查每份投标文件是否实质响应了招标文件的要求，非实质性响应的投标文件将被拒绝，也不进行评审。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4、如出现评标总得分最高的投标人有两个或两个以上的，以投标报价较低者优先作为中标候选人或者中标人的评标方法；如果投标报价也相同的，则由公证机构组织以抽签方式确定。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1、中、小企业：根据《关于印发&lt;苏州市政府采购促进中小企业发展实施意见&gt;的通知》（苏财购[2022]16号）规定：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b/>
          <w:color w:val="000000"/>
          <w:sz w:val="24"/>
        </w:rPr>
        <w:t xml:space="preserve">本项目属于专门面向中小企业采购。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1.3本项目采购标的对应的中小企业划分标准所属行业为：</w:t>
      </w:r>
      <w:r>
        <w:rPr>
          <w:rFonts w:ascii="SimSun" w:hAnsi="SimSun" w:eastAsia="SimSun" w:cs="SimSun"/>
          <w:b/>
          <w:color w:val="000000"/>
          <w:sz w:val="24"/>
        </w:rPr>
        <w:t xml:space="preserve">其他未列明行业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1.4中小企业参加政府采购活动，应当出具《关于印发&lt;苏州市政府采购促进中小企业发展实施意见&gt;的通知》（苏财购[2022]16号）规定的《中小企业声明函》，否则不得享受相关中小企业扶持政策。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1.5本项目中，供应商提供的服务由中小企业承接，即提供服务的人员为中小企业依照《中华人民共和国劳动合同法》订立劳动合同的从业人员，才可享受规定的中小企业扶持政策。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1.6若供应商提供的《中小企业声明函》为虚假声明则视同提供虚假材料，按政府采购相关规定处理并报请政府监管部门给予行政处罚。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5、若供应商提供的《中小企业声明函》、《残疾人福利性单位声明函》及监狱企业认定证明等材料为虚假材料，按《政府采购法》相关规定处理并报请政府采购监管部门给予行政处罚。</w:t>
      </w:r>
      <w:r/>
    </w:p>
    <w:p>
      <w:pPr>
        <w:ind w:left="0" w:right="0" w:firstLine="0"/>
        <w:jc w:val="both"/>
        <w:spacing w:before="210" w:after="21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6、若为专门面向中小企业采购的项目或者采购包，不再执行价格评审优惠的扶持政策。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（一）价格基准分（10分）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第一步：投标总报价低于或等于采购预算价格的，为有效投标报价。超采购预算的投标报价文件为未实质性响应文件，不参与评审，也不得标。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价格分采用低价优先法计算，即满足招标文件要求且投标价格最低的投标报价（优惠率最高）为评标基准价，其价格分为满分10分。其他投标人的价格分统一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投标报价得分=【（1-投标基准优惠率）/（1-投标响应优惠率）】×10%×100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（二）针对本项目所制定的管理制度及各类保障制度及方案比较（54分）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部管理架构及管理规章制度比较（包括但不限于项目组织管理组织结构图、管理处机构设置、岗位责任、管理维护运作制度及标准、管理人员考核制度及标准）：提出的管理制度符合项目要求，以上内容有详细制度内容，措施有效扎实，管理责任清晰得11分；提出的管理制度，措施基本有效，管理责任基本清晰得7分；提出的管理制度，内容不全面仅涉及，措施无可行性，管理责任不清晰得3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材安全、卫生保障方案比较（包括但不限于食品管理制度、场所卫生管理制度、器具清洗消毒制度、人员卫生管理等）：提出的安全、卫生保障方案及措施符合项目要求，措施全面完善、科学合理、操作性强的得11分；提出的安全、卫生保障方案及措施方案内容较完整、措施方案较明确、操作性较强的得7分；提出的安全、卫生保障方案及措施内容仅有涉及且内容缺失的得3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急预案比较（包括本项目可能发生的各类应急预案，如突发危机事件、火灾应急、突发治安事件、极端天气应急、发生紧急情况如人员食物中毒应急预备、大型活动等）：应急方案，阐述明确，条理清晰，具有详细方案内容且措施实施有效的得11分；应急方案，阐述较清楚，条理较清晰，措施基本涉及内容不详细的得7分；应急方案，阐述模糊，条理含糊，方案措施欠缺得3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原料的索证制度齐全比较：追溯源齐全、有严格的仓库管理制度要求，食品先进先出，阐述明确，条理清晰，具有详细方案内容且措施实施有效的得11分；追溯源齐全、有严格的仓库管理制度要求，食品先进先出阐述清楚，条理比较清晰，措施基本涉及内容不详细的得7分；提出的方案，阐述模糊，条理含糊，方案措施欠缺得3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5、与各学校及各主管部门的日常沟通、配合方案。10分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方案考虑全面、切实可行、实用性强的得10分；方案较全面、具有一定的可行性及实用性的得6分；方案基本完整、可行性及实用性一般得2分。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（三）投标单位针对本项目基础设施情况比较（15分）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营场地比较：包括不限于冷冻和冷藏设施、仓储区、办公区安全保卫等措施，以上区域划分明确，安全保卫措施完善且提供资料、图片等齐全的得9分；各个区域划分不够明确、安全保卫措施不够完整全面的得6分；以上内容均提及但无具有划分内容且无具体措施的得2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提供冷藏或冷冻功能厢式货车车辆情况：每提供一辆得2分，最高6分（自有的投标文件中须提供车辆彩色图片及产权证、行驶证扫描件；如车辆为租赁的须同时提供租赁合同及发票、行驶证扫描件。上述证明材料需提供原件扫描件或提供网站查询截图及查询网址，网页截图内容需清晰可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（四）投标单位综合实力比较（21分）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具有食品检验员证书得3分；具有公共营养师证书得3分；本项最高6分。（投标文件中提供社保机构出具的投标单位近期为其缴纳的社保证明及相关证书扫描件加盖公章或提供网站查询截图及查询网址，网页截图内容需清晰可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具有相关食品安全责任保险的得3分（投标文件中须提供保险单据扫描件，或如可网站查询的提供网站查询截图及查询网址，网页截图内容需清晰可见。材料不提供或提供不全或无法认定的，此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具有有效期内的环境体系认证、质量体系认证、职业健康体系认证、食品安全管理体系，有一个得2分，最高8分（投标文件中需提供证书扫描件及提供国家认证认可监督管理委员会官网查询的网页截图，网页截图内容需清晰可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4、投标单位2020年至今，具备同类项目相关业绩的，有1份得2分，最高得4分，（投标文件中提供合同扫描件或如可网站查询的提供网站查询截图及查询网址，网页截图内容需清晰可见）。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footerReference w:type="default" r:id="rId9"/>
      <w:footnotePr/>
      <w:endnotePr/>
      <w:type w:val="nextPage"/>
      <w:pgSz w:w="11906" w:h="16838" w:orient="portrait"/>
      <w:pgMar w:top="1247" w:right="1134" w:bottom="1247" w:left="124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等线">
    <w:panose1 w:val="02010600030101010101"/>
  </w:font>
  <w:font w:name="仿宋">
    <w:panose1 w:val="02010609060101010101"/>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方正小标宋简体">
    <w:panose1 w:val="020B050302020202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fldSimple w:instr="PAGE \* MERGEFORMAT">
      <w:r>
        <w:t xml:space="preserve">1</w:t>
      </w:r>
    </w:fldSimple>
    <w:r/>
    <w:r/>
  </w:p>
  <w:p>
    <w:pPr>
      <w:pStyle w:val="722"/>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0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1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tabs>
          <w:tab w:val="left" w:pos="360" w:leader="none"/>
        </w:tabs>
      </w:pPr>
      <w:rPr>
        <w:rFonts w:cs="Times New Roman"/>
        <w:b w:val="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2"/>
  </w:num>
  <w:num w:numId="5">
    <w:abstractNumId w:val="4"/>
  </w:num>
  <w:num w:numId="6">
    <w:abstractNumId w:val="7"/>
  </w:num>
  <w:num w:numId="7">
    <w:abstractNumId w:val="0"/>
  </w:num>
  <w:num w:numId="8">
    <w:abstractNumId w:val="5"/>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10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739"/>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40"/>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1"/>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2"/>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3"/>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7"/>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Layout w:type="fixed"/>
      <w:tblCellMar>
        <w:left w:w="108" w:type="dxa"/>
        <w:top w:w="0" w:type="dxa"/>
        <w:right w:w="108" w:type="dxa"/>
        <w:bottom w:w="0" w:type="dxa"/>
      </w:tblCellMar>
    </w:tblPr>
  </w:style>
  <w:style w:type="paragraph" w:styleId="710">
    <w:name w:val="Body Text Indent"/>
    <w:basedOn w:val="698"/>
    <w:next w:val="711"/>
    <w:uiPriority w:val="0"/>
    <w:qFormat/>
    <w:pPr>
      <w:ind w:left="420" w:firstLine="1188"/>
      <w:spacing w:line="360" w:lineRule="exact"/>
    </w:pPr>
    <w:rPr>
      <w:rFonts w:ascii="Times New Roman" w:hAnsi="Times New Roman" w:cs="Times New Roman"/>
    </w:rPr>
  </w:style>
  <w:style w:type="paragraph" w:styleId="711">
    <w:name w:val="envelope return"/>
    <w:basedOn w:val="698"/>
    <w:uiPriority w:val="99"/>
    <w:unhideWhenUsed/>
    <w:qFormat/>
    <w:rPr>
      <w:rFonts w:ascii="Arial" w:hAnsi="Arial"/>
    </w:rPr>
  </w:style>
  <w:style w:type="paragraph" w:styleId="712">
    <w:name w:val="toc 7"/>
    <w:basedOn w:val="698"/>
    <w:next w:val="698"/>
    <w:uiPriority w:val="39"/>
    <w:unhideWhenUsed/>
    <w:qFormat/>
    <w:pPr>
      <w:ind w:left="1701" w:right="0" w:firstLine="0"/>
      <w:spacing w:after="57"/>
    </w:pPr>
  </w:style>
  <w:style w:type="paragraph" w:styleId="713">
    <w:name w:val="Normal Indent"/>
    <w:basedOn w:val="698"/>
    <w:uiPriority w:val="0"/>
    <w:qFormat/>
    <w:pPr>
      <w:ind w:firstLine="200"/>
    </w:pPr>
    <w:rPr>
      <w:rFonts w:ascii="Times New Roman" w:hAnsi="Times New Roman" w:eastAsia="楷体_GB2312" w:cs="Times New Roman"/>
      <w:sz w:val="24"/>
      <w:szCs w:val="20"/>
    </w:rPr>
  </w:style>
  <w:style w:type="paragraph" w:styleId="714">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698"/>
    <w:uiPriority w:val="99"/>
    <w:unhideWhenUsed/>
    <w:qFormat/>
    <w:pPr>
      <w:jc w:val="left"/>
    </w:pPr>
  </w:style>
  <w:style w:type="paragraph" w:styleId="716">
    <w:name w:val="Body Text"/>
    <w:basedOn w:val="698"/>
    <w:next w:val="698"/>
    <w:uiPriority w:val="0"/>
    <w:qFormat/>
    <w:pPr>
      <w:spacing w:line="400" w:lineRule="exact"/>
    </w:pPr>
    <w:rPr>
      <w:rFonts w:ascii="楷体_GB2312"/>
      <w:sz w:val="28"/>
    </w:rPr>
  </w:style>
  <w:style w:type="paragraph" w:styleId="717">
    <w:name w:val="toc 5"/>
    <w:basedOn w:val="698"/>
    <w:next w:val="698"/>
    <w:uiPriority w:val="39"/>
    <w:unhideWhenUsed/>
    <w:qFormat/>
    <w:pPr>
      <w:ind w:left="1134" w:right="0" w:firstLine="0"/>
      <w:spacing w:after="57"/>
    </w:pPr>
  </w:style>
  <w:style w:type="paragraph" w:styleId="718">
    <w:name w:val="toc 3"/>
    <w:basedOn w:val="698"/>
    <w:next w:val="698"/>
    <w:uiPriority w:val="39"/>
    <w:unhideWhenUsed/>
    <w:qFormat/>
    <w:pPr>
      <w:ind w:left="567" w:right="0" w:firstLine="0"/>
      <w:spacing w:after="57"/>
    </w:pPr>
  </w:style>
  <w:style w:type="paragraph" w:styleId="719">
    <w:name w:val="Plain Text"/>
    <w:basedOn w:val="698"/>
    <w:uiPriority w:val="0"/>
    <w:qFormat/>
    <w:rPr>
      <w:rFonts w:ascii="宋体" w:hAnsi="Courier New" w:eastAsia="楷体_GB2312"/>
      <w:sz w:val="28"/>
      <w:szCs w:val="20"/>
    </w:rPr>
  </w:style>
  <w:style w:type="paragraph" w:styleId="720">
    <w:name w:val="toc 8"/>
    <w:basedOn w:val="698"/>
    <w:next w:val="698"/>
    <w:uiPriority w:val="39"/>
    <w:unhideWhenUsed/>
    <w:qFormat/>
    <w:pPr>
      <w:ind w:left="1984" w:right="0" w:firstLine="0"/>
      <w:spacing w:after="57"/>
    </w:pPr>
  </w:style>
  <w:style w:type="paragraph" w:styleId="721">
    <w:name w:val="endnote text"/>
    <w:basedOn w:val="698"/>
    <w:link w:val="885"/>
    <w:uiPriority w:val="99"/>
    <w:semiHidden/>
    <w:unhideWhenUsed/>
    <w:qFormat/>
    <w:pPr>
      <w:spacing w:after="0" w:line="240" w:lineRule="auto"/>
    </w:pPr>
    <w:rPr>
      <w:sz w:val="20"/>
    </w:rPr>
  </w:style>
  <w:style w:type="paragraph" w:styleId="722">
    <w:name w:val="Footer"/>
    <w:basedOn w:val="698"/>
    <w:link w:val="758"/>
    <w:uiPriority w:val="99"/>
    <w:unhideWhenUsed/>
    <w:qFormat/>
    <w:pPr>
      <w:spacing w:after="0" w:line="240" w:lineRule="auto"/>
      <w:tabs>
        <w:tab w:val="center" w:pos="7143" w:leader="none"/>
        <w:tab w:val="right" w:pos="14287" w:leader="none"/>
      </w:tabs>
    </w:pPr>
  </w:style>
  <w:style w:type="paragraph" w:styleId="723">
    <w:name w:val="Header"/>
    <w:basedOn w:val="698"/>
    <w:link w:val="756"/>
    <w:uiPriority w:val="99"/>
    <w:unhideWhenUsed/>
    <w:qFormat/>
    <w:pPr>
      <w:spacing w:after="0" w:line="240" w:lineRule="auto"/>
      <w:tabs>
        <w:tab w:val="center" w:pos="7143" w:leader="none"/>
        <w:tab w:val="right" w:pos="14287" w:leader="none"/>
      </w:tabs>
    </w:pPr>
  </w:style>
  <w:style w:type="paragraph" w:styleId="724">
    <w:name w:val="toc 1"/>
    <w:basedOn w:val="698"/>
    <w:next w:val="698"/>
    <w:uiPriority w:val="39"/>
    <w:unhideWhenUsed/>
    <w:qFormat/>
    <w:pPr>
      <w:ind w:left="0" w:right="0" w:firstLine="0"/>
      <w:spacing w:after="57"/>
    </w:pPr>
  </w:style>
  <w:style w:type="paragraph" w:styleId="725">
    <w:name w:val="toc 4"/>
    <w:basedOn w:val="698"/>
    <w:next w:val="698"/>
    <w:uiPriority w:val="39"/>
    <w:unhideWhenUsed/>
    <w:qFormat/>
    <w:pPr>
      <w:ind w:left="850" w:right="0" w:firstLine="0"/>
      <w:spacing w:after="57"/>
    </w:pPr>
  </w:style>
  <w:style w:type="paragraph" w:styleId="726">
    <w:name w:val="Subtitle"/>
    <w:basedOn w:val="698"/>
    <w:next w:val="698"/>
    <w:link w:val="751"/>
    <w:uiPriority w:val="11"/>
    <w:qFormat/>
    <w:pPr>
      <w:spacing w:before="200" w:after="200"/>
    </w:pPr>
    <w:rPr>
      <w:sz w:val="24"/>
      <w:szCs w:val="24"/>
    </w:rPr>
  </w:style>
  <w:style w:type="paragraph" w:styleId="727">
    <w:name w:val="footnote text"/>
    <w:basedOn w:val="698"/>
    <w:link w:val="884"/>
    <w:uiPriority w:val="99"/>
    <w:semiHidden/>
    <w:unhideWhenUsed/>
    <w:qFormat/>
    <w:pPr>
      <w:spacing w:after="40" w:line="240" w:lineRule="auto"/>
    </w:pPr>
    <w:rPr>
      <w:sz w:val="18"/>
    </w:rPr>
  </w:style>
  <w:style w:type="paragraph" w:styleId="728">
    <w:name w:val="toc 6"/>
    <w:basedOn w:val="698"/>
    <w:next w:val="698"/>
    <w:uiPriority w:val="39"/>
    <w:unhideWhenUsed/>
    <w:qFormat/>
    <w:pPr>
      <w:ind w:left="1417" w:right="0" w:firstLine="0"/>
      <w:spacing w:after="57"/>
    </w:pPr>
  </w:style>
  <w:style w:type="paragraph" w:styleId="729">
    <w:name w:val="table of figures"/>
    <w:basedOn w:val="698"/>
    <w:next w:val="698"/>
    <w:uiPriority w:val="99"/>
    <w:unhideWhenUsed/>
    <w:qFormat/>
    <w:pPr>
      <w:spacing w:after="0" w:afterAutospacing="0"/>
    </w:pPr>
  </w:style>
  <w:style w:type="paragraph" w:styleId="730">
    <w:name w:val="toc 2"/>
    <w:basedOn w:val="698"/>
    <w:next w:val="698"/>
    <w:uiPriority w:val="39"/>
    <w:unhideWhenUsed/>
    <w:qFormat/>
    <w:pPr>
      <w:ind w:left="283" w:right="0" w:firstLine="0"/>
      <w:spacing w:after="57"/>
    </w:pPr>
  </w:style>
  <w:style w:type="paragraph" w:styleId="731">
    <w:name w:val="toc 9"/>
    <w:basedOn w:val="698"/>
    <w:next w:val="698"/>
    <w:uiPriority w:val="39"/>
    <w:unhideWhenUsed/>
    <w:qFormat/>
    <w:pPr>
      <w:ind w:left="2268" w:right="0" w:firstLine="0"/>
      <w:spacing w:after="57"/>
    </w:pPr>
  </w:style>
  <w:style w:type="paragraph" w:styleId="732">
    <w:name w:val="Normal (Web)"/>
    <w:basedOn w:val="698"/>
    <w:uiPriority w:val="0"/>
    <w:qFormat/>
    <w:pPr>
      <w:jc w:val="left"/>
      <w:spacing w:before="100" w:beforeAutospacing="1" w:after="100" w:afterAutospacing="1"/>
      <w:widowControl/>
    </w:pPr>
    <w:rPr>
      <w:rFonts w:ascii="宋体" w:hAnsi="宋体" w:eastAsia="宋体" w:cs="Times New Roman"/>
      <w:sz w:val="24"/>
    </w:rPr>
  </w:style>
  <w:style w:type="paragraph" w:styleId="733">
    <w:name w:val="Title"/>
    <w:basedOn w:val="698"/>
    <w:next w:val="698"/>
    <w:link w:val="750"/>
    <w:uiPriority w:val="10"/>
    <w:qFormat/>
    <w:pPr>
      <w:contextualSpacing/>
      <w:spacing w:before="300" w:after="200"/>
    </w:pPr>
    <w:rPr>
      <w:sz w:val="48"/>
      <w:szCs w:val="48"/>
    </w:r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38" w:customStyle="1">
    <w:name w:val="段"/>
    <w:next w:val="698"/>
    <w:uiPriority w:val="99"/>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39" w:customStyle="1">
    <w:name w:val="Heading 1 Char"/>
    <w:link w:val="699"/>
    <w:uiPriority w:val="9"/>
    <w:qFormat/>
    <w:rPr>
      <w:rFonts w:ascii="Arial" w:hAnsi="Arial" w:eastAsia="Arial" w:cs="Arial"/>
      <w:sz w:val="40"/>
      <w:szCs w:val="40"/>
    </w:rPr>
  </w:style>
  <w:style w:type="character" w:styleId="740" w:customStyle="1">
    <w:name w:val="Heading 2 Char"/>
    <w:link w:val="700"/>
    <w:uiPriority w:val="9"/>
    <w:qFormat/>
    <w:rPr>
      <w:rFonts w:ascii="Arial" w:hAnsi="Arial" w:eastAsia="Arial" w:cs="Arial"/>
      <w:sz w:val="34"/>
    </w:rPr>
  </w:style>
  <w:style w:type="character" w:styleId="741" w:customStyle="1">
    <w:name w:val="Heading 3 Char"/>
    <w:link w:val="701"/>
    <w:uiPriority w:val="9"/>
    <w:qFormat/>
    <w:rPr>
      <w:rFonts w:ascii="Arial" w:hAnsi="Arial" w:eastAsia="Arial" w:cs="Arial"/>
      <w:sz w:val="30"/>
      <w:szCs w:val="30"/>
    </w:rPr>
  </w:style>
  <w:style w:type="character" w:styleId="742" w:customStyle="1">
    <w:name w:val="Heading 4 Char"/>
    <w:link w:val="702"/>
    <w:uiPriority w:val="9"/>
    <w:qFormat/>
    <w:rPr>
      <w:rFonts w:ascii="Arial" w:hAnsi="Arial" w:eastAsia="Arial" w:cs="Arial"/>
      <w:b/>
      <w:bCs/>
      <w:sz w:val="26"/>
      <w:szCs w:val="26"/>
    </w:rPr>
  </w:style>
  <w:style w:type="character" w:styleId="743" w:customStyle="1">
    <w:name w:val="Heading 5 Char"/>
    <w:link w:val="703"/>
    <w:uiPriority w:val="9"/>
    <w:qFormat/>
    <w:rPr>
      <w:rFonts w:ascii="Arial" w:hAnsi="Arial" w:eastAsia="Arial" w:cs="Arial"/>
      <w:b/>
      <w:bCs/>
      <w:sz w:val="24"/>
      <w:szCs w:val="24"/>
    </w:rPr>
  </w:style>
  <w:style w:type="character" w:styleId="744" w:customStyle="1">
    <w:name w:val="Heading 6 Char"/>
    <w:link w:val="704"/>
    <w:uiPriority w:val="9"/>
    <w:qFormat/>
    <w:rPr>
      <w:rFonts w:ascii="Arial" w:hAnsi="Arial" w:eastAsia="Arial" w:cs="Arial"/>
      <w:b/>
      <w:bCs/>
      <w:sz w:val="22"/>
      <w:szCs w:val="22"/>
    </w:rPr>
  </w:style>
  <w:style w:type="character" w:styleId="745" w:customStyle="1">
    <w:name w:val="Heading 7 Char"/>
    <w:link w:val="705"/>
    <w:uiPriority w:val="9"/>
    <w:qFormat/>
    <w:rPr>
      <w:rFonts w:ascii="Arial" w:hAnsi="Arial" w:eastAsia="Arial" w:cs="Arial"/>
      <w:b/>
      <w:bCs/>
      <w:i/>
      <w:iCs/>
      <w:sz w:val="22"/>
      <w:szCs w:val="22"/>
    </w:rPr>
  </w:style>
  <w:style w:type="character" w:styleId="746" w:customStyle="1">
    <w:name w:val="Heading 8 Char"/>
    <w:link w:val="706"/>
    <w:uiPriority w:val="9"/>
    <w:qFormat/>
    <w:rPr>
      <w:rFonts w:ascii="Arial" w:hAnsi="Arial" w:eastAsia="Arial" w:cs="Arial"/>
      <w:i/>
      <w:iCs/>
      <w:sz w:val="22"/>
      <w:szCs w:val="22"/>
    </w:rPr>
  </w:style>
  <w:style w:type="character" w:styleId="747" w:customStyle="1">
    <w:name w:val="Heading 9 Char"/>
    <w:link w:val="707"/>
    <w:uiPriority w:val="9"/>
    <w:qFormat/>
    <w:rPr>
      <w:rFonts w:ascii="Arial" w:hAnsi="Arial" w:eastAsia="Arial" w:cs="Arial"/>
      <w:i/>
      <w:iCs/>
      <w:sz w:val="21"/>
      <w:szCs w:val="21"/>
    </w:rPr>
  </w:style>
  <w:style w:type="paragraph" w:styleId="748">
    <w:name w:val="List Paragraph"/>
    <w:basedOn w:val="698"/>
    <w:uiPriority w:val="34"/>
    <w:qFormat/>
    <w:pPr>
      <w:contextualSpacing/>
      <w:ind w:left="720"/>
    </w:p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link w:val="733"/>
    <w:uiPriority w:val="10"/>
    <w:qFormat/>
    <w:rPr>
      <w:sz w:val="48"/>
      <w:szCs w:val="48"/>
    </w:rPr>
  </w:style>
  <w:style w:type="character" w:styleId="751" w:customStyle="1">
    <w:name w:val="Subtitle Char"/>
    <w:link w:val="726"/>
    <w:uiPriority w:val="11"/>
    <w:qFormat/>
    <w:rPr>
      <w:sz w:val="24"/>
      <w:szCs w:val="24"/>
    </w:rPr>
  </w:style>
  <w:style w:type="paragraph" w:styleId="752">
    <w:name w:val="Quote"/>
    <w:basedOn w:val="698"/>
    <w:next w:val="698"/>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698"/>
    <w:next w:val="698"/>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3"/>
    <w:uiPriority w:val="99"/>
    <w:qFormat/>
  </w:style>
  <w:style w:type="character" w:styleId="757" w:customStyle="1">
    <w:name w:val="Footer Char"/>
    <w:link w:val="722"/>
    <w:uiPriority w:val="99"/>
    <w:qFormat/>
  </w:style>
  <w:style w:type="character" w:styleId="758" w:customStyle="1">
    <w:name w:val="Caption Char"/>
    <w:link w:val="722"/>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7"/>
    <w:uiPriority w:val="99"/>
    <w:qFormat/>
    <w:rPr>
      <w:sz w:val="18"/>
    </w:rPr>
  </w:style>
  <w:style w:type="character" w:styleId="885" w:customStyle="1">
    <w:name w:val="Endnote Text Char"/>
    <w:link w:val="721"/>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标题 11"/>
    <w:basedOn w:val="698"/>
    <w:next w:val="698"/>
    <w:link w:val="894"/>
    <w:uiPriority w:val="9"/>
    <w:qFormat/>
    <w:pPr>
      <w:keepLines/>
      <w:keepNext/>
      <w:spacing w:before="340" w:after="330" w:line="578" w:lineRule="auto"/>
      <w:outlineLvl w:val="0"/>
    </w:pPr>
    <w:rPr>
      <w:b/>
      <w:bCs/>
      <w:sz w:val="44"/>
      <w:szCs w:val="44"/>
    </w:rPr>
  </w:style>
  <w:style w:type="paragraph" w:styleId="888" w:customStyle="1">
    <w:name w:val="标题 21"/>
    <w:basedOn w:val="698"/>
    <w:next w:val="698"/>
    <w:link w:val="895"/>
    <w:uiPriority w:val="9"/>
    <w:qFormat/>
    <w:pPr>
      <w:keepLines/>
      <w:keepNext/>
      <w:spacing w:before="260" w:after="260" w:line="415" w:lineRule="auto"/>
      <w:outlineLvl w:val="1"/>
    </w:pPr>
    <w:rPr>
      <w:rFonts w:ascii="Cambria" w:hAnsi="Cambria"/>
      <w:b/>
      <w:bCs/>
      <w:sz w:val="32"/>
      <w:szCs w:val="32"/>
    </w:rPr>
  </w:style>
  <w:style w:type="paragraph" w:styleId="889" w:customStyle="1">
    <w:name w:val="标题 31"/>
    <w:basedOn w:val="698"/>
    <w:next w:val="698"/>
    <w:link w:val="896"/>
    <w:uiPriority w:val="9"/>
    <w:qFormat/>
    <w:pPr>
      <w:keepLines/>
      <w:keepNext/>
      <w:spacing w:before="260" w:after="260" w:line="415" w:lineRule="auto"/>
      <w:outlineLvl w:val="2"/>
    </w:pPr>
    <w:rPr>
      <w:rFonts w:ascii="Times New Roman" w:hAnsi="Times New Roman"/>
      <w:b/>
      <w:bCs/>
      <w:sz w:val="32"/>
      <w:szCs w:val="32"/>
    </w:rPr>
  </w:style>
  <w:style w:type="paragraph" w:styleId="890" w:customStyle="1">
    <w:name w:val="标题 41"/>
    <w:basedOn w:val="698"/>
    <w:next w:val="698"/>
    <w:uiPriority w:val="0"/>
    <w:qFormat/>
    <w:pPr>
      <w:keepLines/>
      <w:keepNext/>
      <w:spacing w:before="280" w:after="290" w:line="377" w:lineRule="auto"/>
      <w:outlineLvl w:val="3"/>
    </w:pPr>
    <w:rPr>
      <w:rFonts w:ascii="Cambria" w:hAnsi="Cambria"/>
      <w:b/>
      <w:bCs/>
      <w:sz w:val="28"/>
      <w:szCs w:val="28"/>
    </w:rPr>
  </w:style>
  <w:style w:type="paragraph" w:styleId="891" w:customStyle="1">
    <w:name w:val="标题 51"/>
    <w:basedOn w:val="698"/>
    <w:next w:val="698"/>
    <w:uiPriority w:val="0"/>
    <w:qFormat/>
    <w:pPr>
      <w:keepLines/>
      <w:keepNext/>
      <w:spacing w:before="280" w:after="290" w:line="377" w:lineRule="auto"/>
      <w:outlineLvl w:val="4"/>
    </w:pPr>
    <w:rPr>
      <w:rFonts w:ascii="Times New Roman" w:hAnsi="Times New Roman"/>
      <w:b/>
      <w:bCs/>
      <w:sz w:val="28"/>
      <w:szCs w:val="28"/>
    </w:rPr>
  </w:style>
  <w:style w:type="character" w:styleId="892" w:customStyle="1">
    <w:name w:val="默认段落字体1"/>
    <w:link w:val="698"/>
    <w:uiPriority w:val="1"/>
    <w:unhideWhenUsed/>
    <w:qFormat/>
  </w:style>
  <w:style w:type="table" w:styleId="893" w:customStyle="1">
    <w:name w:val="普通表格1"/>
    <w:uiPriority w:val="99"/>
    <w:unhideWhenUsed/>
    <w:qFormat/>
    <w:tblPr/>
  </w:style>
  <w:style w:type="character" w:styleId="894" w:customStyle="1">
    <w:name w:val="标题 1 字符"/>
    <w:link w:val="887"/>
    <w:uiPriority w:val="9"/>
    <w:qFormat/>
    <w:rPr>
      <w:b/>
      <w:bCs/>
      <w:sz w:val="44"/>
      <w:szCs w:val="44"/>
    </w:rPr>
  </w:style>
  <w:style w:type="character" w:styleId="895" w:customStyle="1">
    <w:name w:val="标题 2 字符"/>
    <w:link w:val="888"/>
    <w:uiPriority w:val="9"/>
    <w:qFormat/>
    <w:rPr>
      <w:rFonts w:ascii="Cambria" w:hAnsi="Cambria"/>
      <w:b/>
      <w:bCs/>
      <w:sz w:val="32"/>
      <w:szCs w:val="32"/>
    </w:rPr>
  </w:style>
  <w:style w:type="character" w:styleId="896" w:customStyle="1">
    <w:name w:val="标题 3 字符"/>
    <w:link w:val="889"/>
    <w:uiPriority w:val="9"/>
    <w:qFormat/>
    <w:rPr>
      <w:rFonts w:ascii="Times New Roman" w:hAnsi="Times New Roman"/>
      <w:b/>
      <w:bCs/>
      <w:sz w:val="32"/>
      <w:szCs w:val="32"/>
    </w:rPr>
  </w:style>
  <w:style w:type="paragraph" w:styleId="897" w:customStyle="1">
    <w:name w:val="正文缩进1"/>
    <w:basedOn w:val="698"/>
    <w:next w:val="698"/>
    <w:link w:val="898"/>
    <w:uiPriority w:val="0"/>
    <w:qFormat/>
    <w:pPr>
      <w:ind w:firstLine="420"/>
      <w:jc w:val="left"/>
    </w:pPr>
    <w:rPr>
      <w:sz w:val="24"/>
    </w:rPr>
  </w:style>
  <w:style w:type="character" w:styleId="898" w:customStyle="1">
    <w:name w:val="正文缩进 字符"/>
    <w:link w:val="897"/>
    <w:uiPriority w:val="0"/>
    <w:qFormat/>
    <w:rPr>
      <w:rFonts w:ascii="Calibri" w:hAnsi="Calibri"/>
      <w:sz w:val="24"/>
      <w:szCs w:val="22"/>
    </w:rPr>
  </w:style>
  <w:style w:type="paragraph" w:styleId="899" w:customStyle="1">
    <w:name w:val="批注文字1"/>
    <w:basedOn w:val="698"/>
    <w:link w:val="900"/>
    <w:uiPriority w:val="0"/>
    <w:qFormat/>
    <w:pPr>
      <w:jc w:val="left"/>
    </w:pPr>
  </w:style>
  <w:style w:type="character" w:styleId="900" w:customStyle="1">
    <w:name w:val="批注文字 字符"/>
    <w:link w:val="899"/>
    <w:uiPriority w:val="0"/>
    <w:qFormat/>
    <w:rPr>
      <w:rFonts w:ascii="Calibri" w:hAnsi="Calibri"/>
      <w:sz w:val="21"/>
      <w:szCs w:val="22"/>
    </w:rPr>
  </w:style>
  <w:style w:type="paragraph" w:styleId="901" w:customStyle="1">
    <w:name w:val="正文文本1"/>
    <w:basedOn w:val="698"/>
    <w:next w:val="698"/>
    <w:uiPriority w:val="0"/>
    <w:qFormat/>
    <w:pPr>
      <w:spacing w:line="360" w:lineRule="auto"/>
    </w:pPr>
    <w:rPr>
      <w:rFonts w:cs="Times New Roman"/>
      <w:sz w:val="24"/>
    </w:rPr>
  </w:style>
  <w:style w:type="paragraph" w:styleId="902" w:customStyle="1">
    <w:name w:val="正文文本缩进1"/>
    <w:basedOn w:val="698"/>
    <w:next w:val="698"/>
    <w:uiPriority w:val="0"/>
    <w:qFormat/>
    <w:pPr>
      <w:ind w:left="570"/>
      <w:spacing w:line="520" w:lineRule="exact"/>
    </w:pPr>
    <w:rPr>
      <w:rFonts w:ascii="方正仿宋简体" w:eastAsia="方正仿宋简体"/>
      <w:sz w:val="24"/>
    </w:rPr>
  </w:style>
  <w:style w:type="paragraph" w:styleId="903" w:customStyle="1">
    <w:name w:val="列表编号 31"/>
    <w:basedOn w:val="887"/>
    <w:next w:val="698"/>
    <w:uiPriority w:val="99"/>
    <w:unhideWhenUsed/>
    <w:qFormat/>
    <w:pPr>
      <w:numPr>
        <w:ilvl w:val="0"/>
        <w:numId w:val="1"/>
      </w:numPr>
    </w:pPr>
  </w:style>
  <w:style w:type="paragraph" w:styleId="904" w:customStyle="1">
    <w:name w:val="纯文本112"/>
    <w:basedOn w:val="698"/>
    <w:next w:val="897"/>
    <w:link w:val="905"/>
    <w:uiPriority w:val="0"/>
    <w:qFormat/>
    <w:rPr>
      <w:rFonts w:ascii="宋体"/>
    </w:rPr>
  </w:style>
  <w:style w:type="character" w:styleId="905" w:customStyle="1">
    <w:name w:val="纯文本 字符"/>
    <w:link w:val="904"/>
    <w:uiPriority w:val="0"/>
    <w:qFormat/>
    <w:rPr>
      <w:rFonts w:ascii="宋体"/>
      <w:sz w:val="21"/>
      <w:szCs w:val="22"/>
    </w:rPr>
  </w:style>
  <w:style w:type="paragraph" w:styleId="906" w:customStyle="1">
    <w:name w:val="列表项目符号 51"/>
    <w:basedOn w:val="887"/>
    <w:next w:val="907"/>
    <w:uiPriority w:val="99"/>
    <w:unhideWhenUsed/>
    <w:qFormat/>
    <w:pPr>
      <w:numPr>
        <w:ilvl w:val="0"/>
        <w:numId w:val="2"/>
      </w:numPr>
    </w:pPr>
  </w:style>
  <w:style w:type="paragraph" w:styleId="907" w:customStyle="1">
    <w:name w:val="正文首行缩进1"/>
    <w:next w:val="903"/>
    <w:uiPriority w:val="0"/>
    <w:qFormat/>
    <w:pPr>
      <w:ind w:left="420" w:firstLine="2724"/>
      <w:spacing w:after="120" w:line="360" w:lineRule="auto"/>
    </w:pPr>
    <w:rPr>
      <w:rFonts w:hint="default" w:ascii="Calibri" w:hAnsi="Calibri" w:eastAsia="宋体" w:cs="宋体"/>
      <w:lang w:val="en-US" w:eastAsia="zh-CN" w:bidi="ar-SA"/>
    </w:rPr>
  </w:style>
  <w:style w:type="paragraph" w:styleId="908" w:customStyle="1">
    <w:name w:val="日期1"/>
    <w:basedOn w:val="698"/>
    <w:next w:val="698"/>
    <w:uiPriority w:val="0"/>
    <w:qFormat/>
    <w:rPr>
      <w:rFonts w:ascii="宋体"/>
      <w:sz w:val="24"/>
    </w:rPr>
  </w:style>
  <w:style w:type="paragraph" w:styleId="909" w:customStyle="1">
    <w:name w:val="正文文本缩进 21"/>
    <w:basedOn w:val="698"/>
    <w:uiPriority w:val="0"/>
    <w:qFormat/>
    <w:pPr>
      <w:ind w:firstLine="208"/>
      <w:spacing w:line="360" w:lineRule="auto"/>
      <w:tabs>
        <w:tab w:val="left" w:pos="0" w:leader="none"/>
      </w:tabs>
    </w:pPr>
    <w:rPr>
      <w:rFonts w:ascii="宋体"/>
      <w:b/>
      <w:bCs/>
      <w:sz w:val="24"/>
      <w:szCs w:val="20"/>
    </w:rPr>
  </w:style>
  <w:style w:type="paragraph" w:styleId="910" w:customStyle="1">
    <w:name w:val="批注框文本1"/>
    <w:basedOn w:val="698"/>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
    <w:basedOn w:val="698"/>
    <w:next w:val="913"/>
    <w:link w:val="914"/>
    <w:uiPriority w:val="99"/>
    <w:qFormat/>
    <w:pPr>
      <w:jc w:val="left"/>
      <w:tabs>
        <w:tab w:val="center" w:pos="4153" w:leader="none"/>
        <w:tab w:val="right" w:pos="8306" w:leader="none"/>
      </w:tabs>
    </w:pPr>
    <w:rPr>
      <w:sz w:val="18"/>
      <w:szCs w:val="18"/>
    </w:rPr>
  </w:style>
  <w:style w:type="paragraph" w:styleId="913" w:customStyle="1">
    <w:name w:val="Char Char Char Char Char Char Char Char Char Char Char Char Char"/>
    <w:basedOn w:val="887"/>
    <w:next w:val="698"/>
    <w:uiPriority w:val="0"/>
    <w:qFormat/>
    <w:pPr>
      <w:ind w:left="0" w:firstLine="3584"/>
      <w:spacing w:before="0" w:after="160" w:line="240" w:lineRule="exact"/>
    </w:pPr>
    <w:rPr>
      <w:rFonts w:ascii="Times New Roman" w:hAnsi="Times New Roman" w:cs="Times New Roman"/>
    </w:rPr>
  </w:style>
  <w:style w:type="character" w:styleId="914" w:customStyle="1">
    <w:name w:val="页脚 字符"/>
    <w:link w:val="912"/>
    <w:uiPriority w:val="99"/>
    <w:qFormat/>
    <w:rPr>
      <w:sz w:val="18"/>
      <w:szCs w:val="18"/>
    </w:rPr>
  </w:style>
  <w:style w:type="paragraph" w:styleId="915" w:customStyle="1">
    <w:name w:val="寄信人地址1"/>
    <w:basedOn w:val="698"/>
    <w:uiPriority w:val="0"/>
    <w:qFormat/>
    <w:rPr>
      <w:rFonts w:ascii="Arial" w:hAnsi="Arial"/>
    </w:rPr>
  </w:style>
  <w:style w:type="paragraph" w:styleId="916" w:customStyle="1">
    <w:name w:val="页眉1"/>
    <w:basedOn w:val="698"/>
    <w:link w:val="917"/>
    <w:uiPriority w:val="99"/>
    <w:qFormat/>
    <w:pPr>
      <w:jc w:val="center"/>
      <w:tabs>
        <w:tab w:val="center" w:pos="4153" w:leader="none"/>
        <w:tab w:val="right" w:pos="8306" w:leader="none"/>
      </w:tabs>
      <w:pBdr>
        <w:bottom w:val="single" w:color="000000" w:sz="6" w:space="1"/>
      </w:pBdr>
    </w:pPr>
    <w:rPr>
      <w:sz w:val="18"/>
      <w:szCs w:val="18"/>
    </w:rPr>
  </w:style>
  <w:style w:type="character" w:styleId="917" w:customStyle="1">
    <w:name w:val="页眉 字符"/>
    <w:link w:val="916"/>
    <w:uiPriority w:val="99"/>
    <w:qFormat/>
    <w:rPr>
      <w:sz w:val="18"/>
      <w:szCs w:val="18"/>
    </w:rPr>
  </w:style>
  <w:style w:type="paragraph" w:styleId="918" w:customStyle="1">
    <w:name w:val="目录 11"/>
    <w:basedOn w:val="698"/>
    <w:next w:val="698"/>
    <w:uiPriority w:val="39"/>
    <w:qFormat/>
    <w:pPr>
      <w:tabs>
        <w:tab w:val="right" w:pos="9026" w:leader="dot"/>
      </w:tabs>
    </w:pPr>
    <w:rPr>
      <w:rFonts w:ascii="宋体"/>
      <w:sz w:val="24"/>
    </w:rPr>
  </w:style>
  <w:style w:type="paragraph" w:styleId="919" w:customStyle="1">
    <w:name w:val="普通(网站)1"/>
    <w:basedOn w:val="698"/>
    <w:uiPriority w:val="99"/>
    <w:qFormat/>
    <w:pPr>
      <w:jc w:val="left"/>
      <w:spacing w:before="100" w:beforeAutospacing="1" w:after="100" w:afterAutospacing="1"/>
      <w:widowControl/>
    </w:pPr>
    <w:rPr>
      <w:rFonts w:ascii="宋体" w:cs="宋体"/>
      <w:sz w:val="24"/>
      <w:szCs w:val="24"/>
    </w:rPr>
  </w:style>
  <w:style w:type="paragraph" w:styleId="920" w:customStyle="1">
    <w:name w:val="批注主题1"/>
    <w:basedOn w:val="899"/>
    <w:next w:val="899"/>
    <w:link w:val="921"/>
    <w:uiPriority w:val="0"/>
    <w:qFormat/>
    <w:rPr>
      <w:b/>
      <w:bCs/>
    </w:rPr>
  </w:style>
  <w:style w:type="character" w:styleId="921" w:customStyle="1">
    <w:name w:val="批注主题 字符"/>
    <w:link w:val="920"/>
    <w:uiPriority w:val="0"/>
    <w:qFormat/>
    <w:rPr>
      <w:b/>
      <w:bCs/>
      <w:sz w:val="21"/>
      <w:szCs w:val="22"/>
    </w:rPr>
  </w:style>
  <w:style w:type="paragraph" w:styleId="922" w:customStyle="1">
    <w:name w:val="正文首行缩进 21"/>
    <w:basedOn w:val="902"/>
    <w:next w:val="698"/>
    <w:uiPriority w:val="0"/>
    <w:unhideWhenUsed/>
    <w:qFormat/>
    <w:pPr>
      <w:ind w:firstLine="420"/>
    </w:pPr>
  </w:style>
  <w:style w:type="paragraph" w:styleId="923" w:customStyle="1">
    <w:name w:val="正文文本缩进11"/>
    <w:basedOn w:val="698"/>
    <w:next w:val="698"/>
    <w:uiPriority w:val="0"/>
    <w:qFormat/>
    <w:pPr>
      <w:ind w:left="570"/>
      <w:spacing w:line="520" w:lineRule="exact"/>
    </w:pPr>
    <w:rPr>
      <w:rFonts w:ascii="方正仿宋简体" w:hAnsi="创艺简仿宋" w:eastAsia="方正仿宋简体"/>
      <w:sz w:val="24"/>
    </w:rPr>
  </w:style>
  <w:style w:type="table" w:styleId="924" w:customStyle="1">
    <w:name w:val="网格型1"/>
    <w:basedOn w:val="893"/>
    <w:uiPriority w:val="0"/>
    <w:qFormat/>
    <w:rPr>
      <w:rFonts w:ascii="Calibri" w:hAnsi="Calibri"/>
      <w:sz w:val="21"/>
      <w:szCs w:val="22"/>
    </w:rPr>
    <w:tblPr/>
  </w:style>
  <w:style w:type="character" w:styleId="925" w:customStyle="1">
    <w:name w:val="已访问的超链接1"/>
    <w:link w:val="698"/>
    <w:uiPriority w:val="99"/>
    <w:qFormat/>
    <w:rPr>
      <w:color w:val="800080"/>
      <w:u w:val="single"/>
    </w:rPr>
  </w:style>
  <w:style w:type="character" w:styleId="926" w:customStyle="1">
    <w:name w:val="强调1"/>
    <w:link w:val="698"/>
    <w:uiPriority w:val="20"/>
    <w:qFormat/>
    <w:rPr>
      <w:i/>
      <w:iCs/>
    </w:rPr>
  </w:style>
  <w:style w:type="character" w:styleId="927" w:customStyle="1">
    <w:name w:val="超链接1"/>
    <w:link w:val="698"/>
    <w:uiPriority w:val="99"/>
    <w:qFormat/>
    <w:rPr>
      <w:rFonts w:cs="Times New Roman"/>
      <w:color w:val="0000ff"/>
      <w:u w:val="single"/>
    </w:rPr>
  </w:style>
  <w:style w:type="character" w:styleId="928" w:customStyle="1">
    <w:name w:val="批注引用1"/>
    <w:link w:val="698"/>
    <w:uiPriority w:val="0"/>
    <w:qFormat/>
    <w:rPr>
      <w:rFonts w:cs="Times New Roman"/>
      <w:sz w:val="21"/>
      <w:szCs w:val="21"/>
    </w:rPr>
  </w:style>
  <w:style w:type="character" w:styleId="929" w:customStyle="1">
    <w:name w:val="正文模板 字符"/>
    <w:link w:val="930"/>
    <w:uiPriority w:val="0"/>
    <w:qFormat/>
    <w:rPr>
      <w:rFonts w:ascii="等线" w:hAnsi="等线" w:eastAsia="仿宋_GB2312"/>
      <w:sz w:val="28"/>
      <w:szCs w:val="22"/>
    </w:rPr>
  </w:style>
  <w:style w:type="paragraph" w:styleId="930" w:customStyle="1">
    <w:name w:val="正文模板"/>
    <w:basedOn w:val="931"/>
    <w:link w:val="929"/>
    <w:uiPriority w:val="0"/>
    <w:qFormat/>
    <w:pPr>
      <w:ind w:firstLine="200"/>
    </w:pPr>
    <w:rPr>
      <w:sz w:val="28"/>
    </w:rPr>
  </w:style>
  <w:style w:type="paragraph" w:styleId="931" w:customStyle="1">
    <w:name w:val="综述性文字模板"/>
    <w:basedOn w:val="698"/>
    <w:next w:val="698"/>
    <w:link w:val="932"/>
    <w:uiPriority w:val="0"/>
    <w:qFormat/>
    <w:pPr>
      <w:ind w:firstLine="640"/>
      <w:spacing w:line="600" w:lineRule="exact"/>
    </w:pPr>
    <w:rPr>
      <w:rFonts w:ascii="等线" w:hAnsi="等线" w:eastAsia="仿宋_GB2312"/>
      <w:sz w:val="32"/>
    </w:rPr>
  </w:style>
  <w:style w:type="character" w:styleId="932" w:customStyle="1">
    <w:name w:val="综述性文字模板 字符"/>
    <w:link w:val="931"/>
    <w:uiPriority w:val="0"/>
    <w:qFormat/>
    <w:rPr>
      <w:rFonts w:ascii="等线" w:hAnsi="等线" w:eastAsia="仿宋_GB2312"/>
      <w:sz w:val="32"/>
      <w:szCs w:val="22"/>
    </w:rPr>
  </w:style>
  <w:style w:type="character" w:styleId="933" w:customStyle="1">
    <w:name w:val="font11"/>
    <w:link w:val="698"/>
    <w:uiPriority w:val="0"/>
    <w:qFormat/>
    <w:rPr>
      <w:rFonts w:ascii="宋体" w:eastAsia="宋体" w:cs="宋体"/>
      <w:color w:val="000000"/>
      <w:sz w:val="20"/>
      <w:szCs w:val="20"/>
      <w:u w:val="none"/>
    </w:rPr>
  </w:style>
  <w:style w:type="character" w:styleId="934" w:customStyle="1">
    <w:name w:val="二级 字符"/>
    <w:link w:val="935"/>
    <w:uiPriority w:val="0"/>
    <w:qFormat/>
    <w:rPr>
      <w:rFonts w:ascii="宋体" w:hAnsi="宋体" w:eastAsia="华文楷体"/>
      <w:sz w:val="32"/>
      <w:szCs w:val="32"/>
    </w:rPr>
  </w:style>
  <w:style w:type="paragraph" w:styleId="935" w:customStyle="1">
    <w:name w:val="二级"/>
    <w:basedOn w:val="888"/>
    <w:next w:val="698"/>
    <w:link w:val="934"/>
    <w:uiPriority w:val="0"/>
    <w:qFormat/>
    <w:pPr>
      <w:ind w:firstLine="200"/>
      <w:jc w:val="left"/>
      <w:spacing w:line="276" w:lineRule="auto"/>
    </w:pPr>
    <w:rPr>
      <w:rFonts w:ascii="宋体" w:hAnsi="宋体" w:eastAsia="华文楷体"/>
      <w:b w:val="0"/>
      <w:bCs w:val="0"/>
    </w:rPr>
  </w:style>
  <w:style w:type="character" w:styleId="936" w:customStyle="1">
    <w:name w:val="三级标题模板 字符"/>
    <w:link w:val="937"/>
    <w:uiPriority w:val="0"/>
    <w:qFormat/>
    <w:rPr>
      <w:rFonts w:ascii="等线" w:hAnsi="等线" w:eastAsia="黑体"/>
      <w:sz w:val="24"/>
      <w:szCs w:val="22"/>
    </w:rPr>
  </w:style>
  <w:style w:type="paragraph" w:styleId="937" w:customStyle="1">
    <w:name w:val="三级标题模板"/>
    <w:basedOn w:val="938"/>
    <w:next w:val="698"/>
    <w:link w:val="936"/>
    <w:uiPriority w:val="0"/>
    <w:qFormat/>
    <w:pPr>
      <w:ind w:firstLine="560"/>
      <w:jc w:val="both"/>
    </w:pPr>
    <w:rPr>
      <w:sz w:val="24"/>
    </w:rPr>
  </w:style>
  <w:style w:type="paragraph" w:styleId="938" w:customStyle="1">
    <w:name w:val="二级标题模板"/>
    <w:basedOn w:val="698"/>
    <w:next w:val="698"/>
    <w:link w:val="939"/>
    <w:uiPriority w:val="0"/>
    <w:qFormat/>
    <w:pPr>
      <w:ind w:firstLine="640"/>
      <w:jc w:val="left"/>
      <w:spacing w:line="600" w:lineRule="exact"/>
    </w:pPr>
    <w:rPr>
      <w:rFonts w:ascii="等线" w:hAnsi="等线" w:eastAsia="黑体"/>
      <w:sz w:val="28"/>
    </w:rPr>
  </w:style>
  <w:style w:type="character" w:styleId="939" w:customStyle="1">
    <w:name w:val="二级标题模板 字符"/>
    <w:link w:val="938"/>
    <w:uiPriority w:val="0"/>
    <w:qFormat/>
    <w:rPr>
      <w:rFonts w:ascii="等线" w:hAnsi="等线" w:eastAsia="黑体"/>
      <w:sz w:val="28"/>
      <w:szCs w:val="22"/>
    </w:rPr>
  </w:style>
  <w:style w:type="character" w:styleId="940" w:customStyle="1">
    <w:name w:val="font01"/>
    <w:link w:val="698"/>
    <w:uiPriority w:val="0"/>
    <w:qFormat/>
    <w:rPr>
      <w:rFonts w:ascii="宋体" w:eastAsia="宋体" w:cs="宋体"/>
      <w:color w:val="000000"/>
      <w:sz w:val="20"/>
      <w:szCs w:val="20"/>
      <w:u w:val="none"/>
    </w:rPr>
  </w:style>
  <w:style w:type="character" w:styleId="941" w:customStyle="1">
    <w:name w:val="font41"/>
    <w:link w:val="698"/>
    <w:uiPriority w:val="0"/>
    <w:qFormat/>
    <w:rPr>
      <w:rFonts w:ascii="黑体" w:eastAsia="黑体" w:cs="黑体"/>
      <w:color w:val="000000"/>
      <w:sz w:val="24"/>
      <w:szCs w:val="24"/>
      <w:u w:val="none"/>
    </w:rPr>
  </w:style>
  <w:style w:type="character" w:styleId="942" w:customStyle="1">
    <w:name w:val="一级标题模板 字符"/>
    <w:link w:val="943"/>
    <w:uiPriority w:val="0"/>
    <w:qFormat/>
    <w:rPr>
      <w:rFonts w:ascii="等线" w:hAnsi="等线" w:eastAsia="黑体"/>
      <w:sz w:val="32"/>
      <w:szCs w:val="22"/>
    </w:rPr>
  </w:style>
  <w:style w:type="paragraph" w:styleId="943" w:customStyle="1">
    <w:name w:val="一级标题模板"/>
    <w:basedOn w:val="698"/>
    <w:next w:val="698"/>
    <w:link w:val="942"/>
    <w:uiPriority w:val="0"/>
    <w:qFormat/>
    <w:pPr>
      <w:ind w:firstLine="640"/>
      <w:spacing w:line="600" w:lineRule="exact"/>
    </w:pPr>
    <w:rPr>
      <w:rFonts w:ascii="等线" w:hAnsi="等线" w:eastAsia="黑体"/>
      <w:sz w:val="32"/>
    </w:rPr>
  </w:style>
  <w:style w:type="character" w:styleId="944" w:customStyle="1">
    <w:name w:val="font61"/>
    <w:link w:val="698"/>
    <w:uiPriority w:val="0"/>
    <w:qFormat/>
    <w:rPr>
      <w:rFonts w:ascii="宋体" w:eastAsia="宋体" w:cs="宋体"/>
      <w:color w:val="000000"/>
      <w:sz w:val="18"/>
      <w:szCs w:val="18"/>
      <w:u w:val="none"/>
    </w:rPr>
  </w:style>
  <w:style w:type="character" w:styleId="945" w:customStyle="1">
    <w:name w:val="一级标题 字符"/>
    <w:link w:val="946"/>
    <w:uiPriority w:val="0"/>
    <w:qFormat/>
    <w:rPr>
      <w:rFonts w:ascii="Times New Roman" w:hAnsi="Times New Roman" w:eastAsia="黑体"/>
      <w:spacing w:val="-4"/>
      <w:sz w:val="32"/>
      <w:szCs w:val="32"/>
    </w:rPr>
  </w:style>
  <w:style w:type="paragraph" w:styleId="946" w:customStyle="1">
    <w:name w:val="一级标题"/>
    <w:basedOn w:val="698"/>
    <w:next w:val="698"/>
    <w:link w:val="945"/>
    <w:uiPriority w:val="0"/>
    <w:qFormat/>
    <w:pPr>
      <w:ind w:firstLine="200"/>
      <w:spacing w:line="600" w:lineRule="exact"/>
    </w:pPr>
    <w:rPr>
      <w:rFonts w:ascii="Times New Roman" w:hAnsi="Times New Roman" w:eastAsia="黑体"/>
      <w:spacing w:val="-4"/>
      <w:sz w:val="32"/>
      <w:szCs w:val="32"/>
    </w:rPr>
  </w:style>
  <w:style w:type="character" w:styleId="947" w:customStyle="1">
    <w:name w:val="列表段落 字符"/>
    <w:link w:val="948"/>
    <w:uiPriority w:val="34"/>
    <w:qFormat/>
    <w:rPr>
      <w:rFonts w:ascii="Calibri" w:hAnsi="Calibri"/>
      <w:sz w:val="21"/>
      <w:szCs w:val="22"/>
    </w:rPr>
  </w:style>
  <w:style w:type="paragraph" w:styleId="948" w:customStyle="1">
    <w:name w:val="列表段落"/>
    <w:basedOn w:val="698"/>
    <w:link w:val="947"/>
    <w:uiPriority w:val="34"/>
    <w:qFormat/>
    <w:pPr>
      <w:ind w:firstLine="420"/>
    </w:pPr>
  </w:style>
  <w:style w:type="character" w:styleId="949" w:customStyle="1">
    <w:name w:val="三级 字符"/>
    <w:link w:val="950"/>
    <w:uiPriority w:val="0"/>
    <w:qFormat/>
    <w:rPr>
      <w:rFonts w:ascii="宋体" w:hAnsi="宋体" w:eastAsia="仿宋_GB2312"/>
      <w:b/>
      <w:sz w:val="28"/>
      <w:szCs w:val="32"/>
    </w:rPr>
  </w:style>
  <w:style w:type="paragraph" w:styleId="950" w:customStyle="1">
    <w:name w:val="三级"/>
    <w:basedOn w:val="698"/>
    <w:next w:val="698"/>
    <w:link w:val="949"/>
    <w:uiPriority w:val="0"/>
    <w:qFormat/>
    <w:pPr>
      <w:ind w:firstLine="200"/>
      <w:jc w:val="left"/>
      <w:spacing w:line="276" w:lineRule="auto"/>
    </w:pPr>
    <w:rPr>
      <w:rFonts w:ascii="宋体" w:hAnsi="宋体" w:eastAsia="仿宋_GB2312"/>
      <w:b/>
      <w:sz w:val="28"/>
      <w:szCs w:val="32"/>
    </w:rPr>
  </w:style>
  <w:style w:type="character" w:styleId="951" w:customStyle="1">
    <w:name w:val="封面 字符"/>
    <w:link w:val="952"/>
    <w:uiPriority w:val="0"/>
    <w:qFormat/>
    <w:rPr>
      <w:rFonts w:ascii="楷体" w:hAnsi="楷体" w:eastAsia="仿宋" w:cs="楷体"/>
      <w:sz w:val="56"/>
      <w:szCs w:val="28"/>
    </w:rPr>
  </w:style>
  <w:style w:type="paragraph" w:styleId="952" w:customStyle="1">
    <w:name w:val="封面"/>
    <w:basedOn w:val="698"/>
    <w:next w:val="698"/>
    <w:link w:val="951"/>
    <w:uiPriority w:val="0"/>
    <w:qFormat/>
    <w:pPr>
      <w:ind w:left="360" w:firstLine="200"/>
      <w:jc w:val="center"/>
    </w:pPr>
    <w:rPr>
      <w:rFonts w:ascii="楷体" w:hAnsi="楷体" w:eastAsia="仿宋"/>
      <w:sz w:val="56"/>
      <w:szCs w:val="28"/>
    </w:rPr>
  </w:style>
  <w:style w:type="character" w:styleId="953" w:customStyle="1">
    <w:name w:val="章节性标题 字符"/>
    <w:link w:val="954"/>
    <w:uiPriority w:val="0"/>
    <w:qFormat/>
    <w:rPr>
      <w:rFonts w:ascii="楷体" w:hAnsi="楷体" w:eastAsia="黑体" w:cs="楷体"/>
      <w:b/>
      <w:sz w:val="36"/>
      <w:szCs w:val="28"/>
    </w:rPr>
  </w:style>
  <w:style w:type="paragraph" w:styleId="954" w:customStyle="1">
    <w:name w:val="章节性标题"/>
    <w:basedOn w:val="698"/>
    <w:next w:val="698"/>
    <w:link w:val="953"/>
    <w:uiPriority w:val="0"/>
    <w:qFormat/>
    <w:pPr>
      <w:jc w:val="center"/>
    </w:pPr>
    <w:rPr>
      <w:rFonts w:ascii="楷体" w:hAnsi="楷体" w:eastAsia="黑体"/>
      <w:b/>
      <w:sz w:val="36"/>
      <w:szCs w:val="28"/>
    </w:rPr>
  </w:style>
  <w:style w:type="character" w:styleId="955" w:customStyle="1">
    <w:name w:val="apple-converted-space"/>
    <w:link w:val="698"/>
    <w:uiPriority w:val="0"/>
    <w:qFormat/>
  </w:style>
  <w:style w:type="character" w:styleId="956" w:customStyle="1">
    <w:name w:val="总标题 字符"/>
    <w:link w:val="957"/>
    <w:uiPriority w:val="0"/>
    <w:qFormat/>
    <w:rPr>
      <w:rFonts w:ascii="楷体" w:hAnsi="楷体" w:eastAsia="方正小标宋简体" w:cs="楷体"/>
      <w:bCs/>
      <w:color w:val="262626"/>
      <w:sz w:val="44"/>
      <w:szCs w:val="28"/>
    </w:rPr>
  </w:style>
  <w:style w:type="paragraph" w:styleId="957" w:customStyle="1">
    <w:name w:val="总标题"/>
    <w:basedOn w:val="698"/>
    <w:next w:val="698"/>
    <w:link w:val="956"/>
    <w:uiPriority w:val="0"/>
    <w:qFormat/>
    <w:pPr>
      <w:ind w:firstLine="200"/>
      <w:jc w:val="center"/>
    </w:pPr>
    <w:rPr>
      <w:rFonts w:ascii="楷体" w:hAnsi="楷体" w:eastAsia="方正小标宋简体"/>
      <w:bCs/>
      <w:color w:val="262626"/>
      <w:sz w:val="44"/>
      <w:szCs w:val="28"/>
    </w:rPr>
  </w:style>
  <w:style w:type="character" w:styleId="958" w:customStyle="1">
    <w:name w:val="font91"/>
    <w:link w:val="698"/>
    <w:uiPriority w:val="0"/>
    <w:qFormat/>
    <w:rPr>
      <w:rFonts w:ascii="宋体" w:eastAsia="宋体" w:cs="宋体"/>
      <w:b/>
      <w:color w:val="000000"/>
      <w:sz w:val="18"/>
      <w:szCs w:val="18"/>
      <w:u w:val="none"/>
    </w:rPr>
  </w:style>
  <w:style w:type="character" w:styleId="959" w:customStyle="1">
    <w:name w:val="font112"/>
    <w:link w:val="698"/>
    <w:uiPriority w:val="0"/>
    <w:qFormat/>
    <w:rPr>
      <w:rFonts w:ascii="宋体" w:eastAsia="宋体" w:cs="宋体"/>
      <w:color w:val="000000"/>
      <w:sz w:val="18"/>
      <w:szCs w:val="18"/>
      <w:u w:val="none"/>
    </w:rPr>
  </w:style>
  <w:style w:type="character" w:styleId="960" w:customStyle="1">
    <w:name w:val="Plain Text Char1"/>
    <w:link w:val="961"/>
    <w:uiPriority w:val="0"/>
    <w:qFormat/>
    <w:rPr>
      <w:rFonts w:ascii="宋体" w:hAnsi="Calibri"/>
      <w:sz w:val="21"/>
      <w:szCs w:val="22"/>
    </w:rPr>
  </w:style>
  <w:style w:type="paragraph" w:styleId="961" w:customStyle="1">
    <w:name w:val="纯文本1"/>
    <w:basedOn w:val="698"/>
    <w:link w:val="960"/>
    <w:uiPriority w:val="0"/>
    <w:qFormat/>
    <w:rPr>
      <w:rFonts w:ascii="宋体"/>
    </w:rPr>
  </w:style>
  <w:style w:type="character" w:styleId="962" w:customStyle="1">
    <w:name w:val="正文缩进 字符1"/>
    <w:link w:val="698"/>
    <w:uiPriority w:val="0"/>
    <w:qFormat/>
    <w:rPr>
      <w:rFonts w:ascii="Times New Roman" w:hAnsi="Times New Roman" w:eastAsia="宋体" w:cs="Times New Roman"/>
      <w:szCs w:val="24"/>
    </w:rPr>
  </w:style>
  <w:style w:type="character" w:styleId="963" w:customStyle="1">
    <w:name w:val="font81"/>
    <w:link w:val="698"/>
    <w:uiPriority w:val="0"/>
    <w:qFormat/>
    <w:rPr>
      <w:rFonts w:ascii="宋体" w:eastAsia="宋体" w:cs="宋体"/>
      <w:color w:val="000000"/>
      <w:sz w:val="20"/>
      <w:szCs w:val="20"/>
      <w:u w:val="none"/>
    </w:rPr>
  </w:style>
  <w:style w:type="character" w:styleId="964" w:customStyle="1">
    <w:name w:val="一级 字符"/>
    <w:link w:val="965"/>
    <w:uiPriority w:val="0"/>
    <w:qFormat/>
    <w:rPr>
      <w:rFonts w:ascii="等线" w:hAnsi="等线" w:eastAsia="仿宋_GB2312"/>
      <w:b/>
      <w:bCs/>
      <w:sz w:val="44"/>
      <w:szCs w:val="44"/>
    </w:rPr>
  </w:style>
  <w:style w:type="paragraph" w:styleId="965" w:customStyle="1">
    <w:name w:val="一级"/>
    <w:basedOn w:val="887"/>
    <w:next w:val="935"/>
    <w:link w:val="964"/>
    <w:uiPriority w:val="0"/>
    <w:qFormat/>
    <w:pPr>
      <w:jc w:val="left"/>
      <w:spacing w:before="0" w:after="0" w:line="240" w:lineRule="auto"/>
    </w:pPr>
    <w:rPr>
      <w:rFonts w:ascii="等线" w:hAnsi="等线" w:eastAsia="仿宋_GB2312"/>
    </w:rPr>
  </w:style>
  <w:style w:type="character" w:styleId="966" w:customStyle="1">
    <w:name w:val="总标题模板 字符"/>
    <w:link w:val="967"/>
    <w:uiPriority w:val="0"/>
    <w:qFormat/>
    <w:rPr>
      <w:rFonts w:ascii="宋体" w:hAnsi="宋体" w:eastAsia="方正小标宋简体"/>
      <w:sz w:val="44"/>
      <w:szCs w:val="32"/>
    </w:rPr>
  </w:style>
  <w:style w:type="paragraph" w:styleId="967" w:customStyle="1">
    <w:name w:val="总标题模板"/>
    <w:basedOn w:val="698"/>
    <w:next w:val="698"/>
    <w:link w:val="966"/>
    <w:uiPriority w:val="0"/>
    <w:qFormat/>
    <w:pPr>
      <w:ind w:firstLine="880"/>
      <w:jc w:val="center"/>
      <w:spacing w:line="600" w:lineRule="exact"/>
    </w:pPr>
    <w:rPr>
      <w:rFonts w:ascii="宋体" w:hAnsi="宋体" w:eastAsia="方正小标宋简体"/>
      <w:sz w:val="44"/>
      <w:szCs w:val="32"/>
    </w:rPr>
  </w:style>
  <w:style w:type="character" w:styleId="968" w:customStyle="1">
    <w:name w:val="综述性文字 字符"/>
    <w:link w:val="969"/>
    <w:uiPriority w:val="0"/>
    <w:qFormat/>
    <w:rPr>
      <w:rFonts w:ascii="等线" w:hAnsi="等线" w:eastAsia="仿宋_GB2312"/>
      <w:sz w:val="32"/>
      <w:szCs w:val="24"/>
    </w:rPr>
  </w:style>
  <w:style w:type="paragraph" w:styleId="969" w:customStyle="1">
    <w:name w:val="综述性文字"/>
    <w:basedOn w:val="698"/>
    <w:link w:val="968"/>
    <w:uiPriority w:val="0"/>
    <w:qFormat/>
    <w:pPr>
      <w:ind w:firstLine="200"/>
      <w:jc w:val="left"/>
    </w:pPr>
    <w:rPr>
      <w:rFonts w:ascii="等线" w:hAnsi="等线" w:eastAsia="仿宋_GB2312"/>
      <w:sz w:val="32"/>
      <w:szCs w:val="24"/>
    </w:rPr>
  </w:style>
  <w:style w:type="character" w:styleId="970" w:customStyle="1">
    <w:name w:val="font31"/>
    <w:link w:val="698"/>
    <w:uiPriority w:val="0"/>
    <w:qFormat/>
    <w:rPr>
      <w:rFonts w:ascii="宋体" w:eastAsia="宋体" w:cs="宋体"/>
      <w:color w:val="000000"/>
      <w:sz w:val="20"/>
      <w:szCs w:val="20"/>
      <w:u w:val="none"/>
    </w:rPr>
  </w:style>
  <w:style w:type="character" w:styleId="971" w:customStyle="1">
    <w:name w:val="font51"/>
    <w:link w:val="698"/>
    <w:uiPriority w:val="0"/>
    <w:qFormat/>
    <w:rPr>
      <w:rFonts w:ascii="宋体" w:eastAsia="宋体" w:cs="宋体"/>
      <w:color w:val="000000"/>
      <w:sz w:val="24"/>
      <w:szCs w:val="24"/>
      <w:u w:val="none"/>
      <w:vertAlign w:val="superscript"/>
    </w:rPr>
  </w:style>
  <w:style w:type="character" w:styleId="972" w:customStyle="1">
    <w:name w:val="font21"/>
    <w:link w:val="698"/>
    <w:uiPriority w:val="0"/>
    <w:qFormat/>
    <w:rPr>
      <w:rFonts w:ascii="宋体" w:eastAsia="宋体" w:cs="宋体"/>
      <w:color w:val="000000"/>
      <w:sz w:val="18"/>
      <w:szCs w:val="18"/>
      <w:u w:val="none"/>
    </w:rPr>
  </w:style>
  <w:style w:type="paragraph" w:styleId="973" w:customStyle="1">
    <w:name w:val="首行缩进"/>
    <w:basedOn w:val="698"/>
    <w:uiPriority w:val="99"/>
    <w:qFormat/>
    <w:pPr>
      <w:ind w:firstLine="480"/>
    </w:pPr>
    <w:rPr>
      <w:rFonts w:ascii="Times New Roman" w:hAnsi="Times New Roman"/>
      <w:szCs w:val="20"/>
      <w:lang w:val="zh-CN"/>
    </w:rPr>
  </w:style>
  <w:style w:type="paragraph" w:styleId="974" w:customStyle="1">
    <w:name w:val="xl70"/>
    <w:basedOn w:val="698"/>
    <w:uiPriority w:val="0"/>
    <w:qFormat/>
    <w:pPr>
      <w:jc w:val="left"/>
      <w:spacing w:before="100" w:beforeAutospacing="1" w:after="100" w:afterAutospacing="1"/>
      <w:widowControl/>
    </w:pPr>
    <w:rPr>
      <w:rFonts w:ascii="宋体" w:hAnsi="宋体" w:cs="宋体"/>
      <w:sz w:val="20"/>
      <w:szCs w:val="20"/>
    </w:rPr>
  </w:style>
  <w:style w:type="paragraph" w:styleId="975" w:customStyle="1">
    <w:name w:val="xl9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76" w:customStyle="1">
    <w:name w:val="xl9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77" w:customStyle="1">
    <w:name w:val="xl102"/>
    <w:basedOn w:val="698"/>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78" w:customStyle="1">
    <w:name w:val="reader-word-layer reader-word-s1-1"/>
    <w:basedOn w:val="698"/>
    <w:uiPriority w:val="0"/>
    <w:qFormat/>
    <w:pPr>
      <w:jc w:val="left"/>
      <w:spacing w:before="100" w:beforeAutospacing="1" w:after="100" w:afterAutospacing="1"/>
      <w:widowControl/>
    </w:pPr>
    <w:rPr>
      <w:rFonts w:ascii="宋体" w:cs="宋体"/>
      <w:sz w:val="24"/>
    </w:rPr>
  </w:style>
  <w:style w:type="paragraph" w:styleId="979" w:customStyle="1">
    <w:name w:val="1"/>
    <w:basedOn w:val="698"/>
    <w:next w:val="980"/>
    <w:uiPriority w:val="0"/>
    <w:qFormat/>
    <w:pPr>
      <w:ind w:firstLine="200"/>
    </w:pPr>
    <w:rPr>
      <w:rFonts w:ascii="Times New Roman" w:hAnsi="Times New Roman"/>
      <w:szCs w:val="24"/>
    </w:rPr>
  </w:style>
  <w:style w:type="paragraph" w:styleId="980" w:customStyle="1">
    <w:name w:val="列出段落2"/>
    <w:basedOn w:val="698"/>
    <w:uiPriority w:val="0"/>
    <w:qFormat/>
    <w:pPr>
      <w:ind w:firstLine="200"/>
    </w:pPr>
    <w:rPr>
      <w:rFonts w:ascii="Times New Roman" w:hAnsi="Times New Roman"/>
      <w:szCs w:val="24"/>
    </w:rPr>
  </w:style>
  <w:style w:type="paragraph" w:styleId="981" w:customStyle="1">
    <w:name w:val="xl71"/>
    <w:basedOn w:val="698"/>
    <w:uiPriority w:val="0"/>
    <w:qFormat/>
    <w:pPr>
      <w:jc w:val="left"/>
      <w:spacing w:before="100" w:beforeAutospacing="1" w:after="100" w:afterAutospacing="1"/>
      <w:widowControl/>
    </w:pPr>
    <w:rPr>
      <w:rFonts w:ascii="宋体" w:cs="宋体"/>
      <w:sz w:val="24"/>
      <w:szCs w:val="24"/>
    </w:rPr>
  </w:style>
  <w:style w:type="paragraph" w:styleId="982" w:customStyle="1">
    <w:name w:val="xl7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83" w:customStyle="1">
    <w:name w:val="xl74"/>
    <w:basedOn w:val="698"/>
    <w:uiPriority w:val="0"/>
    <w:qFormat/>
    <w:pPr>
      <w:jc w:val="left"/>
      <w:spacing w:before="100" w:beforeAutospacing="1" w:after="100" w:afterAutospacing="1"/>
      <w:widowControl/>
    </w:pPr>
    <w:rPr>
      <w:rFonts w:ascii="宋体" w:cs="宋体"/>
      <w:b/>
      <w:bCs/>
      <w:sz w:val="20"/>
      <w:szCs w:val="20"/>
    </w:rPr>
  </w:style>
  <w:style w:type="paragraph" w:styleId="984" w:customStyle="1">
    <w:name w:val="xl93"/>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20"/>
      <w:szCs w:val="20"/>
    </w:rPr>
  </w:style>
  <w:style w:type="paragraph" w:styleId="985" w:customStyle="1">
    <w:name w:val="p0"/>
    <w:basedOn w:val="698"/>
    <w:uiPriority w:val="0"/>
    <w:qFormat/>
  </w:style>
  <w:style w:type="paragraph" w:styleId="986" w:customStyle="1">
    <w:name w:val="xl8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87" w:customStyle="1">
    <w:name w:val="xl72"/>
    <w:basedOn w:val="698"/>
    <w:uiPriority w:val="0"/>
    <w:qFormat/>
    <w:pPr>
      <w:jc w:val="center"/>
      <w:spacing w:before="100" w:beforeAutospacing="1" w:after="100" w:afterAutospacing="1"/>
      <w:widowControl/>
    </w:pPr>
    <w:rPr>
      <w:rFonts w:ascii="宋体" w:cs="宋体"/>
      <w:sz w:val="24"/>
      <w:szCs w:val="24"/>
    </w:rPr>
  </w:style>
  <w:style w:type="paragraph" w:styleId="988" w:customStyle="1">
    <w:name w:val="p17"/>
    <w:uiPriority w:val="0"/>
    <w:qFormat/>
    <w:pPr>
      <w:ind w:firstLine="420"/>
    </w:pPr>
    <w:rPr>
      <w:rFonts w:hint="default" w:ascii="宋体" w:hAnsi="Times New Roman" w:eastAsia="宋体" w:cs="宋体"/>
      <w:lang w:val="en-US" w:eastAsia="zh-CN" w:bidi="ar-SA"/>
    </w:rPr>
  </w:style>
  <w:style w:type="paragraph" w:styleId="989" w:customStyle="1">
    <w:name w:val="xl78"/>
    <w:basedOn w:val="698"/>
    <w:uiPriority w:val="0"/>
    <w:qFormat/>
    <w:pPr>
      <w:jc w:val="center"/>
      <w:spacing w:before="100" w:beforeAutospacing="1" w:after="100" w:afterAutospacing="1"/>
      <w:widowControl/>
    </w:pPr>
    <w:rPr>
      <w:rFonts w:ascii="宋体" w:cs="宋体"/>
      <w:b/>
      <w:bCs/>
      <w:sz w:val="20"/>
      <w:szCs w:val="20"/>
    </w:rPr>
  </w:style>
  <w:style w:type="paragraph" w:styleId="990" w:customStyle="1">
    <w:name w:val="xl112"/>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991" w:customStyle="1">
    <w:name w:val="xl85"/>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 w:val="18"/>
      <w:szCs w:val="18"/>
    </w:rPr>
  </w:style>
  <w:style w:type="paragraph" w:styleId="992" w:customStyle="1">
    <w:name w:val="xl81"/>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993" w:customStyle="1">
    <w:name w:val="xl79"/>
    <w:basedOn w:val="698"/>
    <w:uiPriority w:val="0"/>
    <w:qFormat/>
    <w:pPr>
      <w:jc w:val="right"/>
      <w:spacing w:before="100" w:beforeAutospacing="1" w:after="100" w:afterAutospacing="1"/>
      <w:widowControl/>
    </w:pPr>
    <w:rPr>
      <w:rFonts w:ascii="宋体" w:cs="宋体"/>
      <w:sz w:val="18"/>
      <w:szCs w:val="18"/>
    </w:rPr>
  </w:style>
  <w:style w:type="paragraph" w:styleId="994" w:customStyle="1">
    <w:name w:val="列出段落1"/>
    <w:basedOn w:val="698"/>
    <w:uiPriority w:val="0"/>
    <w:qFormat/>
    <w:pPr>
      <w:ind w:firstLine="200"/>
    </w:pPr>
  </w:style>
  <w:style w:type="paragraph" w:styleId="995" w:customStyle="1">
    <w:name w:val="xl75"/>
    <w:basedOn w:val="698"/>
    <w:uiPriority w:val="0"/>
    <w:qFormat/>
    <w:pPr>
      <w:jc w:val="left"/>
      <w:spacing w:before="100" w:beforeAutospacing="1" w:after="100" w:afterAutospacing="1"/>
      <w:widowControl/>
    </w:pPr>
    <w:rPr>
      <w:rFonts w:ascii="宋体" w:cs="宋体"/>
      <w:b/>
      <w:bCs/>
      <w:sz w:val="18"/>
      <w:szCs w:val="18"/>
    </w:rPr>
  </w:style>
  <w:style w:type="paragraph" w:styleId="996" w:customStyle="1">
    <w:name w:val="默认段落字体 Para Char Char Char Char"/>
    <w:basedOn w:val="698"/>
    <w:uiPriority w:val="0"/>
    <w:qFormat/>
    <w:rPr>
      <w:rFonts w:ascii="Times New Roman" w:hAnsi="Times New Roman"/>
      <w:szCs w:val="24"/>
    </w:rPr>
  </w:style>
  <w:style w:type="paragraph" w:styleId="997" w:customStyle="1">
    <w:name w:val="xl101"/>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98" w:customStyle="1">
    <w:name w:val="xl114"/>
    <w:basedOn w:val="698"/>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999" w:customStyle="1">
    <w:name w:val="xl105"/>
    <w:basedOn w:val="69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00" w:customStyle="1">
    <w:name w:val="纯文本111"/>
    <w:basedOn w:val="698"/>
    <w:uiPriority w:val="0"/>
    <w:qFormat/>
    <w:rPr>
      <w:rFonts w:ascii="宋体"/>
    </w:rPr>
  </w:style>
  <w:style w:type="paragraph" w:styleId="1001" w:customStyle="1">
    <w:name w:val="xl88"/>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18"/>
      <w:szCs w:val="18"/>
    </w:rPr>
  </w:style>
  <w:style w:type="paragraph" w:styleId="1002" w:customStyle="1">
    <w:name w:val="纯文本2"/>
    <w:basedOn w:val="698"/>
    <w:uiPriority w:val="0"/>
    <w:qFormat/>
    <w:rPr>
      <w:rFonts w:ascii="宋体"/>
      <w:sz w:val="28"/>
    </w:rPr>
  </w:style>
  <w:style w:type="paragraph" w:styleId="1003" w:customStyle="1">
    <w:name w:val="xl113"/>
    <w:basedOn w:val="698"/>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4" w:customStyle="1">
    <w:name w:val="xl115"/>
    <w:basedOn w:val="698"/>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5" w:customStyle="1">
    <w:name w:val="纯文本11"/>
    <w:basedOn w:val="698"/>
    <w:uiPriority w:val="99"/>
    <w:qFormat/>
    <w:rPr>
      <w:rFonts w:ascii="宋体"/>
    </w:rPr>
  </w:style>
  <w:style w:type="paragraph" w:styleId="1006" w:customStyle="1">
    <w:name w:val="xl108"/>
    <w:basedOn w:val="69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07" w:customStyle="1">
    <w:name w:val="font7"/>
    <w:basedOn w:val="698"/>
    <w:uiPriority w:val="0"/>
    <w:qFormat/>
    <w:pPr>
      <w:jc w:val="left"/>
      <w:spacing w:before="100" w:beforeAutospacing="1" w:after="100" w:afterAutospacing="1"/>
      <w:widowControl/>
    </w:pPr>
    <w:rPr>
      <w:rFonts w:ascii="宋体" w:cs="宋体"/>
      <w:sz w:val="20"/>
      <w:szCs w:val="20"/>
    </w:rPr>
  </w:style>
  <w:style w:type="paragraph" w:styleId="1008" w:customStyle="1">
    <w:name w:val="Char"/>
    <w:basedOn w:val="698"/>
    <w:uiPriority w:val="0"/>
    <w:qFormat/>
    <w:rPr>
      <w:rFonts w:ascii="Tahoma" w:hAnsi="Tahoma"/>
      <w:sz w:val="24"/>
    </w:rPr>
  </w:style>
  <w:style w:type="paragraph" w:styleId="1009" w:customStyle="1">
    <w:name w:val="xl80"/>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10" w:customStyle="1">
    <w:name w:val="xl92"/>
    <w:basedOn w:val="698"/>
    <w:uiPriority w:val="0"/>
    <w:qFormat/>
    <w:pPr>
      <w:jc w:val="center"/>
      <w:spacing w:before="100" w:beforeAutospacing="1" w:after="100" w:afterAutospacing="1"/>
      <w:widowControl/>
      <w:pBdr>
        <w:left w:val="single" w:color="000000" w:sz="4" w:space="0"/>
        <w:right w:val="single" w:color="000000" w:sz="4" w:space="0"/>
      </w:pBdr>
    </w:pPr>
    <w:rPr>
      <w:rFonts w:ascii="宋体" w:cs="宋体"/>
      <w:sz w:val="18"/>
      <w:szCs w:val="18"/>
    </w:rPr>
  </w:style>
  <w:style w:type="paragraph" w:styleId="1011" w:customStyle="1">
    <w:name w:val="xl10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12" w:customStyle="1">
    <w:name w:val="font6"/>
    <w:basedOn w:val="698"/>
    <w:uiPriority w:val="0"/>
    <w:qFormat/>
    <w:pPr>
      <w:jc w:val="left"/>
      <w:spacing w:before="100" w:beforeAutospacing="1" w:after="100" w:afterAutospacing="1"/>
      <w:widowControl/>
    </w:pPr>
    <w:rPr>
      <w:rFonts w:ascii="宋体" w:cs="宋体"/>
      <w:b/>
      <w:bCs/>
      <w:sz w:val="20"/>
      <w:szCs w:val="20"/>
    </w:rPr>
  </w:style>
  <w:style w:type="paragraph" w:styleId="1013" w:customStyle="1">
    <w:name w:val="xl116"/>
    <w:basedOn w:val="698"/>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14" w:customStyle="1">
    <w:name w:val="xl73"/>
    <w:basedOn w:val="698"/>
    <w:uiPriority w:val="0"/>
    <w:qFormat/>
    <w:pPr>
      <w:jc w:val="left"/>
      <w:spacing w:before="100" w:beforeAutospacing="1" w:after="100" w:afterAutospacing="1"/>
      <w:widowControl/>
    </w:pPr>
    <w:rPr>
      <w:rFonts w:ascii="宋体" w:cs="宋体"/>
      <w:sz w:val="18"/>
      <w:szCs w:val="18"/>
    </w:rPr>
  </w:style>
  <w:style w:type="paragraph" w:styleId="1015" w:customStyle="1">
    <w:name w:val="3级标题"/>
    <w:basedOn w:val="888"/>
    <w:uiPriority w:val="0"/>
    <w:qFormat/>
    <w:pPr>
      <w:numPr>
        <w:ilvl w:val="2"/>
        <w:numId w:val="3"/>
      </w:numPr>
      <w:jc w:val="left"/>
      <w:spacing w:before="0" w:after="120" w:line="240" w:lineRule="auto"/>
      <w:widowControl/>
      <w:tabs>
        <w:tab w:val="left" w:pos="0" w:leader="none"/>
        <w:tab w:val="left" w:pos="851" w:leader="none"/>
      </w:tabs>
    </w:pPr>
    <w:rPr>
      <w:rFonts w:ascii="华文细黑" w:hAnsi="华文细黑" w:eastAsia="华文细黑"/>
      <w:bCs w:val="0"/>
      <w:color w:val="000000"/>
      <w:sz w:val="24"/>
      <w:szCs w:val="20"/>
    </w:rPr>
  </w:style>
  <w:style w:type="paragraph" w:styleId="1016" w:customStyle="1">
    <w:name w:val="xl103"/>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7" w:customStyle="1">
    <w:name w:val="xl94"/>
    <w:basedOn w:val="698"/>
    <w:uiPriority w:val="0"/>
    <w:qFormat/>
    <w:pPr>
      <w:jc w:val="center"/>
      <w:spacing w:before="100" w:beforeAutospacing="1" w:after="100" w:afterAutospacing="1"/>
      <w:widowControl/>
      <w:pBdr>
        <w:top w:val="single" w:color="000000" w:sz="4" w:space="0"/>
        <w:bottom w:val="single" w:color="000000" w:sz="4" w:space="0"/>
      </w:pBdr>
    </w:pPr>
    <w:rPr>
      <w:rFonts w:ascii="宋体" w:cs="宋体"/>
      <w:sz w:val="20"/>
      <w:szCs w:val="20"/>
    </w:rPr>
  </w:style>
  <w:style w:type="paragraph" w:styleId="1018" w:customStyle="1">
    <w:name w:val="xl8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19" w:customStyle="1">
    <w:name w:val="*正文"/>
    <w:basedOn w:val="698"/>
    <w:uiPriority w:val="0"/>
    <w:qFormat/>
    <w:pPr>
      <w:ind w:firstLine="200"/>
      <w:jc w:val="left"/>
      <w:spacing w:line="360" w:lineRule="auto"/>
    </w:pPr>
    <w:rPr>
      <w:rFonts w:ascii="宋体" w:cs="仿宋_GB2312"/>
      <w:sz w:val="24"/>
      <w:szCs w:val="24"/>
    </w:rPr>
  </w:style>
  <w:style w:type="paragraph" w:styleId="1020" w:customStyle="1">
    <w:name w:val="xl9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1" w:customStyle="1">
    <w:name w:val="xl10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2" w:customStyle="1">
    <w:name w:val="Char1"/>
    <w:basedOn w:val="698"/>
    <w:uiPriority w:val="0"/>
    <w:qFormat/>
    <w:rPr>
      <w:rFonts w:ascii="Times New Roman" w:hAnsi="Times New Roman"/>
      <w:szCs w:val="24"/>
    </w:rPr>
  </w:style>
  <w:style w:type="paragraph" w:styleId="1023" w:customStyle="1">
    <w:name w:val="xl9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4" w:customStyle="1">
    <w:name w:val="纯文本3"/>
    <w:basedOn w:val="698"/>
    <w:uiPriority w:val="0"/>
    <w:qFormat/>
    <w:rPr>
      <w:rFonts w:ascii="宋体" w:hAnsi="Courier New" w:eastAsia="楷体_GB2312"/>
      <w:sz w:val="28"/>
      <w:szCs w:val="20"/>
    </w:rPr>
  </w:style>
  <w:style w:type="paragraph" w:styleId="1025" w:customStyle="1">
    <w:name w:val="标题 1GM"/>
    <w:basedOn w:val="887"/>
    <w:uiPriority w:val="0"/>
    <w:qFormat/>
    <w:pPr>
      <w:spacing w:before="0" w:after="0" w:line="360" w:lineRule="auto"/>
      <w:outlineLvl w:val="1"/>
    </w:pPr>
    <w:rPr>
      <w:rFonts w:ascii="楷体" w:eastAsia="楷体"/>
      <w:color w:val="000000"/>
      <w:sz w:val="30"/>
      <w:szCs w:val="30"/>
    </w:rPr>
  </w:style>
  <w:style w:type="paragraph" w:styleId="1026" w:customStyle="1">
    <w:name w:val="xl10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7" w:customStyle="1">
    <w:name w:val="xl91"/>
    <w:basedOn w:val="6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28" w:customStyle="1">
    <w:name w:val="xl11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9" w:customStyle="1">
    <w:name w:val="xl84"/>
    <w:basedOn w:val="6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30" w:customStyle="1">
    <w:name w:val="xl8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31" w:customStyle="1">
    <w:name w:val="000左齐平"/>
    <w:basedOn w:val="698"/>
    <w:uiPriority w:val="0"/>
    <w:qFormat/>
    <w:pPr>
      <w:jc w:val="left"/>
    </w:pPr>
    <w:rPr>
      <w:color w:val="000000"/>
    </w:rPr>
  </w:style>
  <w:style w:type="paragraph" w:styleId="1032" w:customStyle="1">
    <w:name w:val="xl111"/>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3" w:customStyle="1">
    <w:name w:val="xl90"/>
    <w:basedOn w:val="698"/>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4" w:customStyle="1">
    <w:name w:val="xl83"/>
    <w:basedOn w:val="698"/>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5" w:customStyle="1">
    <w:name w:val="xl10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6" w:customStyle="1">
    <w:name w:val="纯文本4"/>
    <w:basedOn w:val="698"/>
    <w:uiPriority w:val="0"/>
    <w:qFormat/>
    <w:rPr>
      <w:rFonts w:ascii="宋体" w:hAnsi="Courier New" w:eastAsia="楷体_GB2312"/>
      <w:sz w:val="28"/>
      <w:szCs w:val="20"/>
    </w:rPr>
  </w:style>
  <w:style w:type="paragraph" w:styleId="1037" w:customStyle="1">
    <w:name w:val="font5"/>
    <w:basedOn w:val="698"/>
    <w:uiPriority w:val="0"/>
    <w:qFormat/>
    <w:pPr>
      <w:jc w:val="left"/>
      <w:spacing w:before="100" w:beforeAutospacing="1" w:after="100" w:afterAutospacing="1"/>
      <w:widowControl/>
    </w:pPr>
    <w:rPr>
      <w:rFonts w:ascii="宋体" w:cs="宋体"/>
      <w:sz w:val="18"/>
      <w:szCs w:val="18"/>
    </w:rPr>
  </w:style>
  <w:style w:type="paragraph" w:styleId="1038" w:customStyle="1">
    <w:name w:val="Plain Text1"/>
    <w:basedOn w:val="698"/>
    <w:uiPriority w:val="99"/>
    <w:qFormat/>
    <w:rPr>
      <w:rFonts w:ascii="宋体" w:hAnsi="宋体"/>
    </w:rPr>
  </w:style>
  <w:style w:type="paragraph" w:styleId="1039" w:customStyle="1">
    <w:name w:val="xl10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40" w:customStyle="1">
    <w:name w:val="msolistparagraph"/>
    <w:basedOn w:val="698"/>
    <w:uiPriority w:val="0"/>
    <w:qFormat/>
    <w:pPr>
      <w:ind w:firstLine="420"/>
      <w:spacing w:line="360" w:lineRule="auto"/>
    </w:pPr>
    <w:rPr>
      <w:sz w:val="28"/>
      <w:szCs w:val="28"/>
    </w:rPr>
  </w:style>
  <w:style w:type="paragraph" w:styleId="1041" w:customStyle="1">
    <w:name w:val="xl7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42" w:customStyle="1">
    <w:name w:val="xl8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43" w:customStyle="1">
    <w:name w:val="xl95"/>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44"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5" w:customStyle="1">
    <w:name w:val="Default"/>
    <w:uiPriority w:val="0"/>
    <w:qFormat/>
    <w:pPr>
      <w:ind w:firstLine="5120"/>
      <w:widowControl w:val="off"/>
    </w:pPr>
    <w:rPr>
      <w:rFonts w:hint="default" w:ascii="Calibri" w:hAnsi="Calibri" w:eastAsia="宋体" w:cs="宋体"/>
      <w:lang w:val="en-US" w:eastAsia="zh-CN" w:bidi="ar-SA"/>
    </w:rPr>
  </w:style>
  <w:style w:type="paragraph" w:styleId="1046" w:customStyle="1">
    <w:name w:val="Plain Text*"/>
    <w:basedOn w:val="698"/>
    <w:uiPriority w:val="0"/>
    <w:qFormat/>
    <w:rPr>
      <w:rFonts w:ascii="宋体" w:hAnsi="宋体" w:eastAsia="宋体" w:cs="Courier New"/>
    </w:rPr>
  </w:style>
  <w:style w:type="paragraph" w:styleId="1047" w:customStyle="1">
    <w:name w:val="列出段落11"/>
    <w:basedOn w:val="698"/>
    <w:uiPriority w:val="99"/>
    <w:qFormat/>
    <w:pPr>
      <w:ind w:firstLine="420"/>
      <w:jc w:val="both"/>
      <w:widowControl w:val="off"/>
    </w:pPr>
    <w:rPr>
      <w:sz w:val="21"/>
      <w:szCs w:val="21"/>
    </w:rPr>
  </w:style>
  <w:style w:type="character" w:styleId="1048" w:customStyle="1">
    <w:name w:val="要点1"/>
    <w:basedOn w:val="892"/>
    <w:link w:val="698"/>
    <w:uiPriority w:val="0"/>
    <w:qFormat/>
    <w:rPr>
      <w:rFonts w:ascii="Times New Roman" w:hAnsi="Times New Roman" w:eastAsia="宋体" w:cs="Times New Roman"/>
      <w:b/>
    </w:rPr>
  </w:style>
  <w:style w:type="paragraph" w:styleId="1049" w:customStyle="1">
    <w:name w:val="文档结构图1"/>
    <w:basedOn w:val="698"/>
    <w:next w:val="698"/>
    <w:uiPriority w:val="0"/>
    <w:qFormat/>
    <w:rPr>
      <w:rFonts w:ascii="Calibri" w:hAnsi="Calibri" w:eastAsia="宋体" w:cs="Calibri"/>
      <w:color w:val="000000"/>
      <w:szCs w:val="21"/>
    </w:rPr>
  </w:style>
  <w:style w:type="paragraph" w:styleId="1050" w:customStyle="1">
    <w:name w:val="正文 A"/>
    <w:next w:val="738"/>
    <w:uiPriority w:val="0"/>
    <w:qFormat/>
    <w:pPr>
      <w:jc w:val="both"/>
      <w:widowControl w:val="off"/>
      <w:framePr w:wrap="around" w:vAnchor="margin" w:hAnchor="text" w:yAlign="top"/>
    </w:pPr>
    <w:rPr>
      <w:rFonts w:ascii="Calibri" w:hAnsi="Calibri" w:eastAsia="Times New Roman" w:cs="Times New Roman"/>
      <w:color w:val="000000"/>
      <w:sz w:val="21"/>
      <w:szCs w:val="21"/>
      <w:u w:val="none"/>
      <w:lang w:val="en-US" w:eastAsia="zh-CN" w:bidi="ar-SA"/>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4.2详细设</dc:title>
  <dc:creator>us</dc:creator>
  <cp:lastModifiedBy>陆珊</cp:lastModifiedBy>
  <cp:revision>8</cp:revision>
  <dcterms:created xsi:type="dcterms:W3CDTF">2018-11-29T11:45:00Z</dcterms:created>
  <dcterms:modified xsi:type="dcterms:W3CDTF">2024-07-22T04:15:25Z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72EEA1FDC6E04F2393A2028D0EA8C80F_13</vt:lpwstr>
  </property>
</Properties>
</file>