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招　标　文　件</w:t>
      </w:r>
      <w:r/>
    </w:p>
    <w:p>
      <w:pPr>
        <w:ind w:left="0" w:right="0" w:firstLine="602"/>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2025年度城乡建设用地增减挂钩实施规划编制及征地报批</w:t>
      </w:r>
      <w:r/>
    </w:p>
    <w:p>
      <w:pPr>
        <w:ind w:left="0" w:right="0" w:firstLine="602"/>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b/>
          <w:color w:val="000000"/>
          <w:sz w:val="32"/>
        </w:rPr>
        <w:t xml:space="preserve">：</w:t>
      </w:r>
      <w:r>
        <w:rPr>
          <w:rFonts w:ascii="SimSun" w:hAnsi="SimSun" w:eastAsia="SimSun" w:cs="SimSun"/>
          <w:b/>
          <w:color w:val="000000"/>
          <w:sz w:val="30"/>
          <w:u w:val="single"/>
        </w:rPr>
        <w:t xml:space="preserve">JSZC-320612-HSGL-G2025-0028</w:t>
      </w:r>
      <w:r/>
    </w:p>
    <w:p>
      <w:pPr>
        <w:ind w:left="0" w:right="0" w:firstLine="2249"/>
        <w:jc w:val="both"/>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00" w:right="0" w:hanging="210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2100" w:right="0" w:hanging="210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南通市通州自然资源和规划局</w:t>
      </w:r>
      <w:r/>
    </w:p>
    <w:p>
      <w:pPr>
        <w:ind w:left="0" w:right="0" w:firstLine="1285"/>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二〇二五年五月</w:t>
      </w:r>
      <w:r/>
    </w:p>
    <w:p>
      <w:pPr>
        <w:ind w:left="-158" w:right="0" w:firstLine="32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3"/>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受[南通市通州自然资源和规划局]的委托，江苏衡晟项目管理咨询有限公司就[2025年度城乡建设用地增减挂钩实施规划编制及征地报批]进行公开招标采购，欢迎符合条件的供应商投标。</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2025年度城乡建设用地增减挂钩实施规划编制及征地报批</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2025年6月23日9点00分（</w:t>
      </w:r>
      <w:r>
        <w:rPr>
          <w:rFonts w:ascii="SimSun" w:hAnsi="SimSun" w:eastAsia="SimSun" w:cs="SimSun"/>
          <w:color w:val="000000"/>
          <w:sz w:val="24"/>
        </w:rPr>
        <w:t xml:space="preserve">北京时间）前递交投标文件。</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1.项目编号：JSZC-320612-HSGL-G2025-0028</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2.项目名称：2025年度城乡建设用地增减挂钩实施规划编制及征地报批。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3.预算金额：本项目采购预算为80万元（人民币）。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w:t>
      </w:r>
      <w:r>
        <w:rPr>
          <w:rFonts w:ascii="SimSun" w:hAnsi="SimSun" w:eastAsia="SimSun" w:cs="SimSun"/>
          <w:color w:val="000000"/>
          <w:sz w:val="24"/>
        </w:rPr>
        <w:t xml:space="preserve">本项目设定最高限价。最高限价为400元/亩，报价超出最高限价的为无效投标。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2025年度城乡建设用地增减挂钩实施规划编制及征地报批，暂定数量2000亩（最终以中标单价乘以实际报批批次面积结算，同一批次不足200亩的按200亩计算），完成城乡建设用地增减挂钩实施规划编制及征地报批，最终取得有批准权的上级政府的批复。（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说明：在合同履行期限内启动的实施规划编制和征地报批的所有项目，均属于本次招标的范围，需按本次招标要求履行。最终付款时间以取得上级批文为准。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9、本项目项目类型为：服务类。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10、本次采购标的对应的中小企业划分标准所属行业为：其他未列明行业。</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1.2上一年度的财务状况报告（成立不满一年无需提供）或银行资信证明；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（2）供应商需按照《政府采购促进中小企业发展管理办法》（财库﹝2020﹞46 号）的规定提供相应的《中小企业声明函》。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3.2、残疾人福利单位价格扣除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（1）本项目对残疾人福利性单位，给予10%的价格扣除，用扣除后的价格参与评审。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3.3、监狱和戒毒企业价格扣除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（1）本项目对监狱和戒毒企业（简称监狱企业）给予10%的价格扣除，用扣除后的价格参与评审。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3.6、联合体各方均为小型、微型企业（残疾人福利单位、监狱企业）的，联合体享受上述同类价格扣除，用扣除后的价格参与评审。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3.7、专门面向中小企业采购的项目或者采购包，不再执行价格评审优惠的扶持政策。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1、投标人须同时</w:t>
      </w:r>
      <w:r>
        <w:rPr>
          <w:rFonts w:ascii="SimSun" w:hAnsi="SimSun" w:eastAsia="SimSun" w:cs="SimSun"/>
          <w:b/>
          <w:color w:val="000000"/>
          <w:sz w:val="24"/>
          <w:u w:val="single"/>
        </w:rPr>
        <w:t xml:space="preserve">具有城乡规划乙级及以上资质和测绘乙级及以上资质。</w:t>
      </w:r>
      <w:r/>
    </w:p>
    <w:p>
      <w:pPr>
        <w:pStyle w:val="644"/>
        <w:ind w:left="0" w:right="0" w:firstLine="498"/>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2025 年6月23日9点00 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pStyle w:val="644"/>
        <w:ind w:left="0" w:right="0" w:firstLine="48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1、本次招标不收取投标保证金。</w:t>
      </w:r>
      <w:r/>
    </w:p>
    <w:p>
      <w:pPr>
        <w:pStyle w:val="644"/>
        <w:ind w:left="0" w:right="0" w:firstLine="498"/>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1.采购人：　</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南通市通州自然资源和规划局 </w:t>
      </w:r>
      <w:r>
        <w:rPr>
          <w:rFonts w:ascii="SimSun" w:hAnsi="SimSun" w:eastAsia="SimSun" w:cs="SimSun"/>
          <w:color w:val="000000"/>
          <w:sz w:val="24"/>
        </w:rPr>
        <w:t xml:space="preserve">          </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南通市通州区金沙街道大庆路127号</w:t>
      </w:r>
      <w:r>
        <w:rPr>
          <w:rFonts w:ascii="SimSun" w:hAnsi="SimSun" w:eastAsia="SimSun" w:cs="SimSun"/>
          <w:color w:val="000000"/>
          <w:sz w:val="24"/>
        </w:rPr>
        <w:t xml:space="preserve"> </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马先生</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联系方式：15996660039  </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4"/>
        <w:ind w:left="0" w:right="0" w:firstLine="498"/>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Arial" w:hAnsi="Arial" w:eastAsia="Arial" w:cs="Arial"/>
          <w:color w:val="000000"/>
          <w:sz w:val="24"/>
        </w:rPr>
        <w:t xml:space="preserve">本项目招标代理费按照《关于印发江苏省招标代理服务收费的指导意见》苏招协</w:t>
      </w:r>
      <w:r>
        <w:rPr>
          <w:rFonts w:ascii="SimSun" w:hAnsi="SimSun" w:eastAsia="SimSun" w:cs="SimSun"/>
          <w:color w:val="000000"/>
          <w:sz w:val="24"/>
        </w:rPr>
        <w:t xml:space="preserve">【2022】002文差额定率分档累进法计算汇总后的40%计取，由中标单位支付，请投标报价综合考虑。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50万元-400万元（含400万元）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计算公式：（1万元+（中标价-50万元）*1.5%）*40%</w:t>
      </w:r>
      <w:r/>
    </w:p>
    <w:p>
      <w:pPr>
        <w:pStyle w:val="64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b/>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4"/>
        <w:ind w:left="0" w:right="0" w:firstLine="321"/>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前按招标公告中的通讯地址，以书面形式通知采购人和采购代理。</w:t>
      </w:r>
      <w:r/>
    </w:p>
    <w:p>
      <w:pPr>
        <w:pStyle w:val="64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4"/>
        <w:ind w:left="0" w:right="0" w:firstLine="482"/>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10、投标文件构成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w:t>
      </w:r>
      <w:r>
        <w:rPr>
          <w:rFonts w:ascii="SimSun" w:hAnsi="SimSun" w:eastAsia="SimSun" w:cs="SimSun"/>
          <w:color w:val="000000"/>
          <w:sz w:val="22"/>
        </w:rPr>
        <w:t xml:space="preserve">对于采用货币报价的项目，开标一览表中的投标总报价应与投标分项报价表中的投标总报价一致，如不一致，不作为无效投标处理</w:t>
      </w:r>
      <w:r>
        <w:rPr>
          <w:rFonts w:ascii="SimSun" w:hAnsi="SimSun" w:eastAsia="SimSun" w:cs="SimSun"/>
          <w:color w:val="000000"/>
          <w:sz w:val="24"/>
        </w:rPr>
        <w:t xml:space="preserve">，但评标时按开标一览表中价格为准</w:t>
      </w:r>
      <w:r>
        <w:rPr>
          <w:rFonts w:ascii="SimSun" w:hAnsi="SimSun" w:eastAsia="SimSun" w:cs="SimSun"/>
          <w:b/>
          <w:color w:val="000000"/>
          <w:sz w:val="24"/>
        </w:rPr>
        <w:t xml:space="preserve">。</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pStyle w:val="644"/>
        <w:ind w:left="0" w:right="0" w:firstLine="482"/>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rPr>
          <w:rFonts w:ascii="SimSun" w:hAnsi="SimSun" w:eastAsia="SimSun" w:cs="SimSun"/>
          <w:b/>
          <w:color w:val="000000"/>
          <w:sz w:val="24"/>
        </w:rPr>
        <w:t xml:space="preserve">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pStyle w:val="646"/>
        <w:numPr>
          <w:ilvl w:val="0"/>
          <w:numId w:val="2"/>
        </w:numPr>
        <w:jc w:val="both"/>
        <w:spacing w:before="280" w:after="29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投标截止时间</w:t>
      </w:r>
      <w:r/>
    </w:p>
    <w:p>
      <w:pPr>
        <w:pStyle w:val="646"/>
        <w:ind w:left="0" w:right="0" w:firstLine="482"/>
        <w:jc w:val="both"/>
        <w:spacing w:before="280" w:after="29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pStyle w:val="646"/>
        <w:ind w:left="0" w:right="0" w:firstLine="482"/>
        <w:jc w:val="both"/>
        <w:spacing w:before="280" w:after="29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4"/>
        <w:ind w:left="0" w:right="0" w:firstLine="482"/>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21、开标</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开标后，采购人和采购代理将立即组织评标委员会（以下简称评委会）进行评标。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25.6投标人在开、评标全过程中应保持通讯畅通，及时登录苏采云系统查阅、答复相关信息，并安排专人与采购人、采购代理及评标委员会联系。</w:t>
      </w:r>
      <w:r/>
    </w:p>
    <w:p>
      <w:pPr>
        <w:pStyle w:val="64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26、无效投标条款和废标条款</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4"/>
        <w:ind w:left="0" w:right="0" w:firstLine="482"/>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4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pStyle w:val="64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29.l中标结果确定后，采购人或采购代理机构将向中标人发出中标通知书。</w:t>
      </w:r>
      <w:r>
        <w:rPr>
          <w:rFonts w:ascii="SimSun" w:hAnsi="SimSun" w:eastAsia="SimSun" w:cs="SimSun"/>
          <w:b/>
          <w:color w:val="000000"/>
          <w:sz w:val="24"/>
        </w:rPr>
        <w:t xml:space="preserve">中标人应及时按要求将相关纸质投标文件和电子版投标文件送给采购人或采购代理机构，并领取中标通知书。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4"/>
        <w:ind w:left="0" w:right="0" w:firstLine="0"/>
        <w:jc w:val="both"/>
        <w:spacing w:before="145" w:after="145"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4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31、政府采购履约资金扶持政策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600"/>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32、履约保证金</w:t>
      </w:r>
      <w:r/>
    </w:p>
    <w:p>
      <w:pPr>
        <w:ind w:left="422" w:right="0" w:firstLine="7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w:t>
      </w:r>
      <w:r>
        <w:rPr>
          <w:rFonts w:ascii="Calibri" w:hAnsi="Calibri" w:eastAsia="Calibri" w:cs="Calibri"/>
          <w:color w:val="000000"/>
          <w:sz w:val="24"/>
        </w:rPr>
        <w:t xml:space="preserve">。</w:t>
      </w:r>
      <w:r/>
    </w:p>
    <w:p>
      <w:pPr>
        <w:ind w:left="0" w:right="0" w:firstLine="600"/>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履约验收的基本要求：中标供应商应按照合同约定的时间、质量、数量等要求完成该项目的编制和上报工作。在项目实施过程中，需严格遵守国家和地方相关法律法规、政策标准以及行业规范，确保方案的科学性、合理性与可行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履约验收的实施主体：由采购人南通市通州自然资源和规划局作为实施主体，负责组织开展本项目的履约验收工作。也可根据实际需要取得相关部门批复，或委托具有相关专业资质和能力的第三方机构协助开展验收工作，第三方机构应具备城乡规划、土地资源管理等相关专业背景和丰富的项目验收经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33.3.履约验收的时间方式：在中标供应商完成实施方案编制并提交全部成果文件后30个工作日内，采购人应组织开展履约验收工作，</w:t>
      </w:r>
      <w:r>
        <w:rPr>
          <w:rFonts w:ascii="Calibri" w:hAnsi="Calibri" w:eastAsia="Calibri" w:cs="Calibri"/>
          <w:color w:val="000000"/>
          <w:sz w:val="24"/>
        </w:rPr>
        <w:t xml:space="preserve">并向供应商发出《政府采购履约验收通知单》（见附件）</w:t>
      </w:r>
      <w:r>
        <w:rPr>
          <w:rFonts w:ascii="SimSun" w:hAnsi="SimSun" w:eastAsia="SimSun" w:cs="SimSun"/>
          <w:color w:val="000000"/>
          <w:sz w:val="24"/>
        </w:rPr>
        <w:t xml:space="preserve">。验收方式包括但不限于资料审查、现场核查、专家评审等。资料审查需对中标供应商提交的成果文件完整性、规范性、准确性进行审查；现场核查针对方案涉及的项目现场情况进行实地查看；专家评审则邀请相关领域专家组成评审小组，对实施方案的科学性、合理性等进行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履约验收的内容：涵盖实施方案的完整性，包含项目背景、目标任务、实施范围、实施步骤、保障措施等内容；合规性，符合国家和地方有关城乡建设用地增减挂钩的法律法规、政策标准；可行性，方案提出的实施措施、技术路线等具有可操作性，能在实际工作中有效实施；成果文件质量，成果文件格式规范、内容准确、图表清晰，满足采购人使用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33.5.履约验收的标准：成果文件应符合国家和地方现行的城乡建设用地增减挂钩相关标准规范。通过专家评审，专家评审意见为 “通过” 或 “修改后通过” 且中标供应商按要求完成修改。满足采购人在采购文件和合同中提出的其他具体要求 ，如成果文件提交时间、成果文件份数等。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35.6采购人、供应商应当对验收小组出具的验收意见进行确认，并形成政府采购履约验收书。</w:t>
      </w:r>
      <w:r>
        <w:rPr>
          <w:rFonts w:ascii="SimSun" w:hAnsi="SimSun" w:eastAsia="SimSun" w:cs="SimSun"/>
          <w:color w:val="000000"/>
          <w:sz w:val="24"/>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5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合同格式请见本部分附件。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中标供应商和采购单位在接到《中标通知书》后十五日内签订合同。合同签订后中标供应商方可履约，否则引起的一切后果由中标人自行承担。所签合同不得对采购文件作实质性修改。采购单位不得向中标供应商提出不合理的要求作为签订合同的条件，不得与中标供应商私下订立背离采购文件实质性内容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left="420" w:right="0" w:firstLine="20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合同格式</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甲方委托乙方承担</w:t>
      </w:r>
      <w:r>
        <w:rPr>
          <w:rFonts w:ascii="SimSun" w:hAnsi="SimSun" w:eastAsia="SimSun" w:cs="SimSun"/>
          <w:b/>
          <w:color w:val="000000"/>
          <w:sz w:val="24"/>
          <w:u w:val="single"/>
        </w:rPr>
        <w:t xml:space="preserve">2025年度城乡建设用地增减挂钩实施规划编制及征地报批</w:t>
      </w:r>
      <w:r>
        <w:rPr>
          <w:rFonts w:ascii="SimSun" w:hAnsi="SimSun" w:eastAsia="SimSun" w:cs="SimSun"/>
          <w:color w:val="000000"/>
          <w:sz w:val="24"/>
        </w:rPr>
        <w:t xml:space="preserve">工作任务。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依据《中华人民共和国民法典》、招标文件、投标文件及国家有关规定，经双方当事人协商一致，订立本合作协议并严肃履行。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为了开展2025年度城乡建设用地增减挂钩实施方案编制及征地报批工作，更好地提供技术服务支持，明确服务内容及收费标准，</w:t>
      </w:r>
      <w:r>
        <w:rPr>
          <w:rFonts w:ascii="SimSun" w:hAnsi="SimSun" w:eastAsia="SimSun" w:cs="SimSun"/>
          <w:color w:val="000000"/>
          <w:sz w:val="24"/>
          <w:u w:val="single"/>
        </w:rPr>
        <w:t xml:space="preserve">南通市通州自然资源和规划局</w:t>
      </w:r>
      <w:r>
        <w:rPr>
          <w:rFonts w:ascii="SimSun" w:hAnsi="SimSun" w:eastAsia="SimSun" w:cs="SimSun"/>
          <w:color w:val="000000"/>
          <w:sz w:val="24"/>
        </w:rPr>
        <w:t xml:space="preserve">（以下简称甲方）与</w:t>
      </w:r>
      <w:r>
        <w:rPr>
          <w:rFonts w:ascii="SimSun" w:hAnsi="SimSun" w:eastAsia="SimSun" w:cs="SimSun"/>
          <w:color w:val="000000"/>
          <w:sz w:val="24"/>
          <w:u w:val="single"/>
        </w:rPr>
        <w:t xml:space="preserve">        （以下简称乙方）</w:t>
      </w:r>
      <w:r>
        <w:rPr>
          <w:rFonts w:ascii="SimSun" w:hAnsi="SimSun" w:eastAsia="SimSun" w:cs="SimSun"/>
          <w:color w:val="000000"/>
          <w:sz w:val="24"/>
        </w:rPr>
        <w:t xml:space="preserve">开展友好合作，特签订如下服务协议：</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一、采购范围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城乡建设用地增减挂钩土地报批需要和要求，按照批次编制增减挂钩实施方案，在方案通过专家论证后，填报项目电子报批等征地报批资料，协助甲方开展审查用地条件、征地报批前公告、告知、确认和听证程序等工作。增减挂钩实施方案用地组卷材料经县（区）级审核后，逐级上报各级自然资源和各级人民政府审核，报有批准权的自然资源部门和政府部门审批。</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1.城乡建设用地增减挂钩实施方案划编制，数据整理分析：勘测定界成果校核，用地地块数据整理分析，在线报备。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批材料收集与编制：包括报批相关材料收集，地块的国土空间规划、林地、湿地、永久基本农田、生态保护红线、生态管控区域、重复征地等审查，电子报件材料制作，补偿费用测算，审查报告代拟，征地信息公开、土地征收诉讼、行政复议材料收集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3.市、省逐级组卷上报，配合审查，取得建设用地批文。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4.批复后材料的整理和归档，实时更新已报批图层。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5.其他：根据报批需求完成其他相关工作。</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三、成果形式和要求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成果形式：完成城乡建设用地增减挂钩实施方案编制，并同步完成报批项目服务内容，最终取得省市级征转用地批文。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成果要求：符合南通市通州自然资源和规划局要求。</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四、双方的职责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（一）甲方的职责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提供与本项目有关基础资料（如有）；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按合同规定支付技术服务费用。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（二）乙方职责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1.须依法依规开展征地报批工作，程序合法、依据充分、内容准确，符合省市县有关规定和要求。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2．须根据招标人的进度要求，按期、保质、保量完成批次报批。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五、合同价款及付款条件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合同价款：单价</w:t>
      </w:r>
      <w:r>
        <w:rPr>
          <w:rFonts w:ascii="SimSun" w:hAnsi="SimSun" w:eastAsia="SimSun" w:cs="SimSun"/>
          <w:color w:val="000000"/>
          <w:sz w:val="24"/>
          <w:u w:val="single"/>
        </w:rPr>
        <w:t xml:space="preserve">   </w:t>
      </w:r>
      <w:r>
        <w:rPr>
          <w:rFonts w:ascii="SimSun" w:hAnsi="SimSun" w:eastAsia="SimSun" w:cs="SimSun"/>
          <w:color w:val="000000"/>
          <w:sz w:val="24"/>
        </w:rPr>
        <w:t xml:space="preserve">元/亩，最终以实际中标单价乘以报批批次面积结算，同一批次不足200亩的按200亩计算。本次采购的最高兑付上限不超过预算80万。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付款方式：根据报批实际情况，按批次进行结算。每个批次项目获得上级批复，乙方开具发票后，30天内一次性付清。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说明：在合同履行期限内启动的实施规划编制和征地报批的所有项目，均属于本次招标的范围，需按本次招标要求履行。最终付款时间以取得上级批文为准。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任何一方不执行本合同的规定或不履行合同中约定的义务，均视为违约，应承担相应违约责任。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在执行合同过程中，双方因合同发生争议时应当协商解决，若协商或调解无效，可向甲方所在地有管辖权的人民法院起诉。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对于工作中涉及到的涉密和敏感图文资料、电子数据，乙方应严格执行保密的相关规定，不得以任何方式向任何第三人披露、泄露或许可第三人使用，否则，甲方有权对因此造成的损失追究责任。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七、协议终止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在合作过程中，双方需按诚信做出终止协议的决定。同时，任何一方在终止协议时，需以书面通知另一方。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有下列情形之一的，甲乙双方可解除协议：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1、因不可抗力致使协议无法履行；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2、经双方友好协商一致同意。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若终止协议，甲乙双方应履行完协议终止前所有有关项目合同。</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八、协议有效期</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本协议有效期：（具体以甲方要求为准）。</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九、协议生效及其他</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1、本协议双方签字盖章即生效，一式肆份，甲乙双方各执贰份，具同等法律效力。</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2、未尽事宜，经双方协商一致，可签订补充协议，补充协议与本协议具有同等效力。</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签订协代表：                              签订协代表：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                                     电话号码：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廉政合同</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3"/>
          <w:sz w:val="24"/>
          <w:u w:val="single"/>
        </w:rPr>
        <w:t xml:space="preserve">甲方：南通市通州自然资源和规划局</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0"/>
          <w:sz w:val="24"/>
          <w:u w:val="single"/>
        </w:rPr>
        <w:t xml:space="preserve">乙方：</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经公开招投标，乙方中标甲方</w:t>
      </w:r>
      <w:r>
        <w:rPr>
          <w:rFonts w:ascii="FangSong" w:hAnsi="FangSong" w:eastAsia="FangSong" w:cs="FangSong"/>
          <w:b/>
          <w:color w:val="000000"/>
          <w:sz w:val="24"/>
          <w:u w:val="single"/>
        </w:rPr>
        <w:t xml:space="preserve">项目，合同金额人民币（大写）万元；甲方项目负责人：，职务：，联系人：，联系方式：；乙方项目负责人：，联系人，联系方式：。</w:t>
      </w:r>
      <w:r>
        <w:rPr>
          <w:rFonts w:ascii="FangSong" w:hAnsi="FangSong" w:eastAsia="FangSong" w:cs="FangSong"/>
          <w:color w:val="000000"/>
          <w:sz w:val="24"/>
        </w:rPr>
        <w:t xml:space="preserve">为贯彻落实《关于实行党风廉政建设责任制的规定》《中国共产党党员领导干部廉洁从政若干准则》等规定，加强甲方工程建设和政府采购活动中党风廉政建设，甲乙双方协商一致，签订本廉政合同。</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第一条甲乙双方的权利和义务</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（一）严格遵守党和国家有关法律法规及党风廉政建设各项规定。</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（二）严格执行工程建设和政府采购管理的法律法规和规章制度，坚持公平、公正、公开、诚信原则（法律认定的商业秘密和合同文件另有规定除外）开展业务活动，严禁损害国家和集体利益。</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（三）严格执行</w:t>
      </w:r>
      <w:r>
        <w:rPr>
          <w:rFonts w:ascii="FangSong" w:hAnsi="FangSong" w:eastAsia="FangSong" w:cs="FangSong"/>
          <w:b/>
          <w:color w:val="000000"/>
          <w:sz w:val="24"/>
          <w:u w:val="single"/>
        </w:rPr>
        <w:t xml:space="preserve">项目招投标文件和合同等</w:t>
      </w:r>
      <w:r>
        <w:rPr>
          <w:rFonts w:ascii="FangSong" w:hAnsi="FangSong" w:eastAsia="FangSong" w:cs="FangSong"/>
          <w:color w:val="000000"/>
          <w:sz w:val="24"/>
        </w:rPr>
        <w:t xml:space="preserve">各项规定。</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（四）建立健全本方党风廉政建设等内控制度，开展反腐倡廉、财经制度等宣传教育，加强本方工作人员监督管理，严肃查处违纪违规行为。</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（五）发现对方违反党风廉政建设规定的，提醒和督促对方纠正；发现严重违法违纪行为的，向纪检监察和司法机关举报。</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第二条甲方在廉政建设方面的义务</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（一）甲方及其工作人员不准让乙方支付、报销应由甲方及其工作人员个人支付的费用，不准利用职务便利为乙方谋取不当利益。</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（二）甲方及其工作人员不准要求或者接受乙方可能影响公正执行公务的礼品礼金、宴请或者旅游、健身、娱乐等活动安排；不准要求乙方提供交通工具、通讯工具、高档办公用品等。</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（三）甲方及其工作人员不准要求或者接受乙方以给特定关系人安排工作为名，使特定关系人不实际工作却获取薪酬；不准违反规定从事项目转包、分包等经济活动。</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（五）甲方及其工作人员不得有其他违反党风廉政建设的行为。</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第三条乙方在廉政建设方面义务</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（一）乙方不准以任何形式向甲方及其工作人员馈赠现金、电子红包、虚拟货币、有价证券、支付凭证及干股等礼品礼金，或以赌博等交易形式非法赠送甲方财物。</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（二）乙方不准以任何名义为甲方及其工作人员报销应由甲方及其工作人员个人支付的费用。</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（三）乙方不准为甲方工作人员住房装修、婚丧嫁娶、特定关系人出国（境）旅游提供方便；不准为甲方工作人员的特定关系人以安排工作为名，使其不实际工作却获取薪酬。</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（四）乙方不准为甲方及其工作人员赠送、以明显低于市场价购置、以劣换优、以借为名赠送交通工具、通讯工具、高档办公用品等。</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（五）乙方及其工作人员不得有其他违反党风廉政建设的行为。</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第四条违约责任</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（一）甲方及其工作人员违反本《廉政合同》有关规定的，由通州区纪检监察部门和甲方上级主管部门对违纪违规人员进行查处；构成犯罪的，移交司法机关处理；给乙方造成损失的，按规定予以赔偿。</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（二）乙方及其工作人员违反本《廉政合同》有关规定的，</w:t>
      </w:r>
      <w:r>
        <w:rPr>
          <w:rFonts w:ascii="FangSong" w:hAnsi="FangSong" w:eastAsia="FangSong" w:cs="FangSong"/>
          <w:b/>
          <w:color w:val="000000"/>
          <w:sz w:val="24"/>
        </w:rPr>
        <w:t xml:space="preserve">甲方将乙方列入黑名单，五年内禁止乙方及其工作人员参与甲方项目投标</w:t>
      </w:r>
      <w:r>
        <w:rPr>
          <w:rFonts w:ascii="FangSong" w:hAnsi="FangSong" w:eastAsia="FangSong" w:cs="FangSong"/>
          <w:color w:val="000000"/>
          <w:sz w:val="24"/>
        </w:rPr>
        <w:t xml:space="preserve">，并将相关信息通报通州区公共资源交易部门和甲方上级主管部门。构成犯罪的，移交司法机关处理；给甲方造成损失的，按规定予以赔偿。</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第五条 检查方式</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第六条</w:t>
      </w:r>
      <w:r>
        <w:rPr>
          <w:rFonts w:ascii="FangSong" w:hAnsi="FangSong" w:eastAsia="FangSong" w:cs="FangSong"/>
          <w:b/>
          <w:color w:val="000000"/>
          <w:sz w:val="24"/>
        </w:rPr>
        <w:t xml:space="preserve">本合同长期有效，甲乙双方及其工作人员终生负责。</w:t>
      </w:r>
      <w:r/>
    </w:p>
    <w:p>
      <w:pPr>
        <w:ind w:left="0" w:right="0" w:firstLine="480"/>
        <w:spacing w:before="0" w:after="20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第七条本合同一式</w:t>
      </w:r>
      <w:r>
        <w:rPr>
          <w:rFonts w:ascii="FangSong" w:hAnsi="FangSong" w:eastAsia="FangSong" w:cs="FangSong"/>
          <w:b/>
          <w:color w:val="000000"/>
          <w:sz w:val="24"/>
          <w:u w:val="single"/>
        </w:rPr>
        <w:t xml:space="preserve">陆</w:t>
      </w:r>
      <w:r>
        <w:rPr>
          <w:rFonts w:ascii="FangSong" w:hAnsi="FangSong" w:eastAsia="FangSong" w:cs="FangSong"/>
          <w:b/>
          <w:color w:val="000000"/>
          <w:sz w:val="24"/>
        </w:rPr>
        <w:t xml:space="preserve">份</w:t>
      </w:r>
      <w:r>
        <w:rPr>
          <w:rFonts w:ascii="FangSong" w:hAnsi="FangSong" w:eastAsia="FangSong" w:cs="FangSong"/>
          <w:color w:val="000000"/>
          <w:sz w:val="24"/>
        </w:rPr>
        <w:t xml:space="preserve">，甲方执</w:t>
      </w:r>
      <w:r>
        <w:rPr>
          <w:rFonts w:ascii="FangSong" w:hAnsi="FangSong" w:eastAsia="FangSong" w:cs="FangSong"/>
          <w:b/>
          <w:color w:val="000000"/>
          <w:sz w:val="24"/>
          <w:u w:val="single"/>
        </w:rPr>
        <w:t xml:space="preserve">叁</w:t>
      </w:r>
      <w:r>
        <w:rPr>
          <w:rFonts w:ascii="FangSong" w:hAnsi="FangSong" w:eastAsia="FangSong" w:cs="FangSong"/>
          <w:b/>
          <w:color w:val="000000"/>
          <w:sz w:val="24"/>
        </w:rPr>
        <w:t xml:space="preserve">份</w:t>
      </w:r>
      <w:r>
        <w:rPr>
          <w:rFonts w:ascii="FangSong" w:hAnsi="FangSong" w:eastAsia="FangSong" w:cs="FangSong"/>
          <w:color w:val="000000"/>
          <w:sz w:val="24"/>
        </w:rPr>
        <w:t xml:space="preserve">，乙方执</w:t>
      </w:r>
      <w:r>
        <w:rPr>
          <w:rFonts w:ascii="FangSong" w:hAnsi="FangSong" w:eastAsia="FangSong" w:cs="FangSong"/>
          <w:b/>
          <w:color w:val="000000"/>
          <w:sz w:val="24"/>
          <w:u w:val="single"/>
        </w:rPr>
        <w:t xml:space="preserve">贰</w:t>
      </w:r>
      <w:r>
        <w:rPr>
          <w:rFonts w:ascii="FangSong" w:hAnsi="FangSong" w:eastAsia="FangSong" w:cs="FangSong"/>
          <w:b/>
          <w:color w:val="000000"/>
          <w:sz w:val="24"/>
        </w:rPr>
        <w:t xml:space="preserve">份</w:t>
      </w:r>
      <w:r>
        <w:rPr>
          <w:rFonts w:ascii="FangSong" w:hAnsi="FangSong" w:eastAsia="FangSong" w:cs="FangSong"/>
          <w:color w:val="000000"/>
          <w:sz w:val="24"/>
        </w:rPr>
        <w:t xml:space="preserve">，通州区纪检监察部门派驻甲方纪检监察组备案</w:t>
      </w:r>
      <w:r>
        <w:rPr>
          <w:rFonts w:ascii="FangSong" w:hAnsi="FangSong" w:eastAsia="FangSong" w:cs="FangSong"/>
          <w:b/>
          <w:color w:val="000000"/>
          <w:sz w:val="24"/>
          <w:u w:val="single"/>
        </w:rPr>
        <w:t xml:space="preserve">壹</w:t>
      </w:r>
      <w:r>
        <w:rPr>
          <w:rFonts w:ascii="FangSong" w:hAnsi="FangSong" w:eastAsia="FangSong" w:cs="FangSong"/>
          <w:b/>
          <w:color w:val="000000"/>
          <w:sz w:val="24"/>
        </w:rPr>
        <w:t xml:space="preserve">份</w:t>
      </w:r>
      <w:r>
        <w:rPr>
          <w:rFonts w:ascii="FangSong" w:hAnsi="FangSong" w:eastAsia="FangSong" w:cs="FangSong"/>
          <w:color w:val="000000"/>
          <w:sz w:val="24"/>
        </w:rPr>
        <w:t xml:space="preserve">。</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105150" cy="37433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99341" name=""/>
                        <pic:cNvPicPr>
                          <a:picLocks noChangeAspect="1"/>
                        </pic:cNvPicPr>
                        <pic:nvPr/>
                      </pic:nvPicPr>
                      <pic:blipFill>
                        <a:blip/>
                        <a:stretch/>
                      </pic:blipFill>
                      <pic:spPr bwMode="auto">
                        <a:xfrm>
                          <a:off x="0" y="0"/>
                          <a:ext cx="3105149" cy="3743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5pt;height:29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162300" cy="36290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457" name=""/>
                        <pic:cNvPicPr>
                          <a:picLocks noChangeAspect="1"/>
                        </pic:cNvPicPr>
                        <pic:nvPr/>
                      </pic:nvPicPr>
                      <pic:blipFill>
                        <a:blip/>
                        <a:stretch/>
                      </pic:blipFill>
                      <pic:spPr bwMode="auto">
                        <a:xfrm>
                          <a:off x="0" y="0"/>
                          <a:ext cx="3162299" cy="3629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9.0pt;height:285.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 </w:t>
      </w:r>
      <w:r/>
    </w:p>
    <w:p>
      <w:pPr>
        <w:ind w:left="0" w:right="0" w:firstLine="0"/>
        <w:spacing w:before="0" w:after="200" w:line="2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rPr>
          <w:rFonts w:ascii="Times New Roman" w:hAnsi="Times New Roman" w:eastAsia="Times New Roman" w:cs="Times New Roma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年度城乡建设用地增减挂钩实施规划编制及征地报批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项目最高限价：最高限价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亩，最终报价超过最高限价的为无效投标。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项目工作量：暂定</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亩，最终以实际中标单价乘以报批批次面积结算</w:t>
      </w:r>
      <w:r>
        <w:rPr>
          <w:rFonts w:ascii="SimSun" w:hAnsi="SimSun" w:eastAsia="SimSun" w:cs="SimSun"/>
          <w:color w:val="000000"/>
          <w:sz w:val="28"/>
        </w:rPr>
        <w:t xml:space="preserve">，</w:t>
      </w:r>
      <w:r>
        <w:rPr>
          <w:rFonts w:ascii="SimSun" w:hAnsi="SimSun" w:eastAsia="SimSun" w:cs="SimSun"/>
          <w:color w:val="000000"/>
          <w:sz w:val="24"/>
        </w:rPr>
        <w:t xml:space="preserve">同一批次不足200亩的按</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亩计算，本次采购的最高兑付上限不超过预算</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项目地点：南通市通州区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服务期：服务期自合同签订之日起一年，在服务期内启动的实施规划编制和征地报批项目均属于本次招标范围。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根据报批实际情况，按批次进行结算。每个批次项目获得批复，乙方开具发票后，30天内一次性付清。（注：最终以中标单价乘以实际报批批次面积结算，同一批次不足200亩的按200亩计算，本次采购的最高兑付上限不超过预算80万），最终付款时间以取得上级批文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说明：在合同履行期限内启动的实施规划编制和征地报批的所有项目，均属于本次招标的范围，需按本次招标要求履行。最终付款时间以取得上级批文为准。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二、项目开展依据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《江苏省自然资源厅关于调整城乡建设用地增减挂钩相关审批事项的通知》（苏自然资函〔</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705</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《江苏省自然资源厅关于进一步规范城乡建设用地增减挂钩实施方案报批工作的通知》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苏自然资发</w:t>
      </w:r>
      <w:r>
        <w:rPr>
          <w:rFonts w:ascii="Times New Roman" w:hAnsi="Times New Roman" w:eastAsia="Times New Roman" w:cs="Times New Roman"/>
          <w:color w:val="000000"/>
          <w:sz w:val="24"/>
        </w:rPr>
        <w:t xml:space="preserve">[2021]121</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江苏省自然资源厅关于印发《江苏省城乡建设用地增减挂钩专项规划编制要点（试行）》和《江苏省城乡建设用地增减挂钩实施方案编制技术要点（试行）》的通知（苏自然资函〔</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1044</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《关于进一步规范报省政府审批的城乡建设用地增减挂钩实施方案报件材料和审查报告文本格式的函》（苏自然资函〔</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5、《江苏省自然资源厅关于调整报省政府审批的农用地转用和土地征收文本格式的通知》（苏自然资函〔2024〕746号）。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三、主要工作内容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城乡建设用地增减挂钩土地报批需要和要求，按照批次编制增减挂钩实施方案，在方案通过专家论证后，填报项目电子报批等征地报批资料，协助甲方开展审查用地条件、征地报批前公告、告知、确认和听证程序等工作。增减挂钩实施方案用地组卷材料经县（区）级审核后，逐级上报各级自然资源和各级人民政府审核，报有批准权的自然资源部门和政府部门审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四、成果形式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完成城乡建设用地增减挂钩实施方案编制，并同步完成报批项目服务内容，最终取得省市级征转用地批文。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五、安全与保密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工作中涉及到的涉密和敏感图文资料、电子数据，项目中标单位应严格执行保密的相关规定，不得以任何方式向任何第三人披露、泄露或许可第三人使用。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六、项目采购内容（含技术参数）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采购内容包括：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（1）城乡建设用地增减挂钩实施方案划编制，数据整理分析：勘测定界成果校核，用地地块数据整理分析，在线报备。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批材料收集与编制：包括报批相关材料收集，地块的国土空间规划、林地、湿地、永久基本农田、生态保护红线、生态管控区域、重复征地等审查，电子报件材料制作，补偿费用测算，审查报告代拟，征地信息公开、土地征收诉讼、行政复议材料收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（3）市、省逐级组卷上报，配合审查，取得建设用地批文。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（4）批复后材料的整理和归档，实时更新已报批图层。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（5）其他：根据报批需求完成其他相关工作。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七、相关要求和考核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（1）中标人须依法依规开展征地报批工作，程序合法、依据充分、内容准确，符合省市县有关规定和要求；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（2）中标人根据招标人的进度要求，按期、保质、保量完成批次报批。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八、成果要求：符合南通市通州自然资源和规划局要求。</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3913"/>
        <w:gridCol w:w="4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2025年度城乡建设用地增减挂钩实施规划编制及征地报批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0"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206"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7"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SimSun" w:hAnsi="SimSun" w:eastAsia="SimSun" w:cs="SimSun"/>
          <w:color w:val="000000"/>
          <w:sz w:val="21"/>
        </w:rPr>
        <w:t xml:space="preserve">1</w:t>
      </w:r>
      <w:r>
        <w:rPr>
          <w:rFonts w:ascii="SimSun" w:hAnsi="SimSun" w:eastAsia="SimSun" w:cs="SimSun"/>
          <w:color w:val="000000"/>
          <w:sz w:val="22"/>
        </w:rPr>
        <w:t xml:space="preserve">名中标候选人。</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（3）法定代表人授权委托书（如有授权）；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（4）法人或者其他组织的营业执照等证明文件：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（5）上一年度的财务状况报告（成立不满一年无需提供）或银行资信证明；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（6）同时具有城乡规划乙级及以上资质和测绘乙级及以上资质；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（8）具备履行合同所必需的设备和专业技术能力的书面声明；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（10）（1）中小企业声明函（本项目专门面向中小企业采购）；</w:t>
      </w:r>
      <w:r/>
    </w:p>
    <w:p>
      <w:pPr>
        <w:ind w:left="0" w:right="0" w:firstLine="12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0" w:right="0" w:firstLine="12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上述（1）—（10）中任何一条不符合要求，则资格性审查不通过，按无效标处理。</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4、商务技术标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商务技术标评审标准（分值70分）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1"/>
        <w:gridCol w:w="6886"/>
        <w:gridCol w:w="7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222"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13" w:right="1854" w:hanging="13"/>
              <w:jc w:val="right"/>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170" w:right="163" w:firstLine="0"/>
              <w:jc w:val="center"/>
              <w:spacing w:before="1"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对招标项目的理解以及投标人的优势</w:t>
            </w:r>
            <w:r>
              <w:rPr>
                <w:rFonts w:ascii="Arial" w:hAnsi="Arial" w:eastAsia="Arial" w:cs="Arial"/>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1、根据对项目背景及现状的了解，形成较为准确的对项目编制内容及重点的基本判断。完全满足或优于项目需求的得6分，有一定关联的得4分，欠合理的得2分，不提供不得分；</w:t>
            </w:r>
            <w:r/>
          </w:p>
          <w:p>
            <w:pPr>
              <w:ind w:left="0" w:right="0" w:firstLine="0"/>
              <w:jc w:val="both"/>
              <w:spacing w:before="44"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2、根据项目编制要求，结合往年项目实践案例，阐述投标单位在本项工作中的技术优势，展示投标人技术能力储备，完全满足或优于项目需求的得9分，有一定关联的得6分，欠合理的得3分，不提供不得分。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3"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工作思路、工作方案，项目重难点的认识及对策措施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的工作方案合理性及可行性、工作思路的完整性、可行性、可实施性等以及对本项目的重难点分析认识、提出的对策措施等情况进行评定。完全满足或优于项目需求的得15分，有一定关联的得10分，欠合理的得5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组织管理体系的架构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15" w:firstLine="0"/>
              <w:spacing w:before="44"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提供的组织管理体系的架构，由评委进行横向比较酌情打分：完全满足或优于项目需求的得15分，有一定关联的得10分，欠合理的得5分，不提供不得分。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246"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质量保证措施与后续服务承诺</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1、工作进度、质量及保证措施：从工作服务目标、进度安排、服务质量，以及进度、质量保证措施等方面进行评定，完全满足或优于项目需求的得9分，有一定关联的得6分，欠合理的得3分，不提供不得分。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2、根据投标人对本项目后续服务承诺等方面进行评定，完全满足或优于项目需求的得6分，有一定关联的得4分，欠合理的得2分，不提供不得分。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246"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107" w:right="0" w:firstLine="0"/>
              <w:spacing w:before="123"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人员组织</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1、供应商针对本项目拟派出的项目负责人具有国土空间规划、城乡规划或测绘专业中级职称的得0.5分，具有高级职称的得1分；（职称证上没有显示具体专业的以毕业证上的专业为准）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2、除项目负责人外，项目组成员中每配备一名国土空间规划、城乡规划、土地、测绘等相关专业中级及以上职称的得0.5分，本项最高得2分。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注;1、提供证书扫描件加盖公章，未按要求提供不得分；2，提供社保机构出具供应商为其缴纳的投标截止时间前3个月内至少1个月的社保证明；3、同一人员只计一次最高得分。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numPr>
                <w:ilvl w:val="0"/>
                <w:numId w:val="3"/>
              </w:numPr>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w:t>
            </w:r>
            <w:r>
              <w:rPr>
                <w:rFonts w:ascii="Times New Roman" w:hAnsi="Times New Roman" w:eastAsia="Times New Roman" w:cs="Times New Roman"/>
                <w:color w:val="000000"/>
                <w:sz w:val="22"/>
              </w:rPr>
              <w:t xml:space="preserve">2022</w:t>
            </w:r>
            <w:r>
              <w:rPr>
                <w:rFonts w:ascii="Times New Roman" w:hAnsi="Times New Roman" w:eastAsia="Times New Roman" w:cs="Times New Roman"/>
                <w:color w:val="000000"/>
                <w:sz w:val="21"/>
              </w:rPr>
              <w:t xml:space="preserve">年</w:t>
            </w:r>
            <w:r>
              <w:rPr>
                <w:rFonts w:ascii="Times New Roman" w:hAnsi="Times New Roman" w:eastAsia="Times New Roman" w:cs="Times New Roman"/>
                <w:color w:val="000000"/>
                <w:sz w:val="22"/>
              </w:rPr>
              <w:t xml:space="preserve">4月1日至今承接过城乡建设用地增减挂钩实施方案的，每提供一个案例得0.5分，本项最高限得2分。</w:t>
            </w:r>
            <w:r/>
          </w:p>
          <w:p>
            <w:pPr>
              <w:numPr>
                <w:ilvl w:val="0"/>
                <w:numId w:val="3"/>
              </w:numPr>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供应商2022年4月1日至</w:t>
            </w:r>
            <w:r>
              <w:rPr>
                <w:rFonts w:ascii="SimSun" w:hAnsi="SimSun" w:eastAsia="SimSun" w:cs="SimSun"/>
                <w:color w:val="000000"/>
                <w:sz w:val="22"/>
              </w:rPr>
              <w:t xml:space="preserve">今承接过</w:t>
            </w:r>
            <w:r>
              <w:rPr>
                <w:rFonts w:ascii="SimSun" w:hAnsi="SimSun" w:eastAsia="SimSun" w:cs="SimSun"/>
                <w:color w:val="000000"/>
                <w:sz w:val="21"/>
              </w:rPr>
              <w:t xml:space="preserve">城乡建设用地增减挂钩专项规划(3年专项规划)</w:t>
            </w:r>
            <w:r>
              <w:rPr>
                <w:rFonts w:ascii="Times New Roman" w:hAnsi="Times New Roman" w:eastAsia="Times New Roman" w:cs="Times New Roman"/>
                <w:color w:val="000000"/>
                <w:sz w:val="21"/>
              </w:rPr>
              <w:t xml:space="preserve">的，每提供一个</w:t>
            </w:r>
            <w:r>
              <w:rPr>
                <w:rFonts w:ascii="Times New Roman" w:hAnsi="Times New Roman" w:eastAsia="Times New Roman" w:cs="Times New Roman"/>
                <w:color w:val="000000"/>
                <w:sz w:val="22"/>
              </w:rPr>
              <w:t xml:space="preserve">案例得0.5分，本</w:t>
            </w:r>
            <w:r>
              <w:rPr>
                <w:rFonts w:ascii="Times New Roman" w:hAnsi="Times New Roman" w:eastAsia="Times New Roman" w:cs="Times New Roman"/>
                <w:color w:val="000000"/>
                <w:sz w:val="21"/>
              </w:rPr>
              <w:t xml:space="preserve">项最高限得</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分</w:t>
            </w:r>
            <w:r>
              <w:rPr>
                <w:rFonts w:ascii="SimSun" w:hAnsi="SimSun" w:eastAsia="SimSun" w:cs="SimSun"/>
                <w:color w:val="000000"/>
                <w:sz w:val="21"/>
              </w:rPr>
              <w:t xml:space="preserve">。</w:t>
            </w:r>
            <w:r/>
          </w:p>
          <w:p>
            <w:pPr>
              <w:numPr>
                <w:ilvl w:val="0"/>
                <w:numId w:val="3"/>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w:t>
            </w:r>
            <w:r>
              <w:rPr>
                <w:rFonts w:ascii="Times New Roman" w:hAnsi="Times New Roman" w:eastAsia="Times New Roman" w:cs="Times New Roman"/>
                <w:color w:val="000000"/>
                <w:sz w:val="22"/>
              </w:rPr>
              <w:t xml:space="preserve">应商2022年4月1日至</w:t>
            </w:r>
            <w:r>
              <w:rPr>
                <w:rFonts w:ascii="SimSun" w:hAnsi="SimSun" w:eastAsia="SimSun" w:cs="SimSun"/>
                <w:color w:val="000000"/>
                <w:sz w:val="22"/>
              </w:rPr>
              <w:t xml:space="preserve">今</w:t>
            </w:r>
            <w:r>
              <w:rPr>
                <w:rFonts w:ascii="Times New Roman" w:hAnsi="Times New Roman" w:eastAsia="Times New Roman" w:cs="Times New Roman"/>
                <w:color w:val="000000"/>
                <w:sz w:val="22"/>
              </w:rPr>
              <w:t xml:space="preserve">承接过跨县区交易指标增减挂钩实施方案的，每提供一个案例得1分，本项最高得3分。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（提供项目合同及批复，业绩时间以批文时间为准。）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bl>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5、投标报价（</w:t>
      </w:r>
      <w:r>
        <w:rPr>
          <w:rFonts w:ascii="SimSun" w:hAnsi="SimSun" w:eastAsia="SimSun" w:cs="SimSun"/>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报价是指：经评审，满足招标文件编制规定，并符合招标文件技术要求的且报价低于（投标报价大于或等于招标控制价或经评标委员会认定投标人的投标报价明显低于成本价的为无效报价）招标人设定的招标控制价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（2）计算投标报价得分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满足招标文件要求的有效投标报价中，投标价格最低的投标报价为评标基准价。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投标人的投标报价与评标基准价相等的得30分。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各投标人的投标报价得分=评标基准价/各投标人的投标报价*30分，得分保留小数点后两位。评标委员会在评标报告上签字后，上述方法的评标基准价不因招投标当事人质疑、投诉、复议以及其它任何情形而改变(评标过程中的计算错误可作调整)。</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评标委员会将以综合评分得分最高的投标人作为本项目的中标候选人，如因四舍五入得分相等的，以报价低的优先；报价也相等的，抽签决定。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投标文件格式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（3）法定代表人授权委托书（如有授权）；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（4）法人或者其他组织的营业执照等证明文件：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（5）上一年度的财务状况报告（成立不满一年无需提供）或银行资信证明；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（6）同时具有城乡规划乙级及以上资质和测绘乙级及以上资质；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（8）具备履行合同所必需的设备和专业技术能力的书面声明；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（10）（1）中小企业声明函（本项目专门面向中小企业采购）；</w:t>
      </w:r>
      <w:r/>
    </w:p>
    <w:p>
      <w:pPr>
        <w:ind w:left="0" w:right="0" w:firstLine="12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0" w:right="0" w:firstLine="12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11.技术要求响应及偏离表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12.商务要求响应及偏离表</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13.投标人根据招标文件打分项，提交的材料</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项目名称：2025年度城乡建设用地增减挂钩实施规划编制及征地报批</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投标报价（单价）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（人民币：元/亩）</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法人或者其他组织的营业执照等证明文件</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（扫描件）</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4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41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  号招标文件，正式授权下述签字人______(姓名)代表我方______________（投标人的名称），全权处理本次项目投标的有关事宜。</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24" w:right="6034" w:hanging="539"/>
        <w:spacing w:before="292" w:after="200" w:line="1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7"/>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2025-06-03T06:00:35Z</dcterms:created>
  <dcterms:modified xsi:type="dcterms:W3CDTF">2025-06-04T01:19:24Z</dcterms:modified>
</cp:coreProperties>
</file>