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87"/>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87"/>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87"/>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87"/>
        <w:jc w:val="both"/>
        <w:spacing w:beforeAutospacing="0" w:afterAutospacing="0"/>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射阳县妇幼保健院信息化软件3年维保项目</w:t>
      </w:r>
      <w:r/>
    </w:p>
    <w:p>
      <w:pPr>
        <w:pStyle w:val="787"/>
        <w:ind w:firstLine="321"/>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7"/>
        <w:ind w:firstLine="321"/>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7"/>
        <w:jc w:val="center"/>
        <w:spacing w:beforeAutospacing="0" w:afterAutospacing="0"/>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JSZC-320924-JZCG-G2024-0005</w:t>
      </w:r>
      <w:r/>
    </w:p>
    <w:p>
      <w:pPr>
        <w:pStyle w:val="7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center"/>
        <w:keepLines w:val="0"/>
        <w:keepNext w:val="0"/>
        <w:pageBreakBefore w:val="0"/>
        <w:spacing w:before="120" w:beforeAutospacing="0" w:after="120" w:afterAutospacing="0" w:line="360" w:lineRule="exact"/>
        <w:widowControl w:val="off"/>
        <w:rPr>
          <w:rFonts w:hint="eastAsia" w:ascii="宋体" w:hAnsi="宋体" w:eastAsia="宋体" w:cs="宋体"/>
          <w:b/>
          <w:color w:val="auto"/>
          <w:sz w:val="36"/>
          <w:szCs w:val="36"/>
          <w:highlight w:val="none"/>
          <w:shd w:val="clear" w:color="auto" w:fill="ffffff" w:themeFill="background1"/>
          <w:lang w:eastAsia="zh-CN"/>
        </w:rPr>
      </w:pPr>
      <w:r>
        <w:rPr>
          <w:rFonts w:hint="eastAsia" w:ascii="宋体" w:hAnsi="宋体" w:eastAsia="宋体" w:cs="宋体"/>
          <w:b/>
          <w:color w:val="auto"/>
          <w:sz w:val="36"/>
          <w:szCs w:val="36"/>
          <w:highlight w:val="none"/>
          <w:shd w:val="clear" w:color="auto" w:fill="ffffff" w:themeFill="background1"/>
          <w:lang w:eastAsia="zh-CN"/>
        </w:rPr>
        <w:t xml:space="preserve">射阳县妇幼保健院</w:t>
      </w:r>
      <w:r/>
    </w:p>
    <w:p>
      <w:pPr>
        <w:pStyle w:val="787"/>
        <w:jc w:val="center"/>
        <w:keepLines w:val="0"/>
        <w:keepNext w:val="0"/>
        <w:pageBreakBefore w:val="0"/>
        <w:spacing w:before="120" w:beforeAutospacing="0" w:after="120" w:afterAutospacing="0" w:line="360" w:lineRule="exact"/>
        <w:widowControl w:val="off"/>
        <w:rPr>
          <w:rFonts w:hint="default" w:ascii="宋体" w:hAnsi="宋体" w:eastAsia="宋体" w:cs="宋体"/>
          <w:b/>
          <w:color w:val="auto"/>
          <w:sz w:val="36"/>
          <w:szCs w:val="36"/>
          <w:highlight w:val="none"/>
          <w:shd w:val="clear" w:color="auto" w:fill="ffffff" w:themeFill="background1"/>
          <w:lang w:val="en-US" w:eastAsia="zh-CN"/>
        </w:rPr>
      </w:pPr>
      <w:r>
        <w:rPr>
          <w:rFonts w:hint="eastAsia" w:ascii="宋体" w:hAnsi="宋体" w:eastAsia="宋体" w:cs="宋体"/>
          <w:b/>
          <w:color w:val="auto"/>
          <w:sz w:val="36"/>
          <w:szCs w:val="36"/>
          <w:highlight w:val="none"/>
          <w:shd w:val="clear" w:color="auto" w:fill="ffffff" w:themeFill="background1"/>
          <w:lang w:val="en-US" w:eastAsia="zh-CN"/>
        </w:rPr>
        <w:t xml:space="preserve">射阳县行政服务中心</w:t>
      </w:r>
      <w:r/>
    </w:p>
    <w:p>
      <w:pPr>
        <w:pStyle w:val="787"/>
        <w:jc w:val="center"/>
        <w:keepLines w:val="0"/>
        <w:keepNext w:val="0"/>
        <w:pageBreakBefore w:val="0"/>
        <w:spacing w:before="120" w:beforeAutospacing="0" w:after="120" w:afterAutospacing="0" w:line="360" w:lineRule="exact"/>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val="en-US" w:eastAsia="zh-CN"/>
        </w:rPr>
        <w:t xml:space="preserve">04</w:t>
      </w:r>
      <w:r>
        <w:rPr>
          <w:rFonts w:hint="eastAsia" w:ascii="宋体" w:hAnsi="宋体" w:eastAsia="宋体" w:cs="宋体"/>
          <w:b/>
          <w:color w:val="auto"/>
          <w:sz w:val="36"/>
          <w:szCs w:val="36"/>
          <w:highlight w:val="none"/>
        </w:rPr>
        <w:t xml:space="preserve">月</w:t>
      </w:r>
      <w:r/>
    </w:p>
    <w:p>
      <w:pPr>
        <w:pStyle w:val="787"/>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Cs/>
          <w:color w:val="auto"/>
          <w:sz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auto"/>
          <w:sz w:val="44"/>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总  目  录</w:t>
      </w:r>
      <w:r/>
    </w:p>
    <w:p>
      <w:pPr>
        <w:spacing w:line="360" w:lineRule="auto"/>
        <w:rPr>
          <w:rFonts w:hint="eastAsia" w:ascii="黑体" w:hAnsi="黑体" w:eastAsia="黑体" w:cs="黑体"/>
          <w:b/>
          <w:color w:val="auto"/>
          <w:sz w:val="28"/>
          <w:highlight w:val="none"/>
        </w:rPr>
      </w:pPr>
      <w:r>
        <w:rPr>
          <w:rFonts w:hint="eastAsia" w:ascii="黑体" w:hAnsi="黑体" w:eastAsia="黑体" w:cs="黑体"/>
          <w:b/>
          <w:color w:val="auto"/>
          <w:sz w:val="28"/>
          <w:highlight w:val="none"/>
        </w:rPr>
      </w:r>
      <w:r/>
    </w:p>
    <w:p>
      <w:pPr>
        <w:numPr>
          <w:ilvl w:val="0"/>
          <w:numId w:val="1"/>
        </w:numPr>
        <w:spacing w:line="360" w:lineRule="auto"/>
        <w:rPr>
          <w:rFonts w:hint="eastAsia" w:ascii="黑体" w:hAnsi="黑体" w:eastAsia="黑体" w:cs="黑体"/>
          <w:color w:val="auto"/>
          <w:sz w:val="32"/>
          <w:highlight w:val="none"/>
        </w:rPr>
        <w:outlineLvl w:val="0"/>
      </w:pPr>
      <w:r>
        <w:rPr>
          <w:rFonts w:hint="eastAsia" w:ascii="黑体" w:hAnsi="黑体" w:eastAsia="黑体" w:cs="黑体"/>
          <w:color w:val="auto"/>
          <w:sz w:val="36"/>
          <w:highlight w:val="none"/>
          <w:lang w:val="en-US" w:eastAsia="zh-CN"/>
        </w:rPr>
        <w:t xml:space="preserve">招标公告</w:t>
      </w:r>
      <w:r>
        <w:rPr>
          <w:rFonts w:hint="eastAsia" w:ascii="黑体" w:hAnsi="黑体" w:eastAsia="黑体" w:cs="黑体"/>
          <w:color w:val="auto"/>
          <w:sz w:val="36"/>
          <w:highlight w:val="none"/>
        </w:rPr>
        <w:t xml:space="preserve">……………………………………2</w:t>
      </w:r>
      <w:r/>
    </w:p>
    <w:p>
      <w:pPr>
        <w:numPr>
          <w:ilvl w:val="0"/>
          <w:numId w:val="1"/>
        </w:numPr>
        <w:spacing w:line="360" w:lineRule="auto"/>
        <w:rPr>
          <w:rFonts w:hint="eastAsia" w:ascii="黑体" w:hAnsi="黑体" w:eastAsia="黑体" w:cs="黑体"/>
          <w:color w:val="auto"/>
          <w:sz w:val="36"/>
          <w:highlight w:val="none"/>
        </w:rPr>
        <w:outlineLvl w:val="0"/>
      </w:pPr>
      <w:r>
        <w:rPr>
          <w:rFonts w:hint="eastAsia" w:ascii="黑体" w:hAnsi="黑体" w:eastAsia="黑体" w:cs="黑体"/>
          <w:bCs/>
          <w:color w:val="auto"/>
          <w:sz w:val="36"/>
          <w:szCs w:val="36"/>
          <w:highlight w:val="none"/>
        </w:rPr>
        <w:t xml:space="preserve">投标人须知</w:t>
      </w:r>
      <w:r>
        <w:rPr>
          <w:rFonts w:hint="eastAsia" w:ascii="黑体" w:hAnsi="黑体" w:eastAsia="黑体" w:cs="黑体"/>
          <w:color w:val="auto"/>
          <w:sz w:val="36"/>
          <w:szCs w:val="36"/>
          <w:highlight w:val="none"/>
        </w:rPr>
        <w:t xml:space="preserve">…</w:t>
      </w:r>
      <w:r>
        <w:rPr>
          <w:rFonts w:hint="eastAsia" w:ascii="黑体" w:hAnsi="黑体" w:eastAsia="黑体" w:cs="黑体"/>
          <w:color w:val="auto"/>
          <w:sz w:val="36"/>
          <w:highlight w:val="none"/>
        </w:rPr>
        <w:t xml:space="preserve">………………………………</w:t>
      </w:r>
      <w:r>
        <w:rPr>
          <w:rFonts w:hint="eastAsia" w:ascii="黑体" w:hAnsi="黑体" w:eastAsia="黑体" w:cs="黑体"/>
          <w:color w:val="auto"/>
          <w:sz w:val="36"/>
          <w:highlight w:val="none"/>
          <w:lang w:val="en-US" w:eastAsia="zh-CN"/>
        </w:rPr>
        <w:t xml:space="preserve">5</w:t>
      </w:r>
      <w:r/>
    </w:p>
    <w:p>
      <w:pPr>
        <w:numPr>
          <w:ilvl w:val="0"/>
          <w:numId w:val="1"/>
        </w:numPr>
        <w:spacing w:line="360" w:lineRule="auto"/>
        <w:rPr>
          <w:rFonts w:hint="eastAsia" w:ascii="黑体" w:hAnsi="黑体" w:eastAsia="黑体" w:cs="黑体"/>
          <w:color w:val="auto"/>
          <w:sz w:val="36"/>
          <w:highlight w:val="none"/>
        </w:rPr>
        <w:outlineLvl w:val="0"/>
      </w:pPr>
      <w:r>
        <w:rPr>
          <w:rFonts w:hint="eastAsia" w:ascii="黑体" w:hAnsi="黑体" w:eastAsia="黑体" w:cs="黑体"/>
          <w:color w:val="auto"/>
          <w:sz w:val="36"/>
          <w:highlight w:val="none"/>
        </w:rPr>
        <w:t xml:space="preserve">合同</w:t>
      </w:r>
      <w:r>
        <w:rPr>
          <w:rFonts w:hint="eastAsia" w:ascii="黑体" w:hAnsi="黑体" w:eastAsia="黑体" w:cs="黑体"/>
          <w:color w:val="auto"/>
          <w:sz w:val="36"/>
          <w:highlight w:val="none"/>
          <w:lang w:val="en-US" w:eastAsia="zh-CN"/>
        </w:rPr>
        <w:t xml:space="preserve">文本</w:t>
      </w:r>
      <w:r>
        <w:rPr>
          <w:rFonts w:hint="eastAsia" w:ascii="黑体" w:hAnsi="黑体" w:eastAsia="黑体" w:cs="黑体"/>
          <w:color w:val="auto"/>
          <w:sz w:val="36"/>
          <w:highlight w:val="none"/>
        </w:rPr>
        <w:t xml:space="preserve">……………………………………</w:t>
      </w:r>
      <w:r>
        <w:rPr>
          <w:rFonts w:hint="eastAsia" w:ascii="黑体" w:hAnsi="黑体" w:eastAsia="黑体" w:cs="黑体"/>
          <w:color w:val="auto"/>
          <w:sz w:val="36"/>
          <w:highlight w:val="none"/>
          <w:lang w:val="en-US" w:eastAsia="zh-CN"/>
        </w:rPr>
        <w:t xml:space="preserve">19</w:t>
      </w:r>
      <w:r/>
    </w:p>
    <w:p>
      <w:pPr>
        <w:numPr>
          <w:ilvl w:val="0"/>
          <w:numId w:val="1"/>
        </w:numPr>
        <w:spacing w:line="360" w:lineRule="auto"/>
        <w:rPr>
          <w:rFonts w:hint="eastAsia" w:ascii="黑体" w:hAnsi="黑体" w:eastAsia="黑体" w:cs="黑体"/>
          <w:color w:val="auto"/>
          <w:sz w:val="36"/>
          <w:highlight w:val="none"/>
        </w:rPr>
        <w:outlineLvl w:val="0"/>
      </w:pPr>
      <w:r>
        <w:rPr>
          <w:rFonts w:hint="eastAsia" w:ascii="黑体" w:hAnsi="黑体" w:eastAsia="黑体" w:cs="黑体"/>
          <w:color w:val="auto"/>
          <w:sz w:val="36"/>
          <w:highlight w:val="none"/>
        </w:rPr>
        <w:t xml:space="preserve">项目需求……………………………………</w:t>
      </w:r>
      <w:r>
        <w:rPr>
          <w:rFonts w:hint="eastAsia" w:ascii="黑体" w:hAnsi="黑体" w:eastAsia="黑体" w:cs="黑体"/>
          <w:color w:val="auto"/>
          <w:sz w:val="36"/>
          <w:highlight w:val="none"/>
          <w:lang w:val="en-US" w:eastAsia="zh-CN"/>
        </w:rPr>
        <w:t xml:space="preserve">24</w:t>
      </w:r>
      <w:r/>
    </w:p>
    <w:p>
      <w:pPr>
        <w:numPr>
          <w:ilvl w:val="0"/>
          <w:numId w:val="1"/>
        </w:numPr>
        <w:spacing w:line="360" w:lineRule="auto"/>
        <w:rPr>
          <w:rFonts w:hint="eastAsia" w:ascii="黑体" w:hAnsi="黑体" w:eastAsia="黑体" w:cs="黑体"/>
          <w:color w:val="auto"/>
          <w:sz w:val="36"/>
          <w:highlight w:val="none"/>
        </w:rPr>
        <w:outlineLvl w:val="0"/>
      </w:pPr>
      <w:r>
        <w:rPr>
          <w:rFonts w:hint="eastAsia" w:ascii="黑体" w:hAnsi="黑体" w:eastAsia="黑体" w:cs="黑体"/>
          <w:bCs/>
          <w:color w:val="auto"/>
          <w:sz w:val="36"/>
          <w:szCs w:val="36"/>
          <w:highlight w:val="none"/>
          <w:lang w:val="en-US" w:eastAsia="zh-CN"/>
        </w:rPr>
        <w:t xml:space="preserve">评标方法</w:t>
      </w:r>
      <w:r>
        <w:rPr>
          <w:rFonts w:hint="eastAsia" w:ascii="黑体" w:hAnsi="黑体" w:eastAsia="黑体" w:cs="黑体"/>
          <w:bCs/>
          <w:color w:val="auto"/>
          <w:sz w:val="36"/>
          <w:szCs w:val="36"/>
          <w:highlight w:val="none"/>
        </w:rPr>
        <w:t xml:space="preserve">与评标标准</w:t>
      </w:r>
      <w:r>
        <w:rPr>
          <w:rFonts w:hint="eastAsia" w:ascii="黑体" w:hAnsi="黑体" w:eastAsia="黑体" w:cs="黑体"/>
          <w:color w:val="auto"/>
          <w:sz w:val="36"/>
          <w:highlight w:val="none"/>
        </w:rPr>
        <w:t xml:space="preserve">………………………</w:t>
      </w:r>
      <w:r>
        <w:rPr>
          <w:rFonts w:hint="eastAsia" w:ascii="黑体" w:hAnsi="黑体" w:eastAsia="黑体" w:cs="黑体"/>
          <w:color w:val="auto"/>
          <w:sz w:val="36"/>
          <w:highlight w:val="none"/>
          <w:lang w:val="en-US" w:eastAsia="zh-CN"/>
        </w:rPr>
        <w:t xml:space="preserve">34</w:t>
      </w:r>
      <w:r/>
    </w:p>
    <w:p>
      <w:pPr>
        <w:numPr>
          <w:ilvl w:val="0"/>
          <w:numId w:val="1"/>
        </w:numPr>
        <w:spacing w:line="360" w:lineRule="auto"/>
        <w:rPr>
          <w:rFonts w:hint="eastAsia" w:ascii="黑体" w:hAnsi="黑体" w:eastAsia="黑体" w:cs="黑体"/>
          <w:color w:val="auto"/>
          <w:sz w:val="36"/>
          <w:highlight w:val="none"/>
        </w:rPr>
        <w:outlineLvl w:val="0"/>
      </w:pPr>
      <w:r>
        <w:rPr>
          <w:rFonts w:hint="eastAsia" w:ascii="黑体" w:hAnsi="黑体" w:eastAsia="黑体" w:cs="黑体"/>
          <w:color w:val="auto"/>
          <w:sz w:val="36"/>
          <w:highlight w:val="none"/>
        </w:rPr>
        <w:t xml:space="preserve">投标文件格式………………………………</w:t>
      </w:r>
      <w:r>
        <w:rPr>
          <w:rFonts w:hint="eastAsia" w:ascii="黑体" w:hAnsi="黑体" w:eastAsia="黑体" w:cs="黑体"/>
          <w:color w:val="auto"/>
          <w:sz w:val="36"/>
          <w:highlight w:val="none"/>
          <w:lang w:val="en-US" w:eastAsia="zh-CN"/>
        </w:rPr>
        <w:t xml:space="preserve">38</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946"/>
        <w:spacing w:line="360" w:lineRule="auto"/>
        <w:rPr>
          <w:rFonts w:hint="default" w:ascii="黑体" w:hAnsi="黑体" w:eastAsia="黑体" w:cs="黑体"/>
          <w:color w:val="auto"/>
          <w:highlight w:val="none"/>
          <w:lang w:val="en-US" w:eastAsia="zh-CN"/>
        </w:rPr>
      </w:pPr>
      <w:r>
        <w:rPr>
          <w:rFonts w:hint="eastAsia" w:ascii="黑体" w:hAnsi="黑体" w:eastAsia="黑体" w:cs="黑体"/>
          <w:color w:val="auto"/>
          <w:sz w:val="40"/>
          <w:szCs w:val="40"/>
          <w:highlight w:val="none"/>
        </w:rPr>
        <w:t xml:space="preserve">第一章  </w:t>
      </w:r>
      <w:r>
        <w:rPr>
          <w:rFonts w:hint="eastAsia" w:ascii="黑体" w:hAnsi="黑体" w:eastAsia="黑体" w:cs="黑体"/>
          <w:color w:val="auto"/>
          <w:sz w:val="40"/>
          <w:szCs w:val="40"/>
          <w:highlight w:val="none"/>
          <w:lang w:val="en-US" w:eastAsia="zh-CN"/>
        </w:rPr>
        <w:t xml:space="preserve">招标公告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0" w:name="_Toc120614211"/>
      <w:r>
        <w:rPr>
          <w:rFonts w:hint="eastAsia" w:ascii="宋体" w:hAnsi="宋体" w:eastAsia="宋体" w:cs="宋体"/>
          <w:color w:val="auto"/>
          <w:sz w:val="24"/>
          <w:szCs w:val="24"/>
          <w:highlight w:val="none"/>
          <w:lang w:val="en-US" w:eastAsia="zh-CN"/>
        </w:rPr>
        <w:t xml:space="preserve">受射阳县妇幼保健院的委托，就射阳县妇幼保健院信息化软件3年维保项目([项目编号</w:t>
      </w:r>
      <w:r>
        <w:rPr>
          <w:rFonts w:hint="eastAsia" w:ascii="宋体" w:hAnsi="宋体" w:eastAsia="宋体" w:cs="宋体"/>
          <w:color w:val="auto"/>
          <w:sz w:val="24"/>
          <w:szCs w:val="24"/>
          <w:highlight w:val="none"/>
          <w:lang w:val="en-US" w:eastAsia="zh-CN"/>
        </w:rPr>
        <w:t xml:space="preserve">JSZC-320924-JZCG-G2024-0005]</w:t>
      </w:r>
      <w:r>
        <w:rPr>
          <w:rFonts w:hint="eastAsia" w:ascii="宋体" w:hAnsi="宋体" w:eastAsia="宋体" w:cs="宋体"/>
          <w:color w:val="auto"/>
          <w:sz w:val="24"/>
          <w:szCs w:val="24"/>
          <w:highlight w:val="none"/>
          <w:lang w:val="en-US" w:eastAsia="zh-CN"/>
        </w:rPr>
        <w:t xml:space="preserve">)项目进行公开招标采购，欢迎符合条件的供应商投标。</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4"/>
          <w:szCs w:val="24"/>
          <w:highlight w:val="none"/>
          <w:lang w:val="en-US" w:eastAsia="zh-CN"/>
        </w:rPr>
        <w:t xml:space="preserve">项目概况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u w:val="single"/>
          <w:lang w:val="en-US" w:eastAsia="zh-CN"/>
        </w:rPr>
        <w:t xml:space="preserve">射阳县妇幼保健院信息化软件3年维保项目</w:t>
      </w:r>
      <w:r>
        <w:rPr>
          <w:rFonts w:hint="eastAsia" w:ascii="宋体" w:hAnsi="宋体" w:eastAsia="宋体" w:cs="宋体"/>
          <w:color w:val="auto"/>
          <w:sz w:val="24"/>
          <w:szCs w:val="24"/>
          <w:highlight w:val="none"/>
          <w:lang w:val="en-US" w:eastAsia="zh-CN"/>
        </w:rPr>
        <w:t xml:space="preserve">的潜在投标人可在</w:t>
      </w:r>
      <w:r>
        <w:rPr>
          <w:rFonts w:hint="eastAsia" w:ascii="宋体" w:hAnsi="宋体" w:eastAsia="宋体" w:cs="宋体"/>
          <w:color w:val="auto"/>
          <w:sz w:val="24"/>
          <w:szCs w:val="24"/>
          <w:highlight w:val="none"/>
          <w:u w:val="single"/>
          <w:lang w:val="en-US" w:eastAsia="zh-CN"/>
        </w:rPr>
        <w:t xml:space="preserve">“中国政府采购网”“江苏政府采购网、盐城市政府采购网”</w:t>
      </w:r>
      <w:r>
        <w:rPr>
          <w:rFonts w:hint="eastAsia" w:ascii="宋体" w:hAnsi="宋体" w:eastAsia="宋体" w:cs="宋体"/>
          <w:color w:val="auto"/>
          <w:sz w:val="24"/>
          <w:szCs w:val="24"/>
          <w:highlight w:val="none"/>
          <w:lang w:val="en-US" w:eastAsia="zh-CN"/>
        </w:rPr>
        <w:t xml:space="preserve">自行免费下载招标文件，并于2024</w:t>
      </w:r>
      <w:r>
        <w:rPr>
          <w:rFonts w:hint="eastAsia" w:ascii="宋体" w:hAnsi="宋体" w:eastAsia="宋体" w:cs="宋体"/>
          <w:color w:val="auto"/>
          <w:sz w:val="24"/>
          <w:szCs w:val="24"/>
          <w:highlight w:val="none"/>
          <w:lang w:val="en-US" w:eastAsia="zh-CN"/>
        </w:rPr>
        <w:t xml:space="preserve">年05</w:t>
      </w:r>
      <w:r>
        <w:rPr>
          <w:rFonts w:hint="eastAsia" w:ascii="宋体" w:hAnsi="宋体" w:eastAsia="宋体" w:cs="宋体"/>
          <w:color w:val="auto"/>
          <w:sz w:val="24"/>
          <w:szCs w:val="24"/>
          <w:highlight w:val="none"/>
          <w:lang w:val="en-US" w:eastAsia="zh-CN"/>
        </w:rPr>
        <w:t xml:space="preserve">月24 日</w:t>
      </w:r>
      <w:r>
        <w:rPr>
          <w:rFonts w:hint="eastAsia" w:ascii="宋体" w:hAnsi="宋体" w:eastAsia="宋体" w:cs="宋体"/>
          <w:color w:val="auto"/>
          <w:sz w:val="24"/>
          <w:szCs w:val="24"/>
          <w:highlight w:val="none"/>
          <w:lang w:val="en-US" w:eastAsia="zh-CN"/>
        </w:rPr>
        <w:t xml:space="preserve">15点00分（北京时间）前递交投标文件。</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 w:name="_Hlk24379207"/>
      <w:r/>
      <w:bookmarkStart w:id="2" w:name="_Toc28359079"/>
      <w:r/>
      <w:bookmarkStart w:id="3" w:name="_Toc38985263"/>
      <w:r/>
      <w:bookmarkStart w:id="4" w:name="_Toc28359002"/>
      <w:r/>
      <w:bookmarkStart w:id="5" w:name="_Toc35393621"/>
      <w:r/>
      <w:bookmarkStart w:id="6" w:name="_Toc35393790"/>
      <w:r>
        <w:rPr>
          <w:rFonts w:hint="default" w:ascii="宋体" w:hAnsi="宋体" w:eastAsia="宋体" w:cs="宋体"/>
          <w:b/>
          <w:bCs/>
          <w:color w:val="auto"/>
          <w:sz w:val="24"/>
          <w:szCs w:val="24"/>
          <w:highlight w:val="none"/>
          <w:lang w:val="en-US" w:eastAsia="zh-CN"/>
        </w:rPr>
        <w:t xml:space="preserve">一、项目基本情况</w:t>
      </w:r>
      <w:bookmarkEnd w:id="1"/>
      <w:r/>
      <w:bookmarkEnd w:id="2"/>
      <w:r/>
      <w:bookmarkEnd w:id="3"/>
      <w:r/>
      <w:bookmarkEnd w:id="4"/>
      <w:r/>
      <w:bookmarkEnd w:id="5"/>
      <w:r/>
      <w:bookmarkEnd w:id="6"/>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w:t>
      </w:r>
      <w:r>
        <w:rPr>
          <w:rFonts w:hint="eastAsia" w:ascii="宋体" w:hAnsi="宋体" w:eastAsia="宋体" w:cs="宋体"/>
          <w:color w:val="auto"/>
          <w:sz w:val="24"/>
          <w:szCs w:val="24"/>
          <w:highlight w:val="none"/>
          <w:lang w:val="en-US" w:eastAsia="zh-CN"/>
        </w:rPr>
        <w:t xml:space="preserve">JSZC-320924-JZCG-G2024-0005</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2.项目名称：射阳县妇幼保健院信息化软件3年维保项目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3.采购方式：公开招标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3.预算金额：180万元</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4.本项目设定最高限价，最高限价为180万元。（服务期限为三年）。投标人报价超过最高限价按无效标处理。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cs="宋体"/>
          <w:color w:val="auto"/>
          <w:sz w:val="24"/>
          <w:szCs w:val="24"/>
          <w:highlight w:val="none"/>
          <w:lang w:val="en-US" w:eastAsia="zh-CN"/>
        </w:rPr>
        <w:t xml:space="preserve">包括维护HIS、电子病历、PACS、1is、手麻、院感等系统的正常运行，并提供一人驻场技术服务</w:t>
      </w:r>
      <w:r>
        <w:rPr>
          <w:rFonts w:hint="eastAsia" w:ascii="宋体" w:hAnsi="宋体" w:cs="宋体"/>
          <w:color w:val="auto"/>
          <w:sz w:val="24"/>
          <w:szCs w:val="24"/>
          <w:highlight w:val="none"/>
        </w:rPr>
        <w:t xml:space="preserve">等相关伴随服务，具体采购范围及所应达到的具体要求，详见本招标文件中项目需求</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6.合同履行期限：本项目服务期限为三年（开始时间以签定合同日期为准）。在合同服务期限内，运维范围可能调整，采购人有权调整运维范围或终止该合同。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7、运维要求：符合国家、省、市及地方现行的相关规范标准及招标文件中规定的技术要求。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8、本项目不接受联合体投标。</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7" w:name="_Toc28359003"/>
      <w:r/>
      <w:bookmarkStart w:id="8" w:name="_Toc28359080"/>
      <w:r/>
      <w:bookmarkStart w:id="9" w:name="_Toc35393622"/>
      <w:r/>
      <w:bookmarkStart w:id="10" w:name="_Toc38985264"/>
      <w:r/>
      <w:bookmarkStart w:id="11" w:name="_Toc35393791"/>
      <w:r>
        <w:rPr>
          <w:rFonts w:hint="default" w:ascii="宋体" w:hAnsi="宋体" w:eastAsia="宋体" w:cs="宋体"/>
          <w:b/>
          <w:bCs/>
          <w:color w:val="auto"/>
          <w:sz w:val="24"/>
          <w:szCs w:val="24"/>
          <w:highlight w:val="none"/>
          <w:lang w:val="en-US" w:eastAsia="zh-CN"/>
        </w:rPr>
        <w:t xml:space="preserve">二、申请人的资格要求：</w:t>
      </w:r>
      <w:bookmarkEnd w:id="7"/>
      <w:r/>
      <w:bookmarkEnd w:id="8"/>
      <w:r/>
      <w:bookmarkEnd w:id="9"/>
      <w:r/>
      <w:bookmarkEnd w:id="10"/>
      <w:r/>
      <w:bookmarkEnd w:id="11"/>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1.2上一年度的财务状况报表（成立不满一年无需提供）；</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numPr>
          <w:ilvl w:val="0"/>
          <w:numId w:val="2"/>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落实政府采购政策需满足的资格要求：本项目为非预留份额的采购项目或采购包，执行价格扣除优惠政策，给予小微型企业、监狱企业或残疾人福利性单位报价给予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numPr>
          <w:ilvl w:val="0"/>
          <w:numId w:val="2"/>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本项目的特定资格要求：</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3.1单位负责人为同一人或存在控股、管理关系的不同单位，不得同时参加本项目磋商，否则相关磋商均无效。</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3.2供应商必须为未被列入“信用中国”网(www.creditchina.gov.cn)、中国政府采购网(www.ccgp.gov.cn)渠道信用记录失信被执行人、重大税收违法案件当事人名单、政府采购严重违法失信行为记录名单。</w:t>
      </w:r>
      <w:r/>
    </w:p>
    <w:p>
      <w:pPr>
        <w:numPr>
          <w:ilvl w:val="0"/>
          <w:numId w:val="2"/>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本项目不接受联合体投标。</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三、获取招标文件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2" w:name="_Toc28359082"/>
      <w:r/>
      <w:bookmarkStart w:id="13" w:name="_Toc38985266"/>
      <w:r/>
      <w:bookmarkStart w:id="14" w:name="_Toc28359005"/>
      <w:r/>
      <w:bookmarkStart w:id="15" w:name="_Toc35393624"/>
      <w:r/>
      <w:bookmarkStart w:id="16" w:name="_Toc35393793"/>
      <w:r>
        <w:rPr>
          <w:rFonts w:hint="eastAsia" w:ascii="宋体" w:hAnsi="宋体" w:eastAsia="宋体" w:cs="宋体"/>
          <w:color w:val="auto"/>
          <w:sz w:val="24"/>
          <w:szCs w:val="24"/>
          <w:highlight w:val="none"/>
          <w:lang w:val="en-US" w:eastAsia="zh-CN"/>
        </w:rPr>
        <w:t xml:space="preserve">1.时间：</w:t>
      </w:r>
      <w:bookmarkEnd w:id="12"/>
      <w:r/>
      <w:bookmarkEnd w:id="13"/>
      <w:r/>
      <w:bookmarkEnd w:id="14"/>
      <w:r/>
      <w:bookmarkEnd w:id="15"/>
      <w:r/>
      <w:bookmarkEnd w:id="16"/>
      <w:r>
        <w:rPr>
          <w:rFonts w:hint="eastAsia" w:ascii="宋体" w:hAnsi="宋体" w:cs="宋体"/>
          <w:color w:val="auto"/>
          <w:sz w:val="24"/>
          <w:szCs w:val="24"/>
          <w:highlight w:val="none"/>
          <w:lang w:val="en-US" w:eastAsia="zh-CN"/>
        </w:rPr>
        <w:t xml:space="preserve">2024</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04月29日至2024年05月09日，每天上午8:</w:t>
      </w:r>
      <w:r>
        <w:rPr>
          <w:rFonts w:hint="eastAsia" w:ascii="宋体" w:hAnsi="宋体" w:cs="宋体"/>
          <w:color w:val="auto"/>
          <w:sz w:val="24"/>
          <w:szCs w:val="24"/>
          <w:highlight w:val="none"/>
        </w:rPr>
        <w:t xml:space="preserve">30至11:30，下午14:30至</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0（北京时间，法定节假日除外）。</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2.方式：在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“江苏政府采购网”、“盐城市政府采购网”</w:t>
      </w:r>
      <w:r>
        <w:rPr>
          <w:rFonts w:hint="eastAsia" w:ascii="宋体" w:hAnsi="宋体" w:cs="宋体"/>
          <w:color w:val="auto"/>
          <w:sz w:val="24"/>
          <w:szCs w:val="24"/>
          <w:highlight w:val="none"/>
          <w:lang w:val="en-US" w:eastAsia="zh-CN"/>
        </w:rPr>
        <w:t xml:space="preserve">自行免费下载招标文件。</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四、提交投标文件截止时间、开标时间和地点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提交投标文件截止时间、开标时间均为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2024年05月24日15点00分（北京时间）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cs="宋体"/>
          <w:color w:val="auto"/>
          <w:sz w:val="24"/>
          <w:szCs w:val="24"/>
          <w:highlight w:val="none"/>
        </w:rPr>
        <w:t xml:space="preserve">“苏采云”政府采购交易系统网上开标大厅，采购人代表与采购代理机构工作人员在射阳县公共资源交易中心八楼开标室开标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7" w:name="_Toc35393794"/>
      <w:r/>
      <w:bookmarkStart w:id="18" w:name="_Toc35393625"/>
      <w:r/>
      <w:bookmarkStart w:id="19" w:name="_Toc28359084"/>
      <w:r/>
      <w:bookmarkStart w:id="20" w:name="_Toc28359007"/>
      <w:r/>
      <w:bookmarkStart w:id="21" w:name="_Toc38985267"/>
      <w:r>
        <w:rPr>
          <w:rFonts w:hint="default" w:ascii="宋体" w:hAnsi="宋体" w:eastAsia="宋体" w:cs="宋体"/>
          <w:b/>
          <w:bCs/>
          <w:color w:val="auto"/>
          <w:sz w:val="24"/>
          <w:szCs w:val="24"/>
          <w:highlight w:val="none"/>
          <w:lang w:val="en-US" w:eastAsia="zh-CN"/>
        </w:rPr>
        <w:t xml:space="preserve">五、公告期限</w:t>
      </w:r>
      <w:bookmarkEnd w:id="17"/>
      <w:r/>
      <w:bookmarkEnd w:id="18"/>
      <w:r/>
      <w:bookmarkEnd w:id="19"/>
      <w:r/>
      <w:bookmarkEnd w:id="20"/>
      <w:r/>
      <w:bookmarkEnd w:id="21"/>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2" w:name="_Toc35393795"/>
      <w:r/>
      <w:bookmarkStart w:id="23" w:name="_Toc35393626"/>
      <w:r/>
      <w:bookmarkStart w:id="24" w:name="_Toc38985268"/>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bookmarkEnd w:id="22"/>
      <w:r/>
      <w:bookmarkEnd w:id="23"/>
      <w:r/>
      <w:bookmarkEnd w:id="24"/>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六、其他补充事宜</w:t>
      </w:r>
      <w:r/>
    </w:p>
    <w:p>
      <w:pPr>
        <w:pStyle w:val="962"/>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供应商如确定参加投标，可自行下载招标文件及有关资料</w:t>
      </w:r>
      <w:r>
        <w:rPr>
          <w:rFonts w:hint="eastAsia" w:ascii="宋体" w:hAnsi="宋体" w:cs="宋体"/>
          <w:color w:val="auto"/>
          <w:sz w:val="24"/>
          <w:szCs w:val="24"/>
          <w:highlight w:val="none"/>
          <w:lang w:eastAsia="zh-CN"/>
        </w:rPr>
        <w:t xml:space="preserve">；</w:t>
      </w:r>
      <w:r/>
    </w:p>
    <w:p>
      <w:pPr>
        <w:ind w:left="0" w:firstLine="482"/>
        <w:keepLines w:val="0"/>
        <w:keepNext w:val="0"/>
        <w:pageBreakBefore w:val="0"/>
        <w:spacing w:line="360" w:lineRule="auto"/>
        <w:widowControl w:val="off"/>
        <w:tabs>
          <w:tab w:val="left" w:pos="900" w:leader="none"/>
        </w:tabs>
        <w:rPr>
          <w:rFonts w:hint="eastAsia" w:ascii="宋体" w:hAnsi="宋体"/>
          <w:b w:val="0"/>
          <w:bCs w:val="0"/>
          <w:color w:val="auto"/>
          <w:sz w:val="24"/>
          <w:szCs w:val="24"/>
          <w:highlight w:val="none"/>
        </w:rPr>
      </w:pP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rPr>
        <w:t xml:space="preserve">.</w:t>
      </w:r>
      <w:r>
        <w:rPr>
          <w:rFonts w:hint="eastAsia" w:ascii="宋体" w:hAnsi="宋体"/>
          <w:b w:val="0"/>
          <w:bCs w:val="0"/>
          <w:color w:val="auto"/>
          <w:sz w:val="24"/>
          <w:szCs w:val="24"/>
          <w:highlight w:val="none"/>
        </w:rPr>
        <w:t xml:space="preserve">根据省财政厅《关于更</w:t>
      </w:r>
      <w:r>
        <w:rPr>
          <w:rFonts w:hint="eastAsia" w:ascii="宋体" w:hAnsi="宋体"/>
          <w:b w:val="0"/>
          <w:bCs w:val="0"/>
          <w:color w:val="auto"/>
          <w:sz w:val="24"/>
          <w:szCs w:val="24"/>
          <w:highlight w:val="none"/>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b w:val="0"/>
          <w:bCs w:val="0"/>
        </w:rPr>
      </w:r>
      <w:r/>
    </w:p>
    <w:p>
      <w:pPr>
        <w:ind w:left="0" w:firstLine="482"/>
        <w:keepLines w:val="0"/>
        <w:keepNext w:val="0"/>
        <w:pageBreakBefore w:val="0"/>
        <w:spacing w:line="360" w:lineRule="auto"/>
        <w:widowControl w:val="off"/>
        <w:tabs>
          <w:tab w:val="left" w:pos="900"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b w:val="0"/>
          <w:bCs w:val="0"/>
        </w:rPr>
      </w:r>
      <w:r/>
    </w:p>
    <w:p>
      <w:pPr>
        <w:ind w:left="0" w:firstLine="482"/>
        <w:keepLines w:val="0"/>
        <w:keepNext w:val="0"/>
        <w:pageBreakBefore w:val="0"/>
        <w:spacing w:line="360" w:lineRule="auto"/>
        <w:widowControl w:val="off"/>
        <w:tabs>
          <w:tab w:val="left" w:pos="900"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领取CA和办理电子签章（请至盐城市亭湖区政务服务中心二楼226CA办理窗口办理（联系电话：15051556883），具体联系方式见《苏采云系统供应商操作手册》（以下简称《操作手册》））、进行注册并按《操作手册》要求制作、上传电子投标文件。</w:t>
      </w:r>
      <w:r>
        <w:rPr>
          <w:b w:val="0"/>
          <w:bCs w:val="0"/>
        </w:rPr>
      </w:r>
      <w:r/>
    </w:p>
    <w:p>
      <w:pPr>
        <w:ind w:left="0" w:firstLine="482"/>
        <w:keepLines w:val="0"/>
        <w:keepNext w:val="0"/>
        <w:pageBreakBefore w:val="0"/>
        <w:spacing w:line="360" w:lineRule="auto"/>
        <w:widowControl w:val="off"/>
        <w:tabs>
          <w:tab w:val="left" w:pos="900" w:leader="none"/>
        </w:tabs>
        <w:rPr>
          <w:rFonts w:hint="eastAsia" w:ascii="宋体" w:hAnsi="宋体"/>
          <w:b w:val="0"/>
          <w:bCs w:val="0"/>
          <w:color w:val="auto"/>
          <w:sz w:val="24"/>
          <w:szCs w:val="24"/>
          <w:highlight w:val="none"/>
        </w:rPr>
      </w:pPr>
      <w:r>
        <w:rPr>
          <w:rFonts w:hint="eastAsia" w:ascii="宋体" w:hAnsi="宋体" w:eastAsia="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.投标人在使用系统进行投标的过程中如遇到涉及“苏采云”系统使用的任何问题，应在工作日上午9：00-11：30下午13：30-17：30期间致电技术支持热线咨询，联系电话：0519-86722805、0519-86617173。</w:t>
      </w:r>
      <w:r>
        <w:rPr>
          <w:b w:val="0"/>
          <w:bCs w:val="0"/>
        </w:rPr>
      </w:r>
      <w:r/>
    </w:p>
    <w:p>
      <w:pPr>
        <w:ind w:left="0" w:firstLine="482"/>
        <w:keepLines w:val="0"/>
        <w:keepNext w:val="0"/>
        <w:pageBreakBefore w:val="0"/>
        <w:spacing w:line="360" w:lineRule="auto"/>
        <w:widowControl w:val="off"/>
        <w:tabs>
          <w:tab w:val="left" w:pos="900" w:leader="none"/>
        </w:tabs>
        <w:rPr>
          <w:rFonts w:hint="eastAsia" w:ascii="宋体" w:hAnsi="宋体"/>
          <w:b w:val="0"/>
          <w:bCs w:val="0"/>
          <w:color w:val="auto"/>
          <w:sz w:val="24"/>
          <w:szCs w:val="24"/>
          <w:highlight w:val="none"/>
        </w:rPr>
      </w:pPr>
      <w:r>
        <w:rPr>
          <w:rFonts w:hint="eastAsia" w:ascii="宋体" w:hAnsi="宋体" w:eastAsia="宋体"/>
          <w:b w:val="0"/>
          <w:bCs w:val="0"/>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 有关本次招标的事项若存在变动或修改，敬请及时关注</w:t>
      </w:r>
      <w:r>
        <w:rPr>
          <w:rFonts w:hint="eastAsia" w:ascii="宋体" w:hAnsi="宋体" w:eastAsia="宋体"/>
          <w:b w:val="0"/>
          <w:bCs w:val="0"/>
          <w:color w:val="auto"/>
          <w:sz w:val="24"/>
          <w:szCs w:val="24"/>
          <w:highlight w:val="none"/>
          <w:lang w:eastAsia="zh-CN"/>
        </w:rPr>
        <w:t xml:space="preserve">盐城市政府采购中心</w:t>
      </w:r>
      <w:r>
        <w:rPr>
          <w:rFonts w:hint="eastAsia" w:ascii="宋体" w:hAnsi="宋体"/>
          <w:b w:val="0"/>
          <w:bCs w:val="0"/>
          <w:color w:val="auto"/>
          <w:sz w:val="24"/>
          <w:szCs w:val="24"/>
          <w:highlight w:val="none"/>
        </w:rPr>
        <w:t xml:space="preserve">在“江苏政府采购网”</w:t>
      </w:r>
      <w:r>
        <w:rPr>
          <w:rFonts w:hint="eastAsia" w:ascii="宋体" w:hAnsi="宋体" w:eastAsia="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“盐城市政府采购网”发布的更正公告。</w:t>
      </w:r>
      <w:r>
        <w:rPr>
          <w:b w:val="0"/>
          <w:bCs w:val="0"/>
        </w:rPr>
      </w:r>
      <w:r/>
    </w:p>
    <w:p>
      <w:pPr>
        <w:ind w:left="0" w:firstLine="482"/>
        <w:keepLines w:val="0"/>
        <w:keepNext w:val="0"/>
        <w:pageBreakBefore w:val="0"/>
        <w:spacing w:line="360" w:lineRule="auto"/>
        <w:widowControl w:val="off"/>
        <w:tabs>
          <w:tab w:val="left" w:pos="900" w:leader="none"/>
        </w:tabs>
        <w:rPr>
          <w:rFonts w:hint="eastAsia" w:ascii="宋体" w:hAnsi="宋体"/>
          <w:b/>
          <w:bCs/>
          <w:color w:val="auto"/>
          <w:sz w:val="24"/>
          <w:szCs w:val="24"/>
          <w:highlight w:val="none"/>
        </w:rPr>
      </w:pPr>
      <w:r>
        <w:rPr>
          <w:rFonts w:hint="eastAsia" w:ascii="宋体" w:hAnsi="宋体" w:eastAsia="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rPr>
        <w:t xml:space="preserve">. 本次招标不收取投标保证金</w:t>
      </w:r>
      <w:r>
        <w:rPr>
          <w:rFonts w:hint="eastAsia" w:ascii="宋体" w:hAnsi="宋体" w:eastAsia="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不收取质量保证金。</w:t>
      </w:r>
      <w:r/>
    </w:p>
    <w:p>
      <w:pPr>
        <w:numPr>
          <w:ilvl w:val="0"/>
          <w:numId w:val="3"/>
        </w:numPr>
        <w:ind w:left="0" w:right="0" w:firstLine="48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本次招标联系方式</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1.采购人信息</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称：射阳县妇幼保健院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址：射阳县幸福大道32号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人：杨浩然       </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联系方式：</w:t>
      </w:r>
      <w:r>
        <w:rPr>
          <w:rFonts w:hint="eastAsia" w:ascii="宋体" w:hAnsi="宋体" w:eastAsia="宋体" w:cs="宋体"/>
          <w:color w:val="auto"/>
          <w:sz w:val="24"/>
          <w:szCs w:val="24"/>
          <w:highlight w:val="none"/>
          <w:lang w:val="en-US" w:eastAsia="zh-CN"/>
        </w:rPr>
        <w:t xml:space="preserve">19812226669 </w:t>
      </w:r>
      <w:r>
        <w:rPr>
          <w:rFonts w:hint="eastAsia" w:ascii="宋体" w:hAnsi="宋体" w:eastAsia="宋体" w:cs="宋体"/>
          <w:b/>
          <w:bCs/>
          <w:color w:val="auto"/>
          <w:sz w:val="24"/>
          <w:szCs w:val="24"/>
          <w:highlight w:val="none"/>
          <w:lang w:val="en-US" w:eastAsia="zh-CN"/>
        </w:rPr>
        <w:t xml:space="preserve">   </w:t>
      </w:r>
      <w:bookmarkStart w:id="25" w:name="_Toc28359086"/>
      <w:r/>
      <w:bookmarkEnd w:id="25"/>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2.代理机构信息</w:t>
      </w:r>
      <w:r/>
    </w:p>
    <w:p>
      <w:pPr>
        <w:numPr>
          <w:ilvl w:val="0"/>
          <w:numId w:val="0"/>
        </w:numPr>
        <w:ind w:left="0" w:right="0"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    称：射阳县行政服务中心</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    址：射阳县合德镇幸福大道16号 </w:t>
      </w:r>
      <w:r/>
    </w:p>
    <w:p>
      <w:pPr>
        <w:numPr>
          <w:ilvl w:val="0"/>
          <w:numId w:val="0"/>
        </w:numPr>
        <w:ind w:left="0" w:right="0"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 系 人：杨工</w:t>
      </w:r>
      <w:r/>
    </w:p>
    <w:p>
      <w:pPr>
        <w:numPr>
          <w:ilvl w:val="0"/>
          <w:numId w:val="0"/>
        </w:numPr>
        <w:ind w:left="0" w:right="0"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联系方式：15715104898</w:t>
      </w:r>
      <w:r/>
    </w:p>
    <w:p>
      <w:pPr>
        <w:pStyle w:val="946"/>
        <w:spacing w:line="360" w:lineRule="auto"/>
        <w:rPr>
          <w:rFonts w:hint="eastAsia" w:ascii="黑体" w:hAnsi="黑体" w:eastAsia="黑体" w:cs="黑体"/>
          <w:color w:val="auto"/>
          <w:sz w:val="40"/>
          <w:szCs w:val="40"/>
          <w:highlight w:val="none"/>
        </w:rPr>
      </w:pPr>
      <w:r>
        <w:rPr>
          <w:rFonts w:hint="eastAsia" w:ascii="黑体" w:hAnsi="黑体" w:eastAsia="黑体" w:cs="黑体"/>
          <w:color w:val="auto"/>
          <w:sz w:val="40"/>
          <w:szCs w:val="40"/>
          <w:highlight w:val="none"/>
        </w:rPr>
        <w:t xml:space="preserve">第二章  </w:t>
      </w:r>
      <w:bookmarkEnd w:id="0"/>
      <w:r/>
      <w:bookmarkStart w:id="26" w:name="_Toc120614213"/>
      <w:r/>
      <w:bookmarkStart w:id="27" w:name="_Toc16938518"/>
      <w:r/>
      <w:bookmarkStart w:id="28" w:name="_Toc20823274"/>
      <w:r/>
      <w:bookmarkStart w:id="29" w:name="_Toc513029202"/>
      <w:r>
        <w:rPr>
          <w:rFonts w:hint="eastAsia" w:ascii="黑体" w:hAnsi="黑体" w:eastAsia="黑体" w:cs="黑体"/>
          <w:color w:val="auto"/>
          <w:sz w:val="40"/>
          <w:szCs w:val="40"/>
          <w:highlight w:val="none"/>
        </w:rPr>
        <w:t xml:space="preserve">投标人须知</w:t>
      </w:r>
      <w:bookmarkEnd w:id="26"/>
      <w:r/>
      <w:bookmarkEnd w:id="27"/>
      <w:r/>
      <w:bookmarkEnd w:id="28"/>
      <w:r/>
      <w:bookmarkEnd w:id="29"/>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30" w:name="_Toc513029203"/>
      <w:r/>
      <w:bookmarkStart w:id="31" w:name="_Toc120614214"/>
      <w:r/>
      <w:bookmarkStart w:id="32" w:name="_Toc16938519"/>
      <w:r/>
      <w:bookmarkStart w:id="33" w:name="_Toc20823275"/>
      <w:r/>
      <w:bookmarkStart w:id="34" w:name="_Toc462564067"/>
      <w:r/>
      <w:bookmarkStart w:id="35" w:name="_Toc513029207"/>
      <w:r/>
      <w:bookmarkStart w:id="36" w:name="_Toc16938523"/>
      <w:r/>
      <w:bookmarkStart w:id="37" w:name="_Toc20823279"/>
      <w:r>
        <w:rPr>
          <w:rFonts w:hint="eastAsia" w:ascii="宋体" w:hAnsi="宋体" w:eastAsia="宋体" w:cs="宋体"/>
          <w:b/>
          <w:bCs/>
          <w:color w:val="auto"/>
          <w:sz w:val="28"/>
          <w:szCs w:val="28"/>
          <w:highlight w:val="none"/>
          <w:lang w:val="en-US" w:eastAsia="zh-CN"/>
        </w:rPr>
        <w:t xml:space="preserve">一、总则</w:t>
      </w:r>
      <w:bookmarkEnd w:id="30"/>
      <w:r/>
      <w:bookmarkEnd w:id="31"/>
      <w:r/>
      <w:bookmarkEnd w:id="32"/>
      <w:r/>
      <w:bookmarkEnd w:id="33"/>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38" w:name="_Toc458694821"/>
      <w:r/>
      <w:bookmarkStart w:id="39" w:name="_Toc20823276"/>
      <w:r/>
      <w:bookmarkStart w:id="40" w:name="_Toc513029204"/>
      <w:r/>
      <w:bookmarkStart w:id="41" w:name="_Toc16938520"/>
      <w:r>
        <w:rPr>
          <w:rFonts w:hint="eastAsia" w:ascii="宋体" w:hAnsi="宋体" w:eastAsia="宋体" w:cs="宋体"/>
          <w:color w:val="auto"/>
          <w:sz w:val="24"/>
          <w:szCs w:val="24"/>
          <w:highlight w:val="none"/>
          <w:lang w:val="en-US" w:eastAsia="zh-CN"/>
        </w:rPr>
        <w:t xml:space="preserve">1</w:t>
      </w:r>
      <w:bookmarkEnd w:id="38"/>
      <w:r>
        <w:rPr>
          <w:rFonts w:hint="eastAsia" w:ascii="宋体" w:hAnsi="宋体" w:eastAsia="宋体" w:cs="宋体"/>
          <w:color w:val="auto"/>
          <w:sz w:val="24"/>
          <w:szCs w:val="24"/>
          <w:highlight w:val="none"/>
          <w:lang w:val="en-US" w:eastAsia="zh-CN"/>
        </w:rPr>
        <w:t xml:space="preserve">、招标方式</w:t>
      </w:r>
      <w:bookmarkEnd w:id="39"/>
      <w:r/>
      <w:bookmarkEnd w:id="40"/>
      <w:r/>
      <w:bookmarkEnd w:id="4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本次招标采取公开招标方式，本招标文件仅适用于招标公告中所述项目。</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42" w:name="_Toc16938521"/>
      <w:r/>
      <w:bookmarkStart w:id="43" w:name="_Toc20823277"/>
      <w:r/>
      <w:bookmarkStart w:id="44" w:name="_Toc513029205"/>
      <w:r>
        <w:rPr>
          <w:rFonts w:hint="eastAsia" w:ascii="宋体" w:hAnsi="宋体" w:eastAsia="宋体" w:cs="宋体"/>
          <w:color w:val="auto"/>
          <w:sz w:val="24"/>
          <w:szCs w:val="24"/>
          <w:highlight w:val="none"/>
          <w:lang w:val="en-US" w:eastAsia="zh-CN"/>
        </w:rPr>
        <w:t xml:space="preserve">2、合格的投标人</w:t>
      </w:r>
      <w:bookmarkEnd w:id="42"/>
      <w:r/>
      <w:bookmarkEnd w:id="43"/>
      <w:r/>
      <w:bookmarkEnd w:id="44"/>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2.1满足招标公告中供应商的资格要求的规定。</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满足本文件实质性条款的规定。</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45" w:name="_Toc20823278"/>
      <w:r/>
      <w:bookmarkStart w:id="46" w:name="_Toc16938522"/>
      <w:r/>
      <w:bookmarkStart w:id="47" w:name="_Toc513029206"/>
      <w:r>
        <w:rPr>
          <w:rFonts w:hint="eastAsia" w:ascii="宋体" w:hAnsi="宋体" w:eastAsia="宋体" w:cs="宋体"/>
          <w:color w:val="auto"/>
          <w:sz w:val="24"/>
          <w:szCs w:val="24"/>
          <w:highlight w:val="none"/>
          <w:lang w:val="en-US" w:eastAsia="zh-CN"/>
        </w:rPr>
        <w:t xml:space="preserve">3、适用法律</w:t>
      </w:r>
      <w:bookmarkEnd w:id="45"/>
      <w:r/>
      <w:bookmarkEnd w:id="46"/>
      <w:r/>
      <w:bookmarkEnd w:id="4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本次招标及由此产生的合同受中华人民共和国有关的法律法规制约和保护。</w:t>
      </w:r>
      <w:bookmarkEnd w:id="34"/>
      <w:r/>
      <w:bookmarkEnd w:id="35"/>
      <w:r/>
      <w:bookmarkEnd w:id="36"/>
      <w:r/>
      <w:bookmarkEnd w:id="3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4、投标费用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4.1投标人应自行承担所有与参加投标有关的费用，无论投标过程中的做法和结果如何，射阳县行政服务中心（以下简称集中采购中心）在任何情况下均无义务和责任承担这些费用。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4.2本次招标集中采购中心和采购人不收取标书工本费。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48" w:name="_Toc120614215"/>
      <w:r/>
      <w:bookmarkStart w:id="49" w:name="_Toc16938525"/>
      <w:r/>
      <w:bookmarkStart w:id="50" w:name="_Toc513029209"/>
      <w:r/>
      <w:bookmarkStart w:id="51" w:name="_Toc20823281"/>
      <w:r>
        <w:rPr>
          <w:rFonts w:hint="eastAsia" w:ascii="宋体" w:hAnsi="宋体" w:eastAsia="宋体" w:cs="宋体"/>
          <w:color w:val="auto"/>
          <w:sz w:val="24"/>
          <w:szCs w:val="24"/>
          <w:highlight w:val="none"/>
          <w:lang w:val="en-US" w:eastAsia="zh-CN"/>
        </w:rPr>
        <w:t xml:space="preserve">5、招标文件的约束力</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5.1投标人一旦参加本项目采购活动，即被认为接受了本招标文件的规定和约束，并且视为自招标公告期限届满之日起知道或应当知道自身权益是否受到了损害。</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二、招标文件</w:t>
      </w:r>
      <w:bookmarkEnd w:id="48"/>
      <w:r/>
      <w:bookmarkEnd w:id="49"/>
      <w:r/>
      <w:bookmarkEnd w:id="50"/>
      <w:r/>
      <w:bookmarkEnd w:id="5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52" w:name="_Toc513029210"/>
      <w:r/>
      <w:bookmarkStart w:id="53" w:name="_Toc20823282"/>
      <w:r/>
      <w:bookmarkStart w:id="54" w:name="_Toc16938526"/>
      <w:r>
        <w:rPr>
          <w:rFonts w:hint="eastAsia" w:ascii="宋体" w:hAnsi="宋体" w:eastAsia="宋体" w:cs="宋体"/>
          <w:color w:val="auto"/>
          <w:sz w:val="24"/>
          <w:szCs w:val="24"/>
          <w:highlight w:val="none"/>
          <w:lang w:val="en-US" w:eastAsia="zh-CN"/>
        </w:rPr>
        <w:t xml:space="preserve">6、招标文件构成</w:t>
      </w:r>
      <w:bookmarkEnd w:id="52"/>
      <w:r/>
      <w:bookmarkEnd w:id="53"/>
      <w:r/>
      <w:bookmarkEnd w:id="54"/>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 招标文件由以下部分组成：</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（1）招标公告</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（2）投标人须知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（3）合同文本</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（5）评标方法与评标标准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（6）投标文件格式</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请仔细检查招标文件是否齐全，如有缺漏请立即与集中采购中心联系解决。</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55" w:name="_Toc16938527"/>
      <w:r/>
      <w:bookmarkStart w:id="56" w:name="_Toc513029211"/>
      <w:r/>
      <w:bookmarkStart w:id="57" w:name="_Toc462564070"/>
      <w:r/>
      <w:bookmarkStart w:id="58" w:name="_Toc20823283"/>
      <w:r>
        <w:rPr>
          <w:rFonts w:hint="eastAsia" w:ascii="宋体" w:hAnsi="宋体" w:eastAsia="宋体" w:cs="宋体"/>
          <w:color w:val="auto"/>
          <w:sz w:val="24"/>
          <w:szCs w:val="24"/>
          <w:highlight w:val="none"/>
          <w:lang w:val="en-US" w:eastAsia="zh-CN"/>
        </w:rPr>
        <w:t xml:space="preserve">7、招标文件的澄清</w:t>
      </w:r>
      <w:bookmarkEnd w:id="55"/>
      <w:r/>
      <w:bookmarkEnd w:id="56"/>
      <w:r/>
      <w:bookmarkEnd w:id="57"/>
      <w:r/>
      <w:bookmarkEnd w:id="58"/>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7.1任何要求对招标文件进行澄清的投标人，应在投标截止期</w:t>
      </w:r>
      <w:r>
        <w:rPr>
          <w:rFonts w:hint="eastAsia" w:ascii="宋体" w:hAnsi="宋体" w:eastAsia="宋体" w:cs="宋体"/>
          <w:b/>
          <w:bCs/>
          <w:color w:val="auto"/>
          <w:sz w:val="24"/>
          <w:szCs w:val="24"/>
          <w:highlight w:val="none"/>
          <w:lang w:val="en-US" w:eastAsia="zh-CN"/>
        </w:rPr>
        <w:t xml:space="preserve">十日</w:t>
      </w:r>
      <w:r>
        <w:rPr>
          <w:rFonts w:hint="eastAsia" w:ascii="宋体" w:hAnsi="宋体" w:eastAsia="宋体" w:cs="宋体"/>
          <w:color w:val="auto"/>
          <w:sz w:val="24"/>
          <w:szCs w:val="24"/>
          <w:highlight w:val="none"/>
          <w:lang w:val="en-US" w:eastAsia="zh-CN"/>
        </w:rPr>
        <w:t xml:space="preserve">前按招标公告中的通讯地址，以书面形式通知集中采购中心。</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59" w:name="_Toc462564071"/>
      <w:r/>
      <w:bookmarkStart w:id="60" w:name="_Toc20823284"/>
      <w:r/>
      <w:bookmarkStart w:id="61" w:name="_Toc16938528"/>
      <w:r/>
      <w:bookmarkStart w:id="62" w:name="_Toc513029212"/>
      <w:r>
        <w:rPr>
          <w:rFonts w:hint="eastAsia" w:ascii="宋体" w:hAnsi="宋体" w:eastAsia="宋体" w:cs="宋体"/>
          <w:color w:val="auto"/>
          <w:sz w:val="24"/>
          <w:szCs w:val="24"/>
          <w:highlight w:val="none"/>
          <w:lang w:val="en-US" w:eastAsia="zh-CN"/>
        </w:rPr>
        <w:t xml:space="preserve">8、招标文件的修改</w:t>
      </w:r>
      <w:bookmarkEnd w:id="59"/>
      <w:r/>
      <w:bookmarkEnd w:id="60"/>
      <w:r/>
      <w:bookmarkEnd w:id="61"/>
      <w:r/>
      <w:bookmarkEnd w:id="6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8.1在投标截止时间前，集中采购中心可以对招标文件进行修改。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8.2集中采购中心有权按照法定的要求推迟投标截止日期和开标日期。</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8.3招标文件的修改将在江苏政府采购网公布，补充文件将作为招标文件的组成部分，并对投标人具有约束力。</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63" w:name="_Toc16938529"/>
      <w:r/>
      <w:bookmarkStart w:id="64" w:name="_Toc20823285"/>
      <w:r/>
      <w:bookmarkStart w:id="65" w:name="_Toc120614216"/>
      <w:r/>
      <w:bookmarkStart w:id="66" w:name="_Toc513029213"/>
      <w:r/>
      <w:bookmarkStart w:id="67" w:name="_Toc462564072"/>
      <w:r>
        <w:rPr>
          <w:rFonts w:hint="eastAsia" w:ascii="宋体" w:hAnsi="宋体" w:eastAsia="宋体" w:cs="宋体"/>
          <w:b/>
          <w:bCs/>
          <w:color w:val="auto"/>
          <w:sz w:val="28"/>
          <w:szCs w:val="28"/>
          <w:highlight w:val="none"/>
          <w:lang w:val="en-US" w:eastAsia="zh-CN"/>
        </w:rPr>
        <w:t xml:space="preserve">三、投标文件的编制</w:t>
      </w:r>
      <w:bookmarkEnd w:id="63"/>
      <w:r/>
      <w:bookmarkEnd w:id="64"/>
      <w:r/>
      <w:bookmarkEnd w:id="65"/>
      <w:r/>
      <w:bookmarkEnd w:id="66"/>
      <w:r/>
      <w:bookmarkEnd w:id="6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68" w:name="_Toc462564073"/>
      <w:r/>
      <w:bookmarkStart w:id="69" w:name="_Toc16938530"/>
      <w:r/>
      <w:bookmarkStart w:id="70" w:name="_Toc513029214"/>
      <w:r/>
      <w:bookmarkStart w:id="71" w:name="_Toc20823286"/>
      <w:r>
        <w:rPr>
          <w:rFonts w:hint="eastAsia" w:ascii="宋体" w:hAnsi="宋体" w:eastAsia="宋体" w:cs="宋体"/>
          <w:color w:val="auto"/>
          <w:sz w:val="24"/>
          <w:szCs w:val="24"/>
          <w:highlight w:val="none"/>
          <w:lang w:val="en-US" w:eastAsia="zh-CN"/>
        </w:rPr>
        <w:t xml:space="preserve">9、投标文件的语言及度量衡单位</w:t>
      </w:r>
      <w:bookmarkEnd w:id="68"/>
      <w:r/>
      <w:bookmarkEnd w:id="69"/>
      <w:r/>
      <w:bookmarkEnd w:id="70"/>
      <w:r/>
      <w:bookmarkEnd w:id="7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9.1投标人提交的投标文件以及投标人与集中采购中心就有关投标的所有来往通知、函件和文件均应使用简体中文。</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9.2除技术性能另有规定外，投标文件所使用的度量衡单位，均须采用国家法定计量单位。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.3投标文件所有材料中有盖章要求的须加盖相应单位公章（印），有签字要求的须由相应人员签字。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对所提供投标材料的真实性负责。招标人有权在任何阶段对所有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投标人应在投标文件中写清相应的项目编号、项目名称、</w:t>
      </w:r>
      <w:r>
        <w:rPr>
          <w:rFonts w:hint="eastAsia" w:ascii="宋体" w:hAnsi="宋体" w:eastAsia="宋体" w:cs="宋体"/>
          <w:color w:val="auto"/>
          <w:sz w:val="24"/>
          <w:szCs w:val="24"/>
          <w:highlight w:val="none"/>
          <w:lang w:val="en-US" w:eastAsia="zh-CN"/>
        </w:rPr>
        <w:t xml:space="preserve">所投包号、</w:t>
      </w:r>
      <w:r>
        <w:rPr>
          <w:rFonts w:hint="eastAsia" w:ascii="宋体" w:hAnsi="宋体" w:eastAsia="宋体" w:cs="宋体"/>
          <w:color w:val="auto"/>
          <w:sz w:val="24"/>
          <w:szCs w:val="24"/>
          <w:highlight w:val="none"/>
        </w:rPr>
        <w:t xml:space="preserve"> 投标人全称等信息。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除投标人对错漏处做必要修改外，投标文件不得行间插字、涂改或增删，如有修改错漏处，必须由投标文件签署人（法定代表人或授权代表）签字或盖章。</w:t>
      </w:r>
      <w:r/>
    </w:p>
    <w:p>
      <w:pPr>
        <w:pStyle w:val="798"/>
        <w:rPr>
          <w:rFonts w:hint="eastAsia"/>
          <w:color w:val="auto"/>
          <w:highlight w:val="none"/>
          <w:lang w:val="en-US" w:eastAsia="zh-CN"/>
        </w:rPr>
      </w:pPr>
      <w:r>
        <w:rPr>
          <w:rFonts w:hint="eastAsia"/>
          <w:color w:val="auto"/>
          <w:highlight w:val="none"/>
          <w:lang w:val="en-US" w:eastAsia="zh-CN"/>
        </w:rPr>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72" w:name="_Toc16938531"/>
      <w:r/>
      <w:bookmarkStart w:id="73" w:name="_Toc20823287"/>
      <w:r/>
      <w:bookmarkStart w:id="74" w:name="_Toc462564074"/>
      <w:r/>
      <w:bookmarkStart w:id="75" w:name="_Toc513029215"/>
      <w:r>
        <w:rPr>
          <w:rFonts w:hint="eastAsia" w:ascii="宋体" w:hAnsi="宋体" w:eastAsia="宋体" w:cs="宋体"/>
          <w:color w:val="auto"/>
          <w:sz w:val="24"/>
          <w:szCs w:val="24"/>
          <w:highlight w:val="none"/>
          <w:lang w:val="en-US" w:eastAsia="zh-CN"/>
        </w:rPr>
        <w:t xml:space="preserve">10、投标文件构成</w:t>
      </w:r>
      <w:bookmarkEnd w:id="72"/>
      <w:r/>
      <w:bookmarkEnd w:id="73"/>
      <w:r/>
      <w:bookmarkEnd w:id="74"/>
      <w:r/>
      <w:bookmarkEnd w:id="75"/>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76" w:name="_Toc49090507"/>
      <w:r/>
      <w:bookmarkStart w:id="77" w:name="_Toc14577354"/>
      <w:r/>
      <w:bookmarkStart w:id="78" w:name="_Toc49090509"/>
      <w:r/>
      <w:bookmarkStart w:id="79" w:name="_Toc513029219"/>
      <w:r/>
      <w:bookmarkStart w:id="80" w:name="_Toc513029216"/>
      <w:r/>
      <w:bookmarkStart w:id="81" w:name="_Toc14577357"/>
      <w:r>
        <w:rPr>
          <w:rFonts w:hint="eastAsia" w:ascii="宋体" w:hAnsi="宋体" w:eastAsia="宋体" w:cs="宋体"/>
          <w:color w:val="auto"/>
          <w:sz w:val="24"/>
          <w:szCs w:val="24"/>
          <w:highlight w:val="none"/>
          <w:lang w:val="en-US" w:eastAsia="zh-CN"/>
        </w:rPr>
        <w:t xml:space="preserve">11、证明投标人及投标标的符合招标文件规定的文件</w:t>
      </w:r>
      <w:bookmarkEnd w:id="76"/>
      <w:r/>
      <w:bookmarkEnd w:id="77"/>
      <w:r/>
      <w:bookmarkEnd w:id="78"/>
      <w:r/>
      <w:bookmarkEnd w:id="79"/>
      <w:r/>
      <w:bookmarkEnd w:id="80"/>
      <w:r/>
      <w:bookmarkEnd w:id="8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82" w:name="_Toc49090508"/>
      <w:r/>
      <w:bookmarkStart w:id="83" w:name="_Toc14577355"/>
      <w:r>
        <w:rPr>
          <w:rFonts w:hint="eastAsia" w:ascii="宋体" w:hAnsi="宋体" w:eastAsia="宋体" w:cs="宋体"/>
          <w:color w:val="auto"/>
          <w:sz w:val="24"/>
          <w:szCs w:val="24"/>
          <w:highlight w:val="none"/>
          <w:lang w:val="en-US" w:eastAsia="zh-CN"/>
        </w:rPr>
        <w:t xml:space="preserve">11.1投标人应按照法律、法规、规章和规范性文件以及招标文件要求提交证明文件，证明其及投标标的符合招标文件规定。</w:t>
      </w:r>
      <w:bookmarkEnd w:id="82"/>
      <w:r/>
      <w:bookmarkEnd w:id="83"/>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11.2招标文件对证明文件无明确形式要求的，证明文件可以以文字资料、图纸和数据等形式提交。</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12、投标分项报价表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12.1投标人应按照招标文件规定格式填报投标分项报价表。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13、技术要求响应及偏离表、商务要求响应及偏离表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13.1投标人需对招标文件中的技术要求与商务要求逐项作出响应或偏离，并说明原因。</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13.2投标人可在投标文件中提供认为需要的其他技术文件或说明。</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84" w:name="_Toc14577359"/>
      <w:r/>
      <w:bookmarkStart w:id="85" w:name="_Toc49090510"/>
      <w:r>
        <w:rPr>
          <w:rFonts w:hint="eastAsia" w:ascii="宋体" w:hAnsi="宋体" w:eastAsia="宋体" w:cs="宋体"/>
          <w:color w:val="auto"/>
          <w:sz w:val="24"/>
          <w:szCs w:val="24"/>
          <w:highlight w:val="none"/>
          <w:lang w:val="en-US" w:eastAsia="zh-CN"/>
        </w:rPr>
        <w:t xml:space="preserve">14、投标函和开标一览表</w:t>
      </w:r>
      <w:bookmarkEnd w:id="84"/>
      <w:r/>
      <w:bookmarkEnd w:id="85"/>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14.1投标人应按照招标文件中提供的格式完整、正确填写投标函、开标一览表。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86" w:name="_Toc14577360"/>
      <w:r/>
      <w:bookmarkStart w:id="87" w:name="_Toc49090511"/>
      <w:r>
        <w:rPr>
          <w:rFonts w:hint="eastAsia" w:ascii="宋体" w:hAnsi="宋体" w:eastAsia="宋体" w:cs="宋体"/>
          <w:color w:val="auto"/>
          <w:sz w:val="24"/>
          <w:szCs w:val="24"/>
          <w:highlight w:val="none"/>
          <w:lang w:val="en-US" w:eastAsia="zh-CN"/>
        </w:rPr>
        <w:t xml:space="preserve">15、投标有效期</w:t>
      </w:r>
      <w:bookmarkEnd w:id="86"/>
      <w:r/>
      <w:bookmarkEnd w:id="8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15.1投标有效期为集中采购中心规定的开标之日后六十（60）天。投标有效期比规定短的将被视为未实质性响应招标文件而予以拒绝。</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16、投标有效期的延长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在特殊情况下，集中采购中心于原投标有效期满之前，可向投标人提出延长投标有效期的要求。这种要求与答复均应采用书面形式。投标人可以拒绝集中采购中心的这一要求而放弃投标。同意延长投标有效期的投标人既不能要求也不允许修改其投标文件，同时受投标有效期约束的所有权利与义务均延长至新的有效期。</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88" w:name="_Toc16938540"/>
      <w:r/>
      <w:bookmarkStart w:id="89" w:name="_Toc20823296"/>
      <w:r/>
      <w:bookmarkStart w:id="90" w:name="_Toc513029224"/>
      <w:r/>
      <w:bookmarkStart w:id="91" w:name="_Toc120614217"/>
      <w:r>
        <w:rPr>
          <w:rFonts w:hint="eastAsia" w:ascii="宋体" w:hAnsi="宋体" w:eastAsia="宋体" w:cs="宋体"/>
          <w:b/>
          <w:bCs/>
          <w:color w:val="auto"/>
          <w:sz w:val="28"/>
          <w:szCs w:val="28"/>
          <w:highlight w:val="none"/>
          <w:lang w:val="en-US" w:eastAsia="zh-CN"/>
        </w:rPr>
        <w:t xml:space="preserve">四、投标文件的递交</w:t>
      </w:r>
      <w:bookmarkEnd w:id="88"/>
      <w:r/>
      <w:bookmarkEnd w:id="89"/>
      <w:r/>
      <w:bookmarkEnd w:id="90"/>
      <w:r/>
      <w:bookmarkEnd w:id="9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92" w:name="_Toc513029225"/>
      <w:r/>
      <w:bookmarkStart w:id="93" w:name="_Toc462564084"/>
      <w:r/>
      <w:bookmarkStart w:id="94" w:name="_Toc20823297"/>
      <w:r/>
      <w:bookmarkStart w:id="95" w:name="_Toc16938541"/>
      <w:r>
        <w:rPr>
          <w:rFonts w:hint="eastAsia" w:ascii="宋体" w:hAnsi="宋体" w:eastAsia="宋体" w:cs="宋体"/>
          <w:color w:val="auto"/>
          <w:sz w:val="24"/>
          <w:szCs w:val="24"/>
          <w:highlight w:val="none"/>
          <w:lang w:val="en-US" w:eastAsia="zh-CN"/>
        </w:rPr>
        <w:t xml:space="preserve">17、投标文件</w:t>
      </w:r>
      <w:bookmarkEnd w:id="92"/>
      <w:r/>
      <w:bookmarkEnd w:id="93"/>
      <w:r/>
      <w:bookmarkEnd w:id="94"/>
      <w:r/>
      <w:bookmarkEnd w:id="95"/>
      <w:r>
        <w:rPr>
          <w:rFonts w:hint="eastAsia" w:ascii="宋体" w:hAnsi="宋体" w:eastAsia="宋体" w:cs="宋体"/>
          <w:color w:val="auto"/>
          <w:sz w:val="24"/>
          <w:szCs w:val="24"/>
          <w:highlight w:val="none"/>
          <w:lang w:val="en-US" w:eastAsia="zh-CN"/>
        </w:rPr>
        <w:t xml:space="preserve">的递交</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 电子投标文件的递交</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投标人应当按照《操作手册》规定，在投标截止时间前制作并上传电子投标文件。</w:t>
      </w:r>
      <w:bookmarkStart w:id="96" w:name="_Toc20823298"/>
      <w:r/>
      <w:bookmarkEnd w:id="96"/>
      <w:r/>
      <w:bookmarkStart w:id="97" w:name="_Toc16938542"/>
      <w:r/>
      <w:bookmarkEnd w:id="9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18、投标截止时间</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18.1投标人上传电子投标文件的时间不得迟于招标公告中规定的投标截止时间。</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18.2集中采购中心可以按照规定，通过修改招标文件酌情延长投标截止时间，在此情况下，投标人的所有权利和义务以及投标人受制的截止时间均应以延长后新的截止时间为准。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98" w:name="_Toc513029227"/>
      <w:r/>
      <w:bookmarkStart w:id="99" w:name="_Toc16938543"/>
      <w:r/>
      <w:bookmarkStart w:id="100" w:name="_Toc20823299"/>
      <w:r>
        <w:rPr>
          <w:rFonts w:hint="eastAsia" w:ascii="宋体" w:hAnsi="宋体" w:eastAsia="宋体" w:cs="宋体"/>
          <w:color w:val="auto"/>
          <w:sz w:val="24"/>
          <w:szCs w:val="24"/>
          <w:highlight w:val="none"/>
          <w:lang w:val="en-US" w:eastAsia="zh-CN"/>
        </w:rPr>
        <w:t xml:space="preserve">19、投标文件</w:t>
      </w:r>
      <w:bookmarkEnd w:id="98"/>
      <w:r/>
      <w:bookmarkEnd w:id="99"/>
      <w:r/>
      <w:bookmarkEnd w:id="100"/>
      <w:r>
        <w:rPr>
          <w:rFonts w:hint="eastAsia" w:ascii="宋体" w:hAnsi="宋体" w:eastAsia="宋体" w:cs="宋体"/>
          <w:color w:val="auto"/>
          <w:sz w:val="24"/>
          <w:szCs w:val="24"/>
          <w:highlight w:val="none"/>
          <w:lang w:val="en-US" w:eastAsia="zh-CN"/>
        </w:rPr>
        <w:t xml:space="preserve">的拒收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19.1集中采购中心拒绝接收在其规定的投标截止时间后上传的任何投标文件。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01" w:name="_Toc20823300"/>
      <w:r/>
      <w:bookmarkStart w:id="102" w:name="_Toc513029228"/>
      <w:r/>
      <w:bookmarkStart w:id="103" w:name="_Toc16938544"/>
      <w:r>
        <w:rPr>
          <w:rFonts w:hint="eastAsia" w:ascii="宋体" w:hAnsi="宋体" w:eastAsia="宋体" w:cs="宋体"/>
          <w:color w:val="auto"/>
          <w:sz w:val="24"/>
          <w:szCs w:val="24"/>
          <w:highlight w:val="none"/>
          <w:lang w:val="en-US" w:eastAsia="zh-CN"/>
        </w:rPr>
        <w:t xml:space="preserve">20、投标文件的撤回和修改</w:t>
      </w:r>
      <w:bookmarkEnd w:id="101"/>
      <w:r/>
      <w:bookmarkEnd w:id="102"/>
      <w:r/>
      <w:bookmarkEnd w:id="103"/>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20.1投标文件的撤回</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21.1.1电子投标文件的撤回</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投标人可在投标截止时间前，撤回其电子投标文件，具体操作方法见《操作手册》。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21.1.2投标人撤回电子投标文件，则认为其不再参与本项目投标活动。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 投标文件的修改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20.2.1投标人可在投标截止时间前，对其电子投标文件进行修改，具体操作方法见《操作手册》。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20.2.2在投标截止时间之后，投标人不得对其电子投标文件作任何修改。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20.3在投标截止时间至招标文件中规定的投标有效期满之间的这段时间内，投标人不得撤回其投标。</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104" w:name="_Toc120614218"/>
      <w:r/>
      <w:bookmarkStart w:id="105" w:name="_Toc513029229"/>
      <w:r/>
      <w:bookmarkStart w:id="106" w:name="_Toc20823301"/>
      <w:r/>
      <w:bookmarkStart w:id="107" w:name="_Toc16938545"/>
      <w:r>
        <w:rPr>
          <w:rFonts w:hint="eastAsia" w:ascii="宋体" w:hAnsi="宋体" w:eastAsia="宋体" w:cs="宋体"/>
          <w:b/>
          <w:bCs/>
          <w:color w:val="auto"/>
          <w:sz w:val="28"/>
          <w:szCs w:val="28"/>
          <w:highlight w:val="none"/>
          <w:lang w:val="en-US" w:eastAsia="zh-CN"/>
        </w:rPr>
        <w:t xml:space="preserve">五、开标与评标</w:t>
      </w:r>
      <w:bookmarkEnd w:id="104"/>
      <w:r/>
      <w:bookmarkEnd w:id="105"/>
      <w:r/>
      <w:bookmarkEnd w:id="106"/>
      <w:r/>
      <w:bookmarkEnd w:id="10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08" w:name="_Toc16938546"/>
      <w:r/>
      <w:bookmarkStart w:id="109" w:name="_Toc20823302"/>
      <w:r/>
      <w:bookmarkStart w:id="110" w:name="_Toc513029230"/>
      <w:r>
        <w:rPr>
          <w:rFonts w:hint="eastAsia" w:ascii="宋体" w:hAnsi="宋体" w:eastAsia="宋体" w:cs="宋体"/>
          <w:color w:val="auto"/>
          <w:sz w:val="24"/>
          <w:szCs w:val="24"/>
          <w:highlight w:val="none"/>
          <w:lang w:val="en-US" w:eastAsia="zh-CN"/>
        </w:rPr>
        <w:t xml:space="preserve">21、开标</w:t>
      </w:r>
      <w:bookmarkEnd w:id="108"/>
      <w:r/>
      <w:bookmarkEnd w:id="109"/>
      <w:r/>
      <w:bookmarkEnd w:id="110"/>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21.1集中采购中心将在招标公告中规定的时间和地点组织公开开标。投标人应当按照《操作手册》规定，参加开标活动和在苏采云系统规定的时间内对投标文件进行解密。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21.2开标仪式由集中采购中心组织。苏采云系统将自动对项目进行开标，并宣布各投标人名称和投标价格。</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21.3投标人在开标过程中涉及到的投标文件解密、开标结果确认等工作，应按照《操作手册》规定执行。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21.4投标人如果对开标过程和开标记录有疑义，应当根据《操作手册》规定提出，如苏采云系统中《开标记录表》宣布后5分钟内未提出的，视同认可开标结果。</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11" w:name="_Toc16938547"/>
      <w:r/>
      <w:bookmarkStart w:id="112" w:name="_Toc513029231"/>
      <w:r/>
      <w:bookmarkStart w:id="113" w:name="_Toc20823303"/>
      <w:r>
        <w:rPr>
          <w:rFonts w:hint="eastAsia" w:ascii="宋体" w:hAnsi="宋体" w:eastAsia="宋体" w:cs="宋体"/>
          <w:color w:val="auto"/>
          <w:sz w:val="24"/>
          <w:szCs w:val="24"/>
          <w:highlight w:val="none"/>
          <w:lang w:val="en-US" w:eastAsia="zh-CN"/>
        </w:rPr>
        <w:t xml:space="preserve">22、评标委员会</w:t>
      </w:r>
      <w:bookmarkEnd w:id="111"/>
      <w:r/>
      <w:bookmarkEnd w:id="112"/>
      <w:r/>
      <w:bookmarkEnd w:id="113"/>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22.1开标后，集中采购中心将立即组织评标委员会（以下简称评委会）进行评标。</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22.2评委会由采购人代表和有关技术、经济等方面的专家组成，且人员构成符合政府采购有关规定。</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22.3评委会独立工作，负责评审所有投标文件并确定中标侯选人。</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23、评标过程的保密与公正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23.1凡是与审查、澄清、评价和比较投标的有关资料以及授标建议等，采购人、评委、集中采购中心均不得向投标人或与评标无关的其他人员透露。</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23.2在评标过程中，投标人不得以任何行为影响评标过程，否则其投标文件将被作为无效投标文件。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23.3集中采购中心和评标委员会不向未中标的投标人解释未中标原因，也不公布评标过程中的相关细节。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23.4采用综合评分法的项目，未中标的投标人可于中标结果公告期限届满之日起通过苏采云系统查看自己的评审得分及排序情况。</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14" w:name="_Toc20823304"/>
      <w:r/>
      <w:bookmarkStart w:id="115" w:name="_Toc513029232"/>
      <w:r/>
      <w:bookmarkStart w:id="116" w:name="_Toc16938548"/>
      <w:r>
        <w:rPr>
          <w:rFonts w:hint="eastAsia" w:ascii="宋体" w:hAnsi="宋体" w:eastAsia="宋体" w:cs="宋体"/>
          <w:color w:val="auto"/>
          <w:sz w:val="24"/>
          <w:szCs w:val="24"/>
          <w:highlight w:val="none"/>
          <w:lang w:val="en-US" w:eastAsia="zh-CN"/>
        </w:rPr>
        <w:t xml:space="preserve">24、投标文件的澄清</w:t>
      </w:r>
      <w:bookmarkEnd w:id="114"/>
      <w:r/>
      <w:bookmarkEnd w:id="115"/>
      <w:r/>
      <w:bookmarkEnd w:id="116"/>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24.1评标期间，评委会对投标文件中含义不明确、同类问题表述不一致或者有明显文字和计算错误的内容 ，有权要求投标人作出必要的澄清、说明或者补正。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评标委员会并非对每个投标人都做澄清要求。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24.3接到评委会澄清、说明和补正要求的投标人如未按规定做出澄清、说明和补正，其风险由投标人自行承担。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17" w:name="_Toc20823305"/>
      <w:r/>
      <w:bookmarkStart w:id="118" w:name="_Toc513029233"/>
      <w:r/>
      <w:bookmarkStart w:id="119" w:name="_Toc16938549"/>
      <w:r>
        <w:rPr>
          <w:rFonts w:hint="eastAsia" w:ascii="宋体" w:hAnsi="宋体" w:eastAsia="宋体" w:cs="宋体"/>
          <w:color w:val="auto"/>
          <w:sz w:val="24"/>
          <w:szCs w:val="24"/>
          <w:highlight w:val="none"/>
          <w:lang w:val="en-US" w:eastAsia="zh-CN"/>
        </w:rPr>
        <w:t xml:space="preserve">25、对投标文件的初审</w:t>
      </w:r>
      <w:bookmarkEnd w:id="117"/>
      <w:r/>
      <w:bookmarkEnd w:id="118"/>
      <w:r/>
      <w:bookmarkEnd w:id="119"/>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25.1投标文件初审分为资格审查和符合性审查。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25.1.1资格审查：依据法律法规和招标文件的规定，由采购人对投标文件中的资格证明文件进行审查。资格审查的结论，采购人以书面形式向评委会进行反馈。</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采购人在进行资格性审查的同时，将在“信用中国”网站（www.creditchina.gov.cn）查询投标人的信用记录，以确定投标人是否具备投标资格,查询结果留存并归档。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25.1.3未通过资格审查或符合性审查的投标人，集中采购中心将在苏采云系统中告知未通过资格审查或符合性审查的原因，评标结束后，集中采购中心将不再告知未通过资格审查和符合性审查的原因。</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集中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25.3如果投标文件实质上没有响应招标文件的要求，评委会将予以拒绝，投标人不得通过修改或撤销不合要求的偏离或保留而使其投标成为实质性响应的投标。</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25.4评委会将对确定为实质性响应的投标进行进一步审核，确定其是否有计算上或累加上的算术错误，修正错误的原则如下：</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20" w:name="_Toc513029234"/>
      <w:r/>
      <w:bookmarkStart w:id="121" w:name="_Toc20823306"/>
      <w:r/>
      <w:bookmarkStart w:id="122" w:name="_Toc16938550"/>
      <w:r>
        <w:rPr>
          <w:rFonts w:hint="eastAsia" w:ascii="宋体" w:hAnsi="宋体" w:eastAsia="宋体" w:cs="宋体"/>
          <w:color w:val="auto"/>
          <w:sz w:val="24"/>
          <w:szCs w:val="24"/>
          <w:highlight w:val="none"/>
          <w:lang w:val="en-US" w:eastAsia="zh-CN"/>
        </w:rPr>
        <w:t xml:space="preserve">25.6投标人在开、评标全过程中应保持通讯畅通，及时登录苏采云系统查阅、答复相关信息，并安排专人与集中采购中心及评标委员会联系。</w:t>
      </w:r>
      <w:bookmarkEnd w:id="120"/>
      <w:r/>
      <w:bookmarkEnd w:id="121"/>
      <w:r/>
      <w:bookmarkEnd w:id="12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26、无效投标条款和废标条款</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23" w:name="_Toc513029235"/>
      <w:r/>
      <w:bookmarkStart w:id="124" w:name="_Toc16938551"/>
      <w:r/>
      <w:bookmarkStart w:id="125" w:name="_Toc20823307"/>
      <w:r>
        <w:rPr>
          <w:rFonts w:hint="eastAsia" w:ascii="宋体" w:hAnsi="宋体" w:eastAsia="宋体" w:cs="宋体"/>
          <w:color w:val="auto"/>
          <w:sz w:val="24"/>
          <w:szCs w:val="24"/>
          <w:highlight w:val="none"/>
          <w:lang w:val="en-US" w:eastAsia="zh-CN"/>
        </w:rPr>
        <w:t xml:space="preserve">26.1无效投标条款</w:t>
      </w:r>
      <w:bookmarkEnd w:id="123"/>
      <w:r/>
      <w:bookmarkEnd w:id="124"/>
      <w:r/>
      <w:bookmarkEnd w:id="125"/>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26.1.1投标人在苏采云系统规定的时间内未成功解密电子投标文件的。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26.1.2投标人未按照招标文件要求上传电子投标文件的。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26.1.3同一投标人提交两个（含两个）以上不同的投标报价的。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26.1.4投标人不具备招标文件中规定资格要求的。</w:t>
      </w:r>
      <w:bookmarkStart w:id="161" w:name="_GoBack"/>
      <w:r/>
      <w:bookmarkEnd w:id="161"/>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26.1.5投标人的报价超过了采购预算或最高限价的。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26.1.6未通过符合性审查的。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26.1.7不符合招标文件中规定的实质性要求和条件的（本招标文件中斜体且有下划线部分为实质性要求和条件）。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26.1.9投标文件含有采购人不能接受的附加条件的。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26.1.11投标文件未按照招标文件要求加盖CA电子公章的。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26.1.12其他法律、法规及本招标文件规定的属无效投标的情形。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26.2废标条款</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26.2.1符合专业条件的供应商或者对招标文件作实质响应的供应商不足三家的。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26.2.2出现影响采购公正的违法、违规行为的。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26.2.3因重大变故，采购任务取消的。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26.2.4评标委员会认定招标文件存在歧义、重大缺陷导致评审工作无法进行。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26.2.5因苏采云系统系统故障原因造成开标不成功的。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 投标截止时间结束后参加投标的供应商不足三家的处理：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126" w:name="_Toc120614219"/>
      <w:r>
        <w:rPr>
          <w:rFonts w:hint="eastAsia" w:ascii="宋体" w:hAnsi="宋体" w:eastAsia="宋体" w:cs="宋体"/>
          <w:b/>
          <w:bCs/>
          <w:color w:val="auto"/>
          <w:sz w:val="28"/>
          <w:szCs w:val="28"/>
          <w:highlight w:val="none"/>
          <w:lang w:val="en-US" w:eastAsia="zh-CN"/>
        </w:rPr>
        <w:t xml:space="preserve">六、定标</w:t>
      </w:r>
      <w:bookmarkEnd w:id="126"/>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27" w:name="_Toc20823310"/>
      <w:r/>
      <w:bookmarkStart w:id="128" w:name="_Toc513029238"/>
      <w:r/>
      <w:bookmarkStart w:id="129" w:name="_Toc16938554"/>
      <w:r>
        <w:rPr>
          <w:rFonts w:hint="eastAsia" w:ascii="宋体" w:hAnsi="宋体" w:eastAsia="宋体" w:cs="宋体"/>
          <w:color w:val="auto"/>
          <w:sz w:val="24"/>
          <w:szCs w:val="24"/>
          <w:highlight w:val="none"/>
          <w:lang w:val="en-US" w:eastAsia="zh-CN"/>
        </w:rPr>
        <w:t xml:space="preserve">27、</w:t>
      </w:r>
      <w:bookmarkEnd w:id="127"/>
      <w:r>
        <w:rPr>
          <w:rFonts w:hint="eastAsia" w:ascii="宋体" w:hAnsi="宋体" w:eastAsia="宋体" w:cs="宋体"/>
          <w:color w:val="auto"/>
          <w:sz w:val="24"/>
          <w:szCs w:val="24"/>
          <w:highlight w:val="none"/>
          <w:lang w:val="en-US" w:eastAsia="zh-CN"/>
        </w:rPr>
        <w:t xml:space="preserve">确定</w:t>
      </w:r>
      <w:bookmarkEnd w:id="128"/>
      <w:r/>
      <w:bookmarkEnd w:id="129"/>
      <w:r>
        <w:rPr>
          <w:rFonts w:hint="eastAsia" w:ascii="宋体" w:hAnsi="宋体" w:eastAsia="宋体" w:cs="宋体"/>
          <w:color w:val="auto"/>
          <w:sz w:val="24"/>
          <w:szCs w:val="24"/>
          <w:highlight w:val="none"/>
          <w:lang w:val="en-US" w:eastAsia="zh-CN"/>
        </w:rPr>
        <w:t xml:space="preserve">中标单位</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27.1中标候选人的选取原则和数量见招标文件第五章规定。 </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27.2采购人应根据评委会推荐的中标候选人确定中标人。</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27.3集中采购中心将在“江苏政府采购网”</w:t>
      </w:r>
      <w:r>
        <w:rPr>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lang w:val="en-US" w:eastAsia="zh-CN"/>
        </w:rPr>
        <w:t xml:space="preserve">“盐城市政府采购网”发布中标公告，公告期限为1个工作日。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27.4若有充分证据证明，中标人出现下列情况之一的，一经查实，将被取消中标资格：</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27.4.1提供虚假材料谋取中标的。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27.4.2向采购人、集中采购中心行贿或者提供其他不正当利益的。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27.4.3属于本文件规定的无效条件，但在评标过程中又未被评委会发现的。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27.4.4与采购人或者其他供应商恶意串通的。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27.4.5采取不正当手段诋毁、排挤其他供应商的。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30" w:name="_Toc200451960"/>
      <w:r>
        <w:rPr>
          <w:rFonts w:hint="eastAsia" w:ascii="宋体" w:hAnsi="宋体" w:eastAsia="宋体" w:cs="宋体"/>
          <w:color w:val="auto"/>
          <w:sz w:val="24"/>
          <w:szCs w:val="24"/>
          <w:highlight w:val="none"/>
          <w:lang w:val="en-US" w:eastAsia="zh-CN"/>
        </w:rPr>
        <w:t xml:space="preserve">27.5 有下列情形之一的，视为投标人串通投标，投标无效：</w:t>
      </w:r>
      <w:bookmarkEnd w:id="130"/>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27.5.1不同投标人的投标文件由同一单位或者个人编制。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27.5.2不同投标人委托同一单位或者个人办理投标事宜。</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27.5.3不同投标人的投标文件载明的项目管理成员或者联系人员为同一人。</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27.5.4不同投标人的投标文件异常一致或者投标报价呈规律性差异。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28、质疑处理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28.1提出质疑的供应商应当是参与所质疑项目采购活动的供应商。潜在供应商依法获取其可质疑的采购文件的，可以对采购文件提出质疑。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供应商认为采购文件、采购过程和采购结果使自己的权益受到损害的，可以在知道或应知其权益受到损害之日起七个工作日内，以书面形式根据下述28.4条款的规定向集中采购中心或采购人提出质疑。上述应知其权益受到损害之日，是指：</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28.2.1对可以质疑的采购文件提出质疑的，为收到采购文件之日或者采购文件公告期限届满之日；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28.2.2对采购过程提出质疑的，为各采购程序环节结束之日；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28.2.3对中标或者成交结果提出质疑的，为中标或者成交结果公告期限届满之日。</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供应商应当在法定质疑期内一次性提出针对同一采购程序环节的质疑。供应商如在法定期限内对同一采购程序环节提出多次质疑的，集中采购中心、采购人将只对供应商第一次质疑作出答复。</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集中采购中心提出，由集中采购中心负责答复。</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集中采购中心及采购人只接收以纸质原件形式送达的质疑,建议供应商尽量通过邮寄方式提交质疑（采购人和集中采购中心不接受未填写快递运单的快件）。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质疑接收部门为受理处，联系地址：</w:t>
      </w:r>
      <w:r>
        <w:rPr>
          <w:rFonts w:hint="eastAsia" w:ascii="宋体" w:hAnsi="宋体"/>
          <w:color w:val="auto"/>
          <w:sz w:val="24"/>
          <w:szCs w:val="24"/>
          <w:highlight w:val="none"/>
        </w:rPr>
        <w:t xml:space="preserve">盐城市射阳县幸福大道16号（射阳县市民中心），联系电话：0515-82391711</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 以下情形的质疑不予受理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28.5.1内容不符合《政府采购质疑和投诉办法》第十二条规定的质疑。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28.5.2超出政府采购法定期限的质疑。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28.5.3以传真、电子邮件等方式递交的非原件形式的质疑。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28.5.4未参加投标活动的供应商或在投标活动中自身权益未受到损害的供应商所提出的质疑。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28.5.5供应商组成联合体参加投标，联合体中任何一方或多方未按要求签字、盖章、加盖公章的质疑。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28.6供应商提出书面质疑必须有理、有据，不得捏造事实、提供虚假材料进行恶意质疑。否则，一经查实，集中采购中心有权依据政府采购的有关规定，报请政府采购监管部门对该供应商进行相应的行政处罚和记录该供应商的失信信息。</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29、中标通知书</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l中标结果确定后，集中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0"/>
        <w:keepLines w:val="0"/>
        <w:keepNext w:val="0"/>
        <w:pageBreakBefore w:val="0"/>
        <w:spacing w:line="500" w:lineRule="exact"/>
        <w:rPr>
          <w:rFonts w:hint="eastAsia" w:ascii="宋体" w:hAnsi="宋体" w:eastAsia="宋体" w:cs="宋体"/>
          <w:b/>
          <w:bCs/>
          <w:color w:val="auto"/>
          <w:sz w:val="28"/>
          <w:szCs w:val="28"/>
          <w:highlight w:val="none"/>
          <w:lang w:val="en-US" w:eastAsia="zh-CN"/>
        </w:rPr>
      </w:pPr>
      <w:r/>
      <w:bookmarkStart w:id="131" w:name="_Toc16938552"/>
      <w:r/>
      <w:bookmarkStart w:id="132" w:name="_Toc513029236"/>
      <w:r/>
      <w:bookmarkStart w:id="133" w:name="_Toc20823308"/>
      <w:r/>
      <w:bookmarkStart w:id="134" w:name="_Toc120614220"/>
      <w:r>
        <w:rPr>
          <w:rFonts w:hint="eastAsia" w:ascii="宋体" w:hAnsi="宋体" w:eastAsia="宋体" w:cs="宋体"/>
          <w:b/>
          <w:bCs/>
          <w:color w:val="auto"/>
          <w:sz w:val="28"/>
          <w:szCs w:val="28"/>
          <w:highlight w:val="none"/>
          <w:lang w:val="en-US" w:eastAsia="zh-CN"/>
        </w:rPr>
        <w:t xml:space="preserve">七、授予合同</w:t>
      </w:r>
      <w:bookmarkEnd w:id="131"/>
      <w:r/>
      <w:bookmarkEnd w:id="132"/>
      <w:r/>
      <w:bookmarkEnd w:id="133"/>
      <w:r/>
      <w:bookmarkEnd w:id="134"/>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35" w:name="_Toc16938553"/>
      <w:r/>
      <w:bookmarkStart w:id="136" w:name="_Toc20823309"/>
      <w:r/>
      <w:bookmarkStart w:id="137" w:name="_Toc513029237"/>
      <w:r>
        <w:rPr>
          <w:rFonts w:hint="eastAsia" w:ascii="宋体" w:hAnsi="宋体" w:eastAsia="宋体" w:cs="宋体"/>
          <w:color w:val="auto"/>
          <w:sz w:val="24"/>
          <w:szCs w:val="24"/>
          <w:highlight w:val="none"/>
          <w:lang w:val="en-US" w:eastAsia="zh-CN"/>
        </w:rPr>
        <w:t xml:space="preserve">30.签订合同</w:t>
      </w:r>
      <w:bookmarkEnd w:id="135"/>
      <w:r/>
      <w:bookmarkEnd w:id="136"/>
      <w:r/>
      <w:bookmarkEnd w:id="137"/>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30.l中标人应当在中标通知书发出之日起三十日内（原则上应在15日内签订采购合同），按照招标文件确定的事项与采购人签订政府采购合同。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30.2招标文件、中标人的投标文件及招标过程中有关澄清、承诺文件均应作为合同附件。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30.4中标或者成交后无正当理由拒不与采购人签订政府采购合同的，将被列入不良行为记录名单，在一至三年内禁止参加政府采购活动。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31、服务（包含与服务相关的货物）的追加</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138" w:name="_Toc20823314"/>
      <w:r/>
      <w:bookmarkStart w:id="139" w:name="_Toc16938558"/>
      <w:r/>
      <w:bookmarkStart w:id="140" w:name="_Toc120614221"/>
      <w:r/>
      <w:bookmarkStart w:id="141" w:name="_Toc479757207"/>
      <w:r/>
      <w:bookmarkStart w:id="142" w:name="_Toc513029242"/>
      <w:r>
        <w:rPr>
          <w:rFonts w:hint="eastAsia" w:ascii="宋体" w:hAnsi="宋体" w:eastAsia="宋体" w:cs="宋体"/>
          <w:color w:val="auto"/>
          <w:sz w:val="24"/>
          <w:szCs w:val="24"/>
          <w:highlight w:val="none"/>
          <w:lang w:val="en-US" w:eastAsia="zh-CN"/>
        </w:rPr>
        <w:t xml:space="preserve">32、政府采购履约资金扶持政策</w:t>
      </w:r>
      <w:bookmarkEnd w:id="138"/>
      <w:r/>
      <w:bookmarkEnd w:id="139"/>
      <w:r/>
      <w:bookmarkEnd w:id="140"/>
      <w:r/>
      <w:bookmarkEnd w:id="141"/>
      <w:r/>
      <w:bookmarkEnd w:id="14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33、履约保证金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中标单位在签订合同时交纳中标额10%的履约保证金到采购人指定账户，允许供应商自主选择以支票、汇票、本票、保函等非现金形式缴纳或提交，根据合同履行情况，中标单位在履约期内无违约行为的，采购人在验收合格后15日内全额退还履约保证金，不计利息。采购人有权决定是否交纳履约保证金和其比例。</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34、招标项目需满足的政府采购政策目标和具体支持对象</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根据工信部等部委发布的《关于印发中小企业划型标准规定的通知》（工信部联企业〔2011〕300号），根据具体品目确定相应标准。符合上述条件的中小微型企业应按照招标文件中的格式要求提供《中小企业声明函》。</w:t>
      </w:r>
      <w:r/>
    </w:p>
    <w:p>
      <w:pPr>
        <w:numPr>
          <w:ilvl w:val="0"/>
          <w:numId w:val="0"/>
        </w:numPr>
        <w:ind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 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 供应商须按照采购文件要求提供相应的《企业声明函》（格式附后），不提供声明函或有弄虚作假的，将依法承担相应责任。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 根据工信部等部委发布的《关于印发中小企业划型标准规定的通知》（工信部联企业【2011】300号）文件规定自行填写，根据具体品目确定相应标准。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34.5 以上规定未尽事项，按《政府采购促进中小企业发展管理办法》 （财库【2020】46号）等有关制度规定执行。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35、踏勘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35.2招标人在踏勘现场中介绍的项目情况，投标人在编制投标文件时参考，招标人不对投标人据此作出的判断和决策负责。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35.3投标人承担踏勘现场所发生的自身费用。</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36“信易购、政采贷”政策</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36.1根据射财库【2021】17号文件要求采购人应当政府采购活动中应用第三方信用报告，通过“信易购”应用场景，促进市场主体诚信经营。从2022年开始所有政府采购项目纳入信易购管理；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36.2根据射财库【2021】20号文库要求，代理机构积极配合做好政府采购线上合同信用融资工作。</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sectPr>
          <w:footerReference w:type="default" r:id="rId9"/>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auto"/>
          <w:sz w:val="24"/>
          <w:szCs w:val="24"/>
          <w:highlight w:val="none"/>
          <w:lang w:val="en-US" w:eastAsia="zh-CN"/>
        </w:rPr>
      </w:r>
      <w:r/>
    </w:p>
    <w:p>
      <w:pPr>
        <w:ind w:right="0"/>
        <w:jc w:val="center"/>
        <w:keepLines w:val="0"/>
        <w:keepNext w:val="0"/>
        <w:pageBreakBefore w:val="0"/>
        <w:spacing w:line="500" w:lineRule="exact"/>
        <w:rPr>
          <w:rFonts w:hint="eastAsia" w:ascii="黑体" w:hAnsi="黑体" w:eastAsia="黑体" w:cs="黑体"/>
          <w:color w:val="auto"/>
          <w:sz w:val="44"/>
          <w:szCs w:val="44"/>
          <w:highlight w:val="none"/>
          <w:lang w:val="en-US" w:eastAsia="zh-CN" w:bidi="ar-SA"/>
        </w:rPr>
      </w:pPr>
      <w:r>
        <w:rPr>
          <w:rFonts w:hint="eastAsia" w:ascii="黑体" w:hAnsi="黑体" w:eastAsia="黑体" w:cs="黑体"/>
          <w:color w:val="auto"/>
          <w:sz w:val="44"/>
          <w:szCs w:val="44"/>
          <w:highlight w:val="none"/>
          <w:lang w:val="en-US" w:eastAsia="zh-CN" w:bidi="ar-SA"/>
        </w:rPr>
        <w:t xml:space="preserve">第三章  合同文本</w:t>
      </w:r>
      <w:r/>
    </w:p>
    <w:p>
      <w:pPr>
        <w:pStyle w:val="787"/>
        <w:ind w:firstLine="480"/>
        <w:jc w:val="both"/>
        <w:spacing w:beforeAutospacing="0" w:afterAutospacing="0" w:line="0" w:lineRule="atLeast"/>
        <w:rPr>
          <w:rFonts w:ascii="宋体" w:hAnsi="宋体" w:eastAsia="宋体" w:cs="宋体"/>
          <w:color w:val="auto"/>
          <w:highlight w:val="none"/>
        </w:rPr>
      </w:pPr>
      <w:r/>
      <w:bookmarkStart w:id="143" w:name="_Toc513029243"/>
      <w:r/>
      <w:bookmarkStart w:id="144" w:name="_Toc16938559"/>
      <w:r/>
      <w:bookmarkStart w:id="145" w:name="_Toc20823315"/>
      <w:r/>
      <w:r/>
    </w:p>
    <w:p>
      <w:pPr>
        <w:pStyle w:val="787"/>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480"/>
        <w:jc w:val="both"/>
        <w:spacing w:beforeAutospacing="0" w:afterAutospacing="0" w:line="0" w:lineRule="atLeast"/>
        <w:rPr>
          <w:rFonts w:ascii="宋体" w:hAnsi="宋体" w:eastAsia="宋体" w:cs="宋体"/>
          <w:color w:val="auto"/>
          <w:sz w:val="32"/>
          <w:szCs w:val="32"/>
          <w:highlight w:val="none"/>
        </w:rPr>
      </w:pPr>
      <w:r>
        <w:rPr>
          <w:rFonts w:hint="eastAsia" w:ascii="宋体" w:hAnsi="宋体" w:eastAsia="宋体" w:cs="宋体"/>
          <w:color w:val="auto"/>
          <w:highlight w:val="none"/>
        </w:rPr>
        <w:t xml:space="preserve">以下为中标后签定本项目合同的通用条款，中标人不得提出实质性的修改。</w:t>
      </w:r>
      <w:bookmarkEnd w:id="143"/>
      <w:r/>
      <w:bookmarkEnd w:id="144"/>
      <w:r/>
      <w:bookmarkEnd w:id="145"/>
      <w:r/>
      <w:bookmarkStart w:id="146" w:name="_Toc479757211"/>
      <w:r/>
      <w:bookmarkStart w:id="147" w:name="_Toc20823346"/>
      <w:r/>
      <w:bookmarkStart w:id="148" w:name="_Hlt16619350"/>
      <w:r/>
      <w:bookmarkStart w:id="149" w:name="_Toc120614244"/>
      <w:r/>
      <w:bookmarkStart w:id="150" w:name="_Toc462564139"/>
      <w:r/>
      <w:bookmarkStart w:id="151" w:name="_Toc16938590"/>
      <w:r/>
      <w:r/>
    </w:p>
    <w:p>
      <w:pPr>
        <w:jc w:val="both"/>
        <w:shd w:val="clear" w:color="auto"/>
        <w:rPr>
          <w:rFonts w:hint="eastAsia" w:hAnsi="宋体" w:eastAsia="宋体"/>
          <w:b/>
          <w:color w:val="auto"/>
          <w:sz w:val="36"/>
          <w:szCs w:val="36"/>
          <w:highlight w:val="none"/>
        </w:rPr>
      </w:pPr>
      <w:r>
        <w:rPr>
          <w:rFonts w:hint="eastAsia" w:hAnsi="宋体" w:eastAsia="宋体"/>
          <w:b/>
          <w:color w:val="auto"/>
          <w:sz w:val="36"/>
          <w:szCs w:val="36"/>
          <w:highlight w:val="none"/>
        </w:rPr>
      </w:r>
      <w:r/>
    </w:p>
    <w:p>
      <w:pPr>
        <w:pStyle w:val="787"/>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w:t>
      </w:r>
      <w:r/>
    </w:p>
    <w:p>
      <w:pPr>
        <w:pStyle w:val="787"/>
        <w:jc w:val="both"/>
        <w:spacing w:before="120" w:beforeAutospacing="0" w:after="12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项目名称：</w:t>
      </w:r>
      <w:r/>
    </w:p>
    <w:p>
      <w:pPr>
        <w:pStyle w:val="787"/>
        <w:jc w:val="both"/>
        <w:spacing w:before="120" w:beforeAutospacing="0" w:after="12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项目编号：</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甲方：（买方）_________</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乙方：（卖方）_________</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甲、乙双方根据盐城市政府采购中心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pStyle w:val="787"/>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一、合同内容</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1.1 标的名称：</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1.2标的质量：</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1.3 标的数量（规模）：</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1.4 履行时间（期限）：</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1.5 履行地点：</w:t>
      </w:r>
      <w:r/>
    </w:p>
    <w:p>
      <w:pPr>
        <w:pStyle w:val="787"/>
        <w:jc w:val="both"/>
        <w:spacing w:before="120" w:beforeAutospacing="0" w:after="120" w:afterAutospacing="0"/>
        <w:rPr>
          <w:color w:val="auto"/>
          <w:highlight w:val="none"/>
        </w:rPr>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履行方式：</w:t>
      </w:r>
      <w:r/>
    </w:p>
    <w:p>
      <w:pPr>
        <w:pStyle w:val="787"/>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二、合同金额</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2.1本合同金额为（大写）：___________________________________（_______________元）人民币或其他币种。</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三、技术资料</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7"/>
        <w:ind w:left="412" w:hanging="412"/>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四、知识产权</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87"/>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五、产权担保</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787"/>
        <w:ind w:left="410" w:hanging="410"/>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六、履约保证金</w:t>
      </w:r>
      <w:r/>
    </w:p>
    <w:p>
      <w:pPr>
        <w:pStyle w:val="787"/>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787"/>
        <w:jc w:val="both"/>
        <w:keepLines w:val="0"/>
        <w:keepNext w:val="0"/>
        <w:pageBreakBefore w:val="0"/>
        <w:spacing w:before="120" w:beforeAutospacing="0" w:after="120" w:afterAutospacing="0" w:line="360" w:lineRule="auto"/>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6.2合同履行结束后，甲方应及时退还交纳的履约保证金。</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6.3履约保证金的退还：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6.3.1方式：无息退还至投标人缴纳履约保证金的账户。如为保函，在到期时自行失效。</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6.3.2时间：验收合格且采购人收到发票后30日内。</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6.3.3条件：按合同要求全部履约完成并经采购人验收合格，且采购人收到中标人出具的发票。</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6.3.4不予退还情形：</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787"/>
        <w:jc w:val="both"/>
        <w:spacing w:before="145" w:beforeAutospacing="0" w:after="145" w:afterAutospacing="0"/>
        <w:rPr>
          <w:color w:val="auto"/>
          <w:highlight w:val="none"/>
        </w:rPr>
      </w:pPr>
      <w:r>
        <w:rPr>
          <w:rFonts w:hint="eastAsia" w:ascii="宋体" w:hAnsi="宋体" w:eastAsia="宋体" w:cs="宋体"/>
          <w:b/>
          <w:color w:val="auto"/>
          <w:highlight w:val="none"/>
        </w:rPr>
        <w:t xml:space="preserve">七、合同转包或分包</w:t>
      </w:r>
      <w:r/>
    </w:p>
    <w:p>
      <w:pPr>
        <w:pStyle w:val="787"/>
        <w:jc w:val="both"/>
        <w:keepLines w:val="0"/>
        <w:keepNext w:val="0"/>
        <w:pageBreakBefore w:val="0"/>
        <w:spacing w:before="145" w:beforeAutospacing="0" w:after="145" w:afterAutospacing="0" w:line="360" w:lineRule="auto"/>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787"/>
        <w:jc w:val="both"/>
        <w:keepLines w:val="0"/>
        <w:keepNext w:val="0"/>
        <w:pageBreakBefore w:val="0"/>
        <w:spacing w:before="145" w:beforeAutospacing="0" w:after="145" w:afterAutospacing="0" w:line="360" w:lineRule="auto"/>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787"/>
        <w:jc w:val="both"/>
        <w:keepLines w:val="0"/>
        <w:keepNext w:val="0"/>
        <w:pageBreakBefore w:val="0"/>
        <w:spacing w:before="145" w:beforeAutospacing="0" w:after="145" w:afterAutospacing="0" w:line="360" w:lineRule="auto"/>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八、合同款项支付</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8.1合同款项的支付方式及进度安排</w:t>
      </w:r>
      <w:r/>
    </w:p>
    <w:p>
      <w:pPr>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lang w:eastAsia="zh-CN"/>
        </w:rPr>
        <w:t xml:space="preserve">合同签订时，经采购人与中标人根据实际情况协商一致，可支付本项目合同总价的</w:t>
      </w:r>
      <w:r>
        <w:rPr>
          <w:rFonts w:hint="eastAsia" w:ascii="宋体" w:hAnsi="宋体" w:eastAsia="宋体" w:cs="宋体"/>
          <w:b/>
          <w:bCs/>
          <w:color w:val="auto"/>
          <w:sz w:val="24"/>
          <w:highlight w:val="none"/>
          <w:lang w:val="en-US" w:eastAsia="zh-CN"/>
        </w:rPr>
        <w:t xml:space="preserve">30%作为项目启动预付款，供应商明确表示无需预付款或者主动要求降低预付款比例的由双方另行商定</w:t>
      </w:r>
      <w:r>
        <w:rPr>
          <w:rFonts w:hint="eastAsia" w:ascii="宋体" w:hAnsi="宋体" w:cs="宋体"/>
          <w:b/>
          <w:bCs/>
          <w:color w:val="auto"/>
          <w:sz w:val="24"/>
          <w:highlight w:val="none"/>
        </w:rPr>
        <w:t xml:space="preserve">，服务期内每满</w:t>
      </w:r>
      <w:r>
        <w:rPr>
          <w:rFonts w:hint="eastAsia" w:ascii="宋体" w:hAnsi="宋体" w:eastAsia="宋体" w:cs="宋体"/>
          <w:b/>
          <w:bCs/>
          <w:color w:val="auto"/>
          <w:sz w:val="24"/>
          <w:highlight w:val="none"/>
          <w:lang w:val="en-US" w:eastAsia="zh-CN"/>
        </w:rPr>
        <w:t xml:space="preserve">一</w:t>
      </w:r>
      <w:r>
        <w:rPr>
          <w:rFonts w:hint="eastAsia" w:ascii="宋体" w:hAnsi="宋体" w:cs="宋体"/>
          <w:b/>
          <w:bCs/>
          <w:color w:val="auto"/>
          <w:sz w:val="24"/>
          <w:highlight w:val="none"/>
        </w:rPr>
        <w:t xml:space="preserve">年后支付前</w:t>
      </w:r>
      <w:r>
        <w:rPr>
          <w:rFonts w:hint="eastAsia" w:ascii="宋体" w:hAnsi="宋体" w:eastAsia="宋体" w:cs="宋体"/>
          <w:b/>
          <w:bCs/>
          <w:color w:val="auto"/>
          <w:sz w:val="24"/>
          <w:highlight w:val="none"/>
          <w:lang w:val="en-US" w:eastAsia="zh-CN"/>
        </w:rPr>
        <w:t xml:space="preserve">一</w:t>
      </w:r>
      <w:r>
        <w:rPr>
          <w:rFonts w:hint="eastAsia" w:ascii="宋体" w:hAnsi="宋体" w:cs="宋体"/>
          <w:b/>
          <w:bCs/>
          <w:color w:val="auto"/>
          <w:sz w:val="24"/>
          <w:highlight w:val="none"/>
        </w:rPr>
        <w:t xml:space="preserve">年的服务费用（第一次付款时扣除预付款）。</w:t>
      </w:r>
      <w:r/>
    </w:p>
    <w:p>
      <w:pPr>
        <w:pStyle w:val="787"/>
        <w:jc w:val="both"/>
        <w:keepLines w:val="0"/>
        <w:keepNext w:val="0"/>
        <w:pageBreakBefore w:val="0"/>
        <w:spacing w:before="145" w:beforeAutospacing="0" w:after="145" w:afterAutospacing="0" w:line="360" w:lineRule="auto"/>
        <w:widowControl w:val="off"/>
        <w:rPr>
          <w:color w:val="auto"/>
          <w:highlight w:val="none"/>
        </w:rPr>
      </w:pPr>
      <w:r>
        <w:rPr>
          <w:rFonts w:hint="eastAsia" w:ascii="宋体" w:hAnsi="宋体" w:eastAsia="宋体" w:cs="宋体"/>
          <w:b/>
          <w:color w:val="auto"/>
          <w:highlight w:val="none"/>
        </w:rPr>
        <w:t xml:space="preserve">九、税费</w:t>
      </w:r>
      <w:r/>
    </w:p>
    <w:p>
      <w:pPr>
        <w:pStyle w:val="787"/>
        <w:jc w:val="both"/>
        <w:keepLines w:val="0"/>
        <w:keepNext w:val="0"/>
        <w:pageBreakBefore w:val="0"/>
        <w:spacing w:before="145" w:beforeAutospacing="0" w:after="145" w:afterAutospacing="0" w:line="360" w:lineRule="auto"/>
        <w:widowControl w:val="off"/>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十、项目验收</w:t>
      </w:r>
      <w:r/>
    </w:p>
    <w:p>
      <w:pPr>
        <w:pStyle w:val="787"/>
        <w:ind w:left="480" w:hanging="480"/>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10.1甲方依法组织履约验收工作。</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7"/>
        <w:ind w:left="480" w:hanging="480"/>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十一、违约责任</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十二、不可抗力事件处理</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 期相同。</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十三、解决争议的方法</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b/>
          <w:color w:val="auto"/>
          <w:highlight w:val="none"/>
        </w:rPr>
        <w:t xml:space="preserve">十四、合同生效及其它</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787"/>
        <w:jc w:val="both"/>
        <w:keepLines w:val="0"/>
        <w:keepNext w:val="0"/>
        <w:pageBreakBefore w:val="0"/>
        <w:spacing w:before="120" w:beforeAutospacing="0" w:after="120" w:afterAutospacing="0" w:line="360" w:lineRule="auto"/>
        <w:widowControl w:val="off"/>
        <w:rPr>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787"/>
        <w:ind w:left="480" w:hanging="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14.3 本合同正本一式两份，具有同等法律效力，甲方、乙方各执一份。</w:t>
      </w:r>
      <w:r/>
    </w:p>
    <w:p>
      <w:pPr>
        <w:pStyle w:val="770"/>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乙方：</w:t>
      </w:r>
      <w:r/>
    </w:p>
    <w:p>
      <w:pPr>
        <w:pStyle w:val="770"/>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w:t>
      </w:r>
      <w:r/>
    </w:p>
    <w:p>
      <w:pPr>
        <w:pStyle w:val="770"/>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                   法定代表人或授权代表：</w:t>
      </w:r>
      <w:r/>
    </w:p>
    <w:p>
      <w:pPr>
        <w:pStyle w:val="770"/>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w:t>
      </w:r>
      <w:r/>
    </w:p>
    <w:p>
      <w:pPr>
        <w:pStyle w:val="770"/>
        <w:ind w:left="984" w:firstLine="84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770"/>
        <w:ind w:left="984" w:firstLine="84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70"/>
        <w:ind w:left="984" w:firstLine="84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签订日期：      年  月  日</w:t>
      </w:r>
      <w:bookmarkEnd w:id="146"/>
      <w:r/>
      <w:r/>
    </w:p>
    <w:p>
      <w:pPr>
        <w:numPr>
          <w:ilvl w:val="0"/>
          <w:numId w:val="4"/>
        </w:numPr>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 采购需求</w:t>
      </w:r>
      <w:bookmarkEnd w:id="147"/>
      <w:r/>
      <w:bookmarkEnd w:id="148"/>
      <w:r/>
      <w:bookmarkEnd w:id="149"/>
      <w:r/>
      <w:bookmarkEnd w:id="150"/>
      <w:r/>
      <w:bookmarkEnd w:id="151"/>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项目属性:服务类项目。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本次项目为</w:t>
      </w:r>
      <w:r>
        <w:rPr>
          <w:rFonts w:hint="eastAsia" w:ascii="宋体" w:hAnsi="宋体" w:eastAsia="宋体" w:cs="宋体"/>
          <w:color w:val="auto"/>
          <w:sz w:val="24"/>
          <w:szCs w:val="24"/>
          <w:highlight w:val="none"/>
          <w:lang w:eastAsia="zh-CN"/>
        </w:rPr>
        <w:t xml:space="preserve">射阳县妇幼保健院信息化软件维保项目</w:t>
      </w:r>
      <w:r>
        <w:rPr>
          <w:rFonts w:hint="eastAsia" w:ascii="宋体" w:hAnsi="宋体" w:eastAsia="宋体" w:cs="宋体"/>
          <w:color w:val="auto"/>
          <w:sz w:val="24"/>
          <w:szCs w:val="24"/>
          <w:highlight w:val="none"/>
        </w:rPr>
        <w:t xml:space="preserve">。服务商必须按国家、行业的标准及招标文件的要求对项目内的设备进行系统的、全面的检测、维护及保养，以保证设备的高效、正常运作。</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射阳县妇幼保健院信息化软件3年维保项目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2、项目实施地点：</w:t>
      </w:r>
      <w:r>
        <w:rPr>
          <w:rFonts w:hint="eastAsia" w:ascii="宋体" w:hAnsi="宋体" w:eastAsia="宋体" w:cs="宋体"/>
          <w:color w:val="auto"/>
          <w:sz w:val="24"/>
          <w:szCs w:val="24"/>
          <w:highlight w:val="none"/>
          <w:lang w:eastAsia="zh-CN"/>
        </w:rPr>
        <w:t xml:space="preserve">射阳县妇幼保健院</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、维保服务年限：</w:t>
      </w:r>
      <w:r>
        <w:rPr>
          <w:rFonts w:hint="eastAsia" w:ascii="宋体" w:hAnsi="宋体" w:eastAsia="宋体" w:cs="宋体"/>
          <w:color w:val="auto"/>
          <w:sz w:val="24"/>
          <w:szCs w:val="24"/>
          <w:highlight w:val="none"/>
          <w:lang w:eastAsia="zh-CN"/>
        </w:rPr>
        <w:t xml:space="preserve">三年</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、维保项目内容：</w:t>
      </w:r>
      <w:r>
        <w:rPr>
          <w:rFonts w:hint="eastAsia" w:ascii="宋体" w:hAnsi="宋体" w:eastAsia="宋体" w:cs="宋体"/>
          <w:color w:val="auto"/>
          <w:sz w:val="24"/>
          <w:szCs w:val="24"/>
          <w:highlight w:val="none"/>
          <w:shd w:val="clear" w:color="auto" w:fill="ffffff"/>
          <w:lang w:val="en-US" w:eastAsia="zh-CN"/>
        </w:rPr>
        <w:t xml:space="preserve">包括维护HIS、电子病历、PACS、1is、手麻、院感等系统的正常运行，并提供一人驻场技术服务</w:t>
      </w:r>
      <w:r>
        <w:rPr>
          <w:rFonts w:hint="eastAsia" w:ascii="宋体" w:hAnsi="宋体" w:eastAsia="宋体" w:cs="宋体"/>
          <w:color w:val="auto"/>
          <w:sz w:val="24"/>
          <w:szCs w:val="24"/>
          <w:highlight w:val="none"/>
          <w:shd w:val="clear" w:color="auto" w:fill="ffffff"/>
        </w:rPr>
        <w:t xml:space="preserve">等相关伴随服务</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一、射阳县妇幼保健院信息化软件系统清单</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7574"/>
      </w:tblGrid>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系统名称</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HIS系统</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电子病历</w:t>
            </w:r>
            <w:r>
              <w:rPr>
                <w:rFonts w:hint="eastAsia" w:ascii="宋体" w:hAnsi="宋体" w:eastAsia="宋体" w:cs="宋体"/>
                <w:color w:val="auto"/>
                <w:sz w:val="24"/>
                <w:szCs w:val="24"/>
                <w:highlight w:val="none"/>
              </w:rPr>
              <w:t xml:space="preserve">系统</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平台等其他自主产品</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合理用药</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LIS</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PACS</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心电</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手麻</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院感</w:t>
            </w:r>
            <w:r/>
          </w:p>
        </w:tc>
      </w:tr>
      <w:tr>
        <w:trPr>
          <w:jc w:val="center"/>
          <w:trHeight w:val="463"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57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HERP</w:t>
            </w:r>
            <w:r/>
          </w:p>
        </w:tc>
      </w:tr>
      <w:tr>
        <w:trPr>
          <w:jc w:val="center"/>
          <w:trHeight w:val="495" w:hRule="exact"/>
        </w:trPr>
        <w:tc>
          <w:tcPr>
            <w:tcW w:w="122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5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OA</w:t>
            </w:r>
            <w:r/>
          </w:p>
        </w:tc>
      </w:tr>
    </w:tbl>
    <w:p>
      <w:pPr>
        <w:pStyle w:val="969"/>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维保内容</w:t>
      </w:r>
      <w:r/>
    </w:p>
    <w:tbl>
      <w:tblPr>
        <w:tblStyle w:val="757"/>
        <w:tblW w:w="95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769"/>
        <w:gridCol w:w="1573"/>
        <w:gridCol w:w="6030"/>
        <w:gridCol w:w="1206"/>
      </w:tblGrid>
      <w:tr>
        <w:trPr>
          <w:jc w:val="center"/>
          <w:trHeight w:val="615"/>
        </w:trPr>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7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w:t>
            </w:r>
            <w:r/>
          </w:p>
        </w:tc>
        <w:tc>
          <w:tcPr>
            <w:tcW w:w="60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维护保养内容</w:t>
            </w:r>
            <w:r/>
          </w:p>
        </w:tc>
        <w:tc>
          <w:tcPr>
            <w:tcW w:w="1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r>
      <w:tr>
        <w:trPr>
          <w:jc w:val="center"/>
          <w:trHeight w:val="629"/>
        </w:trPr>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7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HIS、电子病历、PACS、lis、手麻、院感等</w:t>
            </w:r>
            <w:r/>
          </w:p>
        </w:tc>
        <w:tc>
          <w:tcPr>
            <w:tcW w:w="60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一人驻场技术服务，维护HIS、电子病历、PACS、lis、手麻、院感等系统的正常运行，保证基础数据的准确和实时；保证系统工作流的顺畅进行；保证对于系统使用问题及优化需求的及时处理和收集反馈；定期或不定期的对系统使用者进行培训指导；根据业务部门的需求，对错误数据、程序进行修复和优化；现有系统模块范围内的不影响系统整体架构的小功能修改、开发、打软件补丁等。</w:t>
            </w:r>
            <w:r/>
          </w:p>
        </w:tc>
        <w:tc>
          <w:tcPr>
            <w:tcW w:w="1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驻场</w:t>
            </w:r>
            <w:r/>
          </w:p>
        </w:tc>
      </w:tr>
    </w:tbl>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合同期内所发生的驻场人员工资福利、加班费、值班费、津贴、劳保费、各种保险、服装费、人员食宿与交通、安全教育、安全管理、事故赔偿、工具费、设备的日常保养及人工等费用均由中标人承担。</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2、中标人须提供</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名驻场人员。</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3、中标人进场须对本项目所有系统进行全面检查，并形成检查报告交招标人。</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4、维保项目中，核心系统和重要区域，中标人需一</w:t>
      </w:r>
      <w:r>
        <w:rPr>
          <w:rFonts w:hint="eastAsia" w:ascii="宋体" w:hAnsi="宋体" w:eastAsia="宋体" w:cs="宋体"/>
          <w:bCs/>
          <w:color w:val="auto"/>
          <w:sz w:val="24"/>
          <w:szCs w:val="24"/>
          <w:highlight w:val="none"/>
          <w:lang w:val="en-US" w:eastAsia="zh-CN"/>
        </w:rPr>
        <w:t xml:space="preserve">个月</w:t>
      </w:r>
      <w:r>
        <w:rPr>
          <w:rFonts w:hint="eastAsia" w:ascii="宋体" w:hAnsi="宋体" w:eastAsia="宋体" w:cs="宋体"/>
          <w:bCs/>
          <w:color w:val="auto"/>
          <w:sz w:val="24"/>
          <w:szCs w:val="24"/>
          <w:highlight w:val="none"/>
        </w:rPr>
        <w:t xml:space="preserve">做</w:t>
      </w:r>
      <w:r>
        <w:rPr>
          <w:rFonts w:hint="eastAsia" w:ascii="宋体" w:hAnsi="宋体" w:eastAsia="宋体" w:cs="宋体"/>
          <w:bCs/>
          <w:color w:val="auto"/>
          <w:sz w:val="24"/>
          <w:szCs w:val="24"/>
          <w:highlight w:val="none"/>
          <w:lang w:val="en-US" w:eastAsia="zh-CN"/>
        </w:rPr>
        <w:t xml:space="preserve">一次</w:t>
      </w:r>
      <w:r>
        <w:rPr>
          <w:rFonts w:hint="eastAsia" w:ascii="宋体" w:hAnsi="宋体" w:eastAsia="宋体" w:cs="宋体"/>
          <w:bCs/>
          <w:color w:val="auto"/>
          <w:sz w:val="24"/>
          <w:szCs w:val="24"/>
          <w:highlight w:val="none"/>
        </w:rPr>
        <w:t xml:space="preserve">定期巡检。次要系统和区域，中标人需两</w:t>
      </w:r>
      <w:r>
        <w:rPr>
          <w:rFonts w:hint="eastAsia" w:ascii="宋体" w:hAnsi="宋体" w:eastAsia="宋体" w:cs="宋体"/>
          <w:bCs/>
          <w:color w:val="auto"/>
          <w:sz w:val="24"/>
          <w:szCs w:val="24"/>
          <w:highlight w:val="none"/>
          <w:lang w:val="en-US" w:eastAsia="zh-CN"/>
        </w:rPr>
        <w:t xml:space="preserve">个月</w:t>
      </w:r>
      <w:r>
        <w:rPr>
          <w:rFonts w:hint="eastAsia" w:ascii="宋体" w:hAnsi="宋体" w:eastAsia="宋体" w:cs="宋体"/>
          <w:bCs/>
          <w:color w:val="auto"/>
          <w:sz w:val="24"/>
          <w:szCs w:val="24"/>
          <w:highlight w:val="none"/>
        </w:rPr>
        <w:t xml:space="preserve">做一次定期巡检。每次巡检中标人必须提供书面记录，并在次月初向招标人提交上月的巡检报告。</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5、在维保期间，合同中包含的系统，若因政策要求更改或系统更新换代不满足实际使用需求，需要进行硬件更新和软件升级，由此产生的费用由招标人承担，中标人需要配合招标人完成硬件升级和软件更新。</w:t>
      </w:r>
      <w:r/>
    </w:p>
    <w:p>
      <w:pPr>
        <w:numPr>
          <w:ilvl w:val="0"/>
          <w:numId w:val="0"/>
        </w:numPr>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lang w:eastAsia="zh-CN"/>
        </w:rPr>
        <w:t xml:space="preserve">三、</w:t>
      </w:r>
      <w:r>
        <w:rPr>
          <w:rFonts w:hint="eastAsia" w:ascii="宋体" w:hAnsi="宋体" w:cs="宋体"/>
          <w:b/>
          <w:bCs/>
          <w:color w:val="auto"/>
          <w:sz w:val="24"/>
          <w:highlight w:val="none"/>
        </w:rPr>
        <w:t xml:space="preserve">付款方式</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合同签订时，经采购人与中标人根据实际情况协商一致，可支付本项目合同总价的30%作为项目启动预付款，供应商明确表示无需预付款或者主动要求降低预付款比例的由双方另行商定，服务期内每满一年后支付前一年的服务费用（第一次付款时扣除预付款）。</w:t>
      </w:r>
      <w:r/>
    </w:p>
    <w:p>
      <w:pPr>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四、其他</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1、本标不允许分包、转包，否则不作为中标候选人或中标资格被取消。</w:t>
      </w:r>
      <w:r/>
    </w:p>
    <w:p>
      <w:pPr>
        <w:pStyle w:val="96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2、本项目</w:t>
      </w:r>
      <w:r>
        <w:rPr>
          <w:rFonts w:hint="eastAsia" w:hAnsi="宋体" w:eastAsia="宋体" w:cs="Times New Roman"/>
          <w:b/>
          <w:bCs/>
          <w:color w:val="auto"/>
          <w:sz w:val="24"/>
          <w:szCs w:val="24"/>
          <w:highlight w:val="none"/>
          <w:lang w:val="en-US" w:eastAsia="zh-CN"/>
        </w:rPr>
        <w:t xml:space="preserve">报价包含但不限于前期咨询费，前期咨询费参照苏招协【2022】002号文件，该费用折算在报价中，在报价单中不单独列明。中标供应商在中标公告公示后七个工作日内一次性缴纳。</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3、本次招标不接受选择性报价。</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各投标人最后报价结束后,如评审小组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审小组应当将其作为无效投标处理。可按照少数服从多数的原则采用投票等方式作出结论。</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5、资格后审：在评审时，对供应商的响应文件中资格性、符合性进行审查，确定供应商是否具备投标资格以及是否具备成交资格。</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6、供应商如未能在承诺时间内提供服务，采购人有权没收其履约保证金作为预定的损害赔偿而非罚款。</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880"/>
        <w:jc w:val="center"/>
        <w:keepLines w:val="0"/>
        <w:keepNext w:val="0"/>
        <w:pageBreakBefore w:val="0"/>
        <w:spacing w:line="360" w:lineRule="auto"/>
        <w:widowControl/>
        <w:rPr>
          <w:rFonts w:ascii="宋体" w:hAnsi="宋体" w:eastAsia="宋体" w:cs="宋体"/>
          <w:color w:val="auto"/>
          <w:highlight w:val="none"/>
        </w:rPr>
      </w:pPr>
      <w:r>
        <w:rPr>
          <w:rFonts w:hint="eastAsia" w:ascii="黑体" w:hAnsi="黑体" w:eastAsia="黑体" w:cs="黑体"/>
          <w:b w:val="0"/>
          <w:bCs w:val="0"/>
          <w:color w:val="auto"/>
          <w:sz w:val="44"/>
          <w:szCs w:val="44"/>
          <w:highlight w:val="none"/>
        </w:rPr>
        <w:t xml:space="preserve">第五章  评标方法与评标标准</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本项目采用 </w:t>
      </w:r>
      <w:r>
        <w:rPr>
          <w:rFonts w:hint="eastAsia" w:ascii="宋体" w:hAnsi="宋体" w:eastAsia="宋体" w:cs="宋体"/>
          <w:color w:val="auto"/>
          <w:sz w:val="24"/>
          <w:szCs w:val="20"/>
          <w:highlight w:val="none"/>
          <w:u w:val="single"/>
          <w:lang w:val="en-US" w:eastAsia="zh-CN"/>
        </w:rPr>
        <w:t xml:space="preserve">综合评分</w:t>
      </w:r>
      <w:r>
        <w:rPr>
          <w:rFonts w:hint="eastAsia" w:ascii="宋体" w:hAnsi="宋体" w:eastAsia="宋体" w:cs="宋体"/>
          <w:color w:val="auto"/>
          <w:sz w:val="24"/>
          <w:szCs w:val="20"/>
          <w:highlight w:val="none"/>
          <w:lang w:val="en-US" w:eastAsia="zh-CN"/>
        </w:rPr>
        <w:t xml:space="preserve"> 法。评标结果按评审后得分由高到低顺序排列。得分相同的，按投标报价由低到高顺序排列。得分且投标报价相同的，由评标委员会组织通过</w:t>
      </w:r>
      <w:r/>
    </w:p>
    <w:p>
      <w:pPr>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抽签的方式确定中标候选人的排序。投标文件满足招标文件全部实质性要求，且按照评审因素的量化指标评审得分最高的投标人为排名第一的中标候选人，本项目选取1名中标候选人。</w:t>
      </w:r>
      <w:r/>
    </w:p>
    <w:p>
      <w:pPr>
        <w:ind w:firstLine="480"/>
        <w:jc w:val="left"/>
        <w:spacing w:line="560" w:lineRule="exact"/>
        <w:widowControl/>
        <w:rPr>
          <w:rFonts w:hint="eastAsia" w:hAnsi="宋体" w:eastAsia="宋体"/>
          <w:bCs/>
          <w:color w:val="auto"/>
          <w:sz w:val="24"/>
          <w:szCs w:val="24"/>
          <w:highlight w:val="none"/>
        </w:rPr>
      </w:pPr>
      <w:r>
        <w:rPr>
          <w:rFonts w:hint="eastAsia" w:ascii="宋体" w:hAnsi="宋体" w:eastAsia="宋体" w:cs="宋体"/>
          <w:b/>
          <w:bCs/>
          <w:color w:val="auto"/>
          <w:sz w:val="24"/>
          <w:szCs w:val="20"/>
          <w:highlight w:val="none"/>
          <w:lang w:val="en-US" w:eastAsia="zh-CN"/>
        </w:rPr>
        <w:t xml:space="preserve">政府采购政策功能落实  </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（一）小微企业优惠情况：</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1、对小型和微型企业产品最后价格给予20%的扣除，用扣除后的价格参与评审。 </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如项目为工程类或服务类，施工单位/服务全部由符合政策要求的小微企业承接，对其总报价给予20%的扣除，用扣除后的价格参与价格评审。</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2、供应商须按照采购文件要求提供相应的《企业声明函》（格式附后），不提供声明函或有弄虚作假的，将依法承担相应责任。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3、企业标准请参照《关于印发中小企业划型标准规定的通知》（工信部联企业【2011】300号）文件规定自行填写。</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4、以上规定未尽事项，按《政府采购促进中小企业发展管理办法》 （财库【2020】46号）等有关制度规定执行。</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（二）残疾人福利单位价格扣除</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1、本项目对残疾人福利性单位视同小型、微型企业，给予20%的价格扣除，用扣除后的价格参与评审。</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2、残疾人福利单位需按照采购文件的要求提供《残疾人福利性单位声明函》。</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3、残疾人福利单位标准请参照《关于促进残疾人就业政府采购政策的通知》（财库〔2017〕141号）。</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（三）监狱和戒毒企业价格扣除</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1、本项目对监狱和戒毒企业（简称监狱企业）视同小型、微型企业，给予20%的价格扣除，用扣除后的价格参与评审。</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3、监狱企业标准请参照《关于政府采购支持监狱企业发展有关问题的通知》（财库[2014]68号）。</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rPr>
        <w:t xml:space="preserve">（四）残疾人福利单位、监狱企业属于小型、微型企业的，不重复享受政策。</w:t>
      </w:r>
      <w:r/>
    </w:p>
    <w:p>
      <w:pPr>
        <w:ind w:firstLine="480"/>
        <w:spacing w:line="520" w:lineRule="exact"/>
        <w:rPr>
          <w:rFonts w:hint="eastAsia" w:hAnsi="宋体" w:eastAsia="宋体"/>
          <w:bCs/>
          <w:color w:val="auto"/>
          <w:sz w:val="24"/>
          <w:szCs w:val="24"/>
          <w:highlight w:val="none"/>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五）</w:t>
      </w:r>
      <w:r>
        <w:rPr>
          <w:rFonts w:hint="eastAsia" w:hAnsi="宋体" w:eastAsia="宋体"/>
          <w:bCs/>
          <w:color w:val="auto"/>
          <w:sz w:val="24"/>
          <w:szCs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20" w:lineRule="exact"/>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六）</w:t>
      </w:r>
      <w:r>
        <w:rPr>
          <w:rFonts w:hint="eastAsia" w:hAnsi="宋体" w:eastAsia="宋体"/>
          <w:bCs/>
          <w:color w:val="auto"/>
          <w:sz w:val="24"/>
          <w:szCs w:val="24"/>
          <w:highlight w:val="none"/>
          <w:lang w:eastAsia="zh-CN"/>
        </w:rPr>
        <w:t xml:space="preserve">联合体各方均为小型、微型企业（残疾人福利单位、监狱企业）的，联合体享受20%。</w:t>
      </w:r>
      <w:r/>
    </w:p>
    <w:p>
      <w:pPr>
        <w:ind w:firstLine="480"/>
        <w:spacing w:line="520" w:lineRule="exact"/>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七）</w:t>
      </w:r>
      <w:r>
        <w:rPr>
          <w:rFonts w:hint="eastAsia" w:hAnsi="宋体" w:eastAsia="宋体"/>
          <w:bCs/>
          <w:color w:val="auto"/>
          <w:sz w:val="24"/>
          <w:szCs w:val="24"/>
          <w:highlight w:val="none"/>
          <w:lang w:eastAsia="zh-CN"/>
        </w:rPr>
        <w:t xml:space="preserve">严格执行政府采购关于支持</w:t>
      </w:r>
      <w:r>
        <w:rPr>
          <w:rFonts w:hint="eastAsia" w:hAnsi="宋体" w:eastAsia="宋体"/>
          <w:bCs/>
          <w:color w:val="auto"/>
          <w:sz w:val="24"/>
          <w:szCs w:val="24"/>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八）</w:t>
      </w:r>
      <w:r>
        <w:rPr>
          <w:rFonts w:hint="eastAsia" w:hAnsi="宋体" w:eastAsia="宋体"/>
          <w:bCs/>
          <w:color w:val="auto"/>
          <w:sz w:val="24"/>
          <w:szCs w:val="24"/>
          <w:highlight w:val="none"/>
          <w:lang w:eastAsia="zh-CN"/>
        </w:rPr>
        <w:t xml:space="preserve">供应商对于投标产品的商品包装、快递包装应按照“财办库〔2020〕123号《关于印发《商品包装政府采购需求标准（试行）》、《快递包装政府采购需求标准（试行）》的通知》”执行。</w:t>
      </w:r>
      <w:r/>
    </w:p>
    <w:p>
      <w:pPr>
        <w:ind w:firstLine="480"/>
        <w:spacing w:line="520" w:lineRule="exact"/>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九）</w:t>
      </w:r>
      <w:r>
        <w:rPr>
          <w:rFonts w:hint="eastAsia" w:hAnsi="宋体" w:eastAsia="宋体"/>
          <w:bCs/>
          <w:color w:val="auto"/>
          <w:sz w:val="24"/>
          <w:szCs w:val="24"/>
          <w:highlight w:val="none"/>
          <w:lang w:eastAsia="zh-CN"/>
        </w:rPr>
        <w:t xml:space="preserve">本文件中若涉及到数据中心采购，应按照《&lt;绿色数据中心政府采购需求标准（试行）&gt;的通知》（财库〔2023〕7号）执行。</w:t>
      </w:r>
      <w:r/>
    </w:p>
    <w:p>
      <w:pPr>
        <w:ind w:firstLine="480"/>
        <w:spacing w:line="520" w:lineRule="exact"/>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十）</w:t>
      </w:r>
      <w:r>
        <w:rPr>
          <w:rFonts w:hint="eastAsia" w:hAnsi="宋体" w:eastAsia="宋体"/>
          <w:bCs/>
          <w:color w:val="auto"/>
          <w:sz w:val="24"/>
          <w:szCs w:val="24"/>
          <w:highlight w:val="none"/>
          <w:lang w:eastAsia="zh-CN"/>
        </w:rPr>
        <w:t xml:space="preserve">根据《江苏省政府采购信用管理暂行办法》的规定，供应商信用评价结果为三星的扣2分，评价结果为二星的扣3分，评价结果为一星的扣4分。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二、评标标准</w:t>
      </w:r>
      <w:r/>
    </w:p>
    <w:p>
      <w:pPr>
        <w:ind w:firstLine="472"/>
        <w:spacing w:line="360" w:lineRule="auto"/>
        <w:rPr>
          <w:rFonts w:hint="eastAsia" w:ascii="宋体" w:hAnsi="宋体"/>
          <w:b/>
          <w:color w:val="auto"/>
          <w:sz w:val="24"/>
          <w:szCs w:val="21"/>
          <w:highlight w:val="none"/>
        </w:rPr>
      </w:pPr>
      <w:r>
        <w:rPr>
          <w:rFonts w:ascii="宋体" w:hAnsi="宋体"/>
          <w:b/>
          <w:color w:val="auto"/>
          <w:sz w:val="24"/>
          <w:szCs w:val="21"/>
          <w:highlight w:val="none"/>
        </w:rPr>
        <w:t xml:space="preserve">1</w:t>
      </w:r>
      <w:r>
        <w:rPr>
          <w:rFonts w:hint="eastAsia" w:ascii="宋体" w:hAnsi="宋体"/>
          <w:b/>
          <w:color w:val="auto"/>
          <w:sz w:val="24"/>
          <w:szCs w:val="21"/>
          <w:highlight w:val="none"/>
        </w:rPr>
        <w:t xml:space="preserve">、初步评审</w:t>
      </w:r>
      <w:r/>
    </w:p>
    <w:p>
      <w:pPr>
        <w:ind w:firstLine="47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（1）资格审查</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依据法律法规和招标文件的规定，</w:t>
      </w:r>
      <w:r>
        <w:rPr>
          <w:rFonts w:ascii="宋体" w:hAnsi="宋体"/>
          <w:bCs/>
          <w:color w:val="auto"/>
          <w:sz w:val="24"/>
          <w:szCs w:val="24"/>
          <w:highlight w:val="none"/>
        </w:rPr>
        <w:t xml:space="preserve">开标结束后，</w:t>
      </w:r>
      <w:r>
        <w:rPr>
          <w:rFonts w:hint="eastAsia" w:ascii="宋体" w:hAnsi="宋体"/>
          <w:bCs/>
          <w:color w:val="auto"/>
          <w:sz w:val="24"/>
          <w:szCs w:val="24"/>
          <w:highlight w:val="none"/>
        </w:rPr>
        <w:t xml:space="preserve">由</w:t>
      </w:r>
      <w:r>
        <w:rPr>
          <w:rFonts w:hint="eastAsia" w:ascii="宋体" w:hAnsi="宋体"/>
          <w:color w:val="auto"/>
          <w:sz w:val="24"/>
          <w:szCs w:val="24"/>
          <w:highlight w:val="none"/>
        </w:rPr>
        <w:t xml:space="preserve">采购人</w:t>
      </w:r>
      <w:r>
        <w:rPr>
          <w:rFonts w:hint="eastAsia" w:ascii="宋体" w:hAnsi="宋体"/>
          <w:bCs/>
          <w:color w:val="auto"/>
          <w:sz w:val="24"/>
          <w:szCs w:val="24"/>
          <w:highlight w:val="none"/>
        </w:rPr>
        <w:t xml:space="preserve">对投标文件中的资格证明文件进行审查。资格审查的结论，采购人以书面形式向评委会进行反馈。未通过资格审查的投标人，由采购人告知未通过资格审查的原因。（资格审查需提供的材料详见招标文件第六章投标文件格式）</w:t>
      </w:r>
      <w:r/>
    </w:p>
    <w:p>
      <w:pPr>
        <w:ind w:firstLine="47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（2）符合性审查</w:t>
      </w:r>
      <w:r/>
    </w:p>
    <w:p>
      <w:pPr>
        <w:ind w:firstLine="470"/>
        <w:spacing w:line="360" w:lineRule="auto"/>
        <w:rPr>
          <w:rFonts w:ascii="宋体"/>
          <w:b/>
          <w:color w:val="auto"/>
          <w:sz w:val="24"/>
          <w:szCs w:val="21"/>
          <w:highlight w:val="none"/>
        </w:rPr>
      </w:pPr>
      <w:r>
        <w:rPr>
          <w:rFonts w:hint="eastAsia" w:ascii="宋体" w:hAnsi="宋体"/>
          <w:color w:val="auto"/>
          <w:sz w:val="24"/>
          <w:szCs w:val="21"/>
          <w:highlight w:val="none"/>
        </w:rPr>
        <w:t xml:space="preserve">依据招标文件的规定，从投标文件的有效性、完整性和对招标文件的响应程度进行审查，以确定是否对招标文件的实质性要求作出响应。</w:t>
      </w:r>
      <w:r/>
    </w:p>
    <w:p>
      <w:pPr>
        <w:ind w:right="185" w:firstLine="472"/>
        <w:spacing w:line="360" w:lineRule="auto"/>
        <w:rPr>
          <w:rFonts w:ascii="宋体" w:cs="宋体"/>
          <w:color w:val="auto"/>
          <w:sz w:val="24"/>
          <w:szCs w:val="24"/>
          <w:highlight w:val="none"/>
        </w:rPr>
      </w:pPr>
      <w:r>
        <w:rPr>
          <w:rFonts w:hint="eastAsia" w:ascii="宋体" w:hAnsi="宋体"/>
          <w:b/>
          <w:color w:val="auto"/>
          <w:sz w:val="24"/>
          <w:szCs w:val="24"/>
          <w:highlight w:val="none"/>
        </w:rPr>
        <w:t xml:space="preserve">注：</w:t>
      </w:r>
      <w:r>
        <w:rPr>
          <w:rFonts w:hint="eastAsia" w:ascii="宋体" w:hAnsi="宋体" w:cs="宋体"/>
          <w:b/>
          <w:bCs/>
          <w:color w:val="auto"/>
          <w:sz w:val="24"/>
          <w:szCs w:val="24"/>
          <w:highlight w:val="none"/>
        </w:rPr>
        <w:t xml:space="preserve">审查标准主要有投标文件签字盖章、投标文件的组成、投标文件及报价唯一、服务期限、质量要求等方面。</w:t>
      </w:r>
      <w:r/>
    </w:p>
    <w:p>
      <w:pPr>
        <w:ind w:firstLine="472"/>
        <w:spacing w:line="360" w:lineRule="auto"/>
        <w:rPr>
          <w:rFonts w:ascii="宋体"/>
          <w:b/>
          <w:color w:val="auto"/>
          <w:sz w:val="24"/>
          <w:szCs w:val="24"/>
          <w:highlight w:val="none"/>
        </w:rPr>
      </w:pPr>
      <w:r>
        <w:rPr>
          <w:rFonts w:hint="eastAsia" w:ascii="宋体" w:hAnsi="宋体"/>
          <w:b/>
          <w:color w:val="auto"/>
          <w:sz w:val="24"/>
          <w:szCs w:val="24"/>
          <w:highlight w:val="none"/>
        </w:rPr>
        <w:t xml:space="preserve">2、评分标准</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本项目评分总分值为100分。</w:t>
      </w:r>
      <w:r/>
    </w:p>
    <w:p>
      <w:pPr>
        <w:ind w:firstLine="480"/>
        <w:spacing w:line="360" w:lineRule="auto"/>
        <w:rPr>
          <w:rFonts w:hint="eastAsia"/>
          <w:color w:val="auto"/>
          <w:sz w:val="24"/>
          <w:szCs w:val="21"/>
          <w:highlight w:val="none"/>
        </w:rPr>
      </w:pPr>
      <w:r>
        <w:rPr>
          <w:rFonts w:hint="eastAsia" w:ascii="宋体" w:hAnsi="宋体"/>
          <w:color w:val="auto"/>
          <w:sz w:val="24"/>
          <w:szCs w:val="21"/>
          <w:highlight w:val="none"/>
        </w:rPr>
        <w:t xml:space="preserve">（1）</w:t>
      </w:r>
      <w:r>
        <w:rPr>
          <w:rFonts w:hint="eastAsia"/>
          <w:color w:val="auto"/>
          <w:sz w:val="24"/>
          <w:szCs w:val="21"/>
          <w:highlight w:val="none"/>
        </w:rPr>
        <w:t xml:space="preserve">有效投标报价：</w:t>
      </w:r>
      <w:r/>
    </w:p>
    <w:p>
      <w:pPr>
        <w:ind w:firstLine="480"/>
        <w:spacing w:line="360" w:lineRule="auto"/>
        <w:tabs>
          <w:tab w:val="left" w:pos="537"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①投标报价符合招标文件、招标答疑的要求。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②投标人的投标报价不高于</w:t>
      </w:r>
      <w:r>
        <w:rPr>
          <w:rFonts w:hint="eastAsia" w:ascii="宋体" w:hAnsi="宋体"/>
          <w:color w:val="auto"/>
          <w:sz w:val="24"/>
          <w:szCs w:val="24"/>
          <w:highlight w:val="none"/>
        </w:rPr>
        <w:t xml:space="preserve">最高限价</w:t>
      </w:r>
      <w:r>
        <w:rPr>
          <w:rFonts w:hint="eastAsia" w:ascii="宋体" w:hAnsi="宋体"/>
          <w:color w:val="auto"/>
          <w:sz w:val="24"/>
          <w:szCs w:val="21"/>
          <w:highlight w:val="none"/>
        </w:rPr>
        <w:t xml:space="preserve">。</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注：有效投标报价的投标文件进行评审。</w:t>
      </w:r>
      <w:r/>
    </w:p>
    <w:tbl>
      <w:tblPr>
        <w:tblStyle w:val="757"/>
        <w:tblW w:w="99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937"/>
        <w:gridCol w:w="1516"/>
        <w:gridCol w:w="6174"/>
        <w:gridCol w:w="1321"/>
      </w:tblGrid>
      <w:tr>
        <w:trPr>
          <w:jc w:val="center"/>
          <w:trHeight w:val="90"/>
        </w:trPr>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jc w:val="center"/>
              <w:pageBreakBefore w:val="0"/>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jc w:val="center"/>
              <w:pageBreakBefore w:val="0"/>
              <w:spacing w:line="24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6174" w:type="dxa"/>
            <w:vAlign w:val="center"/>
            <w:textDirection w:val="lrTb"/>
            <w:noWrap w:val="false"/>
          </w:tcPr>
          <w:p>
            <w:pPr>
              <w:ind w:firstLine="480"/>
              <w:jc w:val="center"/>
              <w:pageBreakBefore w:val="0"/>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招标文件评分标准</w:t>
            </w:r>
            <w:r/>
          </w:p>
        </w:tc>
        <w:tc>
          <w:tcPr>
            <w:tcBorders>
              <w:top w:val="single" w:color="auto" w:sz="6" w:space="0"/>
              <w:left w:val="single" w:color="auto" w:sz="6" w:space="0"/>
              <w:bottom w:val="single" w:color="auto" w:sz="6" w:space="0"/>
              <w:right w:val="single" w:color="auto" w:sz="6" w:space="0"/>
            </w:tcBorders>
            <w:tcW w:w="1321" w:type="dxa"/>
            <w:vAlign w:val="center"/>
            <w:textDirection w:val="lrTb"/>
            <w:noWrap w:val="false"/>
          </w:tcPr>
          <w:p>
            <w:pPr>
              <w:jc w:val="center"/>
              <w:pageBreakBefore w:val="0"/>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90"/>
        </w:trPr>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ind w:firstLine="480"/>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jc w:val="center"/>
              <w:pageBreakBefore w:val="0"/>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p>
            <w:pPr>
              <w:jc w:val="center"/>
              <w:pageBreakBefore w:val="0"/>
              <w:spacing w:line="24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174" w:type="dxa"/>
            <w:vAlign w:val="top"/>
            <w:textDirection w:val="lrTb"/>
            <w:noWrap w:val="false"/>
          </w:tcPr>
          <w:p>
            <w:pP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w:t>
            </w:r>
            <w:r>
              <w:rPr>
                <w:rFonts w:hint="eastAsia" w:ascii="宋体" w:hAnsi="宋体" w:cs="宋体"/>
                <w:bCs/>
                <w:color w:val="auto"/>
                <w:sz w:val="24"/>
                <w:szCs w:val="24"/>
                <w:highlight w:val="none"/>
                <w:lang w:val="en-US" w:eastAsia="zh-CN"/>
              </w:rPr>
              <w:t xml:space="preserve">15</w:t>
            </w:r>
            <w:r>
              <w:rPr>
                <w:rFonts w:hint="eastAsia" w:ascii="宋体" w:hAnsi="宋体" w:cs="宋体"/>
                <w:bCs/>
                <w:color w:val="auto"/>
                <w:sz w:val="24"/>
                <w:szCs w:val="24"/>
                <w:highlight w:val="none"/>
              </w:rPr>
              <w:t xml:space="preserve">分。其他供应商的价格分统一按照下列公式计算：投标报价得分=(评标基准价／投标报价)×</w:t>
            </w:r>
            <w:r>
              <w:rPr>
                <w:rFonts w:hint="eastAsia" w:ascii="宋体" w:hAnsi="宋体" w:cs="宋体"/>
                <w:bCs/>
                <w:color w:val="auto"/>
                <w:sz w:val="24"/>
                <w:szCs w:val="24"/>
                <w:highlight w:val="none"/>
                <w:lang w:val="en-US" w:eastAsia="zh-CN"/>
              </w:rPr>
              <w:t xml:space="preserve">15</w:t>
            </w:r>
            <w:r>
              <w:rPr>
                <w:rFonts w:hint="eastAsia" w:ascii="宋体" w:hAnsi="宋体" w:cs="宋体"/>
                <w:bCs/>
                <w:color w:val="auto"/>
                <w:sz w:val="24"/>
                <w:szCs w:val="24"/>
                <w:highlight w:val="none"/>
              </w:rPr>
              <w:t xml:space="preserve">（按四舍五入取至小数点后两位）。</w:t>
            </w:r>
            <w:r/>
          </w:p>
          <w:p>
            <w:pP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因落实政府采购政策进行价格调整的，以调整后的价格计算评标基准价和投标报价。</w:t>
            </w:r>
            <w:r/>
          </w:p>
        </w:tc>
        <w:tc>
          <w:tcPr>
            <w:tcBorders>
              <w:top w:val="single" w:color="auto" w:sz="6" w:space="0"/>
              <w:left w:val="single" w:color="auto" w:sz="6" w:space="0"/>
              <w:bottom w:val="single" w:color="auto" w:sz="6" w:space="0"/>
              <w:right w:val="single" w:color="auto" w:sz="6" w:space="0"/>
            </w:tcBorders>
            <w:tcW w:w="1321" w:type="dxa"/>
            <w:vAlign w:val="center"/>
            <w:textDirection w:val="lrTb"/>
            <w:noWrap w:val="false"/>
          </w:tcPr>
          <w:p>
            <w:pPr>
              <w:pStyle w:val="748"/>
              <w:jc w:val="center"/>
              <w:pageBreakBefore w:val="0"/>
              <w:spacing w:before="0" w:after="0" w:line="240" w:lineRule="auto"/>
              <w:rPr>
                <w:color w:val="auto"/>
                <w:highlight w:val="none"/>
              </w:rPr>
            </w:pPr>
            <w:r>
              <w:rPr>
                <w:rFonts w:hint="eastAsia" w:ascii="宋体" w:hAnsi="宋体" w:eastAsia="宋体" w:cs="宋体"/>
                <w:b w:val="0"/>
                <w:color w:val="auto"/>
                <w:sz w:val="24"/>
                <w:szCs w:val="24"/>
                <w:highlight w:val="none"/>
                <w:lang w:val="en-US" w:eastAsia="zh-CN"/>
              </w:rPr>
              <w:t xml:space="preserve">15</w:t>
            </w:r>
            <w:r>
              <w:rPr>
                <w:rFonts w:hint="eastAsia" w:ascii="宋体" w:hAnsi="宋体" w:eastAsia="宋体" w:cs="宋体"/>
                <w:b w:val="0"/>
                <w:color w:val="auto"/>
                <w:sz w:val="24"/>
                <w:szCs w:val="24"/>
                <w:highlight w:val="none"/>
              </w:rPr>
              <w:t xml:space="preserve">分</w:t>
            </w:r>
            <w:r/>
          </w:p>
        </w:tc>
      </w:tr>
      <w:tr>
        <w:trPr>
          <w:jc w:val="center"/>
          <w:trHeight w:val="1044"/>
        </w:trPr>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ind w:firstLine="480"/>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jc w:val="center"/>
              <w:pageBreakBefore w:val="0"/>
              <w:spacing w:line="24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驻场服务实施方案</w:t>
            </w:r>
            <w:r/>
          </w:p>
        </w:tc>
        <w:tc>
          <w:tcPr>
            <w:tcBorders>
              <w:top w:val="single" w:color="auto" w:sz="6" w:space="0"/>
              <w:left w:val="single" w:color="auto" w:sz="6" w:space="0"/>
              <w:bottom w:val="single" w:color="auto" w:sz="6" w:space="0"/>
              <w:right w:val="single" w:color="auto" w:sz="6" w:space="0"/>
            </w:tcBorders>
            <w:tcW w:w="6174" w:type="dxa"/>
            <w:vAlign w:val="center"/>
            <w:textDirection w:val="lrTb"/>
            <w:noWrap w:val="false"/>
          </w:tcPr>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1、项目需求理解（</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根据响应文件提供的供应商对本项目背景、服务目标、建设需求及必要性的理解是否准确、深入、详细等方面进行综合打分：供应商对本项目背景、服务目标、建设需求及必要性的理解准确、深入、详细的，得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分；供应商对本项目背景、服务目标、建设需求及必要性的理解较为准确、深入、详细的，得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分；供应商对本项目背景、服务目标、建设需求及必要性的理解准确性、深入度、详细度一般的，得2分；不提供不得分。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2、运行维护方案（8分）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根据供应商提供的运行维护方案进行综合打分：供应商提供的运行维护方案详细、可行，具有针对性的，得8分；供应商提供的运行维护方案较为详细、可行，较具有针对性的，得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分；供应商提供的运行维护方案详细度、可行性、针对性一般的，得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3、安全保障措施（8分）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根据供应商提供的系统安全运行保障措施进行综合打分：供应商提供的系统安全运行保障措施详细、可行，具有针对性的，得8分；供应商提供的系统安全运行保障措施较为详细、可行，较具有针对性的，得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分；供应商提供的系统安全运行保障措施详细度、可行性、针对性一般的，得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4、故障处理方案（8分）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故障处理方案进行综合打分：供应商提供的故障处理方案详细、可行，具有针对性的，得8分；供应商提供的故障处理方案较为详细、可行，较具有针对性的，得5分；供应商提供的故障处理方案详细度、可行性、针对性一般的，得2分；不提供不得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5、应急处理方案（8分）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突发事件应急处理预案进行综合打分：供应商提供的突发事件应急处理预案详细、可行，具有针对性的，得8分；供应商提供的突发事件应急处理预案较为详细、可行，较具有针对性的，得5分；供应商提供的突发事件应急处理预案详细度、可行性、针对性一般的，得2分；不提供不得分。</w:t>
            </w:r>
            <w:r/>
          </w:p>
          <w:p>
            <w:pPr>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6、售后服务方案（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ageBreakBefore w:val="0"/>
              <w:spacing w:line="24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根据供应商提供的售后服务方案打分：售后服务方案科学合理、内容完整、切实可行的，得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分；服务方案较为科学合理、内容完整、较为可行的，得5分；服务方案基本合理、内容基本完整、基本可行的，得2分；不提供不得分。</w:t>
            </w:r>
            <w:r/>
          </w:p>
        </w:tc>
        <w:tc>
          <w:tcPr>
            <w:tcBorders>
              <w:top w:val="single" w:color="auto" w:sz="6" w:space="0"/>
              <w:left w:val="single" w:color="auto" w:sz="6" w:space="0"/>
              <w:bottom w:val="single" w:color="auto" w:sz="6" w:space="0"/>
              <w:right w:val="single" w:color="auto" w:sz="6" w:space="0"/>
            </w:tcBorders>
            <w:tcW w:w="1321"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分</w:t>
            </w:r>
            <w:r/>
          </w:p>
        </w:tc>
      </w:tr>
      <w:tr>
        <w:trPr>
          <w:jc w:val="center"/>
          <w:trHeight w:val="915"/>
        </w:trPr>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ind w:firstLine="480"/>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ind w:firstLine="480"/>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业绩</w:t>
            </w:r>
            <w:r/>
          </w:p>
        </w:tc>
        <w:tc>
          <w:tcPr>
            <w:tcBorders>
              <w:top w:val="single" w:color="auto" w:sz="6" w:space="0"/>
              <w:left w:val="single" w:color="auto" w:sz="6" w:space="0"/>
              <w:bottom w:val="single" w:color="auto" w:sz="6" w:space="0"/>
              <w:right w:val="single" w:color="auto" w:sz="6" w:space="0"/>
            </w:tcBorders>
            <w:tcW w:w="6174" w:type="dxa"/>
            <w:vAlign w:val="center"/>
            <w:textDirection w:val="lrTb"/>
            <w:noWrap w:val="false"/>
          </w:tcPr>
          <w:p>
            <w:pPr>
              <w:pageBreakBefore w:val="0"/>
              <w:spacing w:line="24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投标人2020年1月以来具有与本项目类似的运维服务成功案例的（以合同签订时间为准），每提供1份合同得3分，满分15分。</w:t>
            </w:r>
            <w:r>
              <w:rPr>
                <w:rFonts w:hint="eastAsia" w:ascii="宋体" w:hAnsi="宋体" w:cs="宋体"/>
                <w:bCs/>
                <w:color w:val="auto"/>
                <w:sz w:val="24"/>
                <w:szCs w:val="24"/>
                <w:highlight w:val="none"/>
              </w:rPr>
              <w:t xml:space="preserve">须提供中标（成交）公告网上截图</w:t>
            </w:r>
            <w:r>
              <w:rPr>
                <w:rFonts w:hint="eastAsia" w:ascii="宋体" w:hAnsi="宋体" w:cs="宋体"/>
                <w:bCs/>
                <w:color w:val="auto"/>
                <w:sz w:val="24"/>
                <w:szCs w:val="24"/>
                <w:highlight w:val="none"/>
                <w:lang w:val="en-US" w:eastAsia="zh-CN"/>
              </w:rPr>
              <w:t xml:space="preserve">或中标通知书</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合同原件彩色扫描件加盖投标单位公章。</w:t>
            </w:r>
            <w:r/>
          </w:p>
        </w:tc>
        <w:tc>
          <w:tcPr>
            <w:tcBorders>
              <w:top w:val="single" w:color="auto" w:sz="6" w:space="0"/>
              <w:left w:val="single" w:color="auto" w:sz="6" w:space="0"/>
              <w:bottom w:val="single" w:color="auto" w:sz="6" w:space="0"/>
              <w:right w:val="single" w:color="auto" w:sz="6" w:space="0"/>
            </w:tcBorders>
            <w:tcW w:w="1321"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p>
        </w:tc>
      </w:tr>
      <w:tr>
        <w:trPr>
          <w:jc w:val="center"/>
          <w:trHeight w:val="2015"/>
        </w:trPr>
        <w:tc>
          <w:tcPr>
            <w:tcBorders>
              <w:top w:val="single" w:color="auto" w:sz="4" w:space="0"/>
              <w:left w:val="single" w:color="auto" w:sz="6" w:space="0"/>
              <w:bottom w:val="single" w:color="auto" w:sz="4" w:space="0"/>
              <w:right w:val="single" w:color="auto" w:sz="6" w:space="0"/>
            </w:tcBorders>
            <w:tcW w:w="937"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auto" w:sz="4" w:space="0"/>
              <w:left w:val="single" w:color="auto" w:sz="6" w:space="0"/>
              <w:bottom w:val="single" w:color="auto" w:sz="4" w:space="0"/>
              <w:right w:val="single" w:color="auto" w:sz="6" w:space="0"/>
            </w:tcBorders>
            <w:tcW w:w="1516"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技术服务团队</w:t>
            </w:r>
            <w:r>
              <w:rPr>
                <w:rFonts w:hint="eastAsia" w:ascii="宋体" w:hAnsi="宋体" w:cs="宋体"/>
                <w:color w:val="auto"/>
                <w:sz w:val="24"/>
                <w:szCs w:val="24"/>
                <w:highlight w:val="none"/>
              </w:rPr>
              <w:t xml:space="preserve">人员能力</w:t>
            </w:r>
            <w:r/>
          </w:p>
        </w:tc>
        <w:tc>
          <w:tcPr>
            <w:tcBorders>
              <w:top w:val="single" w:color="auto" w:sz="4" w:space="0"/>
              <w:left w:val="single" w:color="auto" w:sz="6" w:space="0"/>
              <w:bottom w:val="single" w:color="auto" w:sz="4" w:space="0"/>
              <w:right w:val="single" w:color="auto" w:sz="6" w:space="0"/>
            </w:tcBorders>
            <w:tcW w:w="6174" w:type="dxa"/>
            <w:vAlign w:val="center"/>
            <w:textDirection w:val="lrTb"/>
            <w:noWrap w:val="false"/>
          </w:tcPr>
          <w:p>
            <w:pPr>
              <w:pStyle w:val="762"/>
              <w:pageBreakBefore w:val="0"/>
              <w:spacing w:line="240" w:lineRule="auto"/>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公司具备规范的实施队伍，给医院提供技术服务的团队人员中，具备高级职称并有高级信息系统项目管理师证书或数据治理工程师(CDGA)证书，每一个人员得3分，满分9分。提供证书原件彩色扫描件及拟派服务人员在投标人所在本单位缴纳的社保证明文件加盖投标单位公章。</w:t>
            </w:r>
            <w:r/>
          </w:p>
        </w:tc>
        <w:tc>
          <w:tcPr>
            <w:tcBorders>
              <w:top w:val="single" w:color="auto" w:sz="4" w:space="0"/>
              <w:left w:val="single" w:color="auto" w:sz="6" w:space="0"/>
              <w:bottom w:val="single" w:color="auto" w:sz="4" w:space="0"/>
              <w:right w:val="single" w:color="auto" w:sz="6" w:space="0"/>
            </w:tcBorders>
            <w:tcW w:w="1321"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9分</w:t>
            </w:r>
            <w:r/>
          </w:p>
        </w:tc>
      </w:tr>
      <w:tr>
        <w:trPr>
          <w:jc w:val="center"/>
          <w:trHeight w:val="3198"/>
        </w:trPr>
        <w:tc>
          <w:tcPr>
            <w:tcBorders>
              <w:top w:val="single" w:color="auto" w:sz="4" w:space="0"/>
              <w:left w:val="single" w:color="auto" w:sz="6" w:space="0"/>
              <w:bottom w:val="single" w:color="auto" w:sz="4" w:space="0"/>
              <w:right w:val="single" w:color="auto" w:sz="6" w:space="0"/>
            </w:tcBorders>
            <w:tcW w:w="937"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auto" w:sz="4" w:space="0"/>
              <w:left w:val="single" w:color="auto" w:sz="6" w:space="0"/>
              <w:bottom w:val="single" w:color="auto" w:sz="4" w:space="0"/>
              <w:right w:val="single" w:color="auto" w:sz="6" w:space="0"/>
            </w:tcBorders>
            <w:tcW w:w="1516"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企业认证</w:t>
            </w:r>
            <w:r/>
          </w:p>
        </w:tc>
        <w:tc>
          <w:tcPr>
            <w:tcBorders>
              <w:top w:val="single" w:color="auto" w:sz="4" w:space="0"/>
              <w:left w:val="single" w:color="auto" w:sz="6" w:space="0"/>
              <w:bottom w:val="single" w:color="auto" w:sz="4" w:space="0"/>
              <w:right w:val="single" w:color="auto" w:sz="6" w:space="0"/>
            </w:tcBorders>
            <w:tcW w:w="6174" w:type="dxa"/>
            <w:vAlign w:val="center"/>
            <w:textDirection w:val="lrTb"/>
            <w:noWrap w:val="false"/>
          </w:tcPr>
          <w:p>
            <w:pPr>
              <w:pageBreakBefore w:val="0"/>
              <w:spacing w:line="240" w:lineRule="auto"/>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具有IS09001质量管理体系认证证书、ISO27001信息安全管理体系认证证书、软件成熟度CMMI3级及以上证书、信息系统建设和服务能力评估三级及以上；因本项目集成多个系统维护服务，投标人具有多来源数据融合处理软件著作权，多渠道资源集成管理软件著作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以上有一个得2分，最高得12分。提供以上证书原件彩色扫描件加盖投标单位公章。</w:t>
            </w:r>
            <w:r/>
          </w:p>
        </w:tc>
        <w:tc>
          <w:tcPr>
            <w:tcBorders>
              <w:top w:val="single" w:color="auto" w:sz="4" w:space="0"/>
              <w:left w:val="single" w:color="auto" w:sz="6" w:space="0"/>
              <w:bottom w:val="single" w:color="auto" w:sz="4" w:space="0"/>
              <w:right w:val="single" w:color="auto" w:sz="6" w:space="0"/>
            </w:tcBorders>
            <w:tcW w:w="1321" w:type="dxa"/>
            <w:vAlign w:val="center"/>
            <w:textDirection w:val="lrTb"/>
            <w:noWrap w:val="false"/>
          </w:tcPr>
          <w:p>
            <w:pPr>
              <w:jc w:val="center"/>
              <w:pageBreakBefore w:val="0"/>
              <w:spacing w:line="24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tc>
      </w:tr>
    </w:tbl>
    <w:p>
      <w:pPr>
        <w:ind w:firstLine="47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、其他</w:t>
      </w:r>
      <w:r/>
    </w:p>
    <w:p>
      <w:pPr>
        <w:ind w:firstLine="47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（1）评标委员会成员到达评标现场时应在签到表上签到以证明其出席。</w:t>
      </w:r>
      <w:r/>
    </w:p>
    <w:p>
      <w:pPr>
        <w:ind w:firstLine="47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（2）评标委员会成员首先推选一名评标委员会负责人，负责评标活动的组织领导工作。</w:t>
      </w:r>
      <w:r/>
    </w:p>
    <w:p>
      <w:pPr>
        <w:ind w:firstLine="470"/>
        <w:spacing w:line="360" w:lineRule="auto"/>
        <w:rPr>
          <w:rFonts w:hint="eastAsia" w:ascii="宋体"/>
          <w:color w:val="auto"/>
          <w:sz w:val="24"/>
          <w:szCs w:val="24"/>
          <w:highlight w:val="none"/>
        </w:rPr>
      </w:pPr>
      <w:r>
        <w:rPr>
          <w:rFonts w:hint="eastAsia" w:ascii="宋体" w:hAnsi="宋体"/>
          <w:color w:val="auto"/>
          <w:sz w:val="24"/>
          <w:szCs w:val="24"/>
          <w:highlight w:val="none"/>
        </w:rPr>
        <w:t xml:space="preserve">（3）采购代理机构应向评标委员会提供评标所需的信息和数据。评标委员会负责人应组织评标委员会成员认真研究招标文件，未在招标文件中规定的标准和方法不得作为评标的依据。</w:t>
      </w:r>
      <w:r/>
    </w:p>
    <w:p>
      <w:pPr>
        <w:ind w:firstLine="470"/>
        <w:spacing w:line="360" w:lineRule="auto"/>
        <w:rPr>
          <w:rFonts w:ascii="宋体"/>
          <w:color w:val="auto"/>
          <w:sz w:val="24"/>
          <w:szCs w:val="24"/>
          <w:highlight w:val="none"/>
        </w:rPr>
      </w:pPr>
      <w:r>
        <w:rPr>
          <w:rFonts w:hint="eastAsia" w:ascii="宋体" w:hAnsi="宋体"/>
          <w:color w:val="auto"/>
          <w:sz w:val="24"/>
          <w:szCs w:val="24"/>
          <w:highlight w:val="none"/>
        </w:rPr>
        <w:t xml:space="preserve">（4）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r/>
    </w:p>
    <w:p>
      <w:pPr>
        <w:ind w:firstLine="470"/>
        <w:spacing w:line="360" w:lineRule="auto"/>
        <w:rPr>
          <w:rFonts w:ascii="宋体"/>
          <w:color w:val="auto"/>
          <w:sz w:val="24"/>
          <w:szCs w:val="24"/>
          <w:highlight w:val="none"/>
        </w:rPr>
      </w:pPr>
      <w:r>
        <w:rPr>
          <w:rFonts w:hint="eastAsia" w:ascii="宋体" w:hAnsi="宋体"/>
          <w:color w:val="auto"/>
          <w:sz w:val="24"/>
          <w:szCs w:val="24"/>
          <w:highlight w:val="none"/>
        </w:rPr>
        <w:t xml:space="preserve">（5）如排名第一的中标候选人放弃中标、因不可抗力不能履行合同、不按照招标文件要求提交履约保证金，或者被查实存在影响中标结果的违法行为等情形，不符合中标条件的，须重新招标。</w:t>
      </w:r>
      <w:r/>
    </w:p>
    <w:p>
      <w:pPr>
        <w:ind w:firstLine="470"/>
        <w:spacing w:line="360" w:lineRule="auto"/>
        <w:rPr>
          <w:rFonts w:ascii="宋体"/>
          <w:color w:val="auto"/>
          <w:sz w:val="24"/>
          <w:szCs w:val="24"/>
          <w:highlight w:val="none"/>
        </w:rPr>
      </w:pPr>
      <w:r>
        <w:rPr>
          <w:rFonts w:hint="eastAsia" w:ascii="宋体" w:hAnsi="宋体"/>
          <w:color w:val="auto"/>
          <w:sz w:val="24"/>
          <w:szCs w:val="24"/>
          <w:highlight w:val="none"/>
        </w:rPr>
        <w:t xml:space="preserve">（6）在招投标过程中发生行贿受贿、扰乱招投标活动秩序及其他严重违法违纪行为的，一律取消有关责任人参与招投标活动的资格；影响评审结果的，应宣布评审结果无效。</w:t>
      </w:r>
      <w:r/>
    </w:p>
    <w:p>
      <w:pPr>
        <w:ind w:firstLine="47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评委应记名打分，打分未记名的和未按招标文件规定的打分办法打分的，一律按无效票处理。评审过程中，除招标文件另有规定外，如发现投标文件无相关资料、数据的，经评标委员会认定，可确定其该项不得分（即取消保底分值）。</w:t>
      </w:r>
      <w:r/>
    </w:p>
    <w:p>
      <w:pPr>
        <w:pStyle w:val="946"/>
        <w:jc w:val="center"/>
        <w:rPr>
          <w:rFonts w:hint="eastAsia" w:ascii="黑体" w:hAnsi="Arial" w:eastAsia="黑体"/>
          <w:b w:val="0"/>
          <w:bCs w:val="0"/>
          <w:color w:val="auto"/>
          <w:highlight w:val="none"/>
        </w:rPr>
        <w:sectPr>
          <w:footerReference w:type="default" r:id="rId10"/>
          <w:footnotePr/>
          <w:endnotePr/>
          <w:type w:val="nextPage"/>
          <w:pgSz w:w="11907" w:h="16840" w:orient="portrait"/>
          <w:pgMar w:top="607" w:right="851" w:bottom="811" w:left="1134" w:header="624" w:footer="992" w:gutter="0"/>
          <w:cols w:num="1" w:sep="0" w:space="720" w:equalWidth="1"/>
          <w:docGrid w:linePitch="360"/>
        </w:sectPr>
      </w:pPr>
      <w:r>
        <w:rPr>
          <w:rFonts w:hint="eastAsia" w:ascii="黑体" w:hAnsi="Arial" w:eastAsia="黑体"/>
          <w:b w:val="0"/>
          <w:bCs w:val="0"/>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numPr>
          <w:ilvl w:val="0"/>
          <w:numId w:val="0"/>
        </w:numPr>
        <w:jc w:val="center"/>
        <w:rPr>
          <w:rFonts w:hint="eastAsia" w:ascii="黑体" w:eastAsia="黑体"/>
          <w:bCs/>
          <w:color w:val="auto"/>
          <w:sz w:val="44"/>
          <w:szCs w:val="44"/>
          <w:highlight w:val="none"/>
        </w:rPr>
      </w:pPr>
      <w:r>
        <w:rPr>
          <w:rFonts w:hint="eastAsia" w:ascii="黑体" w:eastAsia="黑体"/>
          <w:bCs/>
          <w:color w:val="auto"/>
          <w:sz w:val="44"/>
          <w:szCs w:val="44"/>
          <w:highlight w:val="none"/>
          <w:lang w:val="en-US" w:eastAsia="zh-CN"/>
        </w:rPr>
        <w:t xml:space="preserve">第六章  </w:t>
      </w:r>
      <w:r>
        <w:rPr>
          <w:rFonts w:hint="eastAsia" w:ascii="黑体" w:eastAsia="黑体"/>
          <w:bCs/>
          <w:color w:val="auto"/>
          <w:sz w:val="44"/>
          <w:szCs w:val="44"/>
          <w:highlight w:val="none"/>
        </w:rPr>
        <w:t xml:space="preserve">投标文件格式</w:t>
      </w:r>
      <w:r/>
    </w:p>
    <w:p>
      <w:pPr>
        <w:numPr>
          <w:ilvl w:val="0"/>
          <w:numId w:val="0"/>
        </w:numPr>
        <w:rPr>
          <w:rFonts w:hint="eastAsia"/>
          <w:color w:val="auto"/>
          <w:highlight w:val="none"/>
        </w:rPr>
      </w:pPr>
      <w:r>
        <w:rPr>
          <w:rFonts w:hint="eastAsia"/>
          <w:color w:val="auto"/>
          <w:highlight w:val="none"/>
        </w:rPr>
      </w:r>
      <w:r/>
    </w:p>
    <w:p>
      <w:pPr>
        <w:pStyle w:val="74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8"/>
        <w:rPr>
          <w:rFonts w:hint="eastAsia"/>
          <w:color w:val="auto"/>
          <w:highlight w:val="none"/>
        </w:rPr>
      </w:pPr>
      <w:r>
        <w:rPr>
          <w:rFonts w:hint="eastAsia"/>
          <w:color w:val="auto"/>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pStyle w:val="947"/>
        <w:ind w:firstLine="723"/>
        <w:jc w:val="both"/>
        <w:spacing w:beforeAutospacing="0" w:afterAutospacing="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47"/>
        <w:ind w:firstLine="723"/>
        <w:jc w:val="both"/>
        <w:spacing w:beforeAutospacing="0" w:afterAutospacing="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47"/>
        <w:ind w:firstLine="723"/>
        <w:jc w:val="both"/>
        <w:spacing w:beforeAutospacing="0" w:afterAutospacing="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47"/>
        <w:ind w:firstLine="723"/>
        <w:jc w:val="both"/>
        <w:spacing w:beforeAutospacing="0" w:afterAutospacing="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47"/>
        <w:ind w:firstLine="1446"/>
        <w:jc w:val="both"/>
        <w:spacing w:beforeAutospacing="0" w:afterAutospacing="0" w:line="360" w:lineRule="auto"/>
        <w:rPr>
          <w:color w:val="auto"/>
          <w:highlight w:val="none"/>
        </w:rPr>
      </w:pPr>
      <w:r>
        <w:rPr>
          <w:rFonts w:hint="eastAsia" w:ascii="宋体" w:hAnsi="宋体" w:cs="宋体"/>
          <w:b/>
          <w:color w:val="auto"/>
          <w:sz w:val="36"/>
          <w:szCs w:val="36"/>
          <w:highlight w:val="none"/>
        </w:rPr>
        <w:t xml:space="preserve">项 目 名 称：</w:t>
      </w:r>
      <w:r>
        <w:rPr>
          <w:rFonts w:hint="eastAsia" w:ascii="宋体" w:hAnsi="宋体" w:cs="宋体"/>
          <w:b/>
          <w:color w:val="auto"/>
          <w:sz w:val="36"/>
          <w:szCs w:val="36"/>
          <w:highlight w:val="none"/>
          <w:u w:val="single"/>
        </w:rPr>
        <w:t xml:space="preserve">                   </w:t>
      </w:r>
      <w:r/>
    </w:p>
    <w:p>
      <w:pPr>
        <w:pStyle w:val="947"/>
        <w:ind w:firstLine="1446"/>
        <w:jc w:val="both"/>
        <w:spacing w:beforeAutospacing="0" w:afterAutospacing="0" w:line="360" w:lineRule="auto"/>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rPr>
        <w:t xml:space="preserve">项 目 编 号：</w:t>
      </w:r>
      <w:r>
        <w:rPr>
          <w:rFonts w:hint="eastAsia" w:ascii="宋体" w:hAnsi="宋体" w:cs="宋体"/>
          <w:b/>
          <w:color w:val="auto"/>
          <w:sz w:val="36"/>
          <w:szCs w:val="36"/>
          <w:highlight w:val="none"/>
          <w:u w:val="single"/>
        </w:rPr>
        <w:t xml:space="preserve">                   </w:t>
      </w:r>
      <w:r/>
    </w:p>
    <w:p>
      <w:pPr>
        <w:pStyle w:val="947"/>
        <w:ind w:firstLine="1446"/>
        <w:jc w:val="both"/>
        <w:spacing w:beforeAutospacing="0" w:afterAutospacing="0" w:line="360" w:lineRule="auto"/>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rPr>
        <w:t xml:space="preserve">投标人名称 ：</w:t>
      </w:r>
      <w:r>
        <w:rPr>
          <w:rFonts w:hint="eastAsia" w:ascii="宋体" w:hAnsi="宋体" w:cs="宋体"/>
          <w:b/>
          <w:color w:val="auto"/>
          <w:sz w:val="36"/>
          <w:szCs w:val="36"/>
          <w:highlight w:val="none"/>
          <w:u w:val="single"/>
        </w:rPr>
        <w:t xml:space="preserve">（加盖CA电子公章）</w:t>
      </w:r>
      <w:r/>
    </w:p>
    <w:p>
      <w:pPr>
        <w:pStyle w:val="947"/>
        <w:ind w:firstLine="1446"/>
        <w:jc w:val="both"/>
        <w:spacing w:beforeAutospacing="0" w:afterAutospacing="0" w:line="360" w:lineRule="auto"/>
        <w:rPr>
          <w:rFonts w:hint="eastAsia" w:eastAsia="宋体"/>
          <w:color w:val="auto"/>
          <w:highlight w:val="none"/>
          <w:lang w:val="en-US" w:eastAsia="zh-CN"/>
        </w:rPr>
      </w:pPr>
      <w:r>
        <w:rPr>
          <w:rFonts w:hint="eastAsia" w:ascii="宋体" w:hAnsi="宋体" w:cs="宋体"/>
          <w:b/>
          <w:color w:val="auto"/>
          <w:sz w:val="36"/>
          <w:szCs w:val="36"/>
          <w:highlight w:val="none"/>
        </w:rPr>
        <w:t xml:space="preserve">日      期 ：</w:t>
      </w:r>
      <w:r>
        <w:rPr>
          <w:rFonts w:hint="eastAsia" w:ascii="宋体" w:hAnsi="宋体" w:cs="宋体"/>
          <w:b/>
          <w:color w:val="auto"/>
          <w:sz w:val="36"/>
          <w:szCs w:val="36"/>
          <w:highlight w:val="none"/>
          <w:u w:val="single"/>
        </w:rPr>
        <w:t xml:space="preserve">                 </w:t>
      </w:r>
      <w:r>
        <w:rPr>
          <w:rFonts w:hint="eastAsia" w:cs="宋体"/>
          <w:b/>
          <w:color w:val="auto"/>
          <w:sz w:val="36"/>
          <w:szCs w:val="36"/>
          <w:highlight w:val="none"/>
          <w:u w:val="single"/>
          <w:lang w:val="en-US" w:eastAsia="zh-CN"/>
        </w:rPr>
        <w:t xml:space="preserve"> </w:t>
      </w:r>
      <w:r/>
    </w:p>
    <w:p>
      <w:pPr>
        <w:pStyle w:val="947"/>
        <w:jc w:val="both"/>
        <w:spacing w:beforeAutospacing="0" w:afterAutospacing="0" w:line="0" w:lineRule="atLeas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47"/>
        <w:jc w:val="both"/>
        <w:spacing w:beforeAutospacing="0" w:afterAutospacing="0" w:line="0" w:lineRule="atLeas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87"/>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7"/>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7"/>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一、法人或者其他组织的营业执照等证明文件，自然人的身份证明</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二、上一年度的财务状况报表（投标人成立不满一年无需提供）</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四、具备履行合同所必需的设备和专业技术能力的书面声明</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五、参加政府采购活动前 3 年内在经营活动中没有重大违法记录的书面声明</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六、特定资格要求的证明文件（如果本项目设置特定资格要求，则需要提供）</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七、法人授权书</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八、投标函</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九、小微企业声明函</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十一、联合体协议</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十二、投标分项报价表</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十三、技术要求响应及偏离表</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78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十五、开标一览表</w:t>
      </w:r>
      <w:r/>
    </w:p>
    <w:p>
      <w:pPr>
        <w:ind w:firstLine="480"/>
        <w:keepLines w:val="0"/>
        <w:keepNext w:val="0"/>
        <w:pageBreakBefore w:val="0"/>
        <w:spacing w:before="50" w:after="5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十六、技术方案、服务承诺、培训承诺等</w:t>
      </w:r>
      <w:r/>
    </w:p>
    <w:p>
      <w:pPr>
        <w:pStyle w:val="78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十七、盐城市政府采购事前信用承诺书</w:t>
      </w:r>
      <w:r/>
    </w:p>
    <w:p>
      <w:pPr>
        <w:pStyle w:val="787"/>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numPr>
          <w:ilvl w:val="0"/>
          <w:numId w:val="0"/>
        </w:numPr>
        <w:ind w:firstLine="480"/>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78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787"/>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787"/>
        <w:jc w:val="both"/>
        <w:spacing w:beforeAutospacing="0" w:afterAutospacing="0"/>
        <w:rPr>
          <w:rFonts w:eastAsia="黑体"/>
          <w:i w:val="0"/>
          <w:iCs/>
          <w:color w:val="auto"/>
          <w:highlight w:val="none"/>
          <w:u w:val="none"/>
        </w:rPr>
      </w:pPr>
      <w:r>
        <w:rPr>
          <w:rFonts w:hint="eastAsia" w:ascii="黑体" w:hAnsi="宋体" w:eastAsia="黑体" w:cs="黑体"/>
          <w:i w:val="0"/>
          <w:iCs/>
          <w:color w:val="auto"/>
          <w:sz w:val="32"/>
          <w:szCs w:val="32"/>
          <w:highlight w:val="none"/>
          <w:u w:val="none"/>
        </w:rPr>
        <w:t xml:space="preserve">二、上一年度的财务状况报</w:t>
      </w:r>
      <w:r>
        <w:rPr>
          <w:rFonts w:hint="eastAsia" w:ascii="黑体" w:hAnsi="宋体" w:eastAsia="黑体" w:cs="黑体"/>
          <w:i w:val="0"/>
          <w:iCs/>
          <w:color w:val="auto"/>
          <w:sz w:val="32"/>
          <w:szCs w:val="32"/>
          <w:highlight w:val="none"/>
          <w:u w:val="none"/>
        </w:rPr>
        <w:t xml:space="preserve">表</w:t>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三、依法缴纳税收和社会保障资金的相关材料</w:t>
      </w:r>
      <w:r/>
    </w:p>
    <w:p>
      <w:pPr>
        <w:pStyle w:val="787"/>
        <w:ind w:firstLine="480"/>
        <w:jc w:val="both"/>
        <w:spacing w:beforeAutospacing="0" w:afterAutospacing="0"/>
        <w:rPr>
          <w:color w:val="auto"/>
          <w:highlight w:val="none"/>
        </w:rPr>
      </w:pPr>
      <w:r/>
      <w:bookmarkStart w:id="152"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52"/>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四、具备履行合同所必需的设备和专业技术能力的书面声明</w:t>
      </w:r>
      <w:r/>
    </w:p>
    <w:p>
      <w:pPr>
        <w:pStyle w:val="7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787"/>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87"/>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我单位不存在：单位负责人为同一人或存在控股、管理关系的不同单位，同时参加同一合同项下的政府采购活动，否则相关活动均无效。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我单位未被列入“信用中国”网站(www.creditchina.gov.cn)、中国政府采购网(www.ccgp.gov.cn)渠道信用记录失信被执行人、重大税收违法案件当事人名单、政府采购严重违法失信行为记录名单。</w:t>
      </w:r>
      <w:r/>
    </w:p>
    <w:p>
      <w:pPr>
        <w:pStyle w:val="787"/>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7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87"/>
        <w:jc w:val="center"/>
        <w:spacing w:beforeAutospacing="0" w:afterAutospacing="0"/>
        <w:rPr>
          <w:i w:val="0"/>
          <w:iCs/>
          <w:color w:val="auto"/>
          <w:highlight w:val="none"/>
          <w:u w:val="none"/>
        </w:rPr>
      </w:pPr>
      <w:r>
        <w:rPr>
          <w:rFonts w:ascii="黑体" w:eastAsia="黑体"/>
          <w:color w:val="auto"/>
          <w:sz w:val="32"/>
          <w:szCs w:val="32"/>
          <w:highlight w:val="none"/>
        </w:rPr>
        <w:br w:type="page" w:clear="all"/>
      </w:r>
      <w:r>
        <w:rPr>
          <w:rFonts w:hint="eastAsia" w:ascii="黑体" w:hAnsi="宋体" w:eastAsia="黑体" w:cs="黑体"/>
          <w:i w:val="0"/>
          <w:iCs/>
          <w:color w:val="auto"/>
          <w:sz w:val="32"/>
          <w:szCs w:val="32"/>
          <w:highlight w:val="none"/>
          <w:u w:val="none"/>
        </w:rPr>
        <w:t xml:space="preserve">七、法人授权书</w:t>
      </w:r>
      <w:r/>
    </w:p>
    <w:p>
      <w:pPr>
        <w:pStyle w:val="7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ascii="Times New Roman" w:hAnsi="Times New Roman"/>
          <w:color w:val="auto"/>
          <w:highlight w:val="none"/>
          <w:u w:val="single"/>
        </w:rPr>
        <w:t xml:space="preserve">    </w:t>
      </w:r>
      <w:r>
        <w:rPr>
          <w:rFonts w:hint="eastAsia" w:ascii="Times New Roman" w:hAnsi="Times New Roman" w:eastAsia="宋体"/>
          <w:color w:val="auto"/>
          <w:highlight w:val="none"/>
          <w:u w:val="single"/>
          <w:lang w:val="en-US" w:eastAsia="zh-CN"/>
        </w:rPr>
        <w:t xml:space="preserve">   </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8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8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87"/>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8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r>
        <w:rPr>
          <w:rFonts w:ascii="Times New Roman" w:hAnsi="Times New Roman"/>
          <w:color w:val="auto"/>
          <w:highlight w:val="none"/>
          <w:u w:val="single"/>
        </w:rPr>
        <w:t xml:space="preserve">                                         </w:t>
      </w:r>
      <w:r/>
    </w:p>
    <w:p>
      <w:pPr>
        <w:pStyle w:val="787"/>
        <w:ind w:firstLine="420"/>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rPr>
        <w:t xml:space="preserve"> </w:t>
      </w:r>
      <w:r>
        <w:rPr>
          <w:rFonts w:hint="eastAsia" w:ascii="黑体" w:hAnsi="宋体" w:eastAsia="黑体" w:cs="黑体"/>
          <w:b/>
          <w:color w:val="auto"/>
          <w:sz w:val="32"/>
          <w:szCs w:val="32"/>
          <w:highlight w:val="none"/>
        </w:rPr>
        <w:t xml:space="preserve">八、投标函</w:t>
      </w:r>
      <w:r/>
    </w:p>
    <w:p>
      <w:pPr>
        <w:pStyle w:val="787"/>
        <w:spacing w:beforeAutospacing="0" w:afterAutospacing="0" w:line="0" w:lineRule="atLeast"/>
        <w:rPr>
          <w:rFonts w:hint="default" w:eastAsia="宋体"/>
          <w:color w:val="auto"/>
          <w:highlight w:val="none"/>
          <w:u w:val="singl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（采购人）</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8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8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87"/>
        <w:ind w:firstLine="240"/>
        <w:jc w:val="center"/>
        <w:spacing w:beforeAutospacing="0" w:afterAutospacing="0" w:line="0" w:lineRule="atLeast"/>
        <w:rPr>
          <w:color w:val="auto"/>
          <w:highlight w:val="none"/>
        </w:rPr>
      </w:pPr>
      <w:r>
        <w:rPr>
          <w:color w:val="auto"/>
          <w:highlight w:val="none"/>
        </w:rPr>
        <w:t xml:space="preserve"> </w:t>
      </w:r>
      <w:r/>
    </w:p>
    <w:p>
      <w:pPr>
        <w:pStyle w:val="787"/>
        <w:ind w:firstLine="240"/>
        <w:jc w:val="center"/>
        <w:spacing w:beforeAutospacing="0" w:afterAutospacing="0" w:line="0" w:lineRule="atLeast"/>
        <w:rPr>
          <w:color w:val="auto"/>
          <w:highlight w:val="none"/>
        </w:rPr>
      </w:pPr>
      <w:r>
        <w:rPr>
          <w:color w:val="auto"/>
          <w:highlight w:val="none"/>
        </w:rPr>
        <w:t xml:space="preserve"> </w:t>
      </w:r>
      <w:r/>
    </w:p>
    <w:p>
      <w:pPr>
        <w:pStyle w:val="787"/>
        <w:ind w:firstLine="240"/>
        <w:jc w:val="center"/>
        <w:spacing w:beforeAutospacing="0" w:afterAutospacing="0" w:line="0" w:lineRule="atLeast"/>
        <w:rPr>
          <w:color w:val="auto"/>
          <w:highlight w:val="none"/>
        </w:rPr>
      </w:pPr>
      <w:r>
        <w:rPr>
          <w:color w:val="auto"/>
          <w:highlight w:val="none"/>
        </w:rPr>
        <w:t xml:space="preserve"> </w:t>
      </w:r>
      <w:r/>
    </w:p>
    <w:p>
      <w:pPr>
        <w:pStyle w:val="787"/>
        <w:ind w:firstLine="240"/>
        <w:jc w:val="center"/>
        <w:spacing w:beforeAutospacing="0" w:afterAutospacing="0" w:line="0" w:lineRule="atLeast"/>
        <w:rPr>
          <w:color w:val="auto"/>
          <w:highlight w:val="none"/>
        </w:rPr>
      </w:pPr>
      <w:r>
        <w:rPr>
          <w:color w:val="auto"/>
          <w:highlight w:val="none"/>
        </w:rPr>
        <w:t xml:space="preserve"> </w:t>
      </w:r>
      <w:r/>
    </w:p>
    <w:p>
      <w:pPr>
        <w:pStyle w:val="787"/>
        <w:ind w:firstLine="240"/>
        <w:jc w:val="center"/>
        <w:spacing w:beforeAutospacing="0" w:afterAutospacing="0" w:line="0" w:lineRule="atLeast"/>
        <w:rPr>
          <w:color w:val="auto"/>
          <w:highlight w:val="none"/>
        </w:rPr>
      </w:pPr>
      <w:r>
        <w:rPr>
          <w:color w:val="auto"/>
          <w:highlight w:val="none"/>
        </w:rPr>
        <w:t xml:space="preserve"> </w:t>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ind w:firstLine="240"/>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numPr>
          <w:ilvl w:val="0"/>
          <w:numId w:val="0"/>
        </w:numPr>
        <w:ind w:left="48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小微企业声明函（服务）</w:t>
      </w:r>
      <w:r/>
    </w:p>
    <w:p>
      <w:pPr>
        <w:pStyle w:val="787"/>
        <w:numPr>
          <w:ilvl w:val="0"/>
          <w:numId w:val="0"/>
        </w:numPr>
        <w:ind w:left="48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87"/>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87"/>
        <w:ind w:right="720"/>
        <w:jc w:val="both"/>
        <w:spacing w:beforeAutospacing="0" w:afterAutospacing="0" w:line="0" w:lineRule="atLeast"/>
        <w:rPr>
          <w:color w:val="auto"/>
          <w:highlight w:val="none"/>
        </w:rPr>
      </w:pPr>
      <w:r>
        <w:rPr>
          <w:color w:val="auto"/>
          <w:highlight w:val="none"/>
        </w:rPr>
        <w:t xml:space="preserve"> </w:t>
      </w:r>
      <w:r/>
    </w:p>
    <w:p>
      <w:pPr>
        <w:pStyle w:val="78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8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87"/>
        <w:ind w:firstLine="240"/>
        <w:jc w:val="both"/>
        <w:spacing w:beforeAutospacing="0" w:afterAutospacing="0" w:line="0" w:lineRule="atLeast"/>
        <w:rPr>
          <w:color w:val="auto"/>
          <w:highlight w:val="none"/>
        </w:rPr>
      </w:pPr>
      <w:r>
        <w:rPr>
          <w:color w:val="auto"/>
          <w:highlight w:val="none"/>
        </w:rPr>
        <w:t xml:space="preserve"> </w:t>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787"/>
        <w:numPr>
          <w:ilvl w:val="0"/>
          <w:numId w:val="0"/>
        </w:numPr>
        <w:ind w:left="48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残疾人福利性单位声明函</w:t>
      </w:r>
      <w:r/>
    </w:p>
    <w:p>
      <w:pPr>
        <w:pStyle w:val="787"/>
        <w:numPr>
          <w:ilvl w:val="0"/>
          <w:numId w:val="0"/>
        </w:numPr>
        <w:ind w:left="48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87"/>
        <w:ind w:firstLine="480"/>
        <w:jc w:val="both"/>
        <w:spacing w:beforeAutospacing="0" w:afterAutospacing="0" w:line="0" w:lineRule="atLeast"/>
        <w:rPr>
          <w:color w:val="auto"/>
          <w:highlight w:val="none"/>
        </w:rPr>
      </w:pPr>
      <w:r>
        <w:rPr>
          <w:color w:val="auto"/>
          <w:highlight w:val="none"/>
        </w:rPr>
        <w:t xml:space="preserve"> </w:t>
      </w:r>
      <w:r/>
    </w:p>
    <w:p>
      <w:pPr>
        <w:pStyle w:val="7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（备注：1、供应商如不提供此声明函，价格将不做相应扣除。2、中标人为残疾人福利单位的，此声明函将随中标结果同时公告，接受社会监督）</w:t>
      </w:r>
      <w:r/>
    </w:p>
    <w:p>
      <w:pPr>
        <w:pStyle w:val="787"/>
        <w:ind w:firstLine="624"/>
        <w:jc w:val="both"/>
        <w:spacing w:beforeAutospacing="0" w:afterAutospacing="0" w:line="0" w:lineRule="atLeast"/>
        <w:rPr>
          <w:color w:val="auto"/>
          <w:highlight w:val="none"/>
        </w:rPr>
      </w:pPr>
      <w:r>
        <w:rPr>
          <w:color w:val="auto"/>
          <w:highlight w:val="none"/>
        </w:rPr>
        <w:t xml:space="preserve"> </w:t>
      </w:r>
      <w:r/>
    </w:p>
    <w:p>
      <w:pPr>
        <w:pStyle w:val="787"/>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87"/>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color w:val="auto"/>
          <w:highlight w:val="none"/>
        </w:rPr>
      </w:pPr>
      <w:r>
        <w:rPr>
          <w:color w:val="auto"/>
          <w:highlight w:val="none"/>
        </w:rPr>
        <w:t xml:space="preserve"> </w:t>
      </w:r>
      <w:r/>
    </w:p>
    <w:p>
      <w:pPr>
        <w:pStyle w:val="78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numPr>
          <w:ilvl w:val="0"/>
          <w:numId w:val="0"/>
        </w:numPr>
        <w:ind w:left="48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联合体协议（参考格式）</w:t>
      </w:r>
      <w:r/>
    </w:p>
    <w:p>
      <w:pPr>
        <w:pStyle w:val="787"/>
        <w:numPr>
          <w:ilvl w:val="0"/>
          <w:numId w:val="0"/>
        </w:numPr>
        <w:ind w:left="48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7"/>
        <w:ind w:firstLine="645"/>
        <w:jc w:val="both"/>
        <w:spacing w:beforeAutospacing="0" w:afterAutospacing="0" w:line="0" w:lineRule="atLeast"/>
        <w:rPr>
          <w:color w:val="auto"/>
          <w:highlight w:val="none"/>
        </w:rPr>
      </w:pPr>
      <w:r>
        <w:rPr>
          <w:color w:val="auto"/>
          <w:highlight w:val="none"/>
        </w:rPr>
        <w:t xml:space="preserve"> </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87"/>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787"/>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787"/>
        <w:ind w:firstLine="645"/>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r>
      <w:r/>
    </w:p>
    <w:p>
      <w:pPr>
        <w:pStyle w:val="787"/>
        <w:jc w:val="both"/>
        <w:spacing w:beforeAutospacing="0" w:afterAutospacing="0" w:line="0" w:lineRule="atLeast"/>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numPr>
          <w:ilvl w:val="0"/>
          <w:numId w:val="5"/>
        </w:numPr>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投标分项报价表</w:t>
      </w:r>
      <w:r/>
    </w:p>
    <w:p>
      <w:pPr>
        <w:pStyle w:val="787"/>
        <w:numPr>
          <w:ilvl w:val="0"/>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757"/>
        <w:tblW w:w="9030" w:type="dxa"/>
        <w:tblCellSpacing w:w="0" w:type="dxa"/>
        <w:tblInd w:w="117" w:type="dxa"/>
        <w:tblLayout w:type="fixed"/>
        <w:tblCellMar>
          <w:left w:w="108" w:type="dxa"/>
          <w:top w:w="0" w:type="dxa"/>
          <w:right w:w="108" w:type="dxa"/>
          <w:bottom w:w="0" w:type="dxa"/>
        </w:tblCellMar>
        <w:tblLook w:val="04A0" w:firstRow="1" w:lastRow="0" w:firstColumn="1" w:lastColumn="0" w:noHBand="0" w:noVBand="1"/>
      </w:tblPr>
      <w:tblGrid>
        <w:gridCol w:w="817"/>
        <w:gridCol w:w="1217"/>
        <w:gridCol w:w="1205"/>
        <w:gridCol w:w="1111"/>
        <w:gridCol w:w="1305"/>
        <w:gridCol w:w="1725"/>
        <w:gridCol w:w="165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380" w:type="dxa"/>
            <w:vAlign w:val="center"/>
            <w:textDirection w:val="lrTb"/>
            <w:noWrap w:val="false"/>
          </w:tcPr>
          <w:p>
            <w:pPr>
              <w:pStyle w:val="78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787"/>
              <w:jc w:val="both"/>
              <w:spacing w:beforeAutospacing="0" w:afterAutospacing="0" w:line="0" w:lineRule="atLeast"/>
              <w:rPr>
                <w:color w:val="auto"/>
                <w:highlight w:val="none"/>
              </w:rPr>
            </w:pPr>
            <w:r>
              <w:rPr>
                <w:color w:val="auto"/>
                <w:highlight w:val="none"/>
              </w:rPr>
              <w:t xml:space="preserve"> </w:t>
            </w:r>
            <w:r/>
          </w:p>
        </w:tc>
      </w:tr>
    </w:tbl>
    <w:p>
      <w:pPr>
        <w:pStyle w:val="787"/>
        <w:jc w:val="both"/>
        <w:spacing w:beforeAutospacing="0" w:afterAutospacing="0"/>
        <w:rPr>
          <w:color w:val="auto"/>
          <w:highlight w:val="none"/>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r>
      <w:r/>
    </w:p>
    <w:p>
      <w:pPr>
        <w:pStyle w:val="7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87"/>
        <w:numPr>
          <w:ilvl w:val="0"/>
          <w:numId w:val="6"/>
        </w:numPr>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技术要求响应及偏离表</w:t>
      </w:r>
      <w:r/>
    </w:p>
    <w:p>
      <w:pPr>
        <w:pStyle w:val="787"/>
        <w:numPr>
          <w:ilvl w:val="0"/>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757"/>
        <w:tblW w:w="910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6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bl>
    <w:p>
      <w:pPr>
        <w:pStyle w:val="7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numPr>
          <w:ilvl w:val="0"/>
          <w:numId w:val="7"/>
        </w:numPr>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商务要求响应及偏离表</w:t>
      </w:r>
      <w:r/>
    </w:p>
    <w:p>
      <w:pPr>
        <w:pStyle w:val="787"/>
        <w:numPr>
          <w:ilvl w:val="0"/>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757"/>
        <w:tblW w:w="9090" w:type="dxa"/>
        <w:tblCellSpacing w:w="0" w:type="dxa"/>
        <w:tblInd w:w="102" w:type="dxa"/>
        <w:tblLayout w:type="fixed"/>
        <w:tblCellMar>
          <w:left w:w="108" w:type="dxa"/>
          <w:top w:w="0" w:type="dxa"/>
          <w:right w:w="108" w:type="dxa"/>
          <w:bottom w:w="0" w:type="dxa"/>
        </w:tblCellMar>
        <w:tblLook w:val="04A0" w:firstRow="1" w:lastRow="0" w:firstColumn="1" w:lastColumn="0" w:noHBand="0" w:noVBand="1"/>
      </w:tblPr>
      <w:tblGrid>
        <w:gridCol w:w="569"/>
        <w:gridCol w:w="2469"/>
        <w:gridCol w:w="2645"/>
        <w:gridCol w:w="1244"/>
        <w:gridCol w:w="216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bookmarkStart w:id="153" w:name="_Hlt26955056"/>
            <w:r/>
            <w:bookmarkStart w:id="154" w:name="_Hlt26782999"/>
            <w:r/>
            <w:bookmarkStart w:id="155" w:name="_Hlt26609391"/>
            <w:r/>
            <w:bookmarkStart w:id="156" w:name="_Hlt24879081"/>
            <w:r/>
            <w:bookmarkStart w:id="157" w:name="_Hlt26671343"/>
            <w:r/>
            <w:bookmarkStart w:id="158" w:name="_Hlt26671372"/>
            <w:r/>
            <w:bookmarkStart w:id="159" w:name="_Hlt26955064"/>
            <w:r/>
            <w:bookmarkStart w:id="160" w:name="_Hlt26580838"/>
            <w:r>
              <w:rPr>
                <w:rFonts w:hint="eastAsia" w:ascii="宋体" w:hAnsi="宋体" w:eastAsia="宋体" w:cs="宋体"/>
                <w:color w:val="auto"/>
                <w:highlight w:val="none"/>
              </w:rPr>
              <w:t xml:space="preserve">序号</w:t>
            </w:r>
            <w:bookmarkEnd w:id="153"/>
            <w:r/>
            <w:bookmarkEnd w:id="154"/>
            <w:r/>
            <w:bookmarkEnd w:id="155"/>
            <w:r/>
            <w:bookmarkEnd w:id="156"/>
            <w:r/>
            <w:bookmarkEnd w:id="157"/>
            <w:r/>
            <w:bookmarkEnd w:id="158"/>
            <w:r/>
            <w:bookmarkEnd w:id="159"/>
            <w:r/>
            <w:bookmarkEnd w:id="16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8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787"/>
              <w:jc w:val="center"/>
              <w:spacing w:beforeAutospacing="0" w:afterAutospacing="0"/>
              <w:rPr>
                <w:color w:val="auto"/>
                <w:highlight w:val="none"/>
              </w:rPr>
            </w:pPr>
            <w:r>
              <w:rPr>
                <w:color w:val="auto"/>
                <w:highlight w:val="none"/>
              </w:rPr>
              <w:t xml:space="preserve"> </w:t>
            </w:r>
            <w:r/>
          </w:p>
        </w:tc>
      </w:tr>
    </w:tbl>
    <w:p>
      <w:pPr>
        <w:pStyle w:val="7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87"/>
        <w:jc w:val="both"/>
        <w:spacing w:beforeAutospacing="0" w:afterAutospacing="0" w:line="480" w:lineRule="auto"/>
        <w:rPr>
          <w:color w:val="auto"/>
          <w:highlight w:val="none"/>
        </w:rPr>
      </w:pPr>
      <w:r>
        <w:rPr>
          <w:color w:val="auto"/>
          <w:highlight w:val="none"/>
        </w:rPr>
        <w:t xml:space="preserve"> </w:t>
      </w:r>
      <w:r/>
    </w:p>
    <w:p>
      <w:pPr>
        <w:pStyle w:val="787"/>
        <w:jc w:val="both"/>
        <w:spacing w:beforeAutospacing="0" w:afterAutospacing="0" w:line="480" w:lineRule="auto"/>
        <w:rPr>
          <w:color w:val="auto"/>
          <w:highlight w:val="none"/>
        </w:rPr>
      </w:pPr>
      <w:r>
        <w:rPr>
          <w:color w:val="auto"/>
          <w:highlight w:val="none"/>
        </w:rPr>
        <w:t xml:space="preserve"> </w:t>
      </w:r>
      <w:r/>
    </w:p>
    <w:p>
      <w:pPr>
        <w:pStyle w:val="787"/>
        <w:jc w:val="center"/>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t xml:space="preserve"> </w:t>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color w:val="auto"/>
          <w:highlight w:val="none"/>
        </w:rPr>
      </w:pPr>
      <w:r>
        <w:rPr>
          <w:color w:val="auto"/>
          <w:highlight w:val="none"/>
        </w:rPr>
      </w:r>
      <w:r/>
    </w:p>
    <w:p>
      <w:pPr>
        <w:pStyle w:val="78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87"/>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87"/>
        <w:numPr>
          <w:ilvl w:val="0"/>
          <w:numId w:val="8"/>
        </w:numPr>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开标一览表</w:t>
      </w:r>
      <w:r/>
    </w:p>
    <w:p>
      <w:pPr>
        <w:pStyle w:val="787"/>
        <w:numPr>
          <w:ilvl w:val="0"/>
          <w:numId w:val="0"/>
        </w:numPr>
        <w:jc w:val="both"/>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single"/>
        </w:rPr>
      </w:r>
      <w:r/>
    </w:p>
    <w:p>
      <w:pPr>
        <w:pStyle w:val="78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8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87"/>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招标编号：</w:t>
      </w:r>
      <w:r/>
    </w:p>
    <w:p>
      <w:pPr>
        <w:pStyle w:val="787"/>
        <w:ind w:firstLine="48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bl>
      <w:tblPr>
        <w:tblStyle w:val="757"/>
        <w:tblW w:w="908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089"/>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089" w:type="dxa"/>
            <w:vAlign w:val="center"/>
            <w:textDirection w:val="lrTb"/>
            <w:noWrap w:val="false"/>
          </w:tcPr>
          <w:p>
            <w:pPr>
              <w:pStyle w:val="787"/>
              <w:jc w:val="both"/>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089" w:type="dxa"/>
            <w:vAlign w:val="center"/>
            <w:textDirection w:val="lrTb"/>
            <w:noWrap w:val="false"/>
          </w:tcPr>
          <w:p>
            <w:pPr>
              <w:pStyle w:val="787"/>
              <w:spacing w:beforeAutospacing="0" w:afterAutospacing="0" w:line="0" w:lineRule="atLeast"/>
              <w:rPr>
                <w:color w:val="auto"/>
                <w:highlight w:val="none"/>
              </w:rPr>
            </w:pPr>
            <w:r>
              <w:rPr>
                <w:rFonts w:hint="eastAsia" w:ascii="宋体" w:hAnsi="宋体" w:eastAsia="宋体" w:cs="宋体"/>
                <w:color w:val="auto"/>
                <w:highlight w:val="none"/>
                <w:lang w:val="en-US" w:eastAsia="zh-CN"/>
              </w:rPr>
              <w:t xml:space="preserve">小写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人民币：元）</w:t>
            </w:r>
            <w:r/>
          </w:p>
        </w:tc>
      </w:tr>
    </w:tbl>
    <w:p>
      <w:pPr>
        <w:pStyle w:val="787"/>
        <w:jc w:val="both"/>
        <w:spacing w:beforeAutospacing="0" w:afterAutospacing="0"/>
        <w:rPr>
          <w:color w:val="auto"/>
          <w:highlight w:val="none"/>
        </w:rPr>
      </w:pPr>
      <w:r>
        <w:rPr>
          <w:color w:val="auto"/>
          <w:highlight w:val="none"/>
        </w:rPr>
        <w:t xml:space="preserve"> </w:t>
      </w:r>
      <w:r/>
    </w:p>
    <w:p>
      <w:pPr>
        <w:pStyle w:val="787"/>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87"/>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both"/>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十六、技术方案、服务承诺、培训承诺等</w:t>
      </w:r>
      <w:r/>
    </w:p>
    <w:p>
      <w:pPr>
        <w:pStyle w:val="78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99" w:lineRule="atLeast"/>
        <w:widowControl/>
        <w:rPr>
          <w:rFonts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jc w:val="center"/>
        <w:spacing w:before="50" w:after="50" w:line="360" w:lineRule="auto"/>
        <w:rPr>
          <w:rFonts w:ascii="黑体" w:eastAsia="黑体"/>
          <w:color w:val="auto"/>
          <w:sz w:val="32"/>
          <w:szCs w:val="32"/>
          <w:highlight w:val="none"/>
        </w:rPr>
      </w:pPr>
      <w:r>
        <w:rPr>
          <w:rFonts w:ascii="黑体" w:eastAsia="黑体"/>
          <w:color w:val="auto"/>
          <w:sz w:val="32"/>
          <w:szCs w:val="32"/>
          <w:highlight w:val="none"/>
        </w:rPr>
      </w:r>
      <w:r/>
    </w:p>
    <w:p>
      <w:pPr>
        <w:rPr>
          <w:color w:val="auto"/>
          <w:highlight w:val="none"/>
        </w:rPr>
      </w:pPr>
      <w:r>
        <w:rPr>
          <w:color w:val="auto"/>
          <w:highlight w:val="none"/>
        </w:rPr>
      </w:r>
      <w:r/>
    </w:p>
    <w:sectPr>
      <w:footerReference w:type="default" r:id="rId11"/>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楷体_GB2312">
    <w:panose1 w:val="02010609060101010101"/>
  </w:font>
  <w:font w:name="Courier New">
    <w:panose1 w:val="02070309020205020404"/>
  </w:font>
  <w:font w:name="Calibri">
    <w:panose1 w:val="020F050202020403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rFonts w:hint="eastAsia"/>
        <w:szCs w:val="21"/>
      </w:rPr>
      <w:t xml:space="preserve">46</w:t>
    </w:r>
    <w:r>
      <w:rPr>
        <w:szCs w:val="21"/>
      </w:rPr>
      <w:t xml:space="preserve"> </w:t>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jc w:val="center"/>
                          </w:pPr>
                          <w:r>
                            <w:rPr>
                              <w:sz w:val="20"/>
                              <w:szCs w:val="20"/>
                            </w:rPr>
                            <w:fldChar w:fldCharType="begin"/>
                          </w:r>
                          <w:r>
                            <w:rPr>
                              <w:sz w:val="20"/>
                              <w:szCs w:val="20"/>
                            </w:rPr>
                            <w:instrText xml:space="preserve">PAGE \* MERGEFORMAT</w:instrText>
                          </w:r>
                          <w:r>
                            <w:rPr>
                              <w:sz w:val="20"/>
                              <w:szCs w:val="20"/>
                            </w:rPr>
                            <w:fldChar w:fldCharType="separate"/>
                          </w:r>
                          <w:r>
                            <w:rPr>
                              <w:sz w:val="20"/>
                              <w:szCs w:val="20"/>
                            </w:rPr>
                            <w:t xml:space="preserve">34</w:t>
                          </w:r>
                          <w:r>
                            <w:rPr>
                              <w:sz w:val="20"/>
                              <w:szCs w:val="20"/>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jc w:val="center"/>
                    </w:pPr>
                    <w:r>
                      <w:rPr>
                        <w:sz w:val="20"/>
                        <w:szCs w:val="20"/>
                      </w:rPr>
                      <w:fldChar w:fldCharType="begin"/>
                    </w:r>
                    <w:r>
                      <w:rPr>
                        <w:sz w:val="20"/>
                        <w:szCs w:val="20"/>
                      </w:rPr>
                      <w:instrText xml:space="preserve">PAGE \* MERGEFORMAT</w:instrText>
                    </w:r>
                    <w:r>
                      <w:rPr>
                        <w:sz w:val="20"/>
                        <w:szCs w:val="20"/>
                      </w:rPr>
                      <w:fldChar w:fldCharType="separate"/>
                    </w:r>
                    <w:r>
                      <w:rPr>
                        <w:sz w:val="20"/>
                        <w:szCs w:val="20"/>
                      </w:rPr>
                      <w:t xml:space="preserve">34</w:t>
                    </w:r>
                    <w:r>
                      <w:rPr>
                        <w:sz w:val="20"/>
                        <w:szCs w:val="20"/>
                      </w:rPr>
                      <w:fldChar w:fldCharType="end"/>
                    </w:r>
                    <w:r/>
                  </w:p>
                </w:txbxContent>
              </v:textbox>
            </v:shape>
          </w:pict>
        </mc:Fallback>
      </mc:AlternateContent>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2"/>
  </w:num>
  <w:num w:numId="4">
    <w:abstractNumId w:val="5"/>
  </w:num>
  <w:num w:numId="5">
    <w:abstractNumId w:val="0"/>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96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7">
    <w:name w:val="Heading 1"/>
    <w:basedOn w:val="746"/>
    <w:next w:val="746"/>
    <w:link w:val="79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00"/>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01"/>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0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0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0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7"/>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right="0" w:firstLine="0"/>
      <w:spacing w:after="57"/>
    </w:pPr>
  </w:style>
  <w:style w:type="paragraph" w:styleId="759">
    <w:name w:val="Normal Indent"/>
    <w:basedOn w:val="746"/>
    <w:next w:val="760"/>
    <w:uiPriority w:val="0"/>
    <w:qFormat/>
    <w:pPr>
      <w:ind w:firstLine="420"/>
    </w:pPr>
    <w:rPr>
      <w:sz w:val="24"/>
    </w:rPr>
  </w:style>
  <w:style w:type="paragraph" w:styleId="760">
    <w:name w:val="Body Text 2"/>
    <w:basedOn w:val="746"/>
    <w:uiPriority w:val="0"/>
    <w:qFormat/>
    <w:pPr>
      <w:spacing w:after="120" w:line="480" w:lineRule="auto"/>
    </w:pPr>
  </w:style>
  <w:style w:type="paragraph" w:styleId="761">
    <w:name w:val="Caption"/>
    <w:basedOn w:val="746"/>
    <w:next w:val="7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2">
    <w:name w:val="annotation text"/>
    <w:basedOn w:val="746"/>
    <w:link w:val="948"/>
    <w:uiPriority w:val="0"/>
    <w:qFormat/>
    <w:pPr>
      <w:jc w:val="left"/>
    </w:pPr>
  </w:style>
  <w:style w:type="paragraph" w:styleId="763">
    <w:name w:val="Body Text"/>
    <w:basedOn w:val="746"/>
    <w:next w:val="764"/>
    <w:uiPriority w:val="0"/>
    <w:qFormat/>
    <w:pPr>
      <w:spacing w:after="120"/>
    </w:pPr>
    <w:rPr>
      <w:sz w:val="20"/>
      <w:szCs w:val="24"/>
    </w:rPr>
  </w:style>
  <w:style w:type="paragraph" w:styleId="764" w:customStyle="1">
    <w:name w:val="一级条标题"/>
    <w:basedOn w:val="765"/>
    <w:next w:val="766"/>
    <w:uiPriority w:val="99"/>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765" w:customStyle="1">
    <w:name w:val="章标题"/>
    <w:next w:val="746"/>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766" w:customStyle="1">
    <w:name w:val="段"/>
    <w:next w:val="746"/>
    <w:uiPriority w:val="0"/>
    <w:qFormat/>
    <w:pPr>
      <w:ind w:firstLine="200"/>
      <w:jc w:val="both"/>
    </w:pPr>
    <w:rPr>
      <w:rFonts w:hint="default" w:ascii="宋体" w:hAnsi="Times New Roman" w:eastAsia="宋体" w:cs="Times New Roman"/>
      <w:sz w:val="21"/>
      <w:lang w:val="en-US" w:eastAsia="zh-CN" w:bidi="ar-SA"/>
    </w:rPr>
  </w:style>
  <w:style w:type="paragraph" w:styleId="767">
    <w:name w:val="Body Text Indent"/>
    <w:basedOn w:val="746"/>
    <w:next w:val="746"/>
    <w:uiPriority w:val="0"/>
    <w:qFormat/>
    <w:pPr>
      <w:ind w:left="420"/>
      <w:spacing w:after="120"/>
    </w:pPr>
  </w:style>
  <w:style w:type="paragraph" w:styleId="768">
    <w:name w:val="toc 5"/>
    <w:basedOn w:val="746"/>
    <w:next w:val="746"/>
    <w:uiPriority w:val="39"/>
    <w:unhideWhenUsed/>
    <w:qFormat/>
    <w:pPr>
      <w:ind w:left="1134" w:right="0" w:firstLine="0"/>
      <w:spacing w:after="57"/>
    </w:pPr>
  </w:style>
  <w:style w:type="paragraph" w:styleId="769">
    <w:name w:val="toc 3"/>
    <w:basedOn w:val="746"/>
    <w:next w:val="746"/>
    <w:uiPriority w:val="39"/>
    <w:unhideWhenUsed/>
    <w:qFormat/>
    <w:pPr>
      <w:ind w:left="567" w:right="0" w:firstLine="0"/>
      <w:spacing w:after="57"/>
    </w:pPr>
  </w:style>
  <w:style w:type="paragraph" w:styleId="770">
    <w:name w:val="Plain Text"/>
    <w:basedOn w:val="746"/>
    <w:uiPriority w:val="0"/>
    <w:qFormat/>
    <w:rPr>
      <w:rFonts w:ascii="宋体" w:hAnsi="Courier New" w:eastAsia="楷体_GB2312"/>
      <w:sz w:val="28"/>
      <w:szCs w:val="28"/>
    </w:rPr>
  </w:style>
  <w:style w:type="paragraph" w:styleId="771">
    <w:name w:val="toc 8"/>
    <w:basedOn w:val="746"/>
    <w:next w:val="746"/>
    <w:uiPriority w:val="39"/>
    <w:unhideWhenUsed/>
    <w:qFormat/>
    <w:pPr>
      <w:ind w:left="1984" w:right="0" w:firstLine="0"/>
      <w:spacing w:after="57"/>
    </w:pPr>
  </w:style>
  <w:style w:type="paragraph" w:styleId="772">
    <w:name w:val="endnote text"/>
    <w:basedOn w:val="746"/>
    <w:link w:val="944"/>
    <w:uiPriority w:val="99"/>
    <w:semiHidden/>
    <w:unhideWhenUsed/>
    <w:qFormat/>
    <w:pPr>
      <w:spacing w:after="0" w:line="240" w:lineRule="auto"/>
    </w:pPr>
    <w:rPr>
      <w:sz w:val="20"/>
    </w:rPr>
  </w:style>
  <w:style w:type="paragraph" w:styleId="773">
    <w:name w:val="Balloon Text"/>
    <w:basedOn w:val="746"/>
    <w:link w:val="950"/>
    <w:uiPriority w:val="0"/>
    <w:qFormat/>
    <w:rPr>
      <w:sz w:val="18"/>
      <w:szCs w:val="18"/>
    </w:rPr>
  </w:style>
  <w:style w:type="paragraph" w:styleId="774">
    <w:name w:val="Footer"/>
    <w:basedOn w:val="746"/>
    <w:uiPriority w:val="0"/>
    <w:qFormat/>
    <w:pPr>
      <w:jc w:val="left"/>
      <w:tabs>
        <w:tab w:val="center" w:pos="4153" w:leader="none"/>
        <w:tab w:val="right" w:pos="8306" w:leader="none"/>
      </w:tabs>
    </w:pPr>
    <w:rPr>
      <w:sz w:val="18"/>
      <w:szCs w:val="18"/>
    </w:rPr>
  </w:style>
  <w:style w:type="paragraph" w:styleId="775">
    <w:name w:val="envelope return"/>
    <w:basedOn w:val="746"/>
    <w:uiPriority w:val="99"/>
    <w:qFormat/>
    <w:rPr>
      <w:rFonts w:ascii="Arial" w:hAnsi="Arial" w:cs="Arial"/>
    </w:rPr>
  </w:style>
  <w:style w:type="paragraph" w:styleId="776">
    <w:name w:val="Header"/>
    <w:basedOn w:val="746"/>
    <w:link w:val="953"/>
    <w:uiPriority w:val="0"/>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6"/>
    <w:next w:val="746"/>
    <w:uiPriority w:val="39"/>
    <w:unhideWhenUsed/>
    <w:qFormat/>
    <w:pPr>
      <w:ind w:left="0" w:right="0" w:firstLine="0"/>
      <w:spacing w:after="57"/>
    </w:pPr>
  </w:style>
  <w:style w:type="paragraph" w:styleId="778">
    <w:name w:val="toc 4"/>
    <w:basedOn w:val="746"/>
    <w:next w:val="746"/>
    <w:uiPriority w:val="39"/>
    <w:unhideWhenUsed/>
    <w:qFormat/>
    <w:pPr>
      <w:ind w:left="850" w:right="0" w:firstLine="0"/>
      <w:spacing w:after="57"/>
    </w:pPr>
  </w:style>
  <w:style w:type="paragraph" w:styleId="779">
    <w:name w:val="Subtitle"/>
    <w:basedOn w:val="746"/>
    <w:next w:val="746"/>
    <w:link w:val="810"/>
    <w:uiPriority w:val="11"/>
    <w:qFormat/>
    <w:pPr>
      <w:spacing w:before="200" w:after="200"/>
    </w:pPr>
    <w:rPr>
      <w:sz w:val="24"/>
      <w:szCs w:val="24"/>
    </w:rPr>
  </w:style>
  <w:style w:type="paragraph" w:styleId="780">
    <w:name w:val="footnote text"/>
    <w:basedOn w:val="746"/>
    <w:link w:val="943"/>
    <w:uiPriority w:val="99"/>
    <w:semiHidden/>
    <w:unhideWhenUsed/>
    <w:qFormat/>
    <w:pPr>
      <w:spacing w:after="40" w:line="240" w:lineRule="auto"/>
    </w:pPr>
    <w:rPr>
      <w:sz w:val="18"/>
    </w:rPr>
  </w:style>
  <w:style w:type="paragraph" w:styleId="781">
    <w:name w:val="toc 6"/>
    <w:basedOn w:val="746"/>
    <w:next w:val="746"/>
    <w:uiPriority w:val="39"/>
    <w:unhideWhenUsed/>
    <w:qFormat/>
    <w:pPr>
      <w:ind w:left="1417" w:right="0" w:firstLine="0"/>
      <w:spacing w:after="57"/>
    </w:pPr>
  </w:style>
  <w:style w:type="paragraph" w:styleId="782">
    <w:name w:val="Body Text Indent 3"/>
    <w:basedOn w:val="746"/>
    <w:link w:val="952"/>
    <w:uiPriority w:val="99"/>
    <w:qFormat/>
    <w:pPr>
      <w:ind w:left="2"/>
      <w:spacing w:line="400" w:lineRule="exact"/>
    </w:pPr>
    <w:rPr>
      <w:sz w:val="20"/>
      <w:szCs w:val="20"/>
    </w:rPr>
  </w:style>
  <w:style w:type="paragraph" w:styleId="783">
    <w:name w:val="index 9"/>
    <w:basedOn w:val="746"/>
    <w:next w:val="746"/>
    <w:uiPriority w:val="0"/>
    <w:qFormat/>
    <w:pPr>
      <w:ind w:left="1600"/>
    </w:pPr>
    <w:rPr>
      <w:rFonts w:ascii="Times New Roman" w:hAnsi="Times New Roman" w:eastAsia="宋体" w:cs="Times New Roman"/>
    </w:rPr>
  </w:style>
  <w:style w:type="paragraph" w:styleId="784">
    <w:name w:val="table of figures"/>
    <w:basedOn w:val="746"/>
    <w:next w:val="746"/>
    <w:uiPriority w:val="99"/>
    <w:unhideWhenUsed/>
    <w:qFormat/>
    <w:pPr>
      <w:spacing w:after="0" w:afterAutospacing="0"/>
    </w:pPr>
  </w:style>
  <w:style w:type="paragraph" w:styleId="785">
    <w:name w:val="toc 2"/>
    <w:basedOn w:val="746"/>
    <w:next w:val="746"/>
    <w:uiPriority w:val="39"/>
    <w:unhideWhenUsed/>
    <w:qFormat/>
    <w:pPr>
      <w:ind w:left="283" w:right="0" w:firstLine="0"/>
      <w:spacing w:after="57"/>
    </w:pPr>
  </w:style>
  <w:style w:type="paragraph" w:styleId="786">
    <w:name w:val="toc 9"/>
    <w:basedOn w:val="746"/>
    <w:next w:val="746"/>
    <w:uiPriority w:val="39"/>
    <w:unhideWhenUsed/>
    <w:qFormat/>
    <w:pPr>
      <w:ind w:left="2268" w:right="0" w:firstLine="0"/>
      <w:spacing w:after="57"/>
    </w:pPr>
  </w:style>
  <w:style w:type="paragraph" w:styleId="787">
    <w:name w:val="Normal (Web)"/>
    <w:basedOn w:val="746"/>
    <w:uiPriority w:val="0"/>
    <w:qFormat/>
    <w:pPr>
      <w:jc w:val="left"/>
      <w:spacing w:beforeAutospacing="1" w:afterAutospacing="1"/>
    </w:pPr>
    <w:rPr>
      <w:rFonts w:cs="Times New Roman"/>
      <w:sz w:val="24"/>
    </w:rPr>
  </w:style>
  <w:style w:type="paragraph" w:styleId="788">
    <w:name w:val="Title"/>
    <w:basedOn w:val="746"/>
    <w:next w:val="746"/>
    <w:link w:val="809"/>
    <w:uiPriority w:val="10"/>
    <w:qFormat/>
    <w:pPr>
      <w:contextualSpacing/>
      <w:spacing w:before="300" w:after="200"/>
    </w:pPr>
    <w:rPr>
      <w:sz w:val="48"/>
      <w:szCs w:val="48"/>
    </w:rPr>
  </w:style>
  <w:style w:type="paragraph" w:styleId="789">
    <w:name w:val="annotation subject"/>
    <w:basedOn w:val="762"/>
    <w:next w:val="762"/>
    <w:link w:val="949"/>
    <w:uiPriority w:val="0"/>
    <w:qFormat/>
    <w:rPr>
      <w:b/>
      <w:bCs/>
    </w:rPr>
  </w:style>
  <w:style w:type="paragraph" w:styleId="790">
    <w:name w:val="Body Text First Indent 2"/>
    <w:basedOn w:val="767"/>
    <w:next w:val="791"/>
    <w:uiPriority w:val="0"/>
    <w:qFormat/>
    <w:pPr>
      <w:ind w:left="0" w:firstLine="420"/>
      <w:spacing w:after="0" w:line="360" w:lineRule="auto"/>
    </w:pPr>
    <w:rPr>
      <w:rFonts w:ascii="宋体" w:hAnsi="宋体" w:eastAsia="宋体"/>
      <w:szCs w:val="20"/>
    </w:rPr>
  </w:style>
  <w:style w:type="paragraph" w:styleId="791" w:customStyle="1">
    <w:name w:val="Default"/>
    <w:uiPriority w:val="0"/>
    <w:semiHidden/>
    <w:qFormat/>
    <w:pPr>
      <w:jc w:val="left"/>
      <w:widowControl w:val="off"/>
    </w:pPr>
    <w:rPr>
      <w:rFonts w:hint="default" w:ascii="宋体" w:hAnsi="Calibri" w:eastAsia="宋体" w:cs="宋体"/>
      <w:color w:val="000000"/>
      <w:sz w:val="24"/>
      <w:szCs w:val="21"/>
      <w:lang w:val="en-US" w:eastAsia="zh-CN" w:bidi="ar-SA"/>
    </w:rPr>
  </w:style>
  <w:style w:type="table" w:styleId="792">
    <w:name w:val="Table Grid"/>
    <w:basedOn w:val="75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793">
    <w:name w:val="endnote reference"/>
    <w:basedOn w:val="756"/>
    <w:uiPriority w:val="99"/>
    <w:semiHidden/>
    <w:unhideWhenUsed/>
    <w:qFormat/>
    <w:rPr>
      <w:vertAlign w:val="superscript"/>
    </w:rPr>
  </w:style>
  <w:style w:type="character" w:styleId="794">
    <w:name w:val="Hyperlink"/>
    <w:uiPriority w:val="99"/>
    <w:unhideWhenUsed/>
    <w:qFormat/>
    <w:rPr>
      <w:color w:val="0026e5" w:themeColor="hyperlink"/>
      <w:u w:val="single"/>
      <w14:textFill>
        <w14:solidFill>
          <w14:schemeClr w14:val="hlink"/>
        </w14:solidFill>
      </w14:textFill>
    </w:rPr>
  </w:style>
  <w:style w:type="character" w:styleId="795">
    <w:name w:val="annotation reference"/>
    <w:basedOn w:val="756"/>
    <w:uiPriority w:val="0"/>
    <w:qFormat/>
    <w:rPr>
      <w:sz w:val="21"/>
      <w:szCs w:val="21"/>
    </w:rPr>
  </w:style>
  <w:style w:type="character" w:styleId="796">
    <w:name w:val="footnote reference"/>
    <w:basedOn w:val="756"/>
    <w:uiPriority w:val="99"/>
    <w:unhideWhenUsed/>
    <w:qFormat/>
    <w:rPr>
      <w:vertAlign w:val="superscript"/>
    </w:rPr>
  </w:style>
  <w:style w:type="paragraph" w:styleId="797" w:customStyle="1">
    <w:name w:val="正文 A"/>
    <w:next w:val="766"/>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798" w:customStyle="1">
    <w:name w:val="文本块1"/>
    <w:basedOn w:val="746"/>
    <w:uiPriority w:val="99"/>
    <w:qFormat/>
    <w:pPr>
      <w:ind w:left="1440" w:right="1440"/>
      <w:spacing w:after="120"/>
      <w:tabs>
        <w:tab w:val="left" w:pos="9000" w:leader="none"/>
      </w:tabs>
    </w:pPr>
    <w:rPr>
      <w:rFonts w:ascii="Times New Roman" w:hAnsi="Times New Roman"/>
    </w:rPr>
  </w:style>
  <w:style w:type="character" w:styleId="799" w:customStyle="1">
    <w:name w:val="Heading 1 Char"/>
    <w:basedOn w:val="756"/>
    <w:link w:val="747"/>
    <w:uiPriority w:val="9"/>
    <w:qFormat/>
    <w:rPr>
      <w:rFonts w:ascii="Arial" w:hAnsi="Arial" w:eastAsia="Arial" w:cs="Arial"/>
      <w:sz w:val="40"/>
      <w:szCs w:val="40"/>
    </w:rPr>
  </w:style>
  <w:style w:type="character" w:styleId="800" w:customStyle="1">
    <w:name w:val="Heading 2 Char"/>
    <w:basedOn w:val="756"/>
    <w:link w:val="748"/>
    <w:uiPriority w:val="9"/>
    <w:qFormat/>
    <w:rPr>
      <w:rFonts w:ascii="Arial" w:hAnsi="Arial" w:eastAsia="Arial" w:cs="Arial"/>
      <w:sz w:val="34"/>
    </w:rPr>
  </w:style>
  <w:style w:type="character" w:styleId="801" w:customStyle="1">
    <w:name w:val="Heading 3 Char"/>
    <w:basedOn w:val="756"/>
    <w:link w:val="749"/>
    <w:uiPriority w:val="9"/>
    <w:qFormat/>
    <w:rPr>
      <w:rFonts w:ascii="Arial" w:hAnsi="Arial" w:eastAsia="Arial" w:cs="Arial"/>
      <w:sz w:val="30"/>
      <w:szCs w:val="30"/>
    </w:rPr>
  </w:style>
  <w:style w:type="character" w:styleId="802" w:customStyle="1">
    <w:name w:val="Heading 4 Char"/>
    <w:basedOn w:val="756"/>
    <w:link w:val="750"/>
    <w:uiPriority w:val="9"/>
    <w:qFormat/>
    <w:rPr>
      <w:rFonts w:ascii="Arial" w:hAnsi="Arial" w:eastAsia="Arial" w:cs="Arial"/>
      <w:b/>
      <w:bCs/>
      <w:sz w:val="26"/>
      <w:szCs w:val="26"/>
    </w:rPr>
  </w:style>
  <w:style w:type="character" w:styleId="803" w:customStyle="1">
    <w:name w:val="Heading 5 Char"/>
    <w:basedOn w:val="756"/>
    <w:link w:val="751"/>
    <w:uiPriority w:val="9"/>
    <w:qFormat/>
    <w:rPr>
      <w:rFonts w:ascii="Arial" w:hAnsi="Arial" w:eastAsia="Arial" w:cs="Arial"/>
      <w:b/>
      <w:bCs/>
      <w:sz w:val="24"/>
      <w:szCs w:val="24"/>
    </w:rPr>
  </w:style>
  <w:style w:type="character" w:styleId="804" w:customStyle="1">
    <w:name w:val="Heading 6 Char"/>
    <w:basedOn w:val="756"/>
    <w:link w:val="752"/>
    <w:uiPriority w:val="9"/>
    <w:qFormat/>
    <w:rPr>
      <w:rFonts w:ascii="Arial" w:hAnsi="Arial" w:eastAsia="Arial" w:cs="Arial"/>
      <w:b/>
      <w:bCs/>
      <w:sz w:val="22"/>
      <w:szCs w:val="22"/>
    </w:rPr>
  </w:style>
  <w:style w:type="character" w:styleId="805" w:customStyle="1">
    <w:name w:val="Heading 7 Char"/>
    <w:basedOn w:val="756"/>
    <w:link w:val="753"/>
    <w:uiPriority w:val="9"/>
    <w:qFormat/>
    <w:rPr>
      <w:rFonts w:ascii="Arial" w:hAnsi="Arial" w:eastAsia="Arial" w:cs="Arial"/>
      <w:b/>
      <w:bCs/>
      <w:i/>
      <w:iCs/>
      <w:sz w:val="22"/>
      <w:szCs w:val="22"/>
    </w:rPr>
  </w:style>
  <w:style w:type="character" w:styleId="806" w:customStyle="1">
    <w:name w:val="Heading 8 Char"/>
    <w:basedOn w:val="756"/>
    <w:link w:val="754"/>
    <w:uiPriority w:val="9"/>
    <w:qFormat/>
    <w:rPr>
      <w:rFonts w:ascii="Arial" w:hAnsi="Arial" w:eastAsia="Arial" w:cs="Arial"/>
      <w:i/>
      <w:iCs/>
      <w:sz w:val="22"/>
      <w:szCs w:val="22"/>
    </w:rPr>
  </w:style>
  <w:style w:type="character" w:styleId="807" w:customStyle="1">
    <w:name w:val="Heading 9 Char"/>
    <w:basedOn w:val="756"/>
    <w:link w:val="755"/>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basedOn w:val="756"/>
    <w:link w:val="788"/>
    <w:uiPriority w:val="10"/>
    <w:qFormat/>
    <w:rPr>
      <w:sz w:val="48"/>
      <w:szCs w:val="48"/>
    </w:rPr>
  </w:style>
  <w:style w:type="character" w:styleId="810" w:customStyle="1">
    <w:name w:val="Subtitle Char"/>
    <w:basedOn w:val="756"/>
    <w:link w:val="779"/>
    <w:uiPriority w:val="11"/>
    <w:qFormat/>
    <w:rPr>
      <w:sz w:val="24"/>
      <w:szCs w:val="24"/>
    </w:rPr>
  </w:style>
  <w:style w:type="paragraph" w:styleId="811">
    <w:name w:val="Quote"/>
    <w:basedOn w:val="746"/>
    <w:next w:val="746"/>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46"/>
    <w:next w:val="746"/>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basedOn w:val="756"/>
    <w:uiPriority w:val="99"/>
    <w:qFormat/>
  </w:style>
  <w:style w:type="character" w:styleId="816" w:customStyle="1">
    <w:name w:val="Footer Char"/>
    <w:basedOn w:val="756"/>
    <w:uiPriority w:val="99"/>
    <w:qFormat/>
  </w:style>
  <w:style w:type="character" w:styleId="817" w:customStyle="1">
    <w:name w:val="Caption Char"/>
    <w:uiPriority w:val="99"/>
    <w:qFormat/>
  </w:style>
  <w:style w:type="table" w:styleId="818" w:customStyle="1">
    <w:name w:val="Table Grid Light"/>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8"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7" w:customStyle="1">
    <w:name w:val="Grid Table 4 - Accent 2"/>
    <w:basedOn w:val="7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8" w:customStyle="1">
    <w:name w:val="Grid Table 4 - Accent 3"/>
    <w:basedOn w:val="7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9" w:customStyle="1">
    <w:name w:val="Grid Table 4 - Accent 4"/>
    <w:basedOn w:val="7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0" w:customStyle="1">
    <w:name w:val="Grid Table 4 - Accent 5"/>
    <w:basedOn w:val="7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1" w:customStyle="1">
    <w:name w:val="Grid Table 4 - Accent 6"/>
    <w:basedOn w:val="7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2"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4"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5"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6"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7"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8"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9"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3" w:customStyle="1">
    <w:name w:val="Grid Table 6 Colorful - Accent 4"/>
    <w:basedOn w:val="7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5" w:customStyle="1">
    <w:name w:val="Grid Table 6 Colorful - Accent 6"/>
    <w:basedOn w:val="7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6"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2" w:customStyle="1">
    <w:name w:val="List Table 2 - Accent 2"/>
    <w:basedOn w:val="7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3" w:customStyle="1">
    <w:name w:val="List Table 2 - Accent 3"/>
    <w:basedOn w:val="7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4" w:customStyle="1">
    <w:name w:val="List Table 2 - Accent 4"/>
    <w:basedOn w:val="7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5" w:customStyle="1">
    <w:name w:val="List Table 2 - Accent 5"/>
    <w:basedOn w:val="7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6" w:customStyle="1">
    <w:name w:val="List Table 2 - Accent 6"/>
    <w:basedOn w:val="7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7"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9" w:customStyle="1">
    <w:name w:val="List Table 3 - Accent 2"/>
    <w:basedOn w:val="7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4"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6" w:customStyle="1">
    <w:name w:val="List Table 4 - Accent 2"/>
    <w:basedOn w:val="7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7" w:customStyle="1">
    <w:name w:val="List Table 4 - Accent 3"/>
    <w:basedOn w:val="7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8" w:customStyle="1">
    <w:name w:val="List Table 4 - Accent 4"/>
    <w:basedOn w:val="7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9" w:customStyle="1">
    <w:name w:val="List Table 4 - Accent 5"/>
    <w:basedOn w:val="7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0" w:customStyle="1">
    <w:name w:val="List Table 4 - Accent 6"/>
    <w:basedOn w:val="7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1"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0" w:customStyle="1">
    <w:name w:val="List Table 6 Colorful - Accent 2"/>
    <w:basedOn w:val="7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1" w:customStyle="1">
    <w:name w:val="List Table 6 Colorful - Accent 3"/>
    <w:basedOn w:val="7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2" w:customStyle="1">
    <w:name w:val="List Table 6 Colorful - Accent 4"/>
    <w:basedOn w:val="7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3" w:customStyle="1">
    <w:name w:val="List Table 6 Colorful - Accent 5"/>
    <w:basedOn w:val="7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4" w:customStyle="1">
    <w:name w:val="List Table 6 Colorful - Accent 6"/>
    <w:basedOn w:val="7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4"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5"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6"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7"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8"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9" w:customStyle="1">
    <w:name w:val="Bordered &amp; Lined - Accent"/>
    <w:basedOn w:val="7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1" w:customStyle="1">
    <w:name w:val="Bordered &amp; Lined - Accent 2"/>
    <w:basedOn w:val="7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2" w:customStyle="1">
    <w:name w:val="Bordered &amp; Lined - Accent 3"/>
    <w:basedOn w:val="7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3" w:customStyle="1">
    <w:name w:val="Bordered &amp; Lined - Accent 4"/>
    <w:basedOn w:val="7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4" w:customStyle="1">
    <w:name w:val="Bordered &amp; Lined - Accent 5"/>
    <w:basedOn w:val="7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5" w:customStyle="1">
    <w:name w:val="Bordered &amp; Lined - Accent 6"/>
    <w:basedOn w:val="7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6" w:customStyle="1">
    <w:name w:val="Bordered"/>
    <w:basedOn w:val="7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8" w:customStyle="1">
    <w:name w:val="Bordered - Accent 2"/>
    <w:basedOn w:val="7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9" w:customStyle="1">
    <w:name w:val="Bordered - Accent 3"/>
    <w:basedOn w:val="7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0" w:customStyle="1">
    <w:name w:val="Bordered - Accent 4"/>
    <w:basedOn w:val="7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1" w:customStyle="1">
    <w:name w:val="Bordered - Accent 5"/>
    <w:basedOn w:val="7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2" w:customStyle="1">
    <w:name w:val="Bordered - Accent 6"/>
    <w:basedOn w:val="7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3" w:customStyle="1">
    <w:name w:val="Footnote Text Char"/>
    <w:link w:val="780"/>
    <w:uiPriority w:val="99"/>
    <w:qFormat/>
    <w:rPr>
      <w:sz w:val="18"/>
    </w:rPr>
  </w:style>
  <w:style w:type="character" w:styleId="944" w:customStyle="1">
    <w:name w:val="Endnote Text Char"/>
    <w:link w:val="772"/>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
    <w:basedOn w:val="746"/>
    <w:next w:val="746"/>
    <w:uiPriority w:val="0"/>
    <w:qFormat/>
    <w:pPr>
      <w:jc w:val="center"/>
      <w:keepNext/>
      <w:outlineLvl w:val="0"/>
    </w:pPr>
    <w:rPr>
      <w:rFonts w:ascii="楷体_GB2312" w:eastAsia="楷体_GB2312"/>
      <w:sz w:val="28"/>
      <w:szCs w:val="28"/>
    </w:rPr>
  </w:style>
  <w:style w:type="paragraph" w:styleId="947" w:customStyle="1">
    <w:name w:val="普通(网站)1"/>
    <w:basedOn w:val="746"/>
    <w:uiPriority w:val="0"/>
    <w:qFormat/>
    <w:pPr>
      <w:jc w:val="left"/>
      <w:spacing w:before="100" w:beforeAutospacing="1" w:after="100" w:afterAutospacing="1"/>
      <w:widowControl/>
    </w:pPr>
    <w:rPr>
      <w:rFonts w:ascii="宋体" w:hAnsi="宋体" w:cs="宋体"/>
      <w:sz w:val="24"/>
    </w:rPr>
  </w:style>
  <w:style w:type="character" w:styleId="948" w:customStyle="1">
    <w:name w:val="批注文字 Char"/>
    <w:basedOn w:val="756"/>
    <w:link w:val="762"/>
    <w:uiPriority w:val="0"/>
    <w:qFormat/>
    <w:rPr>
      <w:rFonts w:asciiTheme="minorHAnsi" w:hAnsiTheme="minorHAnsi" w:eastAsiaTheme="minorEastAsia" w:cstheme="minorBidi"/>
      <w:sz w:val="21"/>
      <w:szCs w:val="24"/>
    </w:rPr>
  </w:style>
  <w:style w:type="character" w:styleId="949" w:customStyle="1">
    <w:name w:val="批注主题 Char"/>
    <w:basedOn w:val="948"/>
    <w:link w:val="789"/>
    <w:uiPriority w:val="0"/>
    <w:qFormat/>
    <w:rPr>
      <w:b/>
      <w:bCs/>
    </w:rPr>
  </w:style>
  <w:style w:type="character" w:styleId="950" w:customStyle="1">
    <w:name w:val="批注框文本 Char"/>
    <w:basedOn w:val="756"/>
    <w:link w:val="773"/>
    <w:uiPriority w:val="0"/>
    <w:qFormat/>
    <w:rPr>
      <w:rFonts w:asciiTheme="minorHAnsi" w:hAnsiTheme="minorHAnsi" w:eastAsiaTheme="minorEastAsia" w:cstheme="minorBidi"/>
      <w:sz w:val="18"/>
      <w:szCs w:val="18"/>
    </w:rPr>
  </w:style>
  <w:style w:type="paragraph" w:styleId="951">
    <w:name w:val="List Paragraph"/>
    <w:basedOn w:val="746"/>
    <w:uiPriority w:val="99"/>
    <w:unhideWhenUsed/>
    <w:qFormat/>
    <w:pPr>
      <w:ind w:firstLine="420"/>
    </w:pPr>
  </w:style>
  <w:style w:type="character" w:styleId="952" w:customStyle="1">
    <w:name w:val="正文文本缩进 3 Char"/>
    <w:basedOn w:val="756"/>
    <w:link w:val="782"/>
    <w:uiPriority w:val="99"/>
    <w:qFormat/>
    <w:rPr>
      <w:rFonts w:asciiTheme="minorHAnsi" w:hAnsiTheme="minorHAnsi" w:eastAsiaTheme="minorEastAsia" w:cstheme="minorBidi"/>
    </w:rPr>
  </w:style>
  <w:style w:type="character" w:styleId="953" w:customStyle="1">
    <w:name w:val="页眉 Char"/>
    <w:basedOn w:val="756"/>
    <w:link w:val="776"/>
    <w:uiPriority w:val="0"/>
    <w:qFormat/>
    <w:rPr>
      <w:rFonts w:asciiTheme="minorHAnsi" w:hAnsiTheme="minorHAnsi" w:eastAsiaTheme="minorEastAsia" w:cstheme="minorBidi"/>
      <w:sz w:val="18"/>
      <w:szCs w:val="18"/>
    </w:rPr>
  </w:style>
  <w:style w:type="paragraph" w:styleId="954" w:customStyle="1">
    <w:name w:val="标题 21"/>
    <w:basedOn w:val="746"/>
    <w:next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正文缩进1"/>
    <w:basedOn w:val="746"/>
    <w:uiPriority w:val="0"/>
    <w:qFormat/>
    <w:pPr>
      <w:ind w:firstLine="420"/>
    </w:pPr>
  </w:style>
  <w:style w:type="paragraph" w:styleId="956" w:customStyle="1">
    <w:name w:val="Plain Text"/>
    <w:basedOn w:val="746"/>
    <w:uiPriority w:val="0"/>
    <w:qFormat/>
    <w:rPr>
      <w:rFonts w:ascii="宋体" w:hAnsi="Courier New"/>
      <w:sz w:val="28"/>
    </w:rPr>
  </w:style>
  <w:style w:type="paragraph" w:styleId="957"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页脚1"/>
    <w:basedOn w:val="746"/>
    <w:uiPriority w:val="0"/>
    <w:qFormat/>
    <w:pPr>
      <w:jc w:val="left"/>
      <w:tabs>
        <w:tab w:val="center" w:pos="4153" w:leader="none"/>
        <w:tab w:val="right" w:pos="8306" w:leader="none"/>
      </w:tabs>
    </w:pPr>
    <w:rPr>
      <w:sz w:val="18"/>
      <w:szCs w:val="18"/>
    </w:rPr>
  </w:style>
  <w:style w:type="character" w:styleId="959" w:customStyle="1">
    <w:name w:val="页码1"/>
    <w:basedOn w:val="960"/>
    <w:link w:val="746"/>
    <w:uiPriority w:val="0"/>
    <w:qFormat/>
    <w:rPr>
      <w:rFonts w:asciiTheme="minorHAnsi" w:hAnsiTheme="minorHAnsi" w:eastAsiaTheme="minorEastAsia" w:cstheme="minorBidi"/>
      <w:sz w:val="21"/>
      <w:szCs w:val="24"/>
      <w:lang w:val="en-US" w:eastAsia="zh-CN" w:bidi="ar-SA"/>
    </w:rPr>
  </w:style>
  <w:style w:type="character" w:styleId="960" w:customStyle="1">
    <w:name w:val="默认段落字体1"/>
    <w:link w:val="746"/>
    <w:uiPriority w:val="0"/>
    <w:semiHidden/>
    <w:qFormat/>
  </w:style>
  <w:style w:type="paragraph" w:styleId="961" w:customStyle="1">
    <w:name w:val="Body Text1"/>
    <w:basedOn w:val="746"/>
    <w:next w:val="746"/>
    <w:uiPriority w:val="0"/>
    <w:qFormat/>
    <w:pPr>
      <w:spacing w:after="120"/>
    </w:pPr>
    <w:rPr>
      <w:sz w:val="28"/>
    </w:rPr>
  </w:style>
  <w:style w:type="paragraph" w:styleId="962" w:customStyle="1">
    <w:name w:val="正文首行缩进1"/>
    <w:basedOn w:val="746"/>
    <w:uiPriority w:val="0"/>
    <w:unhideWhenUsed/>
    <w:qFormat/>
    <w:pPr>
      <w:ind w:firstLine="420"/>
      <w:jc w:val="both"/>
      <w:spacing w:after="120"/>
      <w:widowControl w:val="off"/>
    </w:pPr>
    <w:rPr>
      <w:rFonts w:ascii="Calibri" w:hAnsi="Calibri" w:eastAsia="宋体" w:cs="Times New Roman"/>
      <w:sz w:val="21"/>
      <w:szCs w:val="22"/>
      <w:lang w:val="en-US" w:eastAsia="zh-CN" w:bidi="ar-SA"/>
    </w:rPr>
  </w:style>
  <w:style w:type="paragraph" w:styleId="963" w:customStyle="1">
    <w:name w:val="TOC 71"/>
    <w:basedOn w:val="746"/>
    <w:next w:val="746"/>
    <w:uiPriority w:val="0"/>
    <w:qFormat/>
    <w:pPr>
      <w:ind w:left="2550"/>
      <w:spacing w:before="100" w:beforeAutospacing="1" w:after="100" w:afterAutospacing="1"/>
      <w:widowControl/>
    </w:pPr>
    <w:rPr>
      <w:rFonts w:ascii="Times New Roman" w:hAnsi="Times New Roman" w:eastAsia="宋体" w:cs="Times New Roman"/>
      <w:szCs w:val="21"/>
    </w:rPr>
  </w:style>
  <w:style w:type="paragraph" w:styleId="964" w:customStyle="1">
    <w:name w:val="列出段落1"/>
    <w:basedOn w:val="746"/>
    <w:uiPriority w:val="0"/>
    <w:qFormat/>
    <w:pPr>
      <w:contextualSpacing/>
      <w:ind w:left="720"/>
      <w:jc w:val="left"/>
      <w:spacing w:before="100" w:beforeAutospacing="1" w:after="100" w:afterAutospacing="1"/>
      <w:widowControl/>
    </w:pPr>
    <w:rPr>
      <w:rFonts w:ascii="Calibri" w:hAnsi="Calibri" w:eastAsia="等线" w:cs="Calibri"/>
      <w:sz w:val="24"/>
      <w:szCs w:val="24"/>
    </w:rPr>
  </w:style>
  <w:style w:type="paragraph" w:styleId="965" w:customStyle="1">
    <w:name w:val="标题 311"/>
    <w:basedOn w:val="746"/>
    <w:next w:val="966"/>
    <w:uiPriority w:val="99"/>
    <w:qFormat/>
    <w:pPr>
      <w:keepLines/>
      <w:keepNext/>
      <w:spacing w:before="260" w:after="260" w:line="412" w:lineRule="auto"/>
      <w:outlineLvl w:val="2"/>
    </w:pPr>
    <w:rPr>
      <w:b/>
      <w:bCs/>
      <w:sz w:val="32"/>
      <w:szCs w:val="32"/>
    </w:rPr>
  </w:style>
  <w:style w:type="paragraph" w:styleId="966" w:customStyle="1">
    <w:name w:val="正文缩进11"/>
    <w:basedOn w:val="746"/>
    <w:uiPriority w:val="99"/>
    <w:unhideWhenUsed/>
    <w:qFormat/>
    <w:pPr>
      <w:ind w:firstLine="420"/>
    </w:pPr>
  </w:style>
  <w:style w:type="paragraph" w:styleId="967" w:customStyle="1">
    <w:name w:val="Char"/>
    <w:basedOn w:val="746"/>
    <w:uiPriority w:val="0"/>
    <w:qFormat/>
    <w:pPr>
      <w:ind w:firstLine="200"/>
    </w:pPr>
    <w:rPr>
      <w:sz w:val="28"/>
      <w:szCs w:val="28"/>
    </w:rPr>
  </w:style>
  <w:style w:type="paragraph" w:styleId="968" w:customStyle="1">
    <w:name w:val="标题 411"/>
    <w:basedOn w:val="746"/>
    <w:next w:val="746"/>
    <w:uiPriority w:val="99"/>
    <w:qFormat/>
    <w:pPr>
      <w:keepLines/>
      <w:keepNext/>
      <w:spacing w:before="280" w:after="290" w:line="374" w:lineRule="auto"/>
      <w:outlineLvl w:val="3"/>
    </w:pPr>
    <w:rPr>
      <w:rFonts w:ascii="Arial" w:hAnsi="Arial" w:eastAsia="黑体"/>
      <w:b/>
      <w:bCs/>
      <w:sz w:val="28"/>
      <w:szCs w:val="28"/>
    </w:rPr>
  </w:style>
  <w:style w:type="paragraph" w:styleId="969" w:customStyle="1">
    <w:name w:val="正文空2格  1."/>
    <w:basedOn w:val="746"/>
    <w:uiPriority w:val="0"/>
    <w:qFormat/>
    <w:pPr>
      <w:ind w:firstLine="480"/>
    </w:pPr>
    <w:rPr>
      <w:rFonts w:cs="宋体"/>
      <w:szCs w:val="20"/>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豆豆长痘痘</dc:creator>
  <cp:lastModifiedBy>盐城现代建设工程项目管理有限公司</cp:lastModifiedBy>
  <cp:revision>71</cp:revision>
  <dcterms:created xsi:type="dcterms:W3CDTF">2023-11-14T01:12:00Z</dcterms:created>
  <dcterms:modified xsi:type="dcterms:W3CDTF">2024-04-28T08:54:19Z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0C31619EEE154EA192A09D03C2FAC07E_13</vt:lpwstr>
  </property>
</Properties>
</file>