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rPr>
      </w:pPr>
      <w:r>
        <w:rPr>
          <w:rFonts w:ascii="宋体" w:hAnsi="宋体" w:cs="宋体"/>
          <w:b/>
          <w:sz w:val="84"/>
        </w:r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hint="eastAsia" w:ascii="宋体" w:hAnsi="宋体" w:cs="宋体"/>
          <w:b/>
          <w:sz w:val="36"/>
        </w:rPr>
        <w:t xml:space="preserve">项目</w:t>
      </w:r>
      <w:r>
        <w:rPr>
          <w:rFonts w:hint="eastAsia" w:ascii="宋体" w:hAnsi="宋体" w:cs="宋体"/>
          <w:b/>
          <w:sz w:val="36"/>
          <w:szCs w:val="36"/>
        </w:rPr>
        <w:t xml:space="preserve">名称</w:t>
      </w:r>
      <w:r>
        <w:rPr>
          <w:rFonts w:hint="eastAsia" w:ascii="宋体" w:hAnsi="宋体" w:cs="宋体"/>
          <w:b/>
          <w:sz w:val="36"/>
        </w:rPr>
        <w:t xml:space="preserve">：</w:t>
      </w:r>
      <w:r>
        <w:rPr>
          <w:rFonts w:hint="eastAsia" w:ascii="宋体" w:hAnsi="宋体" w:cs="宋体"/>
          <w:b/>
          <w:sz w:val="36"/>
          <w:szCs w:val="36"/>
        </w:rPr>
        <w:t xml:space="preserve">官塘桥路、金桥大道绿化养护项目</w:t>
      </w:r>
      <w:r/>
    </w:p>
    <w:p>
      <w:pPr>
        <w:jc w:val="center"/>
        <w:spacing w:line="360" w:lineRule="auto"/>
        <w:rPr>
          <w:rFonts w:ascii="宋体" w:hAnsi="宋体" w:cs="宋体"/>
          <w:sz w:val="32"/>
        </w:rPr>
      </w:pPr>
      <w:r>
        <w:rPr>
          <w:rFonts w:ascii="宋体" w:hAnsi="宋体" w:cs="宋体"/>
          <w:sz w:val="32"/>
        </w:rPr>
      </w:r>
      <w:r/>
    </w:p>
    <w:p>
      <w:pPr>
        <w:jc w:val="center"/>
        <w:rPr>
          <w:rFonts w:ascii="宋体" w:hAnsi="宋体" w:cs="宋体"/>
          <w:b/>
          <w:sz w:val="36"/>
          <w:szCs w:val="36"/>
        </w:rPr>
      </w:pPr>
      <w:r>
        <w:rPr>
          <w:rFonts w:hint="eastAsia" w:ascii="宋体" w:hAnsi="宋体" w:cs="宋体"/>
          <w:b/>
          <w:sz w:val="36"/>
        </w:rPr>
        <w:t xml:space="preserve">项目编号：</w:t>
      </w:r>
      <w:r>
        <w:rPr>
          <w:rFonts w:hint="eastAsia" w:ascii="宋体" w:hAnsi="宋体" w:cs="宋体"/>
          <w:b/>
          <w:sz w:val="36"/>
          <w:szCs w:val="36"/>
        </w:rPr>
        <w:tab/>
      </w:r>
      <w:r>
        <w:rPr>
          <w:rFonts w:hint="eastAsia" w:ascii="宋体" w:hAnsi="宋体" w:cs="宋体"/>
          <w:b/>
          <w:sz w:val="36"/>
          <w:szCs w:val="36"/>
        </w:rPr>
        <w:t xml:space="preserve">JSZC-321100-TXJS-G2025-0039</w:t>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sz w:val="32"/>
          <w:szCs w:val="32"/>
        </w:rPr>
      </w:pPr>
      <w:r>
        <w:rPr>
          <w:rFonts w:ascii="宋体" w:hAnsi="宋体" w:cs="宋体"/>
          <w:sz w:val="32"/>
          <w:szCs w:val="32"/>
        </w:rPr>
      </w:r>
      <w:r/>
    </w:p>
    <w:p>
      <w:r/>
      <w:r/>
    </w:p>
    <w:p>
      <w:r/>
      <w:r/>
    </w:p>
    <w:p>
      <w:r/>
      <w:r/>
    </w:p>
    <w:p>
      <w:r/>
      <w:r/>
    </w:p>
    <w:p>
      <w:pPr>
        <w:jc w:val="center"/>
        <w:spacing w:line="360" w:lineRule="auto"/>
        <w:rPr>
          <w:rFonts w:ascii="宋体" w:hAnsi="宋体" w:cs="宋体"/>
          <w:b/>
          <w:sz w:val="36"/>
          <w:szCs w:val="36"/>
        </w:rPr>
      </w:pPr>
      <w:r>
        <w:rPr>
          <w:rFonts w:hint="eastAsia" w:ascii="宋体" w:hAnsi="宋体" w:cs="宋体"/>
          <w:b/>
          <w:sz w:val="36"/>
          <w:szCs w:val="36"/>
        </w:rPr>
        <w:t xml:space="preserve">江苏天信建设项目咨询有限公司</w:t>
      </w:r>
      <w:r/>
    </w:p>
    <w:p>
      <w:pPr>
        <w:jc w:val="center"/>
        <w:spacing w:line="360" w:lineRule="auto"/>
        <w:rPr>
          <w:rFonts w:ascii="宋体" w:hAnsi="宋体" w:cs="宋体"/>
          <w:b/>
          <w:sz w:val="36"/>
          <w:szCs w:val="36"/>
        </w:rPr>
      </w:pPr>
      <w:r>
        <w:rPr>
          <w:rFonts w:ascii="宋体" w:hAnsi="宋体" w:cs="宋体"/>
          <w:b/>
          <w:sz w:val="36"/>
          <w:szCs w:val="36"/>
        </w:rPr>
      </w:r>
      <w:r/>
    </w:p>
    <w:p>
      <w:pPr>
        <w:jc w:val="center"/>
        <w:rPr>
          <w:rFonts w:hint="default" w:ascii="宋体" w:hAnsi="宋体" w:eastAsia="宋体" w:cs="宋体"/>
          <w:b/>
          <w:sz w:val="36"/>
          <w:szCs w:val="36"/>
          <w:lang w:val="en-US" w:eastAsia="zh-CN"/>
        </w:rPr>
      </w:pPr>
      <w:r>
        <w:rPr>
          <w:rFonts w:hint="eastAsia" w:ascii="宋体" w:hAnsi="宋体" w:cs="宋体"/>
          <w:b/>
          <w:sz w:val="36"/>
          <w:szCs w:val="36"/>
        </w:rPr>
        <w:t xml:space="preserve">2025-</w:t>
      </w:r>
      <w:r>
        <w:rPr>
          <w:rFonts w:hint="eastAsia" w:ascii="宋体" w:hAnsi="宋体" w:cs="宋体"/>
          <w:b/>
          <w:sz w:val="36"/>
          <w:szCs w:val="36"/>
          <w:lang w:val="en-US" w:eastAsia="zh-CN"/>
        </w:rPr>
        <w:t xml:space="preserve">10</w:t>
      </w:r>
      <w:r>
        <w:rPr>
          <w:rFonts w:hint="eastAsia" w:ascii="宋体" w:hAnsi="宋体" w:cs="宋体"/>
          <w:b/>
          <w:sz w:val="36"/>
          <w:szCs w:val="36"/>
        </w:rPr>
        <w:t xml:space="preserve">-</w:t>
      </w:r>
      <w:r>
        <w:rPr>
          <w:rFonts w:hint="eastAsia" w:ascii="宋体" w:hAnsi="宋体" w:cs="宋体"/>
          <w:b/>
          <w:sz w:val="36"/>
          <w:szCs w:val="36"/>
          <w:lang w:val="en-US" w:eastAsia="zh-CN"/>
        </w:rPr>
        <w:t xml:space="preserve">28</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center"/>
        <w:rPr>
          <w:rFonts w:ascii="宋体" w:hAnsi="宋体"/>
          <w:sz w:val="28"/>
          <w:szCs w:val="28"/>
        </w:rPr>
      </w:pPr>
      <w:r>
        <w:rPr>
          <w:rFonts w:hint="eastAsia" w:ascii="宋体" w:hAnsi="宋体" w:cs="宋体"/>
          <w:b/>
          <w:sz w:val="44"/>
        </w:rPr>
        <w:t xml:space="preserve">招标文件目录</w:t>
      </w:r>
      <w:r/>
    </w:p>
    <w:sdt>
      <w:sdtPr>
        <w15:appearance w15:val="boundingBox"/>
        <w:id w:val="-1782870411"/>
        <w:docPartObj>
          <w:docPartGallery w:val="Table of Contents"/>
          <w:docPartUnique w:val="true"/>
        </w:docPartObj>
        <w:rPr/>
      </w:sdtPr>
      <w:sdtContent>
        <w:p>
          <w:r/>
          <w:r/>
        </w:p>
        <w:p>
          <w:pPr>
            <w:pStyle w:val="840"/>
            <w:tabs>
              <w:tab w:val="right" w:pos="8296" w:leader="dot"/>
            </w:tabs>
          </w:pPr>
          <w:r>
            <w:fldChar w:fldCharType="begin"/>
          </w:r>
          <w:r>
            <w:instrText xml:space="preserve"> TOC \o "1-3" \h \z \u </w:instrText>
          </w:r>
          <w:r>
            <w:fldChar w:fldCharType="separate"/>
          </w:r>
          <w:r>
            <w:fldChar w:fldCharType="begin"/>
          </w:r>
          <w:r>
            <w:instrText xml:space="preserve"> HYPERLINK \l "_Toc209020091" </w:instrText>
          </w:r>
          <w:r>
            <w:fldChar w:fldCharType="separate"/>
          </w:r>
          <w:r>
            <w:rPr>
              <w:rStyle w:val="847"/>
              <w:rFonts w:hint="eastAsia" w:ascii="宋体" w:hAnsi="宋体"/>
            </w:rPr>
            <w:t xml:space="preserve">第一部分、投标邀请</w:t>
          </w:r>
          <w:r>
            <w:tab/>
          </w:r>
          <w:r>
            <w:fldChar w:fldCharType="begin"/>
          </w:r>
          <w:r>
            <w:instrText xml:space="preserve"> PAGEREF _Toc209020091 \h </w:instrText>
          </w:r>
          <w:r>
            <w:fldChar w:fldCharType="separate"/>
          </w:r>
          <w:r>
            <w:t xml:space="preserve">5</w:t>
          </w:r>
          <w:r>
            <w:fldChar w:fldCharType="end"/>
          </w:r>
          <w:r>
            <w:fldChar w:fldCharType="end"/>
          </w:r>
          <w:r/>
        </w:p>
        <w:p>
          <w:pPr>
            <w:pStyle w:val="844"/>
            <w:tabs>
              <w:tab w:val="right" w:pos="8296" w:leader="dot"/>
            </w:tabs>
          </w:pPr>
          <w:r>
            <w:fldChar w:fldCharType="begin"/>
          </w:r>
          <w:r>
            <w:instrText xml:space="preserve"> HYPERLINK \l "_Toc209020092" </w:instrText>
          </w:r>
          <w:r>
            <w:fldChar w:fldCharType="separate"/>
          </w:r>
          <w:r>
            <w:rPr>
              <w:rStyle w:val="847"/>
              <w:rFonts w:hint="eastAsia"/>
            </w:rPr>
            <w:t xml:space="preserve">一、项目基本情况</w:t>
          </w:r>
          <w:r>
            <w:tab/>
          </w:r>
          <w:r>
            <w:fldChar w:fldCharType="begin"/>
          </w:r>
          <w:r>
            <w:instrText xml:space="preserve"> PAGEREF _Toc209020092 \h </w:instrText>
          </w:r>
          <w:r>
            <w:fldChar w:fldCharType="separate"/>
          </w:r>
          <w:r>
            <w:t xml:space="preserve">5</w:t>
          </w:r>
          <w:r>
            <w:fldChar w:fldCharType="end"/>
          </w:r>
          <w:r>
            <w:fldChar w:fldCharType="end"/>
          </w:r>
          <w:r/>
        </w:p>
        <w:p>
          <w:pPr>
            <w:pStyle w:val="844"/>
            <w:tabs>
              <w:tab w:val="right" w:pos="8296" w:leader="dot"/>
            </w:tabs>
          </w:pPr>
          <w:r>
            <w:fldChar w:fldCharType="begin"/>
          </w:r>
          <w:r>
            <w:instrText xml:space="preserve"> HYPERLINK \l "_Toc209020093" </w:instrText>
          </w:r>
          <w:r>
            <w:fldChar w:fldCharType="separate"/>
          </w:r>
          <w:r>
            <w:rPr>
              <w:rStyle w:val="847"/>
              <w:rFonts w:hint="eastAsia"/>
            </w:rPr>
            <w:t xml:space="preserve">二、申请人的资格要求</w:t>
          </w:r>
          <w:r>
            <w:rPr>
              <w:rStyle w:val="847"/>
            </w:rPr>
            <w:t xml:space="preserve">:</w:t>
          </w:r>
          <w:r>
            <w:tab/>
          </w:r>
          <w:r>
            <w:fldChar w:fldCharType="begin"/>
          </w:r>
          <w:r>
            <w:instrText xml:space="preserve"> PAGEREF _Toc209020093 \h </w:instrText>
          </w:r>
          <w:r>
            <w:fldChar w:fldCharType="separate"/>
          </w:r>
          <w:r>
            <w:t xml:space="preserve">5</w:t>
          </w:r>
          <w:r>
            <w:fldChar w:fldCharType="end"/>
          </w:r>
          <w:r>
            <w:fldChar w:fldCharType="end"/>
          </w:r>
          <w:r/>
        </w:p>
        <w:p>
          <w:pPr>
            <w:pStyle w:val="844"/>
            <w:tabs>
              <w:tab w:val="right" w:pos="8296" w:leader="dot"/>
            </w:tabs>
          </w:pPr>
          <w:r>
            <w:fldChar w:fldCharType="begin"/>
          </w:r>
          <w:r>
            <w:instrText xml:space="preserve"> HYPERLINK \l "_Toc209020094" </w:instrText>
          </w:r>
          <w:r>
            <w:fldChar w:fldCharType="separate"/>
          </w:r>
          <w:r>
            <w:rPr>
              <w:rStyle w:val="847"/>
              <w:rFonts w:hint="eastAsia"/>
            </w:rPr>
            <w:t xml:space="preserve">三、获取招标文件</w:t>
          </w:r>
          <w:r>
            <w:tab/>
          </w:r>
          <w:r>
            <w:fldChar w:fldCharType="begin"/>
          </w:r>
          <w:r>
            <w:instrText xml:space="preserve"> PAGEREF _Toc209020094 \h </w:instrText>
          </w:r>
          <w:r>
            <w:fldChar w:fldCharType="separate"/>
          </w:r>
          <w:r>
            <w:t xml:space="preserve">5</w:t>
          </w:r>
          <w:r>
            <w:fldChar w:fldCharType="end"/>
          </w:r>
          <w:r>
            <w:fldChar w:fldCharType="end"/>
          </w:r>
          <w:r/>
        </w:p>
        <w:p>
          <w:pPr>
            <w:pStyle w:val="844"/>
            <w:tabs>
              <w:tab w:val="right" w:pos="8296" w:leader="dot"/>
            </w:tabs>
          </w:pPr>
          <w:r>
            <w:fldChar w:fldCharType="begin"/>
          </w:r>
          <w:r>
            <w:instrText xml:space="preserve"> HYPERLINK \l "_Toc209020095" </w:instrText>
          </w:r>
          <w:r>
            <w:fldChar w:fldCharType="separate"/>
          </w:r>
          <w:r>
            <w:rPr>
              <w:rStyle w:val="847"/>
              <w:rFonts w:hint="eastAsia"/>
            </w:rPr>
            <w:t xml:space="preserve">四、提交投标文件截止时间、开标时间和地点</w:t>
          </w:r>
          <w:r>
            <w:tab/>
          </w:r>
          <w:r>
            <w:fldChar w:fldCharType="begin"/>
          </w:r>
          <w:r>
            <w:instrText xml:space="preserve"> PAGEREF _Toc209020095 \h </w:instrText>
          </w:r>
          <w:r>
            <w:fldChar w:fldCharType="separate"/>
          </w:r>
          <w:r>
            <w:t xml:space="preserve">6</w:t>
          </w:r>
          <w:r>
            <w:fldChar w:fldCharType="end"/>
          </w:r>
          <w:r>
            <w:fldChar w:fldCharType="end"/>
          </w:r>
          <w:r/>
        </w:p>
        <w:p>
          <w:pPr>
            <w:pStyle w:val="844"/>
            <w:tabs>
              <w:tab w:val="right" w:pos="8296" w:leader="dot"/>
            </w:tabs>
          </w:pPr>
          <w:r>
            <w:fldChar w:fldCharType="begin"/>
          </w:r>
          <w:r>
            <w:instrText xml:space="preserve"> HYPERLINK \l "_Toc209020096" </w:instrText>
          </w:r>
          <w:r>
            <w:fldChar w:fldCharType="separate"/>
          </w:r>
          <w:r>
            <w:rPr>
              <w:rStyle w:val="847"/>
              <w:rFonts w:hint="eastAsia"/>
            </w:rPr>
            <w:t xml:space="preserve">五、公告期限</w:t>
          </w:r>
          <w:r>
            <w:tab/>
          </w:r>
          <w:r>
            <w:fldChar w:fldCharType="begin"/>
          </w:r>
          <w:r>
            <w:instrText xml:space="preserve"> PAGEREF _Toc209020096 \h </w:instrText>
          </w:r>
          <w:r>
            <w:fldChar w:fldCharType="separate"/>
          </w:r>
          <w:r>
            <w:t xml:space="preserve">6</w:t>
          </w:r>
          <w:r>
            <w:fldChar w:fldCharType="end"/>
          </w:r>
          <w:r>
            <w:fldChar w:fldCharType="end"/>
          </w:r>
          <w:r/>
        </w:p>
        <w:p>
          <w:pPr>
            <w:pStyle w:val="844"/>
            <w:tabs>
              <w:tab w:val="right" w:pos="8296" w:leader="dot"/>
            </w:tabs>
          </w:pPr>
          <w:r>
            <w:fldChar w:fldCharType="begin"/>
          </w:r>
          <w:r>
            <w:instrText xml:space="preserve"> HYPERLINK \l "_Toc209020097" </w:instrText>
          </w:r>
          <w:r>
            <w:fldChar w:fldCharType="separate"/>
          </w:r>
          <w:r>
            <w:rPr>
              <w:rStyle w:val="847"/>
              <w:rFonts w:hint="eastAsia"/>
            </w:rPr>
            <w:t xml:space="preserve">六、其他补充事宜</w:t>
          </w:r>
          <w:r>
            <w:tab/>
          </w:r>
          <w:r>
            <w:fldChar w:fldCharType="begin"/>
          </w:r>
          <w:r>
            <w:instrText xml:space="preserve"> PAGEREF _Toc209020097 \h </w:instrText>
          </w:r>
          <w:r>
            <w:fldChar w:fldCharType="separate"/>
          </w:r>
          <w:r>
            <w:t xml:space="preserve">6</w:t>
          </w:r>
          <w:r>
            <w:fldChar w:fldCharType="end"/>
          </w:r>
          <w:r>
            <w:fldChar w:fldCharType="end"/>
          </w:r>
          <w:r/>
        </w:p>
        <w:p>
          <w:pPr>
            <w:pStyle w:val="844"/>
            <w:tabs>
              <w:tab w:val="right" w:pos="8296" w:leader="dot"/>
            </w:tabs>
          </w:pPr>
          <w:r>
            <w:fldChar w:fldCharType="begin"/>
          </w:r>
          <w:r>
            <w:instrText xml:space="preserve"> HYPERLINK \l "_Toc209020098" </w:instrText>
          </w:r>
          <w:r>
            <w:fldChar w:fldCharType="separate"/>
          </w:r>
          <w:r>
            <w:rPr>
              <w:rStyle w:val="847"/>
              <w:rFonts w:hint="eastAsia"/>
            </w:rPr>
            <w:t xml:space="preserve">七、对本次招标提出询问，请按以下方式联系。</w:t>
          </w:r>
          <w:r>
            <w:tab/>
          </w:r>
          <w:r>
            <w:fldChar w:fldCharType="begin"/>
          </w:r>
          <w:r>
            <w:instrText xml:space="preserve"> PAGEREF _Toc209020098 \h </w:instrText>
          </w:r>
          <w:r>
            <w:fldChar w:fldCharType="separate"/>
          </w:r>
          <w:r>
            <w:t xml:space="preserve">7</w:t>
          </w:r>
          <w:r>
            <w:fldChar w:fldCharType="end"/>
          </w:r>
          <w:r>
            <w:fldChar w:fldCharType="end"/>
          </w:r>
          <w:r/>
        </w:p>
        <w:p>
          <w:pPr>
            <w:pStyle w:val="840"/>
            <w:tabs>
              <w:tab w:val="right" w:pos="8296" w:leader="dot"/>
            </w:tabs>
          </w:pPr>
          <w:r>
            <w:fldChar w:fldCharType="begin"/>
          </w:r>
          <w:r>
            <w:instrText xml:space="preserve"> HYPERLINK \l "_Toc209020099" </w:instrText>
          </w:r>
          <w:r>
            <w:fldChar w:fldCharType="separate"/>
          </w:r>
          <w:r>
            <w:rPr>
              <w:rStyle w:val="847"/>
              <w:rFonts w:hint="eastAsia"/>
            </w:rPr>
            <w:t xml:space="preserve">第二部分、投标人须知</w:t>
          </w:r>
          <w:r>
            <w:tab/>
          </w:r>
          <w:r>
            <w:fldChar w:fldCharType="begin"/>
          </w:r>
          <w:r>
            <w:instrText xml:space="preserve"> PAGEREF _Toc209020099 \h </w:instrText>
          </w:r>
          <w:r>
            <w:fldChar w:fldCharType="separate"/>
          </w:r>
          <w:r>
            <w:t xml:space="preserve">8</w:t>
          </w:r>
          <w:r>
            <w:fldChar w:fldCharType="end"/>
          </w:r>
          <w:r>
            <w:fldChar w:fldCharType="end"/>
          </w:r>
          <w:r/>
        </w:p>
        <w:p>
          <w:pPr>
            <w:pStyle w:val="844"/>
            <w:tabs>
              <w:tab w:val="right" w:pos="8296" w:leader="dot"/>
            </w:tabs>
          </w:pPr>
          <w:r>
            <w:fldChar w:fldCharType="begin"/>
          </w:r>
          <w:r>
            <w:instrText xml:space="preserve"> HYPERLINK \l "_Toc209020100" </w:instrText>
          </w:r>
          <w:r>
            <w:fldChar w:fldCharType="separate"/>
          </w:r>
          <w:r>
            <w:rPr>
              <w:rStyle w:val="847"/>
              <w:rFonts w:hint="eastAsia"/>
            </w:rPr>
            <w:t xml:space="preserve">前附表</w:t>
          </w:r>
          <w:r>
            <w:tab/>
          </w:r>
          <w:r>
            <w:fldChar w:fldCharType="begin"/>
          </w:r>
          <w:r>
            <w:instrText xml:space="preserve"> PAGEREF _Toc209020100 \h </w:instrText>
          </w:r>
          <w:r>
            <w:fldChar w:fldCharType="separate"/>
          </w:r>
          <w:r>
            <w:t xml:space="preserve">8</w:t>
          </w:r>
          <w:r>
            <w:fldChar w:fldCharType="end"/>
          </w:r>
          <w:r>
            <w:fldChar w:fldCharType="end"/>
          </w:r>
          <w:r/>
        </w:p>
        <w:p>
          <w:pPr>
            <w:pStyle w:val="844"/>
            <w:tabs>
              <w:tab w:val="right" w:pos="8296" w:leader="dot"/>
            </w:tabs>
          </w:pPr>
          <w:r>
            <w:fldChar w:fldCharType="begin"/>
          </w:r>
          <w:r>
            <w:instrText xml:space="preserve"> HYPERLINK \l "_Toc209020101" </w:instrText>
          </w:r>
          <w:r>
            <w:fldChar w:fldCharType="separate"/>
          </w:r>
          <w:r>
            <w:rPr>
              <w:rStyle w:val="847"/>
              <w:rFonts w:hint="eastAsia"/>
            </w:rPr>
            <w:t xml:space="preserve">一、总则</w:t>
          </w:r>
          <w:r>
            <w:tab/>
          </w:r>
          <w:r>
            <w:fldChar w:fldCharType="begin"/>
          </w:r>
          <w:r>
            <w:instrText xml:space="preserve"> PAGEREF _Toc209020101 \h </w:instrText>
          </w:r>
          <w:r>
            <w:fldChar w:fldCharType="separate"/>
          </w:r>
          <w:r>
            <w:t xml:space="preserve">9</w:t>
          </w:r>
          <w:r>
            <w:fldChar w:fldCharType="end"/>
          </w:r>
          <w:r>
            <w:fldChar w:fldCharType="end"/>
          </w:r>
          <w:r/>
        </w:p>
        <w:p>
          <w:pPr>
            <w:pStyle w:val="835"/>
            <w:tabs>
              <w:tab w:val="right" w:pos="8296" w:leader="dot"/>
            </w:tabs>
          </w:pPr>
          <w:r>
            <w:fldChar w:fldCharType="begin"/>
          </w:r>
          <w:r>
            <w:instrText xml:space="preserve"> HYPERLINK \l "_Toc209020102" </w:instrText>
          </w:r>
          <w:r>
            <w:fldChar w:fldCharType="separate"/>
          </w:r>
          <w:r>
            <w:rPr>
              <w:rStyle w:val="847"/>
            </w:rPr>
            <w:t xml:space="preserve">1</w:t>
          </w:r>
          <w:r>
            <w:rPr>
              <w:rStyle w:val="847"/>
              <w:rFonts w:hint="eastAsia"/>
            </w:rPr>
            <w:t xml:space="preserve">.适用范围</w:t>
          </w:r>
          <w:r>
            <w:tab/>
          </w:r>
          <w:r>
            <w:fldChar w:fldCharType="begin"/>
          </w:r>
          <w:r>
            <w:instrText xml:space="preserve"> PAGEREF _Toc209020102 \h </w:instrText>
          </w:r>
          <w:r>
            <w:fldChar w:fldCharType="separate"/>
          </w:r>
          <w:r>
            <w:t xml:space="preserve">9</w:t>
          </w:r>
          <w:r>
            <w:fldChar w:fldCharType="end"/>
          </w:r>
          <w:r>
            <w:fldChar w:fldCharType="end"/>
          </w:r>
          <w:r/>
        </w:p>
        <w:p>
          <w:pPr>
            <w:pStyle w:val="835"/>
            <w:tabs>
              <w:tab w:val="right" w:pos="8296" w:leader="dot"/>
            </w:tabs>
          </w:pPr>
          <w:r>
            <w:fldChar w:fldCharType="begin"/>
          </w:r>
          <w:r>
            <w:instrText xml:space="preserve"> HYPERLINK \l "_Toc209020103" </w:instrText>
          </w:r>
          <w:r>
            <w:fldChar w:fldCharType="separate"/>
          </w:r>
          <w:r>
            <w:rPr>
              <w:rStyle w:val="847"/>
            </w:rPr>
            <w:t xml:space="preserve">2</w:t>
          </w:r>
          <w:r>
            <w:rPr>
              <w:rStyle w:val="847"/>
              <w:rFonts w:hint="eastAsia"/>
            </w:rPr>
            <w:t xml:space="preserve">.定义</w:t>
          </w:r>
          <w:r>
            <w:tab/>
          </w:r>
          <w:r>
            <w:fldChar w:fldCharType="begin"/>
          </w:r>
          <w:r>
            <w:instrText xml:space="preserve"> PAGEREF _Toc209020103 \h </w:instrText>
          </w:r>
          <w:r>
            <w:fldChar w:fldCharType="separate"/>
          </w:r>
          <w:r>
            <w:t xml:space="preserve">9</w:t>
          </w:r>
          <w:r>
            <w:fldChar w:fldCharType="end"/>
          </w:r>
          <w:r>
            <w:fldChar w:fldCharType="end"/>
          </w:r>
          <w:r/>
        </w:p>
        <w:p>
          <w:pPr>
            <w:pStyle w:val="835"/>
            <w:tabs>
              <w:tab w:val="right" w:pos="8296" w:leader="dot"/>
            </w:tabs>
          </w:pPr>
          <w:r>
            <w:fldChar w:fldCharType="begin"/>
          </w:r>
          <w:r>
            <w:instrText xml:space="preserve"> HYPERLINK \l "_Toc209020104" </w:instrText>
          </w:r>
          <w:r>
            <w:fldChar w:fldCharType="separate"/>
          </w:r>
          <w:r>
            <w:rPr>
              <w:rStyle w:val="847"/>
            </w:rPr>
            <w:t xml:space="preserve">3</w:t>
          </w:r>
          <w:r>
            <w:rPr>
              <w:rStyle w:val="847"/>
              <w:rFonts w:hint="eastAsia"/>
            </w:rPr>
            <w:t xml:space="preserve">.采购方式</w:t>
          </w:r>
          <w:r>
            <w:tab/>
          </w:r>
          <w:r>
            <w:fldChar w:fldCharType="begin"/>
          </w:r>
          <w:r>
            <w:instrText xml:space="preserve"> PAGEREF _Toc209020104 \h </w:instrText>
          </w:r>
          <w:r>
            <w:fldChar w:fldCharType="separate"/>
          </w:r>
          <w:r>
            <w:t xml:space="preserve">9</w:t>
          </w:r>
          <w:r>
            <w:fldChar w:fldCharType="end"/>
          </w:r>
          <w:r>
            <w:fldChar w:fldCharType="end"/>
          </w:r>
          <w:r/>
        </w:p>
        <w:p>
          <w:pPr>
            <w:pStyle w:val="835"/>
            <w:tabs>
              <w:tab w:val="right" w:pos="8296" w:leader="dot"/>
            </w:tabs>
          </w:pPr>
          <w:r>
            <w:fldChar w:fldCharType="begin"/>
          </w:r>
          <w:r>
            <w:instrText xml:space="preserve"> HYPERLINK \l "_Toc209020105" </w:instrText>
          </w:r>
          <w:r>
            <w:fldChar w:fldCharType="separate"/>
          </w:r>
          <w:r>
            <w:rPr>
              <w:rStyle w:val="847"/>
            </w:rPr>
            <w:t xml:space="preserve">4</w:t>
          </w:r>
          <w:r>
            <w:rPr>
              <w:rStyle w:val="847"/>
              <w:rFonts w:hint="eastAsia"/>
            </w:rPr>
            <w:t xml:space="preserve">.投标费用</w:t>
          </w:r>
          <w:r>
            <w:tab/>
          </w:r>
          <w:r>
            <w:fldChar w:fldCharType="begin"/>
          </w:r>
          <w:r>
            <w:instrText xml:space="preserve"> PAGEREF _Toc209020105 \h </w:instrText>
          </w:r>
          <w:r>
            <w:fldChar w:fldCharType="separate"/>
          </w:r>
          <w:r>
            <w:t xml:space="preserve">10</w:t>
          </w:r>
          <w:r>
            <w:fldChar w:fldCharType="end"/>
          </w:r>
          <w:r>
            <w:fldChar w:fldCharType="end"/>
          </w:r>
          <w:r/>
        </w:p>
        <w:p>
          <w:pPr>
            <w:pStyle w:val="835"/>
            <w:tabs>
              <w:tab w:val="right" w:pos="8296" w:leader="dot"/>
            </w:tabs>
          </w:pPr>
          <w:r>
            <w:fldChar w:fldCharType="begin"/>
          </w:r>
          <w:r>
            <w:instrText xml:space="preserve"> HYPERLINK \l "_Toc209020106" </w:instrText>
          </w:r>
          <w:r>
            <w:fldChar w:fldCharType="separate"/>
          </w:r>
          <w:r>
            <w:rPr>
              <w:rStyle w:val="847"/>
            </w:rPr>
            <w:t xml:space="preserve">5</w:t>
          </w:r>
          <w:r>
            <w:rPr>
              <w:rStyle w:val="847"/>
              <w:rFonts w:hint="eastAsia"/>
            </w:rPr>
            <w:t xml:space="preserve">.政策功能</w:t>
          </w:r>
          <w:r>
            <w:tab/>
          </w:r>
          <w:r>
            <w:fldChar w:fldCharType="begin"/>
          </w:r>
          <w:r>
            <w:instrText xml:space="preserve"> PAGEREF _Toc209020106 \h </w:instrText>
          </w:r>
          <w:r>
            <w:fldChar w:fldCharType="separate"/>
          </w:r>
          <w:r>
            <w:t xml:space="preserve">10</w:t>
          </w:r>
          <w:r>
            <w:fldChar w:fldCharType="end"/>
          </w:r>
          <w:r>
            <w:fldChar w:fldCharType="end"/>
          </w:r>
          <w:r/>
        </w:p>
        <w:p>
          <w:pPr>
            <w:pStyle w:val="844"/>
            <w:tabs>
              <w:tab w:val="right" w:pos="8296" w:leader="dot"/>
            </w:tabs>
          </w:pPr>
          <w:r>
            <w:fldChar w:fldCharType="begin"/>
          </w:r>
          <w:r>
            <w:instrText xml:space="preserve"> HYPERLINK \l "_Toc209020107" </w:instrText>
          </w:r>
          <w:r>
            <w:fldChar w:fldCharType="separate"/>
          </w:r>
          <w:r>
            <w:rPr>
              <w:rStyle w:val="847"/>
              <w:rFonts w:hint="eastAsia"/>
            </w:rPr>
            <w:t xml:space="preserve">二、招标文件</w:t>
          </w:r>
          <w:r>
            <w:tab/>
          </w:r>
          <w:r>
            <w:fldChar w:fldCharType="begin"/>
          </w:r>
          <w:r>
            <w:instrText xml:space="preserve"> PAGEREF _Toc209020107 \h </w:instrText>
          </w:r>
          <w:r>
            <w:fldChar w:fldCharType="separate"/>
          </w:r>
          <w:r>
            <w:t xml:space="preserve">13</w:t>
          </w:r>
          <w:r>
            <w:fldChar w:fldCharType="end"/>
          </w:r>
          <w:r>
            <w:fldChar w:fldCharType="end"/>
          </w:r>
          <w:r/>
        </w:p>
        <w:p>
          <w:pPr>
            <w:pStyle w:val="835"/>
            <w:tabs>
              <w:tab w:val="right" w:pos="8296" w:leader="dot"/>
            </w:tabs>
          </w:pPr>
          <w:r>
            <w:fldChar w:fldCharType="begin"/>
          </w:r>
          <w:r>
            <w:instrText xml:space="preserve"> HYPERLINK \l "_Toc209020108" </w:instrText>
          </w:r>
          <w:r>
            <w:fldChar w:fldCharType="separate"/>
          </w:r>
          <w:r>
            <w:rPr>
              <w:rStyle w:val="847"/>
            </w:rPr>
            <w:t xml:space="preserve">6.</w:t>
          </w:r>
          <w:r>
            <w:rPr>
              <w:rStyle w:val="847"/>
              <w:rFonts w:hint="eastAsia"/>
            </w:rPr>
            <w:t xml:space="preserve">招标文件组成</w:t>
          </w:r>
          <w:r>
            <w:tab/>
          </w:r>
          <w:r>
            <w:fldChar w:fldCharType="begin"/>
          </w:r>
          <w:r>
            <w:instrText xml:space="preserve"> PAGEREF _Toc209020108 \h </w:instrText>
          </w:r>
          <w:r>
            <w:fldChar w:fldCharType="separate"/>
          </w:r>
          <w:r>
            <w:t xml:space="preserve">13</w:t>
          </w:r>
          <w:r>
            <w:fldChar w:fldCharType="end"/>
          </w:r>
          <w:r>
            <w:fldChar w:fldCharType="end"/>
          </w:r>
          <w:r/>
        </w:p>
        <w:p>
          <w:pPr>
            <w:pStyle w:val="835"/>
            <w:tabs>
              <w:tab w:val="right" w:pos="8296" w:leader="dot"/>
            </w:tabs>
          </w:pPr>
          <w:r>
            <w:fldChar w:fldCharType="begin"/>
          </w:r>
          <w:r>
            <w:instrText xml:space="preserve"> HYPERLINK \l "_Toc209020109" </w:instrText>
          </w:r>
          <w:r>
            <w:fldChar w:fldCharType="separate"/>
          </w:r>
          <w:r>
            <w:rPr>
              <w:rStyle w:val="847"/>
            </w:rPr>
            <w:t xml:space="preserve">7</w:t>
          </w:r>
          <w:r>
            <w:rPr>
              <w:rStyle w:val="847"/>
              <w:rFonts w:hint="eastAsia"/>
            </w:rPr>
            <w:t xml:space="preserve">.招标文件的澄清和修改</w:t>
          </w:r>
          <w:r>
            <w:tab/>
          </w:r>
          <w:r>
            <w:fldChar w:fldCharType="begin"/>
          </w:r>
          <w:r>
            <w:instrText xml:space="preserve"> PAGEREF _Toc209020109 \h </w:instrText>
          </w:r>
          <w:r>
            <w:fldChar w:fldCharType="separate"/>
          </w:r>
          <w:r>
            <w:t xml:space="preserve">13</w:t>
          </w:r>
          <w:r>
            <w:fldChar w:fldCharType="end"/>
          </w:r>
          <w:r>
            <w:fldChar w:fldCharType="end"/>
          </w:r>
          <w:r/>
        </w:p>
        <w:p>
          <w:pPr>
            <w:pStyle w:val="844"/>
            <w:tabs>
              <w:tab w:val="right" w:pos="8296" w:leader="dot"/>
            </w:tabs>
          </w:pPr>
          <w:r>
            <w:fldChar w:fldCharType="begin"/>
          </w:r>
          <w:r>
            <w:instrText xml:space="preserve"> HYPERLINK \l "_Toc209020110" </w:instrText>
          </w:r>
          <w:r>
            <w:fldChar w:fldCharType="separate"/>
          </w:r>
          <w:r>
            <w:rPr>
              <w:rStyle w:val="847"/>
              <w:rFonts w:hint="eastAsia"/>
            </w:rPr>
            <w:t xml:space="preserve">三、投标文件</w:t>
          </w:r>
          <w:r>
            <w:tab/>
          </w:r>
          <w:r>
            <w:fldChar w:fldCharType="begin"/>
          </w:r>
          <w:r>
            <w:instrText xml:space="preserve"> PAGEREF _Toc209020110 \h </w:instrText>
          </w:r>
          <w:r>
            <w:fldChar w:fldCharType="separate"/>
          </w:r>
          <w:r>
            <w:t xml:space="preserve">14</w:t>
          </w:r>
          <w:r>
            <w:fldChar w:fldCharType="end"/>
          </w:r>
          <w:r>
            <w:fldChar w:fldCharType="end"/>
          </w:r>
          <w:r/>
        </w:p>
        <w:p>
          <w:pPr>
            <w:pStyle w:val="835"/>
            <w:tabs>
              <w:tab w:val="right" w:pos="8296" w:leader="dot"/>
            </w:tabs>
          </w:pPr>
          <w:r>
            <w:fldChar w:fldCharType="begin"/>
          </w:r>
          <w:r>
            <w:instrText xml:space="preserve"> HYPERLINK \l "_Toc209020111" </w:instrText>
          </w:r>
          <w:r>
            <w:fldChar w:fldCharType="separate"/>
          </w:r>
          <w:r>
            <w:rPr>
              <w:rStyle w:val="847"/>
            </w:rPr>
            <w:t xml:space="preserve">8.</w:t>
          </w:r>
          <w:r>
            <w:rPr>
              <w:rStyle w:val="847"/>
              <w:rFonts w:hint="eastAsia"/>
            </w:rPr>
            <w:t xml:space="preserve">编制投标文件的工具</w:t>
          </w:r>
          <w:r>
            <w:tab/>
          </w:r>
          <w:r>
            <w:fldChar w:fldCharType="begin"/>
          </w:r>
          <w:r>
            <w:instrText xml:space="preserve"> PAGEREF _Toc209020111 \h </w:instrText>
          </w:r>
          <w:r>
            <w:fldChar w:fldCharType="separate"/>
          </w:r>
          <w:r>
            <w:t xml:space="preserve">14</w:t>
          </w:r>
          <w:r>
            <w:fldChar w:fldCharType="end"/>
          </w:r>
          <w:r>
            <w:fldChar w:fldCharType="end"/>
          </w:r>
          <w:r/>
        </w:p>
        <w:p>
          <w:pPr>
            <w:pStyle w:val="835"/>
            <w:tabs>
              <w:tab w:val="right" w:pos="8296" w:leader="dot"/>
            </w:tabs>
          </w:pPr>
          <w:r>
            <w:fldChar w:fldCharType="begin"/>
          </w:r>
          <w:r>
            <w:instrText xml:space="preserve"> HYPERLINK \l "_Toc209020112" </w:instrText>
          </w:r>
          <w:r>
            <w:fldChar w:fldCharType="separate"/>
          </w:r>
          <w:r>
            <w:rPr>
              <w:rStyle w:val="847"/>
            </w:rPr>
            <w:t xml:space="preserve">9.</w:t>
          </w:r>
          <w:r>
            <w:rPr>
              <w:rStyle w:val="847"/>
              <w:rFonts w:hint="eastAsia"/>
            </w:rPr>
            <w:t xml:space="preserve">投标文件语言及度量衡单位</w:t>
          </w:r>
          <w:r>
            <w:tab/>
          </w:r>
          <w:r>
            <w:fldChar w:fldCharType="begin"/>
          </w:r>
          <w:r>
            <w:instrText xml:space="preserve"> PAGEREF _Toc209020112 \h </w:instrText>
          </w:r>
          <w:r>
            <w:fldChar w:fldCharType="separate"/>
          </w:r>
          <w:r>
            <w:t xml:space="preserve">14</w:t>
          </w:r>
          <w:r>
            <w:fldChar w:fldCharType="end"/>
          </w:r>
          <w:r>
            <w:fldChar w:fldCharType="end"/>
          </w:r>
          <w:r/>
        </w:p>
        <w:p>
          <w:pPr>
            <w:pStyle w:val="835"/>
            <w:tabs>
              <w:tab w:val="right" w:pos="8296" w:leader="dot"/>
            </w:tabs>
          </w:pPr>
          <w:r>
            <w:fldChar w:fldCharType="begin"/>
          </w:r>
          <w:r>
            <w:instrText xml:space="preserve"> HYPERLINK \l "_Toc209020113" </w:instrText>
          </w:r>
          <w:r>
            <w:fldChar w:fldCharType="separate"/>
          </w:r>
          <w:r>
            <w:rPr>
              <w:rStyle w:val="847"/>
            </w:rPr>
            <w:t xml:space="preserve">10.</w:t>
          </w:r>
          <w:r>
            <w:rPr>
              <w:rStyle w:val="847"/>
              <w:rFonts w:hint="eastAsia"/>
            </w:rPr>
            <w:t xml:space="preserve">投标文件的构成</w:t>
          </w:r>
          <w:r>
            <w:tab/>
          </w:r>
          <w:r>
            <w:fldChar w:fldCharType="begin"/>
          </w:r>
          <w:r>
            <w:instrText xml:space="preserve"> PAGEREF _Toc209020113 \h </w:instrText>
          </w:r>
          <w:r>
            <w:fldChar w:fldCharType="separate"/>
          </w:r>
          <w:r>
            <w:t xml:space="preserve">14</w:t>
          </w:r>
          <w:r>
            <w:fldChar w:fldCharType="end"/>
          </w:r>
          <w:r>
            <w:fldChar w:fldCharType="end"/>
          </w:r>
          <w:r/>
        </w:p>
        <w:p>
          <w:pPr>
            <w:pStyle w:val="835"/>
            <w:tabs>
              <w:tab w:val="right" w:pos="8296" w:leader="dot"/>
            </w:tabs>
          </w:pPr>
          <w:r>
            <w:fldChar w:fldCharType="begin"/>
          </w:r>
          <w:r>
            <w:instrText xml:space="preserve"> HYPERLINK \l "_Toc209020114" </w:instrText>
          </w:r>
          <w:r>
            <w:fldChar w:fldCharType="separate"/>
          </w:r>
          <w:r>
            <w:rPr>
              <w:rStyle w:val="847"/>
            </w:rPr>
            <w:t xml:space="preserve">11</w:t>
          </w:r>
          <w:r>
            <w:rPr>
              <w:rStyle w:val="847"/>
              <w:rFonts w:hint="eastAsia"/>
            </w:rPr>
            <w:t xml:space="preserve">.投标文件的编制</w:t>
          </w:r>
          <w:r>
            <w:tab/>
          </w:r>
          <w:r>
            <w:fldChar w:fldCharType="begin"/>
          </w:r>
          <w:r>
            <w:instrText xml:space="preserve"> PAGEREF _Toc209020114 \h </w:instrText>
          </w:r>
          <w:r>
            <w:fldChar w:fldCharType="separate"/>
          </w:r>
          <w:r>
            <w:t xml:space="preserve">14</w:t>
          </w:r>
          <w:r>
            <w:fldChar w:fldCharType="end"/>
          </w:r>
          <w:r>
            <w:fldChar w:fldCharType="end"/>
          </w:r>
          <w:r/>
        </w:p>
        <w:p>
          <w:pPr>
            <w:pStyle w:val="835"/>
            <w:tabs>
              <w:tab w:val="right" w:pos="8296" w:leader="dot"/>
            </w:tabs>
          </w:pPr>
          <w:r>
            <w:fldChar w:fldCharType="begin"/>
          </w:r>
          <w:r>
            <w:instrText xml:space="preserve"> HYPERLINK \l "_Toc209020115" </w:instrText>
          </w:r>
          <w:r>
            <w:fldChar w:fldCharType="separate"/>
          </w:r>
          <w:r>
            <w:rPr>
              <w:rStyle w:val="847"/>
            </w:rPr>
            <w:t xml:space="preserve">12</w:t>
          </w:r>
          <w:r>
            <w:rPr>
              <w:rStyle w:val="847"/>
              <w:rFonts w:hint="eastAsia"/>
            </w:rPr>
            <w:t xml:space="preserve">.报价要求</w:t>
          </w:r>
          <w:r>
            <w:tab/>
          </w:r>
          <w:r>
            <w:fldChar w:fldCharType="begin"/>
          </w:r>
          <w:r>
            <w:instrText xml:space="preserve"> PAGEREF _Toc209020115 \h </w:instrText>
          </w:r>
          <w:r>
            <w:fldChar w:fldCharType="separate"/>
          </w:r>
          <w:r>
            <w:t xml:space="preserve">15</w:t>
          </w:r>
          <w:r>
            <w:fldChar w:fldCharType="end"/>
          </w:r>
          <w:r>
            <w:fldChar w:fldCharType="end"/>
          </w:r>
          <w:r/>
        </w:p>
        <w:p>
          <w:pPr>
            <w:pStyle w:val="835"/>
            <w:tabs>
              <w:tab w:val="right" w:pos="8296" w:leader="dot"/>
            </w:tabs>
          </w:pPr>
          <w:r>
            <w:fldChar w:fldCharType="begin"/>
          </w:r>
          <w:r>
            <w:instrText xml:space="preserve"> HYPERLINK \l "_Toc209020116" </w:instrText>
          </w:r>
          <w:r>
            <w:fldChar w:fldCharType="separate"/>
          </w:r>
          <w:r>
            <w:rPr>
              <w:rStyle w:val="847"/>
            </w:rPr>
            <w:t xml:space="preserve">13</w:t>
          </w:r>
          <w:r>
            <w:rPr>
              <w:rStyle w:val="847"/>
              <w:rFonts w:hint="eastAsia"/>
            </w:rPr>
            <w:t xml:space="preserve">.投标保证金</w:t>
          </w:r>
          <w:r>
            <w:tab/>
          </w:r>
          <w:r>
            <w:fldChar w:fldCharType="begin"/>
          </w:r>
          <w:r>
            <w:instrText xml:space="preserve"> PAGEREF _Toc209020116 \h </w:instrText>
          </w:r>
          <w:r>
            <w:fldChar w:fldCharType="separate"/>
          </w:r>
          <w:r>
            <w:t xml:space="preserve">15</w:t>
          </w:r>
          <w:r>
            <w:fldChar w:fldCharType="end"/>
          </w:r>
          <w:r>
            <w:fldChar w:fldCharType="end"/>
          </w:r>
          <w:r/>
        </w:p>
        <w:p>
          <w:pPr>
            <w:pStyle w:val="835"/>
            <w:tabs>
              <w:tab w:val="right" w:pos="8296" w:leader="dot"/>
            </w:tabs>
          </w:pPr>
          <w:r>
            <w:fldChar w:fldCharType="begin"/>
          </w:r>
          <w:r>
            <w:instrText xml:space="preserve"> HYPERLINK \l "_Toc209020117" </w:instrText>
          </w:r>
          <w:r>
            <w:fldChar w:fldCharType="separate"/>
          </w:r>
          <w:r>
            <w:rPr>
              <w:rStyle w:val="847"/>
            </w:rPr>
            <w:t xml:space="preserve">14</w:t>
          </w:r>
          <w:r>
            <w:rPr>
              <w:rStyle w:val="847"/>
              <w:rFonts w:hint="eastAsia"/>
            </w:rPr>
            <w:t xml:space="preserve">.投标有效期</w:t>
          </w:r>
          <w:r>
            <w:tab/>
          </w:r>
          <w:r>
            <w:fldChar w:fldCharType="begin"/>
          </w:r>
          <w:r>
            <w:instrText xml:space="preserve"> PAGEREF _Toc209020117 \h </w:instrText>
          </w:r>
          <w:r>
            <w:fldChar w:fldCharType="separate"/>
          </w:r>
          <w:r>
            <w:t xml:space="preserve">15</w:t>
          </w:r>
          <w:r>
            <w:fldChar w:fldCharType="end"/>
          </w:r>
          <w:r>
            <w:fldChar w:fldCharType="end"/>
          </w:r>
          <w:r/>
        </w:p>
        <w:p>
          <w:pPr>
            <w:pStyle w:val="835"/>
            <w:tabs>
              <w:tab w:val="right" w:pos="8296" w:leader="dot"/>
            </w:tabs>
          </w:pPr>
          <w:r>
            <w:fldChar w:fldCharType="begin"/>
          </w:r>
          <w:r>
            <w:instrText xml:space="preserve"> HYPERLINK \l "_Toc209020118" </w:instrText>
          </w:r>
          <w:r>
            <w:fldChar w:fldCharType="separate"/>
          </w:r>
          <w:r>
            <w:rPr>
              <w:rStyle w:val="847"/>
            </w:rPr>
            <w:t xml:space="preserve">15.</w:t>
          </w:r>
          <w:r>
            <w:rPr>
              <w:rStyle w:val="847"/>
              <w:rFonts w:hint="eastAsia"/>
            </w:rPr>
            <w:t xml:space="preserve">投标文件的式样和签署</w:t>
          </w:r>
          <w:r>
            <w:tab/>
          </w:r>
          <w:r>
            <w:fldChar w:fldCharType="begin"/>
          </w:r>
          <w:r>
            <w:instrText xml:space="preserve"> PAGEREF _Toc209020118 \h </w:instrText>
          </w:r>
          <w:r>
            <w:fldChar w:fldCharType="separate"/>
          </w:r>
          <w:r>
            <w:t xml:space="preserve">15</w:t>
          </w:r>
          <w:r>
            <w:fldChar w:fldCharType="end"/>
          </w:r>
          <w:r>
            <w:fldChar w:fldCharType="end"/>
          </w:r>
          <w:r/>
        </w:p>
        <w:p>
          <w:pPr>
            <w:pStyle w:val="835"/>
            <w:tabs>
              <w:tab w:val="right" w:pos="8296" w:leader="dot"/>
            </w:tabs>
          </w:pPr>
          <w:r>
            <w:fldChar w:fldCharType="begin"/>
          </w:r>
          <w:r>
            <w:instrText xml:space="preserve"> HYPERLINK \l "_Toc209020119" </w:instrText>
          </w:r>
          <w:r>
            <w:fldChar w:fldCharType="separate"/>
          </w:r>
          <w:r>
            <w:rPr>
              <w:rStyle w:val="847"/>
            </w:rPr>
            <w:t xml:space="preserve">16</w:t>
          </w:r>
          <w:r>
            <w:rPr>
              <w:rStyle w:val="847"/>
              <w:rFonts w:hint="eastAsia"/>
            </w:rPr>
            <w:t xml:space="preserve">.投标文件的提交</w:t>
          </w:r>
          <w:r>
            <w:tab/>
          </w:r>
          <w:r>
            <w:fldChar w:fldCharType="begin"/>
          </w:r>
          <w:r>
            <w:instrText xml:space="preserve"> PAGEREF _Toc209020119 \h </w:instrText>
          </w:r>
          <w:r>
            <w:fldChar w:fldCharType="separate"/>
          </w:r>
          <w:r>
            <w:t xml:space="preserve">15</w:t>
          </w:r>
          <w:r>
            <w:fldChar w:fldCharType="end"/>
          </w:r>
          <w:r>
            <w:fldChar w:fldCharType="end"/>
          </w:r>
          <w:r/>
        </w:p>
        <w:p>
          <w:pPr>
            <w:pStyle w:val="835"/>
            <w:tabs>
              <w:tab w:val="right" w:pos="8296" w:leader="dot"/>
            </w:tabs>
          </w:pPr>
          <w:r>
            <w:fldChar w:fldCharType="begin"/>
          </w:r>
          <w:r>
            <w:instrText xml:space="preserve"> HYPERLINK \l "_Toc209020120" </w:instrText>
          </w:r>
          <w:r>
            <w:fldChar w:fldCharType="separate"/>
          </w:r>
          <w:r>
            <w:rPr>
              <w:rStyle w:val="847"/>
            </w:rPr>
            <w:t xml:space="preserve">17</w:t>
          </w:r>
          <w:r>
            <w:rPr>
              <w:rStyle w:val="847"/>
              <w:rFonts w:hint="eastAsia"/>
            </w:rPr>
            <w:t xml:space="preserve">.投标文件的补充、修改或者撤回</w:t>
          </w:r>
          <w:r>
            <w:tab/>
          </w:r>
          <w:r>
            <w:fldChar w:fldCharType="begin"/>
          </w:r>
          <w:r>
            <w:instrText xml:space="preserve"> PAGEREF _Toc209020120 \h </w:instrText>
          </w:r>
          <w:r>
            <w:fldChar w:fldCharType="separate"/>
          </w:r>
          <w:r>
            <w:t xml:space="preserve">16</w:t>
          </w:r>
          <w:r>
            <w:fldChar w:fldCharType="end"/>
          </w:r>
          <w:r>
            <w:fldChar w:fldCharType="end"/>
          </w:r>
          <w:r/>
        </w:p>
        <w:p>
          <w:pPr>
            <w:pStyle w:val="844"/>
            <w:tabs>
              <w:tab w:val="right" w:pos="8296" w:leader="dot"/>
            </w:tabs>
          </w:pPr>
          <w:r>
            <w:fldChar w:fldCharType="begin"/>
          </w:r>
          <w:r>
            <w:instrText xml:space="preserve"> HYPERLINK \l "_Toc209020121" </w:instrText>
          </w:r>
          <w:r>
            <w:fldChar w:fldCharType="separate"/>
          </w:r>
          <w:r>
            <w:rPr>
              <w:rStyle w:val="847"/>
              <w:rFonts w:hint="eastAsia"/>
            </w:rPr>
            <w:t xml:space="preserve">四、开标及评标</w:t>
          </w:r>
          <w:r>
            <w:tab/>
          </w:r>
          <w:r>
            <w:fldChar w:fldCharType="begin"/>
          </w:r>
          <w:r>
            <w:instrText xml:space="preserve"> PAGEREF _Toc209020121 \h </w:instrText>
          </w:r>
          <w:r>
            <w:fldChar w:fldCharType="separate"/>
          </w:r>
          <w:r>
            <w:t xml:space="preserve">16</w:t>
          </w:r>
          <w:r>
            <w:fldChar w:fldCharType="end"/>
          </w:r>
          <w:r>
            <w:fldChar w:fldCharType="end"/>
          </w:r>
          <w:r/>
        </w:p>
        <w:p>
          <w:pPr>
            <w:pStyle w:val="835"/>
            <w:tabs>
              <w:tab w:val="right" w:pos="8296" w:leader="dot"/>
            </w:tabs>
          </w:pPr>
          <w:r>
            <w:fldChar w:fldCharType="begin"/>
          </w:r>
          <w:r>
            <w:instrText xml:space="preserve"> HYPERLINK \l "_Toc209020122" </w:instrText>
          </w:r>
          <w:r>
            <w:fldChar w:fldCharType="separate"/>
          </w:r>
          <w:r>
            <w:rPr>
              <w:rStyle w:val="847"/>
            </w:rPr>
            <w:t xml:space="preserve">18</w:t>
          </w:r>
          <w:r>
            <w:rPr>
              <w:rStyle w:val="847"/>
              <w:rFonts w:hint="eastAsia"/>
            </w:rPr>
            <w:t xml:space="preserve">.开标</w:t>
          </w:r>
          <w:r>
            <w:tab/>
          </w:r>
          <w:r>
            <w:fldChar w:fldCharType="begin"/>
          </w:r>
          <w:r>
            <w:instrText xml:space="preserve"> PAGEREF _Toc209020122 \h </w:instrText>
          </w:r>
          <w:r>
            <w:fldChar w:fldCharType="separate"/>
          </w:r>
          <w:r>
            <w:t xml:space="preserve">16</w:t>
          </w:r>
          <w:r>
            <w:fldChar w:fldCharType="end"/>
          </w:r>
          <w:r>
            <w:fldChar w:fldCharType="end"/>
          </w:r>
          <w:r/>
        </w:p>
        <w:p>
          <w:pPr>
            <w:pStyle w:val="835"/>
            <w:tabs>
              <w:tab w:val="right" w:pos="8296" w:leader="dot"/>
            </w:tabs>
          </w:pPr>
          <w:r>
            <w:fldChar w:fldCharType="begin"/>
          </w:r>
          <w:r>
            <w:instrText xml:space="preserve"> HYPERLINK \l "_Toc209020123" </w:instrText>
          </w:r>
          <w:r>
            <w:fldChar w:fldCharType="separate"/>
          </w:r>
          <w:r>
            <w:rPr>
              <w:rStyle w:val="847"/>
            </w:rPr>
            <w:t xml:space="preserve">19.</w:t>
          </w:r>
          <w:r>
            <w:rPr>
              <w:rStyle w:val="847"/>
              <w:rFonts w:hint="eastAsia"/>
            </w:rPr>
            <w:t xml:space="preserve">投标人资格审查</w:t>
          </w:r>
          <w:r>
            <w:tab/>
          </w:r>
          <w:r>
            <w:fldChar w:fldCharType="begin"/>
          </w:r>
          <w:r>
            <w:instrText xml:space="preserve"> PAGEREF _Toc209020123 \h </w:instrText>
          </w:r>
          <w:r>
            <w:fldChar w:fldCharType="separate"/>
          </w:r>
          <w:r>
            <w:t xml:space="preserve">17</w:t>
          </w:r>
          <w:r>
            <w:fldChar w:fldCharType="end"/>
          </w:r>
          <w:r>
            <w:fldChar w:fldCharType="end"/>
          </w:r>
          <w:r/>
        </w:p>
        <w:p>
          <w:pPr>
            <w:pStyle w:val="835"/>
            <w:tabs>
              <w:tab w:val="right" w:pos="8296" w:leader="dot"/>
            </w:tabs>
          </w:pPr>
          <w:r>
            <w:fldChar w:fldCharType="begin"/>
          </w:r>
          <w:r>
            <w:instrText xml:space="preserve"> HYPERLINK \l "_Toc209020124" </w:instrText>
          </w:r>
          <w:r>
            <w:fldChar w:fldCharType="separate"/>
          </w:r>
          <w:r>
            <w:rPr>
              <w:rStyle w:val="847"/>
            </w:rPr>
            <w:t xml:space="preserve">20</w:t>
          </w:r>
          <w:r>
            <w:rPr>
              <w:rStyle w:val="847"/>
              <w:rFonts w:hint="eastAsia"/>
            </w:rPr>
            <w:t xml:space="preserve">.评标委员会组成</w:t>
          </w:r>
          <w:r>
            <w:tab/>
          </w:r>
          <w:r>
            <w:fldChar w:fldCharType="begin"/>
          </w:r>
          <w:r>
            <w:instrText xml:space="preserve"> PAGEREF _Toc209020124 \h </w:instrText>
          </w:r>
          <w:r>
            <w:fldChar w:fldCharType="separate"/>
          </w:r>
          <w:r>
            <w:t xml:space="preserve">17</w:t>
          </w:r>
          <w:r>
            <w:fldChar w:fldCharType="end"/>
          </w:r>
          <w:r>
            <w:fldChar w:fldCharType="end"/>
          </w:r>
          <w:r/>
        </w:p>
        <w:p>
          <w:pPr>
            <w:pStyle w:val="835"/>
            <w:tabs>
              <w:tab w:val="right" w:pos="8296" w:leader="dot"/>
            </w:tabs>
          </w:pPr>
          <w:r>
            <w:fldChar w:fldCharType="begin"/>
          </w:r>
          <w:r>
            <w:instrText xml:space="preserve"> HYPERLINK \l "_Toc209020129" </w:instrText>
          </w:r>
          <w:r>
            <w:fldChar w:fldCharType="separate"/>
          </w:r>
          <w:r>
            <w:rPr>
              <w:rStyle w:val="847"/>
            </w:rPr>
            <w:t xml:space="preserve">21.</w:t>
          </w:r>
          <w:r>
            <w:rPr>
              <w:rStyle w:val="847"/>
              <w:rFonts w:hint="eastAsia"/>
            </w:rPr>
            <w:t xml:space="preserve">投标人符合性审查</w:t>
          </w:r>
          <w:r>
            <w:tab/>
          </w:r>
          <w:r>
            <w:fldChar w:fldCharType="begin"/>
          </w:r>
          <w:r>
            <w:instrText xml:space="preserve"> PAGEREF _Toc209020129 \h </w:instrText>
          </w:r>
          <w:r>
            <w:fldChar w:fldCharType="separate"/>
          </w:r>
          <w:r>
            <w:t xml:space="preserve">19</w:t>
          </w:r>
          <w:r>
            <w:fldChar w:fldCharType="end"/>
          </w:r>
          <w:r>
            <w:fldChar w:fldCharType="end"/>
          </w:r>
          <w:r/>
        </w:p>
        <w:p>
          <w:pPr>
            <w:pStyle w:val="835"/>
            <w:tabs>
              <w:tab w:val="right" w:pos="8296" w:leader="dot"/>
            </w:tabs>
          </w:pPr>
          <w:r>
            <w:fldChar w:fldCharType="begin"/>
          </w:r>
          <w:r>
            <w:instrText xml:space="preserve"> HYPERLINK \l "_Toc209020130" </w:instrText>
          </w:r>
          <w:r>
            <w:fldChar w:fldCharType="separate"/>
          </w:r>
          <w:r>
            <w:rPr>
              <w:rStyle w:val="847"/>
            </w:rPr>
            <w:t xml:space="preserve">21.2</w:t>
          </w:r>
          <w:r>
            <w:rPr>
              <w:rStyle w:val="847"/>
              <w:rFonts w:hint="eastAsia"/>
            </w:rPr>
            <w:t xml:space="preserve">投标文件澄清</w:t>
          </w:r>
          <w:r>
            <w:tab/>
          </w:r>
          <w:r>
            <w:fldChar w:fldCharType="begin"/>
          </w:r>
          <w:r>
            <w:instrText xml:space="preserve"> PAGEREF _Toc209020130 \h </w:instrText>
          </w:r>
          <w:r>
            <w:fldChar w:fldCharType="separate"/>
          </w:r>
          <w:r>
            <w:t xml:space="preserve">19</w:t>
          </w:r>
          <w:r>
            <w:fldChar w:fldCharType="end"/>
          </w:r>
          <w:r>
            <w:fldChar w:fldCharType="end"/>
          </w:r>
          <w:r/>
        </w:p>
        <w:p>
          <w:pPr>
            <w:pStyle w:val="835"/>
            <w:tabs>
              <w:tab w:val="right" w:pos="8296" w:leader="dot"/>
            </w:tabs>
          </w:pPr>
          <w:r>
            <w:fldChar w:fldCharType="begin"/>
          </w:r>
          <w:r>
            <w:instrText xml:space="preserve"> HYPERLINK \l "_Toc209020131" </w:instrText>
          </w:r>
          <w:r>
            <w:fldChar w:fldCharType="separate"/>
          </w:r>
          <w:r>
            <w:rPr>
              <w:rStyle w:val="847"/>
            </w:rPr>
            <w:t xml:space="preserve">22</w:t>
          </w:r>
          <w:r>
            <w:rPr>
              <w:rStyle w:val="847"/>
              <w:rFonts w:hint="eastAsia"/>
            </w:rPr>
            <w:t xml:space="preserve">.无效投标的情形</w:t>
          </w:r>
          <w:r>
            <w:tab/>
          </w:r>
          <w:r>
            <w:fldChar w:fldCharType="begin"/>
          </w:r>
          <w:r>
            <w:instrText xml:space="preserve"> PAGEREF _Toc209020131 \h </w:instrText>
          </w:r>
          <w:r>
            <w:fldChar w:fldCharType="separate"/>
          </w:r>
          <w:r>
            <w:t xml:space="preserve">19</w:t>
          </w:r>
          <w:r>
            <w:fldChar w:fldCharType="end"/>
          </w:r>
          <w:r>
            <w:fldChar w:fldCharType="end"/>
          </w:r>
          <w:r/>
        </w:p>
        <w:p>
          <w:pPr>
            <w:pStyle w:val="835"/>
            <w:tabs>
              <w:tab w:val="right" w:pos="8296" w:leader="dot"/>
            </w:tabs>
          </w:pPr>
          <w:r>
            <w:fldChar w:fldCharType="begin"/>
          </w:r>
          <w:r>
            <w:instrText xml:space="preserve"> HYPERLINK \l "_Toc209020132" </w:instrText>
          </w:r>
          <w:r>
            <w:fldChar w:fldCharType="separate"/>
          </w:r>
          <w:r>
            <w:rPr>
              <w:rStyle w:val="847"/>
            </w:rPr>
            <w:t xml:space="preserve">23.</w:t>
          </w:r>
          <w:r>
            <w:rPr>
              <w:rStyle w:val="847"/>
              <w:rFonts w:hint="eastAsia"/>
            </w:rPr>
            <w:t xml:space="preserve">串通投标的情形</w:t>
          </w:r>
          <w:r>
            <w:tab/>
          </w:r>
          <w:r>
            <w:fldChar w:fldCharType="begin"/>
          </w:r>
          <w:r>
            <w:instrText xml:space="preserve"> PAGEREF _Toc209020132 \h </w:instrText>
          </w:r>
          <w:r>
            <w:fldChar w:fldCharType="separate"/>
          </w:r>
          <w:r>
            <w:t xml:space="preserve">20</w:t>
          </w:r>
          <w:r>
            <w:fldChar w:fldCharType="end"/>
          </w:r>
          <w:r>
            <w:fldChar w:fldCharType="end"/>
          </w:r>
          <w:r/>
        </w:p>
        <w:p>
          <w:pPr>
            <w:pStyle w:val="835"/>
            <w:tabs>
              <w:tab w:val="right" w:pos="8296" w:leader="dot"/>
            </w:tabs>
          </w:pPr>
          <w:r>
            <w:fldChar w:fldCharType="begin"/>
          </w:r>
          <w:r>
            <w:instrText xml:space="preserve"> HYPERLINK \l "_Toc209020133" </w:instrText>
          </w:r>
          <w:r>
            <w:fldChar w:fldCharType="separate"/>
          </w:r>
          <w:r>
            <w:rPr>
              <w:rStyle w:val="847"/>
            </w:rPr>
            <w:t xml:space="preserve">24.</w:t>
          </w:r>
          <w:r>
            <w:rPr>
              <w:rStyle w:val="847"/>
              <w:rFonts w:hint="eastAsia"/>
            </w:rPr>
            <w:t xml:space="preserve">投标文件详细评审</w:t>
          </w:r>
          <w:r>
            <w:tab/>
          </w:r>
          <w:r>
            <w:fldChar w:fldCharType="begin"/>
          </w:r>
          <w:r>
            <w:instrText xml:space="preserve"> PAGEREF _Toc209020133 \h </w:instrText>
          </w:r>
          <w:r>
            <w:fldChar w:fldCharType="separate"/>
          </w:r>
          <w:r>
            <w:t xml:space="preserve">20</w:t>
          </w:r>
          <w:r>
            <w:fldChar w:fldCharType="end"/>
          </w:r>
          <w:r>
            <w:fldChar w:fldCharType="end"/>
          </w:r>
          <w:r/>
        </w:p>
        <w:p>
          <w:pPr>
            <w:pStyle w:val="835"/>
            <w:tabs>
              <w:tab w:val="right" w:pos="8296" w:leader="dot"/>
            </w:tabs>
          </w:pPr>
          <w:r>
            <w:fldChar w:fldCharType="begin"/>
          </w:r>
          <w:r>
            <w:instrText xml:space="preserve"> HYPERLINK \l "_Toc209020134" </w:instrText>
          </w:r>
          <w:r>
            <w:fldChar w:fldCharType="separate"/>
          </w:r>
          <w:r>
            <w:rPr>
              <w:rStyle w:val="847"/>
            </w:rPr>
            <w:t xml:space="preserve">25.</w:t>
          </w:r>
          <w:r>
            <w:rPr>
              <w:rStyle w:val="847"/>
              <w:rFonts w:hint="eastAsia"/>
            </w:rPr>
            <w:t xml:space="preserve">评标过程的保密</w:t>
          </w:r>
          <w:r>
            <w:tab/>
          </w:r>
          <w:r>
            <w:fldChar w:fldCharType="begin"/>
          </w:r>
          <w:r>
            <w:instrText xml:space="preserve"> PAGEREF _Toc209020134 \h </w:instrText>
          </w:r>
          <w:r>
            <w:fldChar w:fldCharType="separate"/>
          </w:r>
          <w:r>
            <w:t xml:space="preserve">20</w:t>
          </w:r>
          <w:r>
            <w:fldChar w:fldCharType="end"/>
          </w:r>
          <w:r>
            <w:fldChar w:fldCharType="end"/>
          </w:r>
          <w:r/>
        </w:p>
        <w:p>
          <w:pPr>
            <w:pStyle w:val="835"/>
            <w:tabs>
              <w:tab w:val="right" w:pos="8296" w:leader="dot"/>
            </w:tabs>
          </w:pPr>
          <w:r>
            <w:fldChar w:fldCharType="begin"/>
          </w:r>
          <w:r>
            <w:instrText xml:space="preserve"> HYPERLINK \l "_Toc209020135" </w:instrText>
          </w:r>
          <w:r>
            <w:fldChar w:fldCharType="separate"/>
          </w:r>
          <w:r>
            <w:rPr>
              <w:rStyle w:val="847"/>
            </w:rPr>
            <w:t xml:space="preserve">26</w:t>
          </w:r>
          <w:r>
            <w:rPr>
              <w:rStyle w:val="847"/>
              <w:rFonts w:hint="eastAsia"/>
            </w:rPr>
            <w:t xml:space="preserve">.废标的情形</w:t>
          </w:r>
          <w:r>
            <w:tab/>
          </w:r>
          <w:r>
            <w:fldChar w:fldCharType="begin"/>
          </w:r>
          <w:r>
            <w:instrText xml:space="preserve"> PAGEREF _Toc209020135 \h </w:instrText>
          </w:r>
          <w:r>
            <w:fldChar w:fldCharType="separate"/>
          </w:r>
          <w:r>
            <w:t xml:space="preserve">21</w:t>
          </w:r>
          <w:r>
            <w:fldChar w:fldCharType="end"/>
          </w:r>
          <w:r>
            <w:fldChar w:fldCharType="end"/>
          </w:r>
          <w:r/>
        </w:p>
        <w:p>
          <w:pPr>
            <w:pStyle w:val="844"/>
            <w:tabs>
              <w:tab w:val="right" w:pos="8296" w:leader="dot"/>
            </w:tabs>
          </w:pPr>
          <w:r>
            <w:fldChar w:fldCharType="begin"/>
          </w:r>
          <w:r>
            <w:instrText xml:space="preserve"> HYPERLINK \l "_Toc209020136" </w:instrText>
          </w:r>
          <w:r>
            <w:fldChar w:fldCharType="separate"/>
          </w:r>
          <w:r>
            <w:rPr>
              <w:rStyle w:val="847"/>
              <w:rFonts w:hint="eastAsia"/>
            </w:rPr>
            <w:t xml:space="preserve">五、确定结果</w:t>
          </w:r>
          <w:r>
            <w:tab/>
          </w:r>
          <w:r>
            <w:fldChar w:fldCharType="begin"/>
          </w:r>
          <w:r>
            <w:instrText xml:space="preserve"> PAGEREF _Toc209020136 \h </w:instrText>
          </w:r>
          <w:r>
            <w:fldChar w:fldCharType="separate"/>
          </w:r>
          <w:r>
            <w:t xml:space="preserve">21</w:t>
          </w:r>
          <w:r>
            <w:fldChar w:fldCharType="end"/>
          </w:r>
          <w:r>
            <w:fldChar w:fldCharType="end"/>
          </w:r>
          <w:r/>
        </w:p>
        <w:p>
          <w:pPr>
            <w:pStyle w:val="835"/>
            <w:tabs>
              <w:tab w:val="right" w:pos="8296" w:leader="dot"/>
            </w:tabs>
          </w:pPr>
          <w:r>
            <w:fldChar w:fldCharType="begin"/>
          </w:r>
          <w:r>
            <w:instrText xml:space="preserve"> HYPERLINK \l "_Toc209020137" </w:instrText>
          </w:r>
          <w:r>
            <w:fldChar w:fldCharType="separate"/>
          </w:r>
          <w:r>
            <w:rPr>
              <w:rStyle w:val="847"/>
            </w:rPr>
            <w:t xml:space="preserve">27.</w:t>
          </w:r>
          <w:r>
            <w:rPr>
              <w:rStyle w:val="847"/>
              <w:rFonts w:hint="eastAsia"/>
            </w:rPr>
            <w:t xml:space="preserve">确定中标人</w:t>
          </w:r>
          <w:r>
            <w:tab/>
          </w:r>
          <w:r>
            <w:fldChar w:fldCharType="begin"/>
          </w:r>
          <w:r>
            <w:instrText xml:space="preserve"> PAGEREF _Toc209020137 \h </w:instrText>
          </w:r>
          <w:r>
            <w:fldChar w:fldCharType="separate"/>
          </w:r>
          <w:r>
            <w:t xml:space="preserve">21</w:t>
          </w:r>
          <w:r>
            <w:fldChar w:fldCharType="end"/>
          </w:r>
          <w:r>
            <w:fldChar w:fldCharType="end"/>
          </w:r>
          <w:r/>
        </w:p>
        <w:p>
          <w:pPr>
            <w:pStyle w:val="844"/>
            <w:tabs>
              <w:tab w:val="right" w:pos="8296" w:leader="dot"/>
            </w:tabs>
          </w:pPr>
          <w:r>
            <w:fldChar w:fldCharType="begin"/>
          </w:r>
          <w:r>
            <w:instrText xml:space="preserve"> HYPERLINK \l "_Toc209020138" </w:instrText>
          </w:r>
          <w:r>
            <w:fldChar w:fldCharType="separate"/>
          </w:r>
          <w:r>
            <w:rPr>
              <w:rStyle w:val="847"/>
              <w:rFonts w:hint="eastAsia"/>
            </w:rPr>
            <w:t xml:space="preserve">六、授予合同</w:t>
          </w:r>
          <w:r>
            <w:tab/>
          </w:r>
          <w:r>
            <w:fldChar w:fldCharType="begin"/>
          </w:r>
          <w:r>
            <w:instrText xml:space="preserve"> PAGEREF _Toc209020138 \h </w:instrText>
          </w:r>
          <w:r>
            <w:fldChar w:fldCharType="separate"/>
          </w:r>
          <w:r>
            <w:t xml:space="preserve">21</w:t>
          </w:r>
          <w:r>
            <w:fldChar w:fldCharType="end"/>
          </w:r>
          <w:r>
            <w:fldChar w:fldCharType="end"/>
          </w:r>
          <w:r/>
        </w:p>
        <w:p>
          <w:pPr>
            <w:pStyle w:val="835"/>
            <w:tabs>
              <w:tab w:val="right" w:pos="8296" w:leader="dot"/>
            </w:tabs>
          </w:pPr>
          <w:r>
            <w:fldChar w:fldCharType="begin"/>
          </w:r>
          <w:r>
            <w:instrText xml:space="preserve"> HYPERLINK \l "_Toc209020139" </w:instrText>
          </w:r>
          <w:r>
            <w:fldChar w:fldCharType="separate"/>
          </w:r>
          <w:r>
            <w:rPr>
              <w:rStyle w:val="847"/>
            </w:rPr>
            <w:t xml:space="preserve">28</w:t>
          </w:r>
          <w:r>
            <w:rPr>
              <w:rStyle w:val="847"/>
              <w:rFonts w:hint="eastAsia"/>
            </w:rPr>
            <w:t xml:space="preserve">.中标通知书</w:t>
          </w:r>
          <w:r>
            <w:tab/>
          </w:r>
          <w:r>
            <w:fldChar w:fldCharType="begin"/>
          </w:r>
          <w:r>
            <w:instrText xml:space="preserve"> PAGEREF _Toc209020139 \h </w:instrText>
          </w:r>
          <w:r>
            <w:fldChar w:fldCharType="separate"/>
          </w:r>
          <w:r>
            <w:t xml:space="preserve">21</w:t>
          </w:r>
          <w:r>
            <w:fldChar w:fldCharType="end"/>
          </w:r>
          <w:r>
            <w:fldChar w:fldCharType="end"/>
          </w:r>
          <w:r/>
        </w:p>
        <w:p>
          <w:pPr>
            <w:pStyle w:val="835"/>
            <w:tabs>
              <w:tab w:val="right" w:pos="8296" w:leader="dot"/>
            </w:tabs>
          </w:pPr>
          <w:r>
            <w:fldChar w:fldCharType="begin"/>
          </w:r>
          <w:r>
            <w:instrText xml:space="preserve"> HYPERLINK \l "_Toc209020140" </w:instrText>
          </w:r>
          <w:r>
            <w:fldChar w:fldCharType="separate"/>
          </w:r>
          <w:r>
            <w:rPr>
              <w:rStyle w:val="847"/>
            </w:rPr>
            <w:t xml:space="preserve">29.</w:t>
          </w:r>
          <w:r>
            <w:rPr>
              <w:rStyle w:val="847"/>
              <w:rFonts w:hint="eastAsia"/>
            </w:rPr>
            <w:t xml:space="preserve">履约保证金</w:t>
          </w:r>
          <w:r>
            <w:tab/>
          </w:r>
          <w:r>
            <w:fldChar w:fldCharType="begin"/>
          </w:r>
          <w:r>
            <w:instrText xml:space="preserve"> PAGEREF _Toc209020140 \h </w:instrText>
          </w:r>
          <w:r>
            <w:fldChar w:fldCharType="separate"/>
          </w:r>
          <w:r>
            <w:t xml:space="preserve">21</w:t>
          </w:r>
          <w:r>
            <w:fldChar w:fldCharType="end"/>
          </w:r>
          <w:r>
            <w:fldChar w:fldCharType="end"/>
          </w:r>
          <w:r/>
        </w:p>
        <w:p>
          <w:pPr>
            <w:pStyle w:val="835"/>
            <w:tabs>
              <w:tab w:val="right" w:pos="8296" w:leader="dot"/>
            </w:tabs>
          </w:pPr>
          <w:r>
            <w:fldChar w:fldCharType="begin"/>
          </w:r>
          <w:r>
            <w:instrText xml:space="preserve"> HYPERLINK \l "_Toc209020141" </w:instrText>
          </w:r>
          <w:r>
            <w:fldChar w:fldCharType="separate"/>
          </w:r>
          <w:r>
            <w:rPr>
              <w:rStyle w:val="847"/>
            </w:rPr>
            <w:t xml:space="preserve">30</w:t>
          </w:r>
          <w:r>
            <w:rPr>
              <w:rStyle w:val="847"/>
              <w:rFonts w:hint="eastAsia"/>
            </w:rPr>
            <w:t xml:space="preserve">.签订合同</w:t>
          </w:r>
          <w:r>
            <w:tab/>
          </w:r>
          <w:r>
            <w:fldChar w:fldCharType="begin"/>
          </w:r>
          <w:r>
            <w:instrText xml:space="preserve"> PAGEREF _Toc209020141 \h </w:instrText>
          </w:r>
          <w:r>
            <w:fldChar w:fldCharType="separate"/>
          </w:r>
          <w:r>
            <w:t xml:space="preserve">23</w:t>
          </w:r>
          <w:r>
            <w:fldChar w:fldCharType="end"/>
          </w:r>
          <w:r>
            <w:fldChar w:fldCharType="end"/>
          </w:r>
          <w:r/>
        </w:p>
        <w:p>
          <w:pPr>
            <w:pStyle w:val="844"/>
            <w:tabs>
              <w:tab w:val="right" w:pos="8296" w:leader="dot"/>
            </w:tabs>
          </w:pPr>
          <w:r>
            <w:fldChar w:fldCharType="begin"/>
          </w:r>
          <w:r>
            <w:instrText xml:space="preserve"> HYPERLINK \l "_Toc209020142" </w:instrText>
          </w:r>
          <w:r>
            <w:fldChar w:fldCharType="separate"/>
          </w:r>
          <w:r>
            <w:rPr>
              <w:rStyle w:val="847"/>
              <w:rFonts w:hint="eastAsia"/>
            </w:rPr>
            <w:t xml:space="preserve">七、询问、质疑、投诉</w:t>
          </w:r>
          <w:r>
            <w:tab/>
          </w:r>
          <w:r>
            <w:fldChar w:fldCharType="begin"/>
          </w:r>
          <w:r>
            <w:instrText xml:space="preserve"> PAGEREF _Toc209020142 \h </w:instrText>
          </w:r>
          <w:r>
            <w:fldChar w:fldCharType="separate"/>
          </w:r>
          <w:r>
            <w:t xml:space="preserve">23</w:t>
          </w:r>
          <w:r>
            <w:fldChar w:fldCharType="end"/>
          </w:r>
          <w:r>
            <w:fldChar w:fldCharType="end"/>
          </w:r>
          <w:r/>
        </w:p>
        <w:p>
          <w:pPr>
            <w:pStyle w:val="835"/>
            <w:tabs>
              <w:tab w:val="right" w:pos="8296" w:leader="dot"/>
            </w:tabs>
          </w:pPr>
          <w:r>
            <w:fldChar w:fldCharType="begin"/>
          </w:r>
          <w:r>
            <w:instrText xml:space="preserve"> HYPERLINK \l "_Toc209020143" </w:instrText>
          </w:r>
          <w:r>
            <w:fldChar w:fldCharType="separate"/>
          </w:r>
          <w:r>
            <w:rPr>
              <w:rStyle w:val="847"/>
            </w:rPr>
            <w:t xml:space="preserve">31</w:t>
          </w:r>
          <w:r>
            <w:rPr>
              <w:rStyle w:val="847"/>
              <w:rFonts w:hint="eastAsia"/>
            </w:rPr>
            <w:t xml:space="preserve">.询问</w:t>
          </w:r>
          <w:r>
            <w:tab/>
          </w:r>
          <w:r>
            <w:fldChar w:fldCharType="begin"/>
          </w:r>
          <w:r>
            <w:instrText xml:space="preserve"> PAGEREF _Toc209020143 \h </w:instrText>
          </w:r>
          <w:r>
            <w:fldChar w:fldCharType="separate"/>
          </w:r>
          <w:r>
            <w:t xml:space="preserve">23</w:t>
          </w:r>
          <w:r>
            <w:fldChar w:fldCharType="end"/>
          </w:r>
          <w:r>
            <w:fldChar w:fldCharType="end"/>
          </w:r>
          <w:r/>
        </w:p>
        <w:p>
          <w:pPr>
            <w:pStyle w:val="835"/>
            <w:tabs>
              <w:tab w:val="right" w:pos="8296" w:leader="dot"/>
            </w:tabs>
          </w:pPr>
          <w:r>
            <w:fldChar w:fldCharType="begin"/>
          </w:r>
          <w:r>
            <w:instrText xml:space="preserve"> HYPERLINK \l "_Toc209020144" </w:instrText>
          </w:r>
          <w:r>
            <w:fldChar w:fldCharType="separate"/>
          </w:r>
          <w:r>
            <w:rPr>
              <w:rStyle w:val="847"/>
            </w:rPr>
            <w:t xml:space="preserve">32</w:t>
          </w:r>
          <w:r>
            <w:rPr>
              <w:rStyle w:val="847"/>
              <w:rFonts w:hint="eastAsia"/>
            </w:rPr>
            <w:t xml:space="preserve">.质疑</w:t>
          </w:r>
          <w:r>
            <w:tab/>
          </w:r>
          <w:r>
            <w:fldChar w:fldCharType="begin"/>
          </w:r>
          <w:r>
            <w:instrText xml:space="preserve"> PAGEREF _Toc209020144 \h </w:instrText>
          </w:r>
          <w:r>
            <w:fldChar w:fldCharType="separate"/>
          </w:r>
          <w:r>
            <w:t xml:space="preserve">24</w:t>
          </w:r>
          <w:r>
            <w:fldChar w:fldCharType="end"/>
          </w:r>
          <w:r>
            <w:fldChar w:fldCharType="end"/>
          </w:r>
          <w:r/>
        </w:p>
        <w:p>
          <w:pPr>
            <w:pStyle w:val="835"/>
            <w:tabs>
              <w:tab w:val="right" w:pos="8296" w:leader="dot"/>
            </w:tabs>
          </w:pPr>
          <w:r>
            <w:fldChar w:fldCharType="begin"/>
          </w:r>
          <w:r>
            <w:instrText xml:space="preserve"> HYPERLINK \l "_Toc209020145" </w:instrText>
          </w:r>
          <w:r>
            <w:fldChar w:fldCharType="separate"/>
          </w:r>
          <w:r>
            <w:rPr>
              <w:rStyle w:val="847"/>
            </w:rPr>
            <w:t xml:space="preserve">33</w:t>
          </w:r>
          <w:r>
            <w:rPr>
              <w:rStyle w:val="847"/>
              <w:rFonts w:hint="eastAsia"/>
            </w:rPr>
            <w:t xml:space="preserve">.投诉</w:t>
          </w:r>
          <w:r>
            <w:tab/>
          </w:r>
          <w:r>
            <w:fldChar w:fldCharType="begin"/>
          </w:r>
          <w:r>
            <w:instrText xml:space="preserve"> PAGEREF _Toc209020145 \h </w:instrText>
          </w:r>
          <w:r>
            <w:fldChar w:fldCharType="separate"/>
          </w:r>
          <w:r>
            <w:t xml:space="preserve">25</w:t>
          </w:r>
          <w:r>
            <w:fldChar w:fldCharType="end"/>
          </w:r>
          <w:r>
            <w:fldChar w:fldCharType="end"/>
          </w:r>
          <w:r/>
        </w:p>
        <w:p>
          <w:pPr>
            <w:pStyle w:val="844"/>
            <w:tabs>
              <w:tab w:val="right" w:pos="8296" w:leader="dot"/>
            </w:tabs>
          </w:pPr>
          <w:r>
            <w:fldChar w:fldCharType="begin"/>
          </w:r>
          <w:r>
            <w:instrText xml:space="preserve"> HYPERLINK \l "_Toc209020146" </w:instrText>
          </w:r>
          <w:r>
            <w:fldChar w:fldCharType="separate"/>
          </w:r>
          <w:r>
            <w:rPr>
              <w:rStyle w:val="847"/>
              <w:rFonts w:hint="eastAsia"/>
            </w:rPr>
            <w:t xml:space="preserve">八、诚实信用和解释权</w:t>
          </w:r>
          <w:r>
            <w:tab/>
          </w:r>
          <w:r>
            <w:fldChar w:fldCharType="begin"/>
          </w:r>
          <w:r>
            <w:instrText xml:space="preserve"> PAGEREF _Toc209020146 \h </w:instrText>
          </w:r>
          <w:r>
            <w:fldChar w:fldCharType="separate"/>
          </w:r>
          <w:r>
            <w:t xml:space="preserve">25</w:t>
          </w:r>
          <w:r>
            <w:fldChar w:fldCharType="end"/>
          </w:r>
          <w:r>
            <w:fldChar w:fldCharType="end"/>
          </w:r>
          <w:r/>
        </w:p>
        <w:p>
          <w:pPr>
            <w:pStyle w:val="835"/>
            <w:tabs>
              <w:tab w:val="right" w:pos="8296" w:leader="dot"/>
            </w:tabs>
          </w:pPr>
          <w:r>
            <w:fldChar w:fldCharType="begin"/>
          </w:r>
          <w:r>
            <w:instrText xml:space="preserve"> HYPERLINK \l "_Toc209020147" </w:instrText>
          </w:r>
          <w:r>
            <w:fldChar w:fldCharType="separate"/>
          </w:r>
          <w:r>
            <w:rPr>
              <w:rStyle w:val="847"/>
            </w:rPr>
            <w:t xml:space="preserve">34</w:t>
          </w:r>
          <w:r>
            <w:rPr>
              <w:rStyle w:val="847"/>
              <w:rFonts w:hint="eastAsia"/>
            </w:rPr>
            <w:t xml:space="preserve">.诚实信用</w:t>
          </w:r>
          <w:r>
            <w:tab/>
          </w:r>
          <w:r>
            <w:fldChar w:fldCharType="begin"/>
          </w:r>
          <w:r>
            <w:instrText xml:space="preserve"> PAGEREF _Toc209020147 \h </w:instrText>
          </w:r>
          <w:r>
            <w:fldChar w:fldCharType="separate"/>
          </w:r>
          <w:r>
            <w:t xml:space="preserve">25</w:t>
          </w:r>
          <w:r>
            <w:fldChar w:fldCharType="end"/>
          </w:r>
          <w:r>
            <w:fldChar w:fldCharType="end"/>
          </w:r>
          <w:r/>
        </w:p>
        <w:p>
          <w:pPr>
            <w:pStyle w:val="835"/>
            <w:tabs>
              <w:tab w:val="right" w:pos="8296" w:leader="dot"/>
            </w:tabs>
          </w:pPr>
          <w:r>
            <w:fldChar w:fldCharType="begin"/>
          </w:r>
          <w:r>
            <w:instrText xml:space="preserve"> HYPERLINK \l "_Toc209020148" </w:instrText>
          </w:r>
          <w:r>
            <w:fldChar w:fldCharType="separate"/>
          </w:r>
          <w:r>
            <w:rPr>
              <w:rStyle w:val="847"/>
            </w:rPr>
            <w:t xml:space="preserve">35.</w:t>
          </w:r>
          <w:r>
            <w:rPr>
              <w:rStyle w:val="847"/>
              <w:rFonts w:hint="eastAsia"/>
            </w:rPr>
            <w:t xml:space="preserve">适用法律及约束力</w:t>
          </w:r>
          <w:r>
            <w:tab/>
          </w:r>
          <w:r>
            <w:fldChar w:fldCharType="begin"/>
          </w:r>
          <w:r>
            <w:instrText xml:space="preserve"> PAGEREF _Toc209020148 \h </w:instrText>
          </w:r>
          <w:r>
            <w:fldChar w:fldCharType="separate"/>
          </w:r>
          <w:r>
            <w:t xml:space="preserve">26</w:t>
          </w:r>
          <w:r>
            <w:fldChar w:fldCharType="end"/>
          </w:r>
          <w:r>
            <w:fldChar w:fldCharType="end"/>
          </w:r>
          <w:r/>
        </w:p>
        <w:p>
          <w:pPr>
            <w:pStyle w:val="835"/>
            <w:tabs>
              <w:tab w:val="right" w:pos="8296" w:leader="dot"/>
            </w:tabs>
          </w:pPr>
          <w:r>
            <w:fldChar w:fldCharType="begin"/>
          </w:r>
          <w:r>
            <w:instrText xml:space="preserve"> HYPERLINK \l "_Toc209020149" </w:instrText>
          </w:r>
          <w:r>
            <w:fldChar w:fldCharType="separate"/>
          </w:r>
          <w:r>
            <w:rPr>
              <w:rStyle w:val="847"/>
            </w:rPr>
            <w:t xml:space="preserve">36</w:t>
          </w:r>
          <w:r>
            <w:rPr>
              <w:rStyle w:val="847"/>
              <w:rFonts w:hint="eastAsia"/>
            </w:rPr>
            <w:t xml:space="preserve">.解释权</w:t>
          </w:r>
          <w:r>
            <w:tab/>
          </w:r>
          <w:r>
            <w:fldChar w:fldCharType="begin"/>
          </w:r>
          <w:r>
            <w:instrText xml:space="preserve"> PAGEREF _Toc209020149 \h </w:instrText>
          </w:r>
          <w:r>
            <w:fldChar w:fldCharType="separate"/>
          </w:r>
          <w:r>
            <w:t xml:space="preserve">26</w:t>
          </w:r>
          <w:r>
            <w:fldChar w:fldCharType="end"/>
          </w:r>
          <w:r>
            <w:fldChar w:fldCharType="end"/>
          </w:r>
          <w:r/>
        </w:p>
        <w:p>
          <w:pPr>
            <w:pStyle w:val="840"/>
            <w:tabs>
              <w:tab w:val="right" w:pos="8296" w:leader="dot"/>
            </w:tabs>
          </w:pPr>
          <w:r>
            <w:fldChar w:fldCharType="begin"/>
          </w:r>
          <w:r>
            <w:instrText xml:space="preserve"> HYPERLINK \l "_Toc209020150" </w:instrText>
          </w:r>
          <w:r>
            <w:fldChar w:fldCharType="separate"/>
          </w:r>
          <w:r>
            <w:rPr>
              <w:rStyle w:val="847"/>
              <w:rFonts w:hint="eastAsia"/>
            </w:rPr>
            <w:t xml:space="preserve">第三部分、拟签订的合同文本（服务类）</w:t>
          </w:r>
          <w:r>
            <w:tab/>
          </w:r>
          <w:r>
            <w:fldChar w:fldCharType="begin"/>
          </w:r>
          <w:r>
            <w:instrText xml:space="preserve"> PAGEREF _Toc209020150 \h </w:instrText>
          </w:r>
          <w:r>
            <w:fldChar w:fldCharType="separate"/>
          </w:r>
          <w:r>
            <w:t xml:space="preserve">27</w:t>
          </w:r>
          <w:r>
            <w:fldChar w:fldCharType="end"/>
          </w:r>
          <w:r>
            <w:fldChar w:fldCharType="end"/>
          </w:r>
          <w:r/>
        </w:p>
        <w:p>
          <w:pPr>
            <w:pStyle w:val="840"/>
            <w:tabs>
              <w:tab w:val="right" w:pos="8296" w:leader="dot"/>
            </w:tabs>
          </w:pPr>
          <w:r>
            <w:fldChar w:fldCharType="begin"/>
          </w:r>
          <w:r>
            <w:instrText xml:space="preserve"> HYPERLINK \l "_Toc209020151" </w:instrText>
          </w:r>
          <w:r>
            <w:fldChar w:fldCharType="separate"/>
          </w:r>
          <w:r>
            <w:rPr>
              <w:rStyle w:val="847"/>
              <w:rFonts w:hint="eastAsia"/>
            </w:rPr>
            <w:t xml:space="preserve">第四部分、采购需求</w:t>
          </w:r>
          <w:r>
            <w:tab/>
          </w:r>
          <w:r>
            <w:fldChar w:fldCharType="begin"/>
          </w:r>
          <w:r>
            <w:instrText xml:space="preserve"> PAGEREF _Toc209020151 \h </w:instrText>
          </w:r>
          <w:r>
            <w:fldChar w:fldCharType="separate"/>
          </w:r>
          <w:r>
            <w:t xml:space="preserve">45</w:t>
          </w:r>
          <w:r>
            <w:fldChar w:fldCharType="end"/>
          </w:r>
          <w:r>
            <w:fldChar w:fldCharType="end"/>
          </w:r>
          <w:r/>
        </w:p>
        <w:p>
          <w:pPr>
            <w:pStyle w:val="844"/>
            <w:tabs>
              <w:tab w:val="right" w:pos="8296" w:leader="dot"/>
            </w:tabs>
          </w:pPr>
          <w:r>
            <w:fldChar w:fldCharType="begin"/>
          </w:r>
          <w:r>
            <w:instrText xml:space="preserve"> HYPERLINK \l "_Toc209020152" </w:instrText>
          </w:r>
          <w:r>
            <w:fldChar w:fldCharType="separate"/>
          </w:r>
          <w:r>
            <w:rPr>
              <w:rStyle w:val="847"/>
              <w:rFonts w:hint="eastAsia"/>
            </w:rPr>
            <w:t xml:space="preserve">一、项目概况</w:t>
          </w:r>
          <w:r>
            <w:tab/>
          </w:r>
          <w:r>
            <w:fldChar w:fldCharType="begin"/>
          </w:r>
          <w:r>
            <w:instrText xml:space="preserve"> PAGEREF _Toc209020152 \h </w:instrText>
          </w:r>
          <w:r>
            <w:fldChar w:fldCharType="separate"/>
          </w:r>
          <w:r>
            <w:t xml:space="preserve">45</w:t>
          </w:r>
          <w:r>
            <w:fldChar w:fldCharType="end"/>
          </w:r>
          <w:r>
            <w:fldChar w:fldCharType="end"/>
          </w:r>
          <w:r/>
        </w:p>
        <w:p>
          <w:pPr>
            <w:pStyle w:val="844"/>
            <w:tabs>
              <w:tab w:val="right" w:pos="8296" w:leader="dot"/>
            </w:tabs>
          </w:pPr>
          <w:r>
            <w:fldChar w:fldCharType="begin"/>
          </w:r>
          <w:r>
            <w:instrText xml:space="preserve"> HYPERLINK \l "_Toc209020153" </w:instrText>
          </w:r>
          <w:r>
            <w:fldChar w:fldCharType="separate"/>
          </w:r>
          <w:r>
            <w:rPr>
              <w:rStyle w:val="847"/>
              <w:rFonts w:hint="eastAsia"/>
            </w:rPr>
            <w:t xml:space="preserve">二、采购标的汇总表</w:t>
          </w:r>
          <w:r>
            <w:tab/>
          </w:r>
          <w:r>
            <w:fldChar w:fldCharType="begin"/>
          </w:r>
          <w:r>
            <w:instrText xml:space="preserve"> PAGEREF _Toc209020153 \h </w:instrText>
          </w:r>
          <w:r>
            <w:fldChar w:fldCharType="separate"/>
          </w:r>
          <w:r>
            <w:t xml:space="preserve">45</w:t>
          </w:r>
          <w:r>
            <w:fldChar w:fldCharType="end"/>
          </w:r>
          <w:r>
            <w:fldChar w:fldCharType="end"/>
          </w:r>
          <w:r/>
        </w:p>
        <w:p>
          <w:pPr>
            <w:pStyle w:val="844"/>
            <w:tabs>
              <w:tab w:val="right" w:pos="8296" w:leader="dot"/>
            </w:tabs>
          </w:pPr>
          <w:r>
            <w:fldChar w:fldCharType="begin"/>
          </w:r>
          <w:r>
            <w:instrText xml:space="preserve"> HYPERLINK \l "_Toc209020154" </w:instrText>
          </w:r>
          <w:r>
            <w:fldChar w:fldCharType="separate"/>
          </w:r>
          <w:r>
            <w:rPr>
              <w:rStyle w:val="847"/>
              <w:rFonts w:hint="eastAsia"/>
            </w:rPr>
            <w:t xml:space="preserve">三、官塘桥路、金桥大道绿化养护项目技术要求</w:t>
          </w:r>
          <w:r>
            <w:tab/>
          </w:r>
          <w:r>
            <w:fldChar w:fldCharType="begin"/>
          </w:r>
          <w:r>
            <w:instrText xml:space="preserve"> PAGEREF _Toc209020154 \h </w:instrText>
          </w:r>
          <w:r>
            <w:fldChar w:fldCharType="separate"/>
          </w:r>
          <w:r>
            <w:t xml:space="preserve">45</w:t>
          </w:r>
          <w:r>
            <w:fldChar w:fldCharType="end"/>
          </w:r>
          <w:r>
            <w:fldChar w:fldCharType="end"/>
          </w:r>
          <w:r/>
        </w:p>
        <w:p>
          <w:pPr>
            <w:pStyle w:val="844"/>
            <w:tabs>
              <w:tab w:val="right" w:pos="8296" w:leader="dot"/>
            </w:tabs>
          </w:pPr>
          <w:r>
            <w:fldChar w:fldCharType="begin"/>
          </w:r>
          <w:r>
            <w:instrText xml:space="preserve"> HYPERLINK \l "_Toc209020155" </w:instrText>
          </w:r>
          <w:r>
            <w:fldChar w:fldCharType="separate"/>
          </w:r>
          <w:r>
            <w:rPr>
              <w:rStyle w:val="847"/>
              <w:rFonts w:hint="eastAsia"/>
            </w:rPr>
            <w:t xml:space="preserve">四、绿化养护的质量标准和要求</w:t>
          </w:r>
          <w:r>
            <w:tab/>
          </w:r>
          <w:r>
            <w:fldChar w:fldCharType="begin"/>
          </w:r>
          <w:r>
            <w:instrText xml:space="preserve"> PAGEREF _Toc209020155 \h </w:instrText>
          </w:r>
          <w:r>
            <w:fldChar w:fldCharType="separate"/>
          </w:r>
          <w:r>
            <w:t xml:space="preserve">51</w:t>
          </w:r>
          <w:r>
            <w:fldChar w:fldCharType="end"/>
          </w:r>
          <w:r>
            <w:fldChar w:fldCharType="end"/>
          </w:r>
          <w:r/>
        </w:p>
        <w:p>
          <w:pPr>
            <w:pStyle w:val="844"/>
            <w:tabs>
              <w:tab w:val="right" w:pos="8296" w:leader="dot"/>
            </w:tabs>
          </w:pPr>
          <w:r>
            <w:fldChar w:fldCharType="begin"/>
          </w:r>
          <w:r>
            <w:instrText xml:space="preserve"> HYPERLINK \l "_Toc209020156" </w:instrText>
          </w:r>
          <w:r>
            <w:fldChar w:fldCharType="separate"/>
          </w:r>
          <w:r>
            <w:rPr>
              <w:rStyle w:val="847"/>
              <w:rFonts w:hint="eastAsia"/>
            </w:rPr>
            <w:t xml:space="preserve">五、镇江市市管绿地养护管理考核实施细则（见附件）</w:t>
          </w:r>
          <w:r>
            <w:tab/>
          </w:r>
          <w:r>
            <w:fldChar w:fldCharType="begin"/>
          </w:r>
          <w:r>
            <w:instrText xml:space="preserve"> PAGEREF _Toc209020156 \h </w:instrText>
          </w:r>
          <w:r>
            <w:fldChar w:fldCharType="separate"/>
          </w:r>
          <w:r>
            <w:t xml:space="preserve">68</w:t>
          </w:r>
          <w:r>
            <w:fldChar w:fldCharType="end"/>
          </w:r>
          <w:r>
            <w:fldChar w:fldCharType="end"/>
          </w:r>
          <w:r/>
        </w:p>
        <w:p>
          <w:pPr>
            <w:pStyle w:val="844"/>
            <w:tabs>
              <w:tab w:val="right" w:pos="8296" w:leader="dot"/>
            </w:tabs>
          </w:pPr>
          <w:r>
            <w:fldChar w:fldCharType="begin"/>
          </w:r>
          <w:r>
            <w:instrText xml:space="preserve"> HYPERLINK \l "_Toc209020157" </w:instrText>
          </w:r>
          <w:r>
            <w:fldChar w:fldCharType="separate"/>
          </w:r>
          <w:r>
            <w:rPr>
              <w:rStyle w:val="847"/>
              <w:rFonts w:hint="eastAsia"/>
            </w:rPr>
            <w:t xml:space="preserve">六、普查、交接与验收</w:t>
          </w:r>
          <w:r>
            <w:tab/>
          </w:r>
          <w:r>
            <w:fldChar w:fldCharType="begin"/>
          </w:r>
          <w:r>
            <w:instrText xml:space="preserve"> PAGEREF _Toc209020157 \h </w:instrText>
          </w:r>
          <w:r>
            <w:fldChar w:fldCharType="separate"/>
          </w:r>
          <w:r>
            <w:t xml:space="preserve">68</w:t>
          </w:r>
          <w:r>
            <w:fldChar w:fldCharType="end"/>
          </w:r>
          <w:r>
            <w:fldChar w:fldCharType="end"/>
          </w:r>
          <w:r/>
        </w:p>
        <w:p>
          <w:pPr>
            <w:pStyle w:val="840"/>
            <w:tabs>
              <w:tab w:val="right" w:pos="8296" w:leader="dot"/>
            </w:tabs>
          </w:pPr>
          <w:r>
            <w:fldChar w:fldCharType="begin"/>
          </w:r>
          <w:r>
            <w:instrText xml:space="preserve"> HYPERLINK \l "_Toc209020158" </w:instrText>
          </w:r>
          <w:r>
            <w:fldChar w:fldCharType="separate"/>
          </w:r>
          <w:r>
            <w:rPr>
              <w:rStyle w:val="847"/>
              <w:rFonts w:hint="eastAsia"/>
            </w:rPr>
            <w:t xml:space="preserve">第五部分、评标办法和标准</w:t>
          </w:r>
          <w:r>
            <w:tab/>
          </w:r>
          <w:r>
            <w:fldChar w:fldCharType="begin"/>
          </w:r>
          <w:r>
            <w:instrText xml:space="preserve"> PAGEREF _Toc209020158 \h </w:instrText>
          </w:r>
          <w:r>
            <w:fldChar w:fldCharType="separate"/>
          </w:r>
          <w:r>
            <w:t xml:space="preserve">69</w:t>
          </w:r>
          <w:r>
            <w:fldChar w:fldCharType="end"/>
          </w:r>
          <w:r>
            <w:fldChar w:fldCharType="end"/>
          </w:r>
          <w:r/>
        </w:p>
        <w:p>
          <w:pPr>
            <w:pStyle w:val="844"/>
            <w:ind w:firstLine="420"/>
            <w:tabs>
              <w:tab w:val="right" w:pos="8296" w:leader="dot"/>
            </w:tabs>
          </w:pPr>
          <w:r>
            <w:fldChar w:fldCharType="begin"/>
          </w:r>
          <w:r>
            <w:instrText xml:space="preserve"> HYPERLINK \l "_Toc209020159" </w:instrText>
          </w:r>
          <w:r>
            <w:fldChar w:fldCharType="separate"/>
          </w:r>
          <w:r>
            <w:rPr>
              <w:rStyle w:val="847"/>
            </w:rPr>
            <w:t xml:space="preserve">1.</w:t>
          </w:r>
          <w:r>
            <w:rPr>
              <w:rStyle w:val="847"/>
              <w:rFonts w:hint="eastAsia"/>
            </w:rPr>
            <w:t xml:space="preserve">采购代理机构职责</w:t>
          </w:r>
          <w:r>
            <w:tab/>
          </w:r>
          <w:r>
            <w:fldChar w:fldCharType="begin"/>
          </w:r>
          <w:r>
            <w:instrText xml:space="preserve"> PAGEREF _Toc209020159 \h </w:instrText>
          </w:r>
          <w:r>
            <w:fldChar w:fldCharType="separate"/>
          </w:r>
          <w:r>
            <w:t xml:space="preserve">69</w:t>
          </w:r>
          <w:r>
            <w:fldChar w:fldCharType="end"/>
          </w:r>
          <w:r>
            <w:fldChar w:fldCharType="end"/>
          </w:r>
          <w:r/>
        </w:p>
        <w:p>
          <w:pPr>
            <w:pStyle w:val="844"/>
            <w:ind w:firstLine="420"/>
            <w:tabs>
              <w:tab w:val="right" w:pos="8296" w:leader="dot"/>
            </w:tabs>
          </w:pPr>
          <w:r>
            <w:fldChar w:fldCharType="begin"/>
          </w:r>
          <w:r>
            <w:instrText xml:space="preserve"> HYPERLINK \l "_Toc209020160" </w:instrText>
          </w:r>
          <w:r>
            <w:fldChar w:fldCharType="separate"/>
          </w:r>
          <w:r>
            <w:rPr>
              <w:rStyle w:val="847"/>
            </w:rPr>
            <w:t xml:space="preserve">2.</w:t>
          </w:r>
          <w:r>
            <w:rPr>
              <w:rStyle w:val="847"/>
              <w:rFonts w:hint="eastAsia"/>
            </w:rPr>
            <w:t xml:space="preserve">评标委员会职责</w:t>
          </w:r>
          <w:r>
            <w:tab/>
          </w:r>
          <w:r>
            <w:fldChar w:fldCharType="begin"/>
          </w:r>
          <w:r>
            <w:instrText xml:space="preserve"> PAGEREF _Toc209020160 \h </w:instrText>
          </w:r>
          <w:r>
            <w:fldChar w:fldCharType="separate"/>
          </w:r>
          <w:r>
            <w:t xml:space="preserve">69</w:t>
          </w:r>
          <w:r>
            <w:fldChar w:fldCharType="end"/>
          </w:r>
          <w:r>
            <w:fldChar w:fldCharType="end"/>
          </w:r>
          <w:r/>
        </w:p>
        <w:p>
          <w:pPr>
            <w:pStyle w:val="835"/>
            <w:ind w:left="0" w:firstLine="840"/>
            <w:tabs>
              <w:tab w:val="right" w:pos="8296" w:leader="dot"/>
            </w:tabs>
          </w:pPr>
          <w:r>
            <w:fldChar w:fldCharType="begin"/>
          </w:r>
          <w:r>
            <w:instrText xml:space="preserve"> HYPERLINK \l "_Toc209020161" </w:instrText>
          </w:r>
          <w:r>
            <w:fldChar w:fldCharType="separate"/>
          </w:r>
          <w:r>
            <w:rPr>
              <w:rStyle w:val="847"/>
            </w:rPr>
            <w:t xml:space="preserve">2.1</w:t>
          </w:r>
          <w:r>
            <w:rPr>
              <w:rStyle w:val="847"/>
              <w:rFonts w:hint="eastAsia"/>
            </w:rPr>
            <w:t xml:space="preserve">.评标委员会负责具体评标事务，并独立履行下列职责：</w:t>
          </w:r>
          <w:r>
            <w:tab/>
          </w:r>
          <w:r>
            <w:fldChar w:fldCharType="begin"/>
          </w:r>
          <w:r>
            <w:instrText xml:space="preserve"> PAGEREF _Toc209020161 \h </w:instrText>
          </w:r>
          <w:r>
            <w:fldChar w:fldCharType="separate"/>
          </w:r>
          <w:r>
            <w:t xml:space="preserve">69</w:t>
          </w:r>
          <w:r>
            <w:fldChar w:fldCharType="end"/>
          </w:r>
          <w:r>
            <w:fldChar w:fldCharType="end"/>
          </w:r>
          <w:r/>
        </w:p>
        <w:p>
          <w:pPr>
            <w:pStyle w:val="844"/>
            <w:ind w:firstLine="420"/>
            <w:tabs>
              <w:tab w:val="right" w:pos="8296" w:leader="dot"/>
            </w:tabs>
          </w:pPr>
          <w:r>
            <w:fldChar w:fldCharType="begin"/>
          </w:r>
          <w:r>
            <w:instrText xml:space="preserve"> HYPERLINK \l "_Toc209020162" </w:instrText>
          </w:r>
          <w:r>
            <w:fldChar w:fldCharType="separate"/>
          </w:r>
          <w:r>
            <w:rPr>
              <w:rStyle w:val="847"/>
            </w:rPr>
            <w:t xml:space="preserve">3.</w:t>
          </w:r>
          <w:r>
            <w:rPr>
              <w:rStyle w:val="847"/>
              <w:rFonts w:hint="eastAsia"/>
            </w:rPr>
            <w:t xml:space="preserve">评标注意事项</w:t>
          </w:r>
          <w:r>
            <w:tab/>
          </w:r>
          <w:r>
            <w:fldChar w:fldCharType="begin"/>
          </w:r>
          <w:r>
            <w:instrText xml:space="preserve"> PAGEREF _Toc209020162 \h </w:instrText>
          </w:r>
          <w:r>
            <w:fldChar w:fldCharType="separate"/>
          </w:r>
          <w:r>
            <w:t xml:space="preserve">69</w:t>
          </w:r>
          <w:r>
            <w:fldChar w:fldCharType="end"/>
          </w:r>
          <w:r>
            <w:fldChar w:fldCharType="end"/>
          </w:r>
          <w:r/>
        </w:p>
        <w:p>
          <w:pPr>
            <w:pStyle w:val="844"/>
            <w:ind w:firstLine="420"/>
            <w:tabs>
              <w:tab w:val="right" w:pos="8296" w:leader="dot"/>
            </w:tabs>
          </w:pPr>
          <w:r>
            <w:fldChar w:fldCharType="begin"/>
          </w:r>
          <w:r>
            <w:instrText xml:space="preserve"> HYPERLINK \l "_Toc209020163" </w:instrText>
          </w:r>
          <w:r>
            <w:fldChar w:fldCharType="separate"/>
          </w:r>
          <w:r>
            <w:rPr>
              <w:rStyle w:val="847"/>
            </w:rPr>
            <w:t xml:space="preserve">4.</w:t>
          </w:r>
          <w:r>
            <w:rPr>
              <w:rStyle w:val="847"/>
              <w:rFonts w:hint="eastAsia"/>
            </w:rPr>
            <w:t xml:space="preserve">评标过程的保密</w:t>
          </w:r>
          <w:r>
            <w:tab/>
          </w:r>
          <w:r>
            <w:fldChar w:fldCharType="begin"/>
          </w:r>
          <w:r>
            <w:instrText xml:space="preserve"> PAGEREF _Toc209020163 \h </w:instrText>
          </w:r>
          <w:r>
            <w:fldChar w:fldCharType="separate"/>
          </w:r>
          <w:r>
            <w:t xml:space="preserve">71</w:t>
          </w:r>
          <w:r>
            <w:fldChar w:fldCharType="end"/>
          </w:r>
          <w:r>
            <w:fldChar w:fldCharType="end"/>
          </w:r>
          <w:r/>
        </w:p>
        <w:p>
          <w:pPr>
            <w:pStyle w:val="844"/>
            <w:ind w:firstLine="420"/>
            <w:tabs>
              <w:tab w:val="right" w:pos="8296" w:leader="dot"/>
            </w:tabs>
          </w:pPr>
          <w:r>
            <w:fldChar w:fldCharType="begin"/>
          </w:r>
          <w:r>
            <w:instrText xml:space="preserve"> HYPERLINK \l "_Toc209020164" </w:instrText>
          </w:r>
          <w:r>
            <w:fldChar w:fldCharType="separate"/>
          </w:r>
          <w:r>
            <w:rPr>
              <w:rStyle w:val="847"/>
            </w:rPr>
            <w:t xml:space="preserve">5.</w:t>
          </w:r>
          <w:r>
            <w:rPr>
              <w:rStyle w:val="847"/>
              <w:rFonts w:hint="eastAsia"/>
            </w:rPr>
            <w:t xml:space="preserve">报价前后不一致的处理原则</w:t>
          </w:r>
          <w:r>
            <w:tab/>
          </w:r>
          <w:r>
            <w:fldChar w:fldCharType="begin"/>
          </w:r>
          <w:r>
            <w:instrText xml:space="preserve"> PAGEREF _Toc209020164 \h </w:instrText>
          </w:r>
          <w:r>
            <w:fldChar w:fldCharType="separate"/>
          </w:r>
          <w:r>
            <w:t xml:space="preserve">71</w:t>
          </w:r>
          <w:r>
            <w:fldChar w:fldCharType="end"/>
          </w:r>
          <w:r>
            <w:fldChar w:fldCharType="end"/>
          </w:r>
          <w:r/>
        </w:p>
        <w:p>
          <w:pPr>
            <w:pStyle w:val="844"/>
            <w:ind w:firstLine="420"/>
            <w:tabs>
              <w:tab w:val="right" w:pos="8296" w:leader="dot"/>
            </w:tabs>
          </w:pPr>
          <w:r>
            <w:fldChar w:fldCharType="begin"/>
          </w:r>
          <w:r>
            <w:instrText xml:space="preserve"> HYPERLINK \l "_Toc209020165" </w:instrText>
          </w:r>
          <w:r>
            <w:fldChar w:fldCharType="separate"/>
          </w:r>
          <w:r>
            <w:rPr>
              <w:rStyle w:val="847"/>
            </w:rPr>
            <w:t xml:space="preserve">6.</w:t>
          </w:r>
          <w:r>
            <w:rPr>
              <w:rStyle w:val="847"/>
              <w:rFonts w:hint="eastAsia"/>
            </w:rPr>
            <w:t xml:space="preserve">投标人资格审查</w:t>
          </w:r>
          <w:r>
            <w:tab/>
          </w:r>
          <w:r>
            <w:fldChar w:fldCharType="begin"/>
          </w:r>
          <w:r>
            <w:instrText xml:space="preserve"> PAGEREF _Toc209020165 \h </w:instrText>
          </w:r>
          <w:r>
            <w:fldChar w:fldCharType="separate"/>
          </w:r>
          <w:r>
            <w:t xml:space="preserve">71</w:t>
          </w:r>
          <w:r>
            <w:fldChar w:fldCharType="end"/>
          </w:r>
          <w:r>
            <w:fldChar w:fldCharType="end"/>
          </w:r>
          <w:r/>
        </w:p>
        <w:p>
          <w:pPr>
            <w:pStyle w:val="844"/>
            <w:ind w:firstLine="420"/>
            <w:tabs>
              <w:tab w:val="right" w:pos="8296" w:leader="dot"/>
            </w:tabs>
          </w:pPr>
          <w:r>
            <w:fldChar w:fldCharType="begin"/>
          </w:r>
          <w:r>
            <w:instrText xml:space="preserve"> HYPERLINK \l "_Toc209020166" </w:instrText>
          </w:r>
          <w:r>
            <w:fldChar w:fldCharType="separate"/>
          </w:r>
          <w:r>
            <w:rPr>
              <w:rStyle w:val="847"/>
            </w:rPr>
            <w:t xml:space="preserve">7.</w:t>
          </w:r>
          <w:r>
            <w:rPr>
              <w:rStyle w:val="847"/>
              <w:rFonts w:hint="eastAsia"/>
            </w:rPr>
            <w:t xml:space="preserve">投标人符合性审查</w:t>
          </w:r>
          <w:r>
            <w:tab/>
          </w:r>
          <w:r>
            <w:fldChar w:fldCharType="begin"/>
          </w:r>
          <w:r>
            <w:instrText xml:space="preserve"> PAGEREF _Toc209020166 \h </w:instrText>
          </w:r>
          <w:r>
            <w:fldChar w:fldCharType="separate"/>
          </w:r>
          <w:r>
            <w:t xml:space="preserve">72</w:t>
          </w:r>
          <w:r>
            <w:fldChar w:fldCharType="end"/>
          </w:r>
          <w:r>
            <w:fldChar w:fldCharType="end"/>
          </w:r>
          <w:r/>
        </w:p>
        <w:p>
          <w:pPr>
            <w:pStyle w:val="844"/>
            <w:ind w:firstLine="420"/>
            <w:tabs>
              <w:tab w:val="right" w:pos="8296" w:leader="dot"/>
            </w:tabs>
          </w:pPr>
          <w:r>
            <w:fldChar w:fldCharType="begin"/>
          </w:r>
          <w:r>
            <w:instrText xml:space="preserve"> HYPERLINK \l "_Toc209020167" </w:instrText>
          </w:r>
          <w:r>
            <w:fldChar w:fldCharType="separate"/>
          </w:r>
          <w:r>
            <w:rPr>
              <w:rStyle w:val="847"/>
            </w:rPr>
            <w:t xml:space="preserve">8.</w:t>
          </w:r>
          <w:r>
            <w:rPr>
              <w:rStyle w:val="847"/>
              <w:rFonts w:hint="eastAsia"/>
            </w:rPr>
            <w:t xml:space="preserve">商务和技术评估</w:t>
          </w:r>
          <w:r>
            <w:tab/>
          </w:r>
          <w:r>
            <w:fldChar w:fldCharType="begin"/>
          </w:r>
          <w:r>
            <w:instrText xml:space="preserve"> PAGEREF _Toc209020167 \h </w:instrText>
          </w:r>
          <w:r>
            <w:fldChar w:fldCharType="separate"/>
          </w:r>
          <w:r>
            <w:t xml:space="preserve">73</w:t>
          </w:r>
          <w:r>
            <w:fldChar w:fldCharType="end"/>
          </w:r>
          <w:r>
            <w:fldChar w:fldCharType="end"/>
          </w:r>
          <w:r/>
        </w:p>
        <w:p>
          <w:pPr>
            <w:pStyle w:val="835"/>
            <w:tabs>
              <w:tab w:val="right" w:pos="8296" w:leader="dot"/>
            </w:tabs>
          </w:pPr>
          <w:r>
            <w:fldChar w:fldCharType="begin"/>
          </w:r>
          <w:r>
            <w:instrText xml:space="preserve"> HYPERLINK \l "_Toc209020168" </w:instrText>
          </w:r>
          <w:r>
            <w:fldChar w:fldCharType="separate"/>
          </w:r>
          <w:r>
            <w:rPr>
              <w:rStyle w:val="847"/>
            </w:rPr>
            <w:t xml:space="preserve">8.1 </w:t>
          </w:r>
          <w:r>
            <w:rPr>
              <w:rStyle w:val="847"/>
              <w:rFonts w:hint="eastAsia"/>
            </w:rPr>
            <w:t xml:space="preserve">本项目采用综合评分法。</w:t>
          </w:r>
          <w:r>
            <w:tab/>
          </w:r>
          <w:r>
            <w:fldChar w:fldCharType="begin"/>
          </w:r>
          <w:r>
            <w:instrText xml:space="preserve"> PAGEREF _Toc209020168 \h </w:instrText>
          </w:r>
          <w:r>
            <w:fldChar w:fldCharType="separate"/>
          </w:r>
          <w:r>
            <w:t xml:space="preserve">73</w:t>
          </w:r>
          <w:r>
            <w:fldChar w:fldCharType="end"/>
          </w:r>
          <w:r>
            <w:fldChar w:fldCharType="end"/>
          </w:r>
          <w:r/>
        </w:p>
        <w:p>
          <w:pPr>
            <w:pStyle w:val="844"/>
            <w:ind w:firstLine="420"/>
            <w:tabs>
              <w:tab w:val="right" w:pos="8296" w:leader="dot"/>
            </w:tabs>
          </w:pPr>
          <w:r>
            <w:fldChar w:fldCharType="begin"/>
          </w:r>
          <w:r>
            <w:instrText xml:space="preserve"> HYPERLINK \l "_Toc209020169" </w:instrText>
          </w:r>
          <w:r>
            <w:fldChar w:fldCharType="separate"/>
          </w:r>
          <w:r>
            <w:rPr>
              <w:rStyle w:val="847"/>
            </w:rPr>
            <w:t xml:space="preserve">9.</w:t>
          </w:r>
          <w:r>
            <w:rPr>
              <w:rStyle w:val="847"/>
              <w:rFonts w:hint="eastAsia"/>
            </w:rPr>
            <w:t xml:space="preserve">相同品牌产品的处理原则</w:t>
          </w:r>
          <w:r>
            <w:tab/>
          </w:r>
          <w:r>
            <w:fldChar w:fldCharType="begin"/>
          </w:r>
          <w:r>
            <w:instrText xml:space="preserve"> PAGEREF _Toc209020169 \h </w:instrText>
          </w:r>
          <w:r>
            <w:fldChar w:fldCharType="separate"/>
          </w:r>
          <w:r>
            <w:t xml:space="preserve">78</w:t>
          </w:r>
          <w:r>
            <w:fldChar w:fldCharType="end"/>
          </w:r>
          <w:r>
            <w:fldChar w:fldCharType="end"/>
          </w:r>
          <w:r/>
        </w:p>
        <w:p>
          <w:pPr>
            <w:pStyle w:val="835"/>
            <w:tabs>
              <w:tab w:val="right" w:pos="8296" w:leader="dot"/>
            </w:tabs>
          </w:pPr>
          <w:r>
            <w:fldChar w:fldCharType="begin"/>
          </w:r>
          <w:r>
            <w:instrText xml:space="preserve"> HYPERLINK \l "_Toc209020170" </w:instrText>
          </w:r>
          <w:r>
            <w:fldChar w:fldCharType="separate"/>
          </w:r>
          <w:r>
            <w:rPr>
              <w:rStyle w:val="847"/>
            </w:rPr>
            <w:t xml:space="preserve">9.1</w:t>
          </w:r>
          <w:r>
            <w:rPr>
              <w:rStyle w:val="847"/>
              <w:rFonts w:hint="eastAsia"/>
            </w:rPr>
            <w:t xml:space="preserve">非单一产品采购项目，采购人应当根据采购项目技术构成、产品价格比重等合理确定核心产品。本项目核心产品见投标人须知前附表。</w:t>
          </w:r>
          <w:r>
            <w:tab/>
          </w:r>
          <w:r>
            <w:fldChar w:fldCharType="begin"/>
          </w:r>
          <w:r>
            <w:instrText xml:space="preserve"> PAGEREF _Toc209020170 \h </w:instrText>
          </w:r>
          <w:r>
            <w:fldChar w:fldCharType="separate"/>
          </w:r>
          <w:r>
            <w:t xml:space="preserve">78</w:t>
          </w:r>
          <w:r>
            <w:fldChar w:fldCharType="end"/>
          </w:r>
          <w:r>
            <w:fldChar w:fldCharType="end"/>
          </w:r>
          <w:r/>
        </w:p>
        <w:p>
          <w:pPr>
            <w:pStyle w:val="844"/>
            <w:ind w:firstLine="420"/>
            <w:tabs>
              <w:tab w:val="right" w:pos="8296" w:leader="dot"/>
            </w:tabs>
          </w:pPr>
          <w:r>
            <w:fldChar w:fldCharType="begin"/>
          </w:r>
          <w:r>
            <w:instrText xml:space="preserve"> HYPERLINK \l "_Toc209020171" </w:instrText>
          </w:r>
          <w:r>
            <w:fldChar w:fldCharType="separate"/>
          </w:r>
          <w:r>
            <w:rPr>
              <w:rStyle w:val="847"/>
            </w:rPr>
            <w:t xml:space="preserve">10.</w:t>
          </w:r>
          <w:r>
            <w:rPr>
              <w:rStyle w:val="847"/>
              <w:rFonts w:hint="eastAsia"/>
            </w:rPr>
            <w:t xml:space="preserve">允许修改评标结果的情形</w:t>
          </w:r>
          <w:r>
            <w:tab/>
          </w:r>
          <w:r>
            <w:fldChar w:fldCharType="begin"/>
          </w:r>
          <w:r>
            <w:instrText xml:space="preserve"> PAGEREF _Toc209020171 \h </w:instrText>
          </w:r>
          <w:r>
            <w:fldChar w:fldCharType="separate"/>
          </w:r>
          <w:r>
            <w:t xml:space="preserve">78</w:t>
          </w:r>
          <w:r>
            <w:fldChar w:fldCharType="end"/>
          </w:r>
          <w:r>
            <w:fldChar w:fldCharType="end"/>
          </w:r>
          <w:r/>
        </w:p>
        <w:p>
          <w:pPr>
            <w:pStyle w:val="844"/>
            <w:ind w:firstLine="420"/>
            <w:tabs>
              <w:tab w:val="right" w:pos="8296" w:leader="dot"/>
            </w:tabs>
          </w:pPr>
          <w:r>
            <w:fldChar w:fldCharType="begin"/>
          </w:r>
          <w:r>
            <w:instrText xml:space="preserve"> HYPERLINK \l "_Toc209020172" </w:instrText>
          </w:r>
          <w:r>
            <w:fldChar w:fldCharType="separate"/>
          </w:r>
          <w:r>
            <w:rPr>
              <w:rStyle w:val="847"/>
            </w:rPr>
            <w:t xml:space="preserve">11.</w:t>
          </w:r>
          <w:r>
            <w:rPr>
              <w:rStyle w:val="847"/>
              <w:rFonts w:hint="eastAsia"/>
            </w:rPr>
            <w:t xml:space="preserve">推荐中标候选人</w:t>
          </w:r>
          <w:r>
            <w:tab/>
          </w:r>
          <w:r>
            <w:fldChar w:fldCharType="begin"/>
          </w:r>
          <w:r>
            <w:instrText xml:space="preserve"> PAGEREF _Toc209020172 \h </w:instrText>
          </w:r>
          <w:r>
            <w:fldChar w:fldCharType="separate"/>
          </w:r>
          <w:r>
            <w:t xml:space="preserve">79</w:t>
          </w:r>
          <w:r>
            <w:fldChar w:fldCharType="end"/>
          </w:r>
          <w:r>
            <w:fldChar w:fldCharType="end"/>
          </w:r>
          <w:r/>
        </w:p>
        <w:p>
          <w:pPr>
            <w:pStyle w:val="840"/>
            <w:tabs>
              <w:tab w:val="right" w:pos="8296" w:leader="dot"/>
            </w:tabs>
          </w:pPr>
          <w:r>
            <w:fldChar w:fldCharType="begin"/>
          </w:r>
          <w:r>
            <w:instrText xml:space="preserve"> HYPERLINK \l "_Toc209020173" </w:instrText>
          </w:r>
          <w:r>
            <w:fldChar w:fldCharType="separate"/>
          </w:r>
          <w:r>
            <w:rPr>
              <w:rStyle w:val="847"/>
              <w:rFonts w:hint="eastAsia"/>
            </w:rPr>
            <w:t xml:space="preserve">第六部分、投标文件（格式）</w:t>
          </w:r>
          <w:r>
            <w:tab/>
          </w:r>
          <w:r>
            <w:fldChar w:fldCharType="begin"/>
          </w:r>
          <w:r>
            <w:instrText xml:space="preserve"> PAGEREF _Toc209020173 \h </w:instrText>
          </w:r>
          <w:r>
            <w:fldChar w:fldCharType="separate"/>
          </w:r>
          <w:r>
            <w:t xml:space="preserve">80</w:t>
          </w:r>
          <w:r>
            <w:fldChar w:fldCharType="end"/>
          </w:r>
          <w:r>
            <w:fldChar w:fldCharType="end"/>
          </w:r>
          <w:r/>
        </w:p>
        <w:p>
          <w:pPr>
            <w:pStyle w:val="840"/>
            <w:tabs>
              <w:tab w:val="right" w:pos="8296" w:leader="dot"/>
            </w:tabs>
          </w:pPr>
          <w:r>
            <w:fldChar w:fldCharType="begin"/>
          </w:r>
          <w:r>
            <w:instrText xml:space="preserve"> HYPERLINK \l "_Toc209020174" </w:instrText>
          </w:r>
          <w:r>
            <w:fldChar w:fldCharType="separate"/>
          </w:r>
          <w:r>
            <w:rPr>
              <w:rStyle w:val="847"/>
              <w:rFonts w:hint="eastAsia"/>
            </w:rPr>
            <w:t xml:space="preserve">一、资格部分</w:t>
          </w:r>
          <w:r>
            <w:tab/>
          </w:r>
          <w:r>
            <w:fldChar w:fldCharType="begin"/>
          </w:r>
          <w:r>
            <w:instrText xml:space="preserve"> PAGEREF _Toc209020174 \h </w:instrText>
          </w:r>
          <w:r>
            <w:fldChar w:fldCharType="separate"/>
          </w:r>
          <w:r>
            <w:t xml:space="preserve">81</w:t>
          </w:r>
          <w:r>
            <w:fldChar w:fldCharType="end"/>
          </w:r>
          <w:r>
            <w:fldChar w:fldCharType="end"/>
          </w:r>
          <w:r/>
        </w:p>
        <w:p>
          <w:pPr>
            <w:pStyle w:val="844"/>
            <w:tabs>
              <w:tab w:val="right" w:pos="8296" w:leader="dot"/>
            </w:tabs>
          </w:pPr>
          <w:r>
            <w:fldChar w:fldCharType="begin"/>
          </w:r>
          <w:r>
            <w:instrText xml:space="preserve"> HYPERLINK \l "_Toc209020175" </w:instrText>
          </w:r>
          <w:r>
            <w:fldChar w:fldCharType="separate"/>
          </w:r>
          <w:r>
            <w:rPr>
              <w:rStyle w:val="847"/>
              <w:rFonts w:hint="eastAsia"/>
            </w:rPr>
            <w:t xml:space="preserve">（一）投标函</w:t>
          </w:r>
          <w:r>
            <w:tab/>
          </w:r>
          <w:r>
            <w:fldChar w:fldCharType="begin"/>
          </w:r>
          <w:r>
            <w:instrText xml:space="preserve"> PAGEREF _Toc209020175 \h </w:instrText>
          </w:r>
          <w:r>
            <w:fldChar w:fldCharType="separate"/>
          </w:r>
          <w:r>
            <w:t xml:space="preserve">81</w:t>
          </w:r>
          <w:r>
            <w:fldChar w:fldCharType="end"/>
          </w:r>
          <w:r>
            <w:fldChar w:fldCharType="end"/>
          </w:r>
          <w:r/>
        </w:p>
        <w:p>
          <w:pPr>
            <w:pStyle w:val="844"/>
            <w:tabs>
              <w:tab w:val="right" w:pos="8296" w:leader="dot"/>
            </w:tabs>
          </w:pPr>
          <w:r>
            <w:fldChar w:fldCharType="begin"/>
          </w:r>
          <w:r>
            <w:instrText xml:space="preserve"> HYPERLINK \l "_Toc209020176" </w:instrText>
          </w:r>
          <w:r>
            <w:fldChar w:fldCharType="separate"/>
          </w:r>
          <w:r>
            <w:rPr>
              <w:rStyle w:val="847"/>
              <w:rFonts w:hint="eastAsia"/>
            </w:rPr>
            <w:t xml:space="preserve">（二）独立承担民事责任的能力</w:t>
          </w:r>
          <w:r>
            <w:tab/>
          </w:r>
          <w:r>
            <w:fldChar w:fldCharType="begin"/>
          </w:r>
          <w:r>
            <w:instrText xml:space="preserve"> PAGEREF _Toc209020176 \h </w:instrText>
          </w:r>
          <w:r>
            <w:fldChar w:fldCharType="separate"/>
          </w:r>
          <w:r>
            <w:t xml:space="preserve">83</w:t>
          </w:r>
          <w:r>
            <w:fldChar w:fldCharType="end"/>
          </w:r>
          <w:r>
            <w:fldChar w:fldCharType="end"/>
          </w:r>
          <w:r/>
        </w:p>
        <w:p>
          <w:pPr>
            <w:pStyle w:val="844"/>
            <w:tabs>
              <w:tab w:val="right" w:pos="8296" w:leader="dot"/>
            </w:tabs>
          </w:pPr>
          <w:r>
            <w:fldChar w:fldCharType="begin"/>
          </w:r>
          <w:r>
            <w:instrText xml:space="preserve"> HYPERLINK \l "_Toc209020177" </w:instrText>
          </w:r>
          <w:r>
            <w:fldChar w:fldCharType="separate"/>
          </w:r>
          <w:r>
            <w:rPr>
              <w:rStyle w:val="847"/>
              <w:rFonts w:hint="eastAsia"/>
            </w:rPr>
            <w:t xml:space="preserve">（三）良好的商业信誉和健全的财务会计制度</w:t>
          </w:r>
          <w:r>
            <w:tab/>
          </w:r>
          <w:r>
            <w:fldChar w:fldCharType="begin"/>
          </w:r>
          <w:r>
            <w:instrText xml:space="preserve"> PAGEREF _Toc209020177 \h </w:instrText>
          </w:r>
          <w:r>
            <w:fldChar w:fldCharType="separate"/>
          </w:r>
          <w:r>
            <w:t xml:space="preserve">84</w:t>
          </w:r>
          <w:r>
            <w:fldChar w:fldCharType="end"/>
          </w:r>
          <w:r>
            <w:fldChar w:fldCharType="end"/>
          </w:r>
          <w:r/>
        </w:p>
        <w:p>
          <w:pPr>
            <w:pStyle w:val="844"/>
            <w:tabs>
              <w:tab w:val="right" w:pos="8296" w:leader="dot"/>
            </w:tabs>
          </w:pPr>
          <w:r>
            <w:fldChar w:fldCharType="begin"/>
          </w:r>
          <w:r>
            <w:instrText xml:space="preserve"> HYPERLINK \l "_Toc209020178" </w:instrText>
          </w:r>
          <w:r>
            <w:fldChar w:fldCharType="separate"/>
          </w:r>
          <w:r>
            <w:rPr>
              <w:rStyle w:val="847"/>
              <w:rFonts w:hint="eastAsia"/>
            </w:rPr>
            <w:t xml:space="preserve">（四）履行合同所必需的设备和专业技术能力</w:t>
          </w:r>
          <w:r>
            <w:tab/>
          </w:r>
          <w:r>
            <w:fldChar w:fldCharType="begin"/>
          </w:r>
          <w:r>
            <w:instrText xml:space="preserve"> PAGEREF _Toc209020178 \h </w:instrText>
          </w:r>
          <w:r>
            <w:fldChar w:fldCharType="separate"/>
          </w:r>
          <w:r>
            <w:t xml:space="preserve">85</w:t>
          </w:r>
          <w:r>
            <w:fldChar w:fldCharType="end"/>
          </w:r>
          <w:r>
            <w:fldChar w:fldCharType="end"/>
          </w:r>
          <w:r/>
        </w:p>
        <w:p>
          <w:pPr>
            <w:pStyle w:val="844"/>
            <w:tabs>
              <w:tab w:val="right" w:pos="8296" w:leader="dot"/>
            </w:tabs>
          </w:pPr>
          <w:r>
            <w:fldChar w:fldCharType="begin"/>
          </w:r>
          <w:r>
            <w:instrText xml:space="preserve"> HYPERLINK \l "_Toc209020179" </w:instrText>
          </w:r>
          <w:r>
            <w:fldChar w:fldCharType="separate"/>
          </w:r>
          <w:r>
            <w:rPr>
              <w:rStyle w:val="847"/>
              <w:rFonts w:hint="eastAsia"/>
            </w:rPr>
            <w:t xml:space="preserve">（五）依法缴纳税收和社会保障资金的良好记录</w:t>
          </w:r>
          <w:r>
            <w:tab/>
          </w:r>
          <w:r>
            <w:fldChar w:fldCharType="begin"/>
          </w:r>
          <w:r>
            <w:instrText xml:space="preserve"> PAGEREF _Toc209020179 \h </w:instrText>
          </w:r>
          <w:r>
            <w:fldChar w:fldCharType="separate"/>
          </w:r>
          <w:r>
            <w:t xml:space="preserve">87</w:t>
          </w:r>
          <w:r>
            <w:fldChar w:fldCharType="end"/>
          </w:r>
          <w:r>
            <w:fldChar w:fldCharType="end"/>
          </w:r>
          <w:r/>
        </w:p>
        <w:p>
          <w:pPr>
            <w:pStyle w:val="844"/>
            <w:tabs>
              <w:tab w:val="right" w:pos="8296" w:leader="dot"/>
            </w:tabs>
          </w:pPr>
          <w:r>
            <w:fldChar w:fldCharType="begin"/>
          </w:r>
          <w:r>
            <w:instrText xml:space="preserve"> HYPERLINK \l "_Toc209020180" </w:instrText>
          </w:r>
          <w:r>
            <w:fldChar w:fldCharType="separate"/>
          </w:r>
          <w:r>
            <w:rPr>
              <w:rStyle w:val="847"/>
              <w:rFonts w:hint="eastAsia"/>
            </w:rPr>
            <w:t xml:space="preserve">（六）资格承诺函</w:t>
          </w:r>
          <w:r>
            <w:tab/>
          </w:r>
          <w:r>
            <w:fldChar w:fldCharType="begin"/>
          </w:r>
          <w:r>
            <w:instrText xml:space="preserve"> PAGEREF _Toc209020180 \h </w:instrText>
          </w:r>
          <w:r>
            <w:fldChar w:fldCharType="separate"/>
          </w:r>
          <w:r>
            <w:t xml:space="preserve">88</w:t>
          </w:r>
          <w:r>
            <w:fldChar w:fldCharType="end"/>
          </w:r>
          <w:r>
            <w:fldChar w:fldCharType="end"/>
          </w:r>
          <w:r/>
        </w:p>
        <w:p>
          <w:pPr>
            <w:pStyle w:val="844"/>
            <w:tabs>
              <w:tab w:val="right" w:pos="8296" w:leader="dot"/>
            </w:tabs>
          </w:pPr>
          <w:r>
            <w:fldChar w:fldCharType="begin"/>
          </w:r>
          <w:r>
            <w:instrText xml:space="preserve"> HYPERLINK \l "_Toc209020181" </w:instrText>
          </w:r>
          <w:r>
            <w:fldChar w:fldCharType="separate"/>
          </w:r>
          <w:r>
            <w:rPr>
              <w:rStyle w:val="847"/>
              <w:rFonts w:hint="eastAsia"/>
            </w:rPr>
            <w:t xml:space="preserve">（七）法律、行政法规规定的其他条件</w:t>
          </w:r>
          <w:r>
            <w:tab/>
          </w:r>
          <w:r>
            <w:fldChar w:fldCharType="begin"/>
          </w:r>
          <w:r>
            <w:instrText xml:space="preserve"> PAGEREF _Toc209020181 \h </w:instrText>
          </w:r>
          <w:r>
            <w:fldChar w:fldCharType="separate"/>
          </w:r>
          <w:r>
            <w:t xml:space="preserve">89</w:t>
          </w:r>
          <w:r>
            <w:fldChar w:fldCharType="end"/>
          </w:r>
          <w:r>
            <w:fldChar w:fldCharType="end"/>
          </w:r>
          <w:r/>
        </w:p>
        <w:p>
          <w:pPr>
            <w:pStyle w:val="844"/>
            <w:tabs>
              <w:tab w:val="right" w:pos="8296" w:leader="dot"/>
            </w:tabs>
          </w:pPr>
          <w:r>
            <w:fldChar w:fldCharType="begin"/>
          </w:r>
          <w:r>
            <w:instrText xml:space="preserve"> HYPERLINK \l "_Toc209020182" </w:instrText>
          </w:r>
          <w:r>
            <w:fldChar w:fldCharType="separate"/>
          </w:r>
          <w:r>
            <w:rPr>
              <w:rStyle w:val="847"/>
              <w:rFonts w:hint="eastAsia"/>
            </w:rPr>
            <w:t xml:space="preserve">（八）落实政府采购政策需满足的资格要求</w:t>
          </w:r>
          <w:r>
            <w:tab/>
          </w:r>
          <w:r>
            <w:fldChar w:fldCharType="begin"/>
          </w:r>
          <w:r>
            <w:instrText xml:space="preserve"> PAGEREF _Toc209020182 \h </w:instrText>
          </w:r>
          <w:r>
            <w:fldChar w:fldCharType="separate"/>
          </w:r>
          <w:r>
            <w:t xml:space="preserve">90</w:t>
          </w:r>
          <w:r>
            <w:fldChar w:fldCharType="end"/>
          </w:r>
          <w:r>
            <w:fldChar w:fldCharType="end"/>
          </w:r>
          <w:r/>
        </w:p>
        <w:p>
          <w:pPr>
            <w:pStyle w:val="844"/>
            <w:tabs>
              <w:tab w:val="right" w:pos="8296" w:leader="dot"/>
            </w:tabs>
          </w:pPr>
          <w:r>
            <w:fldChar w:fldCharType="begin"/>
          </w:r>
          <w:r>
            <w:instrText xml:space="preserve"> HYPERLINK \l "_Toc209020183" </w:instrText>
          </w:r>
          <w:r>
            <w:fldChar w:fldCharType="separate"/>
          </w:r>
          <w:r>
            <w:rPr>
              <w:rStyle w:val="847"/>
              <w:rFonts w:hint="eastAsia"/>
            </w:rPr>
            <w:t xml:space="preserve">（九）本项目的特定资格要求</w:t>
          </w:r>
          <w:r>
            <w:tab/>
          </w:r>
          <w:r>
            <w:fldChar w:fldCharType="begin"/>
          </w:r>
          <w:r>
            <w:instrText xml:space="preserve"> PAGEREF _Toc209020183 \h </w:instrText>
          </w:r>
          <w:r>
            <w:fldChar w:fldCharType="separate"/>
          </w:r>
          <w:r>
            <w:t xml:space="preserve">91</w:t>
          </w:r>
          <w:r>
            <w:fldChar w:fldCharType="end"/>
          </w:r>
          <w:r>
            <w:fldChar w:fldCharType="end"/>
          </w:r>
          <w:r/>
        </w:p>
        <w:p>
          <w:pPr>
            <w:pStyle w:val="840"/>
            <w:tabs>
              <w:tab w:val="right" w:pos="8296" w:leader="dot"/>
            </w:tabs>
          </w:pPr>
          <w:r>
            <w:fldChar w:fldCharType="begin"/>
          </w:r>
          <w:r>
            <w:instrText xml:space="preserve"> HYPERLINK \l "_Toc209020184" </w:instrText>
          </w:r>
          <w:r>
            <w:fldChar w:fldCharType="separate"/>
          </w:r>
          <w:r>
            <w:rPr>
              <w:rStyle w:val="847"/>
              <w:rFonts w:hint="eastAsia"/>
            </w:rPr>
            <w:t xml:space="preserve">二、法定代表人身份证明书</w:t>
          </w:r>
          <w:r>
            <w:tab/>
          </w:r>
          <w:r>
            <w:fldChar w:fldCharType="begin"/>
          </w:r>
          <w:r>
            <w:instrText xml:space="preserve"> PAGEREF _Toc209020184 \h </w:instrText>
          </w:r>
          <w:r>
            <w:fldChar w:fldCharType="separate"/>
          </w:r>
          <w:r>
            <w:t xml:space="preserve">92</w:t>
          </w:r>
          <w:r>
            <w:fldChar w:fldCharType="end"/>
          </w:r>
          <w:r>
            <w:fldChar w:fldCharType="end"/>
          </w:r>
          <w:r/>
        </w:p>
        <w:p>
          <w:pPr>
            <w:pStyle w:val="840"/>
            <w:tabs>
              <w:tab w:val="right" w:pos="8296" w:leader="dot"/>
            </w:tabs>
          </w:pPr>
          <w:r>
            <w:fldChar w:fldCharType="begin"/>
          </w:r>
          <w:r>
            <w:instrText xml:space="preserve"> HYPERLINK \l "_Toc209020185" </w:instrText>
          </w:r>
          <w:r>
            <w:fldChar w:fldCharType="separate"/>
          </w:r>
          <w:r>
            <w:rPr>
              <w:rStyle w:val="847"/>
              <w:rFonts w:hint="eastAsia"/>
            </w:rPr>
            <w:t xml:space="preserve">三、法定代表人授权委托书</w:t>
          </w:r>
          <w:r>
            <w:tab/>
          </w:r>
          <w:r>
            <w:fldChar w:fldCharType="begin"/>
          </w:r>
          <w:r>
            <w:instrText xml:space="preserve"> PAGEREF _Toc209020185 \h </w:instrText>
          </w:r>
          <w:r>
            <w:fldChar w:fldCharType="separate"/>
          </w:r>
          <w:r>
            <w:t xml:space="preserve">93</w:t>
          </w:r>
          <w:r>
            <w:fldChar w:fldCharType="end"/>
          </w:r>
          <w:r>
            <w:fldChar w:fldCharType="end"/>
          </w:r>
          <w:r/>
        </w:p>
        <w:p>
          <w:pPr>
            <w:pStyle w:val="840"/>
            <w:tabs>
              <w:tab w:val="right" w:pos="8296" w:leader="dot"/>
            </w:tabs>
          </w:pPr>
          <w:r>
            <w:fldChar w:fldCharType="begin"/>
          </w:r>
          <w:r>
            <w:instrText xml:space="preserve"> HYPERLINK \l "_Toc209020186" </w:instrText>
          </w:r>
          <w:r>
            <w:fldChar w:fldCharType="separate"/>
          </w:r>
          <w:r>
            <w:rPr>
              <w:rStyle w:val="847"/>
              <w:rFonts w:hint="eastAsia"/>
            </w:rPr>
            <w:t xml:space="preserve">四、价格部分</w:t>
          </w:r>
          <w:r>
            <w:tab/>
          </w:r>
          <w:r>
            <w:fldChar w:fldCharType="begin"/>
          </w:r>
          <w:r>
            <w:instrText xml:space="preserve"> PAGEREF _Toc209020186 \h </w:instrText>
          </w:r>
          <w:r>
            <w:fldChar w:fldCharType="separate"/>
          </w:r>
          <w:r>
            <w:t xml:space="preserve">94</w:t>
          </w:r>
          <w:r>
            <w:fldChar w:fldCharType="end"/>
          </w:r>
          <w:r>
            <w:fldChar w:fldCharType="end"/>
          </w:r>
          <w:r/>
        </w:p>
        <w:p>
          <w:pPr>
            <w:pStyle w:val="844"/>
            <w:tabs>
              <w:tab w:val="right" w:pos="8296" w:leader="dot"/>
            </w:tabs>
          </w:pPr>
          <w:r>
            <w:fldChar w:fldCharType="begin"/>
          </w:r>
          <w:r>
            <w:instrText xml:space="preserve"> HYPERLINK \l "_Toc209020187" </w:instrText>
          </w:r>
          <w:r>
            <w:fldChar w:fldCharType="separate"/>
          </w:r>
          <w:r>
            <w:rPr>
              <w:rStyle w:val="847"/>
              <w:rFonts w:hint="eastAsia" w:ascii="宋体" w:hAnsi="宋体" w:cs="宋体"/>
              <w:b/>
            </w:rPr>
            <w:t xml:space="preserve">明细报价表</w:t>
          </w:r>
          <w:r>
            <w:tab/>
          </w:r>
          <w:r>
            <w:fldChar w:fldCharType="begin"/>
          </w:r>
          <w:r>
            <w:instrText xml:space="preserve"> PAGEREF _Toc209020187 \h </w:instrText>
          </w:r>
          <w:r>
            <w:fldChar w:fldCharType="separate"/>
          </w:r>
          <w:r>
            <w:t xml:space="preserve">95</w:t>
          </w:r>
          <w:r>
            <w:fldChar w:fldCharType="end"/>
          </w:r>
          <w:r>
            <w:fldChar w:fldCharType="end"/>
          </w:r>
          <w:r/>
        </w:p>
        <w:p>
          <w:pPr>
            <w:pStyle w:val="840"/>
            <w:tabs>
              <w:tab w:val="right" w:pos="8296" w:leader="dot"/>
            </w:tabs>
          </w:pPr>
          <w:r>
            <w:fldChar w:fldCharType="begin"/>
          </w:r>
          <w:r>
            <w:instrText xml:space="preserve"> HYPERLINK \l "_Toc209020188" </w:instrText>
          </w:r>
          <w:r>
            <w:fldChar w:fldCharType="separate"/>
          </w:r>
          <w:r>
            <w:rPr>
              <w:rStyle w:val="847"/>
              <w:rFonts w:hint="eastAsia"/>
            </w:rPr>
            <w:t xml:space="preserve">五、技术部分</w:t>
          </w:r>
          <w:r>
            <w:tab/>
          </w:r>
          <w:r>
            <w:fldChar w:fldCharType="begin"/>
          </w:r>
          <w:r>
            <w:instrText xml:space="preserve"> PAGEREF _Toc209020188 \h </w:instrText>
          </w:r>
          <w:r>
            <w:fldChar w:fldCharType="separate"/>
          </w:r>
          <w:r>
            <w:t xml:space="preserve">104</w:t>
          </w:r>
          <w:r>
            <w:fldChar w:fldCharType="end"/>
          </w:r>
          <w:r>
            <w:fldChar w:fldCharType="end"/>
          </w:r>
          <w:r/>
        </w:p>
        <w:p>
          <w:pPr>
            <w:pStyle w:val="844"/>
            <w:tabs>
              <w:tab w:val="right" w:pos="8296" w:leader="dot"/>
            </w:tabs>
          </w:pPr>
          <w:r>
            <w:fldChar w:fldCharType="begin"/>
          </w:r>
          <w:r>
            <w:instrText xml:space="preserve"> HYPERLINK \l "_Toc209020189" </w:instrText>
          </w:r>
          <w:r>
            <w:fldChar w:fldCharType="separate"/>
          </w:r>
          <w:r>
            <w:rPr>
              <w:rStyle w:val="847"/>
              <w:rFonts w:hint="eastAsia"/>
            </w:rPr>
            <w:t xml:space="preserve">技术方案</w:t>
          </w:r>
          <w:r>
            <w:tab/>
          </w:r>
          <w:r>
            <w:fldChar w:fldCharType="begin"/>
          </w:r>
          <w:r>
            <w:instrText xml:space="preserve"> PAGEREF _Toc209020189 \h </w:instrText>
          </w:r>
          <w:r>
            <w:fldChar w:fldCharType="separate"/>
          </w:r>
          <w:r>
            <w:t xml:space="preserve">104</w:t>
          </w:r>
          <w:r>
            <w:fldChar w:fldCharType="end"/>
          </w:r>
          <w:r>
            <w:fldChar w:fldCharType="end"/>
          </w:r>
          <w:r/>
        </w:p>
        <w:p>
          <w:pPr>
            <w:pStyle w:val="840"/>
            <w:tabs>
              <w:tab w:val="right" w:pos="8296" w:leader="dot"/>
            </w:tabs>
          </w:pPr>
          <w:r>
            <w:fldChar w:fldCharType="begin"/>
          </w:r>
          <w:r>
            <w:instrText xml:space="preserve"> HYPERLINK \l "_Toc209020190" </w:instrText>
          </w:r>
          <w:r>
            <w:fldChar w:fldCharType="separate"/>
          </w:r>
          <w:r>
            <w:rPr>
              <w:rStyle w:val="847"/>
              <w:rFonts w:hint="eastAsia"/>
            </w:rPr>
            <w:t xml:space="preserve">六、商务部分</w:t>
          </w:r>
          <w:r>
            <w:tab/>
          </w:r>
          <w:r>
            <w:fldChar w:fldCharType="begin"/>
          </w:r>
          <w:r>
            <w:instrText xml:space="preserve"> PAGEREF _Toc209020190 \h </w:instrText>
          </w:r>
          <w:r>
            <w:fldChar w:fldCharType="separate"/>
          </w:r>
          <w:r>
            <w:t xml:space="preserve">105</w:t>
          </w:r>
          <w:r>
            <w:fldChar w:fldCharType="end"/>
          </w:r>
          <w:r>
            <w:fldChar w:fldCharType="end"/>
          </w:r>
          <w:r/>
        </w:p>
        <w:p>
          <w:pPr>
            <w:pStyle w:val="844"/>
            <w:tabs>
              <w:tab w:val="right" w:pos="8296" w:leader="dot"/>
            </w:tabs>
          </w:pPr>
          <w:r>
            <w:fldChar w:fldCharType="begin"/>
          </w:r>
          <w:r>
            <w:instrText xml:space="preserve"> HYPERLINK \l "_Toc209020191" </w:instrText>
          </w:r>
          <w:r>
            <w:fldChar w:fldCharType="separate"/>
          </w:r>
          <w:r>
            <w:rPr>
              <w:rStyle w:val="847"/>
              <w:rFonts w:hint="eastAsia"/>
            </w:rPr>
            <w:t xml:space="preserve">（一）企业实力</w:t>
          </w:r>
          <w:r>
            <w:tab/>
          </w:r>
          <w:r>
            <w:fldChar w:fldCharType="begin"/>
          </w:r>
          <w:r>
            <w:instrText xml:space="preserve"> PAGEREF _Toc209020191 \h </w:instrText>
          </w:r>
          <w:r>
            <w:fldChar w:fldCharType="separate"/>
          </w:r>
          <w:r>
            <w:t xml:space="preserve">105</w:t>
          </w:r>
          <w:r>
            <w:fldChar w:fldCharType="end"/>
          </w:r>
          <w:r>
            <w:fldChar w:fldCharType="end"/>
          </w:r>
          <w:r/>
        </w:p>
        <w:p>
          <w:pPr>
            <w:pStyle w:val="844"/>
            <w:tabs>
              <w:tab w:val="right" w:pos="8296" w:leader="dot"/>
            </w:tabs>
          </w:pPr>
          <w:r>
            <w:fldChar w:fldCharType="begin"/>
          </w:r>
          <w:r>
            <w:instrText xml:space="preserve"> HYPERLINK \l "_Toc209020192" </w:instrText>
          </w:r>
          <w:r>
            <w:fldChar w:fldCharType="separate"/>
          </w:r>
          <w:r>
            <w:rPr>
              <w:rStyle w:val="847"/>
              <w:rFonts w:hint="eastAsia" w:ascii="宋体" w:hAnsi="宋体" w:cs="宋体"/>
            </w:rPr>
            <w:t xml:space="preserve">（二）项目经理能力</w:t>
          </w:r>
          <w:r>
            <w:tab/>
          </w:r>
          <w:r>
            <w:fldChar w:fldCharType="begin"/>
          </w:r>
          <w:r>
            <w:instrText xml:space="preserve"> PAGEREF _Toc209020192 \h </w:instrText>
          </w:r>
          <w:r>
            <w:fldChar w:fldCharType="separate"/>
          </w:r>
          <w:r>
            <w:t xml:space="preserve">106</w:t>
          </w:r>
          <w:r>
            <w:fldChar w:fldCharType="end"/>
          </w:r>
          <w:r>
            <w:fldChar w:fldCharType="end"/>
          </w:r>
          <w:r/>
        </w:p>
        <w:p>
          <w:pPr>
            <w:pStyle w:val="844"/>
            <w:tabs>
              <w:tab w:val="right" w:pos="8296" w:leader="dot"/>
            </w:tabs>
          </w:pPr>
          <w:r>
            <w:fldChar w:fldCharType="begin"/>
          </w:r>
          <w:r>
            <w:instrText xml:space="preserve"> HYPERLINK \l "_Toc209020193" </w:instrText>
          </w:r>
          <w:r>
            <w:fldChar w:fldCharType="separate"/>
          </w:r>
          <w:r>
            <w:rPr>
              <w:rStyle w:val="847"/>
              <w:rFonts w:hint="eastAsia"/>
            </w:rPr>
            <w:t xml:space="preserve">（三）本项目拟投入</w:t>
          </w:r>
          <w:r>
            <w:rPr>
              <w:rStyle w:val="847"/>
              <w:rFonts w:hint="eastAsia" w:ascii="宋体" w:hAnsi="宋体" w:cs="宋体"/>
            </w:rPr>
            <w:t xml:space="preserve">车辆配备一览表</w:t>
          </w:r>
          <w:r>
            <w:tab/>
          </w:r>
          <w:r>
            <w:fldChar w:fldCharType="begin"/>
          </w:r>
          <w:r>
            <w:instrText xml:space="preserve"> PAGEREF _Toc209020193 \h </w:instrText>
          </w:r>
          <w:r>
            <w:fldChar w:fldCharType="separate"/>
          </w:r>
          <w:r>
            <w:t xml:space="preserve">107</w:t>
          </w:r>
          <w:r>
            <w:fldChar w:fldCharType="end"/>
          </w:r>
          <w:r>
            <w:fldChar w:fldCharType="end"/>
          </w:r>
          <w:r/>
        </w:p>
        <w:p>
          <w:pPr>
            <w:pStyle w:val="844"/>
            <w:tabs>
              <w:tab w:val="right" w:pos="8296" w:leader="dot"/>
            </w:tabs>
          </w:pPr>
          <w:r>
            <w:fldChar w:fldCharType="begin"/>
          </w:r>
          <w:r>
            <w:instrText xml:space="preserve"> HYPERLINK \l "_Toc209020194" </w:instrText>
          </w:r>
          <w:r>
            <w:fldChar w:fldCharType="separate"/>
          </w:r>
          <w:r>
            <w:rPr>
              <w:rStyle w:val="847"/>
              <w:rFonts w:hint="eastAsia"/>
            </w:rPr>
            <w:t xml:space="preserve">（四）类似业绩</w:t>
          </w:r>
          <w:r>
            <w:tab/>
          </w:r>
          <w:r>
            <w:fldChar w:fldCharType="begin"/>
          </w:r>
          <w:r>
            <w:instrText xml:space="preserve"> PAGEREF _Toc209020194 \h </w:instrText>
          </w:r>
          <w:r>
            <w:fldChar w:fldCharType="separate"/>
          </w:r>
          <w:r>
            <w:t xml:space="preserve">108</w:t>
          </w:r>
          <w:r>
            <w:fldChar w:fldCharType="end"/>
          </w:r>
          <w:r>
            <w:fldChar w:fldCharType="end"/>
          </w:r>
          <w:r/>
        </w:p>
        <w:p>
          <w:pPr>
            <w:pStyle w:val="844"/>
            <w:tabs>
              <w:tab w:val="right" w:pos="8296" w:leader="dot"/>
            </w:tabs>
          </w:pPr>
          <w:r>
            <w:fldChar w:fldCharType="begin"/>
          </w:r>
          <w:r>
            <w:instrText xml:space="preserve"> HYPERLINK \l "_Toc209020195" </w:instrText>
          </w:r>
          <w:r>
            <w:fldChar w:fldCharType="separate"/>
          </w:r>
          <w:r>
            <w:rPr>
              <w:rStyle w:val="847"/>
              <w:rFonts w:hint="eastAsia"/>
            </w:rPr>
            <w:t xml:space="preserve">（五）服务偏离表</w:t>
          </w:r>
          <w:r>
            <w:tab/>
          </w:r>
          <w:r>
            <w:fldChar w:fldCharType="begin"/>
          </w:r>
          <w:r>
            <w:instrText xml:space="preserve"> PAGEREF _Toc209020195 \h </w:instrText>
          </w:r>
          <w:r>
            <w:fldChar w:fldCharType="separate"/>
          </w:r>
          <w:r>
            <w:t xml:space="preserve">109</w:t>
          </w:r>
          <w:r>
            <w:fldChar w:fldCharType="end"/>
          </w:r>
          <w:r>
            <w:fldChar w:fldCharType="end"/>
          </w:r>
          <w:r/>
        </w:p>
        <w:p>
          <w:pPr>
            <w:pStyle w:val="844"/>
            <w:tabs>
              <w:tab w:val="right" w:pos="8296" w:leader="dot"/>
            </w:tabs>
          </w:pPr>
          <w:r>
            <w:fldChar w:fldCharType="begin"/>
          </w:r>
          <w:r>
            <w:instrText xml:space="preserve"> HYPERLINK \l "_Toc209020196" </w:instrText>
          </w:r>
          <w:r>
            <w:fldChar w:fldCharType="separate"/>
          </w:r>
          <w:r>
            <w:rPr>
              <w:rStyle w:val="847"/>
              <w:rFonts w:hint="eastAsia"/>
            </w:rPr>
            <w:t xml:space="preserve">（六）商务偏离表</w:t>
          </w:r>
          <w:r>
            <w:tab/>
          </w:r>
          <w:r>
            <w:fldChar w:fldCharType="begin"/>
          </w:r>
          <w:r>
            <w:instrText xml:space="preserve"> PAGEREF _Toc209020196 \h </w:instrText>
          </w:r>
          <w:r>
            <w:fldChar w:fldCharType="separate"/>
          </w:r>
          <w:r>
            <w:t xml:space="preserve">110</w:t>
          </w:r>
          <w:r>
            <w:fldChar w:fldCharType="end"/>
          </w:r>
          <w:r>
            <w:fldChar w:fldCharType="end"/>
          </w:r>
          <w:r/>
        </w:p>
        <w:p>
          <w:pPr>
            <w:pStyle w:val="840"/>
            <w:tabs>
              <w:tab w:val="right" w:pos="8296" w:leader="dot"/>
            </w:tabs>
          </w:pPr>
          <w:r>
            <w:fldChar w:fldCharType="begin"/>
          </w:r>
          <w:r>
            <w:instrText xml:space="preserve"> HYPERLINK \l "_Toc209020197" </w:instrText>
          </w:r>
          <w:r>
            <w:fldChar w:fldCharType="separate"/>
          </w:r>
          <w:r>
            <w:rPr>
              <w:rStyle w:val="847"/>
              <w:rFonts w:hint="eastAsia"/>
            </w:rPr>
            <w:t xml:space="preserve">七、其他部分</w:t>
          </w:r>
          <w:r>
            <w:tab/>
          </w:r>
          <w:r>
            <w:fldChar w:fldCharType="begin"/>
          </w:r>
          <w:r>
            <w:instrText xml:space="preserve"> PAGEREF _Toc209020197 \h </w:instrText>
          </w:r>
          <w:r>
            <w:fldChar w:fldCharType="separate"/>
          </w:r>
          <w:r>
            <w:t xml:space="preserve">111</w:t>
          </w:r>
          <w:r>
            <w:fldChar w:fldCharType="end"/>
          </w:r>
          <w:r>
            <w:fldChar w:fldCharType="end"/>
          </w:r>
          <w:r/>
        </w:p>
        <w:p>
          <w:pPr>
            <w:pStyle w:val="844"/>
            <w:tabs>
              <w:tab w:val="right" w:pos="8296" w:leader="dot"/>
            </w:tabs>
          </w:pPr>
          <w:r>
            <w:fldChar w:fldCharType="begin"/>
          </w:r>
          <w:r>
            <w:instrText xml:space="preserve"> HYPERLINK \l "_Toc209020198" </w:instrText>
          </w:r>
          <w:r>
            <w:fldChar w:fldCharType="separate"/>
          </w:r>
          <w:r>
            <w:rPr>
              <w:rStyle w:val="847"/>
              <w:rFonts w:hint="eastAsia"/>
            </w:rPr>
            <w:t xml:space="preserve">（一）中小企业声明函</w:t>
          </w:r>
          <w:r>
            <w:tab/>
          </w:r>
          <w:r>
            <w:fldChar w:fldCharType="begin"/>
          </w:r>
          <w:r>
            <w:instrText xml:space="preserve"> PAGEREF _Toc209020198 \h </w:instrText>
          </w:r>
          <w:r>
            <w:fldChar w:fldCharType="separate"/>
          </w:r>
          <w:r>
            <w:t xml:space="preserve">111</w:t>
          </w:r>
          <w:r>
            <w:fldChar w:fldCharType="end"/>
          </w:r>
          <w:r>
            <w:fldChar w:fldCharType="end"/>
          </w:r>
          <w:r/>
        </w:p>
        <w:p>
          <w:r>
            <w:rPr>
              <w:b/>
              <w:bCs/>
              <w:lang w:val="zh-CN"/>
            </w:rPr>
            <w:fldChar w:fldCharType="end"/>
          </w:r>
          <w:r/>
        </w:p>
      </w:sdtContent>
    </w:sdt>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left"/>
        <w:widowControl/>
        <w:rPr>
          <w:rStyle w:val="852"/>
          <w:rFonts w:hint="default"/>
          <w:b w:val="0"/>
          <w:bCs/>
          <w:szCs w:val="44"/>
        </w:rPr>
      </w:pPr>
      <w:r/>
      <w:bookmarkStart w:id="0" w:name="_Toc209020091"/>
      <w:r/>
      <w:bookmarkStart w:id="1" w:name="_Toc100386033"/>
      <w:r/>
      <w:bookmarkStart w:id="2" w:name="_Toc203554700"/>
      <w:r/>
      <w:bookmarkStart w:id="3" w:name="_Toc20732967"/>
      <w:r/>
      <w:bookmarkStart w:id="4" w:name="_Toc92167999"/>
      <w:r>
        <w:rPr>
          <w:rStyle w:val="852"/>
          <w:rFonts w:hint="default"/>
        </w:rPr>
        <w:br w:type="page" w:clear="all"/>
      </w:r>
      <w:r/>
    </w:p>
    <w:p>
      <w:pPr>
        <w:pStyle w:val="824"/>
        <w:rPr>
          <w:sz w:val="28"/>
          <w:szCs w:val="28"/>
        </w:rPr>
      </w:pPr>
      <w:r>
        <w:rPr>
          <w:rStyle w:val="852"/>
          <w:rFonts w:hint="default"/>
          <w:b w:val="0"/>
        </w:rPr>
        <w:t xml:space="preserve">第一部分  投标邀请</w:t>
      </w:r>
      <w:bookmarkEnd w:id="0"/>
      <w:r/>
      <w:bookmarkEnd w:id="1"/>
      <w:r/>
      <w:bookmarkEnd w:id="2"/>
      <w:r/>
      <w:bookmarkEnd w:id="3"/>
      <w:r/>
      <w:bookmarkEnd w:id="4"/>
      <w:r/>
      <w:r/>
    </w:p>
    <w:p>
      <w:pPr>
        <w:ind w:firstLine="480"/>
        <w:spacing w:line="360" w:lineRule="auto"/>
        <w:rPr>
          <w:rFonts w:ascii="宋体" w:hAnsi="宋体" w:cs="宋体"/>
          <w:sz w:val="24"/>
          <w:szCs w:val="28"/>
        </w:rPr>
        <w:pBdr>
          <w:top w:val="single" w:color="auto" w:sz="4" w:space="1"/>
          <w:left w:val="single" w:color="auto" w:sz="4" w:space="4"/>
          <w:bottom w:val="single" w:color="auto" w:sz="4" w:space="1"/>
          <w:right w:val="single" w:color="auto" w:sz="4" w:space="4"/>
        </w:pBdr>
      </w:pPr>
      <w:r>
        <w:rPr>
          <w:rFonts w:hint="eastAsia" w:ascii="宋体" w:hAnsi="宋体" w:cs="宋体"/>
          <w:sz w:val="24"/>
          <w:szCs w:val="28"/>
        </w:rPr>
        <w:t xml:space="preserve">项目概况</w:t>
      </w:r>
      <w:r/>
    </w:p>
    <w:p>
      <w:pPr>
        <w:ind w:firstLine="482"/>
        <w:spacing w:line="360" w:lineRule="auto"/>
        <w:rPr>
          <w:rFonts w:ascii="宋体" w:hAnsi="宋体" w:cs="宋体"/>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cs="宋体"/>
          <w:b/>
          <w:sz w:val="24"/>
          <w:szCs w:val="28"/>
          <w:u w:val="single"/>
        </w:rPr>
        <w:t xml:space="preserve">官塘桥路、金桥大道绿化养护项目</w:t>
      </w:r>
      <w:r>
        <w:rPr>
          <w:rFonts w:hint="eastAsia" w:ascii="宋体" w:hAnsi="宋体" w:cs="宋体"/>
          <w:sz w:val="24"/>
          <w:szCs w:val="28"/>
        </w:rPr>
        <w:t xml:space="preserve">的潜在投标人应在</w:t>
      </w:r>
      <w:r>
        <w:rPr>
          <w:rFonts w:hint="eastAsia" w:ascii="宋体" w:hAnsi="宋体" w:cs="宋体"/>
          <w:sz w:val="24"/>
          <w:szCs w:val="28"/>
          <w:u w:val="single"/>
        </w:rPr>
        <w:t xml:space="preserve">江苏政府采购网--苏采云电子交易平台http://jszfcg.jscz.gov.cn/jszc/login</w:t>
      </w:r>
      <w:r>
        <w:rPr>
          <w:rFonts w:hint="eastAsia" w:ascii="宋体" w:hAnsi="宋体" w:cs="宋体"/>
          <w:sz w:val="24"/>
          <w:szCs w:val="28"/>
        </w:rPr>
        <w:t xml:space="preserve">获取招标文件，并于</w:t>
      </w:r>
      <w:r>
        <w:rPr>
          <w:rFonts w:hint="eastAsia" w:ascii="宋体" w:hAnsi="宋体" w:cs="宋体"/>
          <w:sz w:val="24"/>
          <w:szCs w:val="28"/>
          <w:u w:val="single"/>
        </w:rPr>
        <w:t xml:space="preserve">2025年</w:t>
      </w:r>
      <w:r>
        <w:rPr>
          <w:rFonts w:hint="eastAsia" w:ascii="宋体" w:hAnsi="宋体" w:cs="宋体"/>
          <w:sz w:val="24"/>
          <w:szCs w:val="28"/>
          <w:u w:val="single"/>
          <w:lang w:val="en-US" w:eastAsia="zh-CN"/>
        </w:rPr>
        <w:t xml:space="preserve">11</w:t>
      </w:r>
      <w:r>
        <w:rPr>
          <w:rFonts w:hint="eastAsia" w:ascii="宋体" w:hAnsi="宋体" w:cs="宋体"/>
          <w:sz w:val="24"/>
          <w:szCs w:val="28"/>
          <w:u w:val="single"/>
        </w:rPr>
        <w:t xml:space="preserve">月</w:t>
      </w:r>
      <w:r>
        <w:rPr>
          <w:rFonts w:hint="eastAsia" w:ascii="宋体" w:hAnsi="宋体" w:cs="宋体"/>
          <w:sz w:val="24"/>
          <w:szCs w:val="28"/>
          <w:u w:val="single"/>
          <w:lang w:val="en-US" w:eastAsia="zh-CN"/>
        </w:rPr>
        <w:t xml:space="preserve">13</w:t>
      </w:r>
      <w:r>
        <w:rPr>
          <w:rFonts w:hint="eastAsia" w:ascii="宋体" w:hAnsi="宋体" w:cs="宋体"/>
          <w:sz w:val="24"/>
          <w:szCs w:val="28"/>
          <w:u w:val="single"/>
        </w:rPr>
        <w:t xml:space="preserve">日09点30分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825"/>
        <w:rPr>
          <w:rFonts w:ascii="宋体" w:hAnsi="宋体" w:cs="Times New Roman"/>
          <w:szCs w:val="28"/>
        </w:rPr>
      </w:pPr>
      <w:r/>
      <w:bookmarkStart w:id="5" w:name="_Toc35393621"/>
      <w:r/>
      <w:bookmarkStart w:id="6" w:name="_Toc28359002"/>
      <w:r/>
      <w:bookmarkStart w:id="7" w:name="_Toc209020092"/>
      <w:r/>
      <w:bookmarkStart w:id="8" w:name="_Toc28359079"/>
      <w:r/>
      <w:bookmarkStart w:id="9" w:name="_Toc203554701"/>
      <w:r/>
      <w:bookmarkStart w:id="10" w:name="_Toc35393790"/>
      <w:r/>
      <w:bookmarkStart w:id="11" w:name="_Hlk24379207"/>
      <w:r>
        <w:rPr>
          <w:rFonts w:hint="eastAsia"/>
        </w:rPr>
        <w:t xml:space="preserve">一、项目基本情况</w:t>
      </w:r>
      <w:bookmarkEnd w:id="5"/>
      <w:r/>
      <w:bookmarkEnd w:id="6"/>
      <w:r/>
      <w:bookmarkEnd w:id="7"/>
      <w:r/>
      <w:bookmarkEnd w:id="8"/>
      <w:r/>
      <w:bookmarkEnd w:id="9"/>
      <w:r/>
      <w:bookmarkEnd w:id="10"/>
      <w:r/>
      <w:r/>
    </w:p>
    <w:p>
      <w:pPr>
        <w:ind w:firstLine="480"/>
        <w:spacing w:line="360" w:lineRule="auto"/>
        <w:rPr>
          <w:rFonts w:ascii="宋体" w:hAnsi="宋体" w:cs="宋体"/>
          <w:sz w:val="24"/>
          <w:szCs w:val="28"/>
        </w:rPr>
      </w:pPr>
      <w:r>
        <w:rPr>
          <w:rFonts w:hint="eastAsia" w:ascii="宋体" w:hAnsi="宋体" w:cs="宋体"/>
          <w:sz w:val="24"/>
          <w:szCs w:val="28"/>
        </w:rPr>
        <w:t xml:space="preserve">项目编号：JSZC-321100-TXJS-G2025-0039</w:t>
      </w:r>
      <w:r/>
    </w:p>
    <w:p>
      <w:pPr>
        <w:ind w:firstLine="480"/>
        <w:spacing w:line="360" w:lineRule="auto"/>
        <w:rPr>
          <w:rFonts w:ascii="宋体" w:hAnsi="宋体" w:cs="宋体"/>
          <w:sz w:val="24"/>
          <w:szCs w:val="28"/>
        </w:rPr>
      </w:pPr>
      <w:r>
        <w:rPr>
          <w:rFonts w:hint="eastAsia" w:ascii="宋体" w:hAnsi="宋体" w:cs="宋体"/>
          <w:sz w:val="24"/>
          <w:szCs w:val="28"/>
        </w:rPr>
        <w:t xml:space="preserve">项目名称：官塘桥路、金桥大道绿化养护项目</w:t>
      </w:r>
      <w:bookmarkEnd w:id="11"/>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预算金额：</w:t>
      </w:r>
      <w:bookmarkStart w:id="12" w:name="OLE_LINK43"/>
      <w:r/>
      <w:bookmarkStart w:id="13" w:name="OLE_LINK44"/>
      <w:r>
        <w:rPr>
          <w:rFonts w:hint="eastAsia" w:ascii="宋体" w:hAnsi="宋体" w:cs="宋体"/>
          <w:sz w:val="24"/>
          <w:szCs w:val="28"/>
        </w:rPr>
        <w:t xml:space="preserve">194.00万元</w:t>
      </w:r>
      <w:bookmarkEnd w:id="12"/>
      <w:r/>
      <w:bookmarkEnd w:id="13"/>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lang w:val="en-US" w:eastAsia="zh-CN"/>
        </w:rPr>
        <w:t xml:space="preserve">最高</w:t>
      </w:r>
      <w:r>
        <w:rPr>
          <w:rFonts w:hint="eastAsia" w:ascii="宋体" w:hAnsi="宋体" w:cs="宋体"/>
          <w:sz w:val="24"/>
          <w:szCs w:val="28"/>
        </w:rPr>
        <w:t xml:space="preserve">限价：194万元/年，其中单价类最高投标限价32.4万元</w:t>
      </w:r>
      <w:r>
        <w:rPr>
          <w:rFonts w:hint="eastAsia" w:ascii="宋体" w:hAnsi="宋体" w:cs="宋体"/>
          <w:sz w:val="24"/>
          <w:szCs w:val="28"/>
          <w:lang w:eastAsia="zh-CN"/>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r>
        <w:rPr>
          <w:rFonts w:hint="eastAsia" w:ascii="宋体" w:hAnsi="宋体" w:cs="宋体"/>
          <w:sz w:val="24"/>
          <w:szCs w:val="28"/>
          <w:lang w:val="en-US" w:eastAsia="zh-CN"/>
        </w:rPr>
        <w:t xml:space="preserve">服务期一年</w:t>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825"/>
        <w:rPr>
          <w:rFonts w:ascii="宋体" w:hAnsi="宋体" w:cs="Times New Roman"/>
          <w:szCs w:val="28"/>
        </w:rPr>
      </w:pPr>
      <w:r/>
      <w:bookmarkStart w:id="14" w:name="_Toc35393622"/>
      <w:r/>
      <w:bookmarkStart w:id="15" w:name="_Toc28359080"/>
      <w:r/>
      <w:bookmarkStart w:id="16" w:name="_Toc35393791"/>
      <w:r/>
      <w:bookmarkStart w:id="17" w:name="_Toc28359003"/>
      <w:r/>
      <w:bookmarkStart w:id="18" w:name="_Toc209020093"/>
      <w:r/>
      <w:bookmarkStart w:id="19" w:name="_Toc203554702"/>
      <w:r>
        <w:rPr>
          <w:rFonts w:hint="eastAsia"/>
        </w:rPr>
        <w:t xml:space="preserve">二、申请人的资格要求</w:t>
      </w:r>
      <w:bookmarkEnd w:id="14"/>
      <w:r/>
      <w:bookmarkEnd w:id="15"/>
      <w:r/>
      <w:bookmarkEnd w:id="16"/>
      <w:r/>
      <w:bookmarkEnd w:id="17"/>
      <w:r>
        <w:rPr>
          <w:rFonts w:hint="eastAsia"/>
        </w:rPr>
        <w:t xml:space="preserve">:</w:t>
      </w:r>
      <w:bookmarkEnd w:id="18"/>
      <w:r/>
      <w:bookmarkEnd w:id="19"/>
      <w:r/>
      <w:r/>
    </w:p>
    <w:p>
      <w:pPr>
        <w:ind w:firstLine="480"/>
        <w:spacing w:line="360" w:lineRule="auto"/>
        <w:rPr>
          <w:rFonts w:ascii="宋体" w:hAnsi="宋体" w:cs="宋体"/>
          <w:sz w:val="24"/>
          <w:szCs w:val="28"/>
        </w:rPr>
      </w:pPr>
      <w:r/>
      <w:bookmarkStart w:id="20" w:name="_Hlk152166700"/>
      <w:r/>
      <w:bookmarkStart w:id="21" w:name="_Hlk163045469"/>
      <w:r/>
      <w:bookmarkStart w:id="22" w:name="_Toc35393792"/>
      <w:r/>
      <w:bookmarkStart w:id="23" w:name="_Toc28359081"/>
      <w:r/>
      <w:bookmarkStart w:id="24" w:name="_Toc35393623"/>
      <w:r/>
      <w:bookmarkStart w:id="25" w:name="_Toc28359004"/>
      <w:r>
        <w:rPr>
          <w:rFonts w:hint="eastAsia" w:ascii="宋体" w:hAnsi="宋体" w:cs="宋体"/>
          <w:sz w:val="24"/>
          <w:szCs w:val="28"/>
        </w:rPr>
        <w:t xml:space="preserve">1.满足《中华人民共和国政府采购法》第二十二条规定：</w:t>
      </w:r>
      <w:r/>
    </w:p>
    <w:p>
      <w:pPr>
        <w:ind w:firstLine="480"/>
        <w:spacing w:line="360" w:lineRule="auto"/>
        <w:rPr>
          <w:rFonts w:ascii="宋体" w:hAnsi="宋体" w:cs="宋体"/>
          <w:sz w:val="24"/>
          <w:szCs w:val="28"/>
        </w:rPr>
      </w:pPr>
      <w:r>
        <w:rPr>
          <w:rFonts w:hint="eastAsia" w:ascii="宋体" w:hAnsi="宋体" w:cs="宋体"/>
          <w:sz w:val="24"/>
          <w:szCs w:val="28"/>
        </w:rPr>
        <w:t xml:space="preserve">1.1具有独立承担民事责任的能力；</w:t>
      </w:r>
      <w:r/>
    </w:p>
    <w:p>
      <w:pPr>
        <w:ind w:firstLine="480"/>
        <w:spacing w:line="360" w:lineRule="auto"/>
        <w:rPr>
          <w:rFonts w:ascii="宋体" w:hAnsi="宋体" w:cs="宋体"/>
          <w:sz w:val="24"/>
          <w:szCs w:val="28"/>
        </w:rPr>
      </w:pPr>
      <w:r>
        <w:rPr>
          <w:rFonts w:hint="eastAsia" w:ascii="宋体" w:hAnsi="宋体" w:cs="宋体"/>
          <w:sz w:val="24"/>
          <w:szCs w:val="28"/>
        </w:rPr>
        <w:t xml:space="preserve">1.2具有良好的商业信誉和健全的财务会计制度；</w:t>
      </w:r>
      <w:r/>
    </w:p>
    <w:p>
      <w:pPr>
        <w:ind w:firstLine="480"/>
        <w:spacing w:line="360" w:lineRule="auto"/>
        <w:rPr>
          <w:rFonts w:ascii="宋体" w:hAnsi="宋体" w:cs="宋体"/>
          <w:sz w:val="24"/>
          <w:szCs w:val="28"/>
        </w:rPr>
      </w:pPr>
      <w:r>
        <w:rPr>
          <w:rFonts w:hint="eastAsia" w:ascii="宋体" w:hAnsi="宋体" w:cs="宋体"/>
          <w:sz w:val="24"/>
          <w:szCs w:val="28"/>
        </w:rPr>
        <w:t xml:space="preserve">1.3具有履行合同所必需的设备和专业技术能力；</w:t>
      </w:r>
      <w:r/>
    </w:p>
    <w:p>
      <w:pPr>
        <w:ind w:firstLine="480"/>
        <w:spacing w:line="360" w:lineRule="auto"/>
        <w:rPr>
          <w:rFonts w:ascii="宋体" w:hAnsi="宋体" w:cs="宋体"/>
          <w:sz w:val="24"/>
          <w:szCs w:val="28"/>
        </w:rPr>
      </w:pPr>
      <w:r>
        <w:rPr>
          <w:rFonts w:hint="eastAsia" w:ascii="宋体" w:hAnsi="宋体" w:cs="宋体"/>
          <w:sz w:val="24"/>
          <w:szCs w:val="28"/>
        </w:rPr>
        <w:t xml:space="preserve">1.4有依法缴纳税收和社会保障资金的良好记录；</w:t>
      </w:r>
      <w:r/>
    </w:p>
    <w:p>
      <w:pPr>
        <w:ind w:firstLine="480"/>
        <w:spacing w:line="360" w:lineRule="auto"/>
        <w:rPr>
          <w:rFonts w:ascii="宋体" w:hAnsi="宋体" w:cs="宋体"/>
          <w:sz w:val="24"/>
          <w:szCs w:val="28"/>
        </w:rPr>
      </w:pPr>
      <w:r>
        <w:rPr>
          <w:rFonts w:hint="eastAsia" w:ascii="宋体" w:hAnsi="宋体" w:cs="宋体"/>
          <w:sz w:val="24"/>
          <w:szCs w:val="28"/>
        </w:rPr>
        <w:t xml:space="preserve">1.5参加政府采购活动前三年内，在经营活动中没有重大违法记录;</w:t>
      </w:r>
      <w:r/>
    </w:p>
    <w:p>
      <w:pPr>
        <w:ind w:firstLine="480"/>
        <w:spacing w:line="360" w:lineRule="auto"/>
        <w:rPr>
          <w:rFonts w:ascii="宋体" w:hAnsi="宋体" w:cs="宋体"/>
          <w:sz w:val="24"/>
          <w:szCs w:val="28"/>
        </w:rPr>
      </w:pPr>
      <w:r>
        <w:rPr>
          <w:rFonts w:hint="eastAsia" w:ascii="宋体" w:hAnsi="宋体" w:cs="宋体"/>
          <w:sz w:val="24"/>
          <w:szCs w:val="28"/>
        </w:rPr>
        <w:t xml:space="preserve">1.6法律、行政法规规定的其他条件。</w:t>
      </w:r>
      <w:bookmarkEnd w:id="20"/>
      <w:r/>
      <w:r/>
    </w:p>
    <w:p>
      <w:pPr>
        <w:ind w:firstLine="480"/>
        <w:spacing w:line="360" w:lineRule="auto"/>
        <w:rPr>
          <w:rFonts w:ascii="宋体" w:hAnsi="宋体" w:cs="宋体"/>
          <w:sz w:val="24"/>
          <w:szCs w:val="28"/>
        </w:rPr>
      </w:pPr>
      <w:r>
        <w:rPr>
          <w:rFonts w:hint="eastAsia" w:ascii="宋体" w:hAnsi="宋体" w:cs="宋体"/>
          <w:sz w:val="24"/>
          <w:szCs w:val="28"/>
        </w:rPr>
        <w:t xml:space="preserve">2.落实政府采购政策需满足的资格要求：本项目专门面向中小企业；本项目采购标的对应的中小企业划分标准所属行业为：其他未列明行业。</w:t>
      </w:r>
      <w:r/>
    </w:p>
    <w:p>
      <w:pPr>
        <w:ind w:firstLine="480"/>
        <w:spacing w:line="360" w:lineRule="auto"/>
        <w:rPr>
          <w:rFonts w:ascii="宋体" w:hAnsi="宋体" w:cs="宋体"/>
          <w:sz w:val="24"/>
        </w:rPr>
      </w:pPr>
      <w:r>
        <w:rPr>
          <w:rFonts w:hint="eastAsia" w:ascii="宋体" w:hAnsi="宋体" w:cs="宋体"/>
          <w:sz w:val="24"/>
          <w:szCs w:val="28"/>
        </w:rPr>
        <w:t xml:space="preserve">3.本项目的特定资格要求：无。</w:t>
      </w:r>
      <w:bookmarkEnd w:id="21"/>
      <w:r/>
      <w:r/>
    </w:p>
    <w:p>
      <w:pPr>
        <w:pStyle w:val="825"/>
        <w:rPr>
          <w:rFonts w:ascii="宋体" w:hAnsi="宋体" w:cs="Times New Roman"/>
        </w:rPr>
      </w:pPr>
      <w:r/>
      <w:bookmarkStart w:id="26" w:name="_Toc209020094"/>
      <w:r/>
      <w:bookmarkStart w:id="27" w:name="_Toc203554703"/>
      <w:r>
        <w:rPr>
          <w:rFonts w:hint="eastAsia"/>
        </w:rPr>
        <w:t xml:space="preserve">三、获取招标文件</w:t>
      </w:r>
      <w:bookmarkEnd w:id="22"/>
      <w:r/>
      <w:bookmarkEnd w:id="23"/>
      <w:r/>
      <w:bookmarkEnd w:id="24"/>
      <w:r/>
      <w:bookmarkEnd w:id="25"/>
      <w:r/>
      <w:bookmarkEnd w:id="26"/>
      <w:r/>
      <w:bookmarkEnd w:id="27"/>
      <w:r/>
      <w:r/>
    </w:p>
    <w:p>
      <w:pPr>
        <w:ind w:firstLine="480"/>
        <w:spacing w:line="360" w:lineRule="auto"/>
        <w:rPr>
          <w:rFonts w:ascii="宋体" w:hAnsi="宋体" w:cs="宋体"/>
          <w:sz w:val="24"/>
          <w:szCs w:val="28"/>
        </w:rPr>
      </w:pPr>
      <w:r>
        <w:rPr>
          <w:rFonts w:hint="eastAsia" w:ascii="宋体" w:hAnsi="宋体" w:cs="宋体"/>
          <w:sz w:val="24"/>
          <w:szCs w:val="28"/>
        </w:rPr>
        <w:t xml:space="preserve">获取时间：2025年</w:t>
      </w:r>
      <w:r>
        <w:rPr>
          <w:rFonts w:hint="eastAsia" w:ascii="宋体" w:hAnsi="宋体" w:cs="宋体"/>
          <w:sz w:val="24"/>
          <w:szCs w:val="28"/>
          <w:lang w:val="en-US" w:eastAsia="zh-CN"/>
        </w:rPr>
        <w:t xml:space="preserve">10</w:t>
      </w:r>
      <w:r>
        <w:rPr>
          <w:rFonts w:hint="eastAsia" w:ascii="宋体" w:hAnsi="宋体" w:cs="宋体"/>
          <w:sz w:val="24"/>
          <w:szCs w:val="28"/>
        </w:rPr>
        <w:t xml:space="preserve">月</w:t>
      </w:r>
      <w:r>
        <w:rPr>
          <w:rFonts w:hint="eastAsia" w:ascii="宋体" w:hAnsi="宋体" w:cs="宋体"/>
          <w:sz w:val="24"/>
          <w:szCs w:val="28"/>
          <w:lang w:val="en-US" w:eastAsia="zh-CN"/>
        </w:rPr>
        <w:t xml:space="preserve">22</w:t>
      </w:r>
      <w:r>
        <w:rPr>
          <w:rFonts w:hint="eastAsia" w:ascii="宋体" w:hAnsi="宋体" w:cs="宋体"/>
          <w:sz w:val="24"/>
          <w:szCs w:val="28"/>
        </w:rPr>
        <w:t xml:space="preserve">日至 2025年</w:t>
      </w:r>
      <w:r>
        <w:rPr>
          <w:rFonts w:hint="eastAsia" w:ascii="宋体" w:hAnsi="宋体" w:cs="宋体"/>
          <w:sz w:val="24"/>
          <w:szCs w:val="28"/>
          <w:lang w:val="en-US" w:eastAsia="zh-CN"/>
        </w:rPr>
        <w:t xml:space="preserve">10</w:t>
      </w:r>
      <w:r>
        <w:rPr>
          <w:rFonts w:hint="eastAsia" w:ascii="宋体" w:hAnsi="宋体" w:cs="宋体"/>
          <w:sz w:val="24"/>
          <w:szCs w:val="28"/>
        </w:rPr>
        <w:t xml:space="preserve">月</w:t>
      </w:r>
      <w:r>
        <w:rPr>
          <w:rFonts w:hint="eastAsia" w:ascii="宋体" w:hAnsi="宋体" w:cs="宋体"/>
          <w:sz w:val="24"/>
          <w:szCs w:val="28"/>
          <w:lang w:val="en-US" w:eastAsia="zh-CN"/>
        </w:rPr>
        <w:t xml:space="preserve">28</w:t>
      </w:r>
      <w:r>
        <w:rPr>
          <w:rFonts w:hint="eastAsia" w:ascii="宋体" w:hAnsi="宋体" w:cs="宋体"/>
          <w:sz w:val="24"/>
          <w:szCs w:val="28"/>
        </w:rPr>
        <w:t xml:space="preserve">日，每天上午00:00-12:00，下午12:00-23:59（北京时间）</w:t>
      </w:r>
      <w:r/>
    </w:p>
    <w:p>
      <w:pPr>
        <w:ind w:firstLine="480"/>
        <w:spacing w:line="360" w:lineRule="auto"/>
        <w:rPr>
          <w:rFonts w:ascii="宋体" w:hAnsi="宋体" w:cs="宋体"/>
          <w:i/>
          <w:iCs/>
          <w:sz w:val="24"/>
          <w:szCs w:val="28"/>
        </w:rPr>
      </w:pPr>
      <w:r>
        <w:rPr>
          <w:rFonts w:hint="eastAsia" w:ascii="宋体" w:hAnsi="宋体" w:cs="宋体"/>
          <w:sz w:val="24"/>
          <w:szCs w:val="28"/>
        </w:rPr>
        <w:t xml:space="preserve">获取地点：江苏政府采购网-苏采云电子交易平台</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获取方式：在线获取（“苏采云”系统用户注册--获取“CA数字证书”--CA绑定与登录--网上报名--下载招标文件，</w:t>
      </w:r>
      <w:bookmarkStart w:id="28" w:name="_Hlk153292470"/>
      <w:r>
        <w:rPr>
          <w:rFonts w:hint="eastAsia" w:ascii="宋体" w:hAnsi="宋体" w:cs="宋体"/>
          <w:sz w:val="24"/>
          <w:szCs w:val="28"/>
        </w:rPr>
        <w:t xml:space="preserve">具体操作详见“苏采云”系统供应商操作指南</w:t>
      </w:r>
      <w:r>
        <w:fldChar w:fldCharType="begin"/>
      </w:r>
      <w:r>
        <w:instrText xml:space="preserve"> HYPERLINK "http://www.ccgp-jiangsu.gov.cn/jiangsu/zlxz/ee/ee3a4bc5a3454aa2b0d9312230633ce9.html" </w:instrText>
      </w:r>
      <w:r>
        <w:fldChar w:fldCharType="separate"/>
      </w:r>
      <w:r>
        <w:rPr>
          <w:rStyle w:val="847"/>
          <w:rFonts w:hint="eastAsia" w:ascii="宋体" w:hAnsi="宋体" w:cs="宋体"/>
          <w:color w:val="auto"/>
          <w:sz w:val="24"/>
          <w:szCs w:val="28"/>
        </w:rPr>
        <w:t xml:space="preserve">http://www.ccgp-jiangsu.gov.cn/jiangsu/zlxz/ee/ee3a4bc5a3454aa2b0d9312230633ce9.html</w:t>
      </w:r>
      <w:r>
        <w:rPr>
          <w:rStyle w:val="847"/>
          <w:rFonts w:hint="eastAsia" w:ascii="宋体" w:hAnsi="宋体" w:cs="宋体"/>
          <w:color w:val="auto"/>
          <w:sz w:val="24"/>
          <w:szCs w:val="28"/>
        </w:rPr>
        <w:fldChar w:fldCharType="end"/>
      </w:r>
      <w:r>
        <w:rPr>
          <w:rStyle w:val="847"/>
          <w:rFonts w:hint="eastAsia" w:ascii="宋体" w:hAnsi="宋体" w:cs="宋体"/>
          <w:color w:val="auto"/>
          <w:sz w:val="24"/>
          <w:szCs w:val="28"/>
        </w:rPr>
        <w:t xml:space="preserve">）</w:t>
      </w:r>
      <w:bookmarkEnd w:id="28"/>
      <w:r/>
      <w:r/>
    </w:p>
    <w:p>
      <w:pPr>
        <w:ind w:firstLine="480"/>
        <w:spacing w:line="360" w:lineRule="auto"/>
        <w:rPr>
          <w:rFonts w:ascii="宋体" w:hAnsi="宋体" w:cs="宋体"/>
          <w:sz w:val="24"/>
          <w:szCs w:val="28"/>
        </w:rPr>
      </w:pPr>
      <w:r>
        <w:rPr>
          <w:rFonts w:hint="eastAsia" w:ascii="宋体" w:hAnsi="宋体" w:cs="宋体"/>
          <w:sz w:val="24"/>
          <w:szCs w:val="28"/>
        </w:rPr>
        <w:t xml:space="preserve">采购文件售价：免费</w:t>
      </w:r>
      <w:r/>
    </w:p>
    <w:p>
      <w:pPr>
        <w:pStyle w:val="825"/>
        <w:rPr>
          <w:rFonts w:ascii="宋体" w:hAnsi="宋体" w:cs="Times New Roman"/>
          <w:szCs w:val="28"/>
        </w:rPr>
      </w:pPr>
      <w:r/>
      <w:bookmarkStart w:id="29" w:name="_Toc28359082"/>
      <w:r/>
      <w:bookmarkStart w:id="30" w:name="_Toc35393793"/>
      <w:r/>
      <w:bookmarkStart w:id="31" w:name="_Toc35393624"/>
      <w:r/>
      <w:bookmarkStart w:id="32" w:name="_Toc28359005"/>
      <w:r/>
      <w:bookmarkStart w:id="33" w:name="_Toc209020095"/>
      <w:r/>
      <w:bookmarkStart w:id="34" w:name="_Toc203554704"/>
      <w:r>
        <w:rPr>
          <w:rFonts w:hint="eastAsia"/>
        </w:rPr>
        <w:t xml:space="preserve">四、</w:t>
      </w:r>
      <w:bookmarkEnd w:id="29"/>
      <w:r/>
      <w:bookmarkEnd w:id="30"/>
      <w:r/>
      <w:bookmarkEnd w:id="31"/>
      <w:r/>
      <w:bookmarkEnd w:id="32"/>
      <w:r>
        <w:rPr>
          <w:rFonts w:hint="eastAsia"/>
        </w:rPr>
        <w:t xml:space="preserve">提交投标文件截止时间、开标时间和地点</w:t>
      </w:r>
      <w:bookmarkEnd w:id="33"/>
      <w:r/>
      <w:bookmarkEnd w:id="34"/>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2025年</w:t>
      </w:r>
      <w:r>
        <w:rPr>
          <w:rFonts w:hint="eastAsia" w:ascii="宋体" w:hAnsi="宋体" w:cs="宋体"/>
          <w:bCs/>
          <w:sz w:val="24"/>
          <w:szCs w:val="28"/>
          <w:u w:val="single"/>
          <w:lang w:val="en-US" w:eastAsia="zh-CN"/>
        </w:rPr>
        <w:t xml:space="preserve">11</w:t>
      </w:r>
      <w:r>
        <w:rPr>
          <w:rFonts w:hint="eastAsia" w:ascii="宋体" w:hAnsi="宋体" w:cs="宋体"/>
          <w:bCs/>
          <w:sz w:val="24"/>
          <w:szCs w:val="28"/>
          <w:u w:val="single"/>
        </w:rPr>
        <w:t xml:space="preserve">月</w:t>
      </w:r>
      <w:r>
        <w:rPr>
          <w:rFonts w:hint="eastAsia" w:ascii="宋体" w:hAnsi="宋体" w:cs="宋体"/>
          <w:bCs/>
          <w:sz w:val="24"/>
          <w:szCs w:val="28"/>
          <w:u w:val="single"/>
          <w:lang w:val="en-US" w:eastAsia="zh-CN"/>
        </w:rPr>
        <w:t xml:space="preserve">13</w:t>
      </w:r>
      <w:r>
        <w:rPr>
          <w:rFonts w:hint="eastAsia" w:ascii="宋体" w:hAnsi="宋体" w:cs="宋体"/>
          <w:bCs/>
          <w:sz w:val="24"/>
          <w:szCs w:val="28"/>
          <w:u w:val="single"/>
        </w:rPr>
        <w:t xml:space="preserve">日09点30分</w:t>
      </w:r>
      <w:r>
        <w:rPr>
          <w:rFonts w:hint="eastAsia" w:ascii="宋体" w:hAnsi="宋体" w:cs="宋体"/>
          <w:bCs/>
          <w:sz w:val="24"/>
          <w:szCs w:val="28"/>
        </w:rPr>
        <w:t xml:space="preserve">（北京时间）</w:t>
      </w:r>
      <w:r/>
    </w:p>
    <w:p>
      <w:pPr>
        <w:ind w:firstLine="480"/>
        <w:spacing w:line="360" w:lineRule="auto"/>
        <w:rPr>
          <w:rFonts w:ascii="宋体" w:hAnsi="宋体" w:cs="宋体"/>
          <w:sz w:val="24"/>
          <w:szCs w:val="28"/>
        </w:rPr>
      </w:pPr>
      <w:r>
        <w:rPr>
          <w:rFonts w:hint="eastAsia" w:ascii="宋体" w:hAnsi="宋体" w:cs="宋体"/>
          <w:sz w:val="24"/>
          <w:szCs w:val="28"/>
        </w:rPr>
        <w:t xml:space="preserve">开标地点：网上开标大厅</w:t>
      </w:r>
      <w:r/>
    </w:p>
    <w:p>
      <w:pPr>
        <w:ind w:firstLine="480"/>
        <w:spacing w:line="360" w:lineRule="auto"/>
        <w:rPr>
          <w:rFonts w:ascii="宋体" w:hAnsi="宋体" w:cs="宋体"/>
          <w:sz w:val="24"/>
          <w:szCs w:val="28"/>
        </w:rPr>
      </w:pPr>
      <w:r>
        <w:rPr>
          <w:rFonts w:hint="eastAsia" w:ascii="宋体" w:hAnsi="宋体" w:cs="宋体"/>
          <w:sz w:val="24"/>
          <w:szCs w:val="28"/>
        </w:rPr>
        <w:t xml:space="preserve">注意事项：</w:t>
      </w:r>
      <w:bookmarkStart w:id="35" w:name="_Toc35393625"/>
      <w:r/>
      <w:bookmarkStart w:id="36" w:name="_Toc35393794"/>
      <w:r/>
      <w:bookmarkStart w:id="37" w:name="_Toc28359007"/>
      <w:r/>
      <w:bookmarkStart w:id="38" w:name="_Toc28359084"/>
      <w:r>
        <w:rPr>
          <w:rFonts w:hint="eastAsia" w:ascii="宋体" w:hAnsi="宋体" w:cs="宋体"/>
          <w:sz w:val="24"/>
          <w:szCs w:val="28"/>
        </w:rPr>
        <w:t xml:space="preserve">（1）本项目通过苏采云电子交易平台进行采购，投标人须通过</w:t>
      </w:r>
      <w:r>
        <w:rPr>
          <w:rFonts w:hint="eastAsia" w:ascii="宋体" w:hAnsi="宋体" w:cs="宋体"/>
          <w:sz w:val="24"/>
          <w:szCs w:val="28"/>
          <w:u w:val="single"/>
        </w:rPr>
        <w:t xml:space="preserve">苏采云</w:t>
      </w:r>
      <w:r>
        <w:rPr>
          <w:rFonts w:hint="eastAsia" w:ascii="宋体" w:hAnsi="宋体" w:cs="宋体"/>
          <w:sz w:val="24"/>
          <w:szCs w:val="28"/>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（2）本项目采用网上开标方式，请投标人事先做好电脑环境准备，自行选择互联网连接畅通的场地，在规定的开标时间登录“苏采云”系统开标大厅进行投标文件解密。</w:t>
      </w:r>
      <w:r/>
    </w:p>
    <w:p>
      <w:pPr>
        <w:pStyle w:val="825"/>
        <w:rPr>
          <w:rFonts w:ascii="宋体" w:hAnsi="宋体" w:cs="Times New Roman"/>
          <w:szCs w:val="28"/>
        </w:rPr>
      </w:pPr>
      <w:r/>
      <w:bookmarkStart w:id="39" w:name="_Toc209020096"/>
      <w:r/>
      <w:bookmarkStart w:id="40" w:name="_Toc203554705"/>
      <w:r>
        <w:rPr>
          <w:rFonts w:hint="eastAsia"/>
        </w:rPr>
        <w:t xml:space="preserve">五、公告期限</w:t>
      </w:r>
      <w:bookmarkEnd w:id="35"/>
      <w:r/>
      <w:bookmarkEnd w:id="36"/>
      <w:r/>
      <w:bookmarkEnd w:id="37"/>
      <w:r/>
      <w:bookmarkEnd w:id="38"/>
      <w:r/>
      <w:bookmarkEnd w:id="39"/>
      <w:r/>
      <w:bookmarkEnd w:id="4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25"/>
        <w:rPr>
          <w:rFonts w:ascii="宋体" w:hAnsi="宋体" w:cs="Times New Roman"/>
          <w:szCs w:val="28"/>
        </w:rPr>
      </w:pPr>
      <w:r/>
      <w:bookmarkStart w:id="41" w:name="_Toc203554706"/>
      <w:r/>
      <w:bookmarkStart w:id="42" w:name="_Toc35393795"/>
      <w:r/>
      <w:bookmarkStart w:id="43" w:name="_Toc209020097"/>
      <w:r/>
      <w:bookmarkStart w:id="44" w:name="_Toc35393626"/>
      <w:r>
        <w:rPr>
          <w:rFonts w:hint="eastAsia"/>
        </w:rPr>
        <w:t xml:space="preserve">六、其他补充事宜</w:t>
      </w:r>
      <w:bookmarkEnd w:id="41"/>
      <w:r/>
      <w:bookmarkEnd w:id="42"/>
      <w:r/>
      <w:bookmarkEnd w:id="43"/>
      <w:r/>
      <w:bookmarkEnd w:id="44"/>
      <w:r/>
      <w:r/>
    </w:p>
    <w:p>
      <w:pPr>
        <w:pStyle w:val="856"/>
        <w:ind w:firstLine="480"/>
        <w:jc w:val="left"/>
        <w:widowControl/>
        <w:rPr>
          <w:rFonts w:hint="eastAsia" w:ascii="宋体" w:hAnsi="宋体" w:cs="宋体"/>
          <w:sz w:val="24"/>
          <w:szCs w:val="28"/>
        </w:rPr>
      </w:pPr>
      <w:r/>
      <w:bookmarkStart w:id="45" w:name="_Toc28359085"/>
      <w:r/>
      <w:bookmarkStart w:id="46" w:name="_Toc35393627"/>
      <w:r/>
      <w:bookmarkStart w:id="47" w:name="_Toc28359008"/>
      <w:r/>
      <w:bookmarkStart w:id="48" w:name="_Toc35393796"/>
      <w:r>
        <w:rPr>
          <w:rFonts w:hint="eastAsia" w:ascii="宋体" w:hAnsi="宋体" w:cs="宋体"/>
          <w:sz w:val="24"/>
          <w:szCs w:val="28"/>
        </w:rPr>
        <w:t xml:space="preserve">1.本项目通过电子交易平台进行采购，请详细阅读平台操作指南；供应商在使用系统的过程中遇到涉及平台使用的任何问题，可致电交易中心技术支持热线咨询，联系方式：0519-86722803。</w:t>
      </w:r>
      <w:r/>
    </w:p>
    <w:p>
      <w:pPr>
        <w:pStyle w:val="856"/>
        <w:ind w:firstLine="480"/>
        <w:jc w:val="left"/>
        <w:widowControl/>
        <w:rPr>
          <w:rFonts w:hint="eastAsia" w:ascii="宋体" w:hAnsi="宋体" w:cs="宋体"/>
          <w:sz w:val="24"/>
          <w:szCs w:val="28"/>
        </w:rPr>
      </w:pPr>
      <w:r>
        <w:rPr>
          <w:rFonts w:hint="eastAsia" w:ascii="宋体" w:hAnsi="宋体" w:cs="宋体"/>
          <w:sz w:val="24"/>
          <w:szCs w:val="28"/>
        </w:rPr>
        <w:t xml:space="preserve">2.投标文件递交截止时间后，采购代理机构将通过开标会议区发出投标文件解密的指令，供应商在各自地点按规定时间自行实施远程解密，供应商</w:t>
      </w:r>
      <w:r>
        <w:rPr>
          <w:rFonts w:hint="eastAsia" w:ascii="宋体" w:hAnsi="宋体" w:cs="宋体"/>
          <w:sz w:val="24"/>
          <w:szCs w:val="28"/>
        </w:rPr>
        <w:t xml:space="preserve">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pStyle w:val="856"/>
        <w:ind w:firstLine="480"/>
        <w:jc w:val="left"/>
        <w:widowControl/>
        <w:rPr>
          <w:rFonts w:hint="eastAsia" w:ascii="宋体" w:hAnsi="宋体" w:cs="宋体"/>
          <w:sz w:val="24"/>
          <w:szCs w:val="28"/>
        </w:rPr>
      </w:pPr>
      <w:r>
        <w:rPr>
          <w:rFonts w:hint="eastAsia" w:ascii="宋体" w:hAnsi="宋体" w:cs="宋体"/>
          <w:sz w:val="24"/>
          <w:szCs w:val="28"/>
        </w:rPr>
        <w:t xml:space="preserve">3.因供应商自身软硬件配备不齐全或发生故障等问题而导致在交互过程中出现不稳定或中断等情况的，由供应商自身承担一切后果。</w:t>
      </w:r>
      <w:r/>
    </w:p>
    <w:p>
      <w:pPr>
        <w:pStyle w:val="856"/>
        <w:ind w:firstLine="480"/>
        <w:jc w:val="left"/>
        <w:widowControl/>
        <w:rPr>
          <w:rFonts w:hint="eastAsia" w:ascii="宋体" w:hAnsi="宋体" w:cs="宋体"/>
          <w:sz w:val="24"/>
          <w:szCs w:val="28"/>
        </w:rPr>
      </w:pPr>
      <w:r>
        <w:rPr>
          <w:rFonts w:hint="eastAsia" w:ascii="宋体" w:hAnsi="宋体" w:cs="宋体"/>
          <w:sz w:val="24"/>
          <w:szCs w:val="28"/>
        </w:rPr>
        <w:t xml:space="preserve">4.请各供应商及时关注和查看“江苏政府采购网”是否有更正公告。因供应商自身原因未能及时获取的，一切后果由供应商自行承担。</w:t>
      </w:r>
      <w:r/>
    </w:p>
    <w:p>
      <w:pPr>
        <w:pStyle w:val="856"/>
        <w:ind w:firstLine="480"/>
        <w:jc w:val="left"/>
        <w:widowControl/>
        <w:rPr>
          <w:rFonts w:ascii="宋体" w:hAnsi="宋体" w:cs="宋体"/>
        </w:rPr>
      </w:pPr>
      <w:r>
        <w:rPr>
          <w:rFonts w:ascii="宋体" w:hAnsi="宋体" w:cs="宋体"/>
        </w:rPr>
      </w:r>
      <w:r/>
    </w:p>
    <w:p>
      <w:pPr>
        <w:pStyle w:val="825"/>
        <w:rPr>
          <w:rFonts w:ascii="宋体" w:hAnsi="宋体" w:cs="Times New Roman"/>
        </w:rPr>
      </w:pPr>
      <w:r/>
      <w:bookmarkStart w:id="49" w:name="_Toc209020098"/>
      <w:r/>
      <w:bookmarkStart w:id="50" w:name="_Toc203554707"/>
      <w:r>
        <w:rPr>
          <w:rFonts w:hint="eastAsia"/>
        </w:rPr>
        <w:t xml:space="preserve">七、对本次招标提出询问，请按以下方式联系。</w:t>
      </w:r>
      <w:bookmarkEnd w:id="45"/>
      <w:r/>
      <w:bookmarkEnd w:id="46"/>
      <w:r/>
      <w:bookmarkEnd w:id="47"/>
      <w:r/>
      <w:bookmarkEnd w:id="48"/>
      <w:r/>
      <w:bookmarkEnd w:id="49"/>
      <w:r/>
      <w:bookmarkEnd w:id="50"/>
      <w:r/>
      <w:r/>
    </w:p>
    <w:p>
      <w:pPr>
        <w:ind w:firstLine="720"/>
        <w:jc w:val="left"/>
        <w:spacing w:line="360" w:lineRule="auto"/>
        <w:widowControl/>
        <w:rPr>
          <w:rFonts w:ascii="宋体" w:hAnsi="宋体" w:cs="宋体"/>
          <w:sz w:val="24"/>
          <w:szCs w:val="28"/>
        </w:rPr>
      </w:pPr>
      <w:r>
        <w:rPr>
          <w:rFonts w:hint="eastAsia" w:ascii="宋体" w:hAnsi="宋体" w:cs="宋体"/>
          <w:sz w:val="24"/>
          <w:szCs w:val="28"/>
        </w:rPr>
        <w:t xml:space="preserve">1.采购人信息</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名 称：</w:t>
      </w:r>
      <w:bookmarkStart w:id="51" w:name="OLE_LINK4"/>
      <w:r/>
      <w:bookmarkStart w:id="52" w:name="OLE_LINK6"/>
      <w:r>
        <w:rPr>
          <w:rFonts w:hint="eastAsia" w:ascii="宋体" w:hAnsi="宋体" w:cs="宋体"/>
          <w:sz w:val="24"/>
          <w:szCs w:val="28"/>
        </w:rPr>
        <w:t xml:space="preserve">镇江市公路事业发展中心</w:t>
      </w:r>
      <w:bookmarkEnd w:id="51"/>
      <w:r/>
      <w:bookmarkEnd w:id="52"/>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地 址：镇江市丹徒区谷阳大道69号</w:t>
      </w:r>
      <w:r/>
    </w:p>
    <w:p>
      <w:pPr>
        <w:ind w:left="1079" w:hanging="300"/>
        <w:jc w:val="left"/>
        <w:spacing w:line="360" w:lineRule="auto"/>
        <w:rPr>
          <w:rFonts w:ascii="宋体" w:hAnsi="宋体" w:cs="宋体"/>
          <w:sz w:val="24"/>
          <w:szCs w:val="28"/>
          <w:highlight w:val="yellow"/>
        </w:rPr>
      </w:pPr>
      <w:r/>
      <w:bookmarkStart w:id="53" w:name="_Hlk163045221"/>
      <w:r/>
      <w:bookmarkStart w:id="54" w:name="_Toc28359086"/>
      <w:r/>
      <w:bookmarkStart w:id="55" w:name="_Toc28359009"/>
      <w:r>
        <w:rPr>
          <w:rFonts w:hint="eastAsia" w:ascii="宋体" w:hAnsi="宋体" w:cs="宋体"/>
          <w:sz w:val="24"/>
          <w:szCs w:val="28"/>
        </w:rPr>
        <w:t xml:space="preserve">联系人：仇工</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联系方式：0511-87059959</w:t>
      </w:r>
      <w:bookmarkEnd w:id="53"/>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2.采购代理机构信息</w:t>
      </w:r>
      <w:bookmarkEnd w:id="54"/>
      <w:r/>
      <w:bookmarkEnd w:id="55"/>
      <w:r/>
      <w:r/>
    </w:p>
    <w:p>
      <w:pPr>
        <w:ind w:left="1079" w:hanging="300"/>
        <w:jc w:val="left"/>
        <w:spacing w:line="360" w:lineRule="auto"/>
        <w:rPr>
          <w:rFonts w:ascii="宋体" w:hAnsi="宋体" w:cs="宋体"/>
          <w:sz w:val="24"/>
          <w:szCs w:val="28"/>
        </w:rPr>
      </w:pPr>
      <w:r/>
      <w:bookmarkStart w:id="56" w:name="OLE_LINK1"/>
      <w:r/>
      <w:bookmarkStart w:id="57" w:name="OLE_LINK2"/>
      <w:r>
        <w:rPr>
          <w:rFonts w:hint="eastAsia" w:ascii="宋体" w:hAnsi="宋体" w:cs="宋体"/>
          <w:sz w:val="24"/>
          <w:szCs w:val="28"/>
        </w:rPr>
        <w:t xml:space="preserve">名 称：江苏天信建设项目咨询有限公司</w:t>
      </w:r>
      <w:r/>
    </w:p>
    <w:p>
      <w:pPr>
        <w:ind w:left="1079" w:hanging="300"/>
        <w:jc w:val="left"/>
        <w:spacing w:line="360" w:lineRule="auto"/>
        <w:rPr>
          <w:rFonts w:ascii="宋体" w:hAnsi="宋体" w:cs="宋体"/>
          <w:sz w:val="24"/>
          <w:szCs w:val="28"/>
        </w:rPr>
      </w:pPr>
      <w:r/>
      <w:bookmarkStart w:id="58" w:name="_Hlk163045394"/>
      <w:r>
        <w:rPr>
          <w:rFonts w:hint="eastAsia" w:ascii="宋体" w:hAnsi="宋体" w:cs="宋体"/>
          <w:sz w:val="24"/>
          <w:szCs w:val="28"/>
        </w:rPr>
        <w:t xml:space="preserve">地 址：</w:t>
      </w:r>
      <w:bookmarkEnd w:id="58"/>
      <w:r>
        <w:rPr>
          <w:rFonts w:hint="eastAsia" w:ascii="宋体" w:hAnsi="宋体" w:cs="宋体"/>
          <w:sz w:val="24"/>
          <w:szCs w:val="28"/>
        </w:rPr>
        <w:t xml:space="preserve">镇江市丹徒区丹徒新城驸马街168-15号</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联系方式：</w:t>
      </w:r>
      <w:bookmarkStart w:id="59" w:name="_Toc28359087"/>
      <w:r/>
      <w:bookmarkStart w:id="60" w:name="_Toc28359010"/>
      <w:r>
        <w:rPr>
          <w:rFonts w:hint="eastAsia" w:ascii="宋体" w:hAnsi="宋体" w:cs="宋体"/>
          <w:sz w:val="24"/>
          <w:szCs w:val="28"/>
        </w:rPr>
        <w:t xml:space="preserve">18652824164</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3.项目联系方式</w:t>
      </w:r>
      <w:bookmarkEnd w:id="59"/>
      <w:r/>
      <w:bookmarkEnd w:id="60"/>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项目联系人：史圣雨</w:t>
      </w:r>
      <w:bookmarkEnd w:id="56"/>
      <w:r/>
      <w:bookmarkEnd w:id="57"/>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电 话：18652824164</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r/>
      <w:bookmarkStart w:id="61" w:name="_Toc209020099"/>
      <w:r/>
      <w:bookmarkStart w:id="62" w:name="_Toc203554708"/>
      <w:r>
        <w:rPr>
          <w:rFonts w:hint="eastAsia"/>
        </w:rPr>
        <w:br w:type="page" w:clear="all"/>
      </w:r>
      <w:r/>
    </w:p>
    <w:p>
      <w:pPr>
        <w:pStyle w:val="824"/>
      </w:pPr>
      <w:r>
        <w:rPr>
          <w:rFonts w:hint="eastAsia"/>
        </w:rPr>
        <w:t xml:space="preserve">第二部分    投标人须知</w:t>
      </w:r>
      <w:bookmarkEnd w:id="61"/>
      <w:r/>
      <w:bookmarkEnd w:id="62"/>
      <w:r/>
      <w:r/>
    </w:p>
    <w:p>
      <w:pPr>
        <w:pStyle w:val="825"/>
      </w:pPr>
      <w:r/>
      <w:bookmarkStart w:id="63" w:name="_Toc203554709"/>
      <w:r/>
      <w:bookmarkStart w:id="64" w:name="_Toc209020100"/>
      <w:r>
        <w:rPr>
          <w:rFonts w:hint="eastAsia"/>
        </w:rPr>
        <w:t xml:space="preserve">前附表</w:t>
      </w:r>
      <w:bookmarkEnd w:id="63"/>
      <w:r/>
      <w:bookmarkEnd w:id="64"/>
      <w:r/>
      <w:r/>
    </w:p>
    <w:tbl>
      <w:tblPr>
        <w:tblStyle w:val="8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663"/>
        <w:gridCol w:w="6235"/>
      </w:tblGrid>
      <w:t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事项</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本项目规定</w:t>
            </w:r>
            <w:r/>
          </w:p>
        </w:tc>
      </w:tr>
      <w:tr>
        <w:trPr>
          <w:trHeight w:val="3524"/>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报价要求</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投标应以人民币报价（保留至小数点后2位，四舍五入）。  </w:t>
            </w:r>
            <w:r/>
          </w:p>
          <w:p>
            <w:pPr>
              <w:pStyle w:val="830"/>
              <w:ind w:firstLine="0"/>
              <w:rPr>
                <w:rFonts w:ascii="宋体" w:hAnsi="宋体" w:cs="宋体"/>
                <w:sz w:val="24"/>
              </w:rPr>
            </w:pPr>
            <w:r>
              <w:rPr>
                <w:rFonts w:hint="eastAsia" w:ascii="宋体" w:hAnsi="宋体" w:cs="宋体"/>
                <w:sz w:val="24"/>
              </w:rPr>
              <w:t xml:space="preserve">投标人应按招标文件所提供的各报价表格式报价。  </w:t>
            </w:r>
            <w:r/>
          </w:p>
          <w:p>
            <w:pPr>
              <w:pStyle w:val="830"/>
              <w:ind w:firstLine="0"/>
              <w:rPr>
                <w:rFonts w:ascii="宋体" w:hAnsi="宋体" w:cs="宋体"/>
                <w:sz w:val="24"/>
              </w:rPr>
            </w:pPr>
            <w:r/>
            <w:bookmarkStart w:id="65" w:name="OLE_LINK86"/>
            <w:r/>
            <w:bookmarkStart w:id="66" w:name="OLE_LINK88"/>
            <w:r/>
            <w:bookmarkStart w:id="67" w:name="OLE_LINK87"/>
            <w:r>
              <w:rPr>
                <w:rFonts w:hint="eastAsia" w:ascii="宋体" w:hAnsi="宋体" w:cs="宋体"/>
                <w:sz w:val="24"/>
              </w:rPr>
              <w:t xml:space="preserve">投标人应对本项目报出最具有竞争力的价格，应包括本次招标要求提供的货物（服务）已支付或将支付的所有费用（含税费）。</w:t>
            </w:r>
            <w:bookmarkEnd w:id="65"/>
            <w:r/>
            <w:bookmarkEnd w:id="66"/>
            <w:r/>
            <w:bookmarkEnd w:id="67"/>
            <w:r>
              <w:rPr>
                <w:rFonts w:hint="eastAsia" w:ascii="宋体" w:hAnsi="宋体" w:cs="宋体"/>
                <w:sz w:val="24"/>
              </w:rPr>
              <w:t xml:space="preserve">同时，除非合同条款中另有规定，否则，此部分投标人所报价格在合同实施期间不因市场变化因素而变动。  </w:t>
            </w:r>
            <w:r/>
          </w:p>
          <w:p>
            <w:pPr>
              <w:pStyle w:val="830"/>
              <w:ind w:firstLine="0"/>
              <w:rPr>
                <w:rFonts w:ascii="宋体" w:hAnsi="宋体" w:cs="宋体"/>
                <w:sz w:val="24"/>
              </w:rPr>
            </w:pPr>
            <w:r>
              <w:rPr>
                <w:rFonts w:hint="eastAsia" w:ascii="宋体" w:hAnsi="宋体" w:cs="宋体"/>
                <w:sz w:val="24"/>
              </w:rPr>
              <w:t xml:space="preserve">最低投标报价不能作为中标的唯一保证。  </w:t>
            </w:r>
            <w:r/>
          </w:p>
          <w:p>
            <w:pPr>
              <w:pStyle w:val="830"/>
              <w:ind w:firstLine="0"/>
              <w:rPr>
                <w:rFonts w:ascii="宋体" w:hAnsi="宋体" w:cs="宋体"/>
                <w:sz w:val="24"/>
              </w:rPr>
            </w:pPr>
            <w:r>
              <w:rPr>
                <w:rFonts w:hint="eastAsia" w:ascii="宋体" w:hAnsi="宋体" w:cs="宋体"/>
                <w:sz w:val="24"/>
              </w:rPr>
              <w:t xml:space="preserve">中标价即为合同签约价。  </w:t>
            </w:r>
            <w:r/>
          </w:p>
          <w:p>
            <w:pPr>
              <w:pStyle w:val="830"/>
              <w:ind w:firstLine="0"/>
              <w:rPr>
                <w:rFonts w:ascii="宋体" w:hAnsi="宋体" w:cs="宋体"/>
                <w:sz w:val="24"/>
              </w:rPr>
            </w:pPr>
            <w:r>
              <w:rPr>
                <w:rFonts w:hint="eastAsia" w:ascii="宋体" w:hAnsi="宋体" w:cs="宋体"/>
                <w:sz w:val="24"/>
              </w:rPr>
              <w:t xml:space="preserve">如出现报价前后不一致的，将按招标文件第五部分“评标办法和标准”第5项规定进行修正。</w:t>
            </w:r>
            <w:r/>
          </w:p>
        </w:tc>
      </w:tr>
      <w:tr>
        <w:trPr>
          <w:trHeight w:val="844"/>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转包及分包</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本项目依法不得转包</w:t>
            </w:r>
            <w:r/>
          </w:p>
          <w:p>
            <w:pPr>
              <w:pStyle w:val="830"/>
              <w:ind w:firstLine="0"/>
              <w:rPr>
                <w:rFonts w:ascii="宋体" w:hAnsi="宋体" w:cs="宋体"/>
                <w:sz w:val="24"/>
              </w:rPr>
            </w:pPr>
            <w:r>
              <w:rPr>
                <w:rFonts w:hint="eastAsia" w:ascii="宋体" w:hAnsi="宋体" w:cs="宋体"/>
                <w:sz w:val="24"/>
              </w:rPr>
              <w:t xml:space="preserve">本项目不同意分包。</w:t>
            </w:r>
            <w:r/>
          </w:p>
        </w:tc>
      </w:tr>
      <w:tr>
        <w:trPr>
          <w:trHeight w:val="572"/>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开标前答疑会</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不组织</w:t>
            </w:r>
            <w:r/>
          </w:p>
        </w:tc>
      </w:tr>
      <w:tr>
        <w:trPr>
          <w:trHeight w:val="692"/>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现场踏勘</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不统一组织</w:t>
            </w:r>
            <w:r/>
          </w:p>
        </w:tc>
      </w:tr>
      <w:tr>
        <w:trPr>
          <w:trHeight w:val="560"/>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演示</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无</w:t>
            </w:r>
            <w:r/>
          </w:p>
        </w:tc>
      </w:tr>
      <w:t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480"/>
              <w:rPr>
                <w:rFonts w:ascii="宋体" w:hAnsi="宋体" w:cs="宋体"/>
                <w:sz w:val="24"/>
              </w:rPr>
            </w:pPr>
            <w:r>
              <w:rPr>
                <w:rFonts w:hint="eastAsia" w:ascii="宋体" w:hAnsi="宋体" w:cs="宋体"/>
                <w:sz w:val="24"/>
              </w:rPr>
              <w:t xml:space="preserve">样品</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240"/>
              <w:rPr>
                <w:rFonts w:ascii="宋体" w:hAnsi="宋体" w:cs="宋体"/>
                <w:sz w:val="24"/>
              </w:rPr>
            </w:pPr>
            <w:r>
              <w:rPr>
                <w:rFonts w:hint="eastAsia" w:ascii="宋体" w:hAnsi="宋体" w:cs="宋体"/>
                <w:sz w:val="24"/>
              </w:rPr>
              <w:t xml:space="preserve">不要求提供。</w:t>
            </w:r>
            <w:r/>
          </w:p>
        </w:tc>
      </w:tr>
      <w:t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是否允许采购进口产品</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本项目不允许采购进口产品。</w:t>
            </w:r>
            <w:r/>
          </w:p>
        </w:tc>
      </w:tr>
      <w:tr>
        <w:trPr>
          <w:trHeight w:val="90"/>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项目属性与核心产品</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highlight w:val="none"/>
              </w:rPr>
            </w:pPr>
            <w:r/>
            <w:sdt>
              <w:sdtPr>
                <w15:appearance w15:val="boundingBox"/>
                <w:id w:val="147455309"/>
                <w:rPr>
                  <w:rFonts w:hint="eastAsia" w:ascii="宋体" w:hAnsi="宋体" w:cs="宋体"/>
                  <w:color w:val="000000"/>
                  <w:sz w:val="24"/>
                  <w:highlight w:val="none"/>
                </w:rPr>
              </w:sdtPr>
              <w:sdtContent>
                <w:r>
                  <w:rPr>
                    <w:rFonts w:hint="eastAsia" w:ascii="MS Mincho" w:hAnsi="MS Mincho" w:eastAsia="MS Mincho" w:cs="MS Mincho"/>
                    <w:sz w:val="24"/>
                    <w:highlight w:val="none"/>
                  </w:rPr>
                  <w:t xml:space="preserve">☐</w:t>
                </w:r>
              </w:sdtContent>
            </w:sdt>
            <w:r>
              <w:rPr>
                <w:rFonts w:hint="eastAsia" w:ascii="宋体" w:hAnsi="宋体" w:cs="宋体"/>
                <w:sz w:val="24"/>
                <w:highlight w:val="none"/>
              </w:rPr>
              <w:t xml:space="preserve">A货物类。</w:t>
            </w:r>
            <w:r/>
          </w:p>
          <w:p>
            <w:pPr>
              <w:pStyle w:val="830"/>
              <w:ind w:firstLine="0"/>
              <w:rPr>
                <w:rFonts w:ascii="宋体" w:hAnsi="宋体" w:cs="宋体"/>
                <w:sz w:val="24"/>
                <w:highlight w:val="none"/>
              </w:rPr>
            </w:pPr>
            <w:r>
              <w:rPr>
                <w:rFonts w:hint="eastAsia" w:ascii="MS Mincho" w:hAnsi="MS Mincho" w:eastAsia="MS Mincho" w:cs="MS Mincho"/>
                <w:bCs/>
                <w:sz w:val="24"/>
                <w:highlight w:val="none"/>
              </w:rPr>
              <w:t xml:space="preserve">☑</w:t>
            </w:r>
            <w:r>
              <w:rPr>
                <w:rFonts w:hint="eastAsia" w:ascii="宋体" w:hAnsi="宋体" w:cs="宋体"/>
                <w:sz w:val="24"/>
                <w:highlight w:val="none"/>
              </w:rPr>
              <w:t xml:space="preserve">B服务类。</w:t>
            </w:r>
            <w:r/>
          </w:p>
          <w:p>
            <w:pPr>
              <w:pStyle w:val="830"/>
              <w:ind w:firstLine="0"/>
              <w:rPr>
                <w:rFonts w:ascii="宋体" w:hAnsi="宋体" w:cs="宋体"/>
                <w:sz w:val="24"/>
              </w:rPr>
            </w:pPr>
            <w:r>
              <w:rPr>
                <w:rFonts w:hint="eastAsia" w:ascii="宋体" w:hAnsi="宋体" w:cs="宋体"/>
                <w:sz w:val="24"/>
                <w:highlight w:val="none"/>
              </w:rPr>
              <w:t xml:space="preserve">本项目核心产品为：</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采购标的对应的中小企业划分标准所属行业</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标的：</w:t>
            </w:r>
            <w:r>
              <w:rPr>
                <w:rFonts w:hint="eastAsia" w:ascii="宋体" w:hAnsi="宋体" w:cs="宋体"/>
                <w:sz w:val="24"/>
                <w:u w:val="single"/>
              </w:rPr>
              <w:t xml:space="preserve">官塘桥路、金桥大道绿化养护项目</w:t>
            </w:r>
            <w:r>
              <w:rPr>
                <w:rFonts w:hint="eastAsia" w:ascii="宋体" w:hAnsi="宋体" w:cs="宋体"/>
                <w:sz w:val="24"/>
              </w:rPr>
              <w:t xml:space="preserve">，属于</w:t>
            </w:r>
            <w:r>
              <w:rPr>
                <w:rFonts w:hint="eastAsia" w:ascii="宋体" w:hAnsi="宋体" w:cs="宋体"/>
                <w:sz w:val="24"/>
                <w:u w:val="single"/>
              </w:rPr>
              <w:t xml:space="preserve">其他未列明</w:t>
            </w:r>
            <w:r>
              <w:rPr>
                <w:rFonts w:hint="eastAsia" w:ascii="宋体" w:hAnsi="宋体" w:cs="宋体"/>
                <w:sz w:val="24"/>
              </w:rPr>
              <w:t xml:space="preserve">行业；</w:t>
            </w:r>
            <w:r/>
          </w:p>
        </w:tc>
      </w:tr>
      <w:tr>
        <w:trPr>
          <w:trHeight w:val="1646"/>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节能产品、环境标志产品</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sz w:val="24"/>
              </w:rPr>
            </w:pPr>
            <w:r>
              <w:rPr>
                <w:rFonts w:hint="eastAsia" w:ascii="宋体" w:hAnsi="宋体" w:cs="宋体"/>
                <w:sz w:val="24"/>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3947"/>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11</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中小企业信用融资</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480"/>
              <w:rPr>
                <w:rFonts w:ascii="宋体" w:hAnsi="宋体" w:cs="宋体"/>
                <w:sz w:val="24"/>
              </w:rPr>
            </w:pPr>
            <w:r>
              <w:rPr>
                <w:rFonts w:hint="eastAsia" w:ascii="宋体" w:hAnsi="宋体" w:cs="宋体"/>
                <w:sz w:val="24"/>
              </w:rPr>
              <w:t xml:space="preserve">为进一步发挥政府采购政策导向作用，有效缓解企业融资难题，推进完善应收账款融资服务平台的融资服务功能，促进中小微企业平稳健康发展，</w:t>
            </w:r>
            <w:bookmarkStart w:id="68" w:name="_Hlk136445673"/>
            <w:r>
              <w:rPr>
                <w:rFonts w:hint="eastAsia" w:ascii="宋体" w:hAnsi="宋体" w:cs="宋体"/>
                <w:sz w:val="24"/>
              </w:rPr>
              <w:t xml:space="preserve">镇江市财政局和中国人民银行镇江市中心支行联合印发《关于转发〈关于深入推进政府采购线上合同信用融资工作的通知〉的通知》</w:t>
            </w:r>
            <w:bookmarkEnd w:id="68"/>
            <w:r>
              <w:rPr>
                <w:rFonts w:hint="eastAsia" w:ascii="宋体" w:hAnsi="宋体" w:cs="宋体"/>
                <w:sz w:val="24"/>
              </w:rPr>
              <w:t xml:space="preserve">，</w:t>
            </w:r>
            <w:bookmarkStart w:id="69" w:name="_Hlk136444446"/>
            <w:r>
              <w:rPr>
                <w:rFonts w:hint="eastAsia" w:ascii="宋体" w:hAnsi="宋体" w:cs="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9"/>
            <w:r/>
            <w:r/>
          </w:p>
          <w:p>
            <w:pPr>
              <w:pStyle w:val="830"/>
              <w:ind w:firstLine="480"/>
              <w:rPr>
                <w:rFonts w:ascii="宋体" w:hAnsi="宋体" w:cs="宋体"/>
                <w:sz w:val="24"/>
              </w:rPr>
            </w:pPr>
            <w:r>
              <w:rPr>
                <w:rFonts w:hint="eastAsia" w:ascii="宋体" w:hAnsi="宋体" w:cs="宋体"/>
                <w:sz w:val="24"/>
              </w:rPr>
              <w:t xml:space="preserve">办理流程详见江苏政府采购网“政采贷”栏目，网址：http://www.ccgp-jiangsu.gov.cn/jiangsu/paying.html咨询电话：镇江市财政局政府采购科0511-80909958。</w:t>
            </w:r>
            <w:r/>
          </w:p>
        </w:tc>
      </w:tr>
      <w:tr>
        <w:trPr>
          <w:trHeight w:val="696"/>
        </w:trPr>
        <w:tc>
          <w:tcPr>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12</w:t>
            </w:r>
            <w:r/>
          </w:p>
        </w:tc>
        <w:tc>
          <w:tcPr>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pStyle w:val="830"/>
              <w:ind w:firstLine="0"/>
              <w:jc w:val="center"/>
              <w:rPr>
                <w:rFonts w:ascii="宋体" w:hAnsi="宋体" w:cs="宋体"/>
                <w:sz w:val="24"/>
              </w:rPr>
            </w:pPr>
            <w:r>
              <w:rPr>
                <w:rFonts w:hint="eastAsia" w:ascii="宋体" w:hAnsi="宋体" w:cs="宋体"/>
                <w:sz w:val="24"/>
              </w:rPr>
              <w:t xml:space="preserve">特别说明</w:t>
            </w:r>
            <w:r/>
          </w:p>
        </w:tc>
        <w:tc>
          <w:tcPr>
            <w:tcBorders>
              <w:top w:val="single" w:color="auto" w:sz="4" w:space="0"/>
              <w:left w:val="single" w:color="auto" w:sz="4" w:space="0"/>
              <w:bottom w:val="single" w:color="auto" w:sz="4" w:space="0"/>
              <w:right w:val="single" w:color="auto" w:sz="4" w:space="0"/>
            </w:tcBorders>
            <w:tcW w:w="3659" w:type="pct"/>
            <w:vAlign w:val="center"/>
            <w:textDirection w:val="lrTb"/>
            <w:noWrap w:val="false"/>
          </w:tcPr>
          <w:p>
            <w:pPr>
              <w:pStyle w:val="830"/>
              <w:ind w:firstLine="0"/>
              <w:rPr>
                <w:rFonts w:ascii="宋体" w:hAnsi="宋体" w:cs="宋体"/>
                <w:i/>
                <w:iCs/>
                <w:sz w:val="24"/>
              </w:rPr>
            </w:pPr>
            <w:r>
              <w:rPr>
                <w:rFonts w:hint="eastAsia" w:ascii="宋体" w:hAnsi="宋体" w:cs="宋体"/>
                <w:sz w:val="24"/>
              </w:rPr>
              <w:t xml:space="preserve">无</w:t>
            </w:r>
            <w:r/>
          </w:p>
        </w:tc>
      </w:tr>
    </w:tbl>
    <w:p>
      <w:pPr>
        <w:pStyle w:val="825"/>
      </w:pPr>
      <w:r/>
      <w:bookmarkStart w:id="70" w:name="_Toc203554710"/>
      <w:r/>
      <w:bookmarkStart w:id="71" w:name="_Toc209020101"/>
      <w:r>
        <w:rPr>
          <w:rFonts w:hint="eastAsia"/>
        </w:rPr>
        <w:t xml:space="preserve">一、总  则</w:t>
      </w:r>
      <w:bookmarkEnd w:id="70"/>
      <w:r/>
      <w:bookmarkEnd w:id="71"/>
      <w:r/>
      <w:r/>
    </w:p>
    <w:p>
      <w:pPr>
        <w:pStyle w:val="826"/>
      </w:pPr>
      <w:r/>
      <w:bookmarkStart w:id="72" w:name="_Toc100386035"/>
      <w:r/>
      <w:bookmarkStart w:id="73" w:name="_Toc203554711"/>
      <w:r/>
      <w:bookmarkStart w:id="74" w:name="_Toc209020102"/>
      <w:r/>
      <w:bookmarkStart w:id="75" w:name="_Toc92168001"/>
      <w:r>
        <w:t xml:space="preserve">1</w:t>
      </w:r>
      <w:r>
        <w:rPr>
          <w:rFonts w:hint="eastAsia"/>
        </w:rPr>
        <w:t xml:space="preserve">．适用范围</w:t>
      </w:r>
      <w:bookmarkEnd w:id="72"/>
      <w:r/>
      <w:bookmarkEnd w:id="73"/>
      <w:r/>
      <w:bookmarkEnd w:id="74"/>
      <w:r/>
      <w:bookmarkEnd w:id="75"/>
      <w:r/>
      <w:r/>
    </w:p>
    <w:p>
      <w:pPr>
        <w:ind w:firstLine="480"/>
        <w:spacing w:line="360" w:lineRule="auto"/>
        <w:rPr>
          <w:rFonts w:ascii="宋体" w:hAnsi="宋体" w:cs="宋体"/>
          <w:sz w:val="24"/>
        </w:rPr>
      </w:pPr>
      <w:r>
        <w:rPr>
          <w:rFonts w:hint="eastAsia" w:ascii="宋体" w:hAnsi="宋体" w:cs="宋体"/>
          <w:sz w:val="24"/>
        </w:rPr>
        <w:t xml:space="preserve">1.1 本招标文件仅适用于官塘桥路、金桥大道绿化养护项目。</w:t>
      </w:r>
      <w:r/>
    </w:p>
    <w:p>
      <w:pPr>
        <w:pStyle w:val="826"/>
      </w:pPr>
      <w:r/>
      <w:bookmarkStart w:id="76" w:name="_Toc209020103"/>
      <w:r/>
      <w:bookmarkStart w:id="77" w:name="_Toc203554712"/>
      <w:r/>
      <w:bookmarkStart w:id="78" w:name="_Toc100386036"/>
      <w:r/>
      <w:bookmarkStart w:id="79" w:name="_Toc92168002"/>
      <w:r>
        <w:t xml:space="preserve">2</w:t>
      </w:r>
      <w:r>
        <w:rPr>
          <w:rFonts w:hint="eastAsia"/>
        </w:rPr>
        <w:t xml:space="preserve">．定义</w:t>
      </w:r>
      <w:bookmarkEnd w:id="76"/>
      <w:r/>
      <w:bookmarkEnd w:id="77"/>
      <w:r/>
      <w:bookmarkEnd w:id="78"/>
      <w:r/>
      <w:bookmarkEnd w:id="79"/>
      <w:r/>
      <w:r/>
    </w:p>
    <w:p>
      <w:pPr>
        <w:ind w:firstLine="480"/>
        <w:spacing w:line="360" w:lineRule="auto"/>
        <w:rPr>
          <w:rFonts w:ascii="宋体" w:hAnsi="宋体" w:cs="宋体"/>
          <w:sz w:val="24"/>
        </w:rPr>
      </w:pPr>
      <w:r/>
      <w:bookmarkStart w:id="80" w:name="_Toc20732971"/>
      <w:r/>
      <w:bookmarkStart w:id="81" w:name="_Toc98669335"/>
      <w:r/>
      <w:bookmarkStart w:id="82" w:name="_Toc92168004"/>
      <w:r/>
      <w:bookmarkStart w:id="83" w:name="_Toc98669693"/>
      <w:r/>
      <w:bookmarkStart w:id="84" w:name="_Toc100386038"/>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“采购人”系指依法进行政府采购的国家机关、事业单位、团体组织，即：镇江市公路事业发展中心。</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“采购代理机构”系指组织本次采购活动的单位，即：江苏天信建设项目咨询有限公司。</w:t>
      </w:r>
      <w:r/>
    </w:p>
    <w:p>
      <w:pPr>
        <w:ind w:firstLine="480"/>
        <w:spacing w:line="360" w:lineRule="auto"/>
        <w:rPr>
          <w:rFonts w:ascii="宋体" w:hAnsi="宋体" w:cs="宋体"/>
          <w:sz w:val="24"/>
        </w:rPr>
      </w:pPr>
      <w:r>
        <w:rPr>
          <w:rFonts w:hint="eastAsia" w:ascii="宋体" w:hAnsi="宋体" w:cs="宋体"/>
          <w:sz w:val="24"/>
        </w:rPr>
        <w:t xml:space="preserve">2.4“货物”系指本招标文件所述采购标的涉及的各种形态和种类的物品，即：/。</w:t>
      </w:r>
      <w:r/>
    </w:p>
    <w:p>
      <w:pPr>
        <w:ind w:firstLine="480"/>
        <w:spacing w:line="360" w:lineRule="auto"/>
        <w:rPr>
          <w:rFonts w:ascii="宋体" w:hAnsi="宋体" w:cs="宋体"/>
          <w:sz w:val="24"/>
        </w:rPr>
      </w:pPr>
      <w:r>
        <w:rPr>
          <w:rFonts w:hint="eastAsia" w:ascii="宋体" w:hAnsi="宋体" w:cs="宋体"/>
          <w:sz w:val="24"/>
        </w:rPr>
        <w:t xml:space="preserve">2.5“服务”系指本招标文件所述投标人应该履行的承诺和义务，</w:t>
      </w:r>
      <w:bookmarkStart w:id="85" w:name="EB7728260902a547e79013ee5f24516f6b"/>
      <w:r>
        <w:rPr>
          <w:rFonts w:hint="eastAsia" w:ascii="宋体" w:hAnsi="宋体" w:cs="宋体"/>
          <w:sz w:val="24"/>
        </w:rPr>
        <w:t xml:space="preserve">即系指官塘桥路、金桥大道绿化养护项目。</w:t>
      </w:r>
      <w:bookmarkEnd w:id="85"/>
      <w:r/>
      <w:r/>
    </w:p>
    <w:p>
      <w:pPr>
        <w:ind w:firstLine="480"/>
        <w:spacing w:line="360" w:lineRule="auto"/>
        <w:rPr>
          <w:rFonts w:ascii="宋体" w:hAnsi="宋体" w:cs="宋体"/>
          <w:sz w:val="24"/>
        </w:rPr>
      </w:pPr>
      <w:r>
        <w:rPr>
          <w:rFonts w:hint="eastAsia" w:ascii="宋体" w:hAnsi="宋体" w:cs="宋体"/>
          <w:sz w:val="24"/>
        </w:rPr>
        <w:t xml:space="preserve">2.6“</w:t>
      </w:r>
      <w:r>
        <w:rPr>
          <w:rFonts w:hint="eastAsia" w:ascii="MS Mincho" w:hAnsi="MS Mincho" w:eastAsia="MS Mincho" w:cs="MS Mincho"/>
          <w:sz w:val="24"/>
        </w:rPr>
        <w:t xml:space="preserve">☑</w:t>
      </w:r>
      <w:r>
        <w:rPr>
          <w:rFonts w:hint="eastAsia" w:ascii="宋体" w:hAnsi="宋体" w:cs="宋体"/>
          <w:sz w:val="24"/>
        </w:rPr>
        <w:t xml:space="preserve">”系指适用本项目的要求，“</w:t>
      </w:r>
      <w:sdt>
        <w:sdtPr>
          <w15:appearance w15:val="boundingBox"/>
          <w:id w:val="-1120139095"/>
          <w:rPr>
            <w:rFonts w:hint="eastAsia" w:ascii="宋体" w:hAnsi="宋体" w:cs="宋体"/>
            <w:sz w:val="24"/>
          </w:rPr>
        </w:sdtPr>
        <w:sdtContent>
          <w:r>
            <w:rPr>
              <w:rFonts w:hint="eastAsia" w:ascii="MS Mincho" w:hAnsi="MS Mincho" w:eastAsia="MS Mincho" w:cs="MS Mincho"/>
              <w:sz w:val="24"/>
            </w:rPr>
            <w:t xml:space="preserve">☐</w:t>
          </w:r>
        </w:sdtContent>
      </w:sdt>
      <w:r>
        <w:rPr>
          <w:rFonts w:hint="eastAsia" w:ascii="宋体" w:hAnsi="宋体" w:cs="宋体"/>
          <w:sz w:val="24"/>
        </w:rPr>
        <w:t xml:space="preserve">”系指不适用本项目的要求。</w:t>
      </w:r>
      <w:r/>
    </w:p>
    <w:p>
      <w:pPr>
        <w:pStyle w:val="826"/>
      </w:pPr>
      <w:r/>
      <w:bookmarkStart w:id="86" w:name="_Toc209020104"/>
      <w:r/>
      <w:bookmarkStart w:id="87" w:name="_Toc203554713"/>
      <w:r>
        <w:t xml:space="preserve">3</w:t>
      </w:r>
      <w:r>
        <w:rPr>
          <w:rFonts w:hint="eastAsia"/>
        </w:rPr>
        <w:t xml:space="preserve">．采购方式</w:t>
      </w:r>
      <w:bookmarkEnd w:id="86"/>
      <w:r/>
      <w:bookmarkEnd w:id="87"/>
      <w:r/>
      <w:r/>
    </w:p>
    <w:p>
      <w:pPr>
        <w:ind w:firstLine="480"/>
        <w:spacing w:line="360" w:lineRule="auto"/>
        <w:rPr>
          <w:rFonts w:ascii="宋体" w:hAnsi="宋体" w:cs="宋体"/>
          <w:sz w:val="24"/>
          <w:highlight w:val="cyan"/>
        </w:rPr>
      </w:pPr>
      <w:r>
        <w:rPr>
          <w:rFonts w:hint="eastAsia" w:ascii="宋体" w:hAnsi="宋体" w:cs="宋体"/>
          <w:sz w:val="24"/>
        </w:rPr>
        <w:t xml:space="preserve">3.1 本次采购采取公开招</w:t>
      </w:r>
      <w:r>
        <w:rPr>
          <w:rFonts w:hint="eastAsia" w:ascii="宋体" w:hAnsi="宋体" w:cs="宋体"/>
          <w:sz w:val="24"/>
          <w:highlight w:val="none"/>
        </w:rPr>
        <w:t xml:space="preserve">标方式</w:t>
      </w:r>
      <w:r>
        <w:rPr>
          <w:rFonts w:hint="eastAsia" w:ascii="MS Mincho" w:hAnsi="MS Mincho" w:eastAsia="MS Mincho" w:cs="MS Mincho"/>
          <w:sz w:val="24"/>
          <w:szCs w:val="28"/>
          <w:highlight w:val="none"/>
        </w:rPr>
        <w:t xml:space="preserve">☑</w:t>
      </w:r>
      <w:r>
        <w:rPr>
          <w:rFonts w:hint="eastAsia" w:ascii="宋体" w:hAnsi="宋体" w:cs="宋体"/>
          <w:sz w:val="24"/>
          <w:szCs w:val="28"/>
          <w:highlight w:val="none"/>
        </w:rPr>
        <w:t xml:space="preserve">综合评分法</w:t>
      </w:r>
      <w:r>
        <w:rPr>
          <w:rFonts w:hint="eastAsia" w:ascii="宋体" w:hAnsi="宋体" w:cs="宋体"/>
          <w:sz w:val="24"/>
          <w:highlight w:val="none"/>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3.2 本项目资格审查方式：</w:t>
      </w:r>
      <w:r>
        <w:rPr>
          <w:rFonts w:hint="eastAsia" w:ascii="MS Mincho" w:hAnsi="MS Mincho" w:cs="MS Mincho"/>
          <w:sz w:val="24"/>
          <w:szCs w:val="28"/>
        </w:rPr>
        <w:t xml:space="preserve">☑</w:t>
      </w:r>
      <w:r>
        <w:rPr>
          <w:rFonts w:hint="eastAsia" w:ascii="宋体" w:hAnsi="宋体" w:cs="宋体"/>
          <w:sz w:val="24"/>
          <w:szCs w:val="28"/>
        </w:rPr>
        <w:t xml:space="preserve">资格后审</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826"/>
      </w:pPr>
      <w:r/>
      <w:bookmarkStart w:id="88" w:name="_Toc203554714"/>
      <w:r/>
      <w:bookmarkStart w:id="89" w:name="_Toc209020105"/>
      <w:r>
        <w:t xml:space="preserve">4</w:t>
      </w:r>
      <w:r>
        <w:rPr>
          <w:rFonts w:hint="eastAsia"/>
        </w:rPr>
        <w:t xml:space="preserve">．投标费用</w:t>
      </w:r>
      <w:bookmarkEnd w:id="80"/>
      <w:r/>
      <w:bookmarkEnd w:id="81"/>
      <w:r/>
      <w:bookmarkEnd w:id="82"/>
      <w:r/>
      <w:bookmarkEnd w:id="83"/>
      <w:r/>
      <w:bookmarkEnd w:id="84"/>
      <w:r/>
      <w:bookmarkEnd w:id="88"/>
      <w:r/>
      <w:bookmarkEnd w:id="89"/>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MS Mincho" w:hAnsi="MS Mincho" w:eastAsia="MS Mincho" w:cs="MS Mincho"/>
          <w:b/>
          <w:sz w:val="24"/>
        </w:rPr>
        <w:t xml:space="preserve">☑</w:t>
      </w:r>
      <w:r>
        <w:rPr>
          <w:rFonts w:hint="eastAsia" w:ascii="宋体" w:hAnsi="宋体" w:cs="宋体"/>
          <w:sz w:val="24"/>
        </w:rPr>
        <w:t xml:space="preserve">中标人需向代理机构缴纳15000元服务费。</w:t>
      </w:r>
      <w:r/>
    </w:p>
    <w:p>
      <w:pPr>
        <w:ind w:firstLine="480"/>
        <w:spacing w:line="360" w:lineRule="auto"/>
        <w:rPr>
          <w:rFonts w:ascii="宋体" w:hAnsi="宋体" w:cs="宋体"/>
          <w:sz w:val="24"/>
        </w:rPr>
      </w:pPr>
      <w:r/>
      <w:bookmarkStart w:id="90" w:name="OLE_LINK8"/>
      <w:r/>
      <w:bookmarkStart w:id="91" w:name="OLE_LINK9"/>
      <w:r>
        <w:rPr>
          <w:rFonts w:hint="eastAsia" w:ascii="宋体" w:hAnsi="宋体" w:cs="宋体"/>
          <w:sz w:val="24"/>
        </w:rPr>
        <w:t xml:space="preserve">收费标准：</w:t>
      </w:r>
      <w:bookmarkStart w:id="92" w:name="OLE_LINK12"/>
      <w:r/>
      <w:bookmarkStart w:id="93" w:name="OLE_LINK13"/>
      <w:r>
        <w:rPr>
          <w:rFonts w:hint="eastAsia" w:ascii="宋体" w:hAnsi="宋体" w:cs="宋体"/>
          <w:sz w:val="24"/>
        </w:rPr>
        <w:t xml:space="preserve">根据关于印发《江苏省招标代理服务收费的指导意见》的通知（苏招协[2022]002）</w:t>
      </w:r>
      <w:bookmarkEnd w:id="90"/>
      <w:r/>
      <w:bookmarkEnd w:id="91"/>
      <w:r/>
      <w:bookmarkEnd w:id="92"/>
      <w:r/>
      <w:bookmarkEnd w:id="93"/>
      <w:r>
        <w:rPr>
          <w:rFonts w:hint="eastAsia" w:ascii="宋体" w:hAnsi="宋体" w:cs="宋体"/>
          <w:sz w:val="24"/>
        </w:rPr>
        <w:t xml:space="preserve">，中标人在领取中标通知书时向招标代理机构一次性付清代理服务费。</w:t>
      </w:r>
      <w:r/>
    </w:p>
    <w:p>
      <w:pPr>
        <w:ind w:firstLine="480"/>
        <w:spacing w:line="360" w:lineRule="auto"/>
        <w:rPr>
          <w:rFonts w:ascii="宋体" w:hAnsi="宋体" w:cs="宋体"/>
          <w:sz w:val="24"/>
        </w:rPr>
      </w:pPr>
      <w:r>
        <w:rPr>
          <w:rFonts w:hint="eastAsia" w:ascii="宋体" w:hAnsi="宋体" w:cs="宋体"/>
          <w:sz w:val="24"/>
        </w:rPr>
        <w:t xml:space="preserve">招标代理费用收款信息：</w:t>
      </w:r>
      <w:r/>
    </w:p>
    <w:p>
      <w:pPr>
        <w:ind w:firstLine="480"/>
        <w:spacing w:line="360" w:lineRule="auto"/>
        <w:rPr>
          <w:rFonts w:ascii="宋体" w:hAnsi="宋体" w:cs="宋体"/>
          <w:sz w:val="24"/>
        </w:rPr>
      </w:pPr>
      <w:r>
        <w:rPr>
          <w:rFonts w:hint="eastAsia" w:ascii="宋体" w:hAnsi="宋体" w:cs="宋体"/>
          <w:sz w:val="24"/>
        </w:rPr>
        <w:t xml:space="preserve">收款单位：江苏天信建设项目咨询有限公司镇江分公司</w:t>
      </w:r>
      <w:r/>
    </w:p>
    <w:p>
      <w:pPr>
        <w:ind w:firstLine="480"/>
        <w:spacing w:line="360" w:lineRule="auto"/>
        <w:rPr>
          <w:rFonts w:ascii="宋体" w:hAnsi="宋体" w:cs="宋体"/>
          <w:sz w:val="24"/>
        </w:rPr>
      </w:pPr>
      <w:r>
        <w:rPr>
          <w:rFonts w:hint="eastAsia" w:ascii="宋体" w:hAnsi="宋体" w:cs="宋体"/>
          <w:sz w:val="24"/>
        </w:rPr>
        <w:t xml:space="preserve">收款账号：546977440581</w:t>
      </w:r>
      <w:r/>
    </w:p>
    <w:p>
      <w:pPr>
        <w:ind w:firstLine="480"/>
        <w:jc w:val="left"/>
        <w:spacing w:line="360" w:lineRule="auto"/>
        <w:rPr>
          <w:rFonts w:ascii="宋体" w:hAnsi="宋体" w:cs="宋体"/>
          <w:sz w:val="24"/>
        </w:rPr>
      </w:pPr>
      <w:r>
        <w:rPr>
          <w:rFonts w:hint="eastAsia" w:ascii="宋体" w:hAnsi="宋体" w:cs="宋体"/>
          <w:sz w:val="24"/>
        </w:rPr>
        <w:t xml:space="preserve">开户银行：中国银行股份有限公司镇江龙山路支行</w:t>
      </w:r>
      <w:r/>
    </w:p>
    <w:p>
      <w:pPr>
        <w:ind w:firstLine="480"/>
        <w:jc w:val="left"/>
        <w:spacing w:line="360" w:lineRule="auto"/>
        <w:rPr>
          <w:rFonts w:ascii="宋体" w:hAnsi="宋体" w:cs="宋体"/>
          <w:sz w:val="24"/>
        </w:rPr>
      </w:pPr>
      <w:r>
        <w:rPr>
          <w:rFonts w:hint="eastAsia" w:ascii="宋体" w:hAnsi="宋体" w:cs="宋体"/>
          <w:sz w:val="24"/>
        </w:rPr>
        <w:t xml:space="preserve">其他费用：按实支付</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826"/>
      </w:pPr>
      <w:r/>
      <w:bookmarkStart w:id="94" w:name="_Toc203554715"/>
      <w:r/>
      <w:bookmarkStart w:id="95" w:name="_Toc98669336"/>
      <w:r/>
      <w:bookmarkStart w:id="96" w:name="_Toc20732973"/>
      <w:r/>
      <w:bookmarkStart w:id="97" w:name="_Toc92168005"/>
      <w:r/>
      <w:bookmarkStart w:id="98" w:name="_Toc98669694"/>
      <w:r/>
      <w:bookmarkStart w:id="99" w:name="_Toc100386039"/>
      <w:r/>
      <w:bookmarkStart w:id="100" w:name="_Toc209020106"/>
      <w:r>
        <w:t xml:space="preserve">5</w:t>
      </w:r>
      <w:r>
        <w:rPr>
          <w:rFonts w:hint="eastAsia"/>
        </w:rPr>
        <w:t xml:space="preserve">．政策功能</w:t>
      </w:r>
      <w:bookmarkEnd w:id="94"/>
      <w:r/>
      <w:bookmarkEnd w:id="95"/>
      <w:r/>
      <w:bookmarkEnd w:id="96"/>
      <w:r/>
      <w:bookmarkEnd w:id="97"/>
      <w:r/>
      <w:bookmarkEnd w:id="98"/>
      <w:r/>
      <w:bookmarkEnd w:id="99"/>
      <w:r/>
      <w:bookmarkEnd w:id="100"/>
      <w:r/>
      <w:r/>
    </w:p>
    <w:p>
      <w:pPr>
        <w:ind w:firstLine="480"/>
        <w:spacing w:line="360" w:lineRule="auto"/>
        <w:rPr>
          <w:rFonts w:ascii="宋体" w:hAnsi="宋体" w:cs="宋体"/>
          <w:sz w:val="24"/>
        </w:rPr>
      </w:pPr>
      <w:r>
        <w:rPr>
          <w:rFonts w:hint="eastAsia" w:ascii="宋体" w:hAnsi="宋体" w:cs="宋体"/>
          <w:sz w:val="24"/>
        </w:rPr>
        <w:t xml:space="preserve">5.1支持中小企业发展</w:t>
      </w:r>
      <w:r/>
    </w:p>
    <w:p>
      <w:pPr>
        <w:ind w:firstLine="480"/>
        <w:spacing w:line="360" w:lineRule="auto"/>
        <w:rPr>
          <w:rFonts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符合中小企业划分标准的个体工商户，在政府采购活动中视同中小企业。</w:t>
      </w:r>
      <w:r/>
    </w:p>
    <w:p>
      <w:pPr>
        <w:ind w:firstLine="480"/>
        <w:spacing w:line="360" w:lineRule="auto"/>
        <w:rPr>
          <w:rFonts w:ascii="宋体" w:hAnsi="宋体" w:cs="宋体"/>
          <w:sz w:val="24"/>
        </w:rPr>
      </w:pPr>
      <w:r>
        <w:rPr>
          <w:rFonts w:hint="eastAsia" w:ascii="宋体" w:hAnsi="宋体" w:cs="宋体"/>
          <w:sz w:val="24"/>
        </w:rPr>
        <w:t xml:space="preserve">5.1.2在政府采购活动中，投标人提供的货物、工程或者服务符合下列情形的，享受中小企业扶持政策：</w:t>
      </w:r>
      <w:r/>
    </w:p>
    <w:p>
      <w:pPr>
        <w:ind w:firstLine="480"/>
        <w:spacing w:line="360" w:lineRule="auto"/>
        <w:rPr>
          <w:rFonts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cs="宋体"/>
          <w:sz w:val="24"/>
        </w:rPr>
      </w:pPr>
      <w:r>
        <w:rPr>
          <w:rFonts w:hint="eastAsia" w:ascii="宋体" w:hAnsi="宋体" w:cs="宋体"/>
          <w:sz w:val="24"/>
        </w:rPr>
        <w:t xml:space="preserve">5.1.2.2在工程采购项目中，工程由中小企业承建，即工程施工单位为中小企业；</w:t>
      </w:r>
      <w:r/>
    </w:p>
    <w:p>
      <w:pPr>
        <w:ind w:firstLine="480"/>
        <w:spacing w:line="360" w:lineRule="auto"/>
        <w:rPr>
          <w:rFonts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宋体"/>
          <w:sz w:val="24"/>
        </w:rPr>
      </w:pPr>
      <w:r>
        <w:rPr>
          <w:rFonts w:hint="eastAsia" w:ascii="宋体" w:hAnsi="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sz w:val="24"/>
        </w:rPr>
      </w:pPr>
      <w:r>
        <w:rPr>
          <w:rFonts w:hint="eastAsia" w:ascii="宋体" w:hAnsi="宋体" w:cs="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5.2强制采购信息安全产品</w:t>
      </w:r>
      <w:r/>
    </w:p>
    <w:p>
      <w:pPr>
        <w:ind w:firstLine="480"/>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sz w:val="24"/>
        </w:rPr>
      </w:pPr>
      <w:r>
        <w:rPr>
          <w:rFonts w:hint="eastAsia" w:ascii="宋体" w:hAnsi="宋体" w:cs="宋体"/>
          <w:sz w:val="24"/>
        </w:rPr>
        <w:t xml:space="preserve">5.3支持绿色发展</w:t>
      </w:r>
      <w:r/>
    </w:p>
    <w:p>
      <w:pPr>
        <w:ind w:firstLine="480"/>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80"/>
        <w:spacing w:line="360" w:lineRule="auto"/>
        <w:rPr>
          <w:rFonts w:ascii="宋体" w:hAnsi="宋体" w:cs="宋体"/>
          <w:sz w:val="24"/>
        </w:rPr>
      </w:pPr>
      <w:r>
        <w:rPr>
          <w:rFonts w:hint="eastAsia" w:ascii="宋体" w:hAnsi="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宋体"/>
          <w:sz w:val="24"/>
        </w:rPr>
      </w:pPr>
      <w:r>
        <w:rPr>
          <w:rFonts w:hint="eastAsia" w:ascii="宋体" w:hAnsi="宋体" w:cs="宋体"/>
          <w:sz w:val="24"/>
        </w:rPr>
        <w:t xml:space="preserve">5.5支持创新发展</w:t>
      </w:r>
      <w:r/>
    </w:p>
    <w:p>
      <w:pPr>
        <w:ind w:firstLine="480"/>
        <w:spacing w:line="360" w:lineRule="auto"/>
        <w:rPr>
          <w:rFonts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ind w:firstLine="480"/>
        <w:spacing w:line="360" w:lineRule="auto"/>
        <w:rPr>
          <w:rFonts w:ascii="宋体" w:hAnsi="宋体" w:cs="宋体"/>
          <w:sz w:val="24"/>
        </w:rPr>
      </w:pPr>
      <w:r>
        <w:rPr>
          <w:rFonts w:hint="eastAsia" w:ascii="宋体" w:hAnsi="宋体" w:cs="宋体"/>
          <w:sz w:val="24"/>
        </w:rPr>
        <w:t xml:space="preserve">5.6平等对待内外资企业和符合条件的破产重整企业</w:t>
      </w:r>
      <w:r/>
    </w:p>
    <w:p>
      <w:pPr>
        <w:ind w:firstLine="480"/>
        <w:spacing w:line="360" w:lineRule="auto"/>
        <w:rPr>
          <w:rFonts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宋体"/>
          <w:sz w:val="24"/>
        </w:rPr>
      </w:pPr>
      <w:r>
        <w:rPr>
          <w:rFonts w:hint="eastAsia" w:ascii="宋体" w:hAnsi="宋体" w:cs="宋体"/>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360" w:lineRule="auto"/>
        <w:rPr>
          <w:rFonts w:ascii="宋体" w:hAnsi="宋体" w:cs="宋体"/>
          <w:sz w:val="24"/>
        </w:rPr>
      </w:pPr>
      <w:r>
        <w:rPr>
          <w:rFonts w:hint="eastAsia" w:ascii="宋体" w:hAnsi="宋体" w:cs="宋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5"/>
        <w:ind w:left="0"/>
      </w:pPr>
      <w:r/>
      <w:bookmarkStart w:id="101" w:name="_Toc209020107"/>
      <w:r/>
      <w:bookmarkStart w:id="102" w:name="_Toc203554716"/>
      <w:r>
        <w:rPr>
          <w:rFonts w:hint="eastAsia"/>
        </w:rPr>
        <w:t xml:space="preserve">二、招标文件</w:t>
      </w:r>
      <w:bookmarkEnd w:id="101"/>
      <w:r/>
      <w:bookmarkEnd w:id="102"/>
      <w:r/>
      <w:r/>
    </w:p>
    <w:p>
      <w:pPr>
        <w:pStyle w:val="826"/>
      </w:pPr>
      <w:r/>
      <w:bookmarkStart w:id="103" w:name="_Toc209020108"/>
      <w:r/>
      <w:bookmarkStart w:id="104" w:name="_Toc203554717"/>
      <w:r/>
      <w:bookmarkStart w:id="105" w:name="_Toc98669697"/>
      <w:r/>
      <w:bookmarkStart w:id="106" w:name="_Toc100386042"/>
      <w:r/>
      <w:bookmarkStart w:id="107" w:name="_Toc98669339"/>
      <w:r/>
      <w:bookmarkStart w:id="108" w:name="_Toc20732976"/>
      <w:r/>
      <w:bookmarkStart w:id="109" w:name="_Toc92168008"/>
      <w:r>
        <w:t xml:space="preserve">6.</w:t>
      </w:r>
      <w:r>
        <w:rPr>
          <w:rFonts w:hint="eastAsia"/>
        </w:rPr>
        <w:t xml:space="preserve">招标文件组成</w:t>
      </w:r>
      <w:bookmarkEnd w:id="103"/>
      <w:r/>
      <w:bookmarkEnd w:id="104"/>
      <w:r/>
      <w:r/>
    </w:p>
    <w:p>
      <w:pPr>
        <w:ind w:firstLine="480"/>
        <w:spacing w:line="360" w:lineRule="auto"/>
        <w:rPr>
          <w:rFonts w:ascii="宋体" w:hAnsi="宋体" w:cs="宋体"/>
          <w:sz w:val="24"/>
        </w:rPr>
      </w:pPr>
      <w:r>
        <w:rPr>
          <w:rFonts w:hint="eastAsia" w:ascii="宋体" w:hAnsi="宋体" w:cs="宋体"/>
          <w:sz w:val="24"/>
        </w:rPr>
        <w:t xml:space="preserve">6.1 </w:t>
      </w:r>
      <w:r>
        <w:rPr>
          <w:rFonts w:hint="eastAsia" w:ascii="宋体" w:hAnsi="宋体" w:cs="宋体"/>
          <w:color w:val="000000"/>
          <w:sz w:val="24"/>
        </w:rPr>
        <w:t xml:space="preserve">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826"/>
        <w:rPr>
          <w:sz w:val="32"/>
        </w:rPr>
      </w:pPr>
      <w:r/>
      <w:bookmarkStart w:id="110" w:name="_Toc203554718"/>
      <w:r/>
      <w:bookmarkStart w:id="111" w:name="_Toc209020109"/>
      <w:r>
        <w:t xml:space="preserve">7</w:t>
      </w:r>
      <w:r>
        <w:rPr>
          <w:rFonts w:hint="eastAsia"/>
        </w:rPr>
        <w:t xml:space="preserve">．招标文件的澄清</w:t>
      </w:r>
      <w:bookmarkEnd w:id="105"/>
      <w:r/>
      <w:bookmarkEnd w:id="106"/>
      <w:r/>
      <w:bookmarkEnd w:id="107"/>
      <w:r/>
      <w:bookmarkEnd w:id="108"/>
      <w:r/>
      <w:bookmarkEnd w:id="109"/>
      <w:r/>
      <w:bookmarkStart w:id="112" w:name="_Toc98669340"/>
      <w:r/>
      <w:bookmarkStart w:id="113" w:name="_Toc98669698"/>
      <w:r/>
      <w:bookmarkStart w:id="114" w:name="_Toc20732977"/>
      <w:r/>
      <w:bookmarkStart w:id="115" w:name="_Toc100386043"/>
      <w:r/>
      <w:bookmarkStart w:id="116" w:name="_Toc92168009"/>
      <w:r>
        <w:rPr>
          <w:rFonts w:hint="eastAsia"/>
        </w:rPr>
        <w:t xml:space="preserve">和修改</w:t>
      </w:r>
      <w:bookmarkEnd w:id="110"/>
      <w:r/>
      <w:bookmarkEnd w:id="111"/>
      <w:r/>
      <w:bookmarkEnd w:id="112"/>
      <w:r/>
      <w:bookmarkEnd w:id="113"/>
      <w:r/>
      <w:bookmarkEnd w:id="114"/>
      <w:r/>
      <w:bookmarkEnd w:id="115"/>
      <w:r/>
      <w:bookmarkEnd w:id="116"/>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s="宋体"/>
          <w:color w:val="000000"/>
          <w:sz w:val="24"/>
        </w:rPr>
        <w:t xml:space="preserve">投标人应及时自行登录系统查看相应内容。</w:t>
      </w:r>
      <w:r/>
    </w:p>
    <w:p>
      <w:pPr>
        <w:ind w:firstLine="480"/>
        <w:spacing w:line="360" w:lineRule="auto"/>
        <w:rPr>
          <w:rFonts w:ascii="宋体" w:hAnsi="宋体" w:cs="宋体"/>
          <w:b/>
          <w:sz w:val="24"/>
        </w:rPr>
      </w:pPr>
      <w:r>
        <w:rPr>
          <w:rFonts w:hint="eastAsia" w:ascii="宋体" w:hAnsi="宋体" w:cs="宋体"/>
          <w:sz w:val="24"/>
        </w:rPr>
        <w:t xml:space="preserve">7.5 </w:t>
      </w:r>
      <w:r>
        <w:rPr>
          <w:rFonts w:hint="eastAsia" w:ascii="宋体" w:hAnsi="宋体" w:cs="宋体"/>
          <w:b/>
          <w:sz w:val="24"/>
        </w:rPr>
        <w:t xml:space="preserve">如澄清或修改公告有重新发布招标文件的，投标人应下载最新发布的招标文件制作投标文件。因投标人自身原因未能及时获取的，一切后果由投标人自行承担。</w:t>
      </w:r>
      <w:r/>
    </w:p>
    <w:p>
      <w:pPr>
        <w:pStyle w:val="855"/>
        <w:ind w:left="0"/>
        <w:rPr>
          <w:rFonts w:cs="Times New Roman"/>
        </w:rPr>
      </w:pPr>
      <w:r/>
      <w:bookmarkStart w:id="117" w:name="_Toc203554719"/>
      <w:r/>
      <w:bookmarkStart w:id="118" w:name="_Toc209020110"/>
      <w:r>
        <w:rPr>
          <w:rFonts w:hint="eastAsia"/>
        </w:rPr>
        <w:t xml:space="preserve">三、投标文件</w:t>
      </w:r>
      <w:bookmarkEnd w:id="117"/>
      <w:r/>
      <w:bookmarkEnd w:id="118"/>
      <w:r/>
      <w:r/>
    </w:p>
    <w:p>
      <w:pPr>
        <w:pStyle w:val="826"/>
      </w:pPr>
      <w:r/>
      <w:bookmarkStart w:id="119" w:name="_Toc209020111"/>
      <w:r/>
      <w:bookmarkStart w:id="120" w:name="_Toc203554720"/>
      <w:r>
        <w:t xml:space="preserve">8.</w:t>
      </w:r>
      <w:r>
        <w:rPr>
          <w:rFonts w:hint="eastAsia"/>
        </w:rPr>
        <w:t xml:space="preserve">编制投标文件的工具</w:t>
      </w:r>
      <w:bookmarkEnd w:id="119"/>
      <w:r/>
      <w:bookmarkEnd w:id="120"/>
      <w:r/>
      <w:r/>
    </w:p>
    <w:p>
      <w:pPr>
        <w:ind w:firstLine="480"/>
        <w:spacing w:line="360" w:lineRule="auto"/>
        <w:rPr>
          <w:rFonts w:ascii="宋体" w:hAnsi="宋体" w:cs="宋体"/>
          <w:sz w:val="24"/>
        </w:rPr>
      </w:pPr>
      <w:r>
        <w:rPr>
          <w:rFonts w:hint="eastAsia" w:ascii="宋体" w:hAnsi="宋体" w:cs="宋体"/>
          <w:sz w:val="24"/>
        </w:rPr>
        <w:t xml:space="preserve">8.1 投标人须通过《“苏采云”系统供应商操作手册》中指定的最新响应文件制作软件编制投标文件。</w:t>
      </w:r>
      <w:r/>
    </w:p>
    <w:p>
      <w:pPr>
        <w:pStyle w:val="826"/>
        <w:rPr>
          <w:sz w:val="32"/>
        </w:rPr>
      </w:pPr>
      <w:r/>
      <w:bookmarkStart w:id="121" w:name="_Toc203554721"/>
      <w:r/>
      <w:bookmarkStart w:id="122" w:name="_Toc209020112"/>
      <w:r>
        <w:t xml:space="preserve">9.</w:t>
      </w:r>
      <w:r>
        <w:rPr>
          <w:rFonts w:hint="eastAsia"/>
        </w:rPr>
        <w:t xml:space="preserve">投标文件语言及度量衡单位</w:t>
      </w:r>
      <w:bookmarkEnd w:id="121"/>
      <w:r/>
      <w:bookmarkEnd w:id="122"/>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826"/>
      </w:pPr>
      <w:r/>
      <w:bookmarkStart w:id="123" w:name="_Toc203554722"/>
      <w:r/>
      <w:bookmarkStart w:id="124" w:name="_Toc209020113"/>
      <w:r>
        <w:t xml:space="preserve">10.</w:t>
      </w:r>
      <w:r>
        <w:rPr>
          <w:rFonts w:hint="eastAsia"/>
        </w:rPr>
        <w:t xml:space="preserve">投标文件的构成</w:t>
      </w:r>
      <w:bookmarkEnd w:id="123"/>
      <w:r/>
      <w:bookmarkEnd w:id="124"/>
      <w:r/>
      <w:r/>
    </w:p>
    <w:p>
      <w:pPr>
        <w:pStyle w:val="860"/>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860"/>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860"/>
        <w:ind w:firstLine="425"/>
        <w:spacing w:line="360" w:lineRule="auto"/>
        <w:widowControl/>
        <w:rPr>
          <w:rFonts w:ascii="宋体" w:hAnsi="宋体" w:cs="宋体"/>
          <w:sz w:val="24"/>
        </w:rPr>
      </w:pPr>
      <w:r>
        <w:rPr>
          <w:rFonts w:hint="eastAsia" w:ascii="宋体" w:hAnsi="宋体" w:cs="宋体"/>
          <w:sz w:val="24"/>
        </w:rPr>
        <w:t xml:space="preserve">10.3 商务部分系指投标人提交的证明其中标后有能力履行合同的文件。</w:t>
      </w:r>
      <w:r/>
    </w:p>
    <w:p>
      <w:pPr>
        <w:pStyle w:val="860"/>
        <w:ind w:firstLine="425"/>
        <w:spacing w:line="360" w:lineRule="auto"/>
        <w:widowControl/>
        <w:rPr>
          <w:rFonts w:ascii="宋体" w:hAnsi="宋体" w:cs="宋体"/>
          <w:sz w:val="24"/>
        </w:rPr>
      </w:pPr>
      <w:r>
        <w:rPr>
          <w:rFonts w:hint="eastAsia" w:ascii="宋体" w:hAnsi="宋体" w:cs="宋体"/>
          <w:sz w:val="24"/>
        </w:rPr>
        <w:t xml:space="preserve">10.4 技术部分系指投标人提交的能够证明投标人提供的货物（服务）符合招标文件规定的文件。</w:t>
      </w:r>
      <w:r/>
    </w:p>
    <w:p>
      <w:pPr>
        <w:pStyle w:val="860"/>
        <w:ind w:firstLine="425"/>
        <w:spacing w:line="360" w:lineRule="auto"/>
        <w:widowControl/>
        <w:rPr>
          <w:rFonts w:ascii="宋体" w:hAnsi="宋体" w:cs="宋体"/>
          <w:sz w:val="24"/>
        </w:rPr>
      </w:pPr>
      <w:r>
        <w:rPr>
          <w:rFonts w:hint="eastAsia" w:ascii="宋体" w:hAnsi="宋体" w:cs="宋体"/>
          <w:sz w:val="24"/>
        </w:rPr>
        <w:t xml:space="preserve">10.5 具体填写格式详见招标文件第六部分。</w:t>
      </w:r>
      <w:r/>
    </w:p>
    <w:p>
      <w:pPr>
        <w:pStyle w:val="826"/>
        <w:rPr>
          <w:sz w:val="32"/>
        </w:rPr>
      </w:pPr>
      <w:r/>
      <w:bookmarkStart w:id="125" w:name="_Toc209020114"/>
      <w:r/>
      <w:bookmarkStart w:id="126" w:name="_Toc203554723"/>
      <w:r>
        <w:t xml:space="preserve">11</w:t>
      </w:r>
      <w:r>
        <w:rPr>
          <w:rFonts w:hint="eastAsia"/>
        </w:rPr>
        <w:t xml:space="preserve">．投标文件的编制</w:t>
      </w:r>
      <w:bookmarkEnd w:id="125"/>
      <w:r/>
      <w:bookmarkEnd w:id="126"/>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826"/>
        <w:rPr>
          <w:sz w:val="32"/>
        </w:rPr>
      </w:pPr>
      <w:r/>
      <w:bookmarkStart w:id="127" w:name="_Toc209020115"/>
      <w:r/>
      <w:bookmarkStart w:id="128" w:name="_Toc203554724"/>
      <w:r/>
      <w:bookmarkStart w:id="129" w:name="_Hlk176794245"/>
      <w:r>
        <w:t xml:space="preserve">12</w:t>
      </w:r>
      <w:r>
        <w:rPr>
          <w:rFonts w:hint="eastAsia"/>
        </w:rPr>
        <w:t xml:space="preserve">．报价要求</w:t>
      </w:r>
      <w:bookmarkEnd w:id="127"/>
      <w:r/>
      <w:bookmarkEnd w:id="128"/>
      <w:r/>
      <w:r/>
    </w:p>
    <w:p>
      <w:pPr>
        <w:ind w:firstLine="482"/>
        <w:spacing w:line="360" w:lineRule="auto"/>
        <w:rPr>
          <w:rFonts w:ascii="宋体" w:hAnsi="宋体" w:cs="宋体"/>
          <w:sz w:val="24"/>
        </w:rPr>
      </w:pPr>
      <w:r>
        <w:rPr>
          <w:rFonts w:hint="eastAsia" w:ascii="宋体" w:hAnsi="宋体" w:cs="宋体"/>
          <w:sz w:val="24"/>
        </w:rPr>
        <w:t xml:space="preserve">12.1投标应以人民币报价（保留至小数点后 2 位，四舍五入）。  </w:t>
      </w:r>
      <w:r/>
    </w:p>
    <w:p>
      <w:pPr>
        <w:ind w:firstLine="482"/>
        <w:spacing w:line="360" w:lineRule="auto"/>
        <w:rPr>
          <w:rFonts w:ascii="宋体" w:hAnsi="宋体" w:cs="宋体"/>
          <w:sz w:val="24"/>
        </w:rPr>
      </w:pPr>
      <w:r>
        <w:rPr>
          <w:rFonts w:hint="eastAsia" w:ascii="宋体" w:hAnsi="宋体" w:cs="宋体"/>
          <w:sz w:val="24"/>
        </w:rPr>
        <w:t xml:space="preserve">12.2投标人应按招标文件所提供的各报价表格式报价。  </w:t>
      </w:r>
      <w:r/>
    </w:p>
    <w:p>
      <w:pPr>
        <w:ind w:firstLine="482"/>
        <w:spacing w:line="360" w:lineRule="auto"/>
        <w:rPr>
          <w:rFonts w:ascii="宋体" w:hAnsi="宋体" w:cs="宋体"/>
          <w:sz w:val="24"/>
        </w:rPr>
      </w:pPr>
      <w:r>
        <w:rPr>
          <w:rFonts w:hint="eastAsia" w:ascii="宋体" w:hAnsi="宋体" w:cs="宋体"/>
          <w:sz w:val="24"/>
        </w:rPr>
        <w:t xml:space="preserve">12.3</w:t>
      </w:r>
      <w:bookmarkStart w:id="130" w:name="_Hlk177047477"/>
      <w:r>
        <w:rPr>
          <w:rFonts w:hint="eastAsia" w:ascii="宋体" w:hAnsi="宋体" w:cs="宋体"/>
          <w:sz w:val="24"/>
        </w:rPr>
        <w:t xml:space="preserve">投标人应对本项目报出最具有竞争力的价格，应包括本次招标要求提供的货物（服务）已支付或将支付的所有费用（含税费）。同时，除非合同条款中另有规定，否则，此部分投标人所报价格在合同实施期间不因市场变化因素而变动。</w:t>
      </w:r>
      <w:bookmarkEnd w:id="130"/>
      <w:r/>
      <w:r/>
    </w:p>
    <w:p>
      <w:pPr>
        <w:ind w:firstLine="482"/>
        <w:spacing w:line="360" w:lineRule="auto"/>
        <w:rPr>
          <w:rFonts w:ascii="宋体" w:hAnsi="宋体" w:cs="宋体"/>
          <w:sz w:val="24"/>
        </w:rPr>
      </w:pPr>
      <w:r>
        <w:rPr>
          <w:rFonts w:hint="eastAsia" w:ascii="宋体" w:hAnsi="宋体" w:cs="宋体"/>
          <w:sz w:val="24"/>
        </w:rPr>
        <w:t xml:space="preserve">12.4最低投标报价不能作为中标的唯一保证。  </w:t>
      </w:r>
      <w:r/>
    </w:p>
    <w:p>
      <w:pPr>
        <w:ind w:firstLine="482"/>
        <w:spacing w:line="360" w:lineRule="auto"/>
        <w:rPr>
          <w:rFonts w:ascii="宋体" w:hAnsi="宋体" w:cs="宋体"/>
          <w:sz w:val="24"/>
        </w:rPr>
      </w:pPr>
      <w:r>
        <w:rPr>
          <w:rFonts w:hint="eastAsia" w:ascii="宋体" w:hAnsi="宋体" w:cs="宋体"/>
          <w:sz w:val="24"/>
        </w:rPr>
        <w:t xml:space="preserve">12.5中标价即为合同签约价。  </w:t>
      </w:r>
      <w:r/>
    </w:p>
    <w:p>
      <w:pPr>
        <w:ind w:firstLine="482"/>
        <w:spacing w:line="360" w:lineRule="auto"/>
        <w:rPr>
          <w:rFonts w:ascii="宋体" w:hAnsi="宋体" w:cs="宋体"/>
          <w:sz w:val="24"/>
        </w:rPr>
      </w:pPr>
      <w:r>
        <w:rPr>
          <w:rFonts w:hint="eastAsia" w:ascii="宋体" w:hAnsi="宋体" w:cs="宋体"/>
          <w:sz w:val="24"/>
        </w:rPr>
        <w:t xml:space="preserve">12.6</w:t>
      </w:r>
      <w:r>
        <w:rPr>
          <w:rFonts w:hint="eastAsia" w:ascii="宋体" w:hAnsi="宋体" w:cs="宋体"/>
          <w:b/>
          <w:bCs/>
          <w:sz w:val="24"/>
        </w:rPr>
        <w:t xml:space="preserve">如出现报价前后不一致的，将按招标文件第五部分“评标办法和标准”第 5 项规定进行修正。</w:t>
      </w:r>
      <w:bookmarkEnd w:id="129"/>
      <w:r/>
      <w:r/>
    </w:p>
    <w:p>
      <w:pPr>
        <w:pStyle w:val="826"/>
        <w:rPr>
          <w:sz w:val="32"/>
        </w:rPr>
      </w:pPr>
      <w:r/>
      <w:bookmarkStart w:id="131" w:name="_Toc203554725"/>
      <w:r/>
      <w:bookmarkStart w:id="132" w:name="_Toc209020116"/>
      <w:r>
        <w:t xml:space="preserve">13</w:t>
      </w:r>
      <w:r>
        <w:rPr>
          <w:rFonts w:hint="eastAsia"/>
        </w:rPr>
        <w:t xml:space="preserve">．投标保证金</w:t>
      </w:r>
      <w:bookmarkEnd w:id="131"/>
      <w:r/>
      <w:bookmarkEnd w:id="132"/>
      <w:r/>
      <w:r/>
    </w:p>
    <w:p>
      <w:pPr>
        <w:ind w:left="1" w:firstLine="480"/>
        <w:spacing w:line="360" w:lineRule="auto"/>
        <w:rPr>
          <w:rFonts w:ascii="宋体" w:hAnsi="宋体" w:cs="宋体"/>
          <w:sz w:val="24"/>
        </w:rPr>
      </w:pPr>
      <w:r>
        <w:rPr>
          <w:rFonts w:hint="eastAsia" w:ascii="宋体" w:hAnsi="宋体" w:cs="宋体"/>
          <w:sz w:val="24"/>
        </w:rPr>
        <w:t xml:space="preserve">13.1 本项目不收投标保证金。</w:t>
      </w:r>
      <w:r/>
    </w:p>
    <w:p>
      <w:pPr>
        <w:pStyle w:val="826"/>
        <w:rPr>
          <w:sz w:val="32"/>
        </w:rPr>
      </w:pPr>
      <w:r/>
      <w:bookmarkStart w:id="133" w:name="_Toc209020117"/>
      <w:r/>
      <w:bookmarkStart w:id="134" w:name="_Toc203554726"/>
      <w:r>
        <w:t xml:space="preserve">14</w:t>
      </w:r>
      <w:r>
        <w:rPr>
          <w:rFonts w:hint="eastAsia"/>
        </w:rPr>
        <w:t xml:space="preserve">．投标有效期</w:t>
      </w:r>
      <w:bookmarkEnd w:id="133"/>
      <w:r/>
      <w:bookmarkEnd w:id="134"/>
      <w:r/>
      <w:r/>
    </w:p>
    <w:p>
      <w:pPr>
        <w:ind w:firstLine="480"/>
        <w:spacing w:line="360" w:lineRule="auto"/>
        <w:rPr>
          <w:rFonts w:ascii="宋体" w:hAnsi="宋体" w:cs="宋体"/>
          <w:sz w:val="24"/>
        </w:rPr>
      </w:pPr>
      <w:r>
        <w:rPr>
          <w:rFonts w:hint="eastAsia" w:ascii="宋体" w:hAnsi="宋体" w:cs="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26"/>
        <w:rPr>
          <w:sz w:val="32"/>
        </w:rPr>
      </w:pPr>
      <w:r/>
      <w:bookmarkStart w:id="135" w:name="_Toc203554727"/>
      <w:r/>
      <w:bookmarkStart w:id="136" w:name="_Toc209020118"/>
      <w:r>
        <w:t xml:space="preserve">15.</w:t>
      </w:r>
      <w:r>
        <w:rPr>
          <w:rFonts w:hint="eastAsia"/>
        </w:rPr>
        <w:t xml:space="preserve">投标文件的式样和签署</w:t>
      </w:r>
      <w:bookmarkEnd w:id="135"/>
      <w:r/>
      <w:bookmarkEnd w:id="136"/>
      <w:r/>
      <w:r/>
    </w:p>
    <w:p>
      <w:pPr>
        <w:ind w:firstLine="420"/>
        <w:spacing w:line="360" w:lineRule="auto"/>
        <w:rPr>
          <w:rFonts w:ascii="宋体" w:hAnsi="宋体" w:cs="宋体"/>
          <w:sz w:val="24"/>
        </w:rPr>
      </w:pPr>
      <w:r>
        <w:rPr>
          <w:rFonts w:hint="eastAsia" w:ascii="宋体" w:hAnsi="宋体" w:cs="宋体"/>
          <w:sz w:val="24"/>
        </w:rPr>
        <w:t xml:space="preserve">15.1 投标人应通过响应文件制作软件使用数字认证证书对投标文件进行合成、电子签章及加密打包。</w:t>
      </w:r>
      <w:r/>
    </w:p>
    <w:p>
      <w:pPr>
        <w:pStyle w:val="826"/>
        <w:rPr>
          <w:sz w:val="32"/>
        </w:rPr>
      </w:pPr>
      <w:r/>
      <w:bookmarkStart w:id="137" w:name="_Toc209020119"/>
      <w:r/>
      <w:bookmarkStart w:id="138" w:name="_Toc203554728"/>
      <w:r>
        <w:t xml:space="preserve">16</w:t>
      </w:r>
      <w:r>
        <w:rPr>
          <w:rFonts w:hint="eastAsia"/>
        </w:rPr>
        <w:t xml:space="preserve">．投标文件的提交</w:t>
      </w:r>
      <w:bookmarkEnd w:id="137"/>
      <w:r/>
      <w:bookmarkEnd w:id="138"/>
      <w:r/>
      <w:r/>
    </w:p>
    <w:p>
      <w:pPr>
        <w:ind w:left="1" w:firstLine="480"/>
        <w:spacing w:line="360" w:lineRule="auto"/>
        <w:rPr>
          <w:rFonts w:ascii="宋体" w:hAnsi="宋体" w:cs="宋体"/>
          <w:sz w:val="24"/>
        </w:rPr>
      </w:pPr>
      <w:r>
        <w:rPr>
          <w:rFonts w:hint="eastAsia" w:ascii="宋体" w:hAnsi="宋体" w:cs="宋体"/>
          <w:sz w:val="24"/>
        </w:rPr>
        <w:t xml:space="preserve">16.1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cs="宋体"/>
          <w:b/>
          <w:sz w:val="24"/>
          <w:u w:val="single"/>
        </w:rPr>
        <w:t xml:space="preserve">时间以电子交易平台时间为准。</w:t>
      </w:r>
      <w:r/>
    </w:p>
    <w:p>
      <w:pPr>
        <w:ind w:left="1" w:firstLine="480"/>
        <w:spacing w:line="360" w:lineRule="auto"/>
        <w:rPr>
          <w:rFonts w:ascii="宋体" w:hAnsi="宋体" w:cs="宋体"/>
          <w:b/>
          <w:sz w:val="24"/>
          <w:u w:val="single"/>
        </w:rPr>
      </w:pPr>
      <w:r>
        <w:rPr>
          <w:rFonts w:hint="eastAsia" w:ascii="宋体" w:hAnsi="宋体" w:cs="宋体"/>
          <w:sz w:val="24"/>
        </w:rPr>
        <w:t xml:space="preserve">16.1.2 </w:t>
      </w:r>
      <w:r>
        <w:rPr>
          <w:rFonts w:hint="eastAsia" w:ascii="宋体" w:hAnsi="宋体" w:cs="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16.1.3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16.1.4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16.1.5因不可抗力事件造成的投标文件的损坏、丢失的，采购代理机构不承担责任。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cs="宋体"/>
          <w:sz w:val="24"/>
        </w:rPr>
        <w:t xml:space="preserve">原公告媒体</w:t>
      </w:r>
      <w:r>
        <w:rPr>
          <w:rFonts w:hint="eastAsia" w:ascii="宋体" w:hAnsi="宋体" w:cs="宋体"/>
          <w:color w:val="000000"/>
          <w:sz w:val="24"/>
        </w:rPr>
        <w:t xml:space="preserve">上发布公告。投标人应及时自行登录系统查看相应内容。</w:t>
      </w:r>
      <w:r/>
    </w:p>
    <w:p>
      <w:pPr>
        <w:pStyle w:val="826"/>
        <w:rPr>
          <w:sz w:val="32"/>
        </w:rPr>
      </w:pPr>
      <w:r/>
      <w:bookmarkStart w:id="139" w:name="_Toc203554729"/>
      <w:r/>
      <w:bookmarkStart w:id="140" w:name="_Toc209020120"/>
      <w:r>
        <w:t xml:space="preserve">17</w:t>
      </w:r>
      <w:r>
        <w:rPr>
          <w:rFonts w:hint="eastAsia"/>
        </w:rPr>
        <w:t xml:space="preserve">．投标文件的补充、修改或者撤回</w:t>
      </w:r>
      <w:bookmarkEnd w:id="139"/>
      <w:r/>
      <w:bookmarkEnd w:id="140"/>
      <w:r/>
      <w:r/>
    </w:p>
    <w:p>
      <w:pPr>
        <w:ind w:firstLine="480"/>
        <w:spacing w:line="360" w:lineRule="auto"/>
        <w:rPr>
          <w:rFonts w:ascii="宋体" w:hAnsi="宋体" w:cs="宋体"/>
          <w:color w:val="000000"/>
          <w:sz w:val="24"/>
        </w:rPr>
      </w:pPr>
      <w:r>
        <w:rPr>
          <w:rFonts w:hint="eastAsia" w:ascii="宋体" w:hAnsi="宋体" w:cs="宋体"/>
          <w:color w:val="000000"/>
          <w:sz w:val="24"/>
        </w:rPr>
        <w:t xml:space="preserve">17.1 在提交截止时间前，投标人可以对所提交的投标文件进行补充、修改或者撤回。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宋体" w:hAnsi="宋体" w:cs="宋体"/>
          <w:color w:val="000000"/>
          <w:sz w:val="24"/>
        </w:rPr>
      </w:pPr>
      <w:r/>
      <w:bookmarkStart w:id="141" w:name="OLE_LINK34"/>
      <w:r/>
      <w:bookmarkStart w:id="142" w:name="OLE_LINK33"/>
      <w:r>
        <w:rPr>
          <w:rFonts w:hint="eastAsia" w:ascii="宋体" w:hAnsi="宋体" w:cs="宋体"/>
          <w:color w:val="000000"/>
          <w:sz w:val="24"/>
        </w:rPr>
        <w:t xml:space="preserve">17.3 在提交截止时间之后，投标人不得对其投标文件作任何修改或撤回。</w:t>
      </w:r>
      <w:bookmarkEnd w:id="141"/>
      <w:r/>
      <w:bookmarkEnd w:id="142"/>
      <w:r/>
      <w:r/>
    </w:p>
    <w:p>
      <w:pPr>
        <w:ind w:firstLine="480"/>
        <w:rPr>
          <w:rFonts w:ascii="宋体" w:hAnsi="宋体"/>
          <w:sz w:val="28"/>
          <w:szCs w:val="28"/>
        </w:rPr>
      </w:pPr>
      <w:r>
        <w:rPr>
          <w:rFonts w:hint="eastAsia" w:ascii="宋体" w:hAnsi="宋体" w:cs="宋体"/>
          <w:color w:val="000000"/>
          <w:sz w:val="24"/>
        </w:rPr>
        <w:t xml:space="preserve">17.4 在提交截止时间至招标文件中规定的投标有效期满之间，投标人不得撤回其投标。</w:t>
      </w:r>
      <w:r/>
    </w:p>
    <w:p>
      <w:pPr>
        <w:pStyle w:val="825"/>
      </w:pPr>
      <w:r/>
      <w:bookmarkStart w:id="143" w:name="_Toc203554730"/>
      <w:r/>
      <w:bookmarkStart w:id="144" w:name="_Toc209020121"/>
      <w:r>
        <w:rPr>
          <w:rFonts w:hint="eastAsia"/>
        </w:rPr>
        <w:t xml:space="preserve">四、开标及评标</w:t>
      </w:r>
      <w:bookmarkEnd w:id="143"/>
      <w:r/>
      <w:bookmarkEnd w:id="144"/>
      <w:r/>
      <w:r/>
    </w:p>
    <w:p>
      <w:pPr>
        <w:pStyle w:val="826"/>
      </w:pPr>
      <w:r/>
      <w:bookmarkStart w:id="145" w:name="_Toc203554731"/>
      <w:r/>
      <w:bookmarkStart w:id="146" w:name="_Toc209020122"/>
      <w:r>
        <w:t xml:space="preserve">18</w:t>
      </w:r>
      <w:r>
        <w:rPr>
          <w:rFonts w:hint="eastAsia"/>
        </w:rPr>
        <w:t xml:space="preserve">．开标</w:t>
      </w:r>
      <w:bookmarkEnd w:id="145"/>
      <w:r/>
      <w:bookmarkEnd w:id="146"/>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18.1 采购代理机构将按招标文件规定的时间、地点主持开标。</w:t>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18.2 投标人应当在开标前做好充分准备，使用制作该投标文件的同一数字认证证书准时参加开标。</w:t>
      </w:r>
      <w:r/>
    </w:p>
    <w:p>
      <w:pPr>
        <w:ind w:left="1" w:firstLine="482"/>
        <w:spacing w:line="360" w:lineRule="auto"/>
        <w:rPr>
          <w:rFonts w:ascii="宋体" w:hAnsi="宋体" w:cs="宋体"/>
          <w:b/>
          <w:color w:val="000000"/>
          <w:sz w:val="24"/>
        </w:rPr>
      </w:pPr>
      <w:r>
        <w:rPr>
          <w:rFonts w:hint="eastAsia" w:ascii="宋体" w:hAnsi="宋体" w:cs="宋体"/>
          <w:b/>
          <w:color w:val="000000"/>
          <w:sz w:val="24"/>
        </w:rPr>
        <w:t xml:space="preserve">18.3 投标人不足3家，不进入解密程序。</w:t>
      </w:r>
      <w:r/>
    </w:p>
    <w:p>
      <w:pPr>
        <w:ind w:left="1" w:firstLine="480"/>
        <w:spacing w:line="360" w:lineRule="auto"/>
        <w:rPr>
          <w:rFonts w:ascii="宋体" w:hAnsi="宋体" w:cs="宋体"/>
          <w:sz w:val="24"/>
        </w:rPr>
      </w:pPr>
      <w:r>
        <w:rPr>
          <w:rFonts w:hint="eastAsia" w:ascii="宋体" w:hAnsi="宋体" w:cs="宋体"/>
          <w:color w:val="000000"/>
          <w:sz w:val="24"/>
        </w:rPr>
        <w:t xml:space="preserve">18.4</w:t>
      </w:r>
      <w:r>
        <w:rPr>
          <w:rFonts w:hint="eastAsia" w:ascii="宋体" w:hAnsi="宋体" w:cs="宋体"/>
          <w:sz w:val="24"/>
        </w:rPr>
        <w:t xml:space="preserve"> 开标时，采购代理机构将在系统内发出解密的指令，投标人自行实施解密，限定在主持人发布解密指令后</w:t>
      </w:r>
      <w:r>
        <w:rPr>
          <w:rFonts w:hint="eastAsia" w:ascii="宋体" w:hAnsi="宋体" w:cs="宋体"/>
          <w:b/>
          <w:bCs/>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color w:val="000000"/>
          <w:sz w:val="24"/>
        </w:rPr>
        <w:t xml:space="preserve">18.</w:t>
      </w:r>
      <w:r>
        <w:rPr>
          <w:rFonts w:hint="eastAsia" w:ascii="宋体" w:hAnsi="宋体" w:cs="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18.6本项目在限定的解密时间内，只要有任一家投标人解密成功，即视为电子交易平台运行无故障。</w:t>
      </w:r>
      <w:r/>
    </w:p>
    <w:p>
      <w:pPr>
        <w:ind w:left="1" w:firstLine="480"/>
        <w:spacing w:line="360" w:lineRule="auto"/>
        <w:rPr>
          <w:rFonts w:ascii="宋体" w:hAnsi="宋体" w:cs="宋体"/>
          <w:color w:val="4bacc6" w:themeColor="accent5"/>
          <w:sz w:val="24"/>
          <w14:textFill>
            <w14:solidFill>
              <w14:schemeClr w14:val="accent5"/>
            </w14:solidFill>
          </w14:textFill>
        </w:rPr>
      </w:pPr>
      <w:r>
        <w:rPr>
          <w:rFonts w:hint="eastAsia" w:ascii="宋体" w:hAnsi="宋体" w:cs="宋体"/>
          <w:color w:val="000000"/>
          <w:sz w:val="24"/>
        </w:rPr>
        <w:t xml:space="preserve">18.7 </w:t>
      </w:r>
      <w:r>
        <w:rPr>
          <w:rFonts w:hint="eastAsia" w:ascii="宋体" w:hAnsi="宋体" w:cs="宋体"/>
          <w:sz w:val="24"/>
        </w:rPr>
        <w:t xml:space="preserve">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color w:val="000000"/>
          <w:sz w:val="24"/>
        </w:rPr>
        <w:t xml:space="preserve">18.8 </w:t>
      </w:r>
      <w:r>
        <w:rPr>
          <w:rFonts w:hint="eastAsia" w:ascii="宋体" w:hAnsi="宋体" w:cs="宋体"/>
          <w:sz w:val="24"/>
        </w:rPr>
        <w:t xml:space="preserve">电子交易平台自动记录开标过程，由参加开标的各投标人代表和相关工作人员确认开标结果。</w:t>
      </w:r>
      <w:r/>
    </w:p>
    <w:p>
      <w:pPr>
        <w:ind w:left="1" w:firstLine="480"/>
        <w:spacing w:line="360" w:lineRule="auto"/>
        <w:rPr>
          <w:rFonts w:ascii="宋体" w:hAnsi="宋体" w:cs="宋体"/>
          <w:sz w:val="24"/>
        </w:rPr>
      </w:pPr>
      <w:r>
        <w:rPr>
          <w:rFonts w:hint="eastAsia" w:ascii="宋体" w:hAnsi="宋体" w:cs="宋体"/>
          <w:color w:val="000000"/>
          <w:sz w:val="24"/>
        </w:rPr>
        <w:t xml:space="preserve">18.9</w:t>
      </w:r>
      <w:r>
        <w:rPr>
          <w:rFonts w:hint="eastAsia" w:ascii="宋体" w:hAnsi="宋体" w:cs="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sz w:val="24"/>
        </w:rPr>
      </w:pPr>
      <w:r>
        <w:rPr>
          <w:rFonts w:hint="eastAsia" w:ascii="宋体" w:hAnsi="宋体" w:cs="宋体"/>
          <w:color w:val="000000"/>
          <w:sz w:val="24"/>
        </w:rPr>
        <w:t xml:space="preserve">18.10</w:t>
      </w:r>
      <w:r>
        <w:rPr>
          <w:rFonts w:hint="eastAsia" w:ascii="宋体" w:hAnsi="宋体" w:cs="宋体"/>
          <w:sz w:val="24"/>
        </w:rPr>
        <w:t xml:space="preserve"> 投标人须配合开标工作，否则一切后果由投标人自行承担。</w:t>
      </w:r>
      <w:r/>
    </w:p>
    <w:p>
      <w:pPr>
        <w:pStyle w:val="826"/>
        <w:rPr>
          <w:sz w:val="32"/>
        </w:rPr>
      </w:pPr>
      <w:r/>
      <w:bookmarkStart w:id="147" w:name="_Toc203554732"/>
      <w:r/>
      <w:bookmarkStart w:id="148" w:name="_Toc209020123"/>
      <w:r>
        <w:t xml:space="preserve">19.</w:t>
      </w:r>
      <w:r>
        <w:rPr>
          <w:rFonts w:hint="eastAsia"/>
        </w:rPr>
        <w:t xml:space="preserve">投标人资格审查</w:t>
      </w:r>
      <w:bookmarkEnd w:id="147"/>
      <w:r/>
      <w:bookmarkEnd w:id="148"/>
      <w:r/>
      <w:r/>
    </w:p>
    <w:p>
      <w:pPr>
        <w:pStyle w:val="830"/>
        <w:ind w:firstLine="480"/>
        <w:spacing w:line="360" w:lineRule="auto"/>
        <w:rPr>
          <w:rFonts w:ascii="宋体" w:hAnsi="宋体" w:cs="宋体"/>
          <w:b/>
          <w:color w:val="000000"/>
          <w:sz w:val="24"/>
        </w:rPr>
      </w:pPr>
      <w:r>
        <w:rPr>
          <w:rFonts w:hint="eastAsia" w:ascii="宋体" w:hAnsi="宋体" w:cs="宋体"/>
          <w:color w:val="000000"/>
          <w:sz w:val="24"/>
        </w:rPr>
        <w:t xml:space="preserve">19.1 开标结束后，采购人或者采购代理机构将依法对投标人的资格进行审查。</w:t>
      </w:r>
      <w:r>
        <w:rPr>
          <w:rFonts w:hint="eastAsia" w:ascii="宋体" w:hAnsi="宋体" w:cs="宋体"/>
          <w:b/>
          <w:color w:val="000000"/>
          <w:sz w:val="24"/>
        </w:rPr>
        <w:t xml:space="preserve">合格投标人不足3家的，不进入后续程序。</w:t>
      </w:r>
      <w:r/>
    </w:p>
    <w:p>
      <w:pPr>
        <w:pStyle w:val="826"/>
        <w:rPr>
          <w:sz w:val="32"/>
        </w:rPr>
      </w:pPr>
      <w:r/>
      <w:bookmarkStart w:id="149" w:name="_Toc203554733"/>
      <w:r/>
      <w:bookmarkStart w:id="150" w:name="_Toc209020124"/>
      <w:r>
        <w:t xml:space="preserve">20</w:t>
      </w:r>
      <w:r>
        <w:rPr>
          <w:rFonts w:hint="eastAsia"/>
        </w:rPr>
        <w:t xml:space="preserve">．评标委员会组成</w:t>
      </w:r>
      <w:bookmarkEnd w:id="149"/>
      <w:r/>
      <w:bookmarkEnd w:id="150"/>
      <w:r/>
      <w:r/>
    </w:p>
    <w:p>
      <w:pPr>
        <w:ind w:firstLine="480"/>
        <w:spacing w:line="360" w:lineRule="auto"/>
        <w:rPr>
          <w:rFonts w:ascii="宋体" w:hAnsi="宋体" w:cs="宋体"/>
          <w:sz w:val="24"/>
        </w:rPr>
      </w:pPr>
      <w:r>
        <w:rPr>
          <w:rFonts w:hint="eastAsia" w:ascii="宋体" w:hAnsi="宋体" w:cs="宋体"/>
          <w:sz w:val="24"/>
        </w:rPr>
        <w:t xml:space="preserve">20.1 评标委员会由采购人代表和评审专家组成，成员人数应当为5人以上单数，其中评审专家不得少于成员总数的三分之二。</w:t>
      </w:r>
      <w:r/>
    </w:p>
    <w:p>
      <w:pPr>
        <w:pStyle w:val="855"/>
        <w:ind w:left="0"/>
      </w:pPr>
      <w:r/>
      <w:bookmarkStart w:id="151" w:name="_Toc209020125"/>
      <w:r>
        <w:rPr>
          <w:rFonts w:hint="eastAsia"/>
        </w:rPr>
        <w:t xml:space="preserve">四、开标及评标</w:t>
      </w:r>
      <w:bookmarkEnd w:id="151"/>
      <w:r/>
      <w:r/>
    </w:p>
    <w:p>
      <w:pPr>
        <w:pStyle w:val="826"/>
      </w:pPr>
      <w:r/>
      <w:bookmarkStart w:id="152" w:name="_Toc209020126"/>
      <w:r>
        <w:t xml:space="preserve">18</w:t>
      </w:r>
      <w:r>
        <w:rPr>
          <w:rFonts w:hint="eastAsia"/>
        </w:rPr>
        <w:t xml:space="preserve">．开标</w:t>
      </w:r>
      <w:bookmarkEnd w:id="152"/>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18.1 采购代理机构将按招标文件规定的时间、地点主持开标。</w:t>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18.2 投标人应当在开标前做好充分准备，使用制作该投标文件的同一数字认证证书准时参加开标。</w:t>
      </w:r>
      <w:r/>
    </w:p>
    <w:p>
      <w:pPr>
        <w:ind w:left="1" w:firstLine="482"/>
        <w:spacing w:line="360" w:lineRule="auto"/>
        <w:rPr>
          <w:rFonts w:ascii="宋体" w:hAnsi="宋体" w:cs="宋体"/>
          <w:b/>
          <w:color w:val="000000"/>
          <w:sz w:val="24"/>
        </w:rPr>
      </w:pPr>
      <w:r>
        <w:rPr>
          <w:rFonts w:hint="eastAsia" w:ascii="宋体" w:hAnsi="宋体" w:cs="宋体"/>
          <w:b/>
          <w:color w:val="000000"/>
          <w:sz w:val="24"/>
        </w:rPr>
        <w:t xml:space="preserve">18.3 投标人不足3家，不进入解密程序。</w:t>
      </w:r>
      <w:r/>
    </w:p>
    <w:p>
      <w:pPr>
        <w:ind w:left="1" w:firstLine="480"/>
        <w:spacing w:line="360" w:lineRule="auto"/>
        <w:rPr>
          <w:rFonts w:ascii="宋体" w:hAnsi="宋体" w:cs="宋体"/>
          <w:sz w:val="24"/>
        </w:rPr>
      </w:pPr>
      <w:r>
        <w:rPr>
          <w:rFonts w:hint="eastAsia" w:ascii="宋体" w:hAnsi="宋体" w:cs="宋体"/>
          <w:color w:val="000000"/>
          <w:sz w:val="24"/>
        </w:rPr>
        <w:t xml:space="preserve">18.4</w:t>
      </w:r>
      <w:r>
        <w:rPr>
          <w:rFonts w:hint="eastAsia" w:ascii="宋体" w:hAnsi="宋体" w:cs="宋体"/>
          <w:sz w:val="24"/>
        </w:rPr>
        <w:t xml:space="preserve">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color w:val="000000"/>
          <w:sz w:val="24"/>
        </w:rPr>
        <w:t xml:space="preserve">18.</w:t>
      </w:r>
      <w:r>
        <w:rPr>
          <w:rFonts w:hint="eastAsia" w:ascii="宋体" w:hAnsi="宋体" w:cs="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18.6本项目在限定的解密时间内，只要有任一家投标人解密成功，即视为电子交易平台运行无故障。</w:t>
      </w:r>
      <w:r/>
    </w:p>
    <w:p>
      <w:pPr>
        <w:ind w:left="1" w:firstLine="480"/>
        <w:spacing w:line="360" w:lineRule="auto"/>
        <w:rPr>
          <w:rFonts w:ascii="宋体" w:hAnsi="宋体" w:cs="宋体"/>
          <w:color w:val="4bacc6" w:themeColor="accent5"/>
          <w:sz w:val="24"/>
          <w14:textFill>
            <w14:solidFill>
              <w14:schemeClr w14:val="accent5"/>
            </w14:solidFill>
          </w14:textFill>
        </w:rPr>
      </w:pPr>
      <w:r>
        <w:rPr>
          <w:rFonts w:hint="eastAsia" w:ascii="宋体" w:hAnsi="宋体" w:cs="宋体"/>
          <w:color w:val="000000"/>
          <w:sz w:val="24"/>
        </w:rPr>
        <w:t xml:space="preserve">18.7 </w:t>
      </w:r>
      <w:r>
        <w:rPr>
          <w:rFonts w:hint="eastAsia" w:ascii="宋体" w:hAnsi="宋体" w:cs="宋体"/>
          <w:sz w:val="24"/>
        </w:rPr>
        <w:t xml:space="preserve">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color w:val="000000"/>
          <w:sz w:val="24"/>
        </w:rPr>
        <w:t xml:space="preserve">18.8 </w:t>
      </w:r>
      <w:r>
        <w:rPr>
          <w:rFonts w:hint="eastAsia" w:ascii="宋体" w:hAnsi="宋体" w:cs="宋体"/>
          <w:sz w:val="24"/>
        </w:rPr>
        <w:t xml:space="preserve">电子交易平台自动记录开标过程，由参加开标的各投标人代表和相关工作人员确认开标结果。</w:t>
      </w:r>
      <w:r/>
    </w:p>
    <w:p>
      <w:pPr>
        <w:ind w:left="1" w:firstLine="480"/>
        <w:spacing w:line="360" w:lineRule="auto"/>
        <w:rPr>
          <w:rFonts w:ascii="宋体" w:hAnsi="宋体" w:cs="宋体"/>
          <w:sz w:val="24"/>
        </w:rPr>
      </w:pPr>
      <w:r>
        <w:rPr>
          <w:rFonts w:hint="eastAsia" w:ascii="宋体" w:hAnsi="宋体" w:cs="宋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sz w:val="24"/>
        </w:rPr>
      </w:pPr>
      <w:r>
        <w:rPr>
          <w:rFonts w:hint="eastAsia" w:ascii="宋体" w:hAnsi="宋体" w:cs="宋体"/>
          <w:sz w:val="24"/>
        </w:rPr>
        <w:t xml:space="preserve">18.10 投标人须配合开标工作，否则一切后果由投标人自行承担。</w:t>
      </w:r>
      <w:r/>
    </w:p>
    <w:p>
      <w:pPr>
        <w:pStyle w:val="826"/>
        <w:rPr>
          <w:sz w:val="32"/>
        </w:rPr>
      </w:pPr>
      <w:r/>
      <w:bookmarkStart w:id="153" w:name="_Toc209020127"/>
      <w:r>
        <w:t xml:space="preserve">19.</w:t>
      </w:r>
      <w:r>
        <w:rPr>
          <w:rFonts w:hint="eastAsia"/>
        </w:rPr>
        <w:t xml:space="preserve">投标人资格审查</w:t>
      </w:r>
      <w:bookmarkEnd w:id="153"/>
      <w:r/>
      <w:r/>
    </w:p>
    <w:p>
      <w:pPr>
        <w:pStyle w:val="830"/>
        <w:ind w:firstLine="480"/>
        <w:spacing w:line="360" w:lineRule="auto"/>
        <w:rPr>
          <w:rFonts w:ascii="宋体" w:hAnsi="宋体" w:cs="宋体"/>
          <w:b/>
          <w:color w:val="000000"/>
          <w:sz w:val="24"/>
        </w:rPr>
      </w:pPr>
      <w:r>
        <w:rPr>
          <w:rFonts w:hint="eastAsia" w:ascii="宋体" w:hAnsi="宋体" w:cs="宋体"/>
          <w:color w:val="000000"/>
          <w:sz w:val="24"/>
        </w:rPr>
        <w:t xml:space="preserve">19.1 开标结束后，采购人或者采购代理机构将依法对投标人的资格进行审查。</w:t>
      </w:r>
      <w:r>
        <w:rPr>
          <w:rFonts w:hint="eastAsia" w:ascii="宋体" w:hAnsi="宋体" w:cs="宋体"/>
          <w:b/>
          <w:color w:val="000000"/>
          <w:sz w:val="24"/>
        </w:rPr>
        <w:t xml:space="preserve">合格投标人不足3家的，不进入后续程序。</w:t>
      </w:r>
      <w:r/>
    </w:p>
    <w:p>
      <w:pPr>
        <w:pStyle w:val="826"/>
        <w:rPr>
          <w:sz w:val="32"/>
        </w:rPr>
      </w:pPr>
      <w:r/>
      <w:bookmarkStart w:id="154" w:name="_Toc209020128"/>
      <w:r>
        <w:t xml:space="preserve">20</w:t>
      </w:r>
      <w:r>
        <w:rPr>
          <w:rFonts w:hint="eastAsia"/>
        </w:rPr>
        <w:t xml:space="preserve">．评标委员会组成</w:t>
      </w:r>
      <w:bookmarkEnd w:id="154"/>
      <w:r/>
      <w:r/>
    </w:p>
    <w:p>
      <w:pPr>
        <w:ind w:firstLine="480"/>
        <w:spacing w:line="360" w:lineRule="auto"/>
        <w:rPr>
          <w:rFonts w:ascii="宋体" w:hAnsi="宋体" w:cs="宋体"/>
          <w:sz w:val="24"/>
        </w:rPr>
      </w:pPr>
      <w:r>
        <w:rPr>
          <w:rFonts w:hint="eastAsia" w:ascii="宋体" w:hAnsi="宋体" w:cs="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color w:val="ff0000"/>
          <w:sz w:val="24"/>
        </w:rPr>
      </w:pPr>
      <w:r>
        <w:rPr>
          <w:rFonts w:hint="eastAsia" w:ascii="宋体" w:hAnsi="宋体" w:cs="宋体"/>
          <w:sz w:val="24"/>
        </w:rPr>
        <w:t xml:space="preserve">评标委员会成员名单在评标结果公告前应当保密。</w:t>
      </w:r>
      <w:r/>
    </w:p>
    <w:p>
      <w:pPr>
        <w:pStyle w:val="826"/>
      </w:pPr>
      <w:r/>
      <w:bookmarkStart w:id="155" w:name="_Toc209020129"/>
      <w:r/>
      <w:bookmarkStart w:id="156" w:name="_Toc203554734"/>
      <w:r>
        <w:t xml:space="preserve">21.</w:t>
      </w:r>
      <w:r>
        <w:rPr>
          <w:rFonts w:hint="eastAsia"/>
        </w:rPr>
        <w:t xml:space="preserve">投标人符合性审查</w:t>
      </w:r>
      <w:bookmarkEnd w:id="155"/>
      <w:r/>
      <w:bookmarkEnd w:id="156"/>
      <w:r/>
      <w:r/>
    </w:p>
    <w:p>
      <w:pPr>
        <w:pStyle w:val="830"/>
        <w:ind w:firstLine="480"/>
        <w:spacing w:line="360" w:lineRule="auto"/>
        <w:rPr>
          <w:rFonts w:ascii="宋体" w:hAnsi="宋体" w:cs="宋体"/>
          <w:b/>
          <w:sz w:val="24"/>
        </w:rPr>
      </w:pPr>
      <w:r>
        <w:rPr>
          <w:rFonts w:hint="eastAsia" w:ascii="宋体" w:hAnsi="宋体" w:cs="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rPr>
        <w:t xml:space="preserve">符合性审查合格投标人不足3家的，不进入详细评审环节。</w:t>
      </w:r>
      <w:r/>
    </w:p>
    <w:p>
      <w:pPr>
        <w:pStyle w:val="826"/>
        <w:rPr>
          <w:sz w:val="32"/>
        </w:rPr>
      </w:pPr>
      <w:r/>
      <w:bookmarkStart w:id="157" w:name="_Toc203554735"/>
      <w:r/>
      <w:bookmarkStart w:id="158" w:name="_Toc209020130"/>
      <w:r>
        <w:t xml:space="preserve">21.2 </w:t>
      </w:r>
      <w:r>
        <w:rPr>
          <w:rFonts w:hint="eastAsia"/>
        </w:rPr>
        <w:t xml:space="preserve">投标文件澄清</w:t>
      </w:r>
      <w:bookmarkEnd w:id="157"/>
      <w:r/>
      <w:bookmarkEnd w:id="158"/>
      <w:r/>
      <w:r/>
    </w:p>
    <w:p>
      <w:pPr>
        <w:ind w:firstLine="480"/>
        <w:spacing w:line="360" w:lineRule="auto"/>
        <w:rPr>
          <w:rFonts w:ascii="宋体" w:hAnsi="宋体" w:cs="宋体"/>
          <w:sz w:val="24"/>
        </w:rPr>
      </w:pPr>
      <w:r>
        <w:rPr>
          <w:rFonts w:hint="eastAsia" w:ascii="宋体" w:hAnsi="宋体" w:cs="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21.2.2投标人的澄清应登录电子交易平台进入“澄清事项”模块进行。</w:t>
      </w:r>
      <w:r/>
    </w:p>
    <w:p>
      <w:pPr>
        <w:ind w:firstLine="480"/>
        <w:spacing w:line="360" w:lineRule="auto"/>
        <w:rPr>
          <w:rFonts w:ascii="宋体" w:hAnsi="宋体" w:cs="宋体"/>
          <w:b/>
          <w:sz w:val="24"/>
        </w:rPr>
      </w:pPr>
      <w:r>
        <w:rPr>
          <w:rFonts w:hint="eastAsia" w:ascii="宋体" w:hAnsi="宋体" w:cs="宋体"/>
          <w:sz w:val="24"/>
        </w:rPr>
        <w:t xml:space="preserve">21.3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826"/>
        <w:rPr>
          <w:sz w:val="32"/>
        </w:rPr>
      </w:pPr>
      <w:r/>
      <w:bookmarkStart w:id="159" w:name="_Toc203554736"/>
      <w:r/>
      <w:bookmarkStart w:id="160" w:name="_Toc209020131"/>
      <w:r>
        <w:t xml:space="preserve">22</w:t>
      </w:r>
      <w:r>
        <w:rPr>
          <w:rFonts w:hint="eastAsia"/>
        </w:rPr>
        <w:t xml:space="preserve">．无效投标的情形</w:t>
      </w:r>
      <w:bookmarkEnd w:id="159"/>
      <w:r/>
      <w:bookmarkEnd w:id="160"/>
      <w:r/>
      <w:r/>
    </w:p>
    <w:p>
      <w:pPr>
        <w:ind w:left="1" w:firstLine="480"/>
        <w:spacing w:line="360" w:lineRule="auto"/>
        <w:rPr>
          <w:rFonts w:ascii="宋体" w:hAnsi="宋体" w:cs="宋体"/>
          <w:sz w:val="24"/>
        </w:rPr>
      </w:pPr>
      <w:r>
        <w:rPr>
          <w:rFonts w:hint="eastAsia" w:ascii="宋体" w:hAnsi="宋体" w:cs="宋体"/>
          <w:sz w:val="24"/>
        </w:rPr>
        <w:t xml:space="preserve">22.1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（2）报价超过招标文件中规定的各单项预算金额的；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（5）如有委托代理人，未提供投标人为其缴纳社保证明材料的；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（8）投标文件中提供了虚假或失实资料的；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（9）不同投标人的电子投标文件出自同一台电脑；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（13）投标文件不满足招标文件的其它实质性要求的；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（14）法律、法规、规章（适用本市的）及省级以上规范性文件（适用本市的）规定的其他无效情形；</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（15）未按招标文件要求进行报价的；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（16）项目服务期有负偏离的；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（17） 投标人在苏采云系统规定的时间内未成功解密电子投标文件的；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（18）投标人未按照招标文件要求上传电子投标文件的；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（19）同一投标人提交两个（含两个）以上不同的投标报价的；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（20）投标人不具备招标文件中规定资格要求的；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（21）未通过符合性审查的；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（22）不符合招标文件中规定的实质性要求和条件的。</w:t>
      </w:r>
      <w:r/>
    </w:p>
    <w:p>
      <w:pPr>
        <w:pStyle w:val="826"/>
      </w:pPr>
      <w:r/>
      <w:bookmarkStart w:id="161" w:name="_Toc203554737"/>
      <w:r/>
      <w:bookmarkStart w:id="162" w:name="_Toc209020132"/>
      <w:r>
        <w:t xml:space="preserve">23. </w:t>
      </w:r>
      <w:r>
        <w:rPr>
          <w:rFonts w:hint="eastAsia"/>
        </w:rPr>
        <w:t xml:space="preserve">串通投标的情形</w:t>
      </w:r>
      <w:bookmarkEnd w:id="161"/>
      <w:r/>
      <w:bookmarkEnd w:id="162"/>
      <w:r/>
      <w:r/>
    </w:p>
    <w:p>
      <w:pPr>
        <w:ind w:firstLine="480"/>
        <w:spacing w:line="360" w:lineRule="auto"/>
        <w:rPr>
          <w:rFonts w:ascii="宋体" w:hAnsi="宋体" w:cs="宋体"/>
          <w:sz w:val="24"/>
        </w:rPr>
      </w:pPr>
      <w:r>
        <w:rPr>
          <w:rFonts w:hint="eastAsia" w:ascii="宋体" w:hAnsi="宋体" w:cs="宋体"/>
          <w:sz w:val="24"/>
        </w:rPr>
        <w:t xml:space="preserve">23.1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826"/>
      </w:pPr>
      <w:r/>
      <w:bookmarkStart w:id="163" w:name="_Toc209020133"/>
      <w:r/>
      <w:bookmarkStart w:id="164" w:name="_Toc203554738"/>
      <w:r>
        <w:t xml:space="preserve">24.</w:t>
      </w:r>
      <w:r>
        <w:rPr>
          <w:rFonts w:hint="eastAsia"/>
        </w:rPr>
        <w:t xml:space="preserve">投标文件详细评审</w:t>
      </w:r>
      <w:bookmarkEnd w:id="163"/>
      <w:r/>
      <w:bookmarkEnd w:id="164"/>
      <w:r/>
      <w:r/>
    </w:p>
    <w:p>
      <w:pPr>
        <w:pStyle w:val="830"/>
        <w:ind w:firstLine="480"/>
        <w:spacing w:line="360" w:lineRule="auto"/>
        <w:rPr>
          <w:rFonts w:ascii="宋体" w:hAnsi="宋体" w:cs="宋体"/>
        </w:rPr>
      </w:pPr>
      <w:r>
        <w:rPr>
          <w:rFonts w:hint="eastAsia" w:ascii="宋体" w:hAnsi="宋体" w:cs="宋体"/>
          <w:sz w:val="24"/>
        </w:rPr>
        <w:t xml:space="preserve">24.1 评标委员会将按照招标文件第五部分“评标办法和标准”第8项规定，对符合性审查合格的投标文件进行商务、技术和价格评估，综合比较与评价。</w:t>
      </w:r>
      <w:r/>
    </w:p>
    <w:p>
      <w:pPr>
        <w:pStyle w:val="826"/>
      </w:pPr>
      <w:r/>
      <w:bookmarkStart w:id="165" w:name="_Toc209020134"/>
      <w:r/>
      <w:bookmarkStart w:id="166" w:name="_Toc203554739"/>
      <w:r>
        <w:t xml:space="preserve">25.</w:t>
      </w:r>
      <w:r>
        <w:rPr>
          <w:rFonts w:hint="eastAsia"/>
        </w:rPr>
        <w:t xml:space="preserve">评标过程的保密</w:t>
      </w:r>
      <w:bookmarkEnd w:id="165"/>
      <w:r/>
      <w:bookmarkEnd w:id="166"/>
      <w:r/>
      <w:r/>
    </w:p>
    <w:p>
      <w:pPr>
        <w:ind w:left="1" w:firstLine="480"/>
        <w:spacing w:line="360" w:lineRule="auto"/>
        <w:rPr>
          <w:rFonts w:ascii="宋体" w:hAnsi="宋体" w:cs="宋体"/>
          <w:sz w:val="24"/>
        </w:rPr>
      </w:pPr>
      <w:r>
        <w:rPr>
          <w:rFonts w:hint="eastAsia" w:ascii="宋体" w:hAnsi="宋体" w:cs="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25.2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6"/>
      </w:pPr>
      <w:r/>
      <w:bookmarkStart w:id="167" w:name="_Toc203554740"/>
      <w:r/>
      <w:bookmarkStart w:id="168" w:name="_Toc209020135"/>
      <w:r>
        <w:t xml:space="preserve">26</w:t>
      </w:r>
      <w:r>
        <w:rPr>
          <w:rFonts w:hint="eastAsia"/>
        </w:rPr>
        <w:t xml:space="preserve">．废标的情形</w:t>
      </w:r>
      <w:bookmarkEnd w:id="167"/>
      <w:r/>
      <w:bookmarkEnd w:id="168"/>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26.1 出现下列情形之一的，将予废标：</w:t>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  </w:t>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（2）出现影响采购公正的违法、违规行为的；  </w:t>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ind w:left="1" w:firstLine="480"/>
        <w:spacing w:line="360" w:lineRule="auto"/>
        <w:rPr>
          <w:rFonts w:ascii="宋体" w:hAnsi="宋体" w:cs="宋体"/>
          <w:color w:val="000000"/>
          <w:sz w:val="24"/>
        </w:rPr>
      </w:pPr>
      <w:r>
        <w:rPr>
          <w:rFonts w:hint="eastAsia" w:ascii="宋体" w:hAnsi="宋体" w:cs="宋体"/>
          <w:color w:val="000000"/>
          <w:sz w:val="24"/>
        </w:rPr>
        <w:t xml:space="preserve">（4）因重大变故，采购任务取消的； </w:t>
      </w:r>
      <w:r/>
    </w:p>
    <w:p>
      <w:pPr>
        <w:ind w:firstLine="480"/>
        <w:spacing w:line="360" w:lineRule="auto"/>
        <w:rPr>
          <w:rFonts w:ascii="宋体" w:hAnsi="宋体" w:cs="宋体"/>
          <w:color w:val="000000"/>
          <w:sz w:val="24"/>
        </w:rPr>
      </w:pPr>
      <w:r>
        <w:rPr>
          <w:rFonts w:hint="eastAsia" w:ascii="宋体" w:hAnsi="宋体" w:cs="宋体"/>
          <w:color w:val="000000"/>
          <w:sz w:val="24"/>
        </w:rPr>
        <w:t xml:space="preserve">废标后，采购人应当将废标理由通知所有投标人。</w:t>
      </w:r>
      <w:r/>
    </w:p>
    <w:p>
      <w:pPr>
        <w:pStyle w:val="825"/>
        <w:rPr>
          <w:rFonts w:ascii="宋体" w:hAnsi="宋体" w:cs="Times New Roman"/>
        </w:rPr>
      </w:pPr>
      <w:r/>
      <w:bookmarkStart w:id="169" w:name="_Toc209020136"/>
      <w:r/>
      <w:bookmarkStart w:id="170" w:name="_Toc203554741"/>
      <w:r>
        <w:rPr>
          <w:rFonts w:hint="eastAsia"/>
        </w:rPr>
        <w:t xml:space="preserve">五、确定结果</w:t>
      </w:r>
      <w:bookmarkEnd w:id="169"/>
      <w:r/>
      <w:bookmarkEnd w:id="170"/>
      <w:r/>
      <w:r/>
    </w:p>
    <w:p>
      <w:pPr>
        <w:pStyle w:val="826"/>
      </w:pPr>
      <w:r/>
      <w:bookmarkStart w:id="171" w:name="_Toc209020137"/>
      <w:r>
        <w:rPr>
          <w:rFonts w:hint="eastAsia"/>
        </w:rPr>
        <w:t xml:space="preserve">27.确定中标人</w:t>
      </w:r>
      <w:bookmarkEnd w:id="171"/>
      <w:r/>
      <w:r/>
    </w:p>
    <w:p>
      <w:pPr>
        <w:ind w:firstLine="480"/>
        <w:spacing w:line="360" w:lineRule="auto"/>
        <w:rPr>
          <w:rFonts w:ascii="宋体" w:hAnsi="宋体" w:cs="宋体"/>
          <w:sz w:val="24"/>
        </w:rPr>
      </w:pPr>
      <w:r>
        <w:rPr>
          <w:rFonts w:hint="eastAsia" w:ascii="宋体" w:hAnsi="宋体" w:cs="宋体"/>
          <w:sz w:val="24"/>
        </w:rPr>
        <w:t xml:space="preserve">27.1采购代理机构在评标结束后2个工作日内将评标报告送采购人。</w:t>
      </w:r>
      <w:r/>
    </w:p>
    <w:p>
      <w:pPr>
        <w:ind w:firstLine="480"/>
        <w:spacing w:line="360" w:lineRule="auto"/>
        <w:rPr>
          <w:rFonts w:ascii="宋体" w:hAnsi="宋体" w:cs="宋体"/>
          <w:sz w:val="24"/>
        </w:rPr>
      </w:pPr>
      <w:r/>
      <w:bookmarkStart w:id="172" w:name="_Hlk132702541"/>
      <w:r/>
      <w:bookmarkStart w:id="173" w:name="_Hlk132702790"/>
      <w:r>
        <w:rPr>
          <w:rFonts w:hint="eastAsia" w:ascii="宋体" w:hAnsi="宋体" w:cs="宋体"/>
          <w:sz w:val="24"/>
        </w:rPr>
        <w:t xml:space="preserve">27.</w:t>
      </w:r>
      <w:bookmarkEnd w:id="172"/>
      <w:r>
        <w:rPr>
          <w:rFonts w:hint="eastAsia" w:ascii="宋体" w:hAnsi="宋体" w:cs="宋体"/>
          <w:sz w:val="24"/>
        </w:rPr>
        <w:t xml:space="preserve">2</w:t>
      </w:r>
      <w:bookmarkEnd w:id="173"/>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25"/>
      </w:pPr>
      <w:r/>
      <w:bookmarkStart w:id="174" w:name="_Toc203554742"/>
      <w:r/>
      <w:bookmarkStart w:id="175" w:name="_Toc209020138"/>
      <w:r>
        <w:rPr>
          <w:rFonts w:hint="eastAsia"/>
        </w:rPr>
        <w:t xml:space="preserve">六、授予合同</w:t>
      </w:r>
      <w:bookmarkEnd w:id="174"/>
      <w:r/>
      <w:bookmarkEnd w:id="175"/>
      <w:r/>
      <w:r/>
    </w:p>
    <w:p>
      <w:pPr>
        <w:pStyle w:val="826"/>
      </w:pPr>
      <w:r/>
      <w:bookmarkStart w:id="176" w:name="_Toc209020139"/>
      <w:r/>
      <w:bookmarkStart w:id="177" w:name="_Toc203554743"/>
      <w:r>
        <w:t xml:space="preserve">28</w:t>
      </w:r>
      <w:r>
        <w:rPr>
          <w:rFonts w:hint="eastAsia"/>
        </w:rPr>
        <w:t xml:space="preserve">．中标通知书</w:t>
      </w:r>
      <w:bookmarkEnd w:id="176"/>
      <w:r/>
      <w:bookmarkEnd w:id="177"/>
      <w:r/>
      <w:r/>
    </w:p>
    <w:p>
      <w:pPr>
        <w:ind w:firstLine="480"/>
        <w:spacing w:line="360" w:lineRule="auto"/>
        <w:rPr>
          <w:rFonts w:ascii="宋体" w:hAnsi="宋体" w:cs="宋体"/>
          <w:sz w:val="24"/>
        </w:rPr>
      </w:pPr>
      <w:r>
        <w:rPr>
          <w:rFonts w:hint="eastAsia" w:ascii="宋体" w:hAnsi="宋体" w:cs="宋体"/>
          <w:sz w:val="24"/>
        </w:rPr>
        <w:t xml:space="preserve">28.1 自中标人确定之日起2个工作日内，采购代理机构向中标人发出中标通知书，同时编制发布采购结果公告。</w:t>
      </w:r>
      <w:r/>
    </w:p>
    <w:p>
      <w:pPr>
        <w:ind w:firstLine="480"/>
        <w:spacing w:line="360" w:lineRule="auto"/>
        <w:rPr>
          <w:rFonts w:ascii="宋体" w:hAnsi="宋体" w:cs="宋体"/>
          <w:sz w:val="24"/>
        </w:rPr>
      </w:pPr>
      <w:r>
        <w:rPr>
          <w:rFonts w:hint="eastAsia" w:ascii="宋体" w:hAnsi="宋体" w:cs="宋体"/>
          <w:sz w:val="24"/>
        </w:rPr>
        <w:t xml:space="preserve">28.2中标通知书发出后，采购人不得违法改变中标结果，中标人无正当理由不得放弃中标。</w:t>
      </w:r>
      <w:r/>
    </w:p>
    <w:p>
      <w:pPr>
        <w:pStyle w:val="826"/>
        <w:rPr>
          <w:sz w:val="32"/>
          <w:highlight w:val="none"/>
        </w:rPr>
      </w:pPr>
      <w:r/>
      <w:bookmarkStart w:id="178" w:name="_Toc209020140"/>
      <w:r/>
      <w:bookmarkStart w:id="179" w:name="_Toc203554744"/>
      <w:r>
        <w:rPr>
          <w:highlight w:val="none"/>
        </w:rPr>
        <w:t xml:space="preserve">29.</w:t>
      </w:r>
      <w:r>
        <w:rPr>
          <w:rFonts w:hint="eastAsia"/>
          <w:highlight w:val="none"/>
        </w:rPr>
        <w:t xml:space="preserve">履约保证金</w:t>
      </w:r>
      <w:bookmarkEnd w:id="178"/>
      <w:r/>
      <w:bookmarkEnd w:id="17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29.1□本项目不收取履约保证金。</w:t>
      </w:r>
      <w:r/>
    </w:p>
    <w:p>
      <w:pPr>
        <w:numPr>
          <w:ilvl w:val="255"/>
          <w:numId w:val="0"/>
        </w:numPr>
        <w:ind w:firstLine="480"/>
        <w:spacing w:line="360" w:lineRule="auto"/>
        <w:rPr>
          <w:rFonts w:ascii="宋体" w:hAnsi="宋体" w:cs="宋体"/>
          <w:color w:val="auto"/>
          <w:sz w:val="24"/>
          <w:highlight w:val="none"/>
        </w:rPr>
      </w:pPr>
      <w:r/>
      <w:bookmarkStart w:id="180" w:name="_Hlk209796908"/>
      <w:r>
        <w:rPr>
          <w:rFonts w:hint="eastAsia" w:ascii="宋体" w:hAnsi="宋体" w:cs="宋体"/>
          <w:color w:val="auto"/>
          <w:sz w:val="24"/>
          <w:highlight w:val="none"/>
        </w:rPr>
        <w:t xml:space="preserve">☑本项目收取履约保证金。</w:t>
      </w:r>
      <w:r/>
    </w:p>
    <w:p>
      <w:pPr>
        <w:numPr>
          <w:ilvl w:val="0"/>
          <w:numId w:val="1"/>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本项目中标供应商应提交合同金额的10%履约保证金（最近一次江苏省公路水运建设市场信用等级评价（以递交投标文件截止当日为准）为 AA 级的乙方以及列入最近一期“江苏省公路水运建设市场守信激励主体名单”的乙方可按 50%递交）。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2、履约担保的形式：根据《交通运输部办公厅关于开展公路建设项目保证金专项清理工作的通知》（厅公路字〔2013〕217 号）文，乙方自主选择银行保函或现金（转账、电汇、网银）或法律法规允许的其他支付形式。并按照下列要求操作办理，为获得此履约担保所需费用由乙方自行承担。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若乙方选择采用银行保函形式采用银行保函时，出具履约担保的银行级别：中国大陆境内合法经营的国有或股份制商业银行，银行级别为支行及以上级别。银行保函的格式和担保金额应满足招标文件要求，原件在双方签订合同之前单独递交给甲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（2）若乙方选择采用现金（转账、电汇、网银）形式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若乙方选择采用转账、电汇、网银形式缴纳履约担保的，乙方应与甲方经办人联系。根据甲方提供的开户银行及账号以及办理注意事项缴纳履约保证金。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（3）采用其他形式时必须经甲方同意。</w:t>
      </w:r>
      <w:r/>
    </w:p>
    <w:p>
      <w:pPr>
        <w:ind w:firstLine="480"/>
        <w:spacing w:line="360" w:lineRule="auto"/>
        <w:rPr>
          <w:rFonts w:ascii="宋体" w:hAnsi="宋体" w:cs="宋体"/>
          <w:color w:val="0000ff"/>
          <w:sz w:val="24"/>
          <w:highlight w:val="none"/>
        </w:rPr>
      </w:pPr>
      <w:r>
        <w:rPr>
          <w:rFonts w:hint="eastAsia" w:ascii="宋体" w:hAnsi="宋体" w:cs="宋体"/>
          <w:sz w:val="24"/>
          <w:highlight w:val="none"/>
        </w:rPr>
        <w:t xml:space="preserve">3、履约保证金退还的方式：以银行电汇、网上银行、数字人民币形式缴纳履约保证金的，退回至中标人存款账户或供应商数字人民币账户；以保函、担保、保险等形式缴纳履约保证金的，在保函、担保、保险约定的保证期限届满之日起自行失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4、履约保证金退还的条件：中标人完成合同约定的全部义务，并通过采购人的验收。并配合新中标单位办理移交手续后退还。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 履约保证金退还时间：采购人收到中标人退付申请后5个工作日内退还；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6、履约保证金不予退还情形：（1</w:t>
      </w:r>
      <w:r>
        <w:rPr>
          <w:rFonts w:ascii="宋体" w:hAnsi="宋体" w:cs="宋体"/>
          <w:sz w:val="24"/>
          <w:highlight w:val="none"/>
        </w:rPr>
        <w:t xml:space="preserve">）</w:t>
      </w:r>
      <w:r>
        <w:rPr>
          <w:rFonts w:hint="eastAsia" w:ascii="宋体" w:hAnsi="宋体" w:cs="宋体"/>
          <w:sz w:val="24"/>
          <w:highlight w:val="none"/>
        </w:rPr>
        <w:t xml:space="preserve">除不可抗力外，中标人不履行与采购人订立的采购合同的，履约保证金不予退还，给采购人造成的损失超过履约保证金数额的，还应当对超过部分予以赔偿；（2）合同期结束，中标人须配合采购人与新中标单位办理交接，否则采购人有权扣除履约保证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7、支持和鼓励中标人自愿使用履约（保函）保险代替缴纳履约保证金。省财政厅已上线政府采购电子履约保函（保险）平台，平台可通过域名 www.jsdzbh.com 直接访问，也可通过江苏省政府采购网、“苏采云”系统链接访问。</w:t>
      </w:r>
      <w:bookmarkEnd w:id="180"/>
      <w:r/>
      <w:r/>
    </w:p>
    <w:p>
      <w:pPr>
        <w:pStyle w:val="826"/>
      </w:pPr>
      <w:r/>
      <w:bookmarkStart w:id="181" w:name="_Toc203554745"/>
      <w:r/>
      <w:bookmarkStart w:id="182" w:name="_Toc209020141"/>
      <w:r>
        <w:t xml:space="preserve">30</w:t>
      </w:r>
      <w:r>
        <w:rPr>
          <w:rFonts w:hint="eastAsia"/>
        </w:rPr>
        <w:t xml:space="preserve">．签订合同</w:t>
      </w:r>
      <w:bookmarkEnd w:id="181"/>
      <w:r/>
      <w:bookmarkEnd w:id="182"/>
      <w:r/>
      <w:r/>
    </w:p>
    <w:p>
      <w:pPr>
        <w:ind w:firstLine="480"/>
        <w:spacing w:line="360" w:lineRule="auto"/>
        <w:rPr>
          <w:rFonts w:ascii="宋体" w:hAnsi="宋体" w:cs="宋体"/>
          <w:sz w:val="24"/>
        </w:rPr>
      </w:pPr>
      <w:r>
        <w:rPr>
          <w:rFonts w:hint="eastAsia" w:ascii="宋体" w:hAnsi="宋体" w:cs="宋体"/>
          <w:sz w:val="24"/>
        </w:rPr>
        <w:t xml:space="preserve">30.1 采购人应当自中标通知书发出之日起</w:t>
      </w:r>
      <w:r>
        <w:rPr>
          <w:rFonts w:hint="eastAsia" w:ascii="宋体" w:hAnsi="宋体" w:cs="宋体"/>
          <w:b/>
          <w:bCs/>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30.4采购人应当自采购合同签订之日起2个工作日内，将政府采购合同在政府采购指定媒体予以公告。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30.6采购人与中标人应当根据合同的约定依法履行合同义务。政府采购合同的履行、违约责任和解决争议的方法等适用《中华人民共和国民法典》。</w:t>
      </w:r>
      <w:r/>
    </w:p>
    <w:p>
      <w:pPr>
        <w:pStyle w:val="825"/>
        <w:rPr>
          <w:rFonts w:ascii="宋体" w:hAnsi="宋体"/>
          <w:szCs w:val="28"/>
        </w:rPr>
      </w:pPr>
      <w:r/>
      <w:bookmarkStart w:id="183" w:name="_Toc209020142"/>
      <w:r/>
      <w:bookmarkStart w:id="184" w:name="_Toc203554746"/>
      <w:r>
        <w:rPr>
          <w:rFonts w:hint="eastAsia"/>
        </w:rPr>
        <w:t xml:space="preserve">七、询问、质疑、投诉</w:t>
      </w:r>
      <w:bookmarkEnd w:id="183"/>
      <w:r/>
      <w:bookmarkEnd w:id="184"/>
      <w:r/>
      <w:r/>
    </w:p>
    <w:p>
      <w:pPr>
        <w:pStyle w:val="826"/>
      </w:pPr>
      <w:r/>
      <w:bookmarkStart w:id="185" w:name="_Toc203554747"/>
      <w:r/>
      <w:bookmarkStart w:id="186" w:name="_Toc209020143"/>
      <w:r>
        <w:t xml:space="preserve">31</w:t>
      </w:r>
      <w:r>
        <w:rPr>
          <w:rFonts w:hint="eastAsia"/>
        </w:rPr>
        <w:t xml:space="preserve">．询问</w:t>
      </w:r>
      <w:bookmarkEnd w:id="185"/>
      <w:r/>
      <w:bookmarkEnd w:id="186"/>
      <w:r/>
      <w:r/>
    </w:p>
    <w:p>
      <w:pPr>
        <w:ind w:firstLine="480"/>
        <w:spacing w:line="360" w:lineRule="auto"/>
        <w:rPr>
          <w:rFonts w:ascii="宋体" w:hAnsi="宋体" w:cs="宋体"/>
          <w:sz w:val="24"/>
        </w:rPr>
      </w:pPr>
      <w:r>
        <w:rPr>
          <w:rFonts w:hint="eastAsia" w:ascii="宋体" w:hAnsi="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6"/>
        <w:rPr>
          <w:sz w:val="32"/>
        </w:rPr>
      </w:pPr>
      <w:r/>
      <w:bookmarkStart w:id="187" w:name="_Toc209020144"/>
      <w:r/>
      <w:bookmarkStart w:id="188" w:name="_Toc203554748"/>
      <w:r>
        <w:t xml:space="preserve">32</w:t>
      </w:r>
      <w:r>
        <w:rPr>
          <w:rFonts w:hint="eastAsia"/>
        </w:rPr>
        <w:t xml:space="preserve">．质疑</w:t>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48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48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48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89" w:name="_Hlk132706924"/>
      <w:r>
        <w:rPr>
          <w:rFonts w:hint="eastAsia" w:ascii="宋体" w:hAnsi="宋体" w:cs="宋体"/>
          <w:sz w:val="24"/>
        </w:rPr>
        <w:t xml:space="preserve">政府采购监管部门</w:t>
      </w:r>
      <w:bookmarkEnd w:id="189"/>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sz w:val="24"/>
        </w:rPr>
      </w:pPr>
      <w:r>
        <w:rPr>
          <w:rFonts w:hint="eastAsia" w:ascii="宋体" w:hAnsi="宋体" w:cs="宋体"/>
          <w:sz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宋体"/>
          <w:sz w:val="24"/>
        </w:rPr>
      </w:pPr>
      <w:r>
        <w:rPr>
          <w:rFonts w:hint="eastAsia" w:ascii="宋体" w:hAnsi="宋体" w:cs="宋体"/>
          <w:sz w:val="24"/>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宋体"/>
          <w:sz w:val="24"/>
        </w:rPr>
      </w:pPr>
      <w:r>
        <w:rPr>
          <w:rFonts w:hint="eastAsia" w:ascii="宋体" w:hAnsi="宋体" w:cs="宋体"/>
          <w:sz w:val="24"/>
        </w:rPr>
        <w:t xml:space="preserve">32.5本项目采购人及招标代理机构只接收以纸质原件形式送达的质疑。（本项目采购人及招标代理机构不接受未填写快递运单的快件）</w:t>
      </w:r>
      <w:r/>
    </w:p>
    <w:p>
      <w:pPr>
        <w:ind w:firstLine="480"/>
        <w:spacing w:line="360" w:lineRule="auto"/>
        <w:rPr>
          <w:rFonts w:ascii="宋体" w:hAnsi="宋体" w:cs="宋体"/>
          <w:sz w:val="24"/>
        </w:rPr>
      </w:pPr>
      <w:r>
        <w:rPr>
          <w:rFonts w:hint="eastAsia" w:ascii="宋体" w:hAnsi="宋体" w:cs="宋体"/>
          <w:sz w:val="24"/>
        </w:rPr>
        <w:t xml:space="preserve">接收部门:江苏天信建设项目咨询有限公司</w:t>
      </w:r>
      <w:r/>
    </w:p>
    <w:p>
      <w:pPr>
        <w:ind w:firstLine="480"/>
        <w:spacing w:line="360" w:lineRule="auto"/>
        <w:rPr>
          <w:rFonts w:ascii="宋体" w:hAnsi="宋体" w:cs="宋体"/>
          <w:sz w:val="24"/>
        </w:rPr>
      </w:pPr>
      <w:r>
        <w:rPr>
          <w:rFonts w:hint="eastAsia" w:ascii="宋体" w:hAnsi="宋体" w:cs="宋体"/>
          <w:sz w:val="24"/>
        </w:rPr>
        <w:t xml:space="preserve">接收地址:镇江市丹徒区丹徒新城驸马街168-15号</w:t>
      </w:r>
      <w:r/>
    </w:p>
    <w:p>
      <w:pPr>
        <w:ind w:firstLine="480"/>
        <w:spacing w:line="360" w:lineRule="auto"/>
        <w:rPr>
          <w:rFonts w:ascii="宋体" w:hAnsi="宋体" w:cs="宋体"/>
          <w:sz w:val="24"/>
        </w:rPr>
      </w:pPr>
      <w:r>
        <w:rPr>
          <w:rFonts w:hint="eastAsia" w:ascii="宋体" w:hAnsi="宋体" w:cs="宋体"/>
          <w:sz w:val="24"/>
        </w:rPr>
        <w:t xml:space="preserve">联系电话:</w:t>
      </w:r>
      <w:bookmarkStart w:id="190" w:name="OLE_LINK17"/>
      <w:r/>
      <w:bookmarkStart w:id="191" w:name="OLE_LINK18"/>
      <w:r>
        <w:rPr>
          <w:rFonts w:hint="eastAsia" w:ascii="宋体" w:hAnsi="宋体" w:cs="宋体"/>
          <w:sz w:val="24"/>
        </w:rPr>
        <w:t xml:space="preserve"> 18652824164</w:t>
      </w:r>
      <w:bookmarkEnd w:id="190"/>
      <w:r/>
      <w:bookmarkEnd w:id="191"/>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32.6以下情形的质疑不予受理：</w:t>
      </w:r>
      <w:r/>
    </w:p>
    <w:p>
      <w:pPr>
        <w:ind w:firstLine="480"/>
        <w:spacing w:line="360" w:lineRule="auto"/>
        <w:rPr>
          <w:rFonts w:ascii="宋体" w:hAnsi="宋体" w:cs="宋体"/>
          <w:sz w:val="24"/>
        </w:rPr>
      </w:pPr>
      <w:r>
        <w:rPr>
          <w:rFonts w:hint="eastAsia" w:ascii="宋体" w:hAnsi="宋体" w:cs="宋体"/>
          <w:sz w:val="24"/>
        </w:rPr>
        <w:t xml:space="preserve">32.6.1内容不符合《政府采购质疑和投诉办法》第十二条规定的质疑。</w:t>
      </w:r>
      <w:r/>
    </w:p>
    <w:p>
      <w:pPr>
        <w:ind w:firstLine="480"/>
        <w:spacing w:line="360" w:lineRule="auto"/>
        <w:rPr>
          <w:rFonts w:ascii="宋体" w:hAnsi="宋体" w:cs="宋体"/>
          <w:sz w:val="24"/>
        </w:rPr>
      </w:pPr>
      <w:r>
        <w:rPr>
          <w:rFonts w:hint="eastAsia" w:ascii="宋体" w:hAnsi="宋体" w:cs="宋体"/>
          <w:sz w:val="24"/>
        </w:rPr>
        <w:t xml:space="preserve">32.6.2超出政府采购法定期限的质疑。</w:t>
      </w:r>
      <w:r/>
    </w:p>
    <w:p>
      <w:pPr>
        <w:ind w:firstLine="480"/>
        <w:spacing w:line="360" w:lineRule="auto"/>
        <w:rPr>
          <w:rFonts w:ascii="宋体" w:hAnsi="宋体" w:cs="宋体"/>
          <w:sz w:val="24"/>
        </w:rPr>
      </w:pPr>
      <w:r>
        <w:rPr>
          <w:rFonts w:hint="eastAsia" w:ascii="宋体" w:hAnsi="宋体" w:cs="宋体"/>
          <w:sz w:val="24"/>
        </w:rPr>
        <w:t xml:space="preserve">32.6.3以传真、电子邮件等方式递交的非原件形式的质疑。</w:t>
      </w:r>
      <w:r/>
    </w:p>
    <w:p>
      <w:pPr>
        <w:ind w:firstLine="480"/>
        <w:spacing w:line="360" w:lineRule="auto"/>
        <w:rPr>
          <w:rFonts w:ascii="宋体" w:hAnsi="宋体" w:cs="宋体"/>
          <w:sz w:val="24"/>
        </w:rPr>
      </w:pPr>
      <w:r>
        <w:rPr>
          <w:rFonts w:hint="eastAsia" w:ascii="宋体" w:hAnsi="宋体" w:cs="宋体"/>
          <w:sz w:val="24"/>
        </w:rPr>
        <w:t xml:space="preserve">32.6.4未参加投标活动的供应商或在投标活动中自身权益未受到损害的供应商所提出的质疑。</w:t>
      </w:r>
      <w:r/>
    </w:p>
    <w:p>
      <w:pPr>
        <w:ind w:firstLine="480"/>
        <w:spacing w:line="360" w:lineRule="auto"/>
        <w:rPr>
          <w:rFonts w:ascii="宋体" w:hAnsi="宋体" w:cs="宋体"/>
          <w:sz w:val="24"/>
        </w:rPr>
      </w:pPr>
      <w:r>
        <w:rPr>
          <w:rFonts w:hint="eastAsia" w:ascii="宋体" w:hAnsi="宋体" w:cs="宋体"/>
          <w:sz w:val="24"/>
        </w:rPr>
        <w:t xml:space="preserve">32.6.5供应商组成联合体参加投标，联合体中任何一方或多方未按要求签字、盖章、加盖公章的质疑。</w:t>
      </w:r>
      <w:r/>
    </w:p>
    <w:p>
      <w:pPr>
        <w:pStyle w:val="826"/>
        <w:rPr>
          <w:sz w:val="32"/>
        </w:rPr>
      </w:pPr>
      <w:r/>
      <w:bookmarkStart w:id="192" w:name="_Toc203554749"/>
      <w:r/>
      <w:bookmarkStart w:id="193" w:name="_Toc209020145"/>
      <w:r>
        <w:t xml:space="preserve">33</w:t>
      </w:r>
      <w:r>
        <w:rPr>
          <w:rFonts w:hint="eastAsia"/>
        </w:rPr>
        <w:t xml:space="preserve">．投诉</w:t>
      </w:r>
      <w:bookmarkEnd w:id="192"/>
      <w:r/>
      <w:bookmarkEnd w:id="193"/>
      <w:r/>
      <w:r/>
    </w:p>
    <w:p>
      <w:pPr>
        <w:ind w:firstLine="480"/>
        <w:jc w:val="left"/>
        <w:spacing w:line="360" w:lineRule="auto"/>
        <w:rPr>
          <w:rFonts w:ascii="宋体" w:hAnsi="宋体" w:cs="宋体"/>
          <w:sz w:val="24"/>
        </w:rPr>
      </w:pPr>
      <w:r>
        <w:rPr>
          <w:rFonts w:hint="eastAsia" w:ascii="宋体" w:hAnsi="宋体" w:cs="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33.2投诉流程及注意事项见“镇江市公共资源交易服务平台—政府采购”网站“投诉指引”。</w:t>
      </w:r>
      <w:r/>
    </w:p>
    <w:p>
      <w:pPr>
        <w:pStyle w:val="825"/>
        <w:rPr>
          <w:rFonts w:ascii="宋体" w:hAnsi="宋体" w:cs="Times New Roman"/>
        </w:rPr>
      </w:pPr>
      <w:r/>
      <w:bookmarkStart w:id="194" w:name="_Toc209020146"/>
      <w:r/>
      <w:bookmarkStart w:id="195" w:name="_Toc203554750"/>
      <w:r>
        <w:rPr>
          <w:rFonts w:hint="eastAsia"/>
        </w:rPr>
        <w:t xml:space="preserve">八、诚实信用和解释权</w:t>
      </w:r>
      <w:bookmarkEnd w:id="194"/>
      <w:r/>
      <w:bookmarkEnd w:id="195"/>
      <w:r/>
      <w:r/>
    </w:p>
    <w:p>
      <w:pPr>
        <w:pStyle w:val="826"/>
      </w:pPr>
      <w:r/>
      <w:bookmarkStart w:id="196" w:name="_Toc203554751"/>
      <w:r/>
      <w:bookmarkStart w:id="197" w:name="_Toc209020147"/>
      <w:r>
        <w:t xml:space="preserve">34</w:t>
      </w:r>
      <w:r>
        <w:rPr>
          <w:rFonts w:hint="eastAsia"/>
        </w:rPr>
        <w:t xml:space="preserve">．诚实信用</w:t>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34.3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6"/>
        <w:rPr>
          <w:sz w:val="32"/>
        </w:rPr>
      </w:pPr>
      <w:r/>
      <w:bookmarkStart w:id="198" w:name="_Toc209020148"/>
      <w:r/>
      <w:bookmarkStart w:id="199" w:name="_Toc203554752"/>
      <w:r>
        <w:t xml:space="preserve">35.</w:t>
      </w:r>
      <w:r>
        <w:rPr>
          <w:rFonts w:hint="eastAsia"/>
        </w:rPr>
        <w:t xml:space="preserve">适用法律及约束力</w:t>
      </w:r>
      <w:bookmarkEnd w:id="198"/>
      <w:r/>
      <w:bookmarkEnd w:id="199"/>
      <w:r/>
      <w:r/>
    </w:p>
    <w:p>
      <w:pPr>
        <w:ind w:firstLine="480"/>
        <w:spacing w:line="360" w:lineRule="auto"/>
        <w:rPr>
          <w:rFonts w:ascii="宋体" w:hAnsi="宋体" w:cs="宋体"/>
          <w:sz w:val="24"/>
        </w:rPr>
      </w:pPr>
      <w:r>
        <w:rPr>
          <w:rFonts w:hint="eastAsia" w:ascii="宋体" w:hAnsi="宋体" w:cs="宋体"/>
          <w:sz w:val="24"/>
        </w:rPr>
        <w:t xml:space="preserve">35.1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35.2 本次招标及由本次招标产生的合同受中华人民共和国法律制约和保护。</w:t>
      </w:r>
      <w:r/>
    </w:p>
    <w:p>
      <w:pPr>
        <w:pStyle w:val="826"/>
      </w:pPr>
      <w:r/>
      <w:bookmarkStart w:id="200" w:name="_Toc209020149"/>
      <w:r/>
      <w:bookmarkStart w:id="201" w:name="_Toc203554753"/>
      <w:r>
        <w:rPr>
          <w:rFonts w:hint="eastAsia"/>
        </w:rPr>
        <w:t xml:space="preserve">36．解释权</w:t>
      </w:r>
      <w:bookmarkEnd w:id="200"/>
      <w:r/>
      <w:bookmarkEnd w:id="201"/>
      <w:r/>
      <w:r/>
    </w:p>
    <w:p>
      <w:pPr>
        <w:ind w:firstLine="480"/>
        <w:rPr>
          <w:rFonts w:ascii="宋体" w:hAnsi="宋体"/>
          <w:sz w:val="28"/>
          <w:szCs w:val="28"/>
        </w:rPr>
      </w:pPr>
      <w:r>
        <w:rPr>
          <w:rFonts w:hint="eastAsia" w:ascii="宋体" w:hAnsi="宋体" w:cs="宋体"/>
          <w:sz w:val="24"/>
        </w:rPr>
        <w:t xml:space="preserve">36.1 除相关法律、法规规定外，本招标文件的解释权归采购代理机构所有。</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r/>
      <w:bookmarkStart w:id="202" w:name="_Toc203554754"/>
      <w:r/>
      <w:bookmarkStart w:id="203" w:name="_Toc209020150"/>
      <w:r>
        <w:rPr>
          <w:rFonts w:hint="eastAsia"/>
        </w:rPr>
        <w:br w:type="page" w:clear="all"/>
      </w:r>
      <w:r/>
    </w:p>
    <w:p>
      <w:pPr>
        <w:pStyle w:val="824"/>
        <w:rPr>
          <w:rFonts w:ascii="宋体" w:hAnsi="宋体"/>
          <w:sz w:val="28"/>
          <w:szCs w:val="28"/>
        </w:rPr>
      </w:pPr>
      <w:r>
        <w:rPr>
          <w:rFonts w:hint="eastAsia"/>
        </w:rPr>
        <w:t xml:space="preserve">第三部分</w:t>
      </w:r>
      <w:r>
        <w:t xml:space="preserve">  </w:t>
      </w:r>
      <w:r>
        <w:rPr>
          <w:rFonts w:hint="eastAsia"/>
        </w:rPr>
        <w:t xml:space="preserve">拟签订的合同文本（服务类）</w:t>
      </w:r>
      <w:bookmarkEnd w:id="202"/>
      <w:r/>
      <w:bookmarkEnd w:id="203"/>
      <w:r/>
      <w:r/>
    </w:p>
    <w:p>
      <w:pPr>
        <w:rPr>
          <w:rFonts w:ascii="宋体" w:hAnsi="宋体"/>
          <w:sz w:val="28"/>
          <w:szCs w:val="28"/>
        </w:rPr>
      </w:pPr>
      <w:r>
        <w:rPr>
          <w:rFonts w:ascii="宋体" w:hAnsi="宋体"/>
          <w:sz w:val="28"/>
          <w:szCs w:val="28"/>
        </w:rPr>
      </w:r>
      <w:r/>
    </w:p>
    <w:p>
      <w:pPr>
        <w:jc w:val="center"/>
        <w:rPr>
          <w:rFonts w:ascii="宋体" w:hAnsi="宋体" w:cs="宋体"/>
          <w:color w:val="000000"/>
          <w:sz w:val="36"/>
          <w:szCs w:val="36"/>
        </w:rPr>
      </w:pPr>
      <w:r>
        <w:rPr>
          <w:rFonts w:ascii="宋体" w:hAnsi="宋体" w:cs="宋体"/>
          <w:color w:val="000000"/>
          <w:sz w:val="36"/>
          <w:szCs w:val="36"/>
        </w:rPr>
      </w:r>
      <w:r/>
    </w:p>
    <w:p>
      <w:pPr>
        <w:jc w:val="center"/>
        <w:rPr>
          <w:rFonts w:ascii="宋体" w:hAnsi="宋体" w:cs="宋体"/>
          <w:color w:val="000000"/>
          <w:sz w:val="36"/>
          <w:szCs w:val="36"/>
        </w:rPr>
      </w:pPr>
      <w:r>
        <w:rPr>
          <w:rFonts w:hint="eastAsia" w:ascii="宋体" w:hAnsi="宋体" w:cs="宋体"/>
          <w:color w:val="000000"/>
          <w:sz w:val="36"/>
          <w:szCs w:val="36"/>
        </w:rPr>
        <w:t xml:space="preserve">镇江市政府采购合同</w:t>
      </w:r>
      <w:r/>
    </w:p>
    <w:p>
      <w:pPr>
        <w:rPr>
          <w:rFonts w:ascii="宋体" w:hAnsi="宋体" w:cs="宋体"/>
          <w:b/>
          <w:color w:val="000000"/>
          <w:sz w:val="36"/>
          <w:szCs w:val="36"/>
        </w:rPr>
      </w:pPr>
      <w:r>
        <w:rPr>
          <w:rFonts w:ascii="宋体" w:hAnsi="宋体" w:cs="宋体"/>
          <w:b/>
          <w:color w:val="000000"/>
          <w:sz w:val="36"/>
          <w:szCs w:val="36"/>
        </w:rPr>
      </w:r>
      <w:r/>
    </w:p>
    <w:p>
      <w:pPr>
        <w:rPr>
          <w:rFonts w:ascii="宋体" w:hAnsi="宋体" w:cs="宋体"/>
          <w:b/>
          <w:color w:val="000000"/>
          <w:sz w:val="36"/>
          <w:szCs w:val="36"/>
        </w:rPr>
      </w:pPr>
      <w:r>
        <w:rPr>
          <w:rFonts w:ascii="宋体" w:hAnsi="宋体" w:cs="宋体"/>
          <w:b/>
          <w:color w:val="000000"/>
          <w:sz w:val="36"/>
          <w:szCs w:val="36"/>
        </w:rPr>
      </w:r>
      <w:r/>
    </w:p>
    <w:p>
      <w:pPr>
        <w:rPr>
          <w:rFonts w:ascii="宋体" w:hAnsi="宋体" w:cs="宋体"/>
          <w:b/>
          <w:color w:val="000000"/>
          <w:sz w:val="36"/>
          <w:szCs w:val="36"/>
        </w:rPr>
      </w:pPr>
      <w:r>
        <w:rPr>
          <w:rFonts w:ascii="宋体" w:hAnsi="宋体" w:cs="宋体"/>
          <w:b/>
          <w:color w:val="000000"/>
          <w:sz w:val="36"/>
          <w:szCs w:val="36"/>
        </w:rPr>
      </w:r>
      <w:r/>
    </w:p>
    <w:p>
      <w:pPr>
        <w:rPr>
          <w:rFonts w:ascii="宋体" w:hAnsi="宋体" w:cs="宋体"/>
          <w:b/>
          <w:color w:val="000000"/>
          <w:sz w:val="36"/>
          <w:szCs w:val="36"/>
        </w:rPr>
      </w:pPr>
      <w:r>
        <w:rPr>
          <w:rFonts w:ascii="宋体" w:hAnsi="宋体" w:cs="宋体"/>
          <w:b/>
          <w:color w:val="000000"/>
          <w:sz w:val="36"/>
          <w:szCs w:val="36"/>
        </w:rPr>
      </w:r>
      <w:r/>
    </w:p>
    <w:p>
      <w:pPr>
        <w:ind w:firstLine="723"/>
        <w:spacing w:line="360" w:lineRule="auto"/>
        <w:rPr>
          <w:rFonts w:ascii="宋体" w:hAnsi="宋体" w:cs="宋体"/>
          <w:b/>
          <w:color w:val="000000"/>
          <w:sz w:val="36"/>
          <w:szCs w:val="36"/>
        </w:rPr>
      </w:pPr>
      <w:r>
        <w:rPr>
          <w:rFonts w:hint="eastAsia" w:ascii="宋体" w:hAnsi="宋体" w:cs="宋体"/>
          <w:b/>
          <w:color w:val="000000"/>
          <w:sz w:val="36"/>
          <w:szCs w:val="36"/>
        </w:rPr>
        <w:t xml:space="preserve">项目编号：</w:t>
      </w:r>
      <w:r/>
    </w:p>
    <w:p>
      <w:pPr>
        <w:ind w:firstLine="723"/>
        <w:spacing w:line="360" w:lineRule="auto"/>
        <w:rPr>
          <w:rFonts w:ascii="宋体" w:hAnsi="宋体" w:cs="宋体"/>
          <w:b/>
          <w:color w:val="000000"/>
          <w:sz w:val="36"/>
          <w:szCs w:val="36"/>
        </w:rPr>
      </w:pPr>
      <w:r>
        <w:rPr>
          <w:rFonts w:ascii="宋体" w:hAnsi="宋体" w:cs="宋体"/>
          <w:b/>
          <w:color w:val="000000"/>
          <w:sz w:val="36"/>
          <w:szCs w:val="36"/>
        </w:rPr>
      </w:r>
      <w:r/>
    </w:p>
    <w:p>
      <w:pPr>
        <w:ind w:firstLine="723"/>
        <w:spacing w:line="360" w:lineRule="auto"/>
        <w:rPr>
          <w:rFonts w:ascii="宋体" w:hAnsi="宋体" w:cs="宋体"/>
          <w:b/>
          <w:color w:val="000000"/>
          <w:sz w:val="36"/>
          <w:szCs w:val="36"/>
          <w:u w:val="single"/>
        </w:rPr>
      </w:pPr>
      <w:r>
        <w:rPr>
          <w:rFonts w:hint="eastAsia" w:ascii="宋体" w:hAnsi="宋体" w:cs="宋体"/>
          <w:b/>
          <w:color w:val="000000"/>
          <w:sz w:val="36"/>
          <w:szCs w:val="36"/>
        </w:rPr>
        <w:t xml:space="preserve">项目名称：</w:t>
      </w:r>
      <w:r/>
    </w:p>
    <w:p>
      <w:pPr>
        <w:ind w:firstLine="723"/>
        <w:spacing w:line="360" w:lineRule="auto"/>
        <w:rPr>
          <w:rFonts w:ascii="宋体" w:hAnsi="宋体" w:cs="宋体"/>
          <w:b/>
          <w:color w:val="000000"/>
          <w:sz w:val="36"/>
          <w:szCs w:val="36"/>
        </w:rPr>
      </w:pPr>
      <w:r>
        <w:rPr>
          <w:rFonts w:ascii="宋体" w:hAnsi="宋体" w:cs="宋体"/>
          <w:b/>
          <w:color w:val="000000"/>
          <w:sz w:val="36"/>
          <w:szCs w:val="36"/>
        </w:rPr>
      </w:r>
      <w:r/>
    </w:p>
    <w:p>
      <w:pPr>
        <w:ind w:firstLine="723"/>
        <w:spacing w:line="360" w:lineRule="auto"/>
        <w:rPr>
          <w:rFonts w:ascii="宋体" w:hAnsi="宋体" w:cs="宋体"/>
          <w:b/>
          <w:color w:val="000000"/>
          <w:sz w:val="36"/>
          <w:szCs w:val="36"/>
          <w:u w:val="single"/>
        </w:rPr>
      </w:pPr>
      <w:r>
        <w:rPr>
          <w:rFonts w:hint="eastAsia" w:ascii="宋体" w:hAnsi="宋体" w:cs="宋体"/>
          <w:b/>
          <w:color w:val="000000"/>
          <w:sz w:val="36"/>
          <w:szCs w:val="36"/>
        </w:rPr>
        <w:t xml:space="preserve">采购人：镇江市公路事业发展中心</w:t>
      </w:r>
      <w:r/>
    </w:p>
    <w:p>
      <w:pPr>
        <w:ind w:firstLine="723"/>
        <w:spacing w:line="360" w:lineRule="auto"/>
        <w:rPr>
          <w:rFonts w:ascii="宋体" w:hAnsi="宋体" w:cs="宋体"/>
          <w:b/>
          <w:color w:val="000000"/>
          <w:sz w:val="36"/>
          <w:szCs w:val="36"/>
        </w:rPr>
      </w:pPr>
      <w:r>
        <w:rPr>
          <w:rFonts w:ascii="宋体" w:hAnsi="宋体" w:cs="宋体"/>
          <w:b/>
          <w:color w:val="000000"/>
          <w:sz w:val="36"/>
          <w:szCs w:val="36"/>
        </w:rPr>
      </w:r>
      <w:r/>
    </w:p>
    <w:p>
      <w:pPr>
        <w:ind w:firstLine="723"/>
        <w:spacing w:line="360" w:lineRule="auto"/>
        <w:rPr>
          <w:rFonts w:ascii="宋体" w:hAnsi="宋体" w:cs="宋体"/>
          <w:b/>
          <w:color w:val="000000"/>
          <w:sz w:val="36"/>
          <w:szCs w:val="36"/>
        </w:rPr>
      </w:pPr>
      <w:r>
        <w:rPr>
          <w:rFonts w:hint="eastAsia" w:ascii="宋体" w:hAnsi="宋体" w:cs="宋体"/>
          <w:b/>
          <w:color w:val="000000"/>
          <w:sz w:val="36"/>
          <w:szCs w:val="36"/>
        </w:rPr>
        <w:t xml:space="preserve">中标供应商：</w:t>
      </w:r>
      <w:r/>
    </w:p>
    <w:p>
      <w:pPr>
        <w:rPr>
          <w:rFonts w:ascii="宋体" w:hAnsi="宋体" w:cs="宋体"/>
          <w:b/>
          <w:color w:val="000000"/>
          <w:sz w:val="36"/>
        </w:rPr>
      </w:pPr>
      <w:r>
        <w:rPr>
          <w:rFonts w:ascii="宋体" w:hAnsi="宋体" w:cs="宋体"/>
          <w:b/>
          <w:color w:val="000000"/>
          <w:sz w:val="36"/>
        </w:rPr>
      </w:r>
      <w:r/>
    </w:p>
    <w:p>
      <w:pPr>
        <w:rPr>
          <w:rFonts w:ascii="宋体" w:hAnsi="宋体" w:cs="宋体"/>
          <w:color w:val="000000"/>
          <w:sz w:val="36"/>
        </w:rPr>
      </w:pPr>
      <w:r>
        <w:rPr>
          <w:rFonts w:ascii="宋体" w:hAnsi="宋体" w:cs="宋体"/>
          <w:color w:val="000000"/>
          <w:sz w:val="36"/>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spacing w:line="460" w:lineRule="exact"/>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一、定义</w:t>
      </w:r>
      <w:r/>
    </w:p>
    <w:p>
      <w:pPr>
        <w:jc w:val="left"/>
        <w:spacing w:before="189"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1"/>
          <w:sz w:val="24"/>
        </w:rPr>
        <w:t xml:space="preserve">本合同中的下列术语应解释为：</w:t>
      </w:r>
      <w:r/>
    </w:p>
    <w:p>
      <w:pPr>
        <w:jc w:val="left"/>
        <w:spacing w:before="217"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5"/>
          <w:sz w:val="24"/>
        </w:rPr>
        <w:t xml:space="preserve">1.1“甲方”系指购买服务的采购人，即</w:t>
      </w:r>
      <w:r>
        <w:rPr>
          <w:rFonts w:hint="eastAsia" w:asciiTheme="minorEastAsia" w:hAnsiTheme="minorEastAsia" w:eastAsiaTheme="minorEastAsia" w:cstheme="minorEastAsia"/>
          <w:color w:val="000000"/>
          <w:spacing w:val="5"/>
          <w:sz w:val="24"/>
          <w:u w:val="single"/>
        </w:rPr>
        <w:t xml:space="preserve">                  </w:t>
      </w:r>
      <w:r/>
    </w:p>
    <w:p>
      <w:pPr>
        <w:jc w:val="left"/>
        <w:spacing w:before="187"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11"/>
          <w:sz w:val="24"/>
        </w:rPr>
        <w:t xml:space="preserve">1.2“乙方”系指提供服务的供应商，即</w:t>
      </w:r>
      <w:r>
        <w:rPr>
          <w:rFonts w:hint="eastAsia" w:asciiTheme="minorEastAsia" w:hAnsiTheme="minorEastAsia" w:eastAsiaTheme="minorEastAsia" w:cstheme="minorEastAsia"/>
          <w:color w:val="000000"/>
          <w:spacing w:val="11"/>
          <w:sz w:val="24"/>
          <w:u w:val="single"/>
        </w:rPr>
        <w:t xml:space="preserve">               </w:t>
      </w:r>
      <w:r/>
    </w:p>
    <w:p>
      <w:pPr>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1.3“服务”系指本招标文件所述采购标的，服务包括官塘桥路 K1+637~K5+870、金桥大道 K7+510~K9+850中分带、侧分带以及道路红线范围内的绿化养护及其范围内的垃圾、漂浮物清理、部分绿化补植等工作，服务亦包括招标文件中特别描述的其它形式的服务</w:t>
      </w:r>
      <w:r/>
    </w:p>
    <w:p>
      <w:pPr>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1.4“合同”系指甲方与乙方签署的、合同格式中载明的甲方与乙方所达成的协议，包括招标文件、投标文件、附件、附录和构成合同的所有文件。</w:t>
      </w:r>
      <w:r/>
    </w:p>
    <w:p>
      <w:pPr>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1.5“合同价”系指根据合同规定，乙方在正确地完全履行合同义务后甲方应支付给乙方的价格。</w:t>
      </w:r>
      <w:r/>
    </w:p>
    <w:p>
      <w:pPr>
        <w:ind w:right="1319"/>
        <w:jc w:val="left"/>
        <w:spacing w:line="460" w:lineRule="exact"/>
        <w:widowControl/>
        <w:rPr>
          <w:rFonts w:asciiTheme="minorEastAsia" w:hAnsiTheme="minorEastAsia" w:eastAsiaTheme="minorEastAsia" w:cstheme="minorEastAsia"/>
          <w:color w:val="000000"/>
          <w:spacing w:val="9"/>
          <w:sz w:val="24"/>
        </w:rPr>
      </w:pPr>
      <w:r>
        <w:rPr>
          <w:rFonts w:asciiTheme="minorEastAsia" w:hAnsiTheme="minorEastAsia" w:eastAsiaTheme="minorEastAsia" w:cstheme="minorEastAsia"/>
          <w:color w:val="000000"/>
          <w:spacing w:val="9"/>
          <w:sz w:val="24"/>
        </w:rPr>
      </w:r>
      <w:r/>
    </w:p>
    <w:p>
      <w:pPr>
        <w:ind w:right="1319"/>
        <w:jc w:val="left"/>
        <w:spacing w:line="460" w:lineRule="exact"/>
        <w:widowControl/>
        <w:rPr>
          <w:rFonts w:asciiTheme="minorEastAsia" w:hAnsiTheme="minorEastAsia" w:eastAsiaTheme="minorEastAsia" w:cstheme="minorEastAsia"/>
          <w:b/>
          <w:bCs/>
          <w:color w:val="000000"/>
          <w:spacing w:val="9"/>
          <w:sz w:val="24"/>
        </w:rPr>
      </w:pPr>
      <w:r>
        <w:rPr>
          <w:rFonts w:hint="eastAsia" w:asciiTheme="minorEastAsia" w:hAnsiTheme="minorEastAsia" w:eastAsiaTheme="minorEastAsia" w:cstheme="minorEastAsia"/>
          <w:b/>
          <w:bCs/>
          <w:color w:val="000000"/>
          <w:spacing w:val="9"/>
          <w:sz w:val="24"/>
        </w:rPr>
        <w:t xml:space="preserve">1.合同文件</w:t>
      </w:r>
      <w:r/>
    </w:p>
    <w:p>
      <w:pPr>
        <w:ind w:left="9" w:right="148"/>
        <w:spacing w:before="113"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pacing w:val="6"/>
          <w:sz w:val="24"/>
        </w:rPr>
        <w:t xml:space="preserve">下列关于</w:t>
      </w:r>
      <w:r>
        <w:rPr>
          <w:rFonts w:hint="eastAsia" w:asciiTheme="minorEastAsia" w:hAnsiTheme="minorEastAsia" w:eastAsiaTheme="minorEastAsia" w:cstheme="minorEastAsia"/>
          <w:spacing w:val="-4"/>
          <w:sz w:val="24"/>
        </w:rPr>
        <w:t xml:space="preserve"> </w:t>
      </w:r>
      <w:r>
        <w:rPr>
          <w:rFonts w:hint="eastAsia" w:asciiTheme="minorEastAsia" w:hAnsiTheme="minorEastAsia" w:eastAsiaTheme="minorEastAsia" w:cstheme="minorEastAsia"/>
          <w:spacing w:val="-4"/>
          <w:sz w:val="24"/>
          <w:u w:val="single"/>
        </w:rPr>
        <w:t xml:space="preserve">          </w:t>
      </w:r>
      <w:r>
        <w:rPr>
          <w:rFonts w:hint="eastAsia" w:asciiTheme="minorEastAsia" w:hAnsiTheme="minorEastAsia" w:eastAsiaTheme="minorEastAsia" w:cstheme="minorEastAsia"/>
          <w:color w:val="000000"/>
          <w:spacing w:val="6"/>
          <w:sz w:val="24"/>
        </w:rPr>
        <w:t xml:space="preserve">号的招标文件、乙方提交的投标文件是构成本合同不可分割的部分：</w:t>
      </w:r>
      <w:r/>
    </w:p>
    <w:p>
      <w:pPr>
        <w:ind w:left="589"/>
        <w:spacing w:before="21"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spacing w:val="22"/>
          <w:sz w:val="24"/>
        </w:rPr>
        <w:t xml:space="preserve">(</w:t>
      </w:r>
      <w:r>
        <w:rPr>
          <w:rFonts w:hint="eastAsia" w:asciiTheme="minorEastAsia" w:hAnsiTheme="minorEastAsia" w:eastAsiaTheme="minorEastAsia" w:cstheme="minorEastAsia"/>
          <w:color w:val="000000"/>
          <w:spacing w:val="6"/>
          <w:sz w:val="24"/>
        </w:rPr>
        <w:t xml:space="preserve">1)合同条款</w:t>
      </w:r>
      <w:r/>
    </w:p>
    <w:p>
      <w:pPr>
        <w:ind w:left="589"/>
        <w:spacing w:before="97"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(2)投标函；</w:t>
      </w:r>
      <w:r/>
    </w:p>
    <w:p>
      <w:pPr>
        <w:ind w:left="589"/>
        <w:spacing w:before="151"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(3)开标(报价)一览表；</w:t>
      </w:r>
      <w:r/>
    </w:p>
    <w:p>
      <w:pPr>
        <w:ind w:left="589"/>
        <w:spacing w:before="137"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(4)明细报价表</w:t>
      </w:r>
      <w:r/>
    </w:p>
    <w:p>
      <w:pPr>
        <w:ind w:left="589"/>
        <w:spacing w:before="138"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(5)投标书及附件；</w:t>
      </w:r>
      <w:r/>
    </w:p>
    <w:p>
      <w:pPr>
        <w:ind w:left="589"/>
        <w:spacing w:before="148"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(6)技术及服务响应文件；</w:t>
      </w:r>
      <w:r/>
    </w:p>
    <w:p>
      <w:pPr>
        <w:ind w:left="589"/>
        <w:spacing w:before="154"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(7)中标通知书；</w:t>
      </w:r>
      <w:r/>
    </w:p>
    <w:p>
      <w:pPr>
        <w:ind w:left="589"/>
        <w:spacing w:before="138"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(8)甲方、乙方商定的其他必要文件。</w:t>
      </w:r>
      <w:r/>
    </w:p>
    <w:p>
      <w:pPr>
        <w:spacing w:line="460" w:lineRule="exact"/>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2.项目概况</w:t>
      </w:r>
      <w:r/>
    </w:p>
    <w:p>
      <w:pPr>
        <w:ind w:left="589"/>
        <w:spacing w:before="136" w:line="460" w:lineRule="exact"/>
        <w:rPr>
          <w:rFonts w:asciiTheme="minorEastAsia" w:hAnsiTheme="minorEastAsia" w:eastAsiaTheme="minorEastAsia" w:cstheme="minorEastAsia"/>
          <w:spacing w:val="15"/>
          <w:sz w:val="24"/>
          <w:u w:val="single"/>
        </w:rPr>
      </w:pPr>
      <w:r>
        <w:rPr>
          <w:rFonts w:hint="eastAsia" w:asciiTheme="minorEastAsia" w:hAnsiTheme="minorEastAsia" w:eastAsiaTheme="minorEastAsia" w:cstheme="minorEastAsia"/>
          <w:color w:val="000000"/>
          <w:spacing w:val="6"/>
          <w:sz w:val="24"/>
        </w:rPr>
        <w:t xml:space="preserve">项目名称：</w:t>
      </w:r>
      <w:r>
        <w:rPr>
          <w:rFonts w:hint="eastAsia" w:asciiTheme="minorEastAsia" w:hAnsiTheme="minorEastAsia" w:eastAsiaTheme="minorEastAsia" w:cstheme="minorEastAsia"/>
          <w:spacing w:val="15"/>
          <w:sz w:val="24"/>
          <w:u w:val="single"/>
        </w:rPr>
        <w:t xml:space="preserve">         </w:t>
      </w:r>
      <w:r/>
    </w:p>
    <w:p>
      <w:pPr>
        <w:ind w:left="589"/>
        <w:spacing w:before="136"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养护内容：按招标文件执行</w:t>
      </w:r>
      <w:r/>
    </w:p>
    <w:p>
      <w:pPr>
        <w:ind w:right="327"/>
        <w:spacing w:before="165"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color w:val="000000"/>
          <w:sz w:val="24"/>
        </w:rPr>
        <w:t xml:space="preserve">3.承包范围：</w:t>
      </w:r>
      <w:r>
        <w:rPr>
          <w:rFonts w:hint="eastAsia" w:asciiTheme="minorEastAsia" w:hAnsiTheme="minorEastAsia" w:eastAsiaTheme="minorEastAsia" w:cstheme="minorEastAsia"/>
          <w:spacing w:val="-85"/>
          <w:sz w:val="24"/>
        </w:rPr>
        <w:t xml:space="preserve"> </w:t>
      </w:r>
      <w:r>
        <w:rPr>
          <w:rFonts w:hint="eastAsia" w:asciiTheme="minorEastAsia" w:hAnsiTheme="minorEastAsia" w:eastAsiaTheme="minorEastAsia" w:cstheme="minorEastAsia"/>
          <w:spacing w:val="3"/>
          <w:sz w:val="24"/>
          <w:u w:val="single"/>
        </w:rPr>
        <w:t xml:space="preserve">                  </w:t>
      </w:r>
      <w:r/>
    </w:p>
    <w:p>
      <w:pPr>
        <w:ind w:right="327"/>
        <w:spacing w:before="165"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color w:val="000000"/>
          <w:sz w:val="24"/>
        </w:rPr>
        <w:t xml:space="preserve">4.承包绿地总面积：</w:t>
      </w:r>
      <w:r>
        <w:rPr>
          <w:rFonts w:hint="eastAsia" w:asciiTheme="minorEastAsia" w:hAnsiTheme="minorEastAsia" w:eastAsiaTheme="minorEastAsia" w:cstheme="minorEastAsia"/>
          <w:spacing w:val="-6"/>
          <w:sz w:val="24"/>
          <w:u w:val="single"/>
        </w:rPr>
        <w:t xml:space="preserve">             </w:t>
      </w:r>
      <w:r/>
    </w:p>
    <w:p>
      <w:pPr>
        <w:ind w:right="327"/>
        <w:spacing w:before="165" w:line="460" w:lineRule="exact"/>
        <w:rPr>
          <w:rFonts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5.服务期</w:t>
      </w:r>
      <w:r/>
    </w:p>
    <w:p>
      <w:pPr>
        <w:ind w:right="327" w:firstLine="504"/>
        <w:spacing w:before="165" w:line="460" w:lineRule="exact"/>
        <w:rPr>
          <w:rFonts w:asciiTheme="minorEastAsia" w:hAnsiTheme="minorEastAsia" w:eastAsiaTheme="minorEastAsia" w:cstheme="minorEastAsia"/>
          <w:color w:val="000000"/>
          <w:spacing w:val="6"/>
          <w:sz w:val="24"/>
          <w:highlight w:val="cyan"/>
        </w:rPr>
      </w:pPr>
      <w:r>
        <w:rPr>
          <w:rFonts w:hint="eastAsia" w:asciiTheme="minorEastAsia" w:hAnsiTheme="minorEastAsia" w:eastAsiaTheme="minorEastAsia" w:cstheme="minorEastAsia"/>
          <w:color w:val="000000"/>
          <w:spacing w:val="6"/>
          <w:sz w:val="24"/>
        </w:rPr>
        <w:t xml:space="preserve">服务期限一年,自</w:t>
      </w:r>
      <w:r>
        <w:rPr>
          <w:rFonts w:hint="eastAsia" w:asciiTheme="minorEastAsia" w:hAnsiTheme="minorEastAsia" w:eastAsiaTheme="minorEastAsia" w:cstheme="minorEastAsia"/>
          <w:sz w:val="24"/>
          <w:u w:val="single"/>
        </w:rPr>
        <w:t xml:space="preserve"> 2025年  月  日</w:t>
      </w:r>
      <w:r>
        <w:rPr>
          <w:rFonts w:hint="eastAsia" w:asciiTheme="minorEastAsia" w:hAnsiTheme="minorEastAsia" w:eastAsiaTheme="minorEastAsia" w:cstheme="minorEastAsia"/>
          <w:color w:val="000000"/>
          <w:spacing w:val="6"/>
          <w:sz w:val="24"/>
        </w:rPr>
        <w:t xml:space="preserve">至</w:t>
      </w:r>
      <w:r>
        <w:rPr>
          <w:rFonts w:hint="eastAsia" w:asciiTheme="minorEastAsia" w:hAnsiTheme="minorEastAsia" w:eastAsiaTheme="minorEastAsia" w:cstheme="minorEastAsia"/>
          <w:spacing w:val="-76"/>
          <w:sz w:val="24"/>
        </w:rPr>
        <w:t xml:space="preserve"> </w:t>
      </w:r>
      <w:r>
        <w:rPr>
          <w:rFonts w:hint="eastAsia" w:asciiTheme="minorEastAsia" w:hAnsiTheme="minorEastAsia" w:eastAsiaTheme="minorEastAsia" w:cstheme="minorEastAsia"/>
          <w:sz w:val="24"/>
          <w:u w:val="single"/>
        </w:rPr>
        <w:t xml:space="preserve">2026 年   月   日。</w:t>
      </w:r>
      <w:r/>
    </w:p>
    <w:p>
      <w:pPr>
        <w:ind w:right="327"/>
        <w:spacing w:before="165" w:line="460" w:lineRule="exact"/>
        <w:rPr>
          <w:rFonts w:asciiTheme="minorEastAsia" w:hAnsiTheme="minorEastAsia" w:eastAsiaTheme="minorEastAsia" w:cstheme="minorEastAsia"/>
          <w:b/>
          <w:bCs/>
          <w:color w:val="000000"/>
          <w:spacing w:val="6"/>
          <w:sz w:val="24"/>
        </w:rPr>
      </w:pPr>
      <w:r>
        <w:rPr>
          <w:rFonts w:hint="eastAsia" w:asciiTheme="minorEastAsia" w:hAnsiTheme="minorEastAsia" w:eastAsiaTheme="minorEastAsia" w:cstheme="minorEastAsia"/>
          <w:b/>
          <w:bCs/>
          <w:color w:val="000000"/>
          <w:spacing w:val="6"/>
          <w:sz w:val="24"/>
        </w:rPr>
        <w:t xml:space="preserve">6.承包方式</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right="327"/>
        <w:spacing w:before="165" w:line="460" w:lineRule="exact"/>
        <w:rPr>
          <w:rFonts w:asciiTheme="minorEastAsia" w:hAnsiTheme="minorEastAsia" w:eastAsiaTheme="minorEastAsia" w:cstheme="minorEastAsia"/>
          <w:b/>
          <w:bCs/>
          <w:color w:val="000000"/>
          <w:spacing w:val="6"/>
          <w:sz w:val="24"/>
        </w:rPr>
      </w:pPr>
      <w:r>
        <w:rPr>
          <w:rFonts w:hint="eastAsia" w:asciiTheme="minorEastAsia" w:hAnsiTheme="minorEastAsia" w:eastAsiaTheme="minorEastAsia" w:cstheme="minorEastAsia"/>
          <w:b/>
          <w:bCs/>
          <w:color w:val="000000"/>
          <w:spacing w:val="6"/>
          <w:sz w:val="24"/>
        </w:rPr>
        <w:t xml:space="preserve">7.养护质量标准</w:t>
      </w:r>
      <w:r/>
    </w:p>
    <w:p>
      <w:pPr>
        <w:ind w:left="589" w:right="327"/>
        <w:spacing w:before="165"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《镇江市城市绿地养护等级标准》一级养护等级标准</w:t>
      </w:r>
      <w:r/>
    </w:p>
    <w:p>
      <w:pPr>
        <w:ind w:right="327"/>
        <w:spacing w:before="165" w:line="460" w:lineRule="exact"/>
        <w:rPr>
          <w:rFonts w:asciiTheme="minorEastAsia" w:hAnsiTheme="minorEastAsia" w:eastAsiaTheme="minorEastAsia" w:cstheme="minorEastAsia"/>
          <w:b/>
          <w:bCs/>
          <w:color w:val="000000"/>
          <w:spacing w:val="6"/>
          <w:sz w:val="24"/>
        </w:rPr>
      </w:pPr>
      <w:r>
        <w:rPr>
          <w:rFonts w:hint="eastAsia" w:asciiTheme="minorEastAsia" w:hAnsiTheme="minorEastAsia" w:eastAsiaTheme="minorEastAsia" w:cstheme="minorEastAsia"/>
          <w:b/>
          <w:bCs/>
          <w:color w:val="000000"/>
          <w:spacing w:val="6"/>
          <w:sz w:val="24"/>
        </w:rPr>
        <w:t xml:space="preserve">8.合同价款</w:t>
      </w:r>
      <w:r/>
    </w:p>
    <w:p>
      <w:pPr>
        <w:ind w:left="589" w:right="327"/>
        <w:spacing w:before="165"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pacing w:val="6"/>
          <w:sz w:val="24"/>
        </w:rPr>
        <w:t xml:space="preserve">金额 ： ( 大 写 )</w:t>
      </w:r>
      <w:r>
        <w:rPr>
          <w:rFonts w:hint="eastAsia" w:asciiTheme="minorEastAsia" w:hAnsiTheme="minorEastAsia" w:eastAsiaTheme="minorEastAsia" w:cstheme="minorEastAsia"/>
          <w:spacing w:val="-72"/>
          <w:sz w:val="24"/>
        </w:rPr>
        <w:t xml:space="preserve"> </w:t>
      </w:r>
      <w:r>
        <w:rPr>
          <w:rFonts w:hint="eastAsia" w:asciiTheme="minorEastAsia" w:hAnsiTheme="minorEastAsia" w:eastAsiaTheme="minorEastAsia" w:cstheme="minorEastAsia"/>
          <w:spacing w:val="-13"/>
          <w:sz w:val="24"/>
          <w:u w:val="single"/>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pacing w:val="-12"/>
          <w:sz w:val="24"/>
        </w:rPr>
        <w:t xml:space="preserve">(</w:t>
      </w:r>
      <w:r>
        <w:rPr>
          <w:rFonts w:hint="eastAsia" w:asciiTheme="minorEastAsia" w:hAnsiTheme="minorEastAsia" w:eastAsiaTheme="minorEastAsia" w:cstheme="minorEastAsia"/>
          <w:color w:val="000000"/>
          <w:spacing w:val="6"/>
          <w:sz w:val="24"/>
        </w:rPr>
        <w:t xml:space="preserve"> 人 民 币 )</w:t>
      </w:r>
      <w:r>
        <w:rPr>
          <w:rFonts w:hint="eastAsia" w:asciiTheme="minorEastAsia" w:hAnsiTheme="minorEastAsia" w:eastAsiaTheme="minorEastAsia" w:cstheme="minorEastAsia"/>
          <w:spacing w:val="-12"/>
          <w:sz w:val="24"/>
          <w:u w:val="single"/>
        </w:rPr>
        <w:t xml:space="preserve">           </w:t>
      </w:r>
      <w:r>
        <w:rPr>
          <w:rFonts w:hint="eastAsia" w:asciiTheme="minorEastAsia" w:hAnsiTheme="minorEastAsia" w:eastAsiaTheme="minorEastAsia" w:cstheme="minorEastAsia"/>
          <w:spacing w:val="69"/>
          <w:sz w:val="24"/>
        </w:rPr>
        <w:t xml:space="preserve"> </w:t>
      </w:r>
      <w:r>
        <w:rPr>
          <w:rFonts w:hint="eastAsia" w:asciiTheme="minorEastAsia" w:hAnsiTheme="minorEastAsia" w:eastAsiaTheme="minorEastAsia" w:cstheme="minorEastAsia"/>
          <w:color w:val="000000"/>
          <w:spacing w:val="6"/>
          <w:sz w:val="24"/>
        </w:rPr>
        <w:t xml:space="preserve">元</w:t>
      </w:r>
      <w:r/>
    </w:p>
    <w:p>
      <w:pPr>
        <w:jc w:val="left"/>
        <w:spacing w:line="460" w:lineRule="exact"/>
        <w:rPr>
          <w:rFonts w:asciiTheme="minorEastAsia" w:hAnsiTheme="minorEastAsia" w:eastAsiaTheme="minorEastAsia" w:cstheme="minorEastAsia"/>
          <w:b/>
          <w:bCs/>
          <w:color w:val="000000"/>
          <w:spacing w:val="6"/>
          <w:sz w:val="24"/>
        </w:rPr>
      </w:pPr>
      <w:r>
        <w:rPr>
          <w:rFonts w:hint="eastAsia" w:asciiTheme="minorEastAsia" w:hAnsiTheme="minorEastAsia" w:eastAsiaTheme="minorEastAsia" w:cstheme="minorEastAsia"/>
          <w:b/>
          <w:bCs/>
          <w:color w:val="000000"/>
          <w:spacing w:val="6"/>
          <w:sz w:val="24"/>
        </w:rPr>
        <w:t xml:space="preserve">9.合同生效及其它</w:t>
      </w:r>
      <w:r/>
    </w:p>
    <w:p>
      <w:pPr>
        <w:ind w:right="491" w:firstLine="504"/>
        <w:spacing w:before="163" w:line="460" w:lineRule="exact"/>
        <w:rPr>
          <w:rFonts w:asciiTheme="minorEastAsia" w:hAnsiTheme="minorEastAsia" w:eastAsiaTheme="minorEastAsia" w:cstheme="minorEastAsia"/>
          <w:color w:val="000000"/>
          <w:spacing w:val="6"/>
          <w:sz w:val="24"/>
        </w:rPr>
      </w:pPr>
      <w:r>
        <w:rPr>
          <w:rFonts w:hint="eastAsia" w:asciiTheme="minorEastAsia" w:hAnsiTheme="minorEastAsia" w:eastAsiaTheme="minorEastAsia" w:cstheme="minorEastAsia"/>
          <w:color w:val="000000"/>
          <w:spacing w:val="6"/>
          <w:sz w:val="24"/>
        </w:rPr>
        <w:t xml:space="preserve">本合同经甲方、乙方签字后生效。本合同一式四份，甲乙双方各执二份。</w:t>
      </w:r>
      <w:r/>
    </w:p>
    <w:p>
      <w:pPr>
        <w:jc w:val="left"/>
        <w:spacing w:before="94" w:line="460" w:lineRule="exact"/>
        <w:widowControl/>
        <w:rPr>
          <w:rFonts w:asciiTheme="minorEastAsia" w:hAnsiTheme="minorEastAsia" w:eastAsiaTheme="minorEastAsia" w:cstheme="minorEastAsia"/>
          <w:b/>
          <w:bCs/>
          <w:color w:val="000000"/>
          <w:spacing w:val="-6"/>
          <w:sz w:val="24"/>
        </w:rPr>
      </w:pPr>
      <w:r>
        <w:rPr>
          <w:rFonts w:hint="eastAsia" w:asciiTheme="minorEastAsia" w:hAnsiTheme="minorEastAsia" w:eastAsiaTheme="minorEastAsia" w:cstheme="minorEastAsia"/>
          <w:b/>
          <w:bCs/>
          <w:color w:val="000000"/>
          <w:spacing w:val="-6"/>
          <w:sz w:val="24"/>
        </w:rPr>
        <w:t xml:space="preserve">二、甲方权利和义务</w:t>
      </w:r>
      <w:r/>
    </w:p>
    <w:p>
      <w:pPr>
        <w:ind w:firstLine="500"/>
        <w:jc w:val="left"/>
        <w:spacing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5"/>
          <w:sz w:val="24"/>
        </w:rPr>
        <w:t xml:space="preserve">2.1 负责向乙方提供中标绿地的有关资料。</w:t>
      </w:r>
      <w:r/>
    </w:p>
    <w:p>
      <w:pPr>
        <w:ind w:firstLine="504"/>
        <w:jc w:val="left"/>
        <w:spacing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6"/>
          <w:sz w:val="24"/>
        </w:rPr>
        <w:t xml:space="preserve">2.2 组织召开养护作业技术交底会。</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甲方负责乙方的日常养护作业的管理、负责日常考核、专项考核和行业管理考核。每月底对乙方作出下月度养护工作计划布置和对日常养护工作进行各项考核，考核按《镇江市市管绿地养护管理考核实施细则》进行。</w:t>
      </w:r>
      <w:r/>
    </w:p>
    <w:p>
      <w:pPr>
        <w:ind w:firstLine="512"/>
        <w:jc w:val="left"/>
        <w:spacing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8"/>
          <w:sz w:val="24"/>
        </w:rPr>
        <w:t xml:space="preserve">2.4甲方按本合同有关条款，支付相应养护经费。</w:t>
      </w:r>
      <w:r/>
    </w:p>
    <w:p>
      <w:pPr>
        <w:ind w:firstLine="500"/>
        <w:jc w:val="left"/>
        <w:spacing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5"/>
          <w:sz w:val="24"/>
        </w:rPr>
        <w:t xml:space="preserve">2.5如遇突发事件，协调乙方在作业过程中与其他管理部门的关系。</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 在合同期内，因国家需要征用、改造、临时占用绿地等需要调整乙方管护绿化地段(范围)和管护等级，退出原养护地段(范围)、减少养护范围及经费。由此造成的经济损失，甲方不负赔偿责任。</w:t>
      </w:r>
      <w:r/>
    </w:p>
    <w:p>
      <w:pPr>
        <w:ind w:left="420"/>
        <w:jc w:val="left"/>
        <w:spacing w:line="460" w:lineRule="exac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pacing w:val="8"/>
          <w:sz w:val="24"/>
        </w:rPr>
        <w:t xml:space="preserve">2.7甲方有权对乙方养护不到位的工作实施扣款：</w:t>
      </w:r>
      <w:r/>
    </w:p>
    <w:p>
      <w:pPr>
        <w:ind w:left="420"/>
        <w:jc w:val="left"/>
        <w:spacing w:line="460" w:lineRule="exact"/>
        <w:widowControl/>
        <w:rPr>
          <w:rFonts w:asciiTheme="minorEastAsia" w:hAnsiTheme="minorEastAsia" w:eastAsiaTheme="minorEastAsia" w:cstheme="minorEastAsia"/>
          <w:color w:val="000000"/>
          <w:spacing w:val="9"/>
          <w:sz w:val="24"/>
        </w:rPr>
      </w:pPr>
      <w:r>
        <w:rPr>
          <w:rFonts w:hint="eastAsia" w:asciiTheme="minorEastAsia" w:hAnsiTheme="minorEastAsia" w:eastAsiaTheme="minorEastAsia" w:cstheme="minorEastAsia"/>
          <w:color w:val="000000"/>
          <w:spacing w:val="9"/>
          <w:sz w:val="24"/>
        </w:rPr>
        <w:t xml:space="preserve">2.7.1人员管理</w:t>
      </w:r>
      <w:r/>
    </w:p>
    <w:p>
      <w:pPr>
        <w:ind w:firstLine="480"/>
        <w:jc w:val="left"/>
        <w:spacing w:line="4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(1)在规定时间内，现场负责人不在养护现场或未履行请假手续离开镇江，每人每次扣1000元。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(2)养护单位工作人员，未经上报甲方批准，不能按要求参加甲方组织的会议、活动，每人每次扣1000元。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(3)项目负责人、现场负责人，无故关闭通讯设备，突发事件联系不上，每人每次扣1000元。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(4)长期固定养护工人未按投标文件承诺的标准足额配齐，每人每天扣1000元。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(5)在巡查、考核过程中，若发现养护工人未统一着装上岗(有反光条绿色马甲：背后印有“绿化养护”,胸前印有“公司名称”),每人每次扣500元。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2.7.2设备管理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抽查企业驻镇场所时，大型机械设备(如巡视车、水车、工程车)未按合同要求配备齐全或巡视车、水车、工程车不属于中标单位或企业法人所有，每台每次扣10000元。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2.7.3文明养护</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(1)养护工人不文明施工，导致严重后果，每次扣5000元以上。</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(2)绿化垃圾当天未清理干净，保洁工具随地乱放，每处每次扣1000元。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2.7.4应对检查</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(1)养护过程中，因养护不当造成养护事故，如不适时修剪、过度修剪、施肥灼伤、喷药过度、病虫害防治不到位、未经上报批准擅自整改路段绿化等其他造成大面积苗木受损的，每次扣2000元以上。</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(2)路段出现失管现象，或近期重点管养工作进度严重滞后问题，每次扣2000元以上。</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(3)巡查过程中，水面发现明显漂浮物5处，每次扣1000元。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(4)甲方下达的专项工作任务，乙方不能根据要求按时完成，每次扣2000元以上。</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(5)对毁绿、占绿(包括审批移植超范围施工)的行为，未在第一时间(当日17:00之前发 生的需当日处置，当日17:00 以后发生的需在次日12:00之前处置)内发现并制止、上报甲方 及相关执法单位，每次扣5000元以上。只上报甲方未作实质性处置的视为未有效制止毁绿 、占绿行为。</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(6)绿地被侵占、破坏的，未及时按要求恢复的，每次扣5000元以上。</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(7)被上级领导批评、被媒体曝光及发生其他有损甲方形象的事件，经查属乙方责任的 ,每次扣5000元以上，养护服务期内第二次发生类似事件，加倍扣款，以此类推。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(8)啄木鸟、大城管、12345 派发的整改工单，未及时按要求处理到位，每次扣5000元以上，养护服务期内第二次发生类似事件，加倍扣款，以此类推。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2.8在合同履行期间，甲方有权根据相关规定制定管理办法和制度要求，乙方必须遵守。</w:t>
      </w:r>
      <w:r/>
    </w:p>
    <w:p>
      <w:pPr>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三</w:t>
      </w:r>
      <w:r>
        <w:rPr>
          <w:rFonts w:hint="eastAsia" w:asciiTheme="minorEastAsia" w:hAnsiTheme="minorEastAsia" w:eastAsiaTheme="minorEastAsia" w:cstheme="minorEastAsia"/>
          <w:b/>
          <w:bCs/>
          <w:sz w:val="24"/>
        </w:rPr>
        <w:t xml:space="preserve">、乙方权利和义务</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项目进场前在镇江市市区(含丹徒新区)范围内就近设立交通便捷、建筑面积不少于100 m²的项目管理部一处(具备小型会议室)和不少于1处养护人员休息、养护车辆设备停放、机具设备存储的场所；项目管理部管理人员按要求到位到岗，并于项目进场前进驻项目部办公。每日实际上岗工人数不得低于招标书规定的基数。进场养护两周内将养护工人的身份证复印件交给甲方备案，如需更换养护工人须经甲方同意后方可实施，每年养护工人流动率控制在15%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接到甲方通知后，按招标书中关于专业养护车辆的要求，将巡视车1辆配备到位，保证该车用于本项目的日常巡视以及检查考核。</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 接到甲方通知后，按招标书中关于专业养护车辆的要求，将标配洒水车、卡车等足额配备到位，涂刷统一标志，如违约愿意接受甲方处罚。保证上述车辆专用于本项目的绿化养护，并做好设备维护更新管理工作，确保设备外观整洁、性能良好。</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 接到甲方通知后，人员统一着装上岗，全天候作业，着装干净整洁。</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 专人负责养护台账资料的制作、管理，确保台账资料记录详细，分类清楚、数据详实。建立养护范围内绿化苗木数据库，根据实际情况进行动态更新。</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3.6 植物出现死亡，及时报告甲方，24小时内处置完毕。按照甲方要求在规定的时间内保质保量补植到位，并确保成活。</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3.7 已落实专人，对养护范围内所有的植物、设施已现场踏勘、调查清楚，对数量和现状无疑义。</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3.8 做好病虫害防治工作，对一些发生较为严重、防治难度较大的病虫害，严格按照甲方制定的防治方案进行防治。</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3.9 养护期内将按标准对行道树进行冬季修剪，日常疏剪。通过修剪保证树冠通风透光、树型优美，修剪后上不挂各类线路、下不妨碍交通、旁不影响建筑。加强日常检查，及时清除枯枝危膀、空中挂枝。</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3.10 养护过程中，采取周密的安全措施，以避免对人身和财产的损害。作业时设立安全防护警示标志并加强对工人安全防范的教育。做好项目内安全防范工作，充分考虑各种潜在风险，包括工人的意外伤害防以及操作不当、养护不当(如蛀干害虫未及时防治引起 枝条砸落)或管理不善而造成人身伤害或财产损失。上述问题一旦发生，均由乙方负责处理解决，所发生的费用(包括赔偿费用)均由乙方承担。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3.11 加强对水表、电表、供水供电系统、喷灌系统的维护管理，发生费用由乙方承担。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3.12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3.13 养护车辆统一根据甲方要求安装定位系统，确保该设备处于可用状态，所涉及费用由乙方自行承担。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3.14 接到甲方通知后，进场开展养护工作；进场后3个月内与移交单位办理完毕相关移交手续；在养护期满后3个月内与接收单位办理完毕相关移交手续。</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3.15 造型景观树的修剪须由盆景中级工(含)以上专业人员负责养护。</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3.16 绿地保安全天候24小时，无重大破坏和偷盗案件，如遇重大事件及时上报，未及时上报而造成的损失由乙方承担。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3.17 应定期清理空洞法桐、香樟内的垃圾、腐烂木屑等，并进行防虫、防腐处理。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3.18 严格按照要求，编制年度草花种植计划和每季种植方案，种植方案经甲方确认后实施。</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3.19 草花使用F1代品种，营养钵苗，生长健壮、色彩鲜艳，一般种植密度至少达到64株/平方米，确保种植后黄土不裸露。</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3.20 由于雨水冲刷、积水或者人为踩踏、偷盗等原因造成的草花腐烂或者缺损等，由乙方自行进行补植，补植的草花品种原则上同种植品种一致，确保补植质量。</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3.20 在合同履约期间，承包人发现存在人为损坏道路路产设施、绿化、污染路面、私自挖掘道路、占用道路，或在公路建筑控制区内挖掘道路等行为的，承包人应主动劝阻相关行为，并主动向发包人或执法部门报告；因承包人未及时劝阻或报告造成公路路产路权损坏 的，承包人应当协助发包人进行索赔，并修复到位，修复费用由承包人承担。</w:t>
      </w:r>
      <w:r/>
    </w:p>
    <w:p>
      <w:pPr>
        <w:ind w:firstLine="480"/>
        <w:spacing w:line="460" w:lineRule="exact"/>
        <w:tabs>
          <w:tab w:val="left" w:pos="606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3.21乙方须配合甲方与新中标单位办理交接。</w:t>
      </w:r>
      <w:r>
        <w:rPr>
          <w:rFonts w:ascii="宋体" w:hAnsi="宋体" w:cs="宋体"/>
          <w:color w:val="000000"/>
          <w:sz w:val="24"/>
        </w:rPr>
        <w:tab/>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4、养护组织与进度计划</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 乙方在本合同生效后15天内上报全年养护作业维修计划和该项目养护管理人员网络组成表，并结合季节特点和绿化状况，制定季度、月度养护计划、材料计划送交甲方。甲方在7天内予以确认。</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5、质量与考核</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 因乙方原因，养护质量达不到约定的质量标准，乙方承担违约责任。</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6、检查和考核</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6.1乙方应认真按照合同约定的质量标准进行养护，随时接受甲方的检查和考核，为检查和考核提供便利条件。</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 对于养护质量不符合要求的，甲方先通知整改，乙方在两天内不整改的或整改效果不符合要求的，由甲方派其他队伍整改，费用在乙方养护费中扣除。</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6.3乙方养护期间的乔灌花草保存率低于要求的，必须及时补植同品种、同规格的苗木，并确保成活。若乙方未按规定补植，甲方有权安排第三方进行种植，所发生的苗木费及补植 费从乙方养护费中扣除。</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6.4甲方按照相关考核办法和规定中约定的考核奖惩办法进行考核(相关考核细则见附件)。</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6.5考核得分与养护经费挂钩</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每月考核得分的数学平均值加直接扣分类为本项目的月度综合得分，并与当月养护经费挂钩。考核分数100分，不扣分；97(含)~100分</w:t>
      </w:r>
      <w:r>
        <w:rPr>
          <w:rFonts w:hint="eastAsia" w:asciiTheme="minorEastAsia" w:hAnsiTheme="minorEastAsia" w:eastAsiaTheme="minorEastAsia" w:cstheme="minorEastAsia"/>
          <w:sz w:val="24"/>
        </w:rPr>
        <w:t xml:space="preserve">，每扣一分相应扣减经费的0.2%;95 (含)~97 分，每扣一分相应扣减经费的0.6%;92(含)～95,每扣一分相应扣减经费的0.8%;90(含)~92,每扣一分相应扣减经费的1.20%;85(含)~90,每扣一分相应扣减经费的1.5%;85分以下为不合格，扣除当月养护经费。以某项目每个月25万养护经费举例说明，假设当月养护考核综合得分为86分，当月该项目所得养护经费为250000*(1(3*0.2%+2*0.6%+3*0.8%+2*1.2%+4*1.5%)=218500(元),所扣经费为31500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6.6乙方连续3个月或一个合同年内累计有4个月考核分低于标准分85分的，甲方有权无条件单方面终止合同。</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6.7乙方退出管护，应及时与下一接管单位办理绿地交接手续，绿地需在规定时间内按要求整改到位后交付，逾期整改不到位由接管方进行整改，所需费用由乙方支付。</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6.8合同期满后，乙方应提交完整的竣工图纸及设施量清单，甲方将对该项目的设施量进行普查，若普查的设施量与乙方提交的不符，未达到《镇江市城市绿地养护等级标准》一级养护等级标准，甲方有权对乙方处以普查费用两倍的处罚。</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7、安全文明施工与检查</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7.2文明施工制订详细的养护计划，避免影响交通，妨碍行人等行为。</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7.3由于乙方管理不善，引起政府职能部门处罚和停工整改，或安全措施不力造成事故的责任和因此发生的费用，由乙方承担。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7.4 乙方的员工、车辆或设施等作业时发生的所有责任事故(包括社会车辆事故),由乙方自行承担，不牵涉甲方。</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8、安全防护</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8.1养护作业人员应做好各项安全防范措施，必须着装上岗操作，施工期间按规定做好安全标识。</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9、事故处理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9.1发生重大伤亡及其他安全事故，乙方应按有关规定立即上报有关部门并通知甲方代表，同时按政府有关部门要求处理由事故责任方承担发生的费用。</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10、普查、交接与验收</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 普查。养护合同到期前，甲方将对项目的设施量进行普查，乙方应配合普查工作 ,普查前提交完整的绿化图纸及工程量清单，并根据现场普查情况调整图纸及工程量清单。</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交接。绿地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 验收。原养护承包人对养护项目内存在的问题整改完成准备交接前，由甲方和新养护承包人对绿地进行验收，验收通过后，三方签署验收交接单并加盖公章后上报镇江市公路事业发展中心盖章备案。交接验收单作为该项目验收书，根据相关规定进行公告。</w:t>
      </w:r>
      <w:r/>
    </w:p>
    <w:p>
      <w:pPr>
        <w:ind w:firstLine="482"/>
        <w:spacing w:line="4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11、合同价款及调整</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 乙方应向甲方提交月度养护作业统计报表。甲方可以按报表内容进行计量与考核 ,考核结果作为合同价款支付的依据。</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 如实际养护作业量与设施量清单有出入时，乙方按照补充条款约定的时间上报计划变更单，经甲方审核并报有关部门审定后方可在下月养护计划中调整。</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11.4根据甲方养护工作计划，乙方应承担以下日常养护内容，以下内容所发生费用已包括在总合同价中，如发生甲方不再另行支付相关费用：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(1)绿地内苗木养护、绿地保洁及所有铺装、小品、花坛(侧石)、护栏、雕塑、景亭、廊架、栈道、垃圾箱及其它所有构建物等景观设施的日常保养和维修费用(含土建材料费)。</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(2)合同实施期间进行共计乔木总量9%以内的疏林工程的费用。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(3)为达到养护标准进行的绿篱、地被及草坪的补植费用。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(4)恢复因人为因素造成对苗木、设施等损坏所发生的费用。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(5)行道树年度的整型修剪、行道树法桐合同期内进行至少一次回缩修剪 (包含人工、机械及垃圾清运等一切费用)。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(6)高架绿化、水生植物等特殊要求而发生的用水增加费用。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(7)树木保存率98%以外(行道树保存率为100%)死亡树木的清理和补植的人工及材料费用。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(8)给绿地内植物施肥产生的肥料、人工、运输等一切费用(肥料由甲方决定是否组织统一采购)。</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(9)树木回缩、处理树线矛盾、处理绿化影响交通安全等的费用。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(11)处理市民投诉、毁绿、占绿等社会问题的相关费用。</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(12)绿化废弃物运输、处置的相关费用。</w:t>
      </w:r>
      <w:r/>
    </w:p>
    <w:p>
      <w:pPr>
        <w:ind w:firstLine="482"/>
        <w:spacing w:line="460" w:lineRule="exact"/>
        <w:rPr>
          <w:rFonts w:asciiTheme="minorEastAsia" w:hAnsiTheme="minorEastAsia" w:eastAsiaTheme="minorEastAsia" w:cstheme="minorEastAsia"/>
          <w:b/>
          <w:bCs/>
          <w:sz w:val="24"/>
          <w:szCs w:val="24"/>
          <w:highlight w:val="none"/>
        </w:rPr>
      </w:pPr>
      <w:r>
        <w:rPr>
          <w:rFonts w:asciiTheme="minorEastAsia" w:hAnsiTheme="minorEastAsia" w:eastAsiaTheme="minorEastAsia" w:cstheme="minorEastAsia"/>
          <w:b/>
          <w:bCs/>
          <w:sz w:val="24"/>
          <w:szCs w:val="24"/>
          <w:highlight w:val="none"/>
        </w:rPr>
        <w:t xml:space="preserve">12、合同价款的支付</w:t>
      </w:r>
      <w:r/>
    </w:p>
    <w:p>
      <w:pPr>
        <w:ind w:firstLine="480"/>
        <w:spacing w:line="460" w:lineRule="exact"/>
        <w:rPr>
          <w:rFonts w:hint="eastAsia" w:asciiTheme="minorEastAsia" w:hAnsiTheme="minorEastAsia" w:eastAsiaTheme="minorEastAsia" w:cstheme="minorEastAsia"/>
          <w:sz w:val="24"/>
          <w:highlight w:val="none"/>
        </w:rPr>
      </w:pPr>
      <w:r>
        <w:rPr>
          <w:rFonts w:asciiTheme="minorEastAsia" w:hAnsiTheme="minorEastAsia" w:eastAsiaTheme="minorEastAsia" w:cstheme="minorEastAsia"/>
          <w:sz w:val="24"/>
          <w:szCs w:val="24"/>
          <w:highlight w:val="none"/>
        </w:rPr>
        <w:t xml:space="preserve">12.1 </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合同签订后，甲方收到乙方发票后10个工作日内支付10%年度合同预付款。</w:t>
      </w:r>
      <w:r/>
    </w:p>
    <w:p>
      <w:pPr>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每月计量，每半年支付一次养护经费（单价类付至计量金额的97%），余款在缺陷责任期满后按核定金额支付。养护期不满一年但满月时，每月计量基价类金额为中标价基价类总和除以12后再乘以月份数；养护期出现不满月时，当月计量基价类金额为中标价基价类总和除以365后再乘以天数。</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肥料的费用：如肥料甲方统一采购，则在乙方本年最后一个季度的养护款中扣除采购肥料的资金。</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13、违约责任</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 乙方不能达到所承诺的养护质量和有关技术规范标准，乙方按协议条款支付违约金，赔偿因违约给甲方造成的损失。</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 因一方违约使合同不能履行，另一方欲终止或解除全部合同，应提前10天通知违约方后，方可终止或解除合同，由违约方承担违约责任。</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14、争议及其解决</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14.1甲乙双方因合同发生争议，可由甲乙双方协商、调解、向有管辖权的经济合同仲裁机关申请仲裁、或向有管辖权的人民法院起诉解决。</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 发生争议后，除出现以下情况的，双方都应继续履行合同，保持养护连续性：</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(1)合同确已无法履行；</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(2)双方协议停止养护作业；</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(3)仲裁机关要求停止养护作业；</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(4)法院要求停止养护作业。</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15、合同的中止</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承包范围内的养护管理项目，乙方不得采取任何形式实施分包和转包，凡违反此规定的，甲方将立即取消乙方的承包资格，中止养护承包合同的履行，由此产生的一切法律责任和经济损失由乙方承担；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15.2 乙方在本合同订立之日起三个月内，作为试用期；经甲方考核，达不到质量和技术标准的，甲方有权终止合同。因试用不合格，试用期内养护费按合同价的月平均价50% 付给。</w:t>
      </w:r>
      <w:r/>
    </w:p>
    <w:p>
      <w:pPr>
        <w:ind w:firstLine="480"/>
        <w:spacing w:line="460" w:lineRule="exact"/>
        <w:rPr>
          <w:rFonts w:hint="eastAsia" w:asciiTheme="minorEastAsia" w:hAnsiTheme="minorEastAsia" w:eastAsiaTheme="minorEastAsia" w:cstheme="minorEastAsia"/>
          <w:color w:val="0000ff"/>
          <w:sz w:val="24"/>
          <w:szCs w:val="24"/>
          <w:highlight w:val="none"/>
        </w:rPr>
      </w:pPr>
      <w:r>
        <w:rPr>
          <w:rFonts w:hint="eastAsia"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highlight w:val="none"/>
        </w:rPr>
        <w:t xml:space="preserve">3 </w:t>
      </w:r>
      <w:r>
        <w:rPr>
          <w:rFonts w:hint="eastAsia" w:asciiTheme="minorEastAsia" w:hAnsiTheme="minorEastAsia" w:eastAsiaTheme="minorEastAsia" w:cstheme="minorEastAsia"/>
          <w:color w:val="0000ff"/>
          <w:sz w:val="24"/>
          <w:szCs w:val="24"/>
          <w:highlight w:val="none"/>
        </w:rPr>
        <w:t xml:space="preserve">合同履行期间，如遇项目管理主体变化、上级政策调整以及不可抗拒的非人为因素，造成桩号变动、线路调整、取消或部分取消的工程，需终止或部分终止协议的，任何一方均可提出解除合同并不承担违约责任，承包人不得因上述原因向采购人提出索赔、变更单价等要求，采购人不承担任何法律、经济责任，承包人已完成的项目根据实际完成量计量结算。</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16、税费</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 中国政府根据现行税法规定对甲方征收的与本合同有关的一切税费均由甲方负担(免税部分除外),招标文件另有规定的除外。</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16.2 中国政府根据现行税法规定对乙方征收的与本合同有关的一切税费均由乙方负担(免税部分除外)。</w:t>
      </w:r>
      <w:r/>
    </w:p>
    <w:p>
      <w:pPr>
        <w:ind w:firstLine="482"/>
        <w:spacing w:line="460" w:lineRule="exact"/>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17、履约保证金</w:t>
      </w:r>
      <w:r/>
    </w:p>
    <w:p>
      <w:pPr>
        <w:ind w:firstLine="480"/>
        <w:jc w:val="left"/>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17.1本项目中标供应商应提交合同金额的10%履约保证金（最近一次江苏省公路水运建设市场信用等级评价（以递交投标文件截止当日为准）为 AA 级的乙方以及列入最近一期“江苏省公路水运建设市场守信激励主体名单”的乙方可按 50%递交）。</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17.2履约担保的形式：根据《交通运输部办公厅关于开展公路建设项目保证金专项清理工作的通知》（厅公路字〔2013〕217 号）文，乙方自主选择银行保函或现金（转账、电汇、网银）或法律法规允许的其他支付形式。并按照下列要求操作办理，为获得此履约担保所需费用由乙方自行承担。</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若乙方选择采用银行保函形式采用银行保函时，出具履约担保的银行级别：中国大陆境内合法经营的国有或股份制商业银行，银行级别为支行及以上级别。银行保函的格式和担保金额应满足招标文件要求，原件在双方签订合同之前单独递交给甲方。</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（2）若乙方选择采用现金（转账、电汇、网银）形式</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若乙方选择采用转账、电汇、网银形式缴纳履约担保的，乙方应与甲方经办人联系。根据甲方提供的开户银行及账号以及办理注意事项缴纳履约保证金。</w:t>
      </w:r>
      <w:r/>
    </w:p>
    <w:p>
      <w:pPr>
        <w:ind w:firstLine="480"/>
        <w:spacing w:line="360" w:lineRule="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（3）采用其他形式时必须经甲方同意。</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17.3履约保证金退还的方式：以银行电汇、网上银行、数字人民币形式缴纳履约保证金的，退回至中标人存款账户或供应商数字人民币账户；以保函、担保、保险等形式缴纳履约保证金的，在保函、担保、保险约定的保证期限届满之日起自行失效；</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17.4履约保证金退还的条件：中标人完成合同约定的全部义务，并通过采购人的验收。并配合新中标单位办理移交手续后退还。</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17.5履约保证金退还时间：采购人收到中标人退付申请后5个工作日内退还；</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17.6履约保证金不予退还情形：（1</w:t>
      </w:r>
      <w:r>
        <w:rPr>
          <w:rFonts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除不可抗力外，中标人不履行与采购人订立的采购合同的，履约保证金不予退还，给采购人造成的损失超过履约保证金数额的，还应当对超过部分予以赔偿；（2）合同期结束，中标人须配合采购人与新中标单位办理交接，否则采购人有权扣除履约保证金。</w:t>
      </w:r>
      <w:r/>
    </w:p>
    <w:p>
      <w:pPr>
        <w:ind w:firstLine="48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17.7支持和鼓励中标人自愿使用履约（保函）保险代替缴纳履约保证金。省财政厅已上线政府采购电子履约保函（保险）平台，平台可通过域名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18、破产终止合同</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如果乙方破产或无清偿能力时，甲方在任何时候书面通知乙方终止合同而不给乙方补偿。该终止合同将不损害或影响甲方已经或将要采取的补救措施的权利。</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19、转让和分包</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19.1 本合同不得转让与分包。</w:t>
      </w:r>
      <w:r/>
    </w:p>
    <w:p>
      <w:pPr>
        <w:ind w:firstLine="482"/>
        <w:spacing w:line="460" w:lineRule="exact"/>
        <w:rPr>
          <w:rFonts w:asciiTheme="minorEastAsia" w:hAnsiTheme="minorEastAsia" w:eastAsiaTheme="minorEastAsia" w:cstheme="minorEastAsia"/>
          <w:b/>
          <w:bCs/>
          <w:sz w:val="24"/>
          <w:szCs w:val="24"/>
        </w:rPr>
      </w:pPr>
      <w:r>
        <w:rPr>
          <w:rFonts w:asciiTheme="minorEastAsia" w:hAnsiTheme="minorEastAsia" w:eastAsiaTheme="minorEastAsia" w:cstheme="minorEastAsia"/>
          <w:b/>
          <w:bCs/>
          <w:sz w:val="24"/>
          <w:szCs w:val="24"/>
        </w:rPr>
        <w:t xml:space="preserve">20、合同生效及其它</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20.1合同经甲方、乙方签字后生效。</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20.2本合同一式肆份，由甲乙双方各执贰份。</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20.3本合同货物和服务交付使用后所发生的合同纠纷，甲方与乙方协商处理。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20.4 如需修改或补充合同内容，应经甲方、乙方协商，并签署书面修改或补充协议。该协议将作为本合同不可分割的一部分。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20.5 本合同应按照中华人民共和国的现行法律进行解释。</w:t>
      </w:r>
      <w:r/>
    </w:p>
    <w:p>
      <w:pPr>
        <w:ind w:firstLine="480"/>
        <w:spacing w:line="460" w:lineRule="exact"/>
        <w:rPr>
          <w:rFonts w:asciiTheme="minorEastAsia" w:hAnsiTheme="minorEastAsia" w:eastAsiaTheme="minorEastAsia" w:cstheme="minorEastAsia"/>
          <w:spacing w:val="13"/>
          <w:sz w:val="24"/>
        </w:rPr>
      </w:pPr>
      <w:r>
        <w:rPr>
          <w:rFonts w:hint="eastAsia" w:asciiTheme="minorEastAsia" w:hAnsiTheme="minorEastAsia" w:eastAsiaTheme="minorEastAsia" w:cstheme="minorEastAsia"/>
          <w:sz w:val="24"/>
        </w:rPr>
        <w:t xml:space="preserve">20.6 项目若办理移交后，本合同终止，乙方不得以任何条件向甲方索赔。</w:t>
      </w:r>
      <w:r/>
    </w:p>
    <w:p>
      <w:pPr>
        <w:spacing w:before="86" w:line="240" w:lineRule="auto"/>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13"/>
          <w:sz w:val="22"/>
          <w:szCs w:val="22"/>
        </w:rPr>
        <w:t xml:space="preserve">采购人</w:t>
      </w:r>
      <w:r>
        <w:rPr>
          <w:rFonts w:asciiTheme="minorEastAsia" w:hAnsiTheme="minorEastAsia" w:eastAsiaTheme="minorEastAsia" w:cstheme="minorEastAsia"/>
          <w:b/>
          <w:bCs/>
          <w:spacing w:val="13"/>
          <w:sz w:val="22"/>
          <w:szCs w:val="22"/>
        </w:rPr>
        <w:t xml:space="preserve">(单位盖章): </w:t>
      </w:r>
      <w:r>
        <w:rPr>
          <w:rFonts w:hint="eastAsia" w:asciiTheme="minorEastAsia" w:hAnsiTheme="minorEastAsia" w:eastAsiaTheme="minorEastAsia" w:cstheme="minorEastAsia"/>
          <w:b/>
          <w:bCs/>
          <w:spacing w:val="13"/>
          <w:sz w:val="22"/>
          <w:szCs w:val="22"/>
        </w:rPr>
        <w:t xml:space="preserve">              </w:t>
      </w:r>
      <w:r>
        <w:rPr>
          <w:rFonts w:hint="eastAsia" w:asciiTheme="minorEastAsia" w:hAnsiTheme="minorEastAsia" w:eastAsiaTheme="minorEastAsia" w:cstheme="minorEastAsia"/>
          <w:b/>
          <w:bCs/>
          <w:spacing w:val="39"/>
          <w:sz w:val="22"/>
          <w:szCs w:val="22"/>
        </w:rPr>
        <w:t xml:space="preserve">承包人：</w:t>
      </w:r>
      <w:r>
        <w:rPr>
          <w:rFonts w:asciiTheme="minorEastAsia" w:hAnsiTheme="minorEastAsia" w:eastAsiaTheme="minorEastAsia" w:cstheme="minorEastAsia"/>
          <w:b/>
          <w:bCs/>
          <w:spacing w:val="39"/>
          <w:sz w:val="22"/>
          <w:szCs w:val="22"/>
        </w:rPr>
        <w:t xml:space="preserve">(单位盖章):</w:t>
      </w:r>
      <w:r/>
    </w:p>
    <w:p>
      <w:pPr>
        <w:spacing w:before="83" w:line="240" w:lineRule="auto"/>
        <w:rPr>
          <w:rFonts w:asciiTheme="minorEastAsia" w:hAnsiTheme="minorEastAsia" w:eastAsiaTheme="minorEastAsia" w:cstheme="minorEastAsia"/>
          <w:b/>
          <w:bCs/>
          <w:sz w:val="22"/>
          <w:szCs w:val="22"/>
        </w:rPr>
      </w:pPr>
      <w:r>
        <w:rPr>
          <w:rFonts w:asciiTheme="minorEastAsia" w:hAnsiTheme="minorEastAsia" w:eastAsiaTheme="minorEastAsia" w:cstheme="minorEastAsia"/>
          <w:b/>
          <w:bCs/>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1704975</wp:posOffset>
                </wp:positionH>
                <wp:positionV relativeFrom="paragraph">
                  <wp:posOffset>382270</wp:posOffset>
                </wp:positionV>
                <wp:extent cx="751840" cy="409575"/>
                <wp:effectExtent l="0" t="0" r="10160" b="9525"/>
                <wp:wrapNone/>
                <wp:docPr id="1" name="文本框 1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51840" cy="409575"/>
                        </a:xfrm>
                        <a:prstGeom prst="rect">
                          <a:avLst/>
                        </a:prstGeom>
                        <a:noFill/>
                        <a:ln>
                          <a:noFill/>
                        </a:ln>
                      </wps:spPr>
                      <wps:txbx>
                        <w:txbxContent>
                          <w:p>
                            <w:pPr>
                              <w:spacing w:before="19" w:line="216" w:lineRule="auto"/>
                              <w:rPr>
                                <w:rFonts w:ascii="宋体" w:hAnsi="宋体" w:cs="宋体"/>
                                <w:sz w:val="26"/>
                                <w:szCs w:val="26"/>
                              </w:rPr>
                            </w:pPr>
                            <w:r>
                              <w:rPr>
                                <w:rFonts w:ascii="宋体" w:hAnsi="宋体" w:cs="宋体"/>
                                <w:sz w:val="26"/>
                                <w:szCs w:val="26"/>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text;margin-left:134.2pt;mso-position-horizontal:absolute;mso-position-vertical-relative:text;margin-top:30.1pt;mso-position-vertical:absolute;width:59.2pt;height:32.2pt;mso-wrap-distance-left:9.0pt;mso-wrap-distance-top:0.0pt;mso-wrap-distance-right:9.0pt;mso-wrap-distance-bottom:0.0pt;v-text-anchor:top;visibility:visible;" filled="f" stroked="f">
                <v:textbox inset="0,0,0,0">
                  <w:txbxContent>
                    <w:p>
                      <w:pPr>
                        <w:spacing w:before="19" w:line="216" w:lineRule="auto"/>
                        <w:rPr>
                          <w:rFonts w:ascii="宋体" w:hAnsi="宋体" w:cs="宋体"/>
                          <w:sz w:val="26"/>
                          <w:szCs w:val="26"/>
                        </w:rPr>
                      </w:pPr>
                      <w:r>
                        <w:rPr>
                          <w:rFonts w:ascii="宋体" w:hAnsi="宋体" w:cs="宋体"/>
                          <w:sz w:val="26"/>
                          <w:szCs w:val="26"/>
                        </w:rPr>
                      </w:r>
                      <w:r/>
                    </w:p>
                  </w:txbxContent>
                </v:textbox>
              </v:shape>
            </w:pict>
          </mc:Fallback>
        </mc:AlternateContent>
      </w:r>
      <w:r>
        <w:rPr>
          <w:rFonts w:hint="eastAsia" w:asciiTheme="minorEastAsia" w:hAnsiTheme="minorEastAsia" w:eastAsiaTheme="minorEastAsia" w:cstheme="minorEastAsia"/>
          <w:b/>
          <w:bCs/>
          <w:spacing w:val="13"/>
          <w:sz w:val="22"/>
          <w:szCs w:val="22"/>
        </w:rPr>
        <w:t xml:space="preserve">法定代表人或                    法定代表人或</w:t>
      </w:r>
      <w:r/>
    </w:p>
    <w:p>
      <w:pPr>
        <w:spacing w:line="240" w:lineRule="auto"/>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4"/>
          <w:sz w:val="22"/>
          <w:szCs w:val="22"/>
        </w:rPr>
        <w:t xml:space="preserve">其委托代理人：                      其委托代理人</w:t>
      </w:r>
      <w:r/>
    </w:p>
    <w:p>
      <w:pPr>
        <w:spacing w:before="229" w:line="240" w:lineRule="auto"/>
        <w:rPr>
          <w:rFonts w:hint="eastAsia" w:asciiTheme="minorEastAsia" w:hAnsiTheme="minorEastAsia" w:eastAsiaTheme="minorEastAsia" w:cstheme="minorEastAsia"/>
          <w:b/>
          <w:bCs/>
          <w:spacing w:val="-6"/>
          <w:sz w:val="22"/>
          <w:szCs w:val="22"/>
        </w:rPr>
      </w:pPr>
      <w:r>
        <w:rPr>
          <w:rFonts w:hint="eastAsia" w:asciiTheme="minorEastAsia" w:hAnsiTheme="minorEastAsia" w:eastAsiaTheme="minorEastAsia" w:cstheme="minorEastAsia"/>
          <w:b/>
          <w:bCs/>
          <w:spacing w:val="-6"/>
          <w:sz w:val="22"/>
          <w:szCs w:val="22"/>
        </w:rPr>
        <w:t xml:space="preserve">地</w:t>
      </w:r>
      <w:r>
        <w:rPr>
          <w:rFonts w:asciiTheme="minorEastAsia" w:hAnsiTheme="minorEastAsia" w:eastAsiaTheme="minorEastAsia" w:cstheme="minorEastAsia"/>
          <w:b/>
          <w:bCs/>
          <w:spacing w:val="-21"/>
          <w:sz w:val="22"/>
          <w:szCs w:val="22"/>
        </w:rPr>
        <w:t xml:space="preserve"> </w:t>
      </w:r>
      <w:r>
        <w:rPr>
          <w:rFonts w:hint="eastAsia" w:asciiTheme="minorEastAsia" w:hAnsiTheme="minorEastAsia" w:eastAsiaTheme="minorEastAsia" w:cstheme="minorEastAsia"/>
          <w:b/>
          <w:bCs/>
          <w:spacing w:val="-6"/>
          <w:sz w:val="22"/>
          <w:szCs w:val="22"/>
        </w:rPr>
        <w:t xml:space="preserve">址</w:t>
      </w:r>
      <w:r>
        <w:rPr>
          <w:rFonts w:asciiTheme="minorEastAsia" w:hAnsiTheme="minorEastAsia" w:eastAsiaTheme="minorEastAsia" w:cstheme="minorEastAsia"/>
          <w:b/>
          <w:bCs/>
          <w:spacing w:val="-29"/>
          <w:sz w:val="22"/>
          <w:szCs w:val="22"/>
        </w:rPr>
        <w:t xml:space="preserve"> </w:t>
      </w:r>
      <w:r>
        <w:rPr>
          <w:rFonts w:hint="eastAsia" w:asciiTheme="minorEastAsia" w:hAnsiTheme="minorEastAsia" w:eastAsiaTheme="minorEastAsia" w:cstheme="minorEastAsia"/>
          <w:b/>
          <w:bCs/>
          <w:spacing w:val="-6"/>
          <w:sz w:val="22"/>
          <w:szCs w:val="22"/>
        </w:rPr>
        <w:t xml:space="preserve">：                                  地</w:t>
      </w:r>
      <w:r>
        <w:rPr>
          <w:rFonts w:asciiTheme="minorEastAsia" w:hAnsiTheme="minorEastAsia" w:eastAsiaTheme="minorEastAsia" w:cstheme="minorEastAsia"/>
          <w:b/>
          <w:bCs/>
          <w:spacing w:val="-21"/>
          <w:sz w:val="22"/>
          <w:szCs w:val="22"/>
        </w:rPr>
        <w:t xml:space="preserve"> </w:t>
      </w:r>
      <w:r>
        <w:rPr>
          <w:rFonts w:hint="eastAsia" w:asciiTheme="minorEastAsia" w:hAnsiTheme="minorEastAsia" w:eastAsiaTheme="minorEastAsia" w:cstheme="minorEastAsia"/>
          <w:b/>
          <w:bCs/>
          <w:spacing w:val="-6"/>
          <w:sz w:val="22"/>
          <w:szCs w:val="22"/>
        </w:rPr>
        <w:t xml:space="preserve">址</w:t>
      </w:r>
      <w:r>
        <w:rPr>
          <w:rFonts w:asciiTheme="minorEastAsia" w:hAnsiTheme="minorEastAsia" w:eastAsiaTheme="minorEastAsia" w:cstheme="minorEastAsia"/>
          <w:b/>
          <w:bCs/>
          <w:spacing w:val="-29"/>
          <w:sz w:val="22"/>
          <w:szCs w:val="22"/>
        </w:rPr>
        <w:t xml:space="preserve"> </w:t>
      </w:r>
      <w:r>
        <w:rPr>
          <w:rFonts w:hint="eastAsia" w:asciiTheme="minorEastAsia" w:hAnsiTheme="minorEastAsia" w:eastAsiaTheme="minorEastAsia" w:cstheme="minorEastAsia"/>
          <w:b/>
          <w:bCs/>
          <w:spacing w:val="-6"/>
          <w:sz w:val="22"/>
          <w:szCs w:val="22"/>
        </w:rPr>
        <w:t xml:space="preserve">：</w:t>
      </w:r>
      <w:r/>
    </w:p>
    <w:p>
      <w:pPr>
        <w:spacing w:before="229" w:line="240" w:lineRule="auto"/>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pacing w:val="-1"/>
          <w:sz w:val="22"/>
          <w:szCs w:val="22"/>
        </w:rPr>
        <w:t xml:space="preserve">联系电话：                            联系电话：</w:t>
      </w:r>
      <w:r/>
    </w:p>
    <w:p>
      <w:pPr>
        <w:jc w:val="right"/>
        <w:spacing w:line="240" w:lineRule="auto"/>
        <w:rPr>
          <w:rFonts w:hint="eastAsia" w:asciiTheme="minorEastAsia" w:hAnsiTheme="minorEastAsia" w:eastAsiaTheme="minorEastAsia" w:cstheme="minorEastAsia"/>
          <w:b/>
          <w:bCs/>
          <w:color w:val="000000" w:themeColor="text1"/>
          <w:sz w:val="22"/>
          <w:szCs w:val="22"/>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14:textFill>
            <w14:solidFill>
              <w14:schemeClr w14:val="tx1"/>
            </w14:solidFill>
          </w14:textFill>
        </w:rPr>
      </w:r>
      <w:r/>
    </w:p>
    <w:p>
      <w:pPr>
        <w:jc w:val="right"/>
        <w:spacing w:line="240" w:lineRule="auto"/>
        <w:rPr>
          <w:rFonts w:asciiTheme="minorEastAsia" w:hAnsiTheme="minorEastAsia" w:eastAsiaTheme="minorEastAsia" w:cstheme="minorEastAsia"/>
          <w:b/>
          <w:bCs/>
          <w:color w:val="000000" w:themeColor="text1"/>
          <w:sz w:val="22"/>
          <w:szCs w:val="22"/>
          <w14:textFill>
            <w14:solidFill>
              <w14:schemeClr w14:val="tx1"/>
            </w14:solidFill>
          </w14:textFill>
        </w:rPr>
      </w:pPr>
      <w:r>
        <w:rPr>
          <w:rFonts w:hint="eastAsia" w:asciiTheme="minorEastAsia" w:hAnsiTheme="minorEastAsia" w:eastAsiaTheme="minorEastAsia" w:cstheme="minorEastAsia"/>
          <w:b/>
          <w:bCs/>
          <w:color w:val="000000" w:themeColor="text1"/>
          <w:sz w:val="22"/>
          <w:szCs w:val="22"/>
          <w14:textFill>
            <w14:solidFill>
              <w14:schemeClr w14:val="tx1"/>
            </w14:solidFill>
          </w14:textFill>
        </w:rPr>
        <w:t xml:space="preserve">合同签订日期：   年   月  日</w:t>
      </w:r>
      <w:r/>
    </w:p>
    <w:p>
      <w:pPr>
        <w:jc w:val="center"/>
        <w:spacing w:before="62" w:line="460" w:lineRule="exact"/>
        <w:widowControl/>
        <w:rPr>
          <w:rFonts w:ascii="宋体" w:hAnsi="宋体" w:cs="宋体"/>
          <w:b/>
          <w:bCs/>
          <w:color w:val="000000"/>
          <w:spacing w:val="-13"/>
          <w:sz w:val="31"/>
          <w:szCs w:val="31"/>
        </w:rPr>
      </w:pPr>
      <w:r>
        <w:rPr>
          <w:rFonts w:hint="eastAsia" w:ascii="宋体" w:hAnsi="宋体" w:cs="宋体"/>
          <w:b/>
          <w:bCs/>
          <w:color w:val="000000"/>
          <w:spacing w:val="-13"/>
          <w:sz w:val="31"/>
          <w:szCs w:val="31"/>
        </w:rPr>
        <w:t xml:space="preserve">廉</w:t>
      </w:r>
      <w:r>
        <w:rPr>
          <w:rFonts w:hint="eastAsia" w:ascii="宋体" w:hAnsi="宋体" w:cs="宋体"/>
          <w:color w:val="000000"/>
          <w:spacing w:val="32"/>
          <w:sz w:val="31"/>
          <w:szCs w:val="31"/>
        </w:rPr>
        <w:t xml:space="preserve"> </w:t>
      </w:r>
      <w:r>
        <w:rPr>
          <w:rFonts w:hint="eastAsia" w:ascii="宋体" w:hAnsi="宋体" w:cs="宋体"/>
          <w:b/>
          <w:bCs/>
          <w:color w:val="000000"/>
          <w:spacing w:val="-13"/>
          <w:sz w:val="31"/>
          <w:szCs w:val="31"/>
        </w:rPr>
        <w:t xml:space="preserve">政</w:t>
      </w:r>
      <w:r>
        <w:rPr>
          <w:rFonts w:hint="eastAsia" w:ascii="宋体" w:hAnsi="宋体" w:cs="宋体"/>
          <w:color w:val="000000"/>
          <w:spacing w:val="31"/>
          <w:sz w:val="31"/>
          <w:szCs w:val="31"/>
        </w:rPr>
        <w:t xml:space="preserve"> </w:t>
      </w:r>
      <w:r>
        <w:rPr>
          <w:rFonts w:hint="eastAsia" w:ascii="宋体" w:hAnsi="宋体" w:cs="宋体"/>
          <w:b/>
          <w:bCs/>
          <w:color w:val="000000"/>
          <w:spacing w:val="-13"/>
          <w:sz w:val="31"/>
          <w:szCs w:val="31"/>
        </w:rPr>
        <w:t xml:space="preserve">合</w:t>
      </w:r>
      <w:r>
        <w:rPr>
          <w:rFonts w:hint="eastAsia" w:ascii="宋体" w:hAnsi="宋体" w:cs="宋体"/>
          <w:color w:val="000000"/>
          <w:spacing w:val="61"/>
          <w:sz w:val="31"/>
          <w:szCs w:val="31"/>
        </w:rPr>
        <w:t xml:space="preserve"> </w:t>
      </w:r>
      <w:r>
        <w:rPr>
          <w:rFonts w:hint="eastAsia" w:ascii="宋体" w:hAnsi="宋体" w:cs="宋体"/>
          <w:b/>
          <w:bCs/>
          <w:color w:val="000000"/>
          <w:spacing w:val="-13"/>
          <w:sz w:val="31"/>
          <w:szCs w:val="31"/>
        </w:rPr>
        <w:t xml:space="preserve">同</w:t>
      </w:r>
      <w:r/>
    </w:p>
    <w:p>
      <w:pPr>
        <w:jc w:val="center"/>
        <w:spacing w:before="62" w:line="460" w:lineRule="exact"/>
        <w:widowControl/>
        <w:rPr>
          <w:rFonts w:ascii="宋体" w:hAnsi="宋体" w:cs="宋体"/>
          <w:color w:val="000000"/>
          <w:sz w:val="31"/>
          <w:szCs w:val="31"/>
        </w:rPr>
      </w:pPr>
      <w:r>
        <w:rPr>
          <w:rFonts w:ascii="宋体" w:hAnsi="宋体" w:cs="宋体"/>
          <w:color w:val="000000"/>
          <w:sz w:val="31"/>
          <w:szCs w:val="31"/>
        </w:rPr>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(项目名称)的项目法人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(项目法人名称，以下简称“发包人”)与该项目的施工单位</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(施工单位名称，以下简称“承包人”),特订立如下合同。</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1.发包人和承包人双方的权利和义务</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(1)严格遵守党的政策规定和国家有关法律法规及交通运输部的有关规定。</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(2)严格执行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(项目名称)合同文件，自觉按合同办事。</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(3)双方的业务活动坚持公开、公正、诚信、透明的原则(法律认定的商业秘密和合同文件另有规定除外),不得损害国家和集体利益，不得违反工程建设管理规章制度。</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(4)建立健全廉政制度，开展廉政教育，设立廉政告示牌，公布举报电话，监督并认真查处违法违纪行为。</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(5)发现对方在业务活动中有违反廉政规定的行为，有及时提醒对方纠正的权利和义务。</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(6)发现对方严重违反本合同义务条款的行为，有向其上级有关部门举报、建议给予处理并要求告知处理结果的权利。</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2.发包人的义务</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(1)发包人及其工作人员不得索要或接受承包人的礼金、有价证券和贵重物品，不得让承包人报销任何应由发包人或发包人工作人员个人支付的费用等。</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(2)发包人工作人员不得参加承包人安排的超标准宴请和娱乐活动；不得接受承包人提供的通信工具、交通工具和高档办公用品等。</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(3)发包人及其工作人员不得要求或者接受承包人为其住房装修、婚丧嫁娶活动、配偶子女的工作安排以及出国出境、旅游等提供方便等。</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(4)发包人工作人员及其配偶、子女不得从事与发包人工程有关的材料设备供应、工程分包、劳务等经济活动等。</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(5)发包人及其工作人员不得以任何理由向承包人推荐分包单位或推销材料，不得要求承包人购买合同规定外的材料和设备。</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(6)发包人工作人员要秉公办事，不准营私舞弊，不准利用职权从事各种个人有偿中介活动和安排个人施工队伍。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3.承包人的义务</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(1)承包人不得以任何理由向发包人及其工作人员行贿或馈赠礼金、有价证券、贵重礼品。</w:t>
      </w:r>
      <w:r/>
    </w:p>
    <w:p>
      <w:pPr>
        <w:ind w:firstLine="480"/>
        <w:jc w:val="left"/>
        <w:spacing w:line="360" w:lineRule="auto"/>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(2)承包人不得以任何名义为发包人及其工作人员报销应由发包人单位或个人支付的任何</w:t>
      </w:r>
      <w:r>
        <w:rPr>
          <w:rFonts w:hint="eastAsia" w:ascii="宋体" w:hAnsi="宋体" w:cs="宋体"/>
          <w:color w:val="000000" w:themeColor="text1"/>
          <w:sz w:val="24"/>
          <w:u w:val="single"/>
          <w14:textFill>
            <w14:solidFill>
              <w14:schemeClr w14:val="tx1"/>
            </w14:solidFill>
          </w14:textFill>
        </w:rPr>
        <w:t xml:space="preserve">费用。</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(3)承包人不得以任何理由安排发包人工作人员参加超标准宴请及娱乐活动。</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(4)承包人不得为发包人单位和个人购置或提供通信工具、交通工具和高档办公用品等。</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4.违约责任</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5.双方约定：本合同由双方或双方上级单位的纪检监察部门负责监督执行。由发包人或 发包人上级单位的纪检监察部门约请承包人或承包人上级单位纪检监察部门对本合同执行情 况进行检查，提出在本合同规定范围内的裁定意见。</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6.本合同作为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(项目名称)合同的附件，与工程施工合同具有同等的法律效力，经合同双方签署后立即生效。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 </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本合同一式肆份，由甲乙双方各执贰份</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5280" w:hanging="5280"/>
        <w:jc w:val="left"/>
        <w:spacing w:line="360" w:lineRule="auto"/>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承包人：</w:t>
      </w:r>
      <w:r>
        <w:rPr>
          <w:rFonts w:hint="eastAsia" w:ascii="宋体" w:hAnsi="宋体" w:cs="宋体"/>
          <w:color w:val="000000" w:themeColor="text1"/>
          <w:sz w:val="24"/>
          <w:u w:val="single"/>
          <w14:textFill>
            <w14:solidFill>
              <w14:schemeClr w14:val="tx1"/>
            </w14:solidFill>
          </w14:textFill>
        </w:rPr>
        <w:t xml:space="preserve">              </w:t>
      </w:r>
      <w:r/>
    </w:p>
    <w:p>
      <w:pPr>
        <w:ind w:left="5437" w:hanging="432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（单位盖章）                        （单位盖章）</w:t>
      </w:r>
      <w:r/>
    </w:p>
    <w:p>
      <w:pPr>
        <w:ind w:left="6240" w:hanging="6240"/>
        <w:jc w:val="left"/>
        <w:spacing w:line="360" w:lineRule="auto"/>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法定代表人或其委托代理人：       法定代表人或其委托代理人：</w:t>
      </w:r>
      <w:r/>
    </w:p>
    <w:p>
      <w:pPr>
        <w:ind w:left="6240" w:hanging="624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（签字）</w:t>
      </w:r>
      <w:r>
        <w:rPr>
          <w:rFonts w:hint="eastAsia" w:ascii="宋体" w:hAnsi="宋体" w:cs="宋体"/>
          <w:color w:val="000000" w:themeColor="text1"/>
          <w:sz w:val="24"/>
          <w:u w:val="single"/>
          <w14:textFill>
            <w14:solidFill>
              <w14:schemeClr w14:val="tx1"/>
            </w14:solidFill>
          </w14:textFill>
        </w:rPr>
        <w:t xml:space="preserve">                </w:t>
      </w:r>
      <w:r/>
    </w:p>
    <w:p>
      <w:pPr>
        <w:jc w:val="left"/>
        <w:spacing w:line="360" w:lineRule="auto"/>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           日期：    年    月     日</w:t>
      </w:r>
      <w:r/>
    </w:p>
    <w:p>
      <w:pPr>
        <w:jc w:val="center"/>
        <w:spacing w:before="62" w:line="216" w:lineRule="auto"/>
        <w:widowControl/>
        <w:rPr>
          <w:rFonts w:ascii="宋体" w:hAnsi="宋体" w:cs="宋体"/>
          <w:b/>
          <w:bCs/>
          <w:color w:val="000000"/>
          <w:spacing w:val="-13"/>
          <w:sz w:val="31"/>
          <w:szCs w:val="31"/>
        </w:rPr>
      </w:pPr>
      <w:r>
        <w:rPr>
          <w:rFonts w:hint="eastAsia" w:ascii="宋体" w:hAnsi="宋体" w:cs="宋体"/>
          <w:b/>
          <w:bCs/>
          <w:color w:val="000000"/>
          <w:spacing w:val="-13"/>
          <w:sz w:val="31"/>
          <w:szCs w:val="31"/>
        </w:rPr>
        <w:t xml:space="preserve">安全生产合同</w:t>
      </w:r>
      <w:r/>
    </w:p>
    <w:p>
      <w:pPr>
        <w:jc w:val="center"/>
        <w:spacing w:before="62" w:line="216" w:lineRule="auto"/>
        <w:widowControl/>
        <w:rPr>
          <w:rFonts w:ascii="宋体" w:hAnsi="宋体" w:cs="宋体"/>
          <w:b/>
          <w:bCs/>
          <w:color w:val="000000"/>
          <w:spacing w:val="-13"/>
          <w:sz w:val="31"/>
          <w:szCs w:val="31"/>
        </w:rPr>
      </w:pPr>
      <w:r>
        <w:rPr>
          <w:rFonts w:ascii="宋体" w:hAnsi="宋体" w:cs="宋体"/>
          <w:b/>
          <w:bCs/>
          <w:color w:val="000000"/>
          <w:spacing w:val="-13"/>
          <w:sz w:val="31"/>
          <w:szCs w:val="31"/>
        </w:rPr>
      </w:r>
      <w:r/>
    </w:p>
    <w:p>
      <w:pPr>
        <w:jc w:val="left"/>
        <w:spacing w:line="252" w:lineRule="auto"/>
        <w:widowControl/>
        <w:rPr>
          <w:rFonts w:ascii="Arial" w:hAnsi="Arial" w:eastAsia="Arial" w:cs="Arial"/>
          <w:color w:val="000000"/>
          <w:szCs w:val="21"/>
        </w:rPr>
      </w:pPr>
      <w:r>
        <w:rPr>
          <w:rFonts w:ascii="Arial" w:hAnsi="Arial" w:eastAsia="Arial" w:cs="Arial"/>
          <w:color w:val="000000"/>
          <w:szCs w:val="21"/>
        </w:rPr>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为在</w:t>
      </w:r>
      <w:r>
        <w:rPr>
          <w:rFonts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(项目名称)合同的实施过程中创造安全、高效的施工环境 ,切实搞好本项目的安全管理工作，本项目发包人</w:t>
      </w:r>
      <w:r>
        <w:rPr>
          <w:rFonts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(发包人名称 ,以下简称“发包人”)与承包人</w:t>
      </w:r>
      <w:r>
        <w:rPr>
          <w:rFonts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(承包人名称，以下 简称“承包人”)特此签订安全生产合同。</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6707505</wp:posOffset>
                </wp:positionH>
                <wp:positionV relativeFrom="paragraph">
                  <wp:posOffset>215265</wp:posOffset>
                </wp:positionV>
                <wp:extent cx="113665" cy="1187450"/>
                <wp:effectExtent l="0" t="0" r="635" b="12700"/>
                <wp:wrapNone/>
                <wp:docPr id="2" name="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 26"/>
                        <pic:cNvPicPr>
                          <a:picLocks noChangeAspect="1"/>
                        </pic:cNvPicPr>
                        <pic:nvPr/>
                      </pic:nvPicPr>
                      <pic:blipFill>
                        <a:blip r:embed="rId12"/>
                        <a:stretch/>
                      </pic:blipFill>
                      <pic:spPr bwMode="auto">
                        <a:xfrm>
                          <a:off x="0" y="0"/>
                          <a:ext cx="113665" cy="11874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528.1pt;mso-position-horizontal:absolute;mso-position-vertical-relative:text;margin-top:16.9pt;mso-position-vertical:absolute;width:8.9pt;height:93.5pt;mso-wrap-distance-left:0.0pt;mso-wrap-distance-top:0.0pt;mso-wrap-distance-right:0.0pt;mso-wrap-distance-bottom:0.0pt;" stroked="false">
                <v:path textboxrect="0,0,0,0"/>
                <v:imagedata r:id="rId12" o:title=""/>
              </v:shape>
            </w:pict>
          </mc:Fallback>
        </mc:AlternateContent>
      </w:r>
      <w:r>
        <w:rPr>
          <w:rFonts w:hint="eastAsia" w:ascii="宋体" w:hAnsi="宋体" w:cs="宋体"/>
          <w:color w:val="000000" w:themeColor="text1"/>
          <w:sz w:val="24"/>
          <w14:textFill>
            <w14:solidFill>
              <w14:schemeClr w14:val="tx1"/>
            </w14:solidFill>
          </w14:textFill>
        </w:rPr>
        <w:t xml:space="preserve">1.发包人职责</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严格遵守国家有关安全生产的法律法规，认真执行工程承包合同中的有关安全要求。</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2.承包人职责</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(4)承包人在任何时候都应采取各种合理的预防措施，防止其员工发生任何违法、违禁、暴力或妨碍治安的行为。</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(7)操作人员上岗，必须按规定穿戴防护用品。施工负责人和安全检查员应随时检查劳动防护用品的穿戴情况，不按规定穿戴防护用品的人员不得上岗。</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(8)所有施工机具设备和高空作业的设备均应定期检查，并有安全员的签字记录，保证其经常处于完好状态；不合格的机具、设备和劳动保护用品严禁使用。</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6700520</wp:posOffset>
                </wp:positionH>
                <wp:positionV relativeFrom="paragraph">
                  <wp:posOffset>353060</wp:posOffset>
                </wp:positionV>
                <wp:extent cx="59690" cy="38100"/>
                <wp:effectExtent l="0" t="0" r="16510" b="0"/>
                <wp:wrapNone/>
                <wp:docPr id="3" name="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 28"/>
                        <pic:cNvPicPr>
                          <a:picLocks noChangeAspect="1"/>
                        </pic:cNvPicPr>
                        <pic:nvPr/>
                      </pic:nvPicPr>
                      <pic:blipFill>
                        <a:blip r:embed="rId13"/>
                        <a:stretch/>
                      </pic:blipFill>
                      <pic:spPr bwMode="auto">
                        <a:xfrm>
                          <a:off x="0" y="0"/>
                          <a:ext cx="59690" cy="3810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527.6pt;mso-position-horizontal:absolute;mso-position-vertical-relative:text;margin-top:27.8pt;mso-position-vertical:absolute;width:4.7pt;height:3.0pt;mso-wrap-distance-left:0.0pt;mso-wrap-distance-top:0.0pt;mso-wrap-distance-right:0.0pt;mso-wrap-distance-bottom:0.0pt;" stroked="false">
                <v:path textboxrect="0,0,0,0"/>
                <v:imagedata r:id="rId13" o:title=""/>
              </v:shape>
            </w:pict>
          </mc:Fallback>
        </mc:AlternateContent>
      </w:r>
      <w:r>
        <w:rPr>
          <w:rFonts w:hint="eastAsia" w:ascii="宋体" w:hAnsi="宋体" w:cs="宋体"/>
          <w:color w:val="000000" w:themeColor="text1"/>
          <w:sz w:val="24"/>
          <w14:textFill>
            <w14:solidFill>
              <w14:schemeClr w14:val="tx1"/>
            </w14:solidFill>
          </w14:textFill>
        </w:rPr>
        <w:t xml:space="preserve">(9)施工中采用新技术、新工艺、新设备、新材料时，必须制定相应的安全技术措施 ,施工现场必须具有相关的安全标志牌。</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(11)建立扬尘污染管控组织机构，制定有效扬尘污染治理方案。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全面推行文明施工、绿色施工，严格执行施工工地“五达标、一公示”,即“围挡、硬化、 覆盖、保洁、冲洗”五项达标、所有在建工地设立扬尘防治公示牌，严控工地扬尘污染。确保做到“六个100%”,即：工地周边100%围挡、物料堆放裸地100%覆盖、出入车辆100%冲洗 、施工现场地面100%硬化、拆迁工地100%湿法作业、渣土车辆100%密闭运输，严禁各类工地 非道路移动机械“冒黑烟”,确保有效防治扬尘污染。</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a. 机械设备进出施工现场必须冲洗干净，保证整洁；易产生扬尘的施工机械，必须采取降尘防尘措施；采取有效措施防止车辆运输遗撒，并保持运输车辆的干净整洁。</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 施工便道及临时应急车道路面有专人清扫、冲洗；施工现场应根据情况设置围挡，洒水清扫，降低扬尘。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c. 水泥、砂石等易扬尘的细颗粒材料应密闭存放或进行覆盖，使用过程中应采取有效措施防止扬尘。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d. 施工现场垃圾采用专用垃圾车辆清运，并采取洒水或喷淋措施处理。现场垃圾在48小时之内不能完成清运的，应采取覆盖或洒水等防尘措施。</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e. 遇到发布重污染预警、大风天气时，应立即启动应急响应，停止产生扬尘污染的施工作业。</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(12)安全生产费用按照《公路水运工程安全生产监督管理办法》的相关规定使用和管理。</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3.违约责任</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如因承包人安全监管不力造成安全事故，事故责任和因此发生的费用，由承包人承担， 同时发包人将依法追究承包人责任。</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4. 本合同由双方法定代表人或其授权的代理人签署并加盖单位章后生效。</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 </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本合同一式肆份，由甲乙双方各执贰份</w:t>
      </w:r>
      <w:r>
        <w:rPr>
          <w:rFonts w:hint="eastAsia" w:ascii="宋体" w:hAnsi="宋体" w:cs="宋体"/>
          <w:color w:val="000000" w:themeColor="text1"/>
          <w:sz w:val="24"/>
          <w14:textFill>
            <w14:solidFill>
              <w14:schemeClr w14:val="tx1"/>
            </w14:solidFill>
          </w14:textFill>
        </w:rPr>
        <w:t xml:space="preserve">。</w:t>
      </w:r>
      <w:r/>
    </w:p>
    <w:p>
      <w:pPr>
        <w:spacing w:line="360" w:lineRule="auto"/>
        <w:rPr>
          <w:color w:val="000000" w:themeColor="text1"/>
          <w:sz w:val="20"/>
          <w:szCs w:val="22"/>
          <w14:textFill>
            <w14:solidFill>
              <w14:schemeClr w14:val="tx1"/>
            </w14:solidFill>
          </w14:textFill>
        </w:rPr>
      </w:pPr>
      <w:r>
        <w:rPr>
          <w:color w:val="000000" w:themeColor="text1"/>
          <w:sz w:val="20"/>
          <w:szCs w:val="22"/>
          <w14:textFill>
            <w14:solidFill>
              <w14:schemeClr w14:val="tx1"/>
            </w14:solidFill>
          </w14:textFill>
        </w:rPr>
      </w:r>
      <w:r/>
    </w:p>
    <w:p>
      <w:pPr>
        <w:ind w:left="5280" w:hanging="5280"/>
        <w:jc w:val="left"/>
        <w:spacing w:line="360" w:lineRule="auto"/>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承包人：</w:t>
      </w:r>
      <w:r>
        <w:rPr>
          <w:rFonts w:hint="eastAsia" w:ascii="宋体" w:hAnsi="宋体" w:cs="宋体"/>
          <w:color w:val="000000" w:themeColor="text1"/>
          <w:sz w:val="24"/>
          <w:u w:val="single"/>
          <w14:textFill>
            <w14:solidFill>
              <w14:schemeClr w14:val="tx1"/>
            </w14:solidFill>
          </w14:textFill>
        </w:rPr>
        <w:t xml:space="preserve">              </w:t>
      </w:r>
      <w:r/>
    </w:p>
    <w:p>
      <w:pPr>
        <w:ind w:left="5437" w:hanging="432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（单位盖章）                        （单位盖章）</w:t>
      </w:r>
      <w:r/>
    </w:p>
    <w:p>
      <w:pPr>
        <w:ind w:left="6240" w:hanging="6240"/>
        <w:jc w:val="left"/>
        <w:spacing w:line="360" w:lineRule="auto"/>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法定代表人或其委托代理人：       法定代表人或其委托代理人：</w:t>
      </w:r>
      <w:r/>
    </w:p>
    <w:p>
      <w:pPr>
        <w:ind w:left="6240" w:hanging="624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（签字）</w:t>
      </w:r>
      <w:r>
        <w:rPr>
          <w:rFonts w:hint="eastAsia" w:ascii="宋体" w:hAnsi="宋体" w:cs="宋体"/>
          <w:color w:val="000000" w:themeColor="text1"/>
          <w:sz w:val="24"/>
          <w:u w:val="single"/>
          <w14:textFill>
            <w14:solidFill>
              <w14:schemeClr w14:val="tx1"/>
            </w14:solidFill>
          </w14:textFill>
        </w:rPr>
        <w:t xml:space="preserve">                </w:t>
      </w:r>
      <w:r/>
    </w:p>
    <w:p>
      <w:pPr>
        <w:jc w:val="left"/>
        <w:spacing w:line="360" w:lineRule="auto"/>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           日期：    年    月     日</w:t>
      </w:r>
      <w:r/>
    </w:p>
    <w:p>
      <w:r/>
      <w:bookmarkStart w:id="204" w:name="_Toc203554755"/>
      <w:r/>
      <w:bookmarkStart w:id="205" w:name="_Toc209020151"/>
      <w:r/>
      <w:r/>
    </w:p>
    <w:p>
      <w:r/>
      <w:r/>
    </w:p>
    <w:p>
      <w:r/>
      <w:r/>
    </w:p>
    <w:p>
      <w:r/>
      <w:r/>
    </w:p>
    <w:p>
      <w:r/>
      <w:r/>
    </w:p>
    <w:p>
      <w:r/>
      <w:r/>
    </w:p>
    <w:p>
      <w:r/>
      <w:r/>
    </w:p>
    <w:p>
      <w:r/>
      <w:r/>
    </w:p>
    <w:p>
      <w:pPr>
        <w:rPr>
          <w:rFonts w:hint="eastAsia"/>
        </w:rPr>
      </w:pPr>
      <w:r>
        <w:rPr>
          <w:rFonts w:hint="eastAsia"/>
        </w:rPr>
        <w:br w:type="page" w:clear="all"/>
      </w:r>
      <w:r/>
    </w:p>
    <w:p>
      <w:pPr>
        <w:pStyle w:val="824"/>
      </w:pPr>
      <w:r>
        <w:rPr>
          <w:rFonts w:hint="eastAsia"/>
        </w:rPr>
        <w:t xml:space="preserve">第四部分 采购需求</w:t>
      </w:r>
      <w:bookmarkEnd w:id="204"/>
      <w:r/>
      <w:bookmarkEnd w:id="205"/>
      <w:r/>
      <w:r/>
    </w:p>
    <w:p>
      <w:pPr>
        <w:pStyle w:val="825"/>
      </w:pPr>
      <w:r/>
      <w:bookmarkStart w:id="206" w:name="_Toc209020152"/>
      <w:r>
        <w:rPr>
          <w:rFonts w:hint="eastAsia"/>
        </w:rPr>
        <w:t xml:space="preserve">一.项目概况</w:t>
      </w:r>
      <w:bookmarkEnd w:id="206"/>
      <w:r/>
      <w:r/>
    </w:p>
    <w:p>
      <w:pPr>
        <w:pStyle w:val="832"/>
        <w:ind w:firstLine="476"/>
        <w:spacing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官塘桥路</w:t>
      </w:r>
      <w:bookmarkStart w:id="207" w:name="OLE_LINK32"/>
      <w:r/>
      <w:bookmarkStart w:id="208" w:name="OLE_LINK25"/>
      <w:r>
        <w:rPr>
          <w:rFonts w:hint="eastAsia" w:ascii="宋体" w:hAnsi="宋体" w:eastAsia="宋体" w:cs="宋体"/>
          <w:spacing w:val="-70"/>
          <w:sz w:val="24"/>
          <w:szCs w:val="24"/>
          <w:highlight w:val="none"/>
        </w:rPr>
        <w:t xml:space="preserve"> </w:t>
      </w:r>
      <w:r>
        <w:rPr>
          <w:rFonts w:hint="eastAsia" w:ascii="宋体" w:hAnsi="宋体" w:eastAsia="宋体" w:cs="宋体"/>
          <w:spacing w:val="-1"/>
          <w:sz w:val="24"/>
          <w:szCs w:val="24"/>
          <w:highlight w:val="none"/>
        </w:rPr>
        <w:t xml:space="preserve">K</w:t>
      </w:r>
      <w:bookmarkEnd w:id="207"/>
      <w:r/>
      <w:bookmarkEnd w:id="208"/>
      <w:r>
        <w:rPr>
          <w:rFonts w:hint="eastAsia" w:ascii="宋体" w:hAnsi="宋体" w:eastAsia="宋体" w:cs="宋体"/>
          <w:spacing w:val="-1"/>
          <w:sz w:val="24"/>
          <w:szCs w:val="24"/>
          <w:highlight w:val="none"/>
        </w:rPr>
        <w:t xml:space="preserve">1+637~K5+870、金桥大道</w:t>
      </w:r>
      <w:r>
        <w:rPr>
          <w:rFonts w:hint="eastAsia" w:ascii="宋体" w:hAnsi="宋体" w:eastAsia="宋体" w:cs="宋体"/>
          <w:spacing w:val="-59"/>
          <w:sz w:val="24"/>
          <w:szCs w:val="24"/>
          <w:highlight w:val="none"/>
        </w:rPr>
        <w:t xml:space="preserve"> </w:t>
      </w:r>
      <w:r>
        <w:rPr>
          <w:rFonts w:hint="eastAsia" w:ascii="宋体" w:hAnsi="宋体" w:eastAsia="宋体" w:cs="宋体"/>
          <w:spacing w:val="-1"/>
          <w:sz w:val="24"/>
          <w:szCs w:val="24"/>
          <w:highlight w:val="none"/>
        </w:rPr>
        <w:t xml:space="preserve">K7+510~K9+85</w:t>
      </w:r>
      <w:r>
        <w:rPr>
          <w:rFonts w:hint="eastAsia" w:ascii="宋体" w:hAnsi="宋体" w:eastAsia="宋体" w:cs="宋体"/>
          <w:spacing w:val="-2"/>
          <w:sz w:val="24"/>
          <w:szCs w:val="24"/>
          <w:highlight w:val="none"/>
        </w:rPr>
        <w:t xml:space="preserve">0</w:t>
      </w:r>
      <w:r>
        <w:rPr>
          <w:rFonts w:hint="eastAsia" w:ascii="宋体" w:hAnsi="宋体" w:eastAsia="宋体" w:cs="宋体"/>
          <w:spacing w:val="-41"/>
          <w:sz w:val="24"/>
          <w:szCs w:val="24"/>
          <w:highlight w:val="none"/>
        </w:rPr>
        <w:t xml:space="preserve"> </w:t>
      </w:r>
      <w:r>
        <w:rPr>
          <w:rFonts w:hint="eastAsia" w:ascii="宋体" w:hAnsi="宋体" w:eastAsia="宋体" w:cs="宋体"/>
          <w:spacing w:val="-2"/>
          <w:sz w:val="24"/>
          <w:szCs w:val="24"/>
          <w:highlight w:val="none"/>
        </w:rPr>
        <w:t xml:space="preserve">中分带、侧分带以及道路红</w:t>
      </w:r>
      <w:r>
        <w:rPr>
          <w:rFonts w:hint="eastAsia" w:ascii="宋体" w:hAnsi="宋体" w:eastAsia="宋体" w:cs="宋体"/>
          <w:sz w:val="24"/>
          <w:szCs w:val="24"/>
          <w:highlight w:val="none"/>
        </w:rPr>
        <w:t xml:space="preserve">线范围内的绿化养护及其范围内的垃圾、漂浮物清理、部分绿化补植。</w:t>
      </w:r>
      <w:r/>
    </w:p>
    <w:p>
      <w:pPr>
        <w:pStyle w:val="832"/>
        <w:ind w:firstLine="476"/>
        <w:spacing w:line="360"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服务期：一年</w:t>
      </w:r>
      <w:r/>
    </w:p>
    <w:p>
      <w:pPr>
        <w:pStyle w:val="832"/>
        <w:ind w:firstLine="476"/>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项目所属行业：其他未列明行业</w:t>
      </w:r>
      <w:r/>
    </w:p>
    <w:p>
      <w:pPr>
        <w:pStyle w:val="825"/>
        <w:rPr>
          <w:szCs w:val="22"/>
        </w:rPr>
      </w:pPr>
      <w:r/>
      <w:bookmarkStart w:id="209" w:name="_Toc209020153"/>
      <w:r>
        <w:rPr>
          <w:rFonts w:hint="eastAsia"/>
        </w:rPr>
        <w:t xml:space="preserve">二.采购标的汇总表</w:t>
      </w:r>
      <w:bookmarkEnd w:id="209"/>
      <w:r/>
      <w:r/>
    </w:p>
    <w:p>
      <w:pPr>
        <w:pStyle w:val="832"/>
        <w:ind w:firstLine="476"/>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（一） 采购标的</w:t>
      </w:r>
      <w:r/>
    </w:p>
    <w:p>
      <w:pPr>
        <w:pStyle w:val="832"/>
        <w:ind w:firstLine="476"/>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1.服务类标的</w:t>
      </w:r>
      <w:r/>
    </w:p>
    <w:tbl>
      <w:tblPr>
        <w:tblStyle w:val="864"/>
        <w:tblW w:w="8535" w:type="dxa"/>
        <w:tblInd w:w="6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698"/>
        <w:gridCol w:w="1695"/>
        <w:gridCol w:w="1035"/>
        <w:gridCol w:w="675"/>
        <w:gridCol w:w="3585"/>
        <w:gridCol w:w="847"/>
      </w:tblGrid>
      <w:tr>
        <w:trPr>
          <w:trHeight w:val="949"/>
        </w:trPr>
        <w:tc>
          <w:tcPr>
            <w:tcBorders>
              <w:top w:val="single" w:color="000000" w:sz="6" w:space="0"/>
              <w:left w:val="single" w:color="000000" w:sz="6" w:space="0"/>
              <w:bottom w:val="single" w:color="000000" w:sz="6" w:space="0"/>
              <w:right w:val="single" w:color="000000" w:sz="6" w:space="0"/>
            </w:tcBorders>
            <w:tcW w:w="698" w:type="dxa"/>
            <w:textDirection w:val="tbRlV"/>
            <w:noWrap w:val="false"/>
          </w:tcPr>
          <w:p>
            <w:pPr>
              <w:pStyle w:val="863"/>
              <w:ind w:left="199"/>
              <w:spacing w:before="217" w:line="204" w:lineRule="auto"/>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序</w:t>
            </w:r>
            <w:r>
              <w:rPr>
                <w:rFonts w:hint="eastAsia" w:ascii="宋体" w:hAnsi="宋体" w:eastAsia="宋体" w:cs="宋体"/>
                <w:color w:val="000000"/>
                <w:spacing w:val="-45"/>
                <w:lang w:eastAsia="en-US"/>
              </w:rPr>
              <w:t xml:space="preserve"> </w:t>
            </w:r>
            <w:r>
              <w:rPr>
                <w:rFonts w:hint="eastAsia" w:ascii="宋体" w:hAnsi="宋体" w:eastAsia="宋体" w:cs="宋体"/>
                <w:b/>
                <w:bCs/>
                <w:color w:val="000000"/>
                <w:spacing w:val="-3"/>
                <w:lang w:eastAsia="en-US"/>
              </w:rPr>
              <w:t xml:space="preserve">号</w:t>
            </w:r>
            <w:r/>
          </w:p>
        </w:tc>
        <w:tc>
          <w:tcPr>
            <w:tcBorders>
              <w:top w:val="single" w:color="808080" w:sz="6" w:space="0"/>
              <w:left w:val="single" w:color="000000" w:sz="6" w:space="0"/>
              <w:bottom w:val="single" w:color="808080" w:sz="6" w:space="0"/>
              <w:right w:val="single" w:color="808080" w:sz="6" w:space="0"/>
            </w:tcBorders>
            <w:tcW w:w="1695" w:type="dxa"/>
            <w:textDirection w:val="lrTb"/>
            <w:noWrap w:val="false"/>
          </w:tcPr>
          <w:p>
            <w:pPr>
              <w:spacing w:line="278"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34"/>
              <w:spacing w:before="79" w:line="216" w:lineRule="auto"/>
              <w:rPr>
                <w:rFonts w:ascii="宋体" w:hAnsi="宋体" w:eastAsia="宋体" w:cs="宋体"/>
                <w:color w:val="000000"/>
                <w:lang w:eastAsia="en-US"/>
              </w:rPr>
            </w:pPr>
            <w:r>
              <w:rPr>
                <w:rFonts w:hint="eastAsia" w:ascii="宋体" w:hAnsi="宋体" w:eastAsia="宋体" w:cs="宋体"/>
                <w:b/>
                <w:bCs/>
                <w:color w:val="000000"/>
                <w:spacing w:val="6"/>
                <w:lang w:eastAsia="en-US"/>
              </w:rPr>
              <w:t xml:space="preserve">标的名称</w:t>
            </w:r>
            <w:r/>
          </w:p>
        </w:tc>
        <w:tc>
          <w:tcPr>
            <w:tcBorders>
              <w:top w:val="single" w:color="808080" w:sz="6" w:space="0"/>
              <w:left w:val="single" w:color="808080" w:sz="6" w:space="0"/>
              <w:bottom w:val="single" w:color="808080" w:sz="6" w:space="0"/>
              <w:right w:val="single" w:color="808080" w:sz="6" w:space="0"/>
            </w:tcBorders>
            <w:tcW w:w="1035" w:type="dxa"/>
            <w:textDirection w:val="lrTb"/>
            <w:noWrap w:val="false"/>
          </w:tcPr>
          <w:p>
            <w:pPr>
              <w:pStyle w:val="863"/>
              <w:ind w:left="141"/>
              <w:spacing w:before="124" w:line="216" w:lineRule="auto"/>
              <w:rPr>
                <w:rFonts w:ascii="宋体" w:hAnsi="宋体" w:eastAsia="宋体" w:cs="宋体"/>
                <w:color w:val="000000"/>
                <w:lang w:eastAsia="en-US"/>
              </w:rPr>
            </w:pPr>
            <w:r>
              <w:rPr>
                <w:rFonts w:hint="eastAsia" w:ascii="宋体" w:hAnsi="宋体" w:eastAsia="宋体" w:cs="宋体"/>
                <w:b/>
                <w:bCs/>
                <w:color w:val="000000"/>
                <w:spacing w:val="4"/>
                <w:lang w:eastAsia="en-US"/>
              </w:rPr>
              <w:t xml:space="preserve">计量单</w:t>
            </w:r>
            <w:r/>
          </w:p>
          <w:p>
            <w:pPr>
              <w:pStyle w:val="863"/>
              <w:ind w:left="396"/>
              <w:spacing w:before="194" w:line="216" w:lineRule="auto"/>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位</w:t>
            </w:r>
            <w:r/>
          </w:p>
        </w:tc>
        <w:tc>
          <w:tcPr>
            <w:tcBorders>
              <w:top w:val="single" w:color="808080" w:sz="6" w:space="0"/>
              <w:left w:val="single" w:color="808080" w:sz="6" w:space="0"/>
              <w:bottom w:val="single" w:color="808080" w:sz="6" w:space="0"/>
              <w:right w:val="single" w:color="808080" w:sz="6" w:space="0"/>
            </w:tcBorders>
            <w:tcW w:w="675" w:type="dxa"/>
            <w:textDirection w:val="tbRlV"/>
            <w:noWrap w:val="false"/>
          </w:tcPr>
          <w:p>
            <w:pPr>
              <w:pStyle w:val="863"/>
              <w:ind w:left="124"/>
              <w:spacing w:before="210" w:line="204" w:lineRule="auto"/>
              <w:rPr>
                <w:rFonts w:ascii="宋体" w:hAnsi="宋体" w:eastAsia="宋体" w:cs="宋体"/>
                <w:color w:val="000000"/>
                <w:lang w:eastAsia="en-US"/>
              </w:rPr>
            </w:pPr>
            <w:r>
              <w:rPr>
                <w:rFonts w:hint="eastAsia" w:ascii="宋体" w:hAnsi="宋体" w:eastAsia="宋体" w:cs="宋体"/>
                <w:b/>
                <w:bCs/>
                <w:color w:val="000000"/>
                <w:spacing w:val="-2"/>
                <w:lang w:eastAsia="en-US"/>
              </w:rPr>
              <w:t xml:space="preserve">数</w:t>
            </w:r>
            <w:r>
              <w:rPr>
                <w:rFonts w:hint="eastAsia" w:ascii="宋体" w:hAnsi="宋体" w:eastAsia="宋体" w:cs="宋体"/>
                <w:color w:val="000000"/>
                <w:spacing w:val="-2"/>
                <w:lang w:eastAsia="en-US"/>
              </w:rPr>
              <w:t xml:space="preserve">  </w:t>
            </w:r>
            <w:r>
              <w:rPr>
                <w:rFonts w:hint="eastAsia" w:ascii="宋体" w:hAnsi="宋体" w:eastAsia="宋体" w:cs="宋体"/>
                <w:b/>
                <w:bCs/>
                <w:color w:val="000000"/>
                <w:spacing w:val="-2"/>
                <w:lang w:eastAsia="en-US"/>
              </w:rPr>
              <w:t xml:space="preserve">量</w:t>
            </w:r>
            <w:r/>
          </w:p>
        </w:tc>
        <w:tc>
          <w:tcPr>
            <w:tcBorders>
              <w:top w:val="single" w:color="808080" w:sz="6" w:space="0"/>
              <w:left w:val="single" w:color="808080" w:sz="6" w:space="0"/>
              <w:bottom w:val="single" w:color="808080" w:sz="6" w:space="0"/>
              <w:right w:val="single" w:color="808080" w:sz="6" w:space="0"/>
            </w:tcBorders>
            <w:tcW w:w="3585" w:type="dxa"/>
            <w:textDirection w:val="lrTb"/>
            <w:noWrap w:val="false"/>
          </w:tcPr>
          <w:p>
            <w:pPr>
              <w:spacing w:line="278"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030"/>
              <w:spacing w:before="78" w:line="216" w:lineRule="auto"/>
              <w:rPr>
                <w:rFonts w:ascii="宋体" w:hAnsi="宋体" w:eastAsia="宋体" w:cs="宋体"/>
                <w:color w:val="000000"/>
                <w:lang w:eastAsia="en-US"/>
              </w:rPr>
            </w:pPr>
            <w:r>
              <w:rPr>
                <w:rFonts w:hint="eastAsia" w:ascii="宋体" w:hAnsi="宋体" w:eastAsia="宋体" w:cs="宋体"/>
                <w:b/>
                <w:bCs/>
                <w:color w:val="000000"/>
                <w:spacing w:val="8"/>
                <w:lang w:eastAsia="en-US"/>
              </w:rPr>
              <w:t xml:space="preserve">服务要求简述</w:t>
            </w:r>
            <w:r/>
          </w:p>
        </w:tc>
        <w:tc>
          <w:tcPr>
            <w:tcBorders>
              <w:top w:val="single" w:color="808080" w:sz="6" w:space="0"/>
              <w:left w:val="single" w:color="808080" w:sz="6" w:space="0"/>
              <w:bottom w:val="single" w:color="808080" w:sz="6" w:space="0"/>
              <w:right w:val="single" w:color="808080" w:sz="6" w:space="0"/>
            </w:tcBorders>
            <w:tcW w:w="847" w:type="dxa"/>
            <w:textDirection w:val="lrTb"/>
            <w:noWrap w:val="false"/>
          </w:tcPr>
          <w:p>
            <w:pPr>
              <w:spacing w:line="278"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84"/>
              <w:spacing w:before="78" w:line="216" w:lineRule="auto"/>
              <w:rPr>
                <w:rFonts w:ascii="宋体" w:hAnsi="宋体" w:eastAsia="宋体" w:cs="宋体"/>
                <w:color w:val="000000"/>
                <w:lang w:eastAsia="en-US"/>
              </w:rPr>
            </w:pPr>
            <w:r>
              <w:rPr>
                <w:rFonts w:hint="eastAsia" w:ascii="宋体" w:hAnsi="宋体" w:eastAsia="宋体" w:cs="宋体"/>
                <w:b/>
                <w:bCs/>
                <w:color w:val="000000"/>
                <w:spacing w:val="-1"/>
                <w:lang w:eastAsia="en-US"/>
              </w:rPr>
              <w:t xml:space="preserve">备注</w:t>
            </w:r>
            <w:r/>
          </w:p>
        </w:tc>
      </w:tr>
      <w:tr>
        <w:trPr>
          <w:trHeight w:val="2339"/>
        </w:trPr>
        <w:tc>
          <w:tcPr>
            <w:tcBorders>
              <w:top w:val="single" w:color="000000" w:sz="6" w:space="0"/>
              <w:left w:val="single" w:color="808080" w:sz="6" w:space="0"/>
              <w:bottom w:val="single" w:color="808080" w:sz="6" w:space="0"/>
              <w:right w:val="single" w:color="808080" w:sz="6" w:space="0"/>
            </w:tcBorders>
            <w:tcW w:w="698" w:type="dxa"/>
            <w:textDirection w:val="lrTb"/>
            <w:noWrap w:val="false"/>
          </w:tcPr>
          <w:p>
            <w:pPr>
              <w:rPr>
                <w:rFonts w:ascii="宋体" w:hAnsi="宋体" w:eastAsia="Times New Roman" w:cs="宋体"/>
                <w:color w:val="000000"/>
                <w:lang w:eastAsia="en-US"/>
              </w:rPr>
            </w:pPr>
            <w:r>
              <w:rPr>
                <w:rFonts w:ascii="宋体" w:hAnsi="宋体" w:eastAsia="Times New Roman" w:cs="宋体"/>
                <w:color w:val="000000"/>
                <w:lang w:eastAsia="en-US"/>
              </w:rPr>
            </w:r>
            <w:r/>
          </w:p>
          <w:p>
            <w:pPr>
              <w:rPr>
                <w:rFonts w:ascii="宋体" w:hAnsi="宋体" w:eastAsia="Times New Roman" w:cs="宋体"/>
                <w:color w:val="000000"/>
                <w:lang w:eastAsia="en-US"/>
              </w:rPr>
            </w:pPr>
            <w:r>
              <w:rPr>
                <w:rFonts w:ascii="宋体" w:hAnsi="宋体" w:eastAsia="Times New Roman" w:cs="宋体"/>
                <w:color w:val="000000"/>
                <w:lang w:eastAsia="en-US"/>
              </w:rPr>
            </w:r>
            <w:r/>
          </w:p>
          <w:p>
            <w:pPr>
              <w:rPr>
                <w:rFonts w:ascii="宋体" w:hAnsi="宋体" w:eastAsia="Times New Roman" w:cs="宋体"/>
                <w:color w:val="000000"/>
                <w:lang w:eastAsia="en-US"/>
              </w:rPr>
            </w:pPr>
            <w:r>
              <w:rPr>
                <w:rFonts w:ascii="宋体" w:hAnsi="宋体" w:eastAsia="Times New Roman" w:cs="宋体"/>
                <w:color w:val="000000"/>
                <w:lang w:eastAsia="en-US"/>
              </w:rPr>
            </w:r>
            <w:r/>
          </w:p>
          <w:p>
            <w:pPr>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12"/>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808080" w:sz="6" w:space="0"/>
              <w:left w:val="single" w:color="808080" w:sz="6" w:space="0"/>
              <w:bottom w:val="single" w:color="808080" w:sz="6" w:space="0"/>
              <w:right w:val="single" w:color="808080" w:sz="6" w:space="0"/>
            </w:tcBorders>
            <w:tcW w:w="1695" w:type="dxa"/>
            <w:textDirection w:val="lrTb"/>
            <w:noWrap w:val="false"/>
          </w:tcPr>
          <w:p>
            <w:pPr>
              <w:spacing w:line="252"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52"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108" w:right="137" w:firstLine="5"/>
              <w:jc w:val="both"/>
              <w:spacing w:before="78" w:line="360" w:lineRule="auto"/>
              <w:rPr>
                <w:rFonts w:ascii="宋体" w:hAnsi="宋体" w:eastAsia="宋体" w:cs="宋体"/>
                <w:color w:val="000000"/>
                <w:lang w:eastAsia="zh-CN"/>
              </w:rPr>
            </w:pPr>
            <w:r>
              <w:rPr>
                <w:rFonts w:hint="eastAsia" w:ascii="宋体" w:hAnsi="宋体" w:eastAsia="宋体" w:cs="宋体"/>
                <w:color w:val="000000"/>
                <w:spacing w:val="-3"/>
                <w:lang w:eastAsia="zh-CN"/>
              </w:rPr>
              <w:t xml:space="preserve">官塘桥路、金</w:t>
            </w:r>
            <w:r>
              <w:rPr>
                <w:rFonts w:hint="eastAsia" w:ascii="宋体" w:hAnsi="宋体" w:eastAsia="宋体" w:cs="宋体"/>
                <w:color w:val="000000"/>
                <w:spacing w:val="4"/>
                <w:lang w:eastAsia="zh-CN"/>
              </w:rPr>
              <w:t xml:space="preserve"> </w:t>
            </w:r>
            <w:r>
              <w:rPr>
                <w:rFonts w:hint="eastAsia" w:ascii="宋体" w:hAnsi="宋体" w:eastAsia="宋体" w:cs="宋体"/>
                <w:color w:val="000000"/>
                <w:spacing w:val="-2"/>
                <w:lang w:eastAsia="zh-CN"/>
              </w:rPr>
              <w:t xml:space="preserve">桥大道绿化养</w:t>
            </w:r>
            <w:r>
              <w:rPr>
                <w:rFonts w:hint="eastAsia" w:ascii="宋体" w:hAnsi="宋体" w:eastAsia="宋体" w:cs="宋体"/>
                <w:color w:val="000000"/>
                <w:spacing w:val="4"/>
                <w:lang w:eastAsia="zh-CN"/>
              </w:rPr>
              <w:t xml:space="preserve"> </w:t>
            </w:r>
            <w:r>
              <w:rPr>
                <w:rFonts w:hint="eastAsia" w:ascii="宋体" w:hAnsi="宋体" w:eastAsia="宋体" w:cs="宋体"/>
                <w:color w:val="000000"/>
                <w:spacing w:val="-2"/>
                <w:lang w:eastAsia="zh-CN"/>
              </w:rPr>
              <w:t xml:space="preserve">护项目</w:t>
            </w:r>
            <w:r/>
          </w:p>
        </w:tc>
        <w:tc>
          <w:tcPr>
            <w:tcBorders>
              <w:top w:val="single" w:color="808080" w:sz="6" w:space="0"/>
              <w:left w:val="single" w:color="808080" w:sz="6" w:space="0"/>
              <w:bottom w:val="single" w:color="808080" w:sz="6" w:space="0"/>
              <w:right w:val="single" w:color="808080" w:sz="6" w:space="0"/>
            </w:tcBorders>
            <w:tcW w:w="1035" w:type="dxa"/>
            <w:vAlign w:val="center"/>
            <w:textDirection w:val="lrTb"/>
            <w:noWrap w:val="false"/>
          </w:tcPr>
          <w:p>
            <w:pPr>
              <w:jc w:val="center"/>
              <w:rPr>
                <w:rFonts w:ascii="宋体" w:hAnsi="宋体" w:eastAsia="Times New Roman" w:cs="宋体"/>
                <w:color w:val="000000"/>
                <w:szCs w:val="21"/>
                <w:lang w:eastAsia="en-US"/>
              </w:rPr>
            </w:pPr>
            <w:r>
              <w:rPr>
                <w:rFonts w:hint="eastAsia" w:ascii="宋体" w:hAnsi="宋体" w:eastAsia="Times New Roman" w:cs="宋体"/>
                <w:color w:val="000000"/>
                <w:szCs w:val="21"/>
                <w:lang w:eastAsia="en-US"/>
              </w:rPr>
              <w:t xml:space="preserve">项</w:t>
            </w:r>
            <w:r/>
          </w:p>
        </w:tc>
        <w:tc>
          <w:tcPr>
            <w:tcBorders>
              <w:top w:val="single" w:color="808080" w:sz="6" w:space="0"/>
              <w:left w:val="single" w:color="808080" w:sz="6" w:space="0"/>
              <w:bottom w:val="single" w:color="808080" w:sz="6" w:space="0"/>
              <w:right w:val="single" w:color="808080" w:sz="6" w:space="0"/>
            </w:tcBorders>
            <w:tcW w:w="675" w:type="dxa"/>
            <w:vAlign w:val="center"/>
            <w:textDirection w:val="lrTb"/>
            <w:noWrap w:val="false"/>
          </w:tcPr>
          <w:p>
            <w:pPr>
              <w:jc w:val="center"/>
              <w:rPr>
                <w:rFonts w:ascii="宋体" w:hAnsi="宋体" w:eastAsia="Times New Roman" w:cs="宋体"/>
                <w:color w:val="000000"/>
                <w:szCs w:val="21"/>
                <w:lang w:eastAsia="en-US"/>
              </w:rPr>
            </w:pPr>
            <w:r>
              <w:rPr>
                <w:rFonts w:hint="eastAsia" w:ascii="宋体" w:hAnsi="宋体" w:eastAsia="Times New Roman" w:cs="宋体"/>
                <w:color w:val="000000"/>
                <w:szCs w:val="21"/>
                <w:lang w:eastAsia="en-US"/>
              </w:rPr>
              <w:t xml:space="preserve">1</w:t>
            </w:r>
            <w:r/>
          </w:p>
        </w:tc>
        <w:tc>
          <w:tcPr>
            <w:tcBorders>
              <w:top w:val="single" w:color="808080" w:sz="6" w:space="0"/>
              <w:left w:val="single" w:color="808080" w:sz="6" w:space="0"/>
              <w:bottom w:val="single" w:color="808080" w:sz="6" w:space="0"/>
              <w:right w:val="single" w:color="808080" w:sz="6" w:space="0"/>
            </w:tcBorders>
            <w:tcW w:w="3585" w:type="dxa"/>
            <w:textDirection w:val="lrTb"/>
            <w:noWrap w:val="false"/>
          </w:tcPr>
          <w:p>
            <w:pPr>
              <w:pStyle w:val="863"/>
              <w:ind w:left="114" w:right="96" w:firstLine="5"/>
              <w:jc w:val="both"/>
              <w:spacing w:before="119" w:line="336" w:lineRule="auto"/>
              <w:rPr>
                <w:rFonts w:ascii="宋体" w:hAnsi="宋体" w:eastAsia="宋体" w:cs="宋体"/>
                <w:color w:val="000000"/>
                <w:lang w:eastAsia="zh-CN"/>
              </w:rPr>
            </w:pPr>
            <w:r>
              <w:rPr>
                <w:rFonts w:hint="eastAsia" w:ascii="宋体" w:hAnsi="宋体" w:eastAsia="宋体" w:cs="宋体"/>
                <w:color w:val="000000"/>
                <w:spacing w:val="-1"/>
                <w:sz w:val="24"/>
                <w:szCs w:val="24"/>
                <w:lang w:eastAsia="zh-CN"/>
              </w:rPr>
              <w:t xml:space="preserve">官塘桥路</w:t>
            </w:r>
            <w:r>
              <w:rPr>
                <w:rFonts w:hint="eastAsia" w:ascii="宋体" w:hAnsi="宋体" w:eastAsia="宋体" w:cs="宋体"/>
                <w:color w:val="000000"/>
                <w:spacing w:val="-70"/>
                <w:sz w:val="24"/>
                <w:szCs w:val="24"/>
                <w:highlight w:val="none"/>
                <w:lang w:eastAsia="zh-CN"/>
              </w:rPr>
              <w:t xml:space="preserve">  </w:t>
            </w:r>
            <w:r>
              <w:rPr>
                <w:rFonts w:hint="eastAsia" w:ascii="宋体" w:hAnsi="宋体" w:eastAsia="宋体" w:cs="宋体"/>
                <w:color w:val="000000"/>
                <w:spacing w:val="-1"/>
                <w:sz w:val="24"/>
                <w:szCs w:val="24"/>
                <w:highlight w:val="none"/>
                <w:lang w:eastAsia="zh-CN"/>
              </w:rPr>
              <w:t xml:space="preserve">K1+637~K5+</w:t>
            </w:r>
            <w:r>
              <w:rPr>
                <w:rFonts w:hint="eastAsia" w:ascii="宋体" w:hAnsi="宋体" w:eastAsia="宋体" w:cs="宋体"/>
                <w:color w:val="000000"/>
                <w:spacing w:val="-1"/>
                <w:sz w:val="24"/>
                <w:szCs w:val="24"/>
                <w:lang w:eastAsia="zh-CN"/>
              </w:rPr>
              <w:t xml:space="preserve">870、金桥大道</w:t>
            </w:r>
            <w:r>
              <w:rPr>
                <w:rFonts w:hint="eastAsia" w:ascii="宋体" w:hAnsi="宋体" w:eastAsia="宋体" w:cs="宋体"/>
                <w:color w:val="000000"/>
                <w:spacing w:val="-59"/>
                <w:sz w:val="24"/>
                <w:szCs w:val="24"/>
                <w:lang w:eastAsia="zh-CN"/>
              </w:rPr>
              <w:t xml:space="preserve"> </w:t>
            </w:r>
            <w:r>
              <w:rPr>
                <w:rFonts w:hint="eastAsia" w:ascii="宋体" w:hAnsi="宋体" w:eastAsia="宋体" w:cs="宋体"/>
                <w:color w:val="000000"/>
                <w:spacing w:val="-1"/>
                <w:sz w:val="24"/>
                <w:szCs w:val="24"/>
                <w:lang w:eastAsia="zh-CN"/>
              </w:rPr>
              <w:t xml:space="preserve">K7+510~K9+85</w:t>
            </w:r>
            <w:r>
              <w:rPr>
                <w:rFonts w:hint="eastAsia" w:ascii="宋体" w:hAnsi="宋体" w:eastAsia="宋体" w:cs="宋体"/>
                <w:color w:val="000000"/>
                <w:spacing w:val="-2"/>
                <w:sz w:val="24"/>
                <w:szCs w:val="24"/>
                <w:lang w:eastAsia="zh-CN"/>
              </w:rPr>
              <w:t xml:space="preserve">0</w:t>
            </w:r>
            <w:r>
              <w:rPr>
                <w:rFonts w:hint="eastAsia" w:ascii="宋体" w:hAnsi="宋体" w:eastAsia="宋体" w:cs="宋体"/>
                <w:color w:val="000000"/>
                <w:spacing w:val="-41"/>
                <w:sz w:val="24"/>
                <w:szCs w:val="24"/>
                <w:lang w:eastAsia="zh-CN"/>
              </w:rPr>
              <w:t xml:space="preserve"> </w:t>
            </w:r>
            <w:r>
              <w:rPr>
                <w:rFonts w:hint="eastAsia" w:ascii="宋体" w:hAnsi="宋体" w:eastAsia="宋体" w:cs="宋体"/>
                <w:color w:val="000000"/>
                <w:spacing w:val="-2"/>
                <w:sz w:val="24"/>
                <w:szCs w:val="24"/>
                <w:lang w:eastAsia="zh-CN"/>
              </w:rPr>
              <w:t xml:space="preserve">中分带、侧分带以及道路红</w:t>
            </w:r>
            <w:r>
              <w:rPr>
                <w:rFonts w:hint="eastAsia" w:ascii="宋体" w:hAnsi="宋体" w:eastAsia="宋体" w:cs="宋体"/>
                <w:color w:val="000000"/>
                <w:sz w:val="24"/>
                <w:szCs w:val="24"/>
                <w:lang w:eastAsia="zh-CN"/>
              </w:rPr>
              <w:t xml:space="preserve">线范围内</w:t>
            </w:r>
            <w:r>
              <w:rPr>
                <w:rFonts w:hint="eastAsia" w:ascii="宋体" w:hAnsi="宋体" w:eastAsia="宋体" w:cs="宋体"/>
                <w:color w:val="000000"/>
                <w:spacing w:val="-1"/>
                <w:lang w:eastAsia="zh-CN"/>
              </w:rPr>
              <w:t xml:space="preserve">的绿化养护及其范围内的垃圾、漂浮物</w:t>
            </w:r>
            <w:r>
              <w:rPr>
                <w:rFonts w:hint="eastAsia" w:ascii="宋体" w:hAnsi="宋体" w:eastAsia="宋体" w:cs="宋体"/>
                <w:color w:val="000000"/>
                <w:spacing w:val="10"/>
                <w:lang w:eastAsia="zh-CN"/>
              </w:rPr>
              <w:t xml:space="preserve"> </w:t>
            </w:r>
            <w:r>
              <w:rPr>
                <w:rFonts w:hint="eastAsia" w:ascii="宋体" w:hAnsi="宋体" w:eastAsia="宋体" w:cs="宋体"/>
                <w:color w:val="000000"/>
                <w:spacing w:val="-1"/>
                <w:lang w:eastAsia="zh-CN"/>
              </w:rPr>
              <w:t xml:space="preserve">清理、部分绿化补植等工作</w:t>
            </w:r>
            <w:r/>
          </w:p>
        </w:tc>
        <w:tc>
          <w:tcPr>
            <w:tcBorders>
              <w:top w:val="single" w:color="808080" w:sz="6" w:space="0"/>
              <w:left w:val="single" w:color="808080" w:sz="6" w:space="0"/>
              <w:bottom w:val="single" w:color="808080" w:sz="6" w:space="0"/>
              <w:right w:val="single" w:color="808080" w:sz="6" w:space="0"/>
            </w:tcBorders>
            <w:tcW w:w="847" w:type="dxa"/>
            <w:textDirection w:val="lrTb"/>
            <w:noWrap w:val="false"/>
          </w:tcPr>
          <w:p>
            <w:pPr>
              <w:rPr>
                <w:rFonts w:ascii="宋体" w:hAnsi="宋体" w:eastAsia="Times New Roman" w:cs="宋体"/>
                <w:color w:val="000000"/>
                <w:szCs w:val="21"/>
                <w:lang w:eastAsia="zh-CN"/>
              </w:rPr>
            </w:pPr>
            <w:r>
              <w:rPr>
                <w:rFonts w:ascii="宋体" w:hAnsi="宋体" w:eastAsia="Times New Roman" w:cs="宋体"/>
                <w:color w:val="000000"/>
                <w:szCs w:val="21"/>
                <w:lang w:eastAsia="zh-CN"/>
              </w:rPr>
            </w:r>
            <w:r/>
          </w:p>
        </w:tc>
      </w:tr>
    </w:tbl>
    <w:p>
      <w:pPr>
        <w:pStyle w:val="825"/>
        <w:rPr>
          <w:color w:val="000000"/>
          <w:sz w:val="24"/>
          <w:szCs w:val="24"/>
        </w:rPr>
      </w:pPr>
      <w:r/>
      <w:bookmarkStart w:id="210" w:name="_Toc209020154"/>
      <w:r>
        <w:rPr>
          <w:rFonts w:hint="eastAsia"/>
        </w:rPr>
        <w:t xml:space="preserve">三.官塘桥路、金桥大道绿化养护项目技术要求</w:t>
      </w:r>
      <w:bookmarkEnd w:id="210"/>
      <w:r/>
      <w:r/>
    </w:p>
    <w:p>
      <w:pPr>
        <w:pStyle w:val="832"/>
        <w:ind w:left="76"/>
        <w:spacing w:before="270" w:line="216" w:lineRule="auto"/>
        <w:rPr>
          <w:rFonts w:ascii="宋体" w:hAnsi="宋体" w:eastAsia="宋体" w:cs="宋体"/>
          <w:sz w:val="24"/>
          <w:szCs w:val="21"/>
        </w:rPr>
      </w:pPr>
      <w:r>
        <w:rPr>
          <w:rFonts w:hint="eastAsia" w:ascii="宋体" w:hAnsi="宋体" w:eastAsia="宋体" w:cs="宋体"/>
          <w:b/>
          <w:bCs/>
          <w:spacing w:val="1"/>
          <w:sz w:val="24"/>
          <w:szCs w:val="21"/>
        </w:rPr>
        <w:t xml:space="preserve">（一）服务内容和标准</w:t>
      </w:r>
      <w:r/>
    </w:p>
    <w:p>
      <w:pPr>
        <w:pStyle w:val="832"/>
        <w:ind w:left="631"/>
        <w:spacing w:before="91" w:line="216" w:lineRule="auto"/>
        <w:rPr>
          <w:rFonts w:ascii="宋体" w:hAnsi="宋体" w:eastAsia="宋体" w:cs="宋体"/>
          <w:sz w:val="24"/>
          <w:szCs w:val="24"/>
        </w:rPr>
      </w:pPr>
      <w:r>
        <w:rPr>
          <w:rFonts w:hint="eastAsia" w:ascii="宋体" w:hAnsi="宋体" w:eastAsia="宋体" w:cs="宋体"/>
          <w:b/>
          <w:bCs/>
          <w:spacing w:val="1"/>
          <w:sz w:val="24"/>
          <w:szCs w:val="24"/>
        </w:rPr>
        <w:t xml:space="preserve">一、项目概况及基本要求</w:t>
      </w:r>
      <w:r/>
    </w:p>
    <w:p>
      <w:pPr>
        <w:pStyle w:val="832"/>
        <w:spacing w:before="79" w:line="408" w:lineRule="auto"/>
        <w:rPr>
          <w:rFonts w:hint="eastAsia" w:ascii="宋体" w:hAnsi="宋体" w:eastAsia="宋体" w:cs="宋体"/>
          <w:b/>
          <w:bCs/>
          <w:spacing w:val="-1"/>
          <w:sz w:val="24"/>
          <w:szCs w:val="21"/>
          <w:lang w:eastAsia="zh-CN"/>
        </w:rPr>
      </w:pPr>
      <w:r>
        <w:rPr>
          <w:rFonts w:hint="eastAsia" w:ascii="宋体" w:hAnsi="宋体" w:eastAsia="宋体" w:cs="宋体"/>
          <w:b/>
          <w:bCs/>
          <w:spacing w:val="-1"/>
          <w:sz w:val="24"/>
          <w:szCs w:val="21"/>
        </w:rPr>
        <w:t xml:space="preserve">（1）本次采购预算及标段划分如下（人民币）：</w:t>
      </w:r>
      <w:r>
        <w:rPr>
          <w:rFonts w:hint="eastAsia" w:ascii="宋体" w:hAnsi="宋体" w:eastAsia="宋体" w:cs="宋体"/>
          <w:b/>
          <w:bCs/>
          <w:spacing w:val="-1"/>
          <w:sz w:val="24"/>
          <w:szCs w:val="21"/>
          <w:lang w:val="en-US" w:eastAsia="zh-CN"/>
        </w:rPr>
        <w:t xml:space="preserve">194</w:t>
      </w:r>
      <w:r>
        <w:rPr>
          <w:rFonts w:hint="eastAsia" w:ascii="宋体" w:hAnsi="宋体" w:eastAsia="宋体" w:cs="宋体"/>
          <w:b/>
          <w:bCs/>
          <w:spacing w:val="-1"/>
          <w:sz w:val="24"/>
          <w:szCs w:val="21"/>
        </w:rPr>
        <w:t xml:space="preserve">万元</w:t>
      </w:r>
      <w:bookmarkStart w:id="211" w:name="OLE_LINK23"/>
      <w:r/>
      <w:bookmarkStart w:id="212" w:name="OLE_LINK11"/>
      <w:r>
        <w:rPr>
          <w:rFonts w:hint="eastAsia" w:ascii="宋体" w:hAnsi="宋体" w:eastAsia="宋体" w:cs="宋体"/>
          <w:b/>
          <w:bCs/>
          <w:spacing w:val="-1"/>
          <w:sz w:val="24"/>
          <w:szCs w:val="21"/>
        </w:rPr>
        <w:t xml:space="preserve">/年</w:t>
      </w:r>
      <w:bookmarkEnd w:id="211"/>
      <w:r/>
      <w:bookmarkEnd w:id="212"/>
      <w:r>
        <w:rPr>
          <w:rFonts w:hint="eastAsia" w:ascii="宋体" w:hAnsi="宋体" w:eastAsia="宋体" w:cs="宋体"/>
          <w:b/>
          <w:bCs/>
          <w:spacing w:val="-1"/>
          <w:sz w:val="24"/>
          <w:szCs w:val="21"/>
          <w:lang w:eastAsia="zh-CN"/>
        </w:rPr>
        <w:t xml:space="preserve">，</w:t>
      </w:r>
      <w:r>
        <w:rPr>
          <w:rFonts w:hint="eastAsia" w:ascii="宋体" w:hAnsi="宋体" w:eastAsia="宋体" w:cs="宋体"/>
          <w:b/>
          <w:bCs/>
          <w:spacing w:val="-1"/>
          <w:sz w:val="24"/>
          <w:szCs w:val="21"/>
          <w:lang w:val="en-US" w:eastAsia="zh-CN"/>
        </w:rPr>
        <w:t xml:space="preserve">其中单价类最高投标限价32.4万元</w:t>
      </w:r>
      <w:r>
        <w:rPr>
          <w:rFonts w:hint="eastAsia" w:ascii="宋体" w:hAnsi="宋体" w:eastAsia="宋体" w:cs="宋体"/>
          <w:b/>
          <w:bCs/>
          <w:spacing w:val="-1"/>
          <w:sz w:val="24"/>
          <w:szCs w:val="21"/>
        </w:rPr>
        <w:t xml:space="preserve"> </w:t>
      </w:r>
      <w:r>
        <w:rPr>
          <w:rFonts w:hint="eastAsia" w:ascii="宋体" w:hAnsi="宋体" w:eastAsia="宋体" w:cs="宋体"/>
          <w:b/>
          <w:bCs/>
          <w:spacing w:val="-1"/>
          <w:sz w:val="24"/>
          <w:szCs w:val="21"/>
          <w:lang w:eastAsia="zh-CN"/>
        </w:rPr>
        <w:t xml:space="preserve">。</w:t>
      </w:r>
      <w:r/>
    </w:p>
    <w:p>
      <w:pPr>
        <w:pStyle w:val="832"/>
        <w:ind w:left="69" w:right="2905" w:firstLine="486"/>
        <w:spacing w:before="79" w:line="408" w:lineRule="auto"/>
        <w:rPr>
          <w:rFonts w:ascii="宋体" w:hAnsi="宋体" w:eastAsia="宋体" w:cs="宋体"/>
          <w:sz w:val="24"/>
          <w:szCs w:val="21"/>
        </w:rPr>
      </w:pPr>
      <w:r>
        <w:rPr>
          <w:rFonts w:hint="eastAsia" w:ascii="宋体" w:hAnsi="宋体" w:eastAsia="宋体" w:cs="宋体"/>
          <w:b/>
          <w:bCs/>
          <w:sz w:val="24"/>
          <w:szCs w:val="21"/>
        </w:rPr>
        <w:t xml:space="preserve">注：报价高于预算的投标为无效投标。</w:t>
      </w:r>
      <w:r/>
    </w:p>
    <w:tbl>
      <w:tblPr>
        <w:tblStyle w:val="864"/>
        <w:tblW w:w="8415" w:type="dxa"/>
        <w:tblInd w:w="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2572"/>
        <w:gridCol w:w="2535"/>
        <w:gridCol w:w="1485"/>
        <w:gridCol w:w="1823"/>
      </w:tblGrid>
      <w:tr>
        <w:trPr>
          <w:trHeight w:val="868"/>
        </w:trPr>
        <w:tc>
          <w:tcPr>
            <w:tcBorders>
              <w:top w:val="single" w:color="000000" w:sz="6" w:space="0"/>
              <w:left w:val="single" w:color="000000" w:sz="6" w:space="0"/>
              <w:bottom w:val="single" w:color="000000" w:sz="6" w:space="0"/>
              <w:right w:val="single" w:color="000000" w:sz="6" w:space="0"/>
            </w:tcBorders>
            <w:tcW w:w="2572" w:type="dxa"/>
            <w:textDirection w:val="lrTb"/>
            <w:noWrap w:val="false"/>
          </w:tcPr>
          <w:p>
            <w:pPr>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806"/>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标段名称</w:t>
            </w:r>
            <w:r/>
          </w:p>
        </w:tc>
        <w:tc>
          <w:tcPr>
            <w:tcBorders>
              <w:top w:val="single" w:color="000000" w:sz="6" w:space="0"/>
              <w:left w:val="single" w:color="000000" w:sz="6" w:space="0"/>
              <w:bottom w:val="single" w:color="000000" w:sz="6" w:space="0"/>
              <w:right w:val="single" w:color="000000" w:sz="6" w:space="0"/>
            </w:tcBorders>
            <w:tcW w:w="2535" w:type="dxa"/>
            <w:textDirection w:val="lrTb"/>
            <w:noWrap w:val="false"/>
          </w:tcPr>
          <w:p>
            <w:pPr>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788"/>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标段范围</w:t>
            </w:r>
            <w:r/>
          </w:p>
        </w:tc>
        <w:tc>
          <w:tcPr>
            <w:tcBorders>
              <w:top w:val="single" w:color="808080" w:sz="6" w:space="0"/>
              <w:left w:val="single" w:color="000000" w:sz="6" w:space="0"/>
              <w:bottom w:val="single" w:color="808080" w:sz="6" w:space="0"/>
              <w:right w:val="single" w:color="808080" w:sz="6" w:space="0"/>
            </w:tcBorders>
            <w:tcW w:w="1485" w:type="dxa"/>
            <w:textDirection w:val="lrTb"/>
            <w:noWrap w:val="false"/>
          </w:tcPr>
          <w:p>
            <w:pPr>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48"/>
              <w:spacing w:before="78" w:line="216" w:lineRule="auto"/>
              <w:rPr>
                <w:rFonts w:ascii="宋体" w:hAnsi="宋体" w:eastAsia="宋体" w:cs="宋体"/>
                <w:color w:val="000000"/>
                <w:lang w:eastAsia="en-US"/>
              </w:rPr>
            </w:pPr>
            <w:r>
              <w:rPr>
                <w:rFonts w:hint="eastAsia" w:ascii="宋体" w:hAnsi="宋体" w:eastAsia="宋体" w:cs="宋体"/>
                <w:color w:val="000000"/>
                <w:spacing w:val="-4"/>
                <w:lang w:eastAsia="en-US"/>
              </w:rPr>
              <w:t xml:space="preserve">面积（㎡）</w:t>
            </w:r>
            <w:r/>
          </w:p>
        </w:tc>
        <w:tc>
          <w:tcPr>
            <w:tcBorders>
              <w:top w:val="single" w:color="808080" w:sz="6" w:space="0"/>
              <w:left w:val="single" w:color="808080" w:sz="6" w:space="0"/>
              <w:bottom w:val="single" w:color="808080" w:sz="6" w:space="0"/>
              <w:right w:val="single" w:color="808080" w:sz="6" w:space="0"/>
            </w:tcBorders>
            <w:tcW w:w="1823" w:type="dxa"/>
            <w:textDirection w:val="lrTb"/>
            <w:noWrap w:val="false"/>
          </w:tcPr>
          <w:p>
            <w:pPr>
              <w:pStyle w:val="863"/>
              <w:ind w:left="152"/>
              <w:spacing w:before="31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预算（元）</w:t>
            </w:r>
            <w:r/>
          </w:p>
        </w:tc>
      </w:tr>
      <w:tr>
        <w:trPr>
          <w:trHeight w:val="318"/>
        </w:trPr>
        <w:tc>
          <w:tcPr>
            <w:tcBorders>
              <w:top w:val="single" w:color="000000" w:sz="6" w:space="0"/>
              <w:left w:val="single" w:color="808080" w:sz="6" w:space="0"/>
              <w:bottom w:val="single" w:color="000000" w:sz="6" w:space="0"/>
              <w:right w:val="single" w:color="808080" w:sz="6" w:space="0"/>
            </w:tcBorders>
            <w:tcW w:w="2572" w:type="dxa"/>
            <w:textDirection w:val="lrTb"/>
            <w:noWrap w:val="false"/>
          </w:tcPr>
          <w:p>
            <w:pPr>
              <w:pStyle w:val="863"/>
              <w:ind w:left="210"/>
              <w:spacing w:before="36" w:line="20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官塘桥路、金桥大道</w:t>
            </w:r>
            <w:r/>
          </w:p>
        </w:tc>
        <w:tc>
          <w:tcPr>
            <w:tcBorders>
              <w:top w:val="single" w:color="000000" w:sz="6" w:space="0"/>
              <w:left w:val="single" w:color="808080" w:sz="6" w:space="0"/>
              <w:bottom w:val="single" w:color="000000" w:sz="6" w:space="0"/>
              <w:right w:val="single" w:color="808080" w:sz="6" w:space="0"/>
            </w:tcBorders>
            <w:tcW w:w="2535" w:type="dxa"/>
            <w:textDirection w:val="lrTb"/>
            <w:noWrap w:val="false"/>
          </w:tcPr>
          <w:p>
            <w:pPr>
              <w:pStyle w:val="863"/>
              <w:ind w:left="192"/>
              <w:spacing w:before="36" w:line="20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官塘桥路、金桥大道</w:t>
            </w:r>
            <w:r/>
          </w:p>
        </w:tc>
        <w:tc>
          <w:tcPr>
            <w:tcBorders>
              <w:top w:val="single" w:color="808080" w:sz="6" w:space="0"/>
              <w:left w:val="single" w:color="808080" w:sz="6" w:space="0"/>
              <w:bottom w:val="single" w:color="808080" w:sz="6" w:space="0"/>
              <w:right w:val="single" w:color="808080" w:sz="6" w:space="0"/>
            </w:tcBorders>
            <w:tcW w:w="1485" w:type="dxa"/>
            <w:textDirection w:val="lrTb"/>
            <w:noWrap w:val="false"/>
          </w:tcPr>
          <w:p>
            <w:pPr>
              <w:pStyle w:val="863"/>
              <w:ind w:left="390"/>
              <w:spacing w:before="36" w:line="20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267774</w:t>
            </w:r>
            <w:r/>
          </w:p>
        </w:tc>
        <w:tc>
          <w:tcPr>
            <w:tcBorders>
              <w:top w:val="single" w:color="808080" w:sz="6" w:space="0"/>
              <w:left w:val="single" w:color="808080" w:sz="6" w:space="0"/>
              <w:bottom w:val="single" w:color="808080" w:sz="6" w:space="0"/>
              <w:right w:val="single" w:color="808080" w:sz="6" w:space="0"/>
            </w:tcBorders>
            <w:tcW w:w="1823" w:type="dxa"/>
            <w:textDirection w:val="lrTb"/>
            <w:noWrap w:val="false"/>
          </w:tcPr>
          <w:p>
            <w:pPr>
              <w:pStyle w:val="863"/>
              <w:ind w:left="452"/>
              <w:spacing w:before="49" w:line="216" w:lineRule="auto"/>
              <w:rPr>
                <w:rFonts w:ascii="宋体" w:hAnsi="宋体" w:eastAsia="宋体" w:cs="宋体"/>
                <w:color w:val="000000"/>
                <w:sz w:val="22"/>
                <w:szCs w:val="22"/>
                <w:lang w:eastAsia="en-US"/>
              </w:rPr>
            </w:pPr>
            <w:r>
              <w:rPr>
                <w:rFonts w:hint="eastAsia" w:ascii="宋体" w:hAnsi="宋体" w:eastAsia="宋体" w:cs="宋体"/>
                <w:b/>
                <w:bCs/>
                <w:color w:val="000000"/>
                <w:spacing w:val="17"/>
                <w:sz w:val="22"/>
                <w:szCs w:val="22"/>
                <w:lang w:eastAsia="en-US"/>
              </w:rPr>
              <w:t xml:space="preserve">1940000.00</w:t>
            </w:r>
            <w:r/>
          </w:p>
        </w:tc>
      </w:tr>
      <w:tr>
        <w:trPr>
          <w:trHeight w:val="318"/>
        </w:trPr>
        <w:tc>
          <w:tcPr>
            <w:gridSpan w:val="2"/>
            <w:tcBorders>
              <w:top w:val="single" w:color="000000" w:sz="6" w:space="0"/>
              <w:left w:val="single" w:color="808080" w:sz="6" w:space="0"/>
              <w:bottom w:val="single" w:color="808080" w:sz="6" w:space="0"/>
              <w:right w:val="single" w:color="808080" w:sz="6" w:space="0"/>
            </w:tcBorders>
            <w:tcW w:w="5107" w:type="dxa"/>
            <w:textDirection w:val="lrTb"/>
            <w:noWrap w:val="false"/>
          </w:tcPr>
          <w:p>
            <w:pPr>
              <w:pStyle w:val="863"/>
              <w:ind w:left="192"/>
              <w:jc w:val="center"/>
              <w:spacing w:before="36" w:line="204" w:lineRule="auto"/>
              <w:rPr>
                <w:rFonts w:ascii="宋体" w:hAnsi="宋体" w:eastAsia="宋体" w:cs="宋体"/>
                <w:color w:val="000000"/>
                <w:spacing w:val="-2"/>
                <w:lang w:eastAsia="en-US"/>
              </w:rPr>
            </w:pPr>
            <w:r>
              <w:rPr>
                <w:rFonts w:hint="eastAsia" w:ascii="宋体" w:hAnsi="宋体" w:eastAsia="宋体" w:cs="宋体"/>
                <w:b/>
                <w:bCs/>
                <w:color w:val="000000"/>
                <w:lang w:eastAsia="en-US"/>
              </w:rPr>
              <w:t xml:space="preserve">合计</w:t>
            </w:r>
            <w:r/>
          </w:p>
        </w:tc>
        <w:tc>
          <w:tcPr>
            <w:tcBorders>
              <w:top w:val="single" w:color="808080" w:sz="6" w:space="0"/>
              <w:left w:val="single" w:color="808080" w:sz="6" w:space="0"/>
              <w:bottom w:val="single" w:color="808080" w:sz="6" w:space="0"/>
              <w:right w:val="single" w:color="808080" w:sz="6" w:space="0"/>
            </w:tcBorders>
            <w:tcW w:w="1485" w:type="dxa"/>
            <w:textDirection w:val="lrTb"/>
            <w:noWrap w:val="false"/>
          </w:tcPr>
          <w:p>
            <w:pPr>
              <w:pStyle w:val="863"/>
              <w:ind w:left="389"/>
              <w:spacing w:before="108"/>
              <w:rPr>
                <w:rFonts w:ascii="宋体" w:hAnsi="宋体" w:eastAsia="宋体" w:cs="宋体"/>
                <w:color w:val="000000"/>
                <w:lang w:eastAsia="en-US"/>
              </w:rPr>
            </w:pPr>
            <w:r>
              <w:rPr>
                <w:rFonts w:hint="eastAsia" w:ascii="宋体" w:hAnsi="宋体" w:eastAsia="宋体" w:cs="宋体"/>
                <w:color w:val="000000"/>
                <w:spacing w:val="-2"/>
                <w:lang w:eastAsia="en-US"/>
              </w:rPr>
              <w:t xml:space="preserve">267774</w:t>
            </w:r>
            <w:r/>
          </w:p>
        </w:tc>
        <w:tc>
          <w:tcPr>
            <w:tcBorders>
              <w:top w:val="single" w:color="808080" w:sz="6" w:space="0"/>
              <w:left w:val="single" w:color="808080" w:sz="6" w:space="0"/>
              <w:bottom w:val="single" w:color="808080" w:sz="6" w:space="0"/>
              <w:right w:val="single" w:color="808080" w:sz="6" w:space="0"/>
            </w:tcBorders>
            <w:tcW w:w="1823" w:type="dxa"/>
            <w:textDirection w:val="lrTb"/>
            <w:noWrap w:val="false"/>
          </w:tcPr>
          <w:p>
            <w:pPr>
              <w:pStyle w:val="863"/>
              <w:ind w:left="451"/>
              <w:spacing w:before="121" w:line="291" w:lineRule="exact"/>
              <w:rPr>
                <w:rFonts w:ascii="宋体" w:hAnsi="宋体" w:eastAsia="宋体" w:cs="宋体"/>
                <w:color w:val="000000"/>
                <w:sz w:val="22"/>
                <w:szCs w:val="22"/>
                <w:lang w:eastAsia="en-US"/>
              </w:rPr>
            </w:pPr>
            <w:r>
              <w:rPr>
                <w:rFonts w:hint="eastAsia" w:ascii="宋体" w:hAnsi="宋体" w:eastAsia="宋体" w:cs="宋体"/>
                <w:b/>
                <w:bCs/>
                <w:color w:val="000000"/>
                <w:spacing w:val="17"/>
                <w:sz w:val="22"/>
                <w:szCs w:val="22"/>
                <w:lang w:eastAsia="en-US"/>
              </w:rPr>
              <w:t xml:space="preserve">1940000.00</w:t>
            </w:r>
            <w:r/>
          </w:p>
        </w:tc>
      </w:tr>
    </w:tbl>
    <w:p>
      <w:pPr>
        <w:pStyle w:val="832"/>
        <w:spacing w:before="273" w:line="216" w:lineRule="auto"/>
        <w:rPr>
          <w:rFonts w:ascii="宋体" w:hAnsi="宋体" w:eastAsia="宋体" w:cs="宋体"/>
          <w:b/>
          <w:bCs/>
          <w:spacing w:val="-1"/>
          <w:sz w:val="24"/>
          <w:szCs w:val="21"/>
        </w:rPr>
      </w:pPr>
      <w:r>
        <w:rPr>
          <w:rFonts w:hint="eastAsia" w:ascii="宋体" w:hAnsi="宋体" w:eastAsia="宋体" w:cs="宋体"/>
          <w:b/>
          <w:bCs/>
          <w:sz w:val="24"/>
          <w:szCs w:val="21"/>
        </w:rPr>
        <w:t xml:space="preserve">注：详细路段划分见附件官塘桥路、金桥大道绿化养护项目</w:t>
      </w:r>
      <w:r>
        <w:rPr>
          <w:rFonts w:hint="eastAsia" w:ascii="宋体" w:hAnsi="宋体" w:eastAsia="宋体" w:cs="宋体"/>
          <w:b/>
          <w:bCs/>
          <w:spacing w:val="-1"/>
          <w:sz w:val="24"/>
          <w:szCs w:val="21"/>
        </w:rPr>
        <w:t xml:space="preserve">政府采购清单</w:t>
      </w:r>
      <w:r/>
    </w:p>
    <w:p>
      <w:pPr>
        <w:rPr>
          <w:rFonts w:ascii="宋体" w:hAnsi="宋体"/>
          <w:sz w:val="28"/>
          <w:szCs w:val="28"/>
        </w:rPr>
      </w:pPr>
      <w:r>
        <w:rPr>
          <w:rFonts w:ascii="宋体" w:hAnsi="宋体"/>
          <w:sz w:val="28"/>
          <w:szCs w:val="28"/>
        </w:rPr>
      </w:r>
      <w:r/>
    </w:p>
    <w:p>
      <w:pPr>
        <w:pStyle w:val="832"/>
        <w:spacing w:before="273" w:line="216" w:lineRule="auto"/>
        <w:rPr>
          <w:rFonts w:ascii="宋体" w:hAnsi="宋体" w:eastAsia="宋体" w:cs="宋体"/>
          <w:sz w:val="24"/>
          <w:szCs w:val="21"/>
        </w:rPr>
      </w:pPr>
      <w:r>
        <w:rPr>
          <w:rFonts w:hint="eastAsia" w:ascii="宋体" w:hAnsi="宋体" w:eastAsia="宋体" w:cs="宋体"/>
          <w:b/>
          <w:bCs/>
          <w:spacing w:val="1"/>
          <w:sz w:val="24"/>
          <w:szCs w:val="21"/>
        </w:rPr>
        <w:t xml:space="preserve">（2）设施单项最高限价</w:t>
      </w:r>
      <w:r/>
    </w:p>
    <w:tbl>
      <w:tblPr>
        <w:tblStyle w:val="864"/>
        <w:tblW w:w="8415" w:type="dxa"/>
        <w:tblInd w:w="6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682"/>
        <w:gridCol w:w="824"/>
        <w:gridCol w:w="1366"/>
        <w:gridCol w:w="1365"/>
        <w:gridCol w:w="1200"/>
        <w:gridCol w:w="2978"/>
      </w:tblGrid>
      <w:tr>
        <w:trPr>
          <w:trHeight w:val="637"/>
        </w:trPr>
        <w:tc>
          <w:tcPr>
            <w:tcBorders>
              <w:top w:val="single" w:color="000000" w:sz="6" w:space="0"/>
              <w:left w:val="single" w:color="000000" w:sz="6" w:space="0"/>
              <w:bottom w:val="single" w:color="000000" w:sz="6" w:space="0"/>
              <w:right w:val="single" w:color="000000" w:sz="6" w:space="0"/>
            </w:tcBorders>
            <w:tcW w:w="682" w:type="dxa"/>
            <w:textDirection w:val="tbRlV"/>
            <w:noWrap w:val="false"/>
          </w:tcPr>
          <w:p>
            <w:pPr>
              <w:pStyle w:val="863"/>
              <w:ind w:left="33"/>
              <w:spacing w:before="217" w:line="204" w:lineRule="auto"/>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序</w:t>
            </w:r>
            <w:r>
              <w:rPr>
                <w:rFonts w:hint="eastAsia" w:ascii="宋体" w:hAnsi="宋体" w:eastAsia="宋体" w:cs="宋体"/>
                <w:color w:val="000000"/>
                <w:spacing w:val="-45"/>
                <w:lang w:eastAsia="en-US"/>
              </w:rPr>
              <w:t xml:space="preserve"> </w:t>
            </w:r>
            <w:r>
              <w:rPr>
                <w:rFonts w:hint="eastAsia" w:ascii="宋体" w:hAnsi="宋体" w:eastAsia="宋体" w:cs="宋体"/>
                <w:b/>
                <w:bCs/>
                <w:color w:val="000000"/>
                <w:spacing w:val="-3"/>
                <w:lang w:eastAsia="en-US"/>
              </w:rPr>
              <w:t xml:space="preserve">号</w:t>
            </w:r>
            <w:r/>
          </w:p>
        </w:tc>
        <w:tc>
          <w:tcPr>
            <w:gridSpan w:val="2"/>
            <w:tcBorders>
              <w:top w:val="single" w:color="808080" w:sz="6" w:space="0"/>
              <w:left w:val="single" w:color="000000" w:sz="6" w:space="0"/>
              <w:bottom w:val="single" w:color="808080" w:sz="6" w:space="0"/>
              <w:right w:val="single" w:color="808080" w:sz="6" w:space="0"/>
            </w:tcBorders>
            <w:tcW w:w="2190" w:type="dxa"/>
            <w:textDirection w:val="lrTb"/>
            <w:noWrap w:val="false"/>
          </w:tcPr>
          <w:p>
            <w:pPr>
              <w:pStyle w:val="863"/>
              <w:ind w:left="453"/>
              <w:spacing w:before="198" w:line="216" w:lineRule="auto"/>
              <w:rPr>
                <w:rFonts w:ascii="宋体" w:hAnsi="宋体" w:eastAsia="宋体" w:cs="宋体"/>
                <w:color w:val="000000"/>
                <w:lang w:eastAsia="en-US"/>
              </w:rPr>
            </w:pPr>
            <w:r>
              <w:rPr>
                <w:rFonts w:hint="eastAsia" w:ascii="宋体" w:hAnsi="宋体" w:eastAsia="宋体" w:cs="宋体"/>
                <w:b/>
                <w:bCs/>
                <w:color w:val="000000"/>
                <w:spacing w:val="8"/>
                <w:lang w:eastAsia="en-US"/>
              </w:rPr>
              <w:t xml:space="preserve">类别或单项</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429"/>
              <w:spacing w:before="199" w:line="216" w:lineRule="auto"/>
              <w:rPr>
                <w:rFonts w:ascii="宋体" w:hAnsi="宋体" w:eastAsia="宋体" w:cs="宋体"/>
                <w:color w:val="000000"/>
                <w:lang w:eastAsia="en-US"/>
              </w:rPr>
            </w:pPr>
            <w:r>
              <w:rPr>
                <w:rFonts w:hint="eastAsia" w:ascii="宋体" w:hAnsi="宋体" w:eastAsia="宋体" w:cs="宋体"/>
                <w:b/>
                <w:bCs/>
                <w:color w:val="000000"/>
                <w:spacing w:val="-1"/>
                <w:lang w:eastAsia="en-US"/>
              </w:rPr>
              <w:t xml:space="preserve">单位</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117"/>
              <w:spacing w:before="198" w:line="216" w:lineRule="auto"/>
              <w:rPr>
                <w:rFonts w:ascii="宋体" w:hAnsi="宋体" w:eastAsia="宋体" w:cs="宋体"/>
                <w:color w:val="000000"/>
                <w:lang w:eastAsia="en-US"/>
              </w:rPr>
            </w:pPr>
            <w:r>
              <w:rPr>
                <w:rFonts w:hint="eastAsia" w:ascii="宋体" w:hAnsi="宋体" w:eastAsia="宋体" w:cs="宋体"/>
                <w:b/>
                <w:bCs/>
                <w:color w:val="000000"/>
                <w:spacing w:val="2"/>
                <w:lang w:eastAsia="en-US"/>
              </w:rPr>
              <w:t xml:space="preserve">最高限价</w:t>
            </w:r>
            <w:r/>
          </w:p>
        </w:tc>
        <w:tc>
          <w:tcPr>
            <w:tcBorders>
              <w:top w:val="single" w:color="808080" w:sz="6" w:space="0"/>
              <w:left w:val="single" w:color="808080" w:sz="6" w:space="0"/>
              <w:bottom w:val="single" w:color="808080" w:sz="6" w:space="0"/>
              <w:right w:val="single" w:color="808080" w:sz="6" w:space="0"/>
            </w:tcBorders>
            <w:tcW w:w="2978" w:type="dxa"/>
            <w:textDirection w:val="lrTb"/>
            <w:noWrap w:val="false"/>
          </w:tcPr>
          <w:p>
            <w:pPr>
              <w:pStyle w:val="863"/>
              <w:ind w:left="988"/>
              <w:spacing w:before="198" w:line="216" w:lineRule="auto"/>
              <w:rPr>
                <w:rFonts w:ascii="宋体" w:hAnsi="宋体" w:eastAsia="宋体" w:cs="宋体"/>
                <w:color w:val="000000"/>
                <w:lang w:eastAsia="en-US"/>
              </w:rPr>
            </w:pPr>
            <w:r>
              <w:rPr>
                <w:rFonts w:hint="eastAsia" w:ascii="宋体" w:hAnsi="宋体" w:eastAsia="宋体" w:cs="宋体"/>
                <w:b/>
                <w:bCs/>
                <w:color w:val="000000"/>
                <w:spacing w:val="6"/>
                <w:lang w:eastAsia="en-US"/>
              </w:rPr>
              <w:t xml:space="preserve">服务内容</w:t>
            </w:r>
            <w:r/>
          </w:p>
        </w:tc>
      </w:tr>
      <w:tr>
        <w:trPr>
          <w:trHeight w:val="630"/>
        </w:trPr>
        <w:tc>
          <w:tcPr>
            <w:tcBorders>
              <w:top w:val="single" w:color="000000" w:sz="6" w:space="0"/>
              <w:left w:val="single" w:color="808080" w:sz="6" w:space="0"/>
              <w:bottom w:val="single" w:color="808080" w:sz="6" w:space="0"/>
              <w:right w:val="single" w:color="808080" w:sz="6" w:space="0"/>
            </w:tcBorders>
            <w:tcW w:w="682" w:type="dxa"/>
            <w:textDirection w:val="lrTb"/>
            <w:noWrap w:val="false"/>
          </w:tcPr>
          <w:p>
            <w:pPr>
              <w:pStyle w:val="863"/>
              <w:ind w:left="297"/>
              <w:spacing w:before="178"/>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1</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742"/>
              <w:spacing w:before="177"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行道树</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143"/>
              <w:spacing w:before="177" w:line="216" w:lineRule="auto"/>
              <w:rPr>
                <w:rFonts w:ascii="宋体" w:hAnsi="宋体" w:eastAsia="宋体" w:cs="宋体"/>
                <w:color w:val="000000"/>
                <w:lang w:eastAsia="en-US"/>
              </w:rPr>
            </w:pPr>
            <w:r>
              <w:rPr>
                <w:rFonts w:hint="eastAsia" w:ascii="宋体" w:hAnsi="宋体" w:eastAsia="宋体" w:cs="宋体"/>
                <w:color w:val="000000"/>
                <w:spacing w:val="-21"/>
                <w:lang w:eastAsia="en-US"/>
              </w:rPr>
              <w:t xml:space="preserve">元/株</w:t>
            </w:r>
            <w:r>
              <w:rPr>
                <w:rFonts w:hint="eastAsia" w:ascii="宋体" w:hAnsi="宋体" w:eastAsia="宋体" w:cs="宋体"/>
                <w:color w:val="000000"/>
                <w:spacing w:val="-27"/>
                <w:lang w:eastAsia="en-US"/>
              </w:rPr>
              <w:t xml:space="preserve"> </w:t>
            </w:r>
            <w:r>
              <w:rPr>
                <w:rFonts w:hint="eastAsia" w:ascii="宋体" w:hAnsi="宋体" w:eastAsia="宋体" w:cs="宋体"/>
                <w:color w:val="000000"/>
                <w:spacing w:val="-2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495"/>
              <w:spacing w:before="177"/>
              <w:rPr>
                <w:rFonts w:ascii="宋体" w:hAnsi="宋体" w:eastAsia="宋体" w:cs="宋体"/>
                <w:color w:val="000000"/>
                <w:lang w:eastAsia="en-US"/>
              </w:rPr>
            </w:pPr>
            <w:r>
              <w:rPr>
                <w:rFonts w:hint="eastAsia" w:ascii="宋体" w:hAnsi="宋体" w:eastAsia="宋体" w:cs="宋体"/>
                <w:color w:val="000000"/>
                <w:spacing w:val="-4"/>
                <w:lang w:eastAsia="en-US"/>
              </w:rPr>
              <w:t xml:space="preserve">30</w:t>
            </w:r>
            <w:r/>
          </w:p>
        </w:tc>
        <w:tc>
          <w:tcPr>
            <w:tcBorders>
              <w:top w:val="single" w:color="808080" w:sz="6" w:space="0"/>
              <w:left w:val="single" w:color="808080" w:sz="6" w:space="0"/>
              <w:bottom w:val="single" w:color="808080" w:sz="6" w:space="0"/>
              <w:right w:val="single" w:color="808080" w:sz="6" w:space="0"/>
            </w:tcBorders>
            <w:tcW w:w="2978" w:type="dxa"/>
            <w:textDirection w:val="lrTb"/>
            <w:noWrap w:val="false"/>
          </w:tcPr>
          <w:p>
            <w:pPr>
              <w:pStyle w:val="863"/>
              <w:ind w:left="133" w:right="192" w:firstLine="1"/>
              <w:spacing w:before="27" w:line="228"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详见绿化养护的质量标准</w:t>
            </w:r>
            <w:r>
              <w:rPr>
                <w:rFonts w:hint="eastAsia" w:ascii="宋体" w:hAnsi="宋体" w:eastAsia="宋体" w:cs="宋体"/>
                <w:color w:val="000000"/>
                <w:spacing w:val="-3"/>
                <w:lang w:eastAsia="zh-CN"/>
              </w:rPr>
              <w:t xml:space="preserve">和要求</w:t>
            </w:r>
            <w:r/>
          </w:p>
        </w:tc>
      </w:tr>
      <w:tr>
        <w:trPr>
          <w:trHeight w:val="630"/>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82"/>
              <w:spacing w:before="178"/>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2</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742"/>
              <w:spacing w:before="177"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景观树</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143"/>
              <w:spacing w:before="177" w:line="216" w:lineRule="auto"/>
              <w:rPr>
                <w:rFonts w:ascii="宋体" w:hAnsi="宋体" w:eastAsia="宋体" w:cs="宋体"/>
                <w:color w:val="000000"/>
                <w:lang w:eastAsia="en-US"/>
              </w:rPr>
            </w:pPr>
            <w:r>
              <w:rPr>
                <w:rFonts w:hint="eastAsia" w:ascii="宋体" w:hAnsi="宋体" w:eastAsia="宋体" w:cs="宋体"/>
                <w:color w:val="000000"/>
                <w:spacing w:val="-21"/>
                <w:lang w:eastAsia="en-US"/>
              </w:rPr>
              <w:t xml:space="preserve">元/株</w:t>
            </w:r>
            <w:r>
              <w:rPr>
                <w:rFonts w:hint="eastAsia" w:ascii="宋体" w:hAnsi="宋体" w:eastAsia="宋体" w:cs="宋体"/>
                <w:color w:val="000000"/>
                <w:spacing w:val="-27"/>
                <w:lang w:eastAsia="en-US"/>
              </w:rPr>
              <w:t xml:space="preserve"> </w:t>
            </w:r>
            <w:r>
              <w:rPr>
                <w:rFonts w:hint="eastAsia" w:ascii="宋体" w:hAnsi="宋体" w:eastAsia="宋体" w:cs="宋体"/>
                <w:color w:val="000000"/>
                <w:spacing w:val="-2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495"/>
              <w:spacing w:before="178"/>
              <w:rPr>
                <w:rFonts w:ascii="宋体" w:hAnsi="宋体" w:eastAsia="宋体" w:cs="宋体"/>
                <w:color w:val="000000"/>
                <w:lang w:eastAsia="en-US"/>
              </w:rPr>
            </w:pPr>
            <w:r>
              <w:rPr>
                <w:rFonts w:hint="eastAsia" w:ascii="宋体" w:hAnsi="宋体" w:eastAsia="宋体" w:cs="宋体"/>
                <w:color w:val="000000"/>
                <w:spacing w:val="-4"/>
                <w:lang w:eastAsia="en-US"/>
              </w:rPr>
              <w:t xml:space="preserve">30</w:t>
            </w:r>
            <w:r/>
          </w:p>
        </w:tc>
        <w:tc>
          <w:tcPr>
            <w:tcBorders>
              <w:top w:val="single" w:color="808080" w:sz="6" w:space="0"/>
              <w:left w:val="single" w:color="808080" w:sz="6" w:space="0"/>
              <w:bottom w:val="single" w:color="808080" w:sz="6" w:space="0"/>
              <w:right w:val="single" w:color="808080" w:sz="6" w:space="0"/>
            </w:tcBorders>
            <w:tcW w:w="2978" w:type="dxa"/>
            <w:textDirection w:val="lrTb"/>
            <w:noWrap w:val="false"/>
          </w:tcPr>
          <w:p>
            <w:pPr>
              <w:pStyle w:val="863"/>
              <w:ind w:left="133" w:right="192" w:firstLine="1"/>
              <w:spacing w:before="27" w:line="228"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详见绿化养护的质量标准</w:t>
            </w:r>
            <w:r>
              <w:rPr>
                <w:rFonts w:hint="eastAsia" w:ascii="宋体" w:hAnsi="宋体" w:eastAsia="宋体" w:cs="宋体"/>
                <w:color w:val="000000"/>
                <w:spacing w:val="-3"/>
                <w:lang w:eastAsia="zh-CN"/>
              </w:rPr>
              <w:t xml:space="preserve">和要求</w:t>
            </w:r>
            <w:r/>
          </w:p>
        </w:tc>
      </w:tr>
      <w:tr>
        <w:trPr>
          <w:trHeight w:val="629"/>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84"/>
              <w:spacing w:before="178"/>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3</w:t>
            </w:r>
            <w:r/>
          </w:p>
        </w:tc>
        <w:tc>
          <w:tcPr>
            <w:tcBorders>
              <w:top w:val="single" w:color="808080" w:sz="6" w:space="0"/>
              <w:left w:val="single" w:color="808080" w:sz="6" w:space="0"/>
              <w:bottom w:val="single" w:color="808080" w:sz="6" w:space="0"/>
              <w:right w:val="single" w:color="808080" w:sz="6" w:space="0"/>
            </w:tcBorders>
            <w:tcW w:w="824" w:type="dxa"/>
            <w:vMerge w:val="restart"/>
            <w:textDirection w:val="lrTb"/>
            <w:noWrap w:val="false"/>
          </w:tcPr>
          <w:p>
            <w:pPr>
              <w:spacing w:line="288"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288"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70"/>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绿地</w:t>
            </w:r>
            <w:r/>
          </w:p>
        </w:tc>
        <w:tc>
          <w:tcPr>
            <w:tcBorders>
              <w:top w:val="single" w:color="808080" w:sz="6" w:space="0"/>
              <w:left w:val="single" w:color="808080" w:sz="6" w:space="0"/>
              <w:bottom w:val="single" w:color="808080" w:sz="6" w:space="0"/>
              <w:right w:val="single" w:color="808080" w:sz="6" w:space="0"/>
            </w:tcBorders>
            <w:tcW w:w="1366" w:type="dxa"/>
            <w:textDirection w:val="lrTb"/>
            <w:noWrap w:val="false"/>
          </w:tcPr>
          <w:p>
            <w:pPr>
              <w:pStyle w:val="863"/>
              <w:ind w:left="456"/>
              <w:spacing w:before="1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养护</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28" w:line="220"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555"/>
              <w:spacing w:before="178"/>
              <w:rPr>
                <w:rFonts w:ascii="宋体" w:hAnsi="宋体" w:eastAsia="宋体" w:cs="宋体"/>
                <w:color w:val="000000"/>
                <w:lang w:eastAsia="en-US"/>
              </w:rPr>
            </w:pPr>
            <w:r>
              <w:rPr>
                <w:rFonts w:hint="eastAsia" w:ascii="宋体" w:hAnsi="宋体" w:eastAsia="宋体" w:cs="宋体"/>
                <w:color w:val="000000"/>
                <w:lang w:eastAsia="en-US"/>
              </w:rPr>
              <w:t xml:space="preserve">5</w:t>
            </w:r>
            <w:r/>
          </w:p>
        </w:tc>
        <w:tc>
          <w:tcPr>
            <w:tcBorders>
              <w:top w:val="single" w:color="808080" w:sz="6" w:space="0"/>
              <w:left w:val="single" w:color="808080" w:sz="6" w:space="0"/>
              <w:bottom w:val="single" w:color="808080" w:sz="6" w:space="0"/>
              <w:right w:val="single" w:color="808080" w:sz="6" w:space="0"/>
            </w:tcBorders>
            <w:tcW w:w="2978" w:type="dxa"/>
            <w:textDirection w:val="lrTb"/>
            <w:noWrap w:val="false"/>
          </w:tcPr>
          <w:p>
            <w:pPr>
              <w:pStyle w:val="863"/>
              <w:ind w:left="133" w:right="192" w:firstLine="1"/>
              <w:spacing w:before="28" w:line="220"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详见绿化养护的质量标准</w:t>
            </w:r>
            <w:r>
              <w:rPr>
                <w:rFonts w:hint="eastAsia" w:ascii="宋体" w:hAnsi="宋体" w:eastAsia="宋体" w:cs="宋体"/>
                <w:color w:val="000000"/>
                <w:spacing w:val="-3"/>
                <w:lang w:eastAsia="zh-CN"/>
              </w:rPr>
              <w:t xml:space="preserve">和要求</w:t>
            </w:r>
            <w:r/>
          </w:p>
        </w:tc>
      </w:tr>
      <w:tr>
        <w:trPr>
          <w:trHeight w:val="945"/>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spacing w:line="264"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278"/>
              <w:spacing w:before="79"/>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4</w:t>
            </w:r>
            <w:r/>
          </w:p>
        </w:tc>
        <w:tc>
          <w:tcPr>
            <w:tcBorders>
              <w:top w:val="single" w:color="808080" w:sz="6" w:space="0"/>
              <w:left w:val="single" w:color="808080" w:sz="6" w:space="0"/>
              <w:bottom w:val="single" w:color="808080" w:sz="6" w:space="0"/>
              <w:right w:val="single" w:color="808080" w:sz="6" w:space="0"/>
            </w:tcBorders>
            <w:tcW w:w="824"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1366" w:type="dxa"/>
            <w:textDirection w:val="lrTb"/>
            <w:noWrap w:val="false"/>
          </w:tcPr>
          <w:p>
            <w:pPr>
              <w:spacing w:line="26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456"/>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保洁</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181" w:line="240"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spacing w:line="26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447"/>
              <w:spacing w:before="78" w:line="232" w:lineRule="auto"/>
              <w:rPr>
                <w:rFonts w:ascii="宋体" w:hAnsi="宋体" w:eastAsia="宋体" w:cs="宋体"/>
                <w:color w:val="000000"/>
                <w:lang w:eastAsia="en-US"/>
              </w:rPr>
            </w:pPr>
            <w:r>
              <w:rPr>
                <w:rFonts w:hint="eastAsia" w:ascii="宋体" w:hAnsi="宋体" w:eastAsia="宋体" w:cs="宋体"/>
                <w:color w:val="000000"/>
                <w:spacing w:val="-7"/>
                <w:lang w:eastAsia="en-US"/>
              </w:rPr>
              <w:t xml:space="preserve">1.5</w:t>
            </w:r>
            <w:r/>
          </w:p>
        </w:tc>
        <w:tc>
          <w:tcPr>
            <w:tcBorders>
              <w:top w:val="single" w:color="808080" w:sz="6" w:space="0"/>
              <w:left w:val="single" w:color="808080" w:sz="6" w:space="0"/>
              <w:bottom w:val="single" w:color="808080" w:sz="6" w:space="0"/>
              <w:right w:val="single" w:color="808080" w:sz="6" w:space="0"/>
            </w:tcBorders>
            <w:tcW w:w="2978" w:type="dxa"/>
            <w:textDirection w:val="lrTb"/>
            <w:noWrap w:val="false"/>
          </w:tcPr>
          <w:p>
            <w:pPr>
              <w:pStyle w:val="863"/>
              <w:ind w:left="134" w:right="194" w:firstLine="12"/>
              <w:jc w:val="both"/>
              <w:spacing w:before="30" w:line="228"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除绿化废弃物以外的保洁</w:t>
            </w:r>
            <w:r>
              <w:rPr>
                <w:rFonts w:hint="eastAsia" w:ascii="宋体" w:hAnsi="宋体" w:eastAsia="宋体" w:cs="宋体"/>
                <w:color w:val="000000"/>
                <w:lang w:eastAsia="zh-CN"/>
              </w:rPr>
              <w:t xml:space="preserve"> </w:t>
            </w:r>
            <w:r>
              <w:rPr>
                <w:rFonts w:hint="eastAsia" w:ascii="宋体" w:hAnsi="宋体" w:eastAsia="宋体" w:cs="宋体"/>
                <w:color w:val="000000"/>
                <w:spacing w:val="-2"/>
                <w:lang w:eastAsia="zh-CN"/>
              </w:rPr>
              <w:t xml:space="preserve">（详见绿化养护的质量标</w:t>
            </w:r>
            <w:r>
              <w:rPr>
                <w:rFonts w:hint="eastAsia" w:ascii="宋体" w:hAnsi="宋体" w:eastAsia="宋体" w:cs="宋体"/>
                <w:color w:val="000000"/>
                <w:spacing w:val="5"/>
                <w:lang w:eastAsia="zh-CN"/>
              </w:rPr>
              <w:t xml:space="preserve"> </w:t>
            </w:r>
            <w:r>
              <w:rPr>
                <w:rFonts w:hint="eastAsia" w:ascii="宋体" w:hAnsi="宋体" w:eastAsia="宋体" w:cs="宋体"/>
                <w:color w:val="000000"/>
                <w:spacing w:val="-5"/>
                <w:lang w:eastAsia="zh-CN"/>
              </w:rPr>
              <w:t xml:space="preserve">准和要求）</w:t>
            </w:r>
            <w:r/>
          </w:p>
        </w:tc>
      </w:tr>
      <w:tr>
        <w:trPr>
          <w:trHeight w:val="1259"/>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spacing w:line="424"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284"/>
              <w:spacing w:before="78"/>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5</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spacing w:line="422"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862"/>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水面</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spacing w:line="26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23" w:right="315" w:firstLine="300"/>
              <w:spacing w:before="78" w:line="240"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spacing w:line="42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431"/>
              <w:spacing w:before="78" w:line="232"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0.5</w:t>
            </w:r>
            <w:r/>
          </w:p>
        </w:tc>
        <w:tc>
          <w:tcPr>
            <w:tcBorders>
              <w:top w:val="single" w:color="808080" w:sz="6" w:space="0"/>
              <w:left w:val="single" w:color="808080" w:sz="6" w:space="0"/>
              <w:bottom w:val="single" w:color="808080" w:sz="6" w:space="0"/>
              <w:right w:val="single" w:color="808080" w:sz="6" w:space="0"/>
            </w:tcBorders>
            <w:tcW w:w="2978" w:type="dxa"/>
            <w:textDirection w:val="lrTb"/>
            <w:noWrap w:val="false"/>
          </w:tcPr>
          <w:p>
            <w:pPr>
              <w:pStyle w:val="863"/>
              <w:ind w:left="132" w:right="192" w:firstLine="2"/>
              <w:jc w:val="both"/>
              <w:spacing w:before="47" w:line="228"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水面水草清理、漂浮物清</w:t>
            </w:r>
            <w:r>
              <w:rPr>
                <w:rFonts w:hint="eastAsia" w:ascii="宋体" w:hAnsi="宋体" w:eastAsia="宋体" w:cs="宋体"/>
                <w:color w:val="000000"/>
                <w:spacing w:val="2"/>
                <w:lang w:eastAsia="zh-CN"/>
              </w:rPr>
              <w:t xml:space="preserve"> </w:t>
            </w:r>
            <w:r>
              <w:rPr>
                <w:rFonts w:hint="eastAsia" w:ascii="宋体" w:hAnsi="宋体" w:eastAsia="宋体" w:cs="宋体"/>
                <w:color w:val="000000"/>
                <w:spacing w:val="-1"/>
                <w:lang w:eastAsia="zh-CN"/>
              </w:rPr>
              <w:t xml:space="preserve">除、岸边杂草清除、垃圾保洁、警示标记设置、安</w:t>
            </w:r>
            <w:r>
              <w:rPr>
                <w:rFonts w:hint="eastAsia" w:ascii="宋体" w:hAnsi="宋体" w:eastAsia="宋体" w:cs="宋体"/>
                <w:color w:val="000000"/>
                <w:spacing w:val="-7"/>
                <w:lang w:eastAsia="zh-CN"/>
              </w:rPr>
              <w:t xml:space="preserve">全防护等。</w:t>
            </w:r>
            <w:r/>
          </w:p>
        </w:tc>
      </w:tr>
      <w:tr>
        <w:trPr>
          <w:trHeight w:val="630"/>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81"/>
              <w:spacing w:before="197"/>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6</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858"/>
              <w:spacing w:before="19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铺装</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32" w:line="220"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508"/>
              <w:spacing w:before="198"/>
              <w:rPr>
                <w:rFonts w:ascii="宋体" w:hAnsi="宋体" w:eastAsia="宋体" w:cs="宋体"/>
                <w:color w:val="000000"/>
                <w:lang w:eastAsia="en-US"/>
              </w:rPr>
            </w:pPr>
            <w:r>
              <w:rPr>
                <w:rFonts w:hint="eastAsia" w:ascii="宋体" w:hAnsi="宋体" w:eastAsia="宋体" w:cs="宋体"/>
                <w:color w:val="000000"/>
                <w:spacing w:val="-7"/>
                <w:lang w:eastAsia="en-US"/>
              </w:rPr>
              <w:t xml:space="preserve">12</w:t>
            </w:r>
            <w:r/>
          </w:p>
        </w:tc>
        <w:tc>
          <w:tcPr>
            <w:tcBorders>
              <w:top w:val="single" w:color="808080" w:sz="6" w:space="0"/>
              <w:left w:val="single" w:color="808080" w:sz="6" w:space="0"/>
              <w:bottom w:val="single" w:color="808080" w:sz="6" w:space="0"/>
              <w:right w:val="single" w:color="808080" w:sz="6" w:space="0"/>
            </w:tcBorders>
            <w:tcW w:w="2978" w:type="dxa"/>
            <w:vMerge w:val="restart"/>
            <w:textDirection w:val="lrTb"/>
            <w:noWrap w:val="false"/>
          </w:tcPr>
          <w:p>
            <w:pPr>
              <w:pStyle w:val="863"/>
              <w:ind w:left="131" w:right="192" w:firstLine="1"/>
              <w:spacing w:before="30"/>
              <w:rPr>
                <w:rFonts w:ascii="宋体" w:hAnsi="宋体" w:eastAsia="宋体" w:cs="宋体"/>
                <w:color w:val="000000"/>
                <w:lang w:eastAsia="zh-CN"/>
              </w:rPr>
            </w:pPr>
            <w:r>
              <w:rPr>
                <w:rFonts w:hint="eastAsia" w:ascii="宋体" w:hAnsi="宋体" w:eastAsia="宋体" w:cs="宋体"/>
                <w:color w:val="000000"/>
                <w:spacing w:val="-1"/>
                <w:lang w:eastAsia="zh-CN"/>
              </w:rPr>
              <w:t xml:space="preserve">巡视看护、保洁、零星损</w:t>
            </w:r>
            <w:r>
              <w:rPr>
                <w:rFonts w:hint="eastAsia" w:ascii="宋体" w:hAnsi="宋体" w:eastAsia="宋体" w:cs="宋体"/>
                <w:color w:val="000000"/>
                <w:spacing w:val="4"/>
                <w:lang w:eastAsia="zh-CN"/>
              </w:rPr>
              <w:t xml:space="preserve"> </w:t>
            </w:r>
            <w:r>
              <w:rPr>
                <w:rFonts w:hint="eastAsia" w:ascii="宋体" w:hAnsi="宋体" w:eastAsia="宋体" w:cs="宋体"/>
                <w:color w:val="000000"/>
                <w:spacing w:val="-1"/>
                <w:lang w:eastAsia="zh-CN"/>
              </w:rPr>
              <w:t xml:space="preserve">坏设施维修，确保设施完好、完整、整洁，无牛皮癣及乱涂乱画痕迹等；绿岛护栏倾倒及时扶正，如遇损坏须修复或更换到位；廊架、景亭在服务期</w:t>
            </w:r>
            <w:r>
              <w:rPr>
                <w:rFonts w:hint="eastAsia" w:ascii="宋体" w:hAnsi="宋体" w:eastAsia="宋体" w:cs="宋体"/>
                <w:color w:val="000000"/>
                <w:spacing w:val="-5"/>
                <w:lang w:eastAsia="zh-CN"/>
              </w:rPr>
              <w:t xml:space="preserve">内油漆出新</w:t>
            </w:r>
            <w:r>
              <w:rPr>
                <w:rFonts w:hint="eastAsia" w:ascii="宋体" w:hAnsi="宋体" w:eastAsia="宋体" w:cs="宋体"/>
                <w:color w:val="000000"/>
                <w:spacing w:val="-28"/>
                <w:lang w:eastAsia="zh-CN"/>
              </w:rPr>
              <w:t xml:space="preserve"> </w:t>
            </w:r>
            <w:r>
              <w:rPr>
                <w:rFonts w:hint="eastAsia" w:ascii="宋体" w:hAnsi="宋体" w:eastAsia="宋体" w:cs="宋体"/>
                <w:color w:val="000000"/>
                <w:spacing w:val="-5"/>
                <w:lang w:eastAsia="zh-CN"/>
              </w:rPr>
              <w:t xml:space="preserve">1</w:t>
            </w:r>
            <w:r>
              <w:rPr>
                <w:rFonts w:hint="eastAsia" w:ascii="宋体" w:hAnsi="宋体" w:eastAsia="宋体" w:cs="宋体"/>
                <w:color w:val="000000"/>
                <w:spacing w:val="-44"/>
                <w:lang w:eastAsia="zh-CN"/>
              </w:rPr>
              <w:t xml:space="preserve"> </w:t>
            </w:r>
            <w:r>
              <w:rPr>
                <w:rFonts w:hint="eastAsia" w:ascii="宋体" w:hAnsi="宋体" w:eastAsia="宋体" w:cs="宋体"/>
                <w:color w:val="000000"/>
                <w:spacing w:val="-5"/>
                <w:lang w:eastAsia="zh-CN"/>
              </w:rPr>
              <w:t xml:space="preserve">次，栈道、</w:t>
            </w:r>
            <w:r>
              <w:rPr>
                <w:rFonts w:hint="eastAsia" w:ascii="宋体" w:hAnsi="宋体" w:eastAsia="宋体" w:cs="宋体"/>
                <w:color w:val="000000"/>
                <w:spacing w:val="-1"/>
                <w:lang w:eastAsia="zh-CN"/>
              </w:rPr>
              <w:t xml:space="preserve">坐凳每年油漆出新一次。</w:t>
            </w:r>
            <w:r/>
          </w:p>
          <w:p>
            <w:pPr>
              <w:pStyle w:val="863"/>
              <w:ind w:left="130" w:right="192" w:firstLine="8"/>
              <w:spacing w:before="3"/>
              <w:rPr>
                <w:rFonts w:ascii="宋体" w:hAnsi="宋体" w:eastAsia="宋体" w:cs="宋体"/>
                <w:color w:val="000000"/>
                <w:lang w:eastAsia="zh-CN"/>
              </w:rPr>
            </w:pPr>
            <w:r>
              <w:rPr>
                <w:rFonts w:hint="eastAsia" w:ascii="宋体" w:hAnsi="宋体" w:eastAsia="宋体" w:cs="宋体"/>
                <w:color w:val="000000"/>
                <w:spacing w:val="-3"/>
                <w:lang w:eastAsia="zh-CN"/>
              </w:rPr>
              <w:t xml:space="preserve">（详见第四部分项目技术</w:t>
            </w:r>
            <w:r>
              <w:rPr>
                <w:rFonts w:hint="eastAsia" w:ascii="宋体" w:hAnsi="宋体" w:eastAsia="宋体" w:cs="宋体"/>
                <w:color w:val="000000"/>
                <w:spacing w:val="-1"/>
                <w:lang w:eastAsia="zh-CN"/>
              </w:rPr>
              <w:t xml:space="preserve">要求</w:t>
            </w:r>
            <w:r>
              <w:rPr>
                <w:rFonts w:hint="eastAsia" w:ascii="宋体" w:hAnsi="宋体" w:eastAsia="宋体" w:cs="宋体"/>
                <w:color w:val="000000"/>
                <w:spacing w:val="2"/>
                <w:lang w:eastAsia="zh-CN"/>
              </w:rPr>
              <w:t xml:space="preserve">）；</w:t>
            </w:r>
            <w:r>
              <w:rPr>
                <w:rFonts w:hint="eastAsia" w:ascii="宋体" w:hAnsi="宋体" w:eastAsia="宋体" w:cs="宋体"/>
                <w:color w:val="000000"/>
                <w:spacing w:val="-1"/>
                <w:lang w:eastAsia="zh-CN"/>
              </w:rPr>
              <w:t xml:space="preserve">景亭、廊架、栈道等严重损坏设施发现上报至采购人，安排财政资金进行大修，养护单位负责安全隐患设施部位加设警示标记并负责大修前的</w:t>
            </w:r>
            <w:r>
              <w:rPr>
                <w:rFonts w:hint="eastAsia" w:ascii="宋体" w:hAnsi="宋体" w:eastAsia="宋体" w:cs="宋体"/>
                <w:color w:val="000000"/>
                <w:spacing w:val="-5"/>
                <w:lang w:eastAsia="zh-CN"/>
              </w:rPr>
              <w:t xml:space="preserve">安全看护工作等。</w:t>
            </w:r>
            <w:r/>
          </w:p>
          <w:p>
            <w:pPr>
              <w:pStyle w:val="863"/>
              <w:ind w:left="133" w:right="192"/>
              <w:spacing w:before="13" w:line="218"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箱内垃圾清理外运、箱面保洁、零星损坏修复等地形调整、土壤改良、水肥管理、除草、保洁、病虫害防治等，更换、补植规格严格按照说明进行，</w:t>
            </w:r>
            <w:r>
              <w:rPr>
                <w:rFonts w:hint="eastAsia" w:ascii="宋体" w:hAnsi="宋体" w:eastAsia="宋体" w:cs="宋体"/>
                <w:color w:val="000000"/>
                <w:spacing w:val="-4"/>
                <w:lang w:eastAsia="zh-CN"/>
              </w:rPr>
              <w:t xml:space="preserve">一年更换</w:t>
            </w:r>
            <w:r>
              <w:rPr>
                <w:rFonts w:hint="eastAsia" w:ascii="宋体" w:hAnsi="宋体" w:eastAsia="宋体" w:cs="宋体"/>
                <w:color w:val="000000"/>
                <w:spacing w:val="-48"/>
                <w:lang w:eastAsia="zh-CN"/>
              </w:rPr>
              <w:t xml:space="preserve"> </w:t>
            </w:r>
            <w:r>
              <w:rPr>
                <w:rFonts w:hint="eastAsia" w:ascii="宋体" w:hAnsi="宋体" w:eastAsia="宋体" w:cs="宋体"/>
                <w:color w:val="000000"/>
                <w:spacing w:val="-4"/>
                <w:lang w:eastAsia="zh-CN"/>
              </w:rPr>
              <w:t xml:space="preserve">4</w:t>
            </w:r>
            <w:r>
              <w:rPr>
                <w:rFonts w:hint="eastAsia" w:ascii="宋体" w:hAnsi="宋体" w:eastAsia="宋体" w:cs="宋体"/>
                <w:color w:val="000000"/>
                <w:spacing w:val="-44"/>
                <w:lang w:eastAsia="zh-CN"/>
              </w:rPr>
              <w:t xml:space="preserve"> </w:t>
            </w:r>
            <w:r>
              <w:rPr>
                <w:rFonts w:hint="eastAsia" w:ascii="宋体" w:hAnsi="宋体" w:eastAsia="宋体" w:cs="宋体"/>
                <w:color w:val="000000"/>
                <w:spacing w:val="-4"/>
                <w:lang w:eastAsia="zh-CN"/>
              </w:rPr>
              <w:t xml:space="preserve">次草花。</w:t>
            </w:r>
            <w:r/>
          </w:p>
        </w:tc>
      </w:tr>
      <w:tr>
        <w:trPr>
          <w:trHeight w:val="629"/>
        </w:trPr>
        <w:tc>
          <w:tcPr>
            <w:tcBorders>
              <w:top w:val="single" w:color="808080" w:sz="6" w:space="0"/>
              <w:left w:val="single" w:color="808080" w:sz="6" w:space="0"/>
              <w:bottom w:val="single" w:color="808080" w:sz="6" w:space="0"/>
              <w:right w:val="single" w:color="808080" w:sz="6" w:space="0"/>
            </w:tcBorders>
            <w:tcW w:w="682" w:type="dxa"/>
            <w:vMerge w:val="restart"/>
            <w:textDirection w:val="lrTb"/>
            <w:noWrap w:val="false"/>
          </w:tcPr>
          <w:p>
            <w:pPr>
              <w:spacing w:line="432"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285"/>
              <w:spacing w:before="78"/>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7</w:t>
            </w:r>
            <w:r/>
          </w:p>
        </w:tc>
        <w:tc>
          <w:tcPr>
            <w:tcBorders>
              <w:top w:val="single" w:color="808080" w:sz="6" w:space="0"/>
              <w:left w:val="single" w:color="808080" w:sz="6" w:space="0"/>
              <w:bottom w:val="single" w:color="808080" w:sz="6" w:space="0"/>
              <w:right w:val="single" w:color="808080" w:sz="6" w:space="0"/>
            </w:tcBorders>
            <w:tcW w:w="824" w:type="dxa"/>
            <w:vMerge w:val="restart"/>
            <w:textDirection w:val="lrTb"/>
            <w:noWrap w:val="false"/>
          </w:tcPr>
          <w:p>
            <w:pPr>
              <w:spacing w:line="432"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09"/>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护栏</w:t>
            </w:r>
            <w:r/>
          </w:p>
        </w:tc>
        <w:tc>
          <w:tcPr>
            <w:tcBorders>
              <w:top w:val="single" w:color="808080" w:sz="6" w:space="0"/>
              <w:left w:val="single" w:color="808080" w:sz="6" w:space="0"/>
              <w:bottom w:val="single" w:color="808080" w:sz="6" w:space="0"/>
              <w:right w:val="single" w:color="808080" w:sz="6" w:space="0"/>
            </w:tcBorders>
            <w:tcW w:w="1366" w:type="dxa"/>
            <w:textDirection w:val="lrTb"/>
            <w:noWrap w:val="false"/>
          </w:tcPr>
          <w:p>
            <w:pPr>
              <w:pStyle w:val="863"/>
              <w:ind w:left="217"/>
              <w:spacing w:before="183"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绿岛护栏</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1" w:right="315" w:firstLine="363"/>
              <w:spacing w:before="34" w:line="218" w:lineRule="auto"/>
              <w:rPr>
                <w:rFonts w:ascii="宋体" w:hAnsi="宋体" w:eastAsia="宋体" w:cs="宋体"/>
                <w:color w:val="000000"/>
                <w:lang w:eastAsia="en-US"/>
              </w:rPr>
            </w:pPr>
            <w:r>
              <w:rPr>
                <w:rFonts w:hint="eastAsia" w:ascii="宋体" w:hAnsi="宋体" w:eastAsia="宋体" w:cs="宋体"/>
                <w:color w:val="000000"/>
                <w:spacing w:val="-12"/>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25"/>
                <w:lang w:eastAsia="en-US"/>
              </w:rPr>
              <w:t xml:space="preserve">/M</w:t>
            </w:r>
            <w:r>
              <w:rPr>
                <w:rFonts w:hint="eastAsia" w:ascii="宋体" w:hAnsi="宋体" w:eastAsia="宋体" w:cs="宋体"/>
                <w:color w:val="000000"/>
                <w:spacing w:val="-29"/>
                <w:lang w:eastAsia="en-US"/>
              </w:rPr>
              <w:t xml:space="preserve"> </w:t>
            </w:r>
            <w:r>
              <w:rPr>
                <w:rFonts w:hint="eastAsia" w:ascii="宋体" w:hAnsi="宋体" w:eastAsia="宋体" w:cs="宋体"/>
                <w:color w:val="000000"/>
                <w:spacing w:val="-25"/>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552"/>
              <w:spacing w:before="183"/>
              <w:rPr>
                <w:rFonts w:ascii="宋体" w:hAnsi="宋体" w:eastAsia="宋体" w:cs="宋体"/>
                <w:color w:val="000000"/>
                <w:lang w:eastAsia="en-US"/>
              </w:rPr>
            </w:pPr>
            <w:r>
              <w:rPr>
                <w:rFonts w:hint="eastAsia" w:ascii="宋体" w:hAnsi="宋体" w:eastAsia="宋体" w:cs="宋体"/>
                <w:color w:val="000000"/>
                <w:lang w:eastAsia="en-US"/>
              </w:rPr>
              <w:t xml:space="preserve">6</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645"/>
        </w:trPr>
        <w:tc>
          <w:tcPr>
            <w:tcBorders>
              <w:top w:val="single" w:color="808080" w:sz="6" w:space="0"/>
              <w:left w:val="single" w:color="808080" w:sz="6" w:space="0"/>
              <w:bottom w:val="single" w:color="808080" w:sz="6" w:space="0"/>
              <w:right w:val="single" w:color="808080" w:sz="6" w:space="0"/>
            </w:tcBorders>
            <w:tcW w:w="682"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824"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1366" w:type="dxa"/>
            <w:textDirection w:val="lrTb"/>
            <w:noWrap w:val="false"/>
          </w:tcPr>
          <w:p>
            <w:pPr>
              <w:pStyle w:val="863"/>
              <w:ind w:left="336"/>
              <w:spacing w:before="185"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石护栏</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1" w:right="315" w:firstLine="363"/>
              <w:spacing w:before="34" w:line="228" w:lineRule="auto"/>
              <w:rPr>
                <w:rFonts w:ascii="宋体" w:hAnsi="宋体" w:eastAsia="宋体" w:cs="宋体"/>
                <w:color w:val="000000"/>
                <w:lang w:eastAsia="en-US"/>
              </w:rPr>
            </w:pPr>
            <w:r>
              <w:rPr>
                <w:rFonts w:hint="eastAsia" w:ascii="宋体" w:hAnsi="宋体" w:eastAsia="宋体" w:cs="宋体"/>
                <w:color w:val="000000"/>
                <w:spacing w:val="-12"/>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25"/>
                <w:lang w:eastAsia="en-US"/>
              </w:rPr>
              <w:t xml:space="preserve">/M</w:t>
            </w:r>
            <w:r>
              <w:rPr>
                <w:rFonts w:hint="eastAsia" w:ascii="宋体" w:hAnsi="宋体" w:eastAsia="宋体" w:cs="宋体"/>
                <w:color w:val="000000"/>
                <w:spacing w:val="-29"/>
                <w:lang w:eastAsia="en-US"/>
              </w:rPr>
              <w:t xml:space="preserve"> </w:t>
            </w:r>
            <w:r>
              <w:rPr>
                <w:rFonts w:hint="eastAsia" w:ascii="宋体" w:hAnsi="宋体" w:eastAsia="宋体" w:cs="宋体"/>
                <w:color w:val="000000"/>
                <w:spacing w:val="-25"/>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vMerge w:val="restart"/>
            <w:textDirection w:val="lrTb"/>
            <w:noWrap w:val="false"/>
          </w:tcPr>
          <w:p>
            <w:pPr>
              <w:pStyle w:val="863"/>
              <w:ind w:left="556"/>
              <w:spacing w:before="184"/>
              <w:rPr>
                <w:rFonts w:ascii="宋体" w:hAnsi="宋体" w:eastAsia="宋体" w:cs="宋体"/>
                <w:color w:val="000000"/>
                <w:lang w:eastAsia="en-US"/>
              </w:rPr>
            </w:pPr>
            <w:r>
              <w:rPr>
                <w:rFonts w:hint="eastAsia" w:ascii="宋体" w:hAnsi="宋体" w:eastAsia="宋体" w:cs="宋体"/>
                <w:color w:val="000000"/>
                <w:lang w:eastAsia="en-US"/>
              </w:rPr>
              <w:t xml:space="preserve">7</w:t>
            </w:r>
            <w:r/>
          </w:p>
          <w:p>
            <w:pPr>
              <w:spacing w:line="26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12"/>
              <w:spacing w:before="78" w:line="232"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225.4</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630"/>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80"/>
              <w:spacing w:before="185"/>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8</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863"/>
              <w:spacing w:before="185" w:line="216" w:lineRule="auto"/>
              <w:rPr>
                <w:rFonts w:ascii="宋体" w:hAnsi="宋体" w:eastAsia="宋体" w:cs="宋体"/>
                <w:color w:val="000000"/>
                <w:lang w:eastAsia="en-US"/>
              </w:rPr>
            </w:pPr>
            <w:r>
              <w:rPr>
                <w:rFonts w:hint="eastAsia" w:ascii="宋体" w:hAnsi="宋体" w:eastAsia="宋体" w:cs="宋体"/>
                <w:color w:val="000000"/>
                <w:spacing w:val="-4"/>
                <w:lang w:eastAsia="en-US"/>
              </w:rPr>
              <w:t xml:space="preserve">景亭</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35" w:line="218"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614"/>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80"/>
              <w:spacing w:before="186"/>
              <w:rPr>
                <w:rFonts w:ascii="宋体" w:hAnsi="宋体" w:eastAsia="宋体" w:cs="宋体"/>
                <w:color w:val="000000"/>
                <w:lang w:eastAsia="en-US"/>
              </w:rPr>
            </w:pPr>
            <w:r>
              <w:rPr>
                <w:rFonts w:hint="eastAsia" w:ascii="宋体" w:hAnsi="宋体" w:eastAsia="宋体" w:cs="宋体"/>
                <w:b/>
                <w:bCs/>
                <w:color w:val="000000"/>
                <w:spacing w:val="-3"/>
                <w:lang w:eastAsia="en-US"/>
              </w:rPr>
              <w:t xml:space="preserve">9</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860"/>
              <w:spacing w:before="186"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廊架</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37" w:line="216"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368"/>
              <w:spacing w:before="186" w:line="232"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48.5</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630"/>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37"/>
              <w:spacing w:before="203"/>
              <w:rPr>
                <w:rFonts w:ascii="宋体" w:hAnsi="宋体" w:eastAsia="宋体" w:cs="宋体"/>
                <w:color w:val="000000"/>
                <w:lang w:eastAsia="en-US"/>
              </w:rPr>
            </w:pPr>
            <w:r>
              <w:rPr>
                <w:rFonts w:hint="eastAsia" w:ascii="宋体" w:hAnsi="宋体" w:eastAsia="宋体" w:cs="宋体"/>
                <w:b/>
                <w:bCs/>
                <w:color w:val="000000"/>
                <w:spacing w:val="-6"/>
                <w:lang w:eastAsia="en-US"/>
              </w:rPr>
              <w:t xml:space="preserve">10</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859"/>
              <w:spacing w:before="202"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栈道</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53" w:line="216"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372"/>
              <w:spacing w:before="203" w:line="232"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28.7</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1439"/>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spacing w:line="256"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26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237"/>
              <w:spacing w:before="78"/>
              <w:rPr>
                <w:rFonts w:ascii="宋体" w:hAnsi="宋体" w:eastAsia="宋体" w:cs="宋体"/>
                <w:color w:val="000000"/>
                <w:lang w:eastAsia="en-US"/>
              </w:rPr>
            </w:pPr>
            <w:r>
              <w:rPr>
                <w:rFonts w:hint="eastAsia" w:ascii="宋体" w:hAnsi="宋体" w:eastAsia="宋体" w:cs="宋体"/>
                <w:b/>
                <w:bCs/>
                <w:color w:val="000000"/>
                <w:spacing w:val="-6"/>
                <w:lang w:eastAsia="en-US"/>
              </w:rPr>
              <w:t xml:space="preserve">11</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spacing w:line="256"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256"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860"/>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坐凳</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spacing w:line="36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21" w:right="315" w:firstLine="363"/>
              <w:spacing w:before="78" w:line="240" w:lineRule="auto"/>
              <w:rPr>
                <w:rFonts w:ascii="宋体" w:hAnsi="宋体" w:eastAsia="宋体" w:cs="宋体"/>
                <w:color w:val="000000"/>
                <w:lang w:eastAsia="en-US"/>
              </w:rPr>
            </w:pPr>
            <w:r>
              <w:rPr>
                <w:rFonts w:hint="eastAsia" w:ascii="宋体" w:hAnsi="宋体" w:eastAsia="宋体" w:cs="宋体"/>
                <w:color w:val="000000"/>
                <w:spacing w:val="-12"/>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25"/>
                <w:lang w:eastAsia="en-US"/>
              </w:rPr>
              <w:t xml:space="preserve">/M</w:t>
            </w:r>
            <w:r>
              <w:rPr>
                <w:rFonts w:hint="eastAsia" w:ascii="宋体" w:hAnsi="宋体" w:eastAsia="宋体" w:cs="宋体"/>
                <w:color w:val="000000"/>
                <w:spacing w:val="-29"/>
                <w:lang w:eastAsia="en-US"/>
              </w:rPr>
              <w:t xml:space="preserve"> </w:t>
            </w:r>
            <w:r>
              <w:rPr>
                <w:rFonts w:hint="eastAsia" w:ascii="宋体" w:hAnsi="宋体" w:eastAsia="宋体" w:cs="宋体"/>
                <w:color w:val="000000"/>
                <w:spacing w:val="-25"/>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spacing w:line="256"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26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87"/>
              <w:spacing w:before="78" w:line="232"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13.8</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637"/>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37"/>
              <w:spacing w:before="191"/>
              <w:rPr>
                <w:rFonts w:ascii="宋体" w:hAnsi="宋体" w:eastAsia="宋体" w:cs="宋体"/>
                <w:color w:val="000000"/>
                <w:lang w:eastAsia="en-US"/>
              </w:rPr>
            </w:pPr>
            <w:r>
              <w:rPr>
                <w:rFonts w:hint="eastAsia" w:ascii="宋体" w:hAnsi="宋体" w:eastAsia="宋体" w:cs="宋体"/>
                <w:b/>
                <w:bCs/>
                <w:color w:val="000000"/>
                <w:spacing w:val="-6"/>
                <w:lang w:eastAsia="en-US"/>
              </w:rPr>
              <w:t xml:space="preserve">12</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740"/>
              <w:spacing w:before="191"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垃圾箱</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2" w:right="315" w:firstLine="301"/>
              <w:spacing w:before="41" w:line="218"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34"/>
                <w:lang w:eastAsia="en-US"/>
              </w:rPr>
              <w:t xml:space="preserve">个</w:t>
            </w:r>
            <w:r>
              <w:rPr>
                <w:rFonts w:hint="eastAsia" w:ascii="宋体" w:hAnsi="宋体" w:eastAsia="宋体" w:cs="宋体"/>
                <w:color w:val="000000"/>
                <w:spacing w:val="-28"/>
                <w:lang w:eastAsia="en-US"/>
              </w:rPr>
              <w:t xml:space="preserve"> </w:t>
            </w:r>
            <w:r>
              <w:rPr>
                <w:rFonts w:hint="eastAsia" w:ascii="宋体" w:hAnsi="宋体" w:eastAsia="宋体" w:cs="宋体"/>
                <w:color w:val="000000"/>
                <w:spacing w:val="-34"/>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434"/>
              <w:spacing w:before="190"/>
              <w:rPr>
                <w:rFonts w:ascii="宋体" w:hAnsi="宋体" w:eastAsia="宋体" w:cs="宋体"/>
                <w:color w:val="000000"/>
                <w:lang w:eastAsia="en-US"/>
              </w:rPr>
            </w:pPr>
            <w:r>
              <w:rPr>
                <w:rFonts w:hint="eastAsia" w:ascii="宋体" w:hAnsi="宋体" w:eastAsia="宋体" w:cs="宋体"/>
                <w:color w:val="000000"/>
                <w:spacing w:val="-4"/>
                <w:lang w:eastAsia="en-US"/>
              </w:rPr>
              <w:t xml:space="preserve">300</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637"/>
        </w:trPr>
        <w:tc>
          <w:tcPr>
            <w:tcBorders>
              <w:top w:val="single" w:color="808080" w:sz="6" w:space="0"/>
              <w:left w:val="single" w:color="808080" w:sz="6" w:space="0"/>
              <w:bottom w:val="single" w:color="808080" w:sz="6" w:space="0"/>
              <w:right w:val="single" w:color="808080" w:sz="6" w:space="0"/>
            </w:tcBorders>
            <w:tcW w:w="682" w:type="dxa"/>
            <w:textDirection w:val="lrTb"/>
            <w:noWrap w:val="false"/>
          </w:tcPr>
          <w:p>
            <w:pPr>
              <w:pStyle w:val="863"/>
              <w:ind w:left="237"/>
              <w:spacing w:before="78"/>
              <w:rPr>
                <w:rFonts w:ascii="宋体" w:hAnsi="宋体" w:eastAsia="宋体" w:cs="宋体"/>
                <w:color w:val="000000"/>
                <w:lang w:eastAsia="en-US"/>
              </w:rPr>
            </w:pPr>
            <w:r>
              <w:rPr>
                <w:rFonts w:hint="eastAsia" w:ascii="宋体" w:hAnsi="宋体" w:eastAsia="宋体" w:cs="宋体"/>
                <w:b/>
                <w:bCs/>
                <w:color w:val="000000"/>
                <w:spacing w:val="-6"/>
                <w:lang w:eastAsia="en-US"/>
              </w:rPr>
              <w:t xml:space="preserve">13</w:t>
            </w:r>
            <w:r/>
          </w:p>
        </w:tc>
        <w:tc>
          <w:tcPr>
            <w:gridSpan w:val="2"/>
            <w:tcBorders>
              <w:top w:val="single" w:color="808080" w:sz="6" w:space="0"/>
              <w:left w:val="single" w:color="808080" w:sz="6" w:space="0"/>
              <w:bottom w:val="single" w:color="808080" w:sz="6" w:space="0"/>
              <w:right w:val="single" w:color="808080" w:sz="6" w:space="0"/>
            </w:tcBorders>
            <w:tcW w:w="2190" w:type="dxa"/>
            <w:textDirection w:val="lrTb"/>
            <w:noWrap w:val="false"/>
          </w:tcPr>
          <w:p>
            <w:pPr>
              <w:pStyle w:val="863"/>
              <w:ind w:left="861"/>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草花</w:t>
            </w:r>
            <w:r/>
          </w:p>
        </w:tc>
        <w:tc>
          <w:tcPr>
            <w:tcBorders>
              <w:top w:val="single" w:color="808080" w:sz="6" w:space="0"/>
              <w:left w:val="single" w:color="808080" w:sz="6" w:space="0"/>
              <w:bottom w:val="single" w:color="808080" w:sz="6" w:space="0"/>
              <w:right w:val="single" w:color="808080" w:sz="6" w:space="0"/>
            </w:tcBorders>
            <w:tcW w:w="1365" w:type="dxa"/>
            <w:textDirection w:val="lrTb"/>
            <w:noWrap w:val="false"/>
          </w:tcPr>
          <w:p>
            <w:pPr>
              <w:pStyle w:val="863"/>
              <w:ind w:left="323" w:right="315" w:firstLine="300"/>
              <w:spacing w:before="78" w:line="240"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元/</w:t>
            </w:r>
            <w:r>
              <w:rPr>
                <w:rFonts w:hint="eastAsia" w:ascii="宋体" w:hAnsi="宋体" w:eastAsia="宋体" w:cs="宋体"/>
                <w:color w:val="000000"/>
                <w:lang w:eastAsia="en-US"/>
              </w:rPr>
              <w:t xml:space="preserve"> </w:t>
            </w:r>
            <w:r>
              <w:rPr>
                <w:rFonts w:hint="eastAsia" w:ascii="宋体" w:hAnsi="宋体" w:eastAsia="宋体" w:cs="宋体"/>
                <w:color w:val="000000"/>
                <w:spacing w:val="-41"/>
                <w:lang w:eastAsia="en-US"/>
              </w:rPr>
              <w:t xml:space="preserve">㎡</w:t>
            </w:r>
            <w:r>
              <w:rPr>
                <w:rFonts w:hint="eastAsia" w:ascii="宋体" w:hAnsi="宋体" w:eastAsia="宋体" w:cs="宋体"/>
                <w:color w:val="000000"/>
                <w:spacing w:val="-8"/>
                <w:lang w:eastAsia="en-US"/>
              </w:rPr>
              <w:t xml:space="preserve"> </w:t>
            </w:r>
            <w:r>
              <w:rPr>
                <w:rFonts w:hint="eastAsia" w:ascii="宋体" w:hAnsi="宋体" w:eastAsia="宋体" w:cs="宋体"/>
                <w:color w:val="000000"/>
                <w:spacing w:val="-41"/>
                <w:lang w:eastAsia="en-US"/>
              </w:rPr>
              <w:t xml:space="preserve">·年</w:t>
            </w:r>
            <w:r/>
          </w:p>
        </w:tc>
        <w:tc>
          <w:tcPr>
            <w:tcBorders>
              <w:top w:val="single" w:color="808080" w:sz="6" w:space="0"/>
              <w:left w:val="single" w:color="808080" w:sz="6" w:space="0"/>
              <w:bottom w:val="single" w:color="808080" w:sz="6" w:space="0"/>
              <w:right w:val="single" w:color="808080" w:sz="6" w:space="0"/>
            </w:tcBorders>
            <w:tcW w:w="1200" w:type="dxa"/>
            <w:textDirection w:val="lrTb"/>
            <w:noWrap w:val="false"/>
          </w:tcPr>
          <w:p>
            <w:pPr>
              <w:pStyle w:val="863"/>
              <w:ind w:left="447"/>
              <w:spacing w:before="78"/>
              <w:rPr>
                <w:rFonts w:ascii="宋体" w:hAnsi="宋体" w:eastAsia="宋体" w:cs="宋体"/>
                <w:color w:val="000000"/>
                <w:lang w:eastAsia="en-US"/>
              </w:rPr>
            </w:pPr>
            <w:r>
              <w:rPr>
                <w:rFonts w:hint="eastAsia" w:ascii="宋体" w:hAnsi="宋体" w:eastAsia="宋体" w:cs="宋体"/>
                <w:color w:val="000000"/>
                <w:spacing w:val="-7"/>
                <w:lang w:eastAsia="en-US"/>
              </w:rPr>
              <w:t xml:space="preserve">150</w:t>
            </w:r>
            <w:r/>
          </w:p>
        </w:tc>
        <w:tc>
          <w:tcPr>
            <w:tcBorders>
              <w:top w:val="single" w:color="808080" w:sz="6" w:space="0"/>
              <w:left w:val="single" w:color="808080" w:sz="6" w:space="0"/>
              <w:bottom w:val="single" w:color="808080" w:sz="6" w:space="0"/>
              <w:right w:val="single" w:color="808080" w:sz="6" w:space="0"/>
            </w:tcBorders>
            <w:tcW w:w="297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bl>
    <w:p>
      <w:pPr>
        <w:pStyle w:val="832"/>
        <w:spacing w:before="274" w:line="216" w:lineRule="auto"/>
        <w:rPr>
          <w:rFonts w:ascii="宋体" w:hAnsi="宋体" w:eastAsia="宋体" w:cs="宋体"/>
          <w:color w:val="000000"/>
          <w:sz w:val="24"/>
          <w:szCs w:val="24"/>
        </w:rPr>
      </w:pPr>
      <w:r>
        <w:rPr>
          <w:rFonts w:hint="eastAsia" w:ascii="宋体" w:hAnsi="宋体" w:eastAsia="宋体" w:cs="宋体"/>
          <w:b/>
          <w:bCs/>
          <w:spacing w:val="-2"/>
          <w:sz w:val="24"/>
          <w:szCs w:val="24"/>
        </w:rPr>
        <w:t xml:space="preserve">注：</w:t>
      </w:r>
      <w:r>
        <w:rPr>
          <w:rFonts w:hint="eastAsia" w:ascii="宋体" w:hAnsi="宋体" w:eastAsia="宋体" w:cs="宋体"/>
          <w:spacing w:val="-62"/>
          <w:sz w:val="24"/>
          <w:szCs w:val="24"/>
        </w:rPr>
        <w:t xml:space="preserve"> </w:t>
      </w:r>
      <w:r>
        <w:rPr>
          <w:rFonts w:hint="eastAsia" w:ascii="宋体" w:hAnsi="宋体" w:eastAsia="宋体" w:cs="宋体"/>
          <w:b/>
          <w:bCs/>
          <w:spacing w:val="-2"/>
          <w:sz w:val="24"/>
          <w:szCs w:val="24"/>
        </w:rPr>
        <w:t xml:space="preserve">1、各养护项目养护单价的报价高于最高限价的投标为无效投标。</w:t>
      </w:r>
      <w:r/>
    </w:p>
    <w:p>
      <w:pPr>
        <w:pStyle w:val="832"/>
        <w:numPr>
          <w:ilvl w:val="0"/>
          <w:numId w:val="1"/>
        </w:numPr>
        <w:ind w:left="0" w:right="0" w:firstLine="478"/>
        <w:jc w:val="left"/>
        <w:keepLines w:val="0"/>
        <w:keepNext w:val="0"/>
        <w:pageBreakBefore w:val="0"/>
        <w:widowControl w:val="off"/>
        <w:rPr>
          <w:rFonts w:hint="eastAsia" w:ascii="宋体" w:hAnsi="宋体" w:eastAsia="宋体" w:cs="宋体"/>
          <w:b/>
          <w:bCs/>
          <w:spacing w:val="-1"/>
          <w:sz w:val="24"/>
          <w:szCs w:val="24"/>
        </w:rPr>
      </w:pPr>
      <w:r>
        <w:rPr>
          <w:rFonts w:hint="eastAsia" w:ascii="宋体" w:hAnsi="宋体" w:eastAsia="宋体" w:cs="宋体"/>
          <w:b/>
          <w:bCs/>
          <w:spacing w:val="-1"/>
          <w:sz w:val="24"/>
          <w:szCs w:val="24"/>
        </w:rPr>
        <w:t xml:space="preserve">本项目人员工资不得低于同期镇江市最低工资标准，其他待遇应符合劳动、社保等各类法律法规的相关规定。</w:t>
      </w:r>
      <w:r/>
    </w:p>
    <w:p>
      <w:pPr>
        <w:pStyle w:val="832"/>
        <w:numPr>
          <w:ilvl w:val="0"/>
          <w:numId w:val="0"/>
        </w:numPr>
        <w:ind w:right="0"/>
        <w:jc w:val="left"/>
        <w:keepLines w:val="0"/>
        <w:keepNext w:val="0"/>
        <w:pageBreakBefore w:val="0"/>
        <w:widowControl w:val="off"/>
        <w:rPr>
          <w:rFonts w:ascii="宋体" w:hAnsi="宋体" w:eastAsia="宋体" w:cs="宋体"/>
          <w:sz w:val="24"/>
          <w:szCs w:val="24"/>
          <w:highlight w:val="none"/>
        </w:rPr>
      </w:pPr>
      <w:r>
        <w:rPr>
          <w:rFonts w:hint="eastAsia" w:ascii="宋体" w:hAnsi="宋体" w:eastAsia="宋体" w:cs="宋体"/>
          <w:b/>
          <w:bCs/>
          <w:spacing w:val="-1"/>
          <w:sz w:val="24"/>
          <w:szCs w:val="24"/>
          <w:highlight w:val="none"/>
        </w:rPr>
        <w:t xml:space="preserve">3、项目若办理移交后，本合同终止，乙方不得以任何条件向甲方索赔。</w:t>
      </w:r>
      <w:r/>
    </w:p>
    <w:p>
      <w:pPr>
        <w:pStyle w:val="832"/>
        <w:spacing w:before="78" w:line="216"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r>
      <w:r/>
    </w:p>
    <w:p>
      <w:pPr>
        <w:pStyle w:val="832"/>
        <w:spacing w:before="78" w:line="216" w:lineRule="auto"/>
        <w:rPr>
          <w:rFonts w:ascii="宋体" w:hAnsi="宋体" w:eastAsia="宋体" w:cs="宋体"/>
          <w:b/>
          <w:bCs/>
          <w:sz w:val="24"/>
          <w:szCs w:val="24"/>
        </w:rPr>
      </w:pPr>
      <w:r>
        <w:rPr>
          <w:rFonts w:hint="eastAsia" w:ascii="宋体" w:hAnsi="宋体" w:eastAsia="宋体" w:cs="宋体"/>
          <w:b/>
          <w:bCs/>
          <w:spacing w:val="-6"/>
          <w:sz w:val="24"/>
          <w:szCs w:val="24"/>
        </w:rPr>
        <w:t xml:space="preserve">（3）人员及车辆要求：</w:t>
      </w:r>
      <w:r/>
    </w:p>
    <w:tbl>
      <w:tblPr>
        <w:tblStyle w:val="864"/>
        <w:tblW w:w="8535" w:type="dxa"/>
        <w:tblInd w:w="23"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1688"/>
        <w:gridCol w:w="1291"/>
        <w:gridCol w:w="720"/>
        <w:gridCol w:w="720"/>
        <w:gridCol w:w="1305"/>
        <w:gridCol w:w="719"/>
        <w:gridCol w:w="465"/>
        <w:gridCol w:w="720"/>
        <w:gridCol w:w="450"/>
        <w:gridCol w:w="457"/>
      </w:tblGrid>
      <w:tr>
        <w:trPr>
          <w:trHeight w:val="575"/>
        </w:trPr>
        <w:tc>
          <w:tcPr>
            <w:tcBorders>
              <w:top w:val="single" w:color="000000" w:sz="6" w:space="0"/>
              <w:left w:val="single" w:color="000000" w:sz="6" w:space="0"/>
              <w:bottom w:val="single" w:color="000000" w:sz="6" w:space="0"/>
              <w:right w:val="single" w:color="000000" w:sz="6" w:space="0"/>
            </w:tcBorders>
            <w:tcW w:w="1688" w:type="dxa"/>
            <w:vMerge w:val="restart"/>
            <w:textDirection w:val="lrTb"/>
            <w:noWrap w:val="false"/>
          </w:tcPr>
          <w:p>
            <w:pPr>
              <w:spacing w:line="300"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300"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30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70"/>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标段名称</w:t>
            </w:r>
            <w:r/>
          </w:p>
        </w:tc>
        <w:tc>
          <w:tcPr>
            <w:tcBorders>
              <w:top w:val="single" w:color="000000" w:sz="6" w:space="0"/>
              <w:left w:val="single" w:color="000000" w:sz="6" w:space="0"/>
              <w:bottom w:val="single" w:color="000000" w:sz="6" w:space="0"/>
              <w:right w:val="single" w:color="000000" w:sz="6" w:space="0"/>
            </w:tcBorders>
            <w:tcW w:w="1291" w:type="dxa"/>
            <w:vMerge w:val="restart"/>
            <w:textDirection w:val="lrTb"/>
            <w:noWrap w:val="false"/>
          </w:tcPr>
          <w:p>
            <w:pPr>
              <w:spacing w:line="300"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300"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30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jc w:val="right"/>
              <w:spacing w:before="78" w:line="216" w:lineRule="auto"/>
              <w:rPr>
                <w:rFonts w:ascii="宋体" w:hAnsi="宋体" w:eastAsia="宋体" w:cs="宋体"/>
                <w:color w:val="000000"/>
                <w:lang w:eastAsia="en-US"/>
              </w:rPr>
            </w:pPr>
            <w:r>
              <w:rPr>
                <w:rFonts w:hint="eastAsia" w:ascii="宋体" w:hAnsi="宋体" w:eastAsia="宋体" w:cs="宋体"/>
                <w:color w:val="000000"/>
                <w:spacing w:val="-8"/>
                <w:lang w:eastAsia="en-US"/>
              </w:rPr>
              <w:t xml:space="preserve">面积（㎡）</w:t>
            </w:r>
            <w:r/>
          </w:p>
        </w:tc>
        <w:tc>
          <w:tcPr>
            <w:gridSpan w:val="4"/>
            <w:tcBorders>
              <w:top w:val="single" w:color="808080" w:sz="6" w:space="0"/>
              <w:left w:val="single" w:color="000000" w:sz="6" w:space="0"/>
              <w:bottom w:val="single" w:color="808080" w:sz="6" w:space="0"/>
              <w:right w:val="single" w:color="808080" w:sz="6" w:space="0"/>
            </w:tcBorders>
            <w:tcW w:w="3464" w:type="dxa"/>
            <w:textDirection w:val="lrTb"/>
            <w:noWrap w:val="false"/>
          </w:tcPr>
          <w:p>
            <w:pPr>
              <w:pStyle w:val="863"/>
              <w:ind w:left="910"/>
              <w:spacing w:before="169"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人员要求（人）</w:t>
            </w:r>
            <w:r/>
          </w:p>
        </w:tc>
        <w:tc>
          <w:tcPr>
            <w:gridSpan w:val="4"/>
            <w:tcBorders>
              <w:top w:val="single" w:color="808080" w:sz="6" w:space="0"/>
              <w:left w:val="single" w:color="808080" w:sz="6" w:space="0"/>
              <w:bottom w:val="single" w:color="808080" w:sz="6" w:space="0"/>
              <w:right w:val="single" w:color="808080" w:sz="6" w:space="0"/>
            </w:tcBorders>
            <w:tcW w:w="2092" w:type="dxa"/>
            <w:textDirection w:val="lrTb"/>
            <w:noWrap w:val="false"/>
          </w:tcPr>
          <w:p>
            <w:pPr>
              <w:pStyle w:val="863"/>
              <w:ind w:left="211"/>
              <w:spacing w:before="16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车辆要求（辆）</w:t>
            </w:r>
            <w:r/>
          </w:p>
        </w:tc>
      </w:tr>
      <w:tr>
        <w:trPr>
          <w:trHeight w:val="657"/>
        </w:trPr>
        <w:tc>
          <w:tcPr>
            <w:tcBorders>
              <w:top w:val="single" w:color="000000" w:sz="6" w:space="0"/>
              <w:left w:val="single" w:color="000000" w:sz="6" w:space="0"/>
              <w:bottom w:val="single" w:color="000000" w:sz="6" w:space="0"/>
              <w:right w:val="single" w:color="000000" w:sz="6" w:space="0"/>
            </w:tcBorders>
            <w:tcW w:w="168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000000" w:sz="6" w:space="0"/>
              <w:left w:val="single" w:color="000000" w:sz="6" w:space="0"/>
              <w:bottom w:val="single" w:color="000000" w:sz="6" w:space="0"/>
              <w:right w:val="single" w:color="000000" w:sz="6" w:space="0"/>
            </w:tcBorders>
            <w:tcW w:w="1291"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000000" w:sz="6" w:space="0"/>
              <w:bottom w:val="single" w:color="808080" w:sz="6" w:space="0"/>
              <w:right w:val="single" w:color="808080" w:sz="6" w:space="0"/>
            </w:tcBorders>
            <w:tcW w:w="720" w:type="dxa"/>
            <w:vMerge w:val="restart"/>
            <w:textDirection w:val="lrTb"/>
            <w:noWrap w:val="false"/>
          </w:tcPr>
          <w:p>
            <w:pPr>
              <w:pStyle w:val="863"/>
              <w:ind w:left="147"/>
              <w:spacing w:before="225" w:line="216" w:lineRule="auto"/>
              <w:rPr>
                <w:rFonts w:ascii="宋体" w:hAnsi="宋体" w:eastAsia="宋体" w:cs="宋体"/>
                <w:color w:val="000000"/>
                <w:lang w:eastAsia="en-US"/>
              </w:rPr>
            </w:pPr>
            <w:r>
              <w:rPr>
                <w:rFonts w:hint="eastAsia" w:ascii="宋体" w:hAnsi="宋体" w:eastAsia="宋体" w:cs="宋体"/>
                <w:color w:val="000000"/>
                <w:spacing w:val="-4"/>
                <w:lang w:eastAsia="en-US"/>
              </w:rPr>
              <w:t xml:space="preserve">项目</w:t>
            </w:r>
            <w:r/>
          </w:p>
          <w:p>
            <w:pPr>
              <w:pStyle w:val="863"/>
              <w:ind w:left="152"/>
              <w:spacing w:before="28" w:line="216" w:lineRule="auto"/>
              <w:rPr>
                <w:rFonts w:ascii="宋体" w:hAnsi="宋体" w:eastAsia="宋体" w:cs="宋体"/>
                <w:color w:val="000000"/>
                <w:lang w:eastAsia="en-US"/>
              </w:rPr>
            </w:pPr>
            <w:r>
              <w:rPr>
                <w:rFonts w:hint="eastAsia" w:ascii="宋体" w:hAnsi="宋体" w:eastAsia="宋体" w:cs="宋体"/>
                <w:color w:val="000000"/>
                <w:spacing w:val="-5"/>
                <w:lang w:eastAsia="en-US"/>
              </w:rPr>
              <w:t xml:space="preserve">负责</w:t>
            </w:r>
            <w:r/>
          </w:p>
          <w:p>
            <w:pPr>
              <w:pStyle w:val="863"/>
              <w:ind w:left="263" w:right="90" w:hanging="118"/>
              <w:spacing w:before="29" w:line="242"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人数</w:t>
            </w:r>
            <w:r>
              <w:rPr>
                <w:rFonts w:hint="eastAsia" w:ascii="宋体" w:hAnsi="宋体" w:eastAsia="宋体" w:cs="宋体"/>
                <w:color w:val="000000"/>
                <w:lang w:eastAsia="en-US"/>
              </w:rPr>
              <w:t xml:space="preserve"> 量</w:t>
            </w:r>
            <w:r/>
          </w:p>
        </w:tc>
        <w:tc>
          <w:tcPr>
            <w:tcBorders>
              <w:top w:val="single" w:color="808080" w:sz="6" w:space="0"/>
              <w:left w:val="single" w:color="808080" w:sz="6" w:space="0"/>
              <w:bottom w:val="single" w:color="808080" w:sz="6" w:space="0"/>
              <w:right w:val="single" w:color="808080" w:sz="6" w:space="0"/>
            </w:tcBorders>
            <w:tcW w:w="720" w:type="dxa"/>
            <w:vMerge w:val="restart"/>
            <w:textDirection w:val="lrTb"/>
            <w:noWrap w:val="false"/>
          </w:tcPr>
          <w:p>
            <w:pPr>
              <w:pStyle w:val="863"/>
              <w:ind w:left="145"/>
              <w:spacing w:before="225"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现场</w:t>
            </w:r>
            <w:r/>
          </w:p>
          <w:p>
            <w:pPr>
              <w:pStyle w:val="863"/>
              <w:ind w:left="153"/>
              <w:spacing w:before="28" w:line="216" w:lineRule="auto"/>
              <w:rPr>
                <w:rFonts w:ascii="宋体" w:hAnsi="宋体" w:eastAsia="宋体" w:cs="宋体"/>
                <w:color w:val="000000"/>
                <w:lang w:eastAsia="en-US"/>
              </w:rPr>
            </w:pPr>
            <w:r>
              <w:rPr>
                <w:rFonts w:hint="eastAsia" w:ascii="宋体" w:hAnsi="宋体" w:eastAsia="宋体" w:cs="宋体"/>
                <w:color w:val="000000"/>
                <w:spacing w:val="-5"/>
                <w:lang w:eastAsia="en-US"/>
              </w:rPr>
              <w:t xml:space="preserve">负责</w:t>
            </w:r>
            <w:r/>
          </w:p>
          <w:p>
            <w:pPr>
              <w:pStyle w:val="863"/>
              <w:ind w:left="263" w:right="90" w:hanging="118"/>
              <w:spacing w:before="29" w:line="242" w:lineRule="auto"/>
              <w:rPr>
                <w:rFonts w:ascii="宋体" w:hAnsi="宋体" w:eastAsia="宋体" w:cs="宋体"/>
                <w:color w:val="000000"/>
                <w:lang w:eastAsia="en-US"/>
              </w:rPr>
            </w:pPr>
            <w:r>
              <w:rPr>
                <w:rFonts w:hint="eastAsia" w:ascii="宋体" w:hAnsi="宋体" w:eastAsia="宋体" w:cs="宋体"/>
                <w:color w:val="000000"/>
                <w:spacing w:val="-6"/>
                <w:lang w:eastAsia="en-US"/>
              </w:rPr>
              <w:t xml:space="preserve">人数</w:t>
            </w:r>
            <w:r>
              <w:rPr>
                <w:rFonts w:hint="eastAsia" w:ascii="宋体" w:hAnsi="宋体" w:eastAsia="宋体" w:cs="宋体"/>
                <w:color w:val="000000"/>
                <w:lang w:eastAsia="en-US"/>
              </w:rPr>
              <w:t xml:space="preserve"> 量</w:t>
            </w:r>
            <w:r/>
          </w:p>
        </w:tc>
        <w:tc>
          <w:tcPr>
            <w:gridSpan w:val="2"/>
            <w:tcBorders>
              <w:top w:val="single" w:color="808080" w:sz="6" w:space="0"/>
              <w:left w:val="single" w:color="808080" w:sz="6" w:space="0"/>
              <w:bottom w:val="single" w:color="808080" w:sz="6" w:space="0"/>
              <w:right w:val="single" w:color="808080" w:sz="6" w:space="0"/>
            </w:tcBorders>
            <w:tcW w:w="2024" w:type="dxa"/>
            <w:textDirection w:val="lrTb"/>
            <w:noWrap w:val="false"/>
          </w:tcPr>
          <w:p>
            <w:pPr>
              <w:pStyle w:val="863"/>
              <w:ind w:left="910" w:right="144" w:hanging="718"/>
              <w:spacing w:before="43" w:line="228"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最少作业人员数</w:t>
            </w:r>
            <w:r>
              <w:rPr>
                <w:rFonts w:hint="eastAsia" w:ascii="宋体" w:hAnsi="宋体" w:eastAsia="宋体" w:cs="宋体"/>
                <w:color w:val="000000"/>
                <w:spacing w:val="3"/>
                <w:lang w:eastAsia="en-US"/>
              </w:rPr>
              <w:t xml:space="preserve"> </w:t>
            </w:r>
            <w:r>
              <w:rPr>
                <w:rFonts w:hint="eastAsia" w:ascii="宋体" w:hAnsi="宋体" w:eastAsia="宋体" w:cs="宋体"/>
                <w:color w:val="000000"/>
                <w:lang w:eastAsia="en-US"/>
              </w:rPr>
              <w:t xml:space="preserve">量</w:t>
            </w:r>
            <w:r/>
          </w:p>
        </w:tc>
        <w:tc>
          <w:tcPr>
            <w:tcBorders>
              <w:top w:val="single" w:color="808080" w:sz="6" w:space="0"/>
              <w:left w:val="single" w:color="808080" w:sz="6" w:space="0"/>
              <w:bottom w:val="single" w:color="808080" w:sz="6" w:space="0"/>
              <w:right w:val="single" w:color="808080" w:sz="6" w:space="0"/>
            </w:tcBorders>
            <w:tcW w:w="465" w:type="dxa"/>
            <w:vMerge w:val="restart"/>
            <w:textDirection w:val="tbRlV"/>
            <w:noWrap w:val="false"/>
          </w:tcPr>
          <w:p>
            <w:pPr>
              <w:pStyle w:val="863"/>
              <w:ind w:left="389"/>
              <w:spacing w:before="100" w:line="204" w:lineRule="auto"/>
              <w:rPr>
                <w:rFonts w:ascii="宋体" w:hAnsi="宋体" w:eastAsia="宋体" w:cs="宋体"/>
                <w:color w:val="000000"/>
                <w:lang w:eastAsia="en-US"/>
              </w:rPr>
            </w:pPr>
            <w:r>
              <w:rPr>
                <w:rFonts w:hint="eastAsia" w:ascii="宋体" w:hAnsi="宋体" w:eastAsia="宋体" w:cs="宋体"/>
                <w:color w:val="000000"/>
                <w:spacing w:val="45"/>
                <w:lang w:eastAsia="en-US"/>
              </w:rPr>
              <w:t xml:space="preserve">洒水车</w:t>
            </w:r>
            <w:r/>
          </w:p>
        </w:tc>
        <w:tc>
          <w:tcPr>
            <w:tcBorders>
              <w:top w:val="single" w:color="808080" w:sz="6" w:space="0"/>
              <w:left w:val="single" w:color="808080" w:sz="6" w:space="0"/>
              <w:bottom w:val="single" w:color="808080" w:sz="6" w:space="0"/>
              <w:right w:val="single" w:color="808080" w:sz="6" w:space="0"/>
            </w:tcBorders>
            <w:tcW w:w="720" w:type="dxa"/>
            <w:vMerge w:val="restart"/>
            <w:textDirection w:val="lrTb"/>
            <w:noWrap w:val="false"/>
          </w:tcPr>
          <w:p>
            <w:pPr>
              <w:spacing w:line="304"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36"/>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垃圾</w:t>
            </w:r>
            <w:r/>
          </w:p>
          <w:p>
            <w:pPr>
              <w:pStyle w:val="863"/>
              <w:ind w:left="134"/>
              <w:spacing w:before="14"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清运</w:t>
            </w:r>
            <w:r/>
          </w:p>
          <w:p>
            <w:pPr>
              <w:pStyle w:val="863"/>
              <w:ind w:left="137"/>
              <w:spacing w:before="2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卡车</w:t>
            </w:r>
            <w:r/>
          </w:p>
        </w:tc>
        <w:tc>
          <w:tcPr>
            <w:tcBorders>
              <w:top w:val="single" w:color="808080" w:sz="6" w:space="0"/>
              <w:left w:val="single" w:color="808080" w:sz="6" w:space="0"/>
              <w:bottom w:val="single" w:color="808080" w:sz="6" w:space="0"/>
              <w:right w:val="single" w:color="808080" w:sz="6" w:space="0"/>
            </w:tcBorders>
            <w:tcW w:w="450" w:type="dxa"/>
            <w:vMerge w:val="restart"/>
            <w:textDirection w:val="tbRlV"/>
            <w:noWrap w:val="false"/>
          </w:tcPr>
          <w:p>
            <w:pPr>
              <w:pStyle w:val="863"/>
              <w:ind w:left="389"/>
              <w:spacing w:before="82" w:line="204" w:lineRule="auto"/>
              <w:rPr>
                <w:rFonts w:ascii="宋体" w:hAnsi="宋体" w:eastAsia="宋体" w:cs="宋体"/>
                <w:color w:val="000000"/>
                <w:lang w:eastAsia="en-US"/>
              </w:rPr>
            </w:pPr>
            <w:r>
              <w:rPr>
                <w:rFonts w:hint="eastAsia" w:ascii="宋体" w:hAnsi="宋体" w:eastAsia="宋体" w:cs="宋体"/>
                <w:color w:val="000000"/>
                <w:spacing w:val="45"/>
                <w:lang w:eastAsia="en-US"/>
              </w:rPr>
              <w:t xml:space="preserve">巡视车</w:t>
            </w:r>
            <w:r/>
          </w:p>
        </w:tc>
        <w:tc>
          <w:tcPr>
            <w:tcBorders>
              <w:top w:val="single" w:color="808080" w:sz="6" w:space="0"/>
              <w:left w:val="single" w:color="808080" w:sz="6" w:space="0"/>
              <w:bottom w:val="single" w:color="808080" w:sz="6" w:space="0"/>
              <w:right w:val="single" w:color="808080" w:sz="6" w:space="0"/>
            </w:tcBorders>
            <w:tcW w:w="457" w:type="dxa"/>
            <w:vMerge w:val="restart"/>
            <w:textDirection w:val="tbRlV"/>
            <w:noWrap w:val="false"/>
          </w:tcPr>
          <w:p>
            <w:pPr>
              <w:pStyle w:val="863"/>
              <w:ind w:left="389"/>
              <w:spacing w:before="90" w:line="204" w:lineRule="auto"/>
              <w:rPr>
                <w:rFonts w:ascii="宋体" w:hAnsi="宋体" w:eastAsia="宋体" w:cs="宋体"/>
                <w:color w:val="000000"/>
                <w:lang w:eastAsia="en-US"/>
              </w:rPr>
            </w:pPr>
            <w:r>
              <w:rPr>
                <w:rFonts w:hint="eastAsia" w:ascii="宋体" w:hAnsi="宋体" w:eastAsia="宋体" w:cs="宋体"/>
                <w:color w:val="000000"/>
                <w:spacing w:val="45"/>
                <w:lang w:eastAsia="en-US"/>
              </w:rPr>
              <w:t xml:space="preserve">登高车</w:t>
            </w:r>
            <w:r/>
          </w:p>
        </w:tc>
      </w:tr>
      <w:tr>
        <w:trPr>
          <w:trHeight w:val="957"/>
        </w:trPr>
        <w:tc>
          <w:tcPr>
            <w:tcBorders>
              <w:top w:val="single" w:color="000000" w:sz="6" w:space="0"/>
              <w:left w:val="single" w:color="000000" w:sz="6" w:space="0"/>
              <w:bottom w:val="single" w:color="000000" w:sz="6" w:space="0"/>
              <w:right w:val="single" w:color="000000" w:sz="6" w:space="0"/>
            </w:tcBorders>
            <w:tcW w:w="1688"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000000" w:sz="6" w:space="0"/>
              <w:left w:val="single" w:color="000000" w:sz="6" w:space="0"/>
              <w:bottom w:val="single" w:color="000000" w:sz="6" w:space="0"/>
              <w:right w:val="single" w:color="000000" w:sz="6" w:space="0"/>
            </w:tcBorders>
            <w:tcW w:w="1291"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000000" w:sz="6" w:space="0"/>
              <w:bottom w:val="single" w:color="808080" w:sz="6" w:space="0"/>
              <w:right w:val="single" w:color="808080" w:sz="6" w:space="0"/>
            </w:tcBorders>
            <w:tcW w:w="720"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720"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1305" w:type="dxa"/>
            <w:textDirection w:val="lrTb"/>
            <w:noWrap w:val="false"/>
          </w:tcPr>
          <w:p>
            <w:pPr>
              <w:spacing w:line="276"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90"/>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养护工人</w:t>
            </w:r>
            <w:r/>
          </w:p>
        </w:tc>
        <w:tc>
          <w:tcPr>
            <w:tcBorders>
              <w:top w:val="single" w:color="808080" w:sz="6" w:space="0"/>
              <w:left w:val="single" w:color="808080" w:sz="6" w:space="0"/>
              <w:bottom w:val="single" w:color="808080" w:sz="6" w:space="0"/>
              <w:right w:val="single" w:color="808080" w:sz="6" w:space="0"/>
            </w:tcBorders>
            <w:tcW w:w="719" w:type="dxa"/>
            <w:textDirection w:val="lrTb"/>
            <w:noWrap w:val="false"/>
          </w:tcPr>
          <w:p>
            <w:pPr>
              <w:pStyle w:val="863"/>
              <w:ind w:left="153"/>
              <w:spacing w:before="48" w:line="216" w:lineRule="auto"/>
              <w:rPr>
                <w:rFonts w:ascii="宋体" w:hAnsi="宋体" w:eastAsia="宋体" w:cs="宋体"/>
                <w:color w:val="000000"/>
                <w:lang w:eastAsia="en-US"/>
              </w:rPr>
            </w:pPr>
            <w:r>
              <w:rPr>
                <w:rFonts w:hint="eastAsia" w:ascii="宋体" w:hAnsi="宋体" w:eastAsia="宋体" w:cs="宋体"/>
                <w:color w:val="000000"/>
                <w:spacing w:val="-8"/>
                <w:lang w:eastAsia="en-US"/>
              </w:rPr>
              <w:t xml:space="preserve">固定</w:t>
            </w:r>
            <w:r/>
          </w:p>
          <w:p>
            <w:pPr>
              <w:pStyle w:val="863"/>
              <w:ind w:left="133"/>
              <w:spacing w:before="29"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保洁</w:t>
            </w:r>
            <w:r/>
          </w:p>
          <w:p>
            <w:pPr>
              <w:pStyle w:val="863"/>
              <w:ind w:left="134"/>
              <w:spacing w:before="29" w:line="204"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人员</w:t>
            </w:r>
            <w:r/>
          </w:p>
        </w:tc>
        <w:tc>
          <w:tcPr>
            <w:tcBorders>
              <w:top w:val="single" w:color="808080" w:sz="6" w:space="0"/>
              <w:left w:val="single" w:color="808080" w:sz="6" w:space="0"/>
              <w:bottom w:val="single" w:color="808080" w:sz="6" w:space="0"/>
              <w:right w:val="single" w:color="808080" w:sz="6" w:space="0"/>
            </w:tcBorders>
            <w:tcW w:w="465"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720"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450"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c>
          <w:tcPr>
            <w:tcBorders>
              <w:top w:val="single" w:color="808080" w:sz="6" w:space="0"/>
              <w:left w:val="single" w:color="808080" w:sz="6" w:space="0"/>
              <w:bottom w:val="single" w:color="808080" w:sz="6" w:space="0"/>
              <w:right w:val="single" w:color="808080" w:sz="6" w:space="0"/>
            </w:tcBorders>
            <w:tcW w:w="457" w:type="dxa"/>
            <w:vAlign w:val="center"/>
            <w:vMerge w:val="continue"/>
            <w:textDirection w:val="lrTb"/>
            <w:noWrap w:val="false"/>
          </w:tcPr>
          <w:p>
            <w:pPr>
              <w:jc w:val="left"/>
              <w:widowControl/>
              <w:rPr>
                <w:rFonts w:ascii="宋体" w:hAnsi="宋体" w:eastAsia="Times New Roman" w:cs="宋体"/>
                <w:color w:val="000000"/>
                <w:sz w:val="20"/>
                <w:szCs w:val="21"/>
                <w:lang w:eastAsia="en-US"/>
              </w:rPr>
            </w:pPr>
            <w:r>
              <w:rPr>
                <w:rFonts w:ascii="宋体" w:hAnsi="宋体" w:eastAsia="Times New Roman" w:cs="宋体"/>
                <w:color w:val="000000"/>
                <w:sz w:val="20"/>
                <w:szCs w:val="21"/>
                <w:lang w:eastAsia="en-US"/>
              </w:rPr>
            </w:r>
            <w:r/>
          </w:p>
        </w:tc>
      </w:tr>
      <w:tr>
        <w:trPr>
          <w:trHeight w:val="964"/>
        </w:trPr>
        <w:tc>
          <w:tcPr>
            <w:tcBorders>
              <w:top w:val="single" w:color="000000" w:sz="6" w:space="0"/>
              <w:left w:val="single" w:color="808080" w:sz="6" w:space="0"/>
              <w:bottom w:val="single" w:color="808080" w:sz="6" w:space="0"/>
              <w:right w:val="single" w:color="808080" w:sz="6" w:space="0"/>
            </w:tcBorders>
            <w:tcW w:w="1688" w:type="dxa"/>
            <w:textDirection w:val="lrTb"/>
            <w:noWrap w:val="false"/>
          </w:tcPr>
          <w:p>
            <w:pPr>
              <w:pStyle w:val="863"/>
              <w:ind w:left="129" w:right="108" w:firstLine="5"/>
              <w:spacing w:before="201" w:line="240"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官塘桥路、金</w:t>
            </w:r>
            <w:r>
              <w:rPr>
                <w:rFonts w:hint="eastAsia" w:ascii="宋体" w:hAnsi="宋体" w:eastAsia="宋体" w:cs="宋体"/>
                <w:color w:val="000000"/>
                <w:spacing w:val="4"/>
                <w:lang w:eastAsia="en-US"/>
              </w:rPr>
              <w:t xml:space="preserve"> </w:t>
            </w:r>
            <w:r>
              <w:rPr>
                <w:rFonts w:hint="eastAsia" w:ascii="宋体" w:hAnsi="宋体" w:eastAsia="宋体" w:cs="宋体"/>
                <w:color w:val="000000"/>
                <w:spacing w:val="-2"/>
                <w:lang w:eastAsia="en-US"/>
              </w:rPr>
              <w:t xml:space="preserve">桥大道</w:t>
            </w:r>
            <w:r/>
          </w:p>
        </w:tc>
        <w:tc>
          <w:tcPr>
            <w:tcBorders>
              <w:top w:val="single" w:color="000000" w:sz="6" w:space="0"/>
              <w:left w:val="single" w:color="808080" w:sz="6" w:space="0"/>
              <w:bottom w:val="single" w:color="808080" w:sz="6" w:space="0"/>
              <w:right w:val="single" w:color="808080" w:sz="6" w:space="0"/>
            </w:tcBorders>
            <w:tcW w:w="1291"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293"/>
              <w:spacing w:before="78"/>
              <w:rPr>
                <w:rFonts w:ascii="宋体" w:hAnsi="宋体" w:eastAsia="宋体" w:cs="宋体"/>
                <w:color w:val="000000"/>
                <w:lang w:eastAsia="en-US"/>
              </w:rPr>
            </w:pPr>
            <w:r>
              <w:rPr>
                <w:rFonts w:hint="eastAsia" w:ascii="宋体" w:hAnsi="宋体" w:eastAsia="宋体" w:cs="宋体"/>
                <w:color w:val="000000"/>
                <w:spacing w:val="-2"/>
                <w:lang w:eastAsia="en-US"/>
              </w:rPr>
              <w:t xml:space="preserve">267774</w:t>
            </w:r>
            <w:r/>
          </w:p>
        </w:tc>
        <w:tc>
          <w:tcPr>
            <w:tcBorders>
              <w:top w:val="single" w:color="808080" w:sz="6" w:space="0"/>
              <w:left w:val="single" w:color="808080" w:sz="6" w:space="0"/>
              <w:bottom w:val="single" w:color="808080" w:sz="6" w:space="0"/>
              <w:right w:val="single" w:color="808080" w:sz="6" w:space="0"/>
            </w:tcBorders>
            <w:tcW w:w="720"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41"/>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808080" w:sz="6" w:space="0"/>
              <w:left w:val="single" w:color="808080" w:sz="6" w:space="0"/>
              <w:bottom w:val="single" w:color="808080" w:sz="6" w:space="0"/>
              <w:right w:val="single" w:color="808080" w:sz="6" w:space="0"/>
            </w:tcBorders>
            <w:tcW w:w="720"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42"/>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808080" w:sz="6" w:space="0"/>
              <w:left w:val="single" w:color="808080" w:sz="6" w:space="0"/>
              <w:bottom w:val="single" w:color="808080" w:sz="6" w:space="0"/>
              <w:right w:val="single" w:color="808080" w:sz="6" w:space="0"/>
            </w:tcBorders>
            <w:tcW w:w="1305" w:type="dxa"/>
            <w:textDirection w:val="lrTb"/>
            <w:noWrap w:val="false"/>
          </w:tcPr>
          <w:p>
            <w:pPr>
              <w:pStyle w:val="863"/>
              <w:ind w:left="147"/>
              <w:spacing w:before="51" w:line="216" w:lineRule="auto"/>
              <w:rPr>
                <w:rFonts w:ascii="宋体" w:hAnsi="宋体" w:eastAsia="宋体" w:cs="宋体"/>
                <w:color w:val="000000"/>
                <w:lang w:eastAsia="zh-CN"/>
              </w:rPr>
            </w:pPr>
            <w:r>
              <w:rPr>
                <w:rFonts w:hint="eastAsia" w:ascii="宋体" w:hAnsi="宋体" w:eastAsia="宋体" w:cs="宋体"/>
                <w:color w:val="000000"/>
                <w:spacing w:val="-21"/>
                <w:lang w:eastAsia="zh-CN"/>
              </w:rPr>
              <w:t xml:space="preserve">19（至少含</w:t>
            </w:r>
            <w:r/>
          </w:p>
          <w:p>
            <w:pPr>
              <w:pStyle w:val="863"/>
              <w:ind w:left="338" w:right="147" w:hanging="148"/>
              <w:spacing w:before="28" w:line="220" w:lineRule="auto"/>
              <w:rPr>
                <w:rFonts w:ascii="宋体" w:hAnsi="宋体" w:eastAsia="宋体" w:cs="宋体"/>
                <w:color w:val="000000"/>
                <w:lang w:eastAsia="zh-CN"/>
              </w:rPr>
            </w:pPr>
            <w:r>
              <w:rPr>
                <w:rFonts w:hint="eastAsia" w:ascii="宋体" w:hAnsi="宋体" w:eastAsia="宋体" w:cs="宋体"/>
                <w:color w:val="000000"/>
                <w:spacing w:val="-3"/>
                <w:lang w:eastAsia="zh-CN"/>
              </w:rPr>
              <w:t xml:space="preserve">技术工人</w:t>
            </w:r>
            <w:r>
              <w:rPr>
                <w:rFonts w:hint="eastAsia" w:ascii="宋体" w:hAnsi="宋体" w:eastAsia="宋体" w:cs="宋体"/>
                <w:color w:val="000000"/>
                <w:spacing w:val="2"/>
                <w:lang w:eastAsia="zh-CN"/>
              </w:rPr>
              <w:t xml:space="preserve"> </w:t>
            </w:r>
            <w:r>
              <w:rPr>
                <w:rFonts w:hint="eastAsia" w:ascii="宋体" w:hAnsi="宋体" w:eastAsia="宋体" w:cs="宋体"/>
                <w:color w:val="000000"/>
                <w:spacing w:val="-8"/>
                <w:lang w:eastAsia="zh-CN"/>
              </w:rPr>
              <w:t xml:space="preserve">4</w:t>
            </w:r>
            <w:r>
              <w:rPr>
                <w:rFonts w:hint="eastAsia" w:ascii="宋体" w:hAnsi="宋体" w:eastAsia="宋体" w:cs="宋体"/>
                <w:color w:val="000000"/>
                <w:spacing w:val="-48"/>
                <w:lang w:eastAsia="zh-CN"/>
              </w:rPr>
              <w:t xml:space="preserve"> </w:t>
            </w:r>
            <w:r>
              <w:rPr>
                <w:rFonts w:hint="eastAsia" w:ascii="宋体" w:hAnsi="宋体" w:eastAsia="宋体" w:cs="宋体"/>
                <w:color w:val="000000"/>
                <w:spacing w:val="-8"/>
                <w:lang w:eastAsia="zh-CN"/>
              </w:rPr>
              <w:t xml:space="preserve">人）</w:t>
            </w:r>
            <w:r/>
          </w:p>
        </w:tc>
        <w:tc>
          <w:tcPr>
            <w:tcBorders>
              <w:top w:val="single" w:color="808080" w:sz="6" w:space="0"/>
              <w:left w:val="single" w:color="808080" w:sz="6" w:space="0"/>
              <w:bottom w:val="single" w:color="808080" w:sz="6" w:space="0"/>
              <w:right w:val="single" w:color="808080" w:sz="6" w:space="0"/>
            </w:tcBorders>
            <w:tcW w:w="719" w:type="dxa"/>
            <w:textDirection w:val="lrTb"/>
            <w:noWrap w:val="false"/>
          </w:tcPr>
          <w:p>
            <w:pPr>
              <w:spacing w:line="280"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255"/>
              <w:spacing w:before="78"/>
              <w:rPr>
                <w:rFonts w:ascii="宋体" w:hAnsi="宋体" w:eastAsia="宋体" w:cs="宋体"/>
                <w:color w:val="000000"/>
                <w:lang w:eastAsia="en-US"/>
              </w:rPr>
            </w:pPr>
            <w:r>
              <w:rPr>
                <w:rFonts w:hint="eastAsia" w:ascii="宋体" w:hAnsi="宋体" w:eastAsia="宋体" w:cs="宋体"/>
                <w:color w:val="000000"/>
                <w:spacing w:val="-4"/>
                <w:lang w:eastAsia="en-US"/>
              </w:rPr>
              <w:t xml:space="preserve">20</w:t>
            </w:r>
            <w:r/>
          </w:p>
        </w:tc>
        <w:tc>
          <w:tcPr>
            <w:tcBorders>
              <w:top w:val="single" w:color="808080" w:sz="6" w:space="0"/>
              <w:left w:val="single" w:color="808080" w:sz="6" w:space="0"/>
              <w:bottom w:val="single" w:color="808080" w:sz="6" w:space="0"/>
              <w:right w:val="single" w:color="808080" w:sz="6" w:space="0"/>
            </w:tcBorders>
            <w:tcW w:w="465"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97"/>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808080" w:sz="6" w:space="0"/>
              <w:left w:val="single" w:color="808080" w:sz="6" w:space="0"/>
              <w:bottom w:val="single" w:color="808080" w:sz="6" w:space="0"/>
              <w:right w:val="single" w:color="808080" w:sz="6" w:space="0"/>
            </w:tcBorders>
            <w:tcW w:w="720"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333"/>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808080" w:sz="6" w:space="0"/>
              <w:left w:val="single" w:color="808080" w:sz="6" w:space="0"/>
              <w:bottom w:val="single" w:color="808080" w:sz="6" w:space="0"/>
              <w:right w:val="single" w:color="808080" w:sz="6" w:space="0"/>
            </w:tcBorders>
            <w:tcW w:w="450"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98"/>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c>
          <w:tcPr>
            <w:tcBorders>
              <w:top w:val="single" w:color="808080" w:sz="6" w:space="0"/>
              <w:left w:val="single" w:color="808080" w:sz="6" w:space="0"/>
              <w:bottom w:val="single" w:color="808080" w:sz="6" w:space="0"/>
              <w:right w:val="single" w:color="808080" w:sz="6" w:space="0"/>
            </w:tcBorders>
            <w:tcW w:w="457" w:type="dxa"/>
            <w:textDirection w:val="lrTb"/>
            <w:noWrap w:val="false"/>
          </w:tcPr>
          <w:p>
            <w:pPr>
              <w:spacing w:line="280"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199"/>
              <w:spacing w:before="78"/>
              <w:rPr>
                <w:rFonts w:ascii="宋体" w:hAnsi="宋体" w:eastAsia="宋体" w:cs="宋体"/>
                <w:color w:val="000000"/>
                <w:lang w:eastAsia="en-US"/>
              </w:rPr>
            </w:pPr>
            <w:r>
              <w:rPr>
                <w:rFonts w:hint="eastAsia" w:ascii="宋体" w:hAnsi="宋体" w:eastAsia="宋体" w:cs="宋体"/>
                <w:color w:val="000000"/>
                <w:lang w:eastAsia="en-US"/>
              </w:rPr>
              <w:t xml:space="preserve">1</w:t>
            </w:r>
            <w:r/>
          </w:p>
        </w:tc>
      </w:tr>
    </w:tbl>
    <w:p>
      <w:pPr>
        <w:pStyle w:val="832"/>
        <w:ind w:left="505"/>
        <w:spacing w:before="274" w:line="216" w:lineRule="auto"/>
        <w:rPr>
          <w:rFonts w:ascii="宋体" w:hAnsi="宋体" w:eastAsia="宋体" w:cs="宋体"/>
          <w:color w:val="000000"/>
          <w:sz w:val="24"/>
          <w:szCs w:val="24"/>
          <w:lang w:eastAsia="en-US"/>
        </w:rPr>
      </w:pPr>
      <w:r>
        <w:rPr>
          <w:rFonts w:hint="eastAsia" w:ascii="宋体" w:hAnsi="宋体" w:eastAsia="宋体" w:cs="宋体"/>
          <w:spacing w:val="-8"/>
          <w:sz w:val="24"/>
          <w:szCs w:val="24"/>
        </w:rPr>
        <w:t xml:space="preserve">注①人员要求：</w:t>
      </w:r>
      <w:r/>
    </w:p>
    <w:p>
      <w:pPr>
        <w:pStyle w:val="832"/>
        <w:ind w:left="28" w:right="306" w:firstLine="470"/>
        <w:spacing w:before="258" w:line="228" w:lineRule="auto"/>
        <w:rPr>
          <w:rFonts w:ascii="宋体" w:hAnsi="宋体" w:eastAsia="宋体" w:cs="宋体"/>
          <w:sz w:val="24"/>
          <w:szCs w:val="24"/>
        </w:rPr>
      </w:pPr>
      <w:r>
        <w:rPr>
          <w:rFonts w:hint="eastAsia" w:ascii="宋体" w:hAnsi="宋体" w:eastAsia="宋体" w:cs="宋体"/>
          <w:spacing w:val="-2"/>
          <w:sz w:val="24"/>
          <w:szCs w:val="24"/>
        </w:rPr>
        <w:t xml:space="preserve">A.保洁人员对半轮岗，必须保证作业时段内</w:t>
      </w:r>
      <w:r>
        <w:rPr>
          <w:rFonts w:hint="eastAsia" w:ascii="宋体" w:hAnsi="宋体" w:eastAsia="宋体" w:cs="宋体"/>
          <w:spacing w:val="-3"/>
          <w:sz w:val="24"/>
          <w:szCs w:val="24"/>
        </w:rPr>
        <w:t xml:space="preserve">任何时候均有</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 xml:space="preserve">10</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 xml:space="preserve">人同时在岗，</w:t>
      </w:r>
      <w:r>
        <w:rPr>
          <w:rFonts w:hint="eastAsia" w:ascii="宋体" w:hAnsi="宋体" w:eastAsia="宋体" w:cs="宋体"/>
          <w:spacing w:val="-6"/>
          <w:sz w:val="24"/>
          <w:szCs w:val="24"/>
        </w:rPr>
        <w:t xml:space="preserve">总数应有</w:t>
      </w:r>
      <w:r>
        <w:rPr>
          <w:rFonts w:hint="eastAsia" w:ascii="宋体" w:hAnsi="宋体" w:eastAsia="宋体" w:cs="宋体"/>
          <w:spacing w:val="-47"/>
          <w:sz w:val="24"/>
          <w:szCs w:val="24"/>
        </w:rPr>
        <w:t xml:space="preserve"> </w:t>
      </w:r>
      <w:r>
        <w:rPr>
          <w:rFonts w:hint="eastAsia" w:ascii="宋体" w:hAnsi="宋体" w:eastAsia="宋体" w:cs="宋体"/>
          <w:spacing w:val="-6"/>
          <w:sz w:val="24"/>
          <w:szCs w:val="24"/>
        </w:rPr>
        <w:t xml:space="preserve">20</w:t>
      </w:r>
      <w:r>
        <w:rPr>
          <w:rFonts w:hint="eastAsia" w:ascii="宋体" w:hAnsi="宋体" w:eastAsia="宋体" w:cs="宋体"/>
          <w:spacing w:val="-48"/>
          <w:sz w:val="24"/>
          <w:szCs w:val="24"/>
        </w:rPr>
        <w:t xml:space="preserve"> </w:t>
      </w:r>
      <w:r>
        <w:rPr>
          <w:rFonts w:hint="eastAsia" w:ascii="宋体" w:hAnsi="宋体" w:eastAsia="宋体" w:cs="宋体"/>
          <w:spacing w:val="-6"/>
          <w:sz w:val="24"/>
          <w:szCs w:val="24"/>
        </w:rPr>
        <w:t xml:space="preserve">人。</w:t>
      </w:r>
      <w:r/>
    </w:p>
    <w:p>
      <w:pPr>
        <w:pStyle w:val="832"/>
        <w:ind w:left="26" w:right="225" w:firstLine="474"/>
        <w:spacing w:before="269" w:line="228"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B.项目负责人、现场负责人、技术工人</w:t>
      </w:r>
      <w:r>
        <w:rPr>
          <w:rFonts w:hint="eastAsia" w:ascii="宋体" w:hAnsi="宋体" w:eastAsia="宋体" w:cs="宋体"/>
          <w:color w:val="auto"/>
          <w:spacing w:val="-3"/>
          <w:sz w:val="24"/>
          <w:szCs w:val="24"/>
          <w:highlight w:val="none"/>
        </w:rPr>
        <w:t xml:space="preserve">和驾驶员必须具备近</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3"/>
          <w:sz w:val="24"/>
          <w:szCs w:val="24"/>
          <w:highlight w:val="none"/>
        </w:rPr>
        <w:t xml:space="preserve">半年内任意一个月</w:t>
      </w:r>
      <w:r>
        <w:rPr>
          <w:rFonts w:hint="eastAsia" w:ascii="宋体" w:hAnsi="宋体" w:eastAsia="宋体" w:cs="宋体"/>
          <w:color w:val="auto"/>
          <w:sz w:val="24"/>
          <w:szCs w:val="24"/>
          <w:highlight w:val="none"/>
        </w:rPr>
        <w:t xml:space="preserve">社保情况证明单，养护工人、保洁人员必须具备</w:t>
      </w:r>
      <w:r>
        <w:rPr>
          <w:rFonts w:hint="eastAsia" w:ascii="宋体" w:hAnsi="宋体" w:eastAsia="宋体" w:cs="宋体"/>
          <w:color w:val="auto"/>
          <w:spacing w:val="-1"/>
          <w:sz w:val="24"/>
          <w:szCs w:val="24"/>
          <w:highlight w:val="none"/>
        </w:rPr>
        <w:t xml:space="preserve">近半年内任意一个月</w:t>
      </w:r>
      <w:r>
        <w:rPr>
          <w:rFonts w:hint="eastAsia" w:ascii="宋体" w:hAnsi="宋体" w:eastAsia="宋体" w:cs="宋体"/>
          <w:color w:val="auto"/>
          <w:spacing w:val="-2"/>
          <w:sz w:val="24"/>
          <w:szCs w:val="24"/>
          <w:highlight w:val="none"/>
        </w:rPr>
        <w:t xml:space="preserve">社保</w:t>
      </w:r>
      <w:r>
        <w:rPr>
          <w:rFonts w:hint="eastAsia" w:ascii="宋体" w:hAnsi="宋体" w:eastAsia="宋体" w:cs="宋体"/>
          <w:spacing w:val="-2"/>
          <w:sz w:val="24"/>
          <w:szCs w:val="24"/>
          <w:highlight w:val="none"/>
        </w:rPr>
        <w:t xml:space="preserve">情况证明单或企业为其购买的不低于</w:t>
      </w:r>
      <w:r>
        <w:rPr>
          <w:rFonts w:hint="eastAsia" w:ascii="宋体" w:hAnsi="宋体" w:eastAsia="宋体" w:cs="宋体"/>
          <w:spacing w:val="-47"/>
          <w:sz w:val="24"/>
          <w:szCs w:val="24"/>
          <w:highlight w:val="none"/>
        </w:rPr>
        <w:t xml:space="preserve"> </w:t>
      </w:r>
      <w:r>
        <w:rPr>
          <w:rFonts w:hint="eastAsia" w:ascii="宋体" w:hAnsi="宋体" w:eastAsia="宋体" w:cs="宋体"/>
          <w:spacing w:val="-2"/>
          <w:sz w:val="24"/>
          <w:szCs w:val="24"/>
          <w:highlight w:val="none"/>
        </w:rPr>
        <w:t xml:space="preserve">80</w:t>
      </w:r>
      <w:r>
        <w:rPr>
          <w:rFonts w:hint="eastAsia" w:ascii="宋体" w:hAnsi="宋体" w:eastAsia="宋体" w:cs="宋体"/>
          <w:spacing w:val="-45"/>
          <w:sz w:val="24"/>
          <w:szCs w:val="24"/>
          <w:highlight w:val="none"/>
        </w:rPr>
        <w:t xml:space="preserve"> </w:t>
      </w:r>
      <w:r>
        <w:rPr>
          <w:rFonts w:hint="eastAsia" w:ascii="宋体" w:hAnsi="宋体" w:eastAsia="宋体" w:cs="宋体"/>
          <w:spacing w:val="-2"/>
          <w:sz w:val="24"/>
          <w:szCs w:val="24"/>
          <w:highlight w:val="none"/>
        </w:rPr>
        <w:t xml:space="preserve">万意外险保单。</w:t>
      </w:r>
      <w:r/>
    </w:p>
    <w:p>
      <w:pPr>
        <w:pStyle w:val="832"/>
        <w:ind w:left="27" w:right="230" w:firstLine="476"/>
        <w:spacing w:before="254" w:line="228"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C.由劳务派遣公司缴纳社保的需提供投标人与劳务派遣公司签订的合同（合</w:t>
      </w:r>
      <w:r>
        <w:rPr>
          <w:rFonts w:hint="eastAsia" w:ascii="宋体" w:hAnsi="宋体" w:eastAsia="宋体" w:cs="宋体"/>
          <w:sz w:val="24"/>
          <w:szCs w:val="24"/>
          <w:highlight w:val="none"/>
        </w:rPr>
        <w:t xml:space="preserve">同内需包含有本项目拟投入人员名单）、2025年投标</w:t>
      </w:r>
      <w:r>
        <w:rPr>
          <w:rFonts w:hint="eastAsia" w:ascii="宋体" w:hAnsi="宋体" w:eastAsia="宋体" w:cs="宋体"/>
          <w:spacing w:val="-1"/>
          <w:sz w:val="24"/>
          <w:szCs w:val="24"/>
          <w:highlight w:val="none"/>
        </w:rPr>
        <w:t xml:space="preserve">人根据合同支付给该劳务</w:t>
      </w:r>
      <w:r>
        <w:rPr>
          <w:rFonts w:hint="eastAsia" w:ascii="宋体" w:hAnsi="宋体" w:eastAsia="宋体" w:cs="宋体"/>
          <w:spacing w:val="-2"/>
          <w:sz w:val="24"/>
          <w:szCs w:val="24"/>
          <w:highlight w:val="none"/>
        </w:rPr>
        <w:t xml:space="preserve">派遣公司费用的发票、社保缴纳证明材料。</w:t>
      </w:r>
      <w:r/>
    </w:p>
    <w:p>
      <w:pPr>
        <w:pStyle w:val="832"/>
        <w:ind w:left="503"/>
        <w:spacing w:before="272" w:line="216" w:lineRule="auto"/>
        <w:rPr>
          <w:rFonts w:ascii="宋体" w:hAnsi="宋体" w:eastAsia="宋体" w:cs="宋体"/>
          <w:sz w:val="24"/>
          <w:szCs w:val="24"/>
          <w:highlight w:val="none"/>
        </w:rPr>
      </w:pPr>
      <w:r>
        <w:rPr>
          <w:rFonts w:hint="eastAsia" w:ascii="宋体" w:hAnsi="宋体" w:eastAsia="宋体" w:cs="宋体"/>
          <w:spacing w:val="-9"/>
          <w:sz w:val="24"/>
          <w:szCs w:val="24"/>
          <w:highlight w:val="none"/>
        </w:rPr>
        <w:t xml:space="preserve">②车辆要求：</w:t>
      </w:r>
      <w:r/>
    </w:p>
    <w:p>
      <w:pPr>
        <w:pStyle w:val="832"/>
        <w:ind w:left="26" w:right="223" w:firstLine="472"/>
        <w:spacing w:before="273" w:line="228" w:lineRule="auto"/>
        <w:rPr>
          <w:rFonts w:ascii="宋体" w:hAnsi="宋体" w:eastAsia="宋体" w:cs="宋体"/>
          <w:sz w:val="24"/>
          <w:szCs w:val="24"/>
          <w:highlight w:val="none"/>
        </w:rPr>
      </w:pPr>
      <w:r>
        <w:rPr>
          <w:rFonts w:hint="eastAsia" w:ascii="宋体" w:hAnsi="宋体" w:eastAsia="宋体" w:cs="宋体"/>
          <w:spacing w:val="-9"/>
          <w:sz w:val="24"/>
          <w:szCs w:val="24"/>
          <w:highlight w:val="none"/>
        </w:rPr>
        <w:t xml:space="preserve">A.洒水车（核定载质量≥4500kg）、</w:t>
      </w:r>
      <w:r>
        <w:rPr>
          <w:rFonts w:hint="eastAsia" w:ascii="宋体" w:hAnsi="宋体" w:eastAsia="宋体" w:cs="宋体"/>
          <w:spacing w:val="-10"/>
          <w:sz w:val="24"/>
          <w:szCs w:val="24"/>
          <w:highlight w:val="none"/>
        </w:rPr>
        <w:t xml:space="preserve">垃圾清运卡车（核定载质量≥3000</w:t>
      </w:r>
      <w:r>
        <w:rPr>
          <w:rFonts w:hint="eastAsia" w:ascii="宋体" w:hAnsi="宋体" w:eastAsia="宋体" w:cs="宋体"/>
          <w:spacing w:val="-52"/>
          <w:sz w:val="24"/>
          <w:szCs w:val="24"/>
          <w:highlight w:val="none"/>
        </w:rPr>
        <w:t xml:space="preserve"> </w:t>
      </w:r>
      <w:r>
        <w:rPr>
          <w:rFonts w:hint="eastAsia" w:ascii="宋体" w:hAnsi="宋体" w:eastAsia="宋体" w:cs="宋体"/>
          <w:spacing w:val="-10"/>
          <w:sz w:val="24"/>
          <w:szCs w:val="24"/>
          <w:highlight w:val="none"/>
        </w:rPr>
        <w:t xml:space="preserve">kg）、</w:t>
      </w:r>
      <w:r>
        <w:rPr>
          <w:rFonts w:hint="eastAsia" w:ascii="宋体" w:hAnsi="宋体" w:eastAsia="宋体" w:cs="宋体"/>
          <w:spacing w:val="-3"/>
          <w:sz w:val="24"/>
          <w:szCs w:val="24"/>
          <w:highlight w:val="none"/>
        </w:rPr>
        <w:t xml:space="preserve">巡视车必须是企业或企业法人自有，须提供车辆行驶证、购车发票、车辆（含车牌号）照片，登高车可以是企业或企业法人自有，也可由企业租赁，租赁须提供</w:t>
      </w:r>
      <w:r>
        <w:rPr>
          <w:rFonts w:hint="eastAsia" w:ascii="宋体" w:hAnsi="宋体" w:eastAsia="宋体" w:cs="宋体"/>
          <w:spacing w:val="-7"/>
          <w:sz w:val="24"/>
          <w:szCs w:val="24"/>
          <w:highlight w:val="none"/>
        </w:rPr>
        <w:t xml:space="preserve">租赁协议。</w:t>
      </w:r>
      <w:r/>
    </w:p>
    <w:p>
      <w:pPr>
        <w:pStyle w:val="832"/>
        <w:ind w:left="28" w:right="55" w:firstLine="472"/>
        <w:spacing w:before="48"/>
        <w:rPr>
          <w:rFonts w:ascii="宋体" w:hAnsi="宋体" w:eastAsia="宋体" w:cs="宋体"/>
          <w:sz w:val="24"/>
          <w:szCs w:val="24"/>
        </w:rPr>
      </w:pPr>
      <w:r>
        <w:rPr>
          <w:rFonts w:hint="eastAsia" w:ascii="宋体" w:hAnsi="宋体" w:eastAsia="宋体" w:cs="宋体"/>
          <w:spacing w:val="-8"/>
          <w:sz w:val="24"/>
          <w:szCs w:val="24"/>
          <w:highlight w:val="none"/>
        </w:rPr>
        <w:t xml:space="preserve">B.投标人需具有</w:t>
      </w:r>
      <w:r>
        <w:rPr>
          <w:rFonts w:ascii="宋体" w:hAnsi="宋体" w:eastAsia="宋体" w:cs="宋体"/>
          <w:b w:val="0"/>
          <w:bCs w:val="0"/>
          <w:spacing w:val="-8"/>
          <w:sz w:val="24"/>
          <w:szCs w:val="24"/>
          <w:highlight w:val="none"/>
        </w:rPr>
        <w:t xml:space="preserve">2021</w:t>
      </w:r>
      <w:r>
        <w:rPr>
          <w:rFonts w:hint="eastAsia" w:ascii="宋体" w:hAnsi="宋体" w:eastAsia="宋体" w:cs="宋体"/>
          <w:b w:val="0"/>
          <w:bCs w:val="0"/>
          <w:spacing w:val="-8"/>
          <w:sz w:val="24"/>
          <w:szCs w:val="24"/>
          <w:highlight w:val="none"/>
        </w:rPr>
        <w:t xml:space="preserve">年</w:t>
      </w:r>
      <w:r>
        <w:rPr>
          <w:rFonts w:hint="eastAsia" w:ascii="宋体" w:hAnsi="宋体" w:eastAsia="宋体" w:cs="宋体"/>
          <w:spacing w:val="-8"/>
          <w:sz w:val="24"/>
          <w:szCs w:val="24"/>
          <w:highlight w:val="none"/>
        </w:rPr>
        <w:t xml:space="preserve">后自购的树叶（树桠）粉碎机、制式绿篱修剪车（自</w:t>
      </w:r>
      <w:r>
        <w:rPr>
          <w:rFonts w:hint="eastAsia" w:ascii="宋体" w:hAnsi="宋体" w:eastAsia="宋体" w:cs="宋体"/>
          <w:spacing w:val="-1"/>
          <w:sz w:val="24"/>
          <w:szCs w:val="24"/>
          <w:highlight w:val="none"/>
        </w:rPr>
        <w:t xml:space="preserve">走式绿篱修剪机）、推式喷雾机</w:t>
      </w:r>
      <w:r>
        <w:rPr>
          <w:rFonts w:hint="eastAsia" w:ascii="宋体" w:hAnsi="宋体" w:eastAsia="宋体" w:cs="宋体"/>
          <w:spacing w:val="-1"/>
          <w:sz w:val="24"/>
          <w:szCs w:val="24"/>
        </w:rPr>
        <w:t xml:space="preserve">、高枝油锯、草坪打孔机等机械设备。</w:t>
      </w:r>
      <w:r/>
    </w:p>
    <w:p>
      <w:pPr>
        <w:pStyle w:val="832"/>
        <w:ind w:left="28" w:right="74" w:firstLine="475"/>
        <w:spacing w:before="235" w:line="220" w:lineRule="auto"/>
        <w:rPr>
          <w:rFonts w:ascii="宋体" w:hAnsi="宋体" w:eastAsia="宋体" w:cs="宋体"/>
          <w:sz w:val="24"/>
          <w:szCs w:val="24"/>
        </w:rPr>
      </w:pPr>
      <w:r>
        <w:rPr>
          <w:rFonts w:hint="eastAsia" w:ascii="宋体" w:hAnsi="宋体" w:eastAsia="宋体" w:cs="宋体"/>
          <w:b/>
          <w:bCs/>
          <w:sz w:val="24"/>
          <w:szCs w:val="24"/>
        </w:rPr>
        <w:t xml:space="preserve">③A.养护工人、固定保洁人员、技术工人不满足招标文件最</w:t>
      </w:r>
      <w:r>
        <w:rPr>
          <w:rFonts w:hint="eastAsia" w:ascii="宋体" w:hAnsi="宋体" w:eastAsia="宋体" w:cs="宋体"/>
          <w:b/>
          <w:bCs/>
          <w:spacing w:val="-1"/>
          <w:sz w:val="24"/>
          <w:szCs w:val="24"/>
        </w:rPr>
        <w:t xml:space="preserve">低人数要求的</w:t>
      </w:r>
      <w:r>
        <w:rPr>
          <w:rFonts w:hint="eastAsia" w:ascii="宋体" w:hAnsi="宋体" w:eastAsia="宋体" w:cs="宋体"/>
          <w:b/>
          <w:bCs/>
          <w:spacing w:val="1"/>
          <w:sz w:val="24"/>
          <w:szCs w:val="24"/>
        </w:rPr>
        <w:t xml:space="preserve">投标为无效投标；</w:t>
      </w:r>
      <w:r/>
    </w:p>
    <w:p>
      <w:pPr>
        <w:pStyle w:val="832"/>
        <w:ind w:left="26" w:right="74" w:firstLine="474"/>
        <w:spacing w:before="270" w:line="228" w:lineRule="auto"/>
        <w:rPr>
          <w:rFonts w:ascii="宋体" w:hAnsi="宋体" w:eastAsia="宋体" w:cs="宋体"/>
          <w:sz w:val="24"/>
          <w:szCs w:val="24"/>
        </w:rPr>
      </w:pPr>
      <w:r>
        <w:rPr>
          <w:rFonts w:hint="eastAsia" w:ascii="宋体" w:hAnsi="宋体" w:eastAsia="宋体" w:cs="宋体"/>
          <w:b/>
          <w:bCs/>
          <w:sz w:val="24"/>
          <w:szCs w:val="24"/>
        </w:rPr>
        <w:t xml:space="preserve">B.项目负责人、现场负责人不满足招标文件中要求的数量和职称要</w:t>
      </w:r>
      <w:r>
        <w:rPr>
          <w:rFonts w:hint="eastAsia" w:ascii="宋体" w:hAnsi="宋体" w:eastAsia="宋体" w:cs="宋体"/>
          <w:b/>
          <w:bCs/>
          <w:spacing w:val="-1"/>
          <w:sz w:val="24"/>
          <w:szCs w:val="24"/>
        </w:rPr>
        <w:t xml:space="preserve">求的投</w:t>
      </w:r>
      <w:r>
        <w:rPr>
          <w:rFonts w:hint="eastAsia" w:ascii="宋体" w:hAnsi="宋体" w:eastAsia="宋体" w:cs="宋体"/>
          <w:b/>
          <w:bCs/>
          <w:spacing w:val="-2"/>
          <w:sz w:val="24"/>
          <w:szCs w:val="24"/>
        </w:rPr>
        <w:t xml:space="preserve">标为无效投标；</w:t>
      </w:r>
      <w:r/>
    </w:p>
    <w:p>
      <w:pPr>
        <w:pStyle w:val="832"/>
        <w:ind w:left="27" w:right="75" w:firstLine="476"/>
        <w:spacing w:before="267" w:line="228" w:lineRule="auto"/>
        <w:rPr>
          <w:rFonts w:ascii="宋体" w:hAnsi="宋体" w:eastAsia="宋体" w:cs="宋体"/>
          <w:sz w:val="24"/>
          <w:szCs w:val="24"/>
        </w:rPr>
      </w:pPr>
      <w:r>
        <w:rPr>
          <w:rFonts w:hint="eastAsia" w:ascii="宋体" w:hAnsi="宋体" w:eastAsia="宋体" w:cs="宋体"/>
          <w:b/>
          <w:bCs/>
          <w:sz w:val="24"/>
          <w:szCs w:val="24"/>
        </w:rPr>
        <w:t xml:space="preserve">C.洒水车、垃圾清运车、巡视车数量、规格不满足招标文</w:t>
      </w:r>
      <w:r>
        <w:rPr>
          <w:rFonts w:hint="eastAsia" w:ascii="宋体" w:hAnsi="宋体" w:eastAsia="宋体" w:cs="宋体"/>
          <w:b/>
          <w:bCs/>
          <w:spacing w:val="-1"/>
          <w:sz w:val="24"/>
          <w:szCs w:val="24"/>
        </w:rPr>
        <w:t xml:space="preserve">件中车辆配备要</w:t>
      </w:r>
      <w:r>
        <w:rPr>
          <w:rFonts w:hint="eastAsia" w:ascii="宋体" w:hAnsi="宋体" w:eastAsia="宋体" w:cs="宋体"/>
          <w:b/>
          <w:bCs/>
          <w:sz w:val="24"/>
          <w:szCs w:val="24"/>
        </w:rPr>
        <w:t xml:space="preserve">求的投标为无效投标。</w:t>
      </w:r>
      <w:r/>
    </w:p>
    <w:p>
      <w:pPr>
        <w:pStyle w:val="832"/>
        <w:ind w:left="587"/>
        <w:spacing w:before="91" w:line="216" w:lineRule="auto"/>
        <w:rPr>
          <w:rFonts w:ascii="宋体" w:hAnsi="宋体" w:eastAsia="宋体" w:cs="宋体"/>
          <w:szCs w:val="28"/>
        </w:rPr>
      </w:pPr>
      <w:r>
        <w:rPr>
          <w:rFonts w:hint="eastAsia" w:ascii="宋体" w:hAnsi="宋体" w:eastAsia="宋体" w:cs="宋体"/>
          <w:b/>
          <w:bCs/>
          <w:spacing w:val="2"/>
          <w:szCs w:val="28"/>
        </w:rPr>
        <w:t xml:space="preserve">二、质量及服务要求</w:t>
      </w:r>
      <w:r/>
    </w:p>
    <w:p>
      <w:pPr>
        <w:ind w:firstLine="480"/>
        <w:spacing w:line="360" w:lineRule="auto"/>
        <w:rPr>
          <w:rFonts w:ascii="宋体" w:hAnsi="宋体" w:cs="宋体"/>
          <w:sz w:val="24"/>
        </w:rPr>
      </w:pPr>
      <w:r>
        <w:rPr>
          <w:rFonts w:hint="eastAsia" w:ascii="宋体" w:hAnsi="宋体" w:cs="宋体"/>
          <w:sz w:val="24"/>
        </w:rPr>
        <w:t xml:space="preserve">1、项目进场前在镇江市市区（含丹徒新区）范围内就近设立交通便捷、建筑面积不少于100㎡的项目管理部一处（具备小型会议室）和不少于300 ㎡养护人员休息、养护车辆设备停放、机具设备存储的场所；项目管理部管理人员按 要求到位到岗，并于项目进场前进驻项目部办公。每日实际上岗工人数不得低于招标书规定的基数。进场养护两周内将养护工人的身份证复印件交给采购人备案，如需更换养护工人须经采购人同意后方可实施，每年养护工人流动率控制在 15%内。</w:t>
      </w:r>
      <w:r/>
    </w:p>
    <w:p>
      <w:pPr>
        <w:ind w:firstLine="480"/>
        <w:spacing w:line="360" w:lineRule="auto"/>
        <w:rPr>
          <w:rFonts w:ascii="宋体" w:hAnsi="宋体" w:cs="宋体"/>
          <w:sz w:val="24"/>
        </w:rPr>
      </w:pPr>
      <w:r>
        <w:rPr>
          <w:rFonts w:hint="eastAsia" w:ascii="宋体" w:hAnsi="宋体" w:cs="宋体"/>
          <w:sz w:val="24"/>
        </w:rPr>
        <w:t xml:space="preserve">2、接到采购人通知后，按招标书中关于专业养护车辆的要求，将巡视车1辆配备到位，保证该车用于本项目的日常巡视以及检查考核。</w:t>
      </w:r>
      <w:r/>
    </w:p>
    <w:p>
      <w:pPr>
        <w:ind w:firstLine="480"/>
        <w:spacing w:line="360" w:lineRule="auto"/>
        <w:rPr>
          <w:rFonts w:ascii="宋体" w:hAnsi="宋体" w:cs="宋体"/>
          <w:sz w:val="24"/>
        </w:rPr>
      </w:pPr>
      <w:r>
        <w:rPr>
          <w:rFonts w:hint="eastAsia" w:ascii="宋体" w:hAnsi="宋体" w:cs="宋体"/>
          <w:sz w:val="24"/>
        </w:rPr>
        <w:t xml:space="preserve">3、接到采购人通知后，按招标书中关于专业养护车辆的要求，将标配洒水车、卡车足额配备到位，涂刷统一标志，如违约愿意接受采购人处罚。保证上述车辆专用于本项目的绿化养护，并做好设备维护更新管理工作，确保设备外观整洁、性能良好。</w:t>
      </w:r>
      <w:r/>
    </w:p>
    <w:p>
      <w:pPr>
        <w:ind w:firstLine="480"/>
        <w:spacing w:line="360" w:lineRule="auto"/>
        <w:rPr>
          <w:rFonts w:ascii="宋体" w:hAnsi="宋体" w:cs="宋体"/>
          <w:sz w:val="24"/>
        </w:rPr>
      </w:pPr>
      <w:r>
        <w:rPr>
          <w:rFonts w:hint="eastAsia" w:ascii="宋体" w:hAnsi="宋体" w:cs="宋体"/>
          <w:sz w:val="24"/>
        </w:rPr>
        <w:t xml:space="preserve">4、接到采购人通知后，人员统一着装上岗，全天候作业，着装干净整洁。</w:t>
      </w:r>
      <w:r/>
    </w:p>
    <w:p>
      <w:pPr>
        <w:ind w:firstLine="480"/>
        <w:spacing w:line="360" w:lineRule="auto"/>
        <w:rPr>
          <w:rFonts w:ascii="宋体" w:hAnsi="宋体" w:cs="宋体"/>
          <w:sz w:val="24"/>
        </w:rPr>
      </w:pPr>
      <w:r>
        <w:rPr>
          <w:rFonts w:hint="eastAsia" w:ascii="宋体" w:hAnsi="宋体" w:cs="宋体"/>
          <w:sz w:val="24"/>
        </w:rPr>
        <w:t xml:space="preserve">5、专人负责养护台账资料的制作、管理，确保台账资料记录详细，分类清 楚、数据详实。建立养护范围内绿化苗木数据库，根据实际情况进行动态更新。</w:t>
      </w:r>
      <w:r/>
    </w:p>
    <w:p>
      <w:pPr>
        <w:ind w:firstLine="480"/>
        <w:spacing w:line="360" w:lineRule="auto"/>
        <w:rPr>
          <w:rFonts w:ascii="宋体" w:hAnsi="宋体" w:cs="宋体"/>
          <w:sz w:val="24"/>
        </w:rPr>
      </w:pPr>
      <w:r>
        <w:rPr>
          <w:rFonts w:hint="eastAsia" w:ascii="宋体" w:hAnsi="宋体" w:cs="宋体"/>
          <w:sz w:val="24"/>
        </w:rPr>
        <w:t xml:space="preserve">6、植物出现死亡，及时报告采购人，24 小时内处置完毕。按照采购人要 求在规定的时间内保质保量补植到位，并确保成活。</w:t>
      </w:r>
      <w:r/>
    </w:p>
    <w:p>
      <w:pPr>
        <w:ind w:firstLine="480"/>
        <w:spacing w:line="360" w:lineRule="auto"/>
        <w:rPr>
          <w:rFonts w:ascii="宋体" w:hAnsi="宋体" w:cs="宋体"/>
          <w:sz w:val="24"/>
        </w:rPr>
      </w:pPr>
      <w:r>
        <w:rPr>
          <w:rFonts w:hint="eastAsia" w:ascii="宋体" w:hAnsi="宋体" w:cs="宋体"/>
          <w:sz w:val="24"/>
        </w:rPr>
        <w:t xml:space="preserve">7、投标前已落实专人，对养护范围内所有的植物、设施已现场踏勘、调查 清楚，对数量和现状无疑义。</w:t>
      </w:r>
      <w:r/>
    </w:p>
    <w:p>
      <w:pPr>
        <w:ind w:firstLine="480"/>
        <w:spacing w:line="360" w:lineRule="auto"/>
        <w:rPr>
          <w:rFonts w:ascii="宋体" w:hAnsi="宋体" w:cs="宋体"/>
          <w:sz w:val="24"/>
        </w:rPr>
      </w:pPr>
      <w:r>
        <w:rPr>
          <w:rFonts w:hint="eastAsia" w:ascii="宋体" w:hAnsi="宋体" w:cs="宋体"/>
          <w:sz w:val="24"/>
        </w:rPr>
        <w:t xml:space="preserve">8、做好病虫害防治工作，对一些发生较为严重、防治难度较大的病虫害， 严格按照采购人制定的防治方案进行防治。</w:t>
      </w:r>
      <w:r/>
    </w:p>
    <w:p>
      <w:pPr>
        <w:ind w:firstLine="480"/>
        <w:spacing w:line="360" w:lineRule="auto"/>
        <w:rPr>
          <w:rFonts w:ascii="宋体" w:hAnsi="宋体" w:cs="宋体"/>
          <w:sz w:val="24"/>
        </w:rPr>
      </w:pPr>
      <w:r>
        <w:rPr>
          <w:rFonts w:hint="eastAsia" w:ascii="宋体" w:hAnsi="宋体" w:cs="宋体"/>
          <w:sz w:val="24"/>
        </w:rPr>
        <w:t xml:space="preserve">9、养护期内将按标准对行道树进行冬季修剪，日常疏剪。通过修剪保证树 冠通风透光、树型优美，修剪后上不挂各类线路、下不妨碍交通、旁不影响建筑。加强日常检查，及时清除枯枝危膀、空中挂枝。</w:t>
      </w:r>
      <w:r/>
    </w:p>
    <w:p>
      <w:pPr>
        <w:ind w:firstLine="480"/>
        <w:spacing w:line="360" w:lineRule="auto"/>
        <w:rPr>
          <w:rFonts w:ascii="宋体" w:hAnsi="宋体" w:cs="宋体"/>
          <w:sz w:val="24"/>
        </w:rPr>
      </w:pPr>
      <w:r>
        <w:rPr>
          <w:rFonts w:hint="eastAsia" w:ascii="宋体" w:hAnsi="宋体" w:cs="宋体"/>
          <w:sz w:val="24"/>
        </w:rPr>
        <w:t xml:space="preserve">10、养护过程中，采取周密的安全措施，以避免对人身和财产的损害。作业时设立安全防护警示标志并加强对工人安全防范的教育。做好项目内安全防范工作，充分考虑各种潜在风险，包括工人的意外伤害防范以及操作不当、养护不当（如蛀干害虫未及时防治引起枝条砸落）或管理不善而造成人身伤害或财产损失。上述问题一旦发生，均由中标人负责处理解决，所发生的费用（包括赔偿费用）均由中标人承担。</w:t>
      </w:r>
      <w:r/>
    </w:p>
    <w:p>
      <w:pPr>
        <w:ind w:firstLine="480"/>
        <w:spacing w:line="360" w:lineRule="auto"/>
        <w:rPr>
          <w:rFonts w:ascii="宋体" w:hAnsi="宋体" w:cs="宋体"/>
          <w:sz w:val="24"/>
        </w:rPr>
      </w:pPr>
      <w:r>
        <w:rPr>
          <w:rFonts w:hint="eastAsia" w:ascii="宋体" w:hAnsi="宋体" w:cs="宋体"/>
          <w:sz w:val="24"/>
        </w:rPr>
        <w:t xml:space="preserve">11、加强对水表、电表、供水供电系统、喷灌系统的维护管理，发生费用由中标人承担。</w:t>
      </w:r>
      <w:r/>
    </w:p>
    <w:p>
      <w:pPr>
        <w:ind w:firstLine="480"/>
        <w:spacing w:line="360" w:lineRule="auto"/>
        <w:rPr>
          <w:rFonts w:ascii="宋体" w:hAnsi="宋体" w:cs="宋体"/>
          <w:sz w:val="24"/>
        </w:rPr>
      </w:pPr>
      <w:r>
        <w:rPr>
          <w:rFonts w:hint="eastAsia" w:ascii="宋体" w:hAnsi="宋体" w:cs="宋体"/>
          <w:sz w:val="24"/>
        </w:rPr>
        <w:t xml:space="preserve">12、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b w:val="0"/>
          <w:bCs w:val="0"/>
          <w:sz w:val="24"/>
          <w:szCs w:val="24"/>
          <w:highlight w:val="none"/>
        </w:rPr>
        <w:t xml:space="preserve">养护车辆统一根据采购人要求</w:t>
      </w:r>
      <w:r>
        <w:rPr>
          <w:rFonts w:hint="eastAsia" w:ascii="宋体" w:hAnsi="宋体" w:cs="宋体"/>
          <w:sz w:val="24"/>
          <w:highlight w:val="none"/>
        </w:rPr>
        <w:t xml:space="preserve">安装行车记录仪、GPS（或北斗）定位系统。GPS（或北斗）定位系统需配合发包人接入指定平台，行车记录仪视频需保存3个月以上。以上费用包含在综合单价内，发包人不另行计量。</w:t>
      </w:r>
      <w:r/>
    </w:p>
    <w:p>
      <w:pPr>
        <w:ind w:firstLine="480"/>
        <w:spacing w:line="360" w:lineRule="auto"/>
        <w:rPr>
          <w:rFonts w:ascii="宋体" w:hAnsi="宋体" w:cs="宋体"/>
          <w:sz w:val="24"/>
        </w:rPr>
      </w:pPr>
      <w:r>
        <w:rPr>
          <w:rFonts w:hint="eastAsia" w:ascii="宋体" w:hAnsi="宋体" w:cs="宋体"/>
          <w:sz w:val="24"/>
        </w:rPr>
        <w:t xml:space="preserve">14、接到采购人通知后，进场开展养护工作；进场后 3 个月内与移交单位办理完毕相关移交手续；在养护期满后 3 个月内与接收单位办理完毕相关移交手续。</w:t>
      </w:r>
      <w:r/>
    </w:p>
    <w:p>
      <w:pPr>
        <w:ind w:firstLine="480"/>
        <w:spacing w:line="360" w:lineRule="auto"/>
        <w:rPr>
          <w:rFonts w:ascii="宋体" w:hAnsi="宋体" w:cs="宋体"/>
          <w:sz w:val="24"/>
        </w:rPr>
      </w:pPr>
      <w:r>
        <w:rPr>
          <w:rFonts w:hint="eastAsia" w:ascii="宋体" w:hAnsi="宋体" w:cs="宋体"/>
          <w:sz w:val="24"/>
        </w:rPr>
        <w:t xml:space="preserve">15、造型景观树的修剪须由盆景中级工（含）以上专业人员负责养护。</w:t>
      </w:r>
      <w:r/>
    </w:p>
    <w:p>
      <w:pPr>
        <w:ind w:firstLine="480"/>
        <w:spacing w:line="360" w:lineRule="auto"/>
        <w:rPr>
          <w:rFonts w:ascii="宋体" w:hAnsi="宋体" w:cs="宋体"/>
          <w:sz w:val="24"/>
        </w:rPr>
      </w:pPr>
      <w:r>
        <w:rPr>
          <w:rFonts w:hint="eastAsia" w:ascii="宋体" w:hAnsi="宋体" w:cs="宋体"/>
          <w:sz w:val="24"/>
        </w:rPr>
        <w:t xml:space="preserve">16、绿地巡查全天候24小时，无重大破坏和偷盗案件，如遇重大事件及时上报，未及时上报而造成的损失由投标人承担。</w:t>
      </w:r>
      <w:r/>
    </w:p>
    <w:p>
      <w:pPr>
        <w:ind w:firstLine="480"/>
        <w:spacing w:line="360" w:lineRule="auto"/>
        <w:rPr>
          <w:rFonts w:ascii="宋体" w:hAnsi="宋体" w:cs="宋体"/>
          <w:sz w:val="24"/>
        </w:rPr>
      </w:pPr>
      <w:r>
        <w:rPr>
          <w:rFonts w:hint="eastAsia" w:ascii="宋体" w:hAnsi="宋体" w:cs="宋体"/>
          <w:sz w:val="24"/>
        </w:rPr>
        <w:t xml:space="preserve">17、清理空洞法桐、香樟内的垃圾、腐烂木屑等，并进行防虫、防腐处理。</w:t>
      </w:r>
      <w:r/>
    </w:p>
    <w:p>
      <w:pPr>
        <w:ind w:firstLine="480"/>
        <w:spacing w:line="360" w:lineRule="auto"/>
        <w:rPr>
          <w:rFonts w:ascii="宋体" w:hAnsi="宋体" w:cs="宋体"/>
          <w:sz w:val="24"/>
        </w:rPr>
      </w:pPr>
      <w:r>
        <w:rPr>
          <w:rFonts w:hint="eastAsia" w:ascii="宋体" w:hAnsi="宋体" w:cs="宋体"/>
          <w:sz w:val="24"/>
        </w:rPr>
        <w:t xml:space="preserve">18、严格按照要求，编制年度草花种植计划和每季种植方案，种植方案经采购人确认后实施。</w:t>
      </w:r>
      <w:r/>
    </w:p>
    <w:p>
      <w:pPr>
        <w:ind w:firstLine="480"/>
        <w:spacing w:line="360" w:lineRule="auto"/>
        <w:rPr>
          <w:rFonts w:ascii="宋体" w:hAnsi="宋体" w:cs="宋体"/>
          <w:sz w:val="24"/>
        </w:rPr>
      </w:pPr>
      <w:r>
        <w:rPr>
          <w:rFonts w:hint="eastAsia" w:ascii="宋体" w:hAnsi="宋体" w:cs="宋体"/>
          <w:sz w:val="24"/>
        </w:rPr>
        <w:t xml:space="preserve">19、草花使用F1代品种，营养钵苗，生长健壮、色彩鲜艳，一般种植密度至少达到 64 株/平方米，确保种植后黄土不裸露。</w:t>
      </w:r>
      <w:r/>
    </w:p>
    <w:p>
      <w:pPr>
        <w:ind w:firstLine="480"/>
        <w:spacing w:line="360" w:lineRule="auto"/>
        <w:rPr>
          <w:rFonts w:ascii="宋体" w:hAnsi="宋体" w:cs="宋体"/>
          <w:sz w:val="24"/>
        </w:rPr>
      </w:pPr>
      <w:r>
        <w:rPr>
          <w:rFonts w:hint="eastAsia" w:ascii="宋体" w:hAnsi="宋体" w:cs="宋体"/>
          <w:sz w:val="24"/>
        </w:rPr>
        <w:t xml:space="preserve">20、由于雨水冲刷、积水或者人为踩踏、偷盗等原因造成的草花腐烂或者缺损等，由中标人自行进行补植，补植的草花品种原则上同种植品种一致，确保补植质量。</w:t>
      </w:r>
      <w:r/>
    </w:p>
    <w:p>
      <w:pPr>
        <w:ind w:firstLine="480"/>
        <w:spacing w:line="252" w:lineRule="auto"/>
        <w:rPr>
          <w:rFonts w:ascii="宋体" w:hAnsi="宋体" w:cs="宋体"/>
          <w:sz w:val="24"/>
          <w:szCs w:val="32"/>
          <w:highlight w:val="none"/>
        </w:rPr>
      </w:pPr>
      <w:r>
        <w:rPr>
          <w:rFonts w:hint="eastAsia" w:ascii="宋体" w:hAnsi="宋体" w:cs="宋体"/>
          <w:sz w:val="24"/>
          <w:szCs w:val="32"/>
          <w:highlight w:val="none"/>
        </w:rPr>
        <w:t xml:space="preserve">21、合同期结束，中标人须配合采购人与新中标单位办理交接，否则发包人有权扣除履约保证金。</w:t>
      </w:r>
      <w:r/>
    </w:p>
    <w:p>
      <w:pPr>
        <w:pStyle w:val="832"/>
        <w:ind w:left="582"/>
        <w:spacing w:before="91" w:line="216" w:lineRule="auto"/>
        <w:rPr>
          <w:rFonts w:ascii="宋体" w:hAnsi="宋体" w:eastAsia="宋体" w:cs="宋体"/>
          <w:szCs w:val="28"/>
        </w:rPr>
      </w:pPr>
      <w:r>
        <w:rPr>
          <w:rFonts w:hint="eastAsia" w:ascii="宋体" w:hAnsi="宋体" w:eastAsia="宋体" w:cs="宋体"/>
          <w:b/>
          <w:bCs/>
          <w:spacing w:val="5"/>
          <w:szCs w:val="28"/>
        </w:rPr>
        <w:t xml:space="preserve">三、报价要求</w:t>
      </w:r>
      <w:r/>
    </w:p>
    <w:p>
      <w:pPr>
        <w:ind w:firstLine="480"/>
        <w:spacing w:line="360" w:lineRule="auto"/>
        <w:rPr>
          <w:rFonts w:ascii="宋体" w:hAnsi="宋体" w:cs="宋体"/>
          <w:sz w:val="24"/>
        </w:rPr>
      </w:pPr>
      <w:r>
        <w:rPr>
          <w:rFonts w:hint="eastAsia" w:ascii="宋体" w:hAnsi="宋体" w:cs="宋体"/>
          <w:sz w:val="24"/>
        </w:rPr>
        <w:t xml:space="preserve">1、本项目反对不正当竞争（恶意低价或哄抬高价）。投标人需提供分项报 价明细表和收支预算分析表，并配合养护方案说明经费计算的合理性。如投标报价明显低于成本，而投标人又不能作出合理说明及提供相关证明材料的，其投标将被拒绝。</w:t>
      </w:r>
      <w:r/>
    </w:p>
    <w:p>
      <w:pPr>
        <w:ind w:firstLine="480"/>
        <w:spacing w:line="360" w:lineRule="auto"/>
        <w:rPr>
          <w:rFonts w:ascii="宋体" w:hAnsi="宋体" w:cs="宋体"/>
          <w:sz w:val="24"/>
        </w:rPr>
      </w:pPr>
      <w:r>
        <w:rPr>
          <w:rFonts w:hint="eastAsia" w:ascii="宋体" w:hAnsi="宋体" w:cs="宋体"/>
          <w:sz w:val="24"/>
        </w:rPr>
        <w:t xml:space="preserve">2、投标人养护作业人数安排不得低于业主人数要求，每一台机动车配备一 个驾驶员，在项目实施过程中，采购人不会就作业人数增补而增加合同总额。</w:t>
      </w:r>
      <w:r/>
    </w:p>
    <w:p>
      <w:pPr>
        <w:ind w:firstLine="480"/>
        <w:spacing w:line="360" w:lineRule="auto"/>
        <w:rPr>
          <w:rFonts w:ascii="宋体" w:hAnsi="宋体" w:cs="宋体"/>
          <w:sz w:val="24"/>
        </w:rPr>
      </w:pPr>
      <w:r>
        <w:rPr>
          <w:rFonts w:hint="eastAsia" w:ascii="宋体" w:hAnsi="宋体" w:cs="宋体"/>
          <w:sz w:val="24"/>
        </w:rPr>
        <w:t xml:space="preserve">3、如遇创卫、创文明城市、大气污染防控、上级检查等重大活动、节假日期间，中标人必须无条件完成针对招标作业范围下达的临时任务，采购人不再支付任何费用。</w:t>
      </w:r>
      <w:r/>
    </w:p>
    <w:p>
      <w:pPr>
        <w:ind w:firstLine="480"/>
        <w:spacing w:line="360" w:lineRule="auto"/>
        <w:rPr>
          <w:rFonts w:ascii="宋体" w:hAnsi="宋体" w:cs="宋体"/>
          <w:sz w:val="24"/>
        </w:rPr>
      </w:pPr>
      <w:r>
        <w:rPr>
          <w:rFonts w:hint="eastAsia" w:ascii="宋体" w:hAnsi="宋体" w:cs="宋体"/>
          <w:sz w:val="24"/>
        </w:rPr>
        <w:t xml:space="preserve">4、本项目各标段养护人员工资不得低于同期镇江市最低工资标准，加每人 每月228元的岗位津贴；另加高温补助每人每月 300 元（每年4个月），其他待遇（劳保、休息休假加班工资等）应符合劳动、社保等各类法律法规的相关规定。</w:t>
      </w:r>
      <w:r/>
    </w:p>
    <w:p>
      <w:pPr>
        <w:ind w:firstLine="480"/>
        <w:spacing w:line="360" w:lineRule="auto"/>
        <w:rPr>
          <w:rFonts w:ascii="宋体" w:hAnsi="宋体" w:cs="宋体"/>
          <w:sz w:val="24"/>
        </w:rPr>
      </w:pPr>
      <w:r>
        <w:rPr>
          <w:rFonts w:hint="eastAsia" w:ascii="宋体" w:hAnsi="宋体" w:cs="宋体"/>
          <w:sz w:val="24"/>
        </w:rPr>
        <w:t xml:space="preserve">5、人员社会统筹保险每人不得低于 1181.48元/月。</w:t>
      </w:r>
      <w:r/>
    </w:p>
    <w:p>
      <w:pPr>
        <w:ind w:firstLine="480"/>
        <w:spacing w:line="360" w:lineRule="auto"/>
        <w:rPr>
          <w:rFonts w:ascii="宋体" w:hAnsi="宋体" w:cs="宋体"/>
          <w:sz w:val="24"/>
        </w:rPr>
      </w:pPr>
      <w:r>
        <w:rPr>
          <w:rFonts w:hint="eastAsia" w:ascii="宋体" w:hAnsi="宋体" w:cs="宋体"/>
          <w:sz w:val="24"/>
        </w:rPr>
        <w:t xml:space="preserve">6、劳保费用不得低于 200 元/人·年，工具及服装每年每人不得低于600 元。</w:t>
      </w:r>
      <w:r/>
    </w:p>
    <w:p>
      <w:pPr>
        <w:ind w:firstLine="480"/>
        <w:spacing w:line="360" w:lineRule="auto"/>
        <w:rPr>
          <w:rFonts w:ascii="宋体" w:hAnsi="宋体" w:cs="宋体"/>
          <w:sz w:val="24"/>
        </w:rPr>
      </w:pPr>
      <w:r>
        <w:rPr>
          <w:rFonts w:hint="eastAsia" w:ascii="宋体" w:hAnsi="宋体" w:cs="宋体"/>
          <w:sz w:val="24"/>
        </w:rPr>
        <w:t xml:space="preserve">7、主要机械化作业车辆均需安装智能化作业监管系统，价格为2000元/年 （包含在投标报价中）。</w:t>
      </w:r>
      <w:r/>
    </w:p>
    <w:p>
      <w:pPr>
        <w:ind w:firstLine="480"/>
        <w:spacing w:line="360" w:lineRule="auto"/>
        <w:rPr>
          <w:rFonts w:ascii="宋体" w:hAnsi="宋体" w:cs="宋体"/>
          <w:sz w:val="24"/>
        </w:rPr>
      </w:pPr>
      <w:r>
        <w:rPr>
          <w:rFonts w:hint="eastAsia" w:ascii="宋体" w:hAnsi="宋体" w:cs="宋体"/>
          <w:sz w:val="24"/>
        </w:rPr>
        <w:t xml:space="preserve">8、投标人应根据本项目的规模及工作难度，按照招标文件中确定或给出的 相关工作内容和要求，计算投标报价。总报价包括但不限于：人员工资（含社会保险费、福利费、劳保用品费用等）、设备燃油、磨损、维修等设备设施费、养 护工作服费、养护工具费、养护材料费（肥料等）、承包人管理费(含工作人员 意外保险费、事故处理费、资料费、公证费等)、税金、利润等一切费用。</w:t>
      </w:r>
      <w:r/>
    </w:p>
    <w:p>
      <w:pPr>
        <w:ind w:firstLine="480"/>
        <w:spacing w:line="360" w:lineRule="auto"/>
        <w:rPr>
          <w:rFonts w:ascii="宋体" w:hAnsi="宋体" w:cs="宋体"/>
          <w:sz w:val="24"/>
        </w:rPr>
      </w:pPr>
      <w:r>
        <w:rPr>
          <w:rFonts w:hint="eastAsia" w:ascii="宋体" w:hAnsi="宋体" w:cs="宋体"/>
          <w:sz w:val="24"/>
        </w:rPr>
        <w:t xml:space="preserve">9、中标人在合同期内，除采购范围调整外，均由投标人自行承担（如遇物价上涨、政策性调资等情况）报价风险，中标价即为合同价，采购人按合同规定 支付直至合同期止。</w:t>
      </w:r>
      <w:r/>
    </w:p>
    <w:p>
      <w:pPr>
        <w:ind w:firstLine="480"/>
        <w:spacing w:line="360" w:lineRule="auto"/>
        <w:rPr>
          <w:rFonts w:ascii="宋体" w:hAnsi="宋体" w:cs="宋体"/>
          <w:sz w:val="24"/>
        </w:rPr>
      </w:pPr>
      <w:r>
        <w:rPr>
          <w:rFonts w:hint="eastAsia" w:ascii="宋体" w:hAnsi="宋体" w:cs="宋体"/>
          <w:sz w:val="24"/>
        </w:rPr>
        <w:t xml:space="preserve">10、作业服务费按一年计算，各项费用的报价均以年为时间单位。投标报价一律以人民币为货币单位。</w:t>
      </w:r>
      <w:r/>
    </w:p>
    <w:p>
      <w:pPr>
        <w:ind w:firstLine="480"/>
        <w:spacing w:line="360" w:lineRule="auto"/>
        <w:rPr>
          <w:rFonts w:hint="eastAsia" w:ascii="宋体" w:hAnsi="宋体" w:cs="宋体"/>
          <w:sz w:val="24"/>
        </w:rPr>
      </w:pPr>
      <w:r>
        <w:rPr>
          <w:rFonts w:hint="eastAsia" w:ascii="宋体" w:hAnsi="宋体" w:cs="宋体"/>
          <w:sz w:val="24"/>
        </w:rPr>
        <w:t xml:space="preserve">11、投标人应作出承诺：已充分考虑各风险因素（包括市场波动、政府规费、工资保险政策性上调、材料设备调整等），如造成费用增减，投标总价不做 调整。合同期间政策性调资合同价不作调整。</w:t>
      </w:r>
      <w:r/>
    </w:p>
    <w:p>
      <w:pPr>
        <w:ind w:firstLine="480"/>
        <w:spacing w:line="360" w:lineRule="auto"/>
        <w:rPr>
          <w:rFonts w:hint="default" w:ascii="宋体" w:hAnsi="宋体" w:eastAsia="宋体" w:cs="宋体"/>
          <w:color w:val="0000ff"/>
          <w:sz w:val="24"/>
          <w:lang w:val="en-US" w:eastAsia="zh-CN"/>
        </w:rPr>
      </w:pPr>
      <w:r>
        <w:rPr>
          <w:rFonts w:hint="eastAsia" w:ascii="宋体" w:hAnsi="宋体" w:cs="宋体"/>
          <w:color w:val="0000ff"/>
          <w:sz w:val="24"/>
          <w:lang w:val="en-US" w:eastAsia="zh-CN"/>
        </w:rPr>
        <w:t xml:space="preserve">12、清单中绿化补植项目为单价类项目，单价类项目缺陷责任期1年（自养护期满计算）。</w:t>
      </w:r>
      <w:r/>
    </w:p>
    <w:p>
      <w:pPr>
        <w:pStyle w:val="825"/>
      </w:pPr>
      <w:r/>
      <w:bookmarkStart w:id="213" w:name="_Toc209020155"/>
      <w:r>
        <w:rPr>
          <w:rFonts w:hint="eastAsia"/>
        </w:rPr>
        <w:t xml:space="preserve">四、绿化养护的质量标准和要求</w:t>
      </w:r>
      <w:bookmarkEnd w:id="213"/>
      <w:r/>
      <w:r/>
    </w:p>
    <w:p>
      <w:pPr>
        <w:ind w:firstLine="480"/>
        <w:spacing w:line="360" w:lineRule="auto"/>
        <w:rPr>
          <w:rFonts w:ascii="宋体" w:hAnsi="宋体" w:cs="宋体"/>
          <w:sz w:val="24"/>
          <w:szCs w:val="32"/>
        </w:rPr>
      </w:pPr>
      <w:r>
        <w:rPr>
          <w:rFonts w:hint="eastAsia" w:ascii="宋体" w:hAnsi="宋体" w:cs="宋体"/>
          <w:sz w:val="24"/>
          <w:szCs w:val="32"/>
        </w:rPr>
        <w:t xml:space="preserve">1、绿地养护质量标准：《江苏省城市园林绿化养护管理规范及分级标准》</w:t>
      </w:r>
      <w:r/>
    </w:p>
    <w:p>
      <w:pPr>
        <w:ind w:firstLine="480"/>
        <w:spacing w:line="360" w:lineRule="auto"/>
        <w:rPr>
          <w:rFonts w:ascii="宋体" w:hAnsi="宋体" w:cs="宋体"/>
          <w:sz w:val="24"/>
          <w:szCs w:val="32"/>
        </w:rPr>
      </w:pPr>
      <w:r>
        <w:rPr>
          <w:rFonts w:hint="eastAsia" w:ascii="宋体" w:hAnsi="宋体" w:cs="宋体"/>
          <w:sz w:val="24"/>
          <w:szCs w:val="32"/>
        </w:rPr>
        <w:t xml:space="preserve">2、绿地、行道树日常养护的一般标准</w:t>
      </w:r>
      <w:r/>
    </w:p>
    <w:p>
      <w:pPr>
        <w:ind w:firstLine="480"/>
        <w:spacing w:line="360" w:lineRule="auto"/>
        <w:rPr>
          <w:rFonts w:ascii="宋体" w:hAnsi="宋体" w:cs="宋体"/>
          <w:sz w:val="24"/>
          <w:szCs w:val="32"/>
        </w:rPr>
      </w:pPr>
      <w:r>
        <w:rPr>
          <w:rFonts w:hint="eastAsia" w:ascii="宋体" w:hAnsi="宋体" w:cs="宋体"/>
          <w:sz w:val="24"/>
          <w:szCs w:val="32"/>
        </w:rPr>
        <w:t xml:space="preserve">按照《江苏省城市园林绿化养护管理规范及分级标准》的要求，绿地养护应 做到：</w:t>
      </w:r>
      <w:r/>
    </w:p>
    <w:p>
      <w:pPr>
        <w:ind w:firstLine="480"/>
        <w:spacing w:line="360" w:lineRule="auto"/>
        <w:rPr>
          <w:rFonts w:ascii="宋体" w:hAnsi="宋体" w:cs="宋体"/>
          <w:sz w:val="24"/>
          <w:szCs w:val="32"/>
        </w:rPr>
      </w:pPr>
      <w:r>
        <w:rPr>
          <w:rFonts w:hint="eastAsia" w:ascii="宋体" w:hAnsi="宋体" w:cs="宋体"/>
          <w:sz w:val="24"/>
          <w:szCs w:val="32"/>
        </w:rPr>
        <w:t xml:space="preserve">（1）绿地中的乔木、灌木、花卉、藤</w:t>
      </w:r>
      <w:r>
        <w:rPr>
          <w:rFonts w:hint="eastAsia" w:ascii="宋体" w:hAnsi="宋体" w:cs="宋体"/>
          <w:sz w:val="24"/>
          <w:szCs w:val="32"/>
        </w:rPr>
        <w:t xml:space="preserve">本和攀缘、地被和草坪等植物，凡经 栽植成活一年以上的其保存率均应达到 98％（行道树保存率为 100%，疏林工程移除的苗木不纳入统计范围）。植物生长健壮，群落结构合理，青枝绿叶、无死 树、无缺株；修剪合理，树型优美、叶茂花盛；花卉地被栽植符合指标，无裸露地、草坪无空秃；病虫杂草控制良好，无大型杂草及缠绕、攀援性杂草、无明显病虫危害迹象，控制病虫害危害率达标。保持绿地设施完好无损，并有良  好的景观面貌。景观道路沿线绿地挡土墙因车辆撞击等各种因素破损、残缺的，事故发生后或事故现场清理后 24 小时内需修复。</w:t>
      </w:r>
      <w:r/>
    </w:p>
    <w:p>
      <w:pPr>
        <w:ind w:firstLine="480"/>
        <w:spacing w:line="360" w:lineRule="auto"/>
        <w:rPr>
          <w:rFonts w:ascii="宋体" w:hAnsi="宋体" w:cs="宋体"/>
          <w:sz w:val="24"/>
          <w:szCs w:val="32"/>
        </w:rPr>
      </w:pPr>
      <w:r>
        <w:rPr>
          <w:rFonts w:hint="eastAsia" w:ascii="宋体" w:hAnsi="宋体" w:cs="宋体"/>
          <w:sz w:val="24"/>
          <w:szCs w:val="32"/>
        </w:rPr>
        <w:t xml:space="preserve">（2）行道树修剪、剥芽符合技术规程，长势良好，有良好的群体效果：一 条道路同一品种分枝点基本相同。无缺株、死株；树木倾斜度不超过 10 度；无 断桩、坏桩，桩位绑扎规范化；基本无病虫害危害迹象；有防台措施。</w:t>
      </w:r>
      <w:r/>
    </w:p>
    <w:p>
      <w:pPr>
        <w:ind w:firstLine="480"/>
        <w:spacing w:line="360" w:lineRule="auto"/>
        <w:rPr>
          <w:rFonts w:ascii="宋体" w:hAnsi="宋体" w:cs="宋体"/>
          <w:sz w:val="24"/>
          <w:szCs w:val="32"/>
        </w:rPr>
      </w:pPr>
      <w:r>
        <w:rPr>
          <w:rFonts w:hint="eastAsia" w:ascii="宋体" w:hAnsi="宋体" w:cs="宋体"/>
          <w:sz w:val="24"/>
          <w:szCs w:val="32"/>
        </w:rPr>
        <w:t xml:space="preserve">（3）养护项目内在日常养护中发生绿化苗木抽稀、调整和改善土质等工作，是正常的养护内容。</w:t>
      </w:r>
      <w:r/>
    </w:p>
    <w:p>
      <w:pPr>
        <w:ind w:firstLine="480"/>
        <w:spacing w:line="360" w:lineRule="auto"/>
        <w:rPr>
          <w:rFonts w:ascii="宋体" w:hAnsi="宋体" w:cs="宋体"/>
          <w:sz w:val="24"/>
          <w:szCs w:val="32"/>
        </w:rPr>
      </w:pPr>
      <w:r>
        <w:rPr>
          <w:rFonts w:hint="eastAsia" w:ascii="宋体" w:hAnsi="宋体" w:cs="宋体"/>
          <w:sz w:val="24"/>
          <w:szCs w:val="32"/>
        </w:rPr>
        <w:t xml:space="preserve">（4）道路绿化隔离带植物叶面喷水除尘，春秋季每天早晨 1 次、夏季每天早晚各 1 次、冬季中午前后 1 次，雨天及冬季冰冻日除外。</w:t>
      </w:r>
      <w:r/>
    </w:p>
    <w:p>
      <w:pPr>
        <w:ind w:firstLine="480"/>
        <w:spacing w:line="360" w:lineRule="auto"/>
        <w:rPr>
          <w:rFonts w:ascii="宋体" w:hAnsi="宋体" w:cs="宋体"/>
          <w:sz w:val="24"/>
          <w:szCs w:val="32"/>
        </w:rPr>
      </w:pPr>
      <w:r>
        <w:rPr>
          <w:rFonts w:hint="eastAsia" w:ascii="宋体" w:hAnsi="宋体" w:cs="宋体"/>
          <w:sz w:val="24"/>
          <w:szCs w:val="32"/>
        </w:rPr>
        <w:t xml:space="preserve">（5）绿地内园路、小品等硬质铺装及构筑物的保养及零星维修，其中木（铁）质每年不少于 1 次油漆。绿地附属栏杆保持完好、完整，每年油漆 1 次。</w:t>
      </w:r>
      <w:r/>
    </w:p>
    <w:p>
      <w:pPr>
        <w:ind w:firstLine="480"/>
        <w:spacing w:line="360" w:lineRule="auto"/>
        <w:rPr>
          <w:rFonts w:ascii="宋体" w:hAnsi="宋体" w:cs="宋体"/>
          <w:sz w:val="24"/>
          <w:szCs w:val="32"/>
        </w:rPr>
      </w:pPr>
      <w:r>
        <w:rPr>
          <w:rFonts w:hint="eastAsia" w:ascii="宋体" w:hAnsi="宋体" w:cs="宋体"/>
          <w:sz w:val="24"/>
          <w:szCs w:val="32"/>
        </w:rPr>
        <w:t xml:space="preserve">（6）日常保洁养护内业资料齐全，做到有计划、有记录、有统计、并且资料与实际养护情况相符。</w:t>
      </w:r>
      <w:r/>
    </w:p>
    <w:p>
      <w:pPr>
        <w:ind w:firstLine="480"/>
        <w:spacing w:line="360" w:lineRule="auto"/>
        <w:rPr>
          <w:rFonts w:ascii="宋体" w:hAnsi="宋体" w:cs="宋体"/>
          <w:sz w:val="24"/>
          <w:szCs w:val="32"/>
        </w:rPr>
      </w:pPr>
      <w:r>
        <w:rPr>
          <w:rFonts w:hint="eastAsia" w:ascii="宋体" w:hAnsi="宋体" w:cs="宋体"/>
          <w:sz w:val="24"/>
          <w:szCs w:val="32"/>
        </w:rPr>
        <w:t xml:space="preserve">3、绿地养护等级标准</w:t>
      </w:r>
      <w:r/>
    </w:p>
    <w:tbl>
      <w:tblPr>
        <w:tblStyle w:val="864"/>
        <w:tblW w:w="8325" w:type="dxa"/>
        <w:tblInd w:w="113"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1417"/>
        <w:gridCol w:w="6908"/>
      </w:tblGrid>
      <w:tr>
        <w:trPr>
          <w:trHeight w:val="319"/>
        </w:trPr>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pStyle w:val="863"/>
              <w:ind w:left="131"/>
              <w:spacing w:before="34" w:line="20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等级标准</w:t>
            </w:r>
            <w:r/>
          </w:p>
        </w:tc>
        <w:tc>
          <w:tcPr>
            <w:tcBorders>
              <w:top w:val="single" w:color="808080" w:sz="6" w:space="0"/>
              <w:left w:val="single" w:color="000000" w:sz="6" w:space="0"/>
              <w:bottom w:val="single" w:color="808080" w:sz="6" w:space="0"/>
              <w:right w:val="single" w:color="808080" w:sz="6" w:space="0"/>
            </w:tcBorders>
            <w:tcW w:w="6908" w:type="dxa"/>
            <w:textDirection w:val="lrTb"/>
            <w:noWrap w:val="false"/>
          </w:tcPr>
          <w:p>
            <w:pPr>
              <w:pStyle w:val="863"/>
              <w:ind w:left="2982"/>
              <w:spacing w:before="34" w:line="20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一级养护标准</w:t>
            </w:r>
            <w:r/>
          </w:p>
        </w:tc>
      </w:tr>
      <w:tr>
        <w:trPr>
          <w:trHeight w:val="411"/>
        </w:trPr>
        <w:tc>
          <w:tcPr>
            <w:tcBorders>
              <w:top w:val="single" w:color="000000" w:sz="6" w:space="0"/>
              <w:left w:val="single" w:color="808080" w:sz="6" w:space="0"/>
              <w:bottom w:val="single" w:color="000000" w:sz="6" w:space="0"/>
              <w:right w:val="single" w:color="808080" w:sz="6" w:space="0"/>
            </w:tcBorders>
            <w:tcW w:w="1417" w:type="dxa"/>
            <w:textDirection w:val="lrTb"/>
            <w:noWrap w:val="false"/>
          </w:tcPr>
          <w:p>
            <w:pPr>
              <w:pStyle w:val="863"/>
              <w:ind w:left="490"/>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乔木</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607"/>
              <w:spacing w:before="29" w:line="216" w:lineRule="auto"/>
              <w:rPr>
                <w:rFonts w:ascii="宋体" w:hAnsi="宋体" w:eastAsia="宋体" w:cs="宋体"/>
                <w:color w:val="000000"/>
                <w:spacing w:val="-3"/>
                <w:lang w:eastAsia="zh-CN"/>
              </w:rPr>
            </w:pPr>
            <w:r>
              <w:rPr>
                <w:rFonts w:hint="eastAsia" w:ascii="宋体" w:hAnsi="宋体" w:eastAsia="宋体" w:cs="宋体"/>
                <w:color w:val="000000"/>
                <w:spacing w:val="-3"/>
                <w:lang w:eastAsia="zh-CN"/>
              </w:rPr>
              <w:t xml:space="preserve">生长健壮，树冠完整，树形优美。</w:t>
            </w:r>
            <w:r/>
          </w:p>
          <w:p>
            <w:pPr>
              <w:pStyle w:val="863"/>
              <w:ind w:left="607"/>
              <w:spacing w:before="29" w:line="216"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分枝点合适，无枯枝死杈；主侧枝分布匀称、</w:t>
            </w:r>
            <w:r>
              <w:rPr>
                <w:rFonts w:hint="eastAsia" w:ascii="宋体" w:hAnsi="宋体" w:eastAsia="宋体" w:cs="宋体"/>
                <w:color w:val="000000"/>
                <w:spacing w:val="-3"/>
                <w:lang w:eastAsia="zh-CN"/>
              </w:rPr>
              <w:t xml:space="preserve">数量适宜；</w:t>
            </w:r>
            <w:r/>
          </w:p>
        </w:tc>
      </w:tr>
      <w:tr>
        <w:trPr>
          <w:trHeight w:val="1522"/>
        </w:trPr>
        <w:tc>
          <w:tcPr>
            <w:tcBorders>
              <w:top w:val="none" w:color="000000" w:sz="4" w:space="0"/>
              <w:left w:val="single" w:color="808080" w:sz="6" w:space="0"/>
              <w:bottom w:val="single" w:color="808080" w:sz="6" w:space="0"/>
              <w:right w:val="single" w:color="808080" w:sz="6" w:space="0"/>
            </w:tcBorders>
            <w:tcW w:w="1417" w:type="dxa"/>
            <w:textDirection w:val="lrTb"/>
            <w:noWrap w:val="false"/>
          </w:tcPr>
          <w:p>
            <w:pPr>
              <w:rPr>
                <w:rFonts w:ascii="宋体" w:hAnsi="宋体" w:eastAsia="Times New Roman" w:cs="宋体"/>
                <w:color w:val="000000"/>
                <w:szCs w:val="21"/>
                <w:lang w:eastAsia="zh-CN"/>
              </w:rPr>
            </w:pPr>
            <w:r>
              <w:rPr>
                <w:rFonts w:ascii="宋体" w:hAnsi="宋体" w:eastAsia="Times New Roman" w:cs="宋体"/>
                <w:color w:val="000000"/>
                <w:szCs w:val="21"/>
                <w:lang w:eastAsia="zh-CN"/>
              </w:rPr>
            </w:r>
            <w:r/>
          </w:p>
        </w:tc>
        <w:tc>
          <w:tcPr>
            <w:tcBorders>
              <w:top w:val="none" w:color="000000" w:sz="4" w:space="0"/>
              <w:left w:val="single" w:color="808080" w:sz="6" w:space="0"/>
              <w:bottom w:val="single" w:color="808080" w:sz="6" w:space="0"/>
              <w:right w:val="single" w:color="808080" w:sz="6" w:space="0"/>
            </w:tcBorders>
            <w:tcW w:w="6908" w:type="dxa"/>
            <w:textDirection w:val="lrTb"/>
            <w:noWrap w:val="false"/>
          </w:tcPr>
          <w:p>
            <w:pPr>
              <w:pStyle w:val="863"/>
              <w:ind w:left="139" w:right="96" w:hanging="14"/>
              <w:spacing w:before="48" w:line="240"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修剪及时、合理，内膛不乱，通风透光。树木不歪斜（造型树木</w:t>
            </w:r>
            <w:r>
              <w:rPr>
                <w:rFonts w:hint="eastAsia" w:ascii="宋体" w:hAnsi="宋体" w:eastAsia="宋体" w:cs="宋体"/>
                <w:color w:val="000000"/>
                <w:spacing w:val="2"/>
                <w:lang w:eastAsia="zh-CN"/>
              </w:rPr>
              <w:t xml:space="preserve"> </w:t>
            </w:r>
            <w:r>
              <w:rPr>
                <w:rFonts w:hint="eastAsia" w:ascii="宋体" w:hAnsi="宋体" w:eastAsia="宋体" w:cs="宋体"/>
                <w:color w:val="000000"/>
                <w:spacing w:val="-2"/>
                <w:lang w:eastAsia="zh-CN"/>
              </w:rPr>
              <w:t xml:space="preserve">除外）。叶片大小、颜色正常，无黄叶、焦叶、卷叶。</w:t>
            </w:r>
            <w:r/>
          </w:p>
          <w:p>
            <w:pPr>
              <w:pStyle w:val="863"/>
              <w:ind w:left="125" w:right="336" w:firstLine="482"/>
              <w:spacing w:before="234" w:line="228"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无缺株、死株。无可视的病虫危害症状，被害株</w:t>
            </w:r>
            <w:r>
              <w:rPr>
                <w:rFonts w:hint="eastAsia" w:ascii="宋体" w:hAnsi="宋体" w:eastAsia="宋体" w:cs="宋体"/>
                <w:color w:val="000000"/>
                <w:spacing w:val="-3"/>
                <w:lang w:eastAsia="zh-CN"/>
              </w:rPr>
              <w:t xml:space="preserve">率≤2%，</w:t>
            </w:r>
            <w:r>
              <w:rPr>
                <w:rFonts w:hint="eastAsia" w:ascii="宋体" w:hAnsi="宋体" w:eastAsia="宋体" w:cs="宋体"/>
                <w:color w:val="000000"/>
                <w:lang w:eastAsia="zh-CN"/>
              </w:rPr>
              <w:t xml:space="preserve"> </w:t>
            </w:r>
            <w:r>
              <w:rPr>
                <w:rFonts w:hint="eastAsia" w:ascii="宋体" w:hAnsi="宋体" w:eastAsia="宋体" w:cs="宋体"/>
                <w:color w:val="000000"/>
                <w:spacing w:val="-2"/>
                <w:lang w:eastAsia="zh-CN"/>
              </w:rPr>
              <w:t xml:space="preserve">地下害虫≤2</w:t>
            </w:r>
            <w:r>
              <w:rPr>
                <w:rFonts w:hint="eastAsia" w:ascii="宋体" w:hAnsi="宋体" w:eastAsia="宋体" w:cs="宋体"/>
                <w:color w:val="000000"/>
                <w:spacing w:val="-47"/>
                <w:lang w:eastAsia="zh-CN"/>
              </w:rPr>
              <w:t xml:space="preserve"> </w:t>
            </w:r>
            <w:r>
              <w:rPr>
                <w:rFonts w:hint="eastAsia" w:ascii="宋体" w:hAnsi="宋体" w:eastAsia="宋体" w:cs="宋体"/>
                <w:color w:val="000000"/>
                <w:spacing w:val="-2"/>
                <w:lang w:eastAsia="zh-CN"/>
              </w:rPr>
              <w:t xml:space="preserve">头/m2。</w:t>
            </w:r>
            <w:r/>
          </w:p>
        </w:tc>
      </w:tr>
      <w:tr>
        <w:trPr>
          <w:trHeight w:val="2986"/>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54"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54"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54"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54"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373"/>
              <w:spacing w:before="79"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行道树</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27" w:right="224" w:firstLine="478"/>
              <w:jc w:val="both"/>
              <w:spacing w:before="43" w:line="232" w:lineRule="auto"/>
              <w:rPr>
                <w:rFonts w:ascii="宋体" w:hAnsi="宋体" w:eastAsia="宋体" w:cs="宋体"/>
                <w:color w:val="000000"/>
                <w:lang w:eastAsia="zh-CN"/>
              </w:rPr>
            </w:pPr>
            <w:r>
              <w:rPr>
                <w:rFonts w:hint="eastAsia" w:ascii="宋体" w:hAnsi="宋体" w:eastAsia="宋体" w:cs="宋体"/>
                <w:color w:val="000000"/>
                <w:spacing w:val="-4"/>
                <w:lang w:eastAsia="zh-CN"/>
              </w:rPr>
              <w:t xml:space="preserve">树形完整、树冠舒展，分枝点偏差在正负</w:t>
            </w:r>
            <w:r>
              <w:rPr>
                <w:rFonts w:hint="eastAsia" w:ascii="宋体" w:hAnsi="宋体" w:eastAsia="宋体" w:cs="宋体"/>
                <w:color w:val="000000"/>
                <w:spacing w:val="-26"/>
                <w:lang w:eastAsia="zh-CN"/>
              </w:rPr>
              <w:t xml:space="preserve"> </w:t>
            </w:r>
            <w:r>
              <w:rPr>
                <w:rFonts w:hint="eastAsia" w:ascii="宋体" w:hAnsi="宋体" w:eastAsia="宋体" w:cs="宋体"/>
                <w:color w:val="000000"/>
                <w:spacing w:val="-4"/>
                <w:lang w:eastAsia="zh-CN"/>
              </w:rPr>
              <w:t xml:space="preserve">10cm 内；保留</w:t>
            </w:r>
            <w:r>
              <w:rPr>
                <w:rFonts w:hint="eastAsia" w:ascii="宋体" w:hAnsi="宋体" w:eastAsia="宋体" w:cs="宋体"/>
                <w:color w:val="000000"/>
                <w:spacing w:val="-45"/>
                <w:lang w:eastAsia="zh-CN"/>
              </w:rPr>
              <w:t xml:space="preserve"> </w:t>
            </w:r>
            <w:r>
              <w:rPr>
                <w:rFonts w:hint="eastAsia" w:ascii="宋体" w:hAnsi="宋体" w:eastAsia="宋体" w:cs="宋体"/>
                <w:color w:val="000000"/>
                <w:spacing w:val="-4"/>
                <w:lang w:eastAsia="zh-CN"/>
              </w:rPr>
              <w:t xml:space="preserve">3</w:t>
            </w:r>
            <w:r>
              <w:rPr>
                <w:rFonts w:hint="eastAsia" w:ascii="宋体" w:hAnsi="宋体" w:eastAsia="宋体" w:cs="宋体"/>
                <w:color w:val="000000"/>
                <w:lang w:eastAsia="zh-CN"/>
              </w:rPr>
              <w:t xml:space="preserve"> 级及以上分枝，长势良好，无徒长枝、病虫枝、交叉枝、重叠 </w:t>
            </w:r>
            <w:r>
              <w:rPr>
                <w:rFonts w:hint="eastAsia" w:ascii="宋体" w:hAnsi="宋体" w:eastAsia="宋体" w:cs="宋体"/>
                <w:color w:val="000000"/>
                <w:spacing w:val="-2"/>
                <w:lang w:eastAsia="zh-CN"/>
              </w:rPr>
              <w:t xml:space="preserve">枝、下垂枝、扭伤枝、萌蘖枝、枯枝以及烂头等。</w:t>
            </w:r>
            <w:r/>
          </w:p>
          <w:p>
            <w:pPr>
              <w:pStyle w:val="863"/>
              <w:ind w:left="126" w:right="280" w:firstLine="479"/>
              <w:spacing w:before="243" w:line="240" w:lineRule="auto"/>
              <w:rPr>
                <w:rFonts w:ascii="宋体" w:hAnsi="宋体" w:eastAsia="宋体" w:cs="宋体"/>
                <w:color w:val="000000"/>
                <w:lang w:eastAsia="zh-CN"/>
              </w:rPr>
            </w:pPr>
            <w:r>
              <w:rPr>
                <w:rFonts w:hint="eastAsia" w:ascii="宋体" w:hAnsi="宋体" w:eastAsia="宋体" w:cs="宋体"/>
                <w:color w:val="000000"/>
                <w:lang w:eastAsia="zh-CN"/>
              </w:rPr>
              <w:t xml:space="preserve">树穴有平整盖板或种植地被植物、覆盖植物树皮碎屑，黄</w:t>
            </w:r>
            <w:r>
              <w:rPr>
                <w:rFonts w:hint="eastAsia" w:ascii="宋体" w:hAnsi="宋体" w:eastAsia="宋体" w:cs="宋体"/>
                <w:color w:val="000000"/>
                <w:spacing w:val="1"/>
                <w:lang w:eastAsia="zh-CN"/>
              </w:rPr>
              <w:t xml:space="preserve"> </w:t>
            </w:r>
            <w:r>
              <w:rPr>
                <w:rFonts w:hint="eastAsia" w:ascii="宋体" w:hAnsi="宋体" w:eastAsia="宋体" w:cs="宋体"/>
                <w:color w:val="000000"/>
                <w:spacing w:val="-3"/>
                <w:lang w:eastAsia="zh-CN"/>
              </w:rPr>
              <w:t xml:space="preserve">土不裸露，树穴设施完好。</w:t>
            </w:r>
            <w:r/>
          </w:p>
          <w:p>
            <w:pPr>
              <w:pStyle w:val="863"/>
              <w:ind w:left="127" w:right="318" w:firstLine="478"/>
              <w:spacing w:before="235" w:line="228"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补植的行道树品种与原行道树一致，规格适宜，一般为：</w:t>
            </w:r>
            <w:r>
              <w:rPr>
                <w:rFonts w:hint="eastAsia" w:ascii="宋体" w:hAnsi="宋体" w:eastAsia="宋体" w:cs="宋体"/>
                <w:color w:val="000000"/>
                <w:spacing w:val="13"/>
                <w:lang w:eastAsia="zh-CN"/>
              </w:rPr>
              <w:t xml:space="preserve"> </w:t>
            </w:r>
            <w:r>
              <w:rPr>
                <w:rFonts w:hint="eastAsia" w:ascii="宋体" w:hAnsi="宋体" w:eastAsia="宋体" w:cs="宋体"/>
                <w:color w:val="000000"/>
                <w:spacing w:val="-7"/>
                <w:lang w:eastAsia="zh-CN"/>
              </w:rPr>
              <w:t xml:space="preserve">落叶树种的胸径在</w:t>
            </w:r>
            <w:r>
              <w:rPr>
                <w:rFonts w:hint="eastAsia" w:ascii="宋体" w:hAnsi="宋体" w:eastAsia="宋体" w:cs="宋体"/>
                <w:color w:val="000000"/>
                <w:spacing w:val="-20"/>
                <w:lang w:eastAsia="zh-CN"/>
              </w:rPr>
              <w:t xml:space="preserve"> </w:t>
            </w:r>
            <w:r>
              <w:rPr>
                <w:rFonts w:hint="eastAsia" w:ascii="宋体" w:hAnsi="宋体" w:eastAsia="宋体" w:cs="宋体"/>
                <w:color w:val="000000"/>
                <w:spacing w:val="-7"/>
                <w:lang w:eastAsia="zh-CN"/>
              </w:rPr>
              <w:t xml:space="preserve">15cm 以下，常绿树种的胸径在</w:t>
            </w:r>
            <w:r>
              <w:rPr>
                <w:rFonts w:hint="eastAsia" w:ascii="宋体" w:hAnsi="宋体" w:eastAsia="宋体" w:cs="宋体"/>
                <w:color w:val="000000"/>
                <w:spacing w:val="-35"/>
                <w:lang w:eastAsia="zh-CN"/>
              </w:rPr>
              <w:t xml:space="preserve"> </w:t>
            </w:r>
            <w:r>
              <w:rPr>
                <w:rFonts w:hint="eastAsia" w:ascii="宋体" w:hAnsi="宋体" w:eastAsia="宋体" w:cs="宋体"/>
                <w:color w:val="000000"/>
                <w:spacing w:val="-7"/>
                <w:lang w:eastAsia="zh-CN"/>
              </w:rPr>
              <w:t xml:space="preserve">12cm 以下。</w:t>
            </w:r>
            <w:r/>
          </w:p>
          <w:p>
            <w:pPr>
              <w:pStyle w:val="863"/>
              <w:ind w:left="124" w:right="525" w:firstLine="483"/>
              <w:spacing w:before="250" w:line="220"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无可视的病虫危害症状，保存率</w:t>
            </w:r>
            <w:r>
              <w:rPr>
                <w:rFonts w:hint="eastAsia" w:ascii="宋体" w:hAnsi="宋体" w:eastAsia="宋体" w:cs="宋体"/>
                <w:color w:val="000000"/>
                <w:spacing w:val="-27"/>
                <w:lang w:eastAsia="zh-CN"/>
              </w:rPr>
              <w:t xml:space="preserve"> </w:t>
            </w:r>
            <w:r>
              <w:rPr>
                <w:rFonts w:hint="eastAsia" w:ascii="宋体" w:hAnsi="宋体" w:eastAsia="宋体" w:cs="宋体"/>
                <w:color w:val="000000"/>
                <w:spacing w:val="-2"/>
                <w:lang w:eastAsia="zh-CN"/>
              </w:rPr>
              <w:t xml:space="preserve">100%，地下害虫≤2</w:t>
            </w:r>
            <w:r>
              <w:rPr>
                <w:rFonts w:hint="eastAsia" w:ascii="宋体" w:hAnsi="宋体" w:eastAsia="宋体" w:cs="宋体"/>
                <w:color w:val="000000"/>
                <w:spacing w:val="-47"/>
                <w:lang w:eastAsia="zh-CN"/>
              </w:rPr>
              <w:t xml:space="preserve"> </w:t>
            </w:r>
            <w:r>
              <w:rPr>
                <w:rFonts w:hint="eastAsia" w:ascii="宋体" w:hAnsi="宋体" w:eastAsia="宋体" w:cs="宋体"/>
                <w:color w:val="000000"/>
                <w:spacing w:val="-2"/>
                <w:lang w:eastAsia="zh-CN"/>
              </w:rPr>
              <w:t xml:space="preserve">头</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/m2。</w:t>
            </w:r>
            <w:r/>
          </w:p>
        </w:tc>
      </w:tr>
      <w:tr>
        <w:trPr>
          <w:trHeight w:val="936"/>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64"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370"/>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花灌木</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28" w:right="281" w:firstLine="478"/>
              <w:spacing w:before="33" w:line="242" w:lineRule="auto"/>
              <w:rPr>
                <w:rFonts w:ascii="宋体" w:hAnsi="宋体" w:eastAsia="宋体" w:cs="宋体"/>
                <w:color w:val="000000"/>
                <w:lang w:eastAsia="zh-CN"/>
              </w:rPr>
            </w:pPr>
            <w:r>
              <w:rPr>
                <w:rFonts w:hint="eastAsia" w:ascii="宋体" w:hAnsi="宋体" w:eastAsia="宋体" w:cs="宋体"/>
                <w:color w:val="000000"/>
                <w:lang w:eastAsia="zh-CN"/>
              </w:rPr>
              <w:t xml:space="preserve">花灌木株形丰满，枝叶茂密，开花适时，花后修剪及时合 </w:t>
            </w:r>
            <w:r>
              <w:rPr>
                <w:rFonts w:hint="eastAsia" w:ascii="宋体" w:hAnsi="宋体" w:eastAsia="宋体" w:cs="宋体"/>
                <w:color w:val="000000"/>
                <w:spacing w:val="-12"/>
                <w:lang w:eastAsia="zh-CN"/>
              </w:rPr>
              <w:t xml:space="preserve">理。</w:t>
            </w:r>
            <w:r/>
          </w:p>
          <w:p>
            <w:pPr>
              <w:pStyle w:val="863"/>
              <w:ind w:left="124" w:right="345" w:firstLine="483"/>
              <w:spacing w:before="222" w:line="216"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无可视的病虫危害症状，被害株率≤2%，地下害虫≤2</w:t>
            </w:r>
            <w:r>
              <w:rPr>
                <w:rFonts w:hint="eastAsia" w:ascii="宋体" w:hAnsi="宋体" w:eastAsia="宋体" w:cs="宋体"/>
                <w:color w:val="000000"/>
                <w:spacing w:val="-40"/>
                <w:lang w:eastAsia="zh-CN"/>
              </w:rPr>
              <w:t xml:space="preserve"> </w:t>
            </w:r>
            <w:r>
              <w:rPr>
                <w:rFonts w:hint="eastAsia" w:ascii="宋体" w:hAnsi="宋体" w:eastAsia="宋体" w:cs="宋体"/>
                <w:color w:val="000000"/>
                <w:spacing w:val="-1"/>
                <w:lang w:eastAsia="zh-CN"/>
              </w:rPr>
              <w:t xml:space="preserve">头</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/m2。</w:t>
            </w:r>
            <w:r/>
          </w:p>
        </w:tc>
      </w:tr>
      <w:tr>
        <w:trPr>
          <w:trHeight w:val="1594"/>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88"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88"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133" w:right="94" w:firstLine="118"/>
              <w:spacing w:before="78"/>
              <w:rPr>
                <w:rFonts w:ascii="宋体" w:hAnsi="宋体" w:eastAsia="宋体" w:cs="宋体"/>
                <w:color w:val="000000"/>
                <w:lang w:eastAsia="zh-CN"/>
              </w:rPr>
            </w:pPr>
            <w:r>
              <w:rPr>
                <w:rFonts w:hint="eastAsia" w:ascii="宋体" w:hAnsi="宋体" w:eastAsia="宋体" w:cs="宋体"/>
                <w:color w:val="000000"/>
                <w:spacing w:val="-3"/>
                <w:lang w:eastAsia="zh-CN"/>
              </w:rPr>
              <w:t xml:space="preserve">绿篱（模</w:t>
            </w:r>
            <w:r>
              <w:rPr>
                <w:rFonts w:hint="eastAsia" w:ascii="宋体" w:hAnsi="宋体" w:eastAsia="宋体" w:cs="宋体"/>
                <w:color w:val="000000"/>
                <w:lang w:eastAsia="zh-CN"/>
              </w:rPr>
              <w:t xml:space="preserve">  </w:t>
            </w:r>
            <w:r>
              <w:rPr>
                <w:rFonts w:hint="eastAsia" w:ascii="宋体" w:hAnsi="宋体" w:eastAsia="宋体" w:cs="宋体"/>
                <w:color w:val="000000"/>
                <w:spacing w:val="-6"/>
                <w:lang w:eastAsia="zh-CN"/>
              </w:rPr>
              <w:t xml:space="preserve">纹、色块）</w:t>
            </w:r>
            <w:r/>
          </w:p>
          <w:p>
            <w:pPr>
              <w:pStyle w:val="863"/>
              <w:ind w:left="611"/>
              <w:spacing w:line="216" w:lineRule="auto"/>
              <w:rPr>
                <w:rFonts w:ascii="宋体" w:hAnsi="宋体" w:eastAsia="宋体" w:cs="宋体"/>
                <w:color w:val="000000"/>
                <w:lang w:eastAsia="zh-CN"/>
              </w:rPr>
            </w:pPr>
            <w:r>
              <w:rPr>
                <w:rFonts w:hint="eastAsia" w:ascii="宋体" w:hAnsi="宋体" w:eastAsia="宋体" w:cs="宋体"/>
                <w:color w:val="000000"/>
                <w:lang w:eastAsia="zh-CN"/>
              </w:rPr>
              <w:t xml:space="preserve">等</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25" w:right="279" w:firstLine="482"/>
              <w:jc w:val="both"/>
              <w:spacing w:before="49" w:line="232" w:lineRule="auto"/>
              <w:rPr>
                <w:rFonts w:ascii="宋体" w:hAnsi="宋体" w:eastAsia="宋体" w:cs="宋体"/>
                <w:color w:val="000000"/>
                <w:lang w:eastAsia="zh-CN"/>
              </w:rPr>
            </w:pPr>
            <w:r>
              <w:rPr>
                <w:rFonts w:hint="eastAsia" w:ascii="宋体" w:hAnsi="宋体" w:eastAsia="宋体" w:cs="宋体"/>
                <w:color w:val="000000"/>
                <w:lang w:eastAsia="zh-CN"/>
              </w:rPr>
              <w:t xml:space="preserve">绿篱、模纹和色块等修剪及时。绿篱线条清晰，同类观赏 面规则，整齐一致；模纹和色块线条流畅、主要观赏面圆润饱</w:t>
            </w:r>
            <w:r>
              <w:rPr>
                <w:rFonts w:hint="eastAsia" w:ascii="宋体" w:hAnsi="宋体" w:eastAsia="宋体" w:cs="宋体"/>
                <w:color w:val="000000"/>
                <w:spacing w:val="2"/>
                <w:lang w:eastAsia="zh-CN"/>
              </w:rPr>
              <w:t xml:space="preserve"> </w:t>
            </w:r>
            <w:r>
              <w:rPr>
                <w:rFonts w:hint="eastAsia" w:ascii="宋体" w:hAnsi="宋体" w:eastAsia="宋体" w:cs="宋体"/>
                <w:color w:val="000000"/>
                <w:spacing w:val="-4"/>
                <w:lang w:eastAsia="zh-CN"/>
              </w:rPr>
              <w:t xml:space="preserve">满，符合设计要求。</w:t>
            </w:r>
            <w:r/>
          </w:p>
          <w:p>
            <w:pPr>
              <w:pStyle w:val="863"/>
              <w:ind w:left="125" w:right="280" w:firstLine="482"/>
              <w:spacing w:before="3"/>
              <w:rPr>
                <w:rFonts w:ascii="宋体" w:hAnsi="宋体" w:eastAsia="宋体" w:cs="宋体"/>
                <w:color w:val="000000"/>
                <w:lang w:eastAsia="zh-CN"/>
              </w:rPr>
            </w:pPr>
            <w:r>
              <w:rPr>
                <w:rFonts w:hint="eastAsia" w:ascii="宋体" w:hAnsi="宋体" w:eastAsia="宋体" w:cs="宋体"/>
                <w:color w:val="000000"/>
                <w:lang w:eastAsia="zh-CN"/>
              </w:rPr>
              <w:t xml:space="preserve">枝叶茂密，造型优美。造型树木根据不同的生长特性及时 </w:t>
            </w:r>
            <w:r>
              <w:rPr>
                <w:rFonts w:hint="eastAsia" w:ascii="宋体" w:hAnsi="宋体" w:eastAsia="宋体" w:cs="宋体"/>
                <w:color w:val="000000"/>
                <w:spacing w:val="-6"/>
                <w:lang w:eastAsia="zh-CN"/>
              </w:rPr>
              <w:t xml:space="preserve">摘心、攀扎。</w:t>
            </w:r>
            <w:r/>
          </w:p>
          <w:p>
            <w:pPr>
              <w:pStyle w:val="863"/>
              <w:ind w:left="124" w:right="345" w:firstLine="483"/>
              <w:spacing w:before="2" w:line="216"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无可视的病虫危害症状，被害株率≤2%，地下害虫≤2</w:t>
            </w:r>
            <w:r>
              <w:rPr>
                <w:rFonts w:hint="eastAsia" w:ascii="宋体" w:hAnsi="宋体" w:eastAsia="宋体" w:cs="宋体"/>
                <w:color w:val="000000"/>
                <w:spacing w:val="-40"/>
                <w:lang w:eastAsia="zh-CN"/>
              </w:rPr>
              <w:t xml:space="preserve"> </w:t>
            </w:r>
            <w:r>
              <w:rPr>
                <w:rFonts w:hint="eastAsia" w:ascii="宋体" w:hAnsi="宋体" w:eastAsia="宋体" w:cs="宋体"/>
                <w:color w:val="000000"/>
                <w:spacing w:val="-1"/>
                <w:lang w:eastAsia="zh-CN"/>
              </w:rPr>
              <w:t xml:space="preserve">头</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/m2。</w:t>
            </w:r>
            <w:r/>
          </w:p>
        </w:tc>
      </w:tr>
      <w:tr>
        <w:trPr>
          <w:trHeight w:val="945"/>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64"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132"/>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水生植物</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40" w:right="521" w:firstLine="468"/>
              <w:spacing w:before="51" w:line="228" w:lineRule="auto"/>
              <w:rPr>
                <w:rFonts w:ascii="宋体" w:hAnsi="宋体" w:eastAsia="宋体" w:cs="宋体"/>
                <w:color w:val="000000"/>
                <w:lang w:eastAsia="zh-CN"/>
              </w:rPr>
            </w:pPr>
            <w:r>
              <w:rPr>
                <w:rFonts w:hint="eastAsia" w:ascii="宋体" w:hAnsi="宋体" w:eastAsia="宋体" w:cs="宋体"/>
                <w:color w:val="000000"/>
                <w:lang w:eastAsia="zh-CN"/>
              </w:rPr>
              <w:t xml:space="preserve">水生植物密度适宜，花期正常、花色鲜艳美观，无</w:t>
            </w:r>
            <w:r>
              <w:rPr>
                <w:rFonts w:hint="eastAsia" w:ascii="宋体" w:hAnsi="宋体" w:eastAsia="宋体" w:cs="宋体"/>
                <w:color w:val="000000"/>
                <w:spacing w:val="-1"/>
                <w:lang w:eastAsia="zh-CN"/>
              </w:rPr>
              <w:t xml:space="preserve">干枯</w:t>
            </w:r>
            <w:r>
              <w:rPr>
                <w:rFonts w:hint="eastAsia" w:ascii="宋体" w:hAnsi="宋体" w:eastAsia="宋体" w:cs="宋体"/>
                <w:color w:val="000000"/>
                <w:lang w:eastAsia="zh-CN"/>
              </w:rPr>
              <w:t xml:space="preserve"> </w:t>
            </w:r>
            <w:r>
              <w:rPr>
                <w:rFonts w:hint="eastAsia" w:ascii="宋体" w:hAnsi="宋体" w:eastAsia="宋体" w:cs="宋体"/>
                <w:color w:val="000000"/>
                <w:spacing w:val="-8"/>
                <w:lang w:eastAsia="zh-CN"/>
              </w:rPr>
              <w:t xml:space="preserve">叶、残花等。</w:t>
            </w:r>
            <w:r/>
          </w:p>
          <w:p>
            <w:pPr>
              <w:pStyle w:val="863"/>
              <w:ind w:left="607"/>
              <w:spacing w:before="9" w:line="204"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无可视的病虫危害症状，被害株率≤2%。</w:t>
            </w:r>
            <w:r/>
          </w:p>
        </w:tc>
      </w:tr>
      <w:tr>
        <w:trPr>
          <w:trHeight w:val="1050"/>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88"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88"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128"/>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攀援植物</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26" w:right="280" w:firstLine="479"/>
              <w:spacing w:before="36" w:line="240" w:lineRule="auto"/>
              <w:rPr>
                <w:rFonts w:ascii="宋体" w:hAnsi="宋体" w:eastAsia="宋体" w:cs="宋体"/>
                <w:color w:val="000000"/>
                <w:lang w:eastAsia="zh-CN"/>
              </w:rPr>
            </w:pPr>
            <w:r>
              <w:rPr>
                <w:rFonts w:hint="eastAsia" w:ascii="宋体" w:hAnsi="宋体" w:eastAsia="宋体" w:cs="宋体"/>
                <w:color w:val="000000"/>
                <w:lang w:eastAsia="zh-CN"/>
              </w:rPr>
              <w:t xml:space="preserve">根据不同植物的攀缘特点，及时采取相应的技术措施，生</w:t>
            </w:r>
            <w:r>
              <w:rPr>
                <w:rFonts w:hint="eastAsia" w:ascii="宋体" w:hAnsi="宋体" w:eastAsia="宋体" w:cs="宋体"/>
                <w:color w:val="000000"/>
                <w:spacing w:val="1"/>
                <w:lang w:eastAsia="zh-CN"/>
              </w:rPr>
              <w:t xml:space="preserve"> </w:t>
            </w:r>
            <w:r>
              <w:rPr>
                <w:rFonts w:hint="eastAsia" w:ascii="宋体" w:hAnsi="宋体" w:eastAsia="宋体" w:cs="宋体"/>
                <w:color w:val="000000"/>
                <w:spacing w:val="-8"/>
                <w:lang w:eastAsia="zh-CN"/>
              </w:rPr>
              <w:t xml:space="preserve">长旺盛。</w:t>
            </w:r>
            <w:r/>
          </w:p>
          <w:p>
            <w:pPr>
              <w:pStyle w:val="863"/>
              <w:ind w:left="126" w:right="521" w:firstLine="478"/>
              <w:spacing w:before="1" w:line="230" w:lineRule="auto"/>
              <w:rPr>
                <w:rFonts w:ascii="宋体" w:hAnsi="宋体" w:eastAsia="宋体" w:cs="宋体"/>
                <w:color w:val="000000"/>
                <w:lang w:eastAsia="zh-CN"/>
              </w:rPr>
            </w:pPr>
            <w:r>
              <w:rPr>
                <w:rFonts w:hint="eastAsia" w:ascii="宋体" w:hAnsi="宋体" w:eastAsia="宋体" w:cs="宋体"/>
                <w:color w:val="000000"/>
                <w:lang w:eastAsia="zh-CN"/>
              </w:rPr>
              <w:t xml:space="preserve">及时清除枯枝，疏删老弱藤蔓；开花的攀缘植物适时开</w:t>
            </w:r>
            <w:r>
              <w:rPr>
                <w:rFonts w:hint="eastAsia" w:ascii="宋体" w:hAnsi="宋体" w:eastAsia="宋体" w:cs="宋体"/>
                <w:color w:val="000000"/>
                <w:spacing w:val="2"/>
                <w:lang w:eastAsia="zh-CN"/>
              </w:rPr>
              <w:t xml:space="preserve"> </w:t>
            </w:r>
            <w:r>
              <w:rPr>
                <w:rFonts w:hint="eastAsia" w:ascii="宋体" w:hAnsi="宋体" w:eastAsia="宋体" w:cs="宋体"/>
                <w:color w:val="000000"/>
                <w:spacing w:val="-11"/>
                <w:lang w:eastAsia="zh-CN"/>
              </w:rPr>
              <w:t xml:space="preserve">花。</w:t>
            </w:r>
            <w:r/>
          </w:p>
          <w:p>
            <w:pPr>
              <w:pStyle w:val="863"/>
              <w:ind w:left="607"/>
              <w:spacing w:line="204"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无可视的病虫危害症状，被害株率≤2%。</w:t>
            </w:r>
            <w:r/>
          </w:p>
        </w:tc>
      </w:tr>
      <w:tr>
        <w:trPr>
          <w:trHeight w:val="1264"/>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88" w:lineRule="auto"/>
              <w:rPr>
                <w:rFonts w:ascii="宋体" w:hAnsi="宋体" w:eastAsia="Times New Roman" w:cs="宋体"/>
                <w:color w:val="000000"/>
                <w:lang w:eastAsia="zh-CN"/>
              </w:rPr>
            </w:pPr>
            <w:r>
              <w:rPr>
                <w:rFonts w:ascii="宋体" w:hAnsi="宋体" w:eastAsia="Times New Roman" w:cs="宋体"/>
                <w:color w:val="000000"/>
                <w:lang w:eastAsia="zh-CN"/>
              </w:rPr>
            </w:r>
            <w:r/>
          </w:p>
          <w:p>
            <w:pPr>
              <w:spacing w:line="288"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129"/>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地被花卉</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25" w:right="289" w:firstLine="491"/>
              <w:spacing w:before="54" w:line="228"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多年生地被植物（含花境）和露地一、二年生花卉生长健</w:t>
            </w:r>
            <w:r>
              <w:rPr>
                <w:rFonts w:hint="eastAsia" w:ascii="宋体" w:hAnsi="宋体" w:eastAsia="宋体" w:cs="宋体"/>
                <w:color w:val="000000"/>
                <w:spacing w:val="5"/>
                <w:lang w:eastAsia="zh-CN"/>
              </w:rPr>
              <w:t xml:space="preserve"> </w:t>
            </w:r>
            <w:r>
              <w:rPr>
                <w:rFonts w:hint="eastAsia" w:ascii="宋体" w:hAnsi="宋体" w:eastAsia="宋体" w:cs="宋体"/>
                <w:color w:val="000000"/>
                <w:spacing w:val="-2"/>
                <w:lang w:eastAsia="zh-CN"/>
              </w:rPr>
              <w:t xml:space="preserve">壮，株行距适宜，色彩鲜艳，花期整齐，图案清晰。</w:t>
            </w:r>
            <w:r/>
          </w:p>
          <w:p>
            <w:pPr>
              <w:pStyle w:val="863"/>
              <w:ind w:left="607"/>
              <w:spacing w:before="9" w:line="216" w:lineRule="auto"/>
              <w:rPr>
                <w:rFonts w:ascii="宋体" w:hAnsi="宋体" w:eastAsia="宋体" w:cs="宋体"/>
                <w:color w:val="000000"/>
                <w:lang w:eastAsia="zh-CN"/>
              </w:rPr>
            </w:pPr>
            <w:r>
              <w:rPr>
                <w:rFonts w:hint="eastAsia" w:ascii="宋体" w:hAnsi="宋体" w:eastAsia="宋体" w:cs="宋体"/>
                <w:color w:val="000000"/>
                <w:spacing w:val="-3"/>
                <w:lang w:eastAsia="zh-CN"/>
              </w:rPr>
              <w:t xml:space="preserve">无缺株、倒伏，残花量不大于</w:t>
            </w:r>
            <w:r>
              <w:rPr>
                <w:rFonts w:hint="eastAsia" w:ascii="宋体" w:hAnsi="宋体" w:eastAsia="宋体" w:cs="宋体"/>
                <w:color w:val="000000"/>
                <w:spacing w:val="-34"/>
                <w:lang w:eastAsia="zh-CN"/>
              </w:rPr>
              <w:t xml:space="preserve"> </w:t>
            </w:r>
            <w:r>
              <w:rPr>
                <w:rFonts w:hint="eastAsia" w:ascii="宋体" w:hAnsi="宋体" w:eastAsia="宋体" w:cs="宋体"/>
                <w:color w:val="000000"/>
                <w:spacing w:val="-3"/>
                <w:lang w:eastAsia="zh-CN"/>
              </w:rPr>
              <w:t xml:space="preserve">10％。</w:t>
            </w:r>
            <w:r/>
          </w:p>
          <w:p>
            <w:pPr>
              <w:pStyle w:val="863"/>
              <w:ind w:left="124" w:right="345" w:firstLine="483"/>
              <w:spacing w:before="30" w:line="216"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无可视的病虫危害症状，被害株率≤2%，地下害虫≤2</w:t>
            </w:r>
            <w:r>
              <w:rPr>
                <w:rFonts w:hint="eastAsia" w:ascii="宋体" w:hAnsi="宋体" w:eastAsia="宋体" w:cs="宋体"/>
                <w:color w:val="000000"/>
                <w:spacing w:val="-40"/>
                <w:lang w:eastAsia="zh-CN"/>
              </w:rPr>
              <w:t xml:space="preserve"> </w:t>
            </w:r>
            <w:r>
              <w:rPr>
                <w:rFonts w:hint="eastAsia" w:ascii="宋体" w:hAnsi="宋体" w:eastAsia="宋体" w:cs="宋体"/>
                <w:color w:val="000000"/>
                <w:spacing w:val="-1"/>
                <w:lang w:eastAsia="zh-CN"/>
              </w:rPr>
              <w:t xml:space="preserve">头</w:t>
            </w:r>
            <w:r>
              <w:rPr>
                <w:rFonts w:hint="eastAsia" w:ascii="宋体" w:hAnsi="宋体" w:eastAsia="宋体" w:cs="宋体"/>
                <w:color w:val="000000"/>
                <w:lang w:eastAsia="zh-CN"/>
              </w:rPr>
              <w:t xml:space="preserve"> </w:t>
            </w:r>
            <w:r>
              <w:rPr>
                <w:rFonts w:hint="eastAsia" w:ascii="宋体" w:hAnsi="宋体" w:eastAsia="宋体" w:cs="宋体"/>
                <w:color w:val="000000"/>
                <w:spacing w:val="-2"/>
                <w:lang w:eastAsia="zh-CN"/>
              </w:rPr>
              <w:t xml:space="preserve">/m2</w:t>
            </w:r>
            <w:r/>
          </w:p>
        </w:tc>
      </w:tr>
      <w:tr>
        <w:trPr>
          <w:trHeight w:val="952"/>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268"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489"/>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竹类</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36" w:right="280" w:firstLine="469"/>
              <w:spacing w:before="39" w:line="240" w:lineRule="auto"/>
              <w:rPr>
                <w:rFonts w:ascii="宋体" w:hAnsi="宋体" w:eastAsia="宋体" w:cs="宋体"/>
                <w:color w:val="000000"/>
                <w:lang w:eastAsia="zh-CN"/>
              </w:rPr>
            </w:pPr>
            <w:r>
              <w:rPr>
                <w:rFonts w:hint="eastAsia" w:ascii="宋体" w:hAnsi="宋体" w:eastAsia="宋体" w:cs="宋体"/>
                <w:color w:val="000000"/>
                <w:lang w:eastAsia="zh-CN"/>
              </w:rPr>
              <w:t xml:space="preserve">竹林保持适宜密度，通风透光、生长健壮、叶色正常，及</w:t>
            </w:r>
            <w:r>
              <w:rPr>
                <w:rFonts w:hint="eastAsia" w:ascii="宋体" w:hAnsi="宋体" w:eastAsia="宋体" w:cs="宋体"/>
                <w:color w:val="000000"/>
                <w:spacing w:val="1"/>
                <w:lang w:eastAsia="zh-CN"/>
              </w:rPr>
              <w:t xml:space="preserve"> </w:t>
            </w:r>
            <w:r>
              <w:rPr>
                <w:rFonts w:hint="eastAsia" w:ascii="宋体" w:hAnsi="宋体" w:eastAsia="宋体" w:cs="宋体"/>
                <w:color w:val="000000"/>
                <w:spacing w:val="-3"/>
                <w:lang w:eastAsia="zh-CN"/>
              </w:rPr>
              <w:t xml:space="preserve">时清除老鞭、砍伐后的竹蔸、干枯株等。</w:t>
            </w:r>
            <w:r/>
          </w:p>
          <w:p>
            <w:pPr>
              <w:pStyle w:val="863"/>
              <w:ind w:left="607"/>
              <w:spacing w:before="1" w:line="204" w:lineRule="auto"/>
              <w:rPr>
                <w:rFonts w:ascii="宋体" w:hAnsi="宋体" w:eastAsia="宋体" w:cs="宋体"/>
                <w:color w:val="000000"/>
                <w:lang w:eastAsia="zh-CN"/>
              </w:rPr>
            </w:pPr>
            <w:r>
              <w:rPr>
                <w:rFonts w:hint="eastAsia" w:ascii="宋体" w:hAnsi="宋体" w:eastAsia="宋体" w:cs="宋体"/>
                <w:color w:val="000000"/>
                <w:lang w:eastAsia="zh-CN"/>
              </w:rPr>
              <w:t xml:space="preserve">无可视的病虫危害症状，被害株率≤2%，地</w:t>
            </w:r>
            <w:r>
              <w:rPr>
                <w:rFonts w:hint="eastAsia" w:ascii="宋体" w:hAnsi="宋体" w:eastAsia="宋体" w:cs="宋体"/>
                <w:color w:val="000000"/>
                <w:spacing w:val="-1"/>
                <w:lang w:eastAsia="zh-CN"/>
              </w:rPr>
              <w:t xml:space="preserve">下害虫≤2</w:t>
            </w:r>
            <w:r>
              <w:rPr>
                <w:rFonts w:hint="eastAsia" w:ascii="宋体" w:hAnsi="宋体" w:eastAsia="宋体" w:cs="宋体"/>
                <w:color w:val="000000"/>
                <w:spacing w:val="-47"/>
                <w:lang w:eastAsia="zh-CN"/>
              </w:rPr>
              <w:t xml:space="preserve"> </w:t>
            </w:r>
            <w:r>
              <w:rPr>
                <w:rFonts w:hint="eastAsia" w:ascii="宋体" w:hAnsi="宋体" w:eastAsia="宋体" w:cs="宋体"/>
                <w:color w:val="000000"/>
                <w:spacing w:val="-1"/>
                <w:lang w:eastAsia="zh-CN"/>
              </w:rPr>
              <w:t xml:space="preserve">头</w:t>
            </w:r>
            <w:r>
              <w:rPr>
                <w:rFonts w:hint="eastAsia" w:ascii="宋体" w:hAnsi="宋体" w:eastAsia="宋体" w:cs="宋体"/>
                <w:color w:val="000000"/>
                <w:spacing w:val="-3"/>
                <w:lang w:eastAsia="zh-CN"/>
              </w:rPr>
              <w:t xml:space="preserve">/m2。</w:t>
            </w:r>
            <w:r/>
          </w:p>
        </w:tc>
      </w:tr>
      <w:tr>
        <w:trPr>
          <w:trHeight w:val="1084"/>
        </w:trPr>
        <w:tc>
          <w:tcPr>
            <w:tcBorders>
              <w:top w:val="single" w:color="808080" w:sz="6" w:space="0"/>
              <w:left w:val="single" w:color="808080" w:sz="6" w:space="0"/>
              <w:bottom w:val="single" w:color="808080" w:sz="6" w:space="0"/>
              <w:right w:val="single" w:color="808080" w:sz="6" w:space="0"/>
            </w:tcBorders>
            <w:tcW w:w="1417" w:type="dxa"/>
            <w:textDirection w:val="lrTb"/>
            <w:noWrap w:val="false"/>
          </w:tcPr>
          <w:p>
            <w:pPr>
              <w:spacing w:line="424" w:lineRule="auto"/>
              <w:rPr>
                <w:rFonts w:ascii="宋体" w:hAnsi="宋体" w:eastAsia="Times New Roman" w:cs="宋体"/>
                <w:color w:val="000000"/>
                <w:lang w:eastAsia="zh-CN"/>
              </w:rPr>
            </w:pPr>
            <w:r>
              <w:rPr>
                <w:rFonts w:ascii="宋体" w:hAnsi="宋体" w:eastAsia="Times New Roman" w:cs="宋体"/>
                <w:color w:val="000000"/>
                <w:lang w:eastAsia="zh-CN"/>
              </w:rPr>
            </w:r>
            <w:r/>
          </w:p>
          <w:p>
            <w:pPr>
              <w:pStyle w:val="863"/>
              <w:ind w:left="491"/>
              <w:spacing w:before="78" w:line="216"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草坪</w:t>
            </w:r>
            <w:r/>
          </w:p>
        </w:tc>
        <w:tc>
          <w:tcPr>
            <w:tcBorders>
              <w:top w:val="single" w:color="808080" w:sz="6" w:space="0"/>
              <w:left w:val="single" w:color="808080" w:sz="6" w:space="0"/>
              <w:bottom w:val="single" w:color="808080" w:sz="6" w:space="0"/>
              <w:right w:val="single" w:color="808080" w:sz="6" w:space="0"/>
            </w:tcBorders>
            <w:tcW w:w="6908" w:type="dxa"/>
            <w:textDirection w:val="lrTb"/>
            <w:noWrap w:val="false"/>
          </w:tcPr>
          <w:p>
            <w:pPr>
              <w:pStyle w:val="863"/>
              <w:ind w:left="127" w:right="280" w:firstLine="480"/>
              <w:spacing w:before="45" w:line="228" w:lineRule="auto"/>
              <w:rPr>
                <w:rFonts w:ascii="宋体" w:hAnsi="宋体" w:eastAsia="宋体" w:cs="宋体"/>
                <w:color w:val="000000"/>
                <w:lang w:eastAsia="zh-CN"/>
              </w:rPr>
            </w:pPr>
            <w:r>
              <w:rPr>
                <w:rFonts w:hint="eastAsia" w:ascii="宋体" w:hAnsi="宋体" w:eastAsia="宋体" w:cs="宋体"/>
                <w:color w:val="000000"/>
                <w:lang w:eastAsia="zh-CN"/>
              </w:rPr>
              <w:t xml:space="preserve">草坪外观整齐，边缘线清晰，生长旺盛，草根不裸露；无 可视斑秃；生长季节不枯黄，修剪及时，绿地内杂</w:t>
            </w:r>
            <w:r>
              <w:rPr>
                <w:rFonts w:hint="eastAsia" w:ascii="宋体" w:hAnsi="宋体" w:eastAsia="宋体" w:cs="宋体"/>
                <w:color w:val="000000"/>
                <w:spacing w:val="-1"/>
                <w:lang w:eastAsia="zh-CN"/>
              </w:rPr>
              <w:t xml:space="preserve">草率≤2%。</w:t>
            </w:r>
            <w:r/>
          </w:p>
          <w:p>
            <w:pPr>
              <w:pStyle w:val="863"/>
              <w:ind w:left="124" w:right="345" w:firstLine="483"/>
              <w:spacing w:before="8" w:line="220"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无可视的病虫危害症状，被害株率≤2%，地下害虫≤2</w:t>
            </w:r>
            <w:r>
              <w:rPr>
                <w:rFonts w:hint="eastAsia" w:ascii="宋体" w:hAnsi="宋体" w:eastAsia="宋体" w:cs="宋体"/>
                <w:color w:val="000000"/>
                <w:spacing w:val="-40"/>
                <w:lang w:eastAsia="zh-CN"/>
              </w:rPr>
              <w:t xml:space="preserve"> </w:t>
            </w:r>
            <w:r>
              <w:rPr>
                <w:rFonts w:hint="eastAsia" w:ascii="宋体" w:hAnsi="宋体" w:eastAsia="宋体" w:cs="宋体"/>
                <w:color w:val="000000"/>
                <w:spacing w:val="-1"/>
                <w:lang w:eastAsia="zh-CN"/>
              </w:rPr>
              <w:t xml:space="preserve">头</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/m2。</w:t>
            </w:r>
            <w:r/>
          </w:p>
        </w:tc>
      </w:tr>
    </w:tbl>
    <w:p>
      <w:pPr>
        <w:pStyle w:val="832"/>
        <w:ind w:left="504"/>
        <w:spacing w:before="78" w:line="216" w:lineRule="auto"/>
        <w:rPr>
          <w:rFonts w:ascii="宋体" w:hAnsi="宋体" w:eastAsia="宋体" w:cs="宋体"/>
          <w:sz w:val="24"/>
          <w:szCs w:val="21"/>
        </w:rPr>
      </w:pPr>
      <w:r>
        <w:rPr>
          <w:rFonts w:hint="eastAsia" w:ascii="宋体" w:hAnsi="宋体" w:eastAsia="宋体" w:cs="宋体"/>
          <w:spacing w:val="-2"/>
          <w:sz w:val="24"/>
          <w:szCs w:val="21"/>
        </w:rPr>
        <w:t xml:space="preserve">4、绿化应急养护要求</w:t>
      </w:r>
      <w:r/>
    </w:p>
    <w:p>
      <w:pPr>
        <w:pStyle w:val="832"/>
        <w:ind w:left="512"/>
        <w:spacing w:before="314" w:line="216" w:lineRule="auto"/>
        <w:rPr>
          <w:rFonts w:ascii="宋体" w:hAnsi="宋体" w:eastAsia="宋体" w:cs="宋体"/>
          <w:sz w:val="24"/>
          <w:szCs w:val="21"/>
        </w:rPr>
      </w:pPr>
      <w:r>
        <w:rPr>
          <w:rFonts w:hint="eastAsia" w:ascii="宋体" w:hAnsi="宋体" w:eastAsia="宋体" w:cs="宋体"/>
          <w:spacing w:val="-2"/>
          <w:sz w:val="24"/>
          <w:szCs w:val="21"/>
        </w:rPr>
        <w:t xml:space="preserve">（1）三级绿化应急事件分类标准</w:t>
      </w:r>
      <w:r/>
    </w:p>
    <w:tbl>
      <w:tblPr>
        <w:tblStyle w:val="864"/>
        <w:tblW w:w="8295" w:type="dxa"/>
        <w:tblInd w:w="143"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1762"/>
        <w:gridCol w:w="6533"/>
      </w:tblGrid>
      <w:tr>
        <w:trPr>
          <w:trHeight w:val="321"/>
        </w:trPr>
        <w:tc>
          <w:tcPr>
            <w:tcBorders>
              <w:top w:val="single" w:color="000000" w:sz="6" w:space="0"/>
              <w:left w:val="single" w:color="000000" w:sz="6" w:space="0"/>
              <w:bottom w:val="single" w:color="000000" w:sz="6" w:space="0"/>
              <w:right w:val="single" w:color="000000" w:sz="6" w:space="0"/>
            </w:tcBorders>
            <w:tcW w:w="1762" w:type="dxa"/>
            <w:textDirection w:val="lrTb"/>
            <w:noWrap w:val="false"/>
          </w:tcPr>
          <w:p>
            <w:pPr>
              <w:pStyle w:val="863"/>
              <w:ind w:left="594"/>
              <w:spacing w:before="49" w:line="194"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种类</w:t>
            </w:r>
            <w:r/>
          </w:p>
        </w:tc>
        <w:tc>
          <w:tcPr>
            <w:tcBorders>
              <w:top w:val="single" w:color="000000" w:sz="6" w:space="0"/>
              <w:left w:val="single" w:color="000000" w:sz="6" w:space="0"/>
              <w:bottom w:val="single" w:color="000000" w:sz="6" w:space="0"/>
              <w:right w:val="single" w:color="000000" w:sz="6" w:space="0"/>
            </w:tcBorders>
            <w:tcW w:w="6533" w:type="dxa"/>
            <w:textDirection w:val="lrTb"/>
            <w:noWrap w:val="false"/>
          </w:tcPr>
          <w:p>
            <w:pPr>
              <w:pStyle w:val="863"/>
              <w:ind w:left="2547"/>
              <w:spacing w:before="49" w:line="19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一般（三级）标准</w:t>
            </w:r>
            <w:r/>
          </w:p>
        </w:tc>
      </w:tr>
      <w:tr>
        <w:trPr>
          <w:trHeight w:val="313"/>
        </w:trPr>
        <w:tc>
          <w:tcPr>
            <w:tcBorders>
              <w:top w:val="single" w:color="000000" w:sz="6" w:space="0"/>
              <w:left w:val="single" w:color="808080" w:sz="6" w:space="0"/>
              <w:bottom w:val="single" w:color="808080" w:sz="6" w:space="0"/>
              <w:right w:val="single" w:color="808080" w:sz="6" w:space="0"/>
            </w:tcBorders>
            <w:tcW w:w="1762" w:type="dxa"/>
            <w:textDirection w:val="lrTb"/>
            <w:noWrap w:val="false"/>
          </w:tcPr>
          <w:p>
            <w:pPr>
              <w:pStyle w:val="863"/>
              <w:ind w:left="593"/>
              <w:spacing w:before="43" w:line="194"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干旱</w:t>
            </w:r>
            <w:r/>
          </w:p>
        </w:tc>
        <w:tc>
          <w:tcPr>
            <w:tcBorders>
              <w:top w:val="single" w:color="000000" w:sz="6" w:space="0"/>
              <w:left w:val="single" w:color="808080" w:sz="6" w:space="0"/>
              <w:bottom w:val="single" w:color="808080" w:sz="6" w:space="0"/>
              <w:right w:val="single" w:color="808080" w:sz="6" w:space="0"/>
            </w:tcBorders>
            <w:tcW w:w="6533" w:type="dxa"/>
            <w:textDirection w:val="lrTb"/>
            <w:noWrap w:val="false"/>
          </w:tcPr>
          <w:p>
            <w:pPr>
              <w:pStyle w:val="863"/>
              <w:ind w:left="592"/>
              <w:spacing w:before="43" w:line="194" w:lineRule="auto"/>
              <w:rPr>
                <w:rFonts w:ascii="宋体" w:hAnsi="宋体" w:eastAsia="宋体" w:cs="宋体"/>
                <w:color w:val="000000"/>
                <w:lang w:eastAsia="zh-CN"/>
              </w:rPr>
            </w:pPr>
            <w:r>
              <w:rPr>
                <w:rFonts w:hint="eastAsia" w:ascii="宋体" w:hAnsi="宋体" w:eastAsia="宋体" w:cs="宋体"/>
                <w:color w:val="000000"/>
                <w:spacing w:val="1"/>
                <w:lang w:eastAsia="zh-CN"/>
              </w:rPr>
              <w:t xml:space="preserve">土层</w:t>
            </w:r>
            <w:r>
              <w:rPr>
                <w:rFonts w:hint="eastAsia" w:ascii="宋体" w:hAnsi="宋体" w:eastAsia="宋体" w:cs="宋体"/>
                <w:color w:val="000000"/>
                <w:spacing w:val="-39"/>
                <w:lang w:eastAsia="zh-CN"/>
              </w:rPr>
              <w:t xml:space="preserve"> </w:t>
            </w:r>
            <w:r>
              <w:rPr>
                <w:rFonts w:hint="eastAsia" w:ascii="宋体" w:hAnsi="宋体" w:eastAsia="宋体" w:cs="宋体"/>
                <w:color w:val="000000"/>
                <w:spacing w:val="1"/>
                <w:lang w:eastAsia="zh-CN"/>
              </w:rPr>
              <w:t xml:space="preserve">20</w:t>
            </w:r>
            <w:r>
              <w:rPr>
                <w:rFonts w:hint="eastAsia" w:ascii="宋体" w:hAnsi="宋体" w:eastAsia="宋体" w:cs="宋体"/>
                <w:color w:val="000000"/>
                <w:lang w:eastAsia="zh-CN"/>
              </w:rPr>
              <w:t xml:space="preserve">cm</w:t>
            </w:r>
            <w:r>
              <w:rPr>
                <w:rFonts w:hint="eastAsia" w:ascii="宋体" w:hAnsi="宋体" w:eastAsia="宋体" w:cs="宋体"/>
                <w:color w:val="000000"/>
                <w:spacing w:val="-45"/>
                <w:lang w:eastAsia="zh-CN"/>
              </w:rPr>
              <w:t xml:space="preserve"> </w:t>
            </w:r>
            <w:r>
              <w:rPr>
                <w:rFonts w:hint="eastAsia" w:ascii="宋体" w:hAnsi="宋体" w:eastAsia="宋体" w:cs="宋体"/>
                <w:color w:val="000000"/>
                <w:spacing w:val="1"/>
                <w:lang w:eastAsia="zh-CN"/>
              </w:rPr>
              <w:t xml:space="preserve">处，土壤含水量低于60%</w:t>
            </w:r>
            <w:r/>
          </w:p>
        </w:tc>
      </w:tr>
      <w:tr>
        <w:trPr>
          <w:trHeight w:val="329"/>
        </w:trPr>
        <w:tc>
          <w:tcPr>
            <w:tcBorders>
              <w:top w:val="single" w:color="808080" w:sz="6" w:space="0"/>
              <w:left w:val="single" w:color="808080" w:sz="6" w:space="0"/>
              <w:bottom w:val="single" w:color="808080" w:sz="6" w:space="0"/>
              <w:right w:val="single" w:color="808080" w:sz="6" w:space="0"/>
            </w:tcBorders>
            <w:tcW w:w="1762" w:type="dxa"/>
            <w:textDirection w:val="lrTb"/>
            <w:noWrap w:val="false"/>
          </w:tcPr>
          <w:p>
            <w:pPr>
              <w:pStyle w:val="863"/>
              <w:ind w:left="595"/>
              <w:spacing w:before="46" w:line="204"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汛涝</w:t>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591"/>
              <w:spacing w:before="46" w:line="204"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地表及土层</w:t>
            </w:r>
            <w:r>
              <w:rPr>
                <w:rFonts w:hint="eastAsia" w:ascii="宋体" w:hAnsi="宋体" w:eastAsia="宋体" w:cs="宋体"/>
                <w:color w:val="000000"/>
                <w:spacing w:val="-49"/>
                <w:lang w:eastAsia="zh-CN"/>
              </w:rPr>
              <w:t xml:space="preserve"> </w:t>
            </w:r>
            <w:r>
              <w:rPr>
                <w:rFonts w:hint="eastAsia" w:ascii="宋体" w:hAnsi="宋体" w:eastAsia="宋体" w:cs="宋体"/>
                <w:color w:val="000000"/>
                <w:spacing w:val="-2"/>
                <w:lang w:eastAsia="zh-CN"/>
              </w:rPr>
              <w:t xml:space="preserve">40cm</w:t>
            </w:r>
            <w:r>
              <w:rPr>
                <w:rFonts w:hint="eastAsia" w:ascii="宋体" w:hAnsi="宋体" w:eastAsia="宋体" w:cs="宋体"/>
                <w:color w:val="000000"/>
                <w:spacing w:val="-45"/>
                <w:lang w:eastAsia="zh-CN"/>
              </w:rPr>
              <w:t xml:space="preserve"> </w:t>
            </w:r>
            <w:r>
              <w:rPr>
                <w:rFonts w:hint="eastAsia" w:ascii="宋体" w:hAnsi="宋体" w:eastAsia="宋体" w:cs="宋体"/>
                <w:color w:val="000000"/>
                <w:spacing w:val="-2"/>
                <w:lang w:eastAsia="zh-CN"/>
              </w:rPr>
              <w:t xml:space="preserve">处积水两天内</w:t>
            </w:r>
            <w:r/>
          </w:p>
        </w:tc>
      </w:tr>
      <w:tr>
        <w:trPr>
          <w:trHeight w:val="314"/>
        </w:trPr>
        <w:tc>
          <w:tcPr>
            <w:tcBorders>
              <w:top w:val="single" w:color="808080" w:sz="6" w:space="0"/>
              <w:left w:val="single" w:color="808080" w:sz="6" w:space="0"/>
              <w:bottom w:val="single" w:color="808080" w:sz="6" w:space="0"/>
              <w:right w:val="single" w:color="808080" w:sz="6" w:space="0"/>
            </w:tcBorders>
            <w:tcW w:w="1762" w:type="dxa"/>
            <w:textDirection w:val="lrTb"/>
            <w:noWrap w:val="false"/>
          </w:tcPr>
          <w:p>
            <w:pPr>
              <w:pStyle w:val="863"/>
              <w:ind w:left="613"/>
              <w:spacing w:before="32" w:line="204" w:lineRule="auto"/>
              <w:rPr>
                <w:rFonts w:ascii="宋体" w:hAnsi="宋体" w:eastAsia="宋体" w:cs="宋体"/>
                <w:color w:val="000000"/>
                <w:lang w:eastAsia="en-US"/>
              </w:rPr>
            </w:pPr>
            <w:r>
              <w:rPr>
                <w:rFonts w:hint="eastAsia" w:ascii="宋体" w:hAnsi="宋体" w:eastAsia="宋体" w:cs="宋体"/>
                <w:color w:val="000000"/>
                <w:spacing w:val="-7"/>
                <w:lang w:eastAsia="en-US"/>
              </w:rPr>
              <w:t xml:space="preserve">台风</w:t>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591"/>
              <w:spacing w:before="32" w:line="204" w:lineRule="auto"/>
              <w:rPr>
                <w:rFonts w:ascii="宋体" w:hAnsi="宋体" w:eastAsia="宋体" w:cs="宋体"/>
                <w:color w:val="000000"/>
                <w:lang w:eastAsia="zh-CN"/>
              </w:rPr>
            </w:pPr>
            <w:r>
              <w:rPr>
                <w:rFonts w:hint="eastAsia" w:ascii="宋体" w:hAnsi="宋体" w:eastAsia="宋体" w:cs="宋体"/>
                <w:color w:val="000000"/>
                <w:spacing w:val="-3"/>
                <w:lang w:eastAsia="zh-CN"/>
              </w:rPr>
              <w:t xml:space="preserve">广东，福建登陆（风力</w:t>
            </w:r>
            <w:r>
              <w:rPr>
                <w:rFonts w:hint="eastAsia" w:ascii="宋体" w:hAnsi="宋体" w:eastAsia="宋体" w:cs="宋体"/>
                <w:color w:val="000000"/>
                <w:spacing w:val="-44"/>
                <w:lang w:eastAsia="zh-CN"/>
              </w:rPr>
              <w:t xml:space="preserve"> </w:t>
            </w:r>
            <w:r>
              <w:rPr>
                <w:rFonts w:hint="eastAsia" w:ascii="宋体" w:hAnsi="宋体" w:eastAsia="宋体" w:cs="宋体"/>
                <w:color w:val="000000"/>
                <w:spacing w:val="-3"/>
                <w:lang w:eastAsia="zh-CN"/>
              </w:rPr>
              <w:t xml:space="preserve">6</w:t>
            </w:r>
            <w:r>
              <w:rPr>
                <w:rFonts w:hint="eastAsia" w:ascii="宋体" w:hAnsi="宋体" w:eastAsia="宋体" w:cs="宋体"/>
                <w:color w:val="000000"/>
                <w:spacing w:val="-46"/>
                <w:lang w:eastAsia="zh-CN"/>
              </w:rPr>
              <w:t xml:space="preserve"> </w:t>
            </w:r>
            <w:r>
              <w:rPr>
                <w:rFonts w:hint="eastAsia" w:ascii="宋体" w:hAnsi="宋体" w:eastAsia="宋体" w:cs="宋体"/>
                <w:color w:val="000000"/>
                <w:spacing w:val="-3"/>
                <w:lang w:eastAsia="zh-CN"/>
              </w:rPr>
              <w:t xml:space="preserve">级以内）</w:t>
            </w:r>
            <w:r/>
          </w:p>
        </w:tc>
      </w:tr>
      <w:tr>
        <w:trPr>
          <w:trHeight w:val="313"/>
        </w:trPr>
        <w:tc>
          <w:tcPr>
            <w:tcBorders>
              <w:top w:val="single" w:color="808080" w:sz="6" w:space="0"/>
              <w:left w:val="single" w:color="808080" w:sz="6" w:space="0"/>
              <w:bottom w:val="single" w:color="808080" w:sz="6" w:space="0"/>
              <w:right w:val="single" w:color="808080" w:sz="6" w:space="0"/>
            </w:tcBorders>
            <w:tcW w:w="1762" w:type="dxa"/>
            <w:textDirection w:val="lrTb"/>
            <w:noWrap w:val="false"/>
          </w:tcPr>
          <w:p>
            <w:pPr>
              <w:pStyle w:val="863"/>
              <w:ind w:left="599"/>
              <w:spacing w:before="33" w:line="204" w:lineRule="auto"/>
              <w:rPr>
                <w:rFonts w:ascii="宋体" w:hAnsi="宋体" w:eastAsia="宋体" w:cs="宋体"/>
                <w:color w:val="000000"/>
                <w:lang w:eastAsia="en-US"/>
              </w:rPr>
            </w:pPr>
            <w:r>
              <w:rPr>
                <w:rFonts w:hint="eastAsia" w:ascii="宋体" w:hAnsi="宋体" w:eastAsia="宋体" w:cs="宋体"/>
                <w:color w:val="000000"/>
                <w:spacing w:val="-4"/>
                <w:lang w:eastAsia="en-US"/>
              </w:rPr>
              <w:t xml:space="preserve">雪灾</w:t>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606"/>
              <w:spacing w:before="33" w:line="204" w:lineRule="auto"/>
              <w:rPr>
                <w:rFonts w:ascii="宋体" w:hAnsi="宋体" w:eastAsia="宋体" w:cs="宋体"/>
                <w:color w:val="000000"/>
                <w:lang w:eastAsia="en-US"/>
              </w:rPr>
            </w:pPr>
            <w:r>
              <w:rPr>
                <w:rFonts w:hint="eastAsia" w:ascii="宋体" w:hAnsi="宋体" w:eastAsia="宋体" w:cs="宋体"/>
                <w:color w:val="000000"/>
                <w:spacing w:val="-8"/>
                <w:lang w:eastAsia="en-US"/>
              </w:rPr>
              <w:t xml:space="preserve">叶面积雪</w:t>
            </w:r>
            <w:r>
              <w:rPr>
                <w:rFonts w:hint="eastAsia" w:ascii="宋体" w:hAnsi="宋体" w:eastAsia="宋体" w:cs="宋体"/>
                <w:color w:val="000000"/>
                <w:spacing w:val="-31"/>
                <w:lang w:eastAsia="en-US"/>
              </w:rPr>
              <w:t xml:space="preserve"> </w:t>
            </w:r>
            <w:r>
              <w:rPr>
                <w:rFonts w:hint="eastAsia" w:ascii="宋体" w:hAnsi="宋体" w:eastAsia="宋体" w:cs="宋体"/>
                <w:color w:val="000000"/>
                <w:spacing w:val="-8"/>
                <w:lang w:eastAsia="en-US"/>
              </w:rPr>
              <w:t xml:space="preserve">1cm</w:t>
            </w:r>
            <w:r>
              <w:rPr>
                <w:rFonts w:hint="eastAsia" w:ascii="宋体" w:hAnsi="宋体" w:eastAsia="宋体" w:cs="宋体"/>
                <w:color w:val="000000"/>
                <w:spacing w:val="-22"/>
                <w:lang w:eastAsia="en-US"/>
              </w:rPr>
              <w:t xml:space="preserve"> </w:t>
            </w:r>
            <w:r>
              <w:rPr>
                <w:rFonts w:hint="eastAsia" w:ascii="宋体" w:hAnsi="宋体" w:eastAsia="宋体" w:cs="宋体"/>
                <w:color w:val="000000"/>
                <w:spacing w:val="-8"/>
                <w:lang w:eastAsia="en-US"/>
              </w:rPr>
              <w:t xml:space="preserve">以内</w:t>
            </w:r>
            <w:r/>
          </w:p>
        </w:tc>
      </w:tr>
      <w:tr>
        <w:trPr>
          <w:trHeight w:val="314"/>
        </w:trPr>
        <w:tc>
          <w:tcPr>
            <w:tcBorders>
              <w:top w:val="single" w:color="808080" w:sz="6" w:space="0"/>
              <w:left w:val="single" w:color="808080" w:sz="6" w:space="0"/>
              <w:bottom w:val="single" w:color="808080" w:sz="6" w:space="0"/>
              <w:right w:val="single" w:color="808080" w:sz="6" w:space="0"/>
            </w:tcBorders>
            <w:tcW w:w="1762" w:type="dxa"/>
            <w:textDirection w:val="lrTb"/>
            <w:noWrap w:val="false"/>
          </w:tcPr>
          <w:p>
            <w:pPr>
              <w:pStyle w:val="863"/>
              <w:ind w:left="595"/>
              <w:spacing w:before="36" w:line="204"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风灾</w:t>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592"/>
              <w:spacing w:before="36" w:line="204" w:lineRule="auto"/>
              <w:rPr>
                <w:rFonts w:ascii="宋体" w:hAnsi="宋体" w:eastAsia="宋体" w:cs="宋体"/>
                <w:color w:val="000000"/>
                <w:lang w:eastAsia="zh-CN"/>
              </w:rPr>
            </w:pPr>
            <w:r>
              <w:rPr>
                <w:rFonts w:hint="eastAsia" w:ascii="宋体" w:hAnsi="宋体" w:eastAsia="宋体" w:cs="宋体"/>
                <w:color w:val="000000"/>
                <w:spacing w:val="-6"/>
                <w:lang w:eastAsia="zh-CN"/>
              </w:rPr>
              <w:t xml:space="preserve">连续降雨</w:t>
            </w:r>
            <w:r>
              <w:rPr>
                <w:rFonts w:hint="eastAsia" w:ascii="宋体" w:hAnsi="宋体" w:eastAsia="宋体" w:cs="宋体"/>
                <w:color w:val="000000"/>
                <w:spacing w:val="-39"/>
                <w:lang w:eastAsia="zh-CN"/>
              </w:rPr>
              <w:t xml:space="preserve"> </w:t>
            </w:r>
            <w:r>
              <w:rPr>
                <w:rFonts w:hint="eastAsia" w:ascii="宋体" w:hAnsi="宋体" w:eastAsia="宋体" w:cs="宋体"/>
                <w:color w:val="000000"/>
                <w:spacing w:val="-6"/>
                <w:lang w:eastAsia="zh-CN"/>
              </w:rPr>
              <w:t xml:space="preserve">50mm 以内，阵风</w:t>
            </w:r>
            <w:r>
              <w:rPr>
                <w:rFonts w:hint="eastAsia" w:ascii="宋体" w:hAnsi="宋体" w:eastAsia="宋体" w:cs="宋体"/>
                <w:color w:val="000000"/>
                <w:spacing w:val="-49"/>
                <w:lang w:eastAsia="zh-CN"/>
              </w:rPr>
              <w:t xml:space="preserve"> </w:t>
            </w:r>
            <w:r>
              <w:rPr>
                <w:rFonts w:hint="eastAsia" w:ascii="宋体" w:hAnsi="宋体" w:eastAsia="宋体" w:cs="宋体"/>
                <w:color w:val="000000"/>
                <w:spacing w:val="-6"/>
                <w:lang w:eastAsia="zh-CN"/>
              </w:rPr>
              <w:t xml:space="preserve">6</w:t>
            </w:r>
            <w:r>
              <w:rPr>
                <w:rFonts w:hint="eastAsia" w:ascii="宋体" w:hAnsi="宋体" w:eastAsia="宋体" w:cs="宋体"/>
                <w:color w:val="000000"/>
                <w:spacing w:val="-47"/>
                <w:lang w:eastAsia="zh-CN"/>
              </w:rPr>
              <w:t xml:space="preserve"> </w:t>
            </w:r>
            <w:r>
              <w:rPr>
                <w:rFonts w:hint="eastAsia" w:ascii="宋体" w:hAnsi="宋体" w:eastAsia="宋体" w:cs="宋体"/>
                <w:color w:val="000000"/>
                <w:spacing w:val="-6"/>
                <w:lang w:eastAsia="zh-CN"/>
              </w:rPr>
              <w:t xml:space="preserve">级以内</w:t>
            </w:r>
            <w:r/>
          </w:p>
        </w:tc>
      </w:tr>
      <w:tr>
        <w:trPr>
          <w:trHeight w:val="314"/>
        </w:trPr>
        <w:tc>
          <w:tcPr>
            <w:tcBorders>
              <w:top w:val="single" w:color="808080" w:sz="6" w:space="0"/>
              <w:left w:val="single" w:color="808080" w:sz="6" w:space="0"/>
              <w:bottom w:val="single" w:color="808080" w:sz="6" w:space="0"/>
              <w:right w:val="single" w:color="808080" w:sz="6" w:space="0"/>
            </w:tcBorders>
            <w:tcW w:w="1762" w:type="dxa"/>
            <w:textDirection w:val="lrTb"/>
            <w:noWrap w:val="false"/>
          </w:tcPr>
          <w:p>
            <w:pPr>
              <w:pStyle w:val="863"/>
              <w:ind w:left="596"/>
              <w:spacing w:before="36" w:line="204"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火情</w:t>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592"/>
              <w:spacing w:before="36" w:line="204" w:lineRule="auto"/>
              <w:rPr>
                <w:rFonts w:ascii="宋体" w:hAnsi="宋体" w:eastAsia="宋体" w:cs="宋体"/>
                <w:color w:val="000000"/>
                <w:lang w:eastAsia="en-US"/>
              </w:rPr>
            </w:pPr>
            <w:r>
              <w:rPr>
                <w:rFonts w:hint="eastAsia" w:ascii="宋体" w:hAnsi="宋体" w:eastAsia="宋体" w:cs="宋体"/>
                <w:color w:val="000000"/>
                <w:spacing w:val="-3"/>
                <w:lang w:eastAsia="en-US"/>
              </w:rPr>
              <w:t xml:space="preserve">过火面积</w:t>
            </w:r>
            <w:r>
              <w:rPr>
                <w:rFonts w:hint="eastAsia" w:ascii="宋体" w:hAnsi="宋体" w:eastAsia="宋体" w:cs="宋体"/>
                <w:color w:val="000000"/>
                <w:spacing w:val="-40"/>
                <w:lang w:eastAsia="en-US"/>
              </w:rPr>
              <w:t xml:space="preserve"> </w:t>
            </w:r>
            <w:r>
              <w:rPr>
                <w:rFonts w:hint="eastAsia" w:ascii="宋体" w:hAnsi="宋体" w:eastAsia="宋体" w:cs="宋体"/>
                <w:color w:val="000000"/>
                <w:spacing w:val="-3"/>
                <w:lang w:eastAsia="en-US"/>
              </w:rPr>
              <w:t xml:space="preserve">500</w:t>
            </w:r>
            <w:r>
              <w:rPr>
                <w:rFonts w:hint="eastAsia" w:ascii="宋体" w:hAnsi="宋体" w:eastAsia="宋体" w:cs="宋体"/>
                <w:color w:val="000000"/>
                <w:spacing w:val="-50"/>
                <w:lang w:eastAsia="en-US"/>
              </w:rPr>
              <w:t xml:space="preserve"> </w:t>
            </w:r>
            <w:r>
              <w:rPr>
                <w:rFonts w:hint="eastAsia" w:ascii="宋体" w:hAnsi="宋体" w:eastAsia="宋体" w:cs="宋体"/>
                <w:color w:val="000000"/>
                <w:spacing w:val="-3"/>
                <w:lang w:eastAsia="en-US"/>
              </w:rPr>
              <w:t xml:space="preserve">平方米以内</w:t>
            </w:r>
            <w:r/>
          </w:p>
        </w:tc>
      </w:tr>
      <w:tr>
        <w:trPr>
          <w:trHeight w:val="628"/>
        </w:trPr>
        <w:tc>
          <w:tcPr>
            <w:tcBorders>
              <w:top w:val="single" w:color="808080" w:sz="6" w:space="0"/>
              <w:left w:val="single" w:color="808080" w:sz="6" w:space="0"/>
              <w:bottom w:val="single" w:color="808080" w:sz="6" w:space="0"/>
              <w:right w:val="single" w:color="808080" w:sz="6" w:space="0"/>
            </w:tcBorders>
            <w:tcW w:w="1762" w:type="dxa"/>
            <w:vMerge w:val="restart"/>
            <w:textDirection w:val="lrTb"/>
            <w:noWrap w:val="false"/>
          </w:tcPr>
          <w:p>
            <w:pPr>
              <w:spacing w:line="252" w:lineRule="auto"/>
              <w:rPr>
                <w:rFonts w:ascii="宋体" w:hAnsi="宋体" w:eastAsia="Times New Roman" w:cs="宋体"/>
                <w:color w:val="000000"/>
                <w:lang w:eastAsia="en-US"/>
              </w:rPr>
            </w:pPr>
            <w:r>
              <w:rPr>
                <w:rFonts w:ascii="宋体" w:hAnsi="宋体" w:eastAsia="Times New Roman" w:cs="宋体"/>
                <w:color w:val="000000"/>
                <w:lang w:eastAsia="en-US"/>
              </w:rPr>
            </w:r>
            <w:r/>
          </w:p>
          <w:p>
            <w:pPr>
              <w:spacing w:line="252" w:lineRule="auto"/>
              <w:rPr>
                <w:rFonts w:ascii="宋体" w:hAnsi="宋体" w:eastAsia="Times New Roman" w:cs="宋体"/>
                <w:color w:val="000000"/>
                <w:lang w:eastAsia="en-US"/>
              </w:rPr>
            </w:pPr>
            <w:r>
              <w:rPr>
                <w:rFonts w:ascii="宋体" w:hAnsi="宋体" w:eastAsia="Times New Roman" w:cs="宋体"/>
                <w:color w:val="000000"/>
                <w:lang w:eastAsia="en-US"/>
              </w:rPr>
            </w:r>
            <w:r/>
          </w:p>
          <w:p>
            <w:pPr>
              <w:pStyle w:val="863"/>
              <w:ind w:left="593"/>
              <w:spacing w:before="78" w:line="216" w:lineRule="auto"/>
              <w:rPr>
                <w:rFonts w:ascii="宋体" w:hAnsi="宋体" w:eastAsia="宋体" w:cs="宋体"/>
                <w:color w:val="000000"/>
                <w:lang w:eastAsia="en-US"/>
              </w:rPr>
            </w:pPr>
            <w:r>
              <w:rPr>
                <w:rFonts w:hint="eastAsia" w:ascii="宋体" w:hAnsi="宋体" w:eastAsia="宋体" w:cs="宋体"/>
                <w:color w:val="000000"/>
                <w:spacing w:val="-2"/>
                <w:lang w:eastAsia="en-US"/>
              </w:rPr>
              <w:t xml:space="preserve">病虫害</w:t>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110" w:right="103" w:firstLine="482"/>
              <w:spacing w:before="38" w:line="216"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单株叶片危害率</w:t>
            </w:r>
            <w:r>
              <w:rPr>
                <w:rFonts w:hint="eastAsia" w:ascii="宋体" w:hAnsi="宋体" w:eastAsia="宋体" w:cs="宋体"/>
                <w:color w:val="000000"/>
                <w:spacing w:val="-44"/>
                <w:lang w:eastAsia="zh-CN"/>
              </w:rPr>
              <w:t xml:space="preserve"> </w:t>
            </w:r>
            <w:r>
              <w:rPr>
                <w:rFonts w:hint="eastAsia" w:ascii="宋体" w:hAnsi="宋体" w:eastAsia="宋体" w:cs="宋体"/>
                <w:color w:val="000000"/>
                <w:spacing w:val="-2"/>
                <w:lang w:eastAsia="zh-CN"/>
              </w:rPr>
              <w:t xml:space="preserve">50%以内、危害面积</w:t>
            </w:r>
            <w:r>
              <w:rPr>
                <w:rFonts w:hint="eastAsia" w:ascii="宋体" w:hAnsi="宋体" w:eastAsia="宋体" w:cs="宋体"/>
                <w:color w:val="000000"/>
                <w:spacing w:val="-34"/>
                <w:lang w:eastAsia="zh-CN"/>
              </w:rPr>
              <w:t xml:space="preserve"> </w:t>
            </w:r>
            <w:r>
              <w:rPr>
                <w:rFonts w:hint="eastAsia" w:ascii="宋体" w:hAnsi="宋体" w:eastAsia="宋体" w:cs="宋体"/>
                <w:color w:val="000000"/>
                <w:spacing w:val="-2"/>
                <w:lang w:eastAsia="zh-CN"/>
              </w:rPr>
              <w:t xml:space="preserve">10-100</w:t>
            </w:r>
            <w:r>
              <w:rPr>
                <w:rFonts w:hint="eastAsia" w:ascii="宋体" w:hAnsi="宋体" w:eastAsia="宋体" w:cs="宋体"/>
                <w:color w:val="000000"/>
                <w:spacing w:val="-51"/>
                <w:lang w:eastAsia="zh-CN"/>
              </w:rPr>
              <w:t xml:space="preserve"> </w:t>
            </w:r>
            <w:r>
              <w:rPr>
                <w:rFonts w:hint="eastAsia" w:ascii="宋体" w:hAnsi="宋体" w:eastAsia="宋体" w:cs="宋体"/>
                <w:color w:val="000000"/>
                <w:spacing w:val="-2"/>
                <w:lang w:eastAsia="zh-CN"/>
              </w:rPr>
              <w:t xml:space="preserve">平方米；植</w:t>
            </w:r>
            <w:r>
              <w:rPr>
                <w:rFonts w:hint="eastAsia" w:ascii="宋体" w:hAnsi="宋体" w:eastAsia="宋体" w:cs="宋体"/>
                <w:color w:val="000000"/>
                <w:lang w:eastAsia="zh-CN"/>
              </w:rPr>
              <w:t xml:space="preserve"> </w:t>
            </w:r>
            <w:r>
              <w:rPr>
                <w:rFonts w:hint="eastAsia" w:ascii="宋体" w:hAnsi="宋体" w:eastAsia="宋体" w:cs="宋体"/>
                <w:color w:val="000000"/>
                <w:spacing w:val="-2"/>
                <w:lang w:eastAsia="zh-CN"/>
              </w:rPr>
              <w:t xml:space="preserve">株枯萎</w:t>
            </w:r>
            <w:r/>
          </w:p>
        </w:tc>
      </w:tr>
      <w:tr>
        <w:trPr>
          <w:trHeight w:val="351"/>
        </w:trPr>
        <w:tc>
          <w:tcPr>
            <w:tcBorders>
              <w:top w:val="single" w:color="808080" w:sz="6" w:space="0"/>
              <w:left w:val="single" w:color="808080" w:sz="6" w:space="0"/>
              <w:bottom w:val="single" w:color="808080" w:sz="6" w:space="0"/>
              <w:right w:val="single" w:color="808080" w:sz="6" w:space="0"/>
            </w:tcBorders>
            <w:tcW w:w="1762" w:type="dxa"/>
            <w:vAlign w:val="center"/>
            <w:vMerge w:val="continue"/>
            <w:textDirection w:val="lrTb"/>
            <w:noWrap w:val="false"/>
          </w:tcPr>
          <w:p>
            <w:pPr>
              <w:jc w:val="left"/>
              <w:widowControl/>
              <w:rPr>
                <w:rFonts w:ascii="宋体" w:hAnsi="宋体" w:eastAsia="Times New Roman" w:cs="宋体"/>
                <w:color w:val="000000"/>
                <w:sz w:val="20"/>
                <w:szCs w:val="21"/>
                <w:lang w:eastAsia="zh-CN"/>
              </w:rPr>
            </w:pPr>
            <w:r>
              <w:rPr>
                <w:rFonts w:ascii="宋体" w:hAnsi="宋体" w:eastAsia="Times New Roman" w:cs="宋体"/>
                <w:color w:val="000000"/>
                <w:sz w:val="20"/>
                <w:szCs w:val="21"/>
                <w:lang w:eastAsia="zh-CN"/>
              </w:rPr>
            </w:r>
            <w:r/>
          </w:p>
        </w:tc>
        <w:tc>
          <w:tcPr>
            <w:tcBorders>
              <w:top w:val="single" w:color="808080" w:sz="6" w:space="0"/>
              <w:left w:val="single" w:color="808080" w:sz="6" w:space="0"/>
              <w:bottom w:val="single" w:color="808080" w:sz="6" w:space="0"/>
              <w:right w:val="single" w:color="808080" w:sz="6" w:space="0"/>
            </w:tcBorders>
            <w:tcW w:w="6533" w:type="dxa"/>
            <w:textDirection w:val="lrTb"/>
            <w:noWrap w:val="false"/>
          </w:tcPr>
          <w:p>
            <w:pPr>
              <w:pStyle w:val="863"/>
              <w:ind w:left="590"/>
              <w:spacing w:before="40" w:line="216" w:lineRule="auto"/>
              <w:rPr>
                <w:rFonts w:ascii="宋体" w:hAnsi="宋体" w:eastAsia="宋体" w:cs="宋体"/>
                <w:color w:val="000000"/>
                <w:lang w:eastAsia="zh-CN"/>
              </w:rPr>
            </w:pPr>
            <w:r>
              <w:rPr>
                <w:rFonts w:hint="eastAsia" w:ascii="宋体" w:hAnsi="宋体" w:eastAsia="宋体" w:cs="宋体"/>
                <w:color w:val="000000"/>
                <w:spacing w:val="-2"/>
                <w:lang w:eastAsia="zh-CN"/>
              </w:rPr>
              <w:t xml:space="preserve">病害感染面积</w:t>
            </w:r>
            <w:r>
              <w:rPr>
                <w:rFonts w:hint="eastAsia" w:ascii="宋体" w:hAnsi="宋体" w:eastAsia="宋体" w:cs="宋体"/>
                <w:color w:val="000000"/>
                <w:spacing w:val="-27"/>
                <w:lang w:eastAsia="zh-CN"/>
              </w:rPr>
              <w:t xml:space="preserve"> </w:t>
            </w:r>
            <w:r>
              <w:rPr>
                <w:rFonts w:hint="eastAsia" w:ascii="宋体" w:hAnsi="宋体" w:eastAsia="宋体" w:cs="宋体"/>
                <w:color w:val="000000"/>
                <w:spacing w:val="-2"/>
                <w:lang w:eastAsia="zh-CN"/>
              </w:rPr>
              <w:t xml:space="preserve">10-100</w:t>
            </w:r>
            <w:r>
              <w:rPr>
                <w:rFonts w:hint="eastAsia" w:ascii="宋体" w:hAnsi="宋体" w:eastAsia="宋体" w:cs="宋体"/>
                <w:color w:val="000000"/>
                <w:spacing w:val="-51"/>
                <w:lang w:eastAsia="zh-CN"/>
              </w:rPr>
              <w:t xml:space="preserve"> </w:t>
            </w:r>
            <w:r>
              <w:rPr>
                <w:rFonts w:hint="eastAsia" w:ascii="宋体" w:hAnsi="宋体" w:eastAsia="宋体" w:cs="宋体"/>
                <w:color w:val="000000"/>
                <w:spacing w:val="-2"/>
                <w:lang w:eastAsia="zh-CN"/>
              </w:rPr>
              <w:t xml:space="preserve">平方米以内，植株枯萎</w:t>
            </w:r>
            <w:r/>
          </w:p>
        </w:tc>
      </w:tr>
    </w:tbl>
    <w:p>
      <w:pPr>
        <w:ind w:firstLine="480"/>
        <w:spacing w:line="360" w:lineRule="auto"/>
        <w:rPr>
          <w:rFonts w:ascii="宋体" w:hAnsi="宋体" w:cs="宋体"/>
          <w:sz w:val="24"/>
        </w:rPr>
      </w:pPr>
      <w:r>
        <w:rPr>
          <w:rFonts w:hint="eastAsia" w:ascii="宋体" w:hAnsi="宋体" w:cs="宋体"/>
          <w:sz w:val="24"/>
        </w:rPr>
        <w:t xml:space="preserve">（2）预警：对可能发生的重大自然灾害的抢险应急工作要坚持“早预测，早通报，早处置 ”的原则，保障人民生命财产的安全和道路交通畅通及各类管线的安全运行，保证城市内各类活动尽快恢复正常。</w:t>
      </w:r>
      <w:r/>
    </w:p>
    <w:p>
      <w:pPr>
        <w:ind w:firstLine="480"/>
        <w:spacing w:line="360" w:lineRule="auto"/>
        <w:rPr>
          <w:rFonts w:ascii="宋体" w:hAnsi="宋体" w:cs="宋体"/>
          <w:sz w:val="24"/>
        </w:rPr>
      </w:pPr>
      <w:r>
        <w:rPr>
          <w:rFonts w:hint="eastAsia" w:ascii="宋体" w:hAnsi="宋体" w:cs="宋体"/>
          <w:sz w:val="24"/>
        </w:rPr>
        <w:t xml:space="preserve">（3）预防：做好预防工作能降低灾害损失和减轻抢险救灾的工作量，根据我市可能发生的各类自然灾害，要做好以下预防工作：</w:t>
      </w:r>
      <w:r/>
    </w:p>
    <w:p>
      <w:pPr>
        <w:ind w:firstLine="480"/>
        <w:spacing w:line="360" w:lineRule="auto"/>
        <w:rPr>
          <w:rFonts w:ascii="宋体" w:hAnsi="宋体" w:cs="宋体"/>
          <w:sz w:val="24"/>
        </w:rPr>
      </w:pPr>
      <w:r>
        <w:rPr>
          <w:rFonts w:hint="eastAsia" w:ascii="宋体" w:hAnsi="宋体" w:cs="宋体"/>
          <w:sz w:val="24"/>
        </w:rPr>
        <w:t xml:space="preserve">①抗旱：夏季高温干旱对绿地影响较大，此工作应由养护单位根据干旱情况和各类植物的习性及生长环境进行人工浇灌，科学进行抗旱，一方面可以保 证植物正常生长，另一方面提倡节约用水，降低工作成本。不得将自来水和雨 水井作为水源，浇水应避交通高峰，保证道路交通的畅通。</w:t>
      </w:r>
      <w:r/>
    </w:p>
    <w:p>
      <w:pPr>
        <w:ind w:firstLine="480"/>
        <w:spacing w:line="360" w:lineRule="auto"/>
        <w:rPr>
          <w:rFonts w:ascii="宋体" w:hAnsi="宋体" w:cs="宋体"/>
          <w:sz w:val="24"/>
        </w:rPr>
      </w:pPr>
      <w:r>
        <w:rPr>
          <w:rFonts w:hint="eastAsia" w:ascii="宋体" w:hAnsi="宋体" w:cs="宋体"/>
          <w:sz w:val="24"/>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 防止各类乔木的倒伏。</w:t>
      </w:r>
      <w:r/>
    </w:p>
    <w:p>
      <w:pPr>
        <w:numPr>
          <w:ilvl w:val="0"/>
          <w:numId w:val="2"/>
        </w:numPr>
        <w:ind w:firstLine="480"/>
        <w:spacing w:line="360" w:lineRule="auto"/>
        <w:rPr>
          <w:rFonts w:ascii="宋体" w:hAnsi="宋体" w:cs="宋体"/>
          <w:sz w:val="24"/>
        </w:rPr>
      </w:pPr>
      <w:r>
        <w:rPr>
          <w:rFonts w:hint="eastAsia" w:ascii="宋体" w:hAnsi="宋体" w:cs="宋体"/>
          <w:sz w:val="24"/>
        </w:rPr>
        <w:t xml:space="preserve">汛前准备：成立防汛领导小组，建立防汛通讯网络，落实抢险队伍，添置必须的防汛器材，以加强汛期抗险能力，做到召之即来。同时做好非汛期区域内全部绿地排水的疏通工作。</w:t>
      </w:r>
      <w:r/>
    </w:p>
    <w:p>
      <w:pPr>
        <w:ind w:firstLine="480"/>
        <w:spacing w:line="360" w:lineRule="auto"/>
        <w:rPr>
          <w:rFonts w:ascii="宋体" w:hAnsi="宋体" w:cs="宋体"/>
          <w:sz w:val="24"/>
        </w:rPr>
      </w:pPr>
      <w:r>
        <w:rPr>
          <w:rFonts w:hint="eastAsia" w:ascii="宋体" w:hAnsi="宋体" w:cs="宋体"/>
          <w:sz w:val="24"/>
        </w:rPr>
        <w:t xml:space="preserve">b.汛期抢险：安排人员加强值班，一旦预报有大到暴雨天气要组织人员外出巡查，并及时收听气象报告，做好气象、雨量记录。雨后，必须及时组织人员进行排水工作。</w:t>
      </w:r>
      <w:r/>
    </w:p>
    <w:p>
      <w:pPr>
        <w:ind w:firstLine="480"/>
        <w:spacing w:line="360" w:lineRule="auto"/>
        <w:rPr>
          <w:rFonts w:ascii="宋体" w:hAnsi="宋体" w:cs="宋体"/>
          <w:sz w:val="24"/>
        </w:rPr>
      </w:pPr>
      <w:r>
        <w:rPr>
          <w:rFonts w:hint="eastAsia" w:ascii="宋体" w:hAnsi="宋体" w:cs="宋体"/>
          <w:sz w:val="24"/>
        </w:rPr>
        <w:t xml:space="preserve">③抗台风：夏、秋季易发生台风危害，台风来临之前要做好以下工作。</w:t>
      </w:r>
      <w:r/>
    </w:p>
    <w:p>
      <w:pPr>
        <w:ind w:firstLine="480"/>
        <w:spacing w:line="360" w:lineRule="auto"/>
        <w:rPr>
          <w:rFonts w:ascii="宋体" w:hAnsi="宋体" w:cs="宋体"/>
          <w:sz w:val="24"/>
        </w:rPr>
      </w:pPr>
      <w:r>
        <w:rPr>
          <w:rFonts w:hint="eastAsia" w:ascii="宋体" w:hAnsi="宋体" w:cs="宋体"/>
          <w:sz w:val="24"/>
        </w:rPr>
        <w:t xml:space="preserve">a.加固树木支撑，尤其要对新植树木和堆高种植的树木作为加固支撑的重点；</w:t>
      </w:r>
      <w:r/>
    </w:p>
    <w:p>
      <w:pPr>
        <w:ind w:firstLine="480"/>
        <w:spacing w:line="360" w:lineRule="auto"/>
        <w:rPr>
          <w:rFonts w:ascii="宋体" w:hAnsi="宋体" w:cs="宋体"/>
          <w:sz w:val="24"/>
        </w:rPr>
      </w:pPr>
      <w:r>
        <w:rPr>
          <w:rFonts w:hint="eastAsia" w:ascii="宋体" w:hAnsi="宋体" w:cs="宋体"/>
          <w:sz w:val="24"/>
        </w:rPr>
        <w:t xml:space="preserve">b.对歪斜树木要进行扶正并做好支撑，对各类管线附近、居民房舍附近的歪斜树木要作为重点处理；</w:t>
      </w:r>
      <w:r/>
    </w:p>
    <w:p>
      <w:pPr>
        <w:ind w:firstLine="480"/>
        <w:spacing w:line="360" w:lineRule="auto"/>
        <w:rPr>
          <w:rFonts w:ascii="宋体" w:hAnsi="宋体" w:cs="宋体"/>
          <w:sz w:val="24"/>
        </w:rPr>
      </w:pPr>
      <w:r>
        <w:rPr>
          <w:rFonts w:hint="eastAsia" w:ascii="宋体" w:hAnsi="宋体" w:cs="宋体"/>
          <w:sz w:val="24"/>
        </w:rPr>
        <w:t xml:space="preserve">c.彻底清理各类乔木的枯、死枝，对树冠浓密的枝条进行修剪（但必须保持树冠的正常形态）。</w:t>
      </w:r>
      <w:r/>
    </w:p>
    <w:p>
      <w:pPr>
        <w:ind w:firstLine="480"/>
        <w:spacing w:line="360" w:lineRule="auto"/>
        <w:rPr>
          <w:rFonts w:ascii="宋体" w:hAnsi="宋体" w:cs="宋体"/>
          <w:sz w:val="24"/>
        </w:rPr>
      </w:pPr>
      <w:r>
        <w:rPr>
          <w:rFonts w:hint="eastAsia" w:ascii="宋体" w:hAnsi="宋体" w:cs="宋体"/>
          <w:sz w:val="24"/>
        </w:rPr>
        <w:t xml:space="preserve">d.台风季节应由专人值班，并在出现灾害后及时（24 小时内）处理完毕。</w:t>
      </w:r>
      <w:r/>
    </w:p>
    <w:p>
      <w:pPr>
        <w:ind w:firstLine="480"/>
        <w:spacing w:line="360" w:lineRule="auto"/>
        <w:rPr>
          <w:rFonts w:ascii="宋体" w:hAnsi="宋体" w:cs="宋体"/>
          <w:sz w:val="24"/>
        </w:rPr>
      </w:pPr>
      <w:r>
        <w:rPr>
          <w:rFonts w:hint="eastAsia" w:ascii="宋体" w:hAnsi="宋体" w:cs="宋体"/>
          <w:sz w:val="24"/>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80"/>
        <w:spacing w:line="360" w:lineRule="auto"/>
        <w:rPr>
          <w:rFonts w:ascii="宋体" w:hAnsi="宋体" w:cs="宋体"/>
          <w:sz w:val="24"/>
        </w:rPr>
      </w:pPr>
      <w:r>
        <w:rPr>
          <w:rFonts w:hint="eastAsia" w:ascii="宋体" w:hAnsi="宋体" w:cs="宋体"/>
          <w:sz w:val="24"/>
        </w:rPr>
        <w:t xml:space="preserve">（4）应针对不同自然灾害的发生期，准备必要的物资和工具应对不同灾害的救灾需要。</w:t>
      </w:r>
      <w:r/>
    </w:p>
    <w:p>
      <w:pPr>
        <w:ind w:firstLine="480"/>
        <w:spacing w:line="360" w:lineRule="auto"/>
        <w:rPr>
          <w:rFonts w:ascii="宋体" w:hAnsi="宋体" w:cs="宋体"/>
          <w:sz w:val="24"/>
        </w:rPr>
      </w:pPr>
      <w:r>
        <w:rPr>
          <w:rFonts w:hint="eastAsia" w:ascii="宋体" w:hAnsi="宋体" w:cs="宋体"/>
          <w:sz w:val="24"/>
        </w:rPr>
        <w:t xml:space="preserve">（5）加强巡视：各养护单位必须拥有自购的绿化养护专用巡视或抢险车，并加装 GPS 系统。在灾害发生期，各绿地养护单位应加强对各自管辖地段的巡 视，发现问题及时组织力量处理，并上报各抢险救灾指挥分中心。</w:t>
      </w:r>
      <w:r/>
    </w:p>
    <w:p>
      <w:pPr>
        <w:ind w:firstLine="480"/>
        <w:spacing w:line="360" w:lineRule="auto"/>
        <w:rPr>
          <w:rFonts w:ascii="宋体" w:hAnsi="宋体" w:cs="宋体"/>
          <w:sz w:val="24"/>
        </w:rPr>
      </w:pPr>
      <w:r>
        <w:rPr>
          <w:rFonts w:hint="eastAsia" w:ascii="宋体" w:hAnsi="宋体" w:cs="宋体"/>
          <w:sz w:val="24"/>
        </w:rPr>
        <w:t xml:space="preserve">（6）及时前线救灾：对一般性自然灾害（干旱、病虫害除外），要求在8 小时内处理完毕；对较大灾害，要求在 12 小时内处理完毕；对重大自然灾害， 要求在 24 小时内处理完毕。</w:t>
      </w:r>
      <w:r/>
    </w:p>
    <w:p>
      <w:pPr>
        <w:ind w:firstLine="480"/>
        <w:spacing w:line="360" w:lineRule="auto"/>
        <w:rPr>
          <w:rFonts w:ascii="宋体" w:hAnsi="宋体" w:cs="宋体"/>
          <w:sz w:val="24"/>
        </w:rPr>
      </w:pPr>
      <w:r>
        <w:rPr>
          <w:rFonts w:hint="eastAsia" w:ascii="宋体" w:hAnsi="宋体" w:cs="宋体"/>
          <w:sz w:val="24"/>
        </w:rPr>
        <w:t xml:space="preserve">（7）抓重点带一般处理灾情：对妨碍交通、影响各类管线正常运行、居民房舍安全的应作为重点首先进行处理，保证城市生活的正常秩序。</w:t>
      </w:r>
      <w:r/>
    </w:p>
    <w:p>
      <w:pPr>
        <w:ind w:firstLine="480"/>
        <w:spacing w:line="360" w:lineRule="auto"/>
        <w:rPr>
          <w:rFonts w:ascii="宋体" w:hAnsi="宋体" w:cs="宋体"/>
          <w:sz w:val="24"/>
        </w:rPr>
      </w:pPr>
      <w:r>
        <w:rPr>
          <w:rFonts w:hint="eastAsia" w:ascii="宋体" w:hAnsi="宋体" w:cs="宋体"/>
          <w:sz w:val="24"/>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w:t>
      </w:r>
      <w:r/>
    </w:p>
    <w:p>
      <w:pPr>
        <w:ind w:firstLine="480"/>
        <w:spacing w:line="360" w:lineRule="auto"/>
        <w:rPr>
          <w:rFonts w:ascii="宋体" w:hAnsi="宋体" w:cs="宋体"/>
          <w:sz w:val="24"/>
        </w:rPr>
      </w:pPr>
      <w:r>
        <w:rPr>
          <w:rFonts w:hint="eastAsia" w:ascii="宋体" w:hAnsi="宋体" w:cs="宋体"/>
          <w:sz w:val="24"/>
        </w:rPr>
        <w:t xml:space="preserve">处理居民区内的树木，必须设置道路安全警示标牌，以免交通事故的发生，晚间抢先必须穿反光背心。</w:t>
      </w:r>
      <w:r/>
    </w:p>
    <w:p>
      <w:pPr>
        <w:ind w:firstLine="480"/>
        <w:spacing w:line="360" w:lineRule="auto"/>
        <w:rPr>
          <w:rFonts w:ascii="宋体" w:hAnsi="宋体" w:cs="宋体"/>
          <w:sz w:val="24"/>
        </w:rPr>
      </w:pPr>
      <w:r>
        <w:rPr>
          <w:rFonts w:hint="eastAsia" w:ascii="宋体" w:hAnsi="宋体" w:cs="宋体"/>
          <w:sz w:val="24"/>
        </w:rPr>
        <w:t xml:space="preserve">（9）灾后恢复：对受自然灾害毁坏的绿地应尽快恢复原状，对一般性自然 灾害应在2天内恢复；对较大自然灾害，应在一周内恢复；对重大自然灾害，应在 15 天内恢复。绿地恢复应科学种植，对非种植季节产生的灾害，提倡在整理好现场的基础上，于合理的种植季节进行植物种植。</w:t>
      </w:r>
      <w:r/>
    </w:p>
    <w:p>
      <w:pPr>
        <w:ind w:firstLine="480"/>
        <w:spacing w:line="360" w:lineRule="auto"/>
        <w:rPr>
          <w:rFonts w:ascii="宋体" w:hAnsi="宋体" w:cs="宋体"/>
          <w:sz w:val="24"/>
        </w:rPr>
      </w:pPr>
      <w:r>
        <w:rPr>
          <w:rFonts w:hint="eastAsia" w:ascii="宋体" w:hAnsi="宋体" w:cs="宋体"/>
          <w:sz w:val="24"/>
        </w:rPr>
        <w:t xml:space="preserve">5、绿地日常管理</w:t>
      </w:r>
      <w:r/>
    </w:p>
    <w:p>
      <w:pPr>
        <w:ind w:firstLine="480"/>
        <w:spacing w:line="360" w:lineRule="auto"/>
        <w:rPr>
          <w:rFonts w:ascii="宋体" w:hAnsi="宋体" w:cs="宋体"/>
          <w:sz w:val="24"/>
        </w:rPr>
      </w:pPr>
      <w:r>
        <w:rPr>
          <w:rFonts w:hint="eastAsia" w:ascii="宋体" w:hAnsi="宋体" w:cs="宋体"/>
          <w:sz w:val="24"/>
        </w:rPr>
        <w:t xml:space="preserve">（1）每天进行绿地保洁，及时清除绿地内纸屑烟蒂果壳、垃圾堆物等不洁物，保持绿地清洁。景观道路沿线绿地保洁按季节特征实行动态巡视管理，确保早晨上班高峰时绿地清洁。（随绿地保洁权的归属而变更）</w:t>
      </w:r>
      <w:r/>
    </w:p>
    <w:p>
      <w:pPr>
        <w:ind w:firstLine="480"/>
        <w:spacing w:line="360" w:lineRule="auto"/>
        <w:rPr>
          <w:rFonts w:ascii="宋体" w:hAnsi="宋体" w:cs="宋体"/>
          <w:sz w:val="24"/>
        </w:rPr>
      </w:pPr>
      <w:r>
        <w:rPr>
          <w:rFonts w:hint="eastAsia" w:ascii="宋体" w:hAnsi="宋体" w:cs="宋体"/>
          <w:sz w:val="24"/>
        </w:rPr>
        <w:t xml:space="preserve">（2）行道树修剪、打药水和绿化隔离带喷水除尘的文明安全要求：行道树修剪必须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r/>
    </w:p>
    <w:p>
      <w:pPr>
        <w:ind w:firstLine="480"/>
        <w:spacing w:line="360" w:lineRule="auto"/>
        <w:rPr>
          <w:rFonts w:ascii="宋体" w:hAnsi="宋体" w:cs="宋体"/>
          <w:sz w:val="24"/>
        </w:rPr>
      </w:pPr>
      <w:r>
        <w:rPr>
          <w:rFonts w:hint="eastAsia" w:ascii="宋体" w:hAnsi="宋体" w:cs="宋体"/>
          <w:sz w:val="24"/>
        </w:rPr>
        <w:t xml:space="preserve">6、单列专项质量：</w:t>
      </w:r>
      <w:r/>
    </w:p>
    <w:p>
      <w:pPr>
        <w:ind w:firstLine="480"/>
        <w:spacing w:line="360" w:lineRule="auto"/>
        <w:rPr>
          <w:rFonts w:ascii="宋体" w:hAnsi="宋体" w:cs="宋体"/>
          <w:sz w:val="24"/>
        </w:rPr>
      </w:pPr>
      <w:r>
        <w:rPr>
          <w:rFonts w:hint="eastAsia" w:ascii="宋体" w:hAnsi="宋体" w:cs="宋体"/>
          <w:sz w:val="24"/>
        </w:rPr>
        <w:t xml:space="preserve">对单列专项的项目，承包人必须按发包人的具体指令要求实施。</w:t>
      </w:r>
      <w:r/>
    </w:p>
    <w:p>
      <w:pPr>
        <w:ind w:firstLine="480"/>
        <w:spacing w:line="360" w:lineRule="auto"/>
        <w:rPr>
          <w:rFonts w:ascii="宋体" w:hAnsi="宋体" w:cs="宋体"/>
          <w:sz w:val="24"/>
        </w:rPr>
      </w:pPr>
      <w:r>
        <w:rPr>
          <w:rFonts w:hint="eastAsia" w:ascii="宋体" w:hAnsi="宋体" w:cs="宋体"/>
          <w:sz w:val="24"/>
        </w:rPr>
        <w:t xml:space="preserve">（1）乔灌木养护 :</w:t>
      </w:r>
      <w:r/>
    </w:p>
    <w:p>
      <w:pPr>
        <w:ind w:firstLine="480"/>
        <w:spacing w:line="360" w:lineRule="auto"/>
        <w:rPr>
          <w:rFonts w:ascii="宋体" w:hAnsi="宋体" w:cs="宋体"/>
          <w:sz w:val="24"/>
        </w:rPr>
      </w:pPr>
      <w:r>
        <w:rPr>
          <w:rFonts w:hint="eastAsia" w:ascii="宋体" w:hAnsi="宋体" w:cs="宋体"/>
          <w:sz w:val="24"/>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80"/>
        <w:spacing w:line="360" w:lineRule="auto"/>
        <w:rPr>
          <w:rFonts w:ascii="宋体" w:hAnsi="宋体" w:cs="宋体"/>
          <w:sz w:val="24"/>
        </w:rPr>
      </w:pPr>
      <w:r>
        <w:rPr>
          <w:rFonts w:hint="eastAsia" w:ascii="宋体" w:hAnsi="宋体" w:cs="宋体"/>
          <w:sz w:val="24"/>
        </w:rPr>
        <w:t xml:space="preserve">②松土除草。乔、灌木下的杂草应及时铲除；树木根部周围的土壤要保持疏松，易板结的土壤在高温季节须每月松土 2 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80"/>
        <w:spacing w:line="360" w:lineRule="auto"/>
        <w:rPr>
          <w:rFonts w:ascii="宋体" w:hAnsi="宋体" w:cs="宋体"/>
          <w:sz w:val="24"/>
        </w:rPr>
      </w:pPr>
      <w:r>
        <w:rPr>
          <w:rFonts w:hint="eastAsia" w:ascii="宋体" w:hAnsi="宋体" w:cs="宋体"/>
          <w:sz w:val="24"/>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 25×30cm。除根外施肥外，肥料不得触及树叶，施肥宜在晴天进行。</w:t>
      </w:r>
      <w:r/>
    </w:p>
    <w:p>
      <w:pPr>
        <w:ind w:firstLine="480"/>
        <w:spacing w:line="360" w:lineRule="auto"/>
        <w:rPr>
          <w:rFonts w:ascii="宋体" w:hAnsi="宋体" w:cs="宋体"/>
          <w:sz w:val="24"/>
        </w:rPr>
      </w:pPr>
      <w:r>
        <w:rPr>
          <w:rFonts w:hint="eastAsia" w:ascii="宋体" w:hAnsi="宋体" w:cs="宋体"/>
          <w:sz w:val="24"/>
        </w:rPr>
        <w:t xml:space="preserve">④修剪整形</w:t>
      </w:r>
      <w:r>
        <w:rPr>
          <w:rFonts w:hint="eastAsia" w:ascii="宋体" w:hAnsi="宋体" w:cs="宋体"/>
          <w:sz w:val="24"/>
        </w:rPr>
        <w:t xml:space="preserve">。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 自下而上、先内后外、去弱留强、去老留新 ”的原则进行修剪。绿篱类：绿篱修剪应促其分枝，保证其枝叶丰满、线条整齐，防止退化，特殊造型的绿篱要逐</w:t>
      </w:r>
      <w:r>
        <w:rPr>
          <w:rFonts w:hint="eastAsia" w:ascii="宋体" w:hAnsi="宋体" w:cs="宋体"/>
          <w:sz w:val="24"/>
        </w:rPr>
        <w:t xml:space="preserve">步修剪成形。修剪次数视绿篱生长情况而定。地被、攀援类：修剪要促进分枝，加速覆盖和攀援的功能，对多年生攀援植物应清除枯枝，删除老弱藤蔓，枝条修剪时，切口必须靠节，剪口应在剪口芽的反侧呈 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 20cm，剥芽时不得拉伤树皮，修剪剩余物要及时清理干净，保证作业现场的洁净。</w:t>
      </w:r>
      <w:r/>
    </w:p>
    <w:p>
      <w:pPr>
        <w:ind w:firstLine="480"/>
        <w:spacing w:line="360" w:lineRule="auto"/>
        <w:rPr>
          <w:rFonts w:ascii="宋体" w:hAnsi="宋体" w:cs="宋体"/>
          <w:sz w:val="24"/>
        </w:rPr>
      </w:pPr>
      <w:r>
        <w:rPr>
          <w:rFonts w:hint="eastAsia" w:ascii="宋体" w:hAnsi="宋体" w:cs="宋体"/>
          <w:sz w:val="24"/>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80"/>
        <w:spacing w:line="360" w:lineRule="auto"/>
        <w:rPr>
          <w:rFonts w:ascii="宋体" w:hAnsi="宋体" w:cs="宋体"/>
          <w:sz w:val="24"/>
        </w:rPr>
      </w:pPr>
      <w:r>
        <w:rPr>
          <w:rFonts w:hint="eastAsia" w:ascii="宋体" w:hAnsi="宋体" w:cs="宋体"/>
          <w:sz w:val="24"/>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p>
    <w:p>
      <w:pPr>
        <w:ind w:firstLine="480"/>
        <w:spacing w:line="360" w:lineRule="auto"/>
        <w:rPr>
          <w:rFonts w:ascii="宋体" w:hAnsi="宋体" w:cs="宋体"/>
          <w:sz w:val="24"/>
        </w:rPr>
      </w:pPr>
      <w:r>
        <w:rPr>
          <w:rFonts w:hint="eastAsia" w:ascii="宋体" w:hAnsi="宋体" w:cs="宋体"/>
          <w:sz w:val="24"/>
        </w:rPr>
        <w:t xml:space="preserve">（2）地被和草坪养护</w:t>
      </w:r>
      <w:r/>
    </w:p>
    <w:p>
      <w:pPr>
        <w:ind w:firstLine="480"/>
        <w:spacing w:line="360" w:lineRule="auto"/>
        <w:rPr>
          <w:rFonts w:ascii="宋体" w:hAnsi="宋体" w:cs="宋体"/>
          <w:sz w:val="24"/>
        </w:rPr>
      </w:pPr>
      <w:r>
        <w:rPr>
          <w:rFonts w:hint="eastAsia" w:ascii="宋体" w:hAnsi="宋体" w:cs="宋体"/>
          <w:sz w:val="24"/>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 6cm；宿根类地被植物，经3-4 年生长后，根部拥挤以致影响其正常发育时，应按不同类群的生理习性进行分株，更新移植。</w:t>
      </w:r>
      <w:r/>
    </w:p>
    <w:p>
      <w:pPr>
        <w:ind w:firstLine="480"/>
        <w:spacing w:line="360" w:lineRule="auto"/>
        <w:rPr>
          <w:rFonts w:ascii="宋体" w:hAnsi="宋体" w:cs="宋体"/>
          <w:sz w:val="24"/>
        </w:rPr>
      </w:pPr>
      <w:r>
        <w:rPr>
          <w:rFonts w:hint="eastAsia" w:ascii="宋体" w:hAnsi="宋体" w:cs="宋体"/>
          <w:sz w:val="24"/>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 2-3 次；暖季性草种每年修剪 2-3次，施肥 2-3次。</w:t>
      </w:r>
      <w:r/>
    </w:p>
    <w:p>
      <w:pPr>
        <w:ind w:firstLine="480"/>
        <w:spacing w:line="360" w:lineRule="auto"/>
        <w:rPr>
          <w:rFonts w:ascii="宋体" w:hAnsi="宋体" w:cs="宋体"/>
          <w:sz w:val="24"/>
        </w:rPr>
      </w:pPr>
      <w:r>
        <w:rPr>
          <w:rFonts w:hint="eastAsia" w:ascii="宋体" w:hAnsi="宋体" w:cs="宋体"/>
          <w:sz w:val="24"/>
        </w:rPr>
        <w:t xml:space="preserve">（3）花坛花卉养护</w:t>
      </w:r>
      <w:r/>
    </w:p>
    <w:p>
      <w:pPr>
        <w:ind w:firstLine="480"/>
        <w:spacing w:line="360" w:lineRule="auto"/>
        <w:rPr>
          <w:rFonts w:ascii="宋体" w:hAnsi="宋体" w:cs="宋体"/>
          <w:sz w:val="24"/>
        </w:rPr>
      </w:pPr>
      <w:r>
        <w:rPr>
          <w:rFonts w:hint="eastAsia" w:ascii="宋体" w:hAnsi="宋体" w:cs="宋体"/>
          <w:sz w:val="24"/>
        </w:rPr>
        <w:t xml:space="preserve">①认真做好花卉、花坛的养护工作，花坛换花除了间种以外，栽植前必须深耕细耙，除尽土中的石块、草屑、残茎和落叶等杂物并施足基肥；花坛的防护设施应经常保持清洁完好。</w:t>
      </w:r>
      <w:r/>
    </w:p>
    <w:p>
      <w:pPr>
        <w:ind w:firstLine="480"/>
        <w:spacing w:line="360" w:lineRule="auto"/>
        <w:rPr>
          <w:rFonts w:ascii="宋体" w:hAnsi="宋体" w:cs="宋体"/>
          <w:sz w:val="24"/>
        </w:rPr>
      </w:pPr>
      <w:r>
        <w:rPr>
          <w:rFonts w:hint="eastAsia" w:ascii="宋体" w:hAnsi="宋体" w:cs="宋体"/>
          <w:sz w:val="24"/>
        </w:rPr>
        <w:t xml:space="preserve">②春季花苗的移栽应在早晨、傍晚或阴天进行；栽植后，应随即浇水。栽植后的 4-5 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80"/>
        <w:spacing w:line="360" w:lineRule="auto"/>
        <w:rPr>
          <w:rFonts w:ascii="宋体" w:hAnsi="宋体" w:cs="宋体"/>
          <w:sz w:val="24"/>
        </w:rPr>
      </w:pPr>
      <w:r>
        <w:rPr>
          <w:rFonts w:hint="eastAsia" w:ascii="宋体" w:hAnsi="宋体" w:cs="宋体"/>
          <w:sz w:val="24"/>
        </w:rPr>
        <w:t xml:space="preserve">（4）硬质景观养护</w:t>
      </w:r>
      <w:r/>
    </w:p>
    <w:p>
      <w:pPr>
        <w:ind w:firstLine="480"/>
        <w:spacing w:line="360" w:lineRule="auto"/>
        <w:rPr>
          <w:rFonts w:ascii="宋体" w:hAnsi="宋体" w:cs="宋体"/>
          <w:sz w:val="24"/>
        </w:rPr>
      </w:pPr>
      <w:r>
        <w:rPr>
          <w:rFonts w:hint="eastAsia" w:ascii="宋体" w:hAnsi="宋体" w:cs="宋体"/>
          <w:sz w:val="24"/>
        </w:rPr>
        <w:t xml:space="preserve">①硬质景观包括园路、花台、花架、亭廊、座椅、栏杆、标志牌箱等园林小品等设施。应保持完好无损，发现缺损应及时修补、更换。</w:t>
      </w:r>
      <w:r/>
    </w:p>
    <w:p>
      <w:pPr>
        <w:ind w:firstLine="480"/>
        <w:spacing w:line="360" w:lineRule="auto"/>
        <w:rPr>
          <w:rFonts w:ascii="宋体" w:hAnsi="宋体" w:cs="宋体"/>
          <w:sz w:val="24"/>
        </w:rPr>
      </w:pPr>
      <w:r>
        <w:rPr>
          <w:rFonts w:hint="eastAsia" w:ascii="宋体" w:hAnsi="宋体" w:cs="宋体"/>
          <w:sz w:val="24"/>
        </w:rPr>
        <w:t xml:space="preserve">②随时保持绿地清洁、美观。亭、廊整洁，无驳落物和痕迹，无垃圾。</w:t>
      </w:r>
      <w:r/>
    </w:p>
    <w:p>
      <w:pPr>
        <w:ind w:firstLine="480"/>
        <w:spacing w:line="360" w:lineRule="auto"/>
        <w:rPr>
          <w:rFonts w:ascii="宋体" w:hAnsi="宋体" w:cs="宋体"/>
          <w:sz w:val="24"/>
        </w:rPr>
      </w:pPr>
      <w:r>
        <w:rPr>
          <w:rFonts w:hint="eastAsia" w:ascii="宋体" w:hAnsi="宋体" w:cs="宋体"/>
          <w:sz w:val="24"/>
        </w:rPr>
        <w:t xml:space="preserve">③花坛、护栏等设施，经常维护，无破损残缺。花盆花篮等园林装饰品完整、清洁，无破损、无丢失。</w:t>
      </w:r>
      <w:r/>
    </w:p>
    <w:p>
      <w:pPr>
        <w:ind w:firstLine="480"/>
        <w:spacing w:line="360" w:lineRule="auto"/>
        <w:rPr>
          <w:rFonts w:ascii="宋体" w:hAnsi="宋体" w:cs="宋体"/>
          <w:sz w:val="24"/>
        </w:rPr>
      </w:pPr>
      <w:r>
        <w:rPr>
          <w:rFonts w:hint="eastAsia" w:ascii="宋体" w:hAnsi="宋体" w:cs="宋体"/>
          <w:sz w:val="24"/>
        </w:rPr>
        <w:t xml:space="preserve">④绿地内园路、小品等硬质铺装及构筑物按时保养维修，</w:t>
      </w:r>
      <w:r>
        <w:rPr>
          <w:rFonts w:hint="eastAsia" w:ascii="宋体" w:hAnsi="宋体" w:cs="宋体"/>
          <w:sz w:val="24"/>
        </w:rPr>
        <w:t xml:space="preserve">其中木结构设施整体油漆：木地板、木坐凳等木结构设施每年要整体油漆一次；亭、廊、花架三年整体油漆一次，油漆时间甲方确定，油漆要求为：（1）打磨（无毛刺、 灰尘、污渍）；（2）刮腻子，砂纸磨光；（3）底漆第一遍，等待渗透、晾干、 打磨；（4）面漆二道，每道油漆之间需等上一道油漆干燥、渗透、打磨后才能 进行下一道油漆；（5）施工温度为5～35 摄氏度，不得雨天施工；（6）每道工序结束后施工单位需及时通知甲方代表现场确认通过，否则不予承认，并要求返工；（7）亭子油漆颜色与原油漆颜色同，木地板、木坐凳油漆颜色为原色。</w:t>
      </w:r>
      <w:r/>
    </w:p>
    <w:p>
      <w:pPr>
        <w:ind w:firstLine="480"/>
        <w:spacing w:line="360" w:lineRule="auto"/>
        <w:rPr>
          <w:rFonts w:ascii="宋体" w:hAnsi="宋体" w:cs="宋体"/>
          <w:sz w:val="24"/>
        </w:rPr>
      </w:pPr>
      <w:r>
        <w:rPr>
          <w:rFonts w:hint="eastAsia" w:ascii="宋体" w:hAnsi="宋体" w:cs="宋体"/>
          <w:sz w:val="24"/>
        </w:rPr>
        <w:t xml:space="preserve">（5）广场、公共绿地保洁</w:t>
      </w:r>
      <w:r/>
    </w:p>
    <w:p>
      <w:pPr>
        <w:ind w:firstLine="480"/>
        <w:spacing w:line="360" w:lineRule="auto"/>
        <w:rPr>
          <w:rFonts w:ascii="宋体" w:hAnsi="宋体" w:cs="宋体"/>
          <w:sz w:val="24"/>
        </w:rPr>
      </w:pPr>
      <w:r>
        <w:rPr>
          <w:rFonts w:hint="eastAsia" w:ascii="宋体" w:hAnsi="宋体" w:cs="宋体"/>
          <w:sz w:val="24"/>
        </w:rPr>
        <w:t xml:space="preserve">①严格按照一级绿地 16 小时（6:00-22:00，分两个班次）的标准进行作业。</w:t>
      </w:r>
      <w:r/>
    </w:p>
    <w:p>
      <w:pPr>
        <w:ind w:firstLine="480"/>
        <w:spacing w:line="360" w:lineRule="auto"/>
        <w:rPr>
          <w:rFonts w:ascii="宋体" w:hAnsi="宋体" w:cs="宋体"/>
          <w:sz w:val="24"/>
        </w:rPr>
      </w:pPr>
      <w:r>
        <w:rPr>
          <w:rFonts w:hint="eastAsia" w:ascii="宋体" w:hAnsi="宋体" w:cs="宋体"/>
          <w:sz w:val="24"/>
        </w:rPr>
        <w:t xml:space="preserve">②实施人工为主、机械辅助的作业方式，每天清扫不少于 2 遍。第一遍大扫及洒水在早上7：30前结束，第二遍大扫及洒水在下午1：30前结束，其余时间进入全路段、全时间段巡回保洁状态。</w:t>
      </w:r>
      <w:r/>
    </w:p>
    <w:p>
      <w:pPr>
        <w:ind w:firstLine="480"/>
        <w:spacing w:line="360" w:lineRule="auto"/>
        <w:rPr>
          <w:rFonts w:ascii="宋体" w:hAnsi="宋体" w:cs="宋体"/>
          <w:sz w:val="24"/>
        </w:rPr>
      </w:pPr>
      <w:r>
        <w:rPr>
          <w:rFonts w:hint="eastAsia" w:ascii="宋体" w:hAnsi="宋体" w:cs="宋体"/>
          <w:sz w:val="24"/>
        </w:rPr>
        <w:t xml:space="preserve">③广场和园路每周冲洗不少于 2 次（雪、冰冻天气除外），宜在23：00－7：00 之间进行作业，避开人群高峰时段。</w:t>
      </w:r>
      <w:r/>
    </w:p>
    <w:p>
      <w:pPr>
        <w:ind w:firstLine="480"/>
        <w:spacing w:line="360" w:lineRule="auto"/>
        <w:rPr>
          <w:rFonts w:ascii="宋体" w:hAnsi="宋体" w:cs="宋体"/>
          <w:sz w:val="24"/>
        </w:rPr>
      </w:pPr>
      <w:r>
        <w:rPr>
          <w:rFonts w:hint="eastAsia" w:ascii="宋体" w:hAnsi="宋体" w:cs="宋体"/>
          <w:sz w:val="24"/>
        </w:rPr>
        <w:t xml:space="preserve">④垃圾桶每日擦拭，随脏随洗，内壁无结垢，保持外观无积灰、无油污，无破损；上、下午各清掏一次，确保每个收集期内无满溢，并实施密闭收集外运。</w:t>
      </w:r>
      <w:r/>
    </w:p>
    <w:p>
      <w:pPr>
        <w:ind w:firstLine="480"/>
        <w:spacing w:line="360" w:lineRule="auto"/>
        <w:rPr>
          <w:rFonts w:ascii="宋体" w:hAnsi="宋体" w:cs="宋体"/>
          <w:sz w:val="24"/>
        </w:rPr>
      </w:pPr>
      <w:r>
        <w:rPr>
          <w:rFonts w:hint="eastAsia" w:ascii="宋体" w:hAnsi="宋体" w:cs="宋体"/>
          <w:sz w:val="24"/>
        </w:rPr>
        <w:t xml:space="preserve">⑤护栏每2周集中擦洗 1次，较为明显的灰尘和污迹做到随脏随洗。“小广告”每日巡查并在 2 小时内清除。</w:t>
      </w:r>
      <w:r/>
    </w:p>
    <w:p>
      <w:pPr>
        <w:ind w:firstLine="480"/>
        <w:spacing w:line="360" w:lineRule="auto"/>
        <w:rPr>
          <w:rFonts w:ascii="宋体" w:hAnsi="宋体" w:cs="宋体"/>
          <w:sz w:val="24"/>
        </w:rPr>
      </w:pPr>
      <w:r>
        <w:rPr>
          <w:rFonts w:hint="eastAsia" w:ascii="宋体" w:hAnsi="宋体" w:cs="宋体"/>
          <w:sz w:val="24"/>
        </w:rPr>
        <w:t xml:space="preserve">⑥实行从路牙到墙根清扫保洁，做到“五无五净 ”，即：无垃圾杂物堆积、无积水积泥、无痰迹烟蒂、无果皮纸屑、无土石杂草；铺装面干净、绿地干净、边角侧石干净、井盖干净、垃圾桶和各类园林设施干净。及时清扫落叶，临时垃圾滞留地面时间不得超过 20 分钟。</w:t>
      </w:r>
      <w:r/>
    </w:p>
    <w:p>
      <w:pPr>
        <w:ind w:firstLine="480"/>
        <w:spacing w:line="360" w:lineRule="auto"/>
        <w:rPr>
          <w:rFonts w:ascii="宋体" w:hAnsi="宋体" w:cs="宋体"/>
          <w:sz w:val="24"/>
        </w:rPr>
      </w:pPr>
      <w:r>
        <w:rPr>
          <w:rFonts w:hint="eastAsia" w:ascii="宋体" w:hAnsi="宋体" w:cs="宋体"/>
          <w:sz w:val="24"/>
        </w:rPr>
        <w:t xml:space="preserve">⑦对保洁范围内的各项设施有管护责任，发现设点摆摊、破坏设施等问题应及时制止并报告。</w:t>
      </w:r>
      <w:r/>
    </w:p>
    <w:p>
      <w:pPr>
        <w:ind w:firstLine="480"/>
        <w:spacing w:line="360" w:lineRule="auto"/>
        <w:rPr>
          <w:rFonts w:ascii="宋体" w:hAnsi="宋体" w:cs="宋体"/>
          <w:sz w:val="24"/>
        </w:rPr>
      </w:pPr>
      <w:r>
        <w:rPr>
          <w:rFonts w:hint="eastAsia" w:ascii="宋体" w:hAnsi="宋体" w:cs="宋体"/>
          <w:sz w:val="24"/>
        </w:rPr>
        <w:t xml:space="preserve">⑧重大活动、节假日等无条件按主管部门要求增加作业频次，延长清扫保洁时间。</w:t>
      </w:r>
      <w:r/>
    </w:p>
    <w:p>
      <w:pPr>
        <w:ind w:firstLine="480"/>
        <w:spacing w:line="360" w:lineRule="auto"/>
        <w:rPr>
          <w:rFonts w:ascii="宋体" w:hAnsi="宋体" w:cs="宋体"/>
          <w:sz w:val="24"/>
        </w:rPr>
      </w:pPr>
      <w:r>
        <w:rPr>
          <w:rFonts w:hint="eastAsia" w:ascii="宋体" w:hAnsi="宋体" w:cs="宋体"/>
          <w:sz w:val="24"/>
        </w:rPr>
        <w:t xml:space="preserve">⑨安全文明作业，避免妨碍他人。</w:t>
      </w:r>
      <w:r/>
    </w:p>
    <w:p>
      <w:pPr>
        <w:ind w:firstLine="480"/>
        <w:spacing w:line="360" w:lineRule="auto"/>
        <w:rPr>
          <w:rFonts w:ascii="宋体" w:hAnsi="宋体" w:cs="宋体"/>
          <w:sz w:val="24"/>
        </w:rPr>
      </w:pPr>
      <w:r>
        <w:rPr>
          <w:rFonts w:hint="eastAsia" w:ascii="宋体" w:hAnsi="宋体" w:cs="宋体"/>
          <w:sz w:val="24"/>
        </w:rPr>
        <w:t xml:space="preserve">（6）古树名木养护</w:t>
      </w:r>
      <w:r/>
    </w:p>
    <w:p>
      <w:pPr>
        <w:ind w:firstLine="480"/>
        <w:spacing w:line="360" w:lineRule="auto"/>
        <w:rPr>
          <w:rFonts w:ascii="宋体" w:hAnsi="宋体" w:cs="宋体"/>
          <w:sz w:val="24"/>
        </w:rPr>
      </w:pPr>
      <w:r>
        <w:rPr>
          <w:rFonts w:hint="eastAsia" w:ascii="宋体" w:hAnsi="宋体" w:cs="宋体"/>
          <w:sz w:val="24"/>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80"/>
        <w:spacing w:line="360" w:lineRule="auto"/>
        <w:rPr>
          <w:rFonts w:ascii="宋体" w:hAnsi="宋体" w:cs="宋体"/>
          <w:sz w:val="24"/>
        </w:rPr>
      </w:pPr>
      <w:r>
        <w:rPr>
          <w:rFonts w:hint="eastAsia" w:ascii="宋体" w:hAnsi="宋体" w:cs="宋体"/>
          <w:sz w:val="24"/>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80"/>
        <w:spacing w:line="360" w:lineRule="auto"/>
        <w:rPr>
          <w:rFonts w:ascii="宋体" w:hAnsi="宋体" w:cs="宋体"/>
          <w:sz w:val="24"/>
        </w:rPr>
      </w:pPr>
      <w:r>
        <w:rPr>
          <w:rFonts w:hint="eastAsia" w:ascii="宋体" w:hAnsi="宋体" w:cs="宋体"/>
          <w:sz w:val="24"/>
        </w:rPr>
        <w:t xml:space="preserve">③古树名木树冠投影或根系生长范围内，以及树木的上风方向和正南方向 5 米内为古树名木保护范围，不得新建任何建筑物。</w:t>
      </w:r>
      <w:r/>
    </w:p>
    <w:p>
      <w:pPr>
        <w:ind w:firstLine="480"/>
        <w:spacing w:line="360" w:lineRule="auto"/>
        <w:rPr>
          <w:rFonts w:ascii="宋体" w:hAnsi="宋体" w:cs="宋体"/>
          <w:sz w:val="24"/>
        </w:rPr>
      </w:pPr>
      <w:r>
        <w:rPr>
          <w:rFonts w:hint="eastAsia" w:ascii="宋体" w:hAnsi="宋体" w:cs="宋体"/>
          <w:sz w:val="24"/>
        </w:rPr>
        <w:t xml:space="preserve">7、绿化养护管理工作月历</w:t>
      </w:r>
      <w:r/>
    </w:p>
    <w:p>
      <w:pPr>
        <w:ind w:firstLine="480"/>
        <w:spacing w:line="360" w:lineRule="auto"/>
        <w:rPr>
          <w:rFonts w:ascii="宋体" w:hAnsi="宋体" w:cs="宋体"/>
          <w:sz w:val="24"/>
        </w:rPr>
      </w:pPr>
      <w:r>
        <w:rPr>
          <w:rFonts w:hint="eastAsia" w:ascii="宋体" w:hAnsi="宋体" w:cs="宋体"/>
          <w:sz w:val="24"/>
        </w:rPr>
        <w:t xml:space="preserve">（1）绿地的养护管理是保证成活、实现绿化美化效果的重要措施。为了使植物生长旺盛，必须根据其年生长过程和生命周期的变化规律，适时地、经常地、长期地进行养护管理，为各个年龄期的植物生长创造适宜的环境条件。同时，使植物长期维持较好的生长势，预防早期转衰，延长绿化效果，并发挥其多功能效益。俗话说“三分种植，七分养护”，这就强调了绿化工作中，养护管理工作的重要性。</w:t>
      </w:r>
      <w:r/>
    </w:p>
    <w:p>
      <w:pPr>
        <w:ind w:firstLine="480"/>
        <w:spacing w:line="360" w:lineRule="auto"/>
        <w:rPr>
          <w:rFonts w:ascii="宋体" w:hAnsi="宋体" w:cs="宋体"/>
          <w:sz w:val="24"/>
        </w:rPr>
      </w:pPr>
      <w:r>
        <w:rPr>
          <w:rFonts w:hint="eastAsia" w:ascii="宋体" w:hAnsi="宋体" w:cs="宋体"/>
          <w:sz w:val="24"/>
        </w:rPr>
        <w:t xml:space="preserve">（2）绿化养护管理严格说来，包括两方面的内容：一是“养护 ”，根据不同植物的生长需要、生长规律、生物特性及某些特定的要求，及时对植物采取如施肥、灌水、中耕除草、修剪、防治病虫害等技术措施。另一方面是“管理 ”，如看管围护、绿地的清扫保洁等管理工作。</w:t>
      </w:r>
      <w:r/>
    </w:p>
    <w:p>
      <w:pPr>
        <w:ind w:firstLine="480"/>
        <w:spacing w:line="360" w:lineRule="auto"/>
        <w:rPr>
          <w:rFonts w:ascii="宋体" w:hAnsi="宋体" w:cs="宋体"/>
          <w:sz w:val="24"/>
        </w:rPr>
      </w:pPr>
      <w:r>
        <w:rPr>
          <w:rFonts w:hint="eastAsia" w:ascii="宋体" w:hAnsi="宋体" w:cs="宋体"/>
          <w:sz w:val="24"/>
        </w:rPr>
        <w:t xml:space="preserve">1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（1）冬季草坪应注意防止过分踩踏，以免造成损失和严重磨损破坏。</w:t>
      </w:r>
      <w:r/>
    </w:p>
    <w:p>
      <w:pPr>
        <w:ind w:firstLine="480"/>
        <w:spacing w:line="360" w:lineRule="auto"/>
        <w:rPr>
          <w:rFonts w:ascii="宋体" w:hAnsi="宋体" w:cs="宋体"/>
          <w:sz w:val="24"/>
        </w:rPr>
      </w:pPr>
      <w:r>
        <w:rPr>
          <w:rFonts w:hint="eastAsia" w:ascii="宋体" w:hAnsi="宋体" w:cs="宋体"/>
          <w:sz w:val="24"/>
        </w:rPr>
        <w:t xml:space="preserve">（2）运动场与儿童活动草地，应尽可能扫除积雪。属于冷季型的草坪，则应根据需要，尽可能扫除落叶。</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（1）对于准备种植地被的土地，在秋天翻耕的基础上利用这个时间施用有机肥，如鸡粪、厩肥等。</w:t>
      </w:r>
      <w:r/>
    </w:p>
    <w:p>
      <w:pPr>
        <w:ind w:firstLine="480"/>
        <w:spacing w:line="360" w:lineRule="auto"/>
        <w:rPr>
          <w:rFonts w:ascii="宋体" w:hAnsi="宋体" w:cs="宋体"/>
          <w:sz w:val="24"/>
        </w:rPr>
      </w:pPr>
      <w:r>
        <w:rPr>
          <w:rFonts w:hint="eastAsia" w:ascii="宋体" w:hAnsi="宋体" w:cs="宋体"/>
          <w:sz w:val="24"/>
        </w:rPr>
        <w:t xml:space="preserve">（2）木本矮生灌木地被可冬季施浓肥。</w:t>
      </w:r>
      <w:r/>
    </w:p>
    <w:p>
      <w:pPr>
        <w:ind w:firstLine="480"/>
        <w:spacing w:line="360" w:lineRule="auto"/>
        <w:rPr>
          <w:rFonts w:ascii="宋体" w:hAnsi="宋体" w:cs="宋体"/>
          <w:sz w:val="24"/>
        </w:rPr>
      </w:pPr>
      <w:r>
        <w:rPr>
          <w:rFonts w:hint="eastAsia" w:ascii="宋体" w:hAnsi="宋体" w:cs="宋体"/>
          <w:sz w:val="24"/>
        </w:rPr>
        <w:t xml:space="preserve">（3）遇到一月份过分干燥，在春季开花和早春萌生的地被容易受冻，应选择晴天中午适当浇水。</w:t>
      </w:r>
      <w:r/>
    </w:p>
    <w:p>
      <w:pPr>
        <w:ind w:firstLine="480"/>
        <w:spacing w:line="360" w:lineRule="auto"/>
        <w:rPr>
          <w:rFonts w:ascii="宋体" w:hAnsi="宋体" w:cs="宋体"/>
          <w:sz w:val="24"/>
        </w:rPr>
      </w:pPr>
      <w:r>
        <w:rPr>
          <w:rFonts w:hint="eastAsia" w:ascii="宋体" w:hAnsi="宋体" w:cs="宋体"/>
          <w:sz w:val="24"/>
        </w:rPr>
        <w:t xml:space="preserve">（4）结合冬闲，对排水不良的地被种植地进行加土或疏沟等作业。</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（1）深施基肥，大量积肥、堆肥、沤肥。</w:t>
      </w:r>
      <w:r/>
    </w:p>
    <w:p>
      <w:pPr>
        <w:ind w:firstLine="480"/>
        <w:spacing w:line="360" w:lineRule="auto"/>
        <w:rPr>
          <w:rFonts w:ascii="宋体" w:hAnsi="宋体" w:cs="宋体"/>
          <w:sz w:val="24"/>
        </w:rPr>
      </w:pPr>
      <w:r>
        <w:rPr>
          <w:rFonts w:hint="eastAsia" w:ascii="宋体" w:hAnsi="宋体" w:cs="宋体"/>
          <w:sz w:val="24"/>
        </w:rPr>
        <w:t xml:space="preserve">（2）冬季修剪整形，剪除病虫枝，伤残枝及不需要的枝条，挖掘死树，冬耕。</w:t>
      </w:r>
      <w:r/>
    </w:p>
    <w:p>
      <w:pPr>
        <w:ind w:firstLine="480"/>
        <w:spacing w:line="360" w:lineRule="auto"/>
        <w:rPr>
          <w:rFonts w:ascii="宋体" w:hAnsi="宋体" w:cs="宋体"/>
          <w:sz w:val="24"/>
        </w:rPr>
      </w:pPr>
      <w:r>
        <w:rPr>
          <w:rFonts w:hint="eastAsia" w:ascii="宋体" w:hAnsi="宋体" w:cs="宋体"/>
          <w:sz w:val="24"/>
        </w:rPr>
        <w:t xml:space="preserve">（3）做好防寒工作，遇有大雪，对常绿树、古树名木、竹类要组织打雪。</w:t>
      </w:r>
      <w:r/>
    </w:p>
    <w:p>
      <w:pPr>
        <w:ind w:firstLine="480"/>
        <w:spacing w:line="360" w:lineRule="auto"/>
        <w:rPr>
          <w:rFonts w:ascii="宋体" w:hAnsi="宋体" w:cs="宋体"/>
          <w:sz w:val="24"/>
        </w:rPr>
      </w:pPr>
      <w:r>
        <w:rPr>
          <w:rFonts w:hint="eastAsia" w:ascii="宋体" w:hAnsi="宋体" w:cs="宋体"/>
          <w:sz w:val="24"/>
        </w:rPr>
        <w:t xml:space="preserve">（4）防治越冬病虫源。</w:t>
      </w:r>
      <w:r/>
    </w:p>
    <w:p>
      <w:pPr>
        <w:ind w:firstLine="480"/>
        <w:spacing w:line="360" w:lineRule="auto"/>
        <w:rPr>
          <w:rFonts w:ascii="宋体" w:hAnsi="宋体" w:cs="宋体"/>
          <w:sz w:val="24"/>
        </w:rPr>
      </w:pPr>
      <w:r>
        <w:rPr>
          <w:rFonts w:hint="eastAsia" w:ascii="宋体" w:hAnsi="宋体" w:cs="宋体"/>
          <w:sz w:val="24"/>
        </w:rPr>
        <w:t xml:space="preserve">（5）经常检查巡视防寒措施的完好程度。</w:t>
      </w:r>
      <w:r/>
    </w:p>
    <w:p>
      <w:pPr>
        <w:ind w:firstLine="480"/>
        <w:spacing w:line="360" w:lineRule="auto"/>
        <w:rPr>
          <w:rFonts w:ascii="宋体" w:hAnsi="宋体" w:cs="宋体"/>
          <w:sz w:val="24"/>
        </w:rPr>
      </w:pPr>
      <w:r>
        <w:rPr>
          <w:rFonts w:hint="eastAsia" w:ascii="宋体" w:hAnsi="宋体" w:cs="宋体"/>
          <w:sz w:val="24"/>
        </w:rPr>
        <w:t xml:space="preserve">2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（1）土质属于粘性稍重的草坪，应充分利用冬季施肥，酌量掺入一些粗沙、细碎石屑，以便逐步改善粘性土质的疏松度和透气性。</w:t>
      </w:r>
      <w:r/>
    </w:p>
    <w:p>
      <w:pPr>
        <w:ind w:firstLine="480"/>
        <w:spacing w:line="360" w:lineRule="auto"/>
        <w:rPr>
          <w:rFonts w:ascii="宋体" w:hAnsi="宋体" w:cs="宋体"/>
          <w:sz w:val="24"/>
        </w:rPr>
      </w:pPr>
      <w:r>
        <w:rPr>
          <w:rFonts w:hint="eastAsia" w:ascii="宋体" w:hAnsi="宋体" w:cs="宋体"/>
          <w:sz w:val="24"/>
        </w:rPr>
        <w:t xml:space="preserve">（2）应加强早春草坪的管理，检查草坪萌芽返青情况。如遇春寒，则应适 当浇水，以促进其生长。地被色块养护重点：</w:t>
      </w:r>
      <w:r/>
    </w:p>
    <w:p>
      <w:pPr>
        <w:ind w:firstLine="480"/>
        <w:spacing w:line="360" w:lineRule="auto"/>
        <w:rPr>
          <w:rFonts w:ascii="宋体" w:hAnsi="宋体" w:cs="宋体"/>
          <w:sz w:val="24"/>
        </w:rPr>
      </w:pPr>
      <w:r>
        <w:rPr>
          <w:rFonts w:hint="eastAsia" w:ascii="宋体" w:hAnsi="宋体" w:cs="宋体"/>
          <w:sz w:val="24"/>
        </w:rPr>
        <w:t xml:space="preserve">（1）宿根、球根地被需要更新复壮的可在2 月份至 3 月份初将植株或地下部分挖起，分株，在栽植地施基肥，再重新种植。</w:t>
      </w:r>
      <w:r/>
    </w:p>
    <w:p>
      <w:pPr>
        <w:ind w:firstLine="480"/>
        <w:spacing w:line="360" w:lineRule="auto"/>
        <w:rPr>
          <w:rFonts w:ascii="宋体" w:hAnsi="宋体" w:cs="宋体"/>
          <w:sz w:val="24"/>
        </w:rPr>
      </w:pPr>
      <w:r>
        <w:rPr>
          <w:rFonts w:hint="eastAsia" w:ascii="宋体" w:hAnsi="宋体" w:cs="宋体"/>
          <w:sz w:val="24"/>
        </w:rPr>
        <w:t xml:space="preserve">（2）如遇春来早，注意浇水促使地被萌动。</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（1）继续进行冬季整形修剪。</w:t>
      </w:r>
      <w:r/>
    </w:p>
    <w:p>
      <w:pPr>
        <w:ind w:firstLine="480"/>
        <w:spacing w:line="360" w:lineRule="auto"/>
        <w:rPr>
          <w:rFonts w:ascii="宋体" w:hAnsi="宋体" w:cs="宋体"/>
          <w:sz w:val="24"/>
        </w:rPr>
      </w:pPr>
      <w:r>
        <w:rPr>
          <w:rFonts w:hint="eastAsia" w:ascii="宋体" w:hAnsi="宋体" w:cs="宋体"/>
          <w:sz w:val="24"/>
        </w:rPr>
        <w:t xml:space="preserve">（2）继续进行冬施基肥和冬耕，对春花树木施花前肥，并做好积肥工作，以利乔木萌芽和新叶的生长。</w:t>
      </w:r>
      <w:r/>
    </w:p>
    <w:p>
      <w:pPr>
        <w:ind w:firstLine="480"/>
        <w:spacing w:line="360" w:lineRule="auto"/>
        <w:rPr>
          <w:rFonts w:ascii="宋体" w:hAnsi="宋体" w:cs="宋体"/>
          <w:sz w:val="24"/>
        </w:rPr>
      </w:pPr>
      <w:r>
        <w:rPr>
          <w:rFonts w:hint="eastAsia" w:ascii="宋体" w:hAnsi="宋体" w:cs="宋体"/>
          <w:sz w:val="24"/>
        </w:rPr>
        <w:t xml:space="preserve">（3）继续做好防寒工作。</w:t>
      </w:r>
      <w:r/>
    </w:p>
    <w:p>
      <w:pPr>
        <w:ind w:firstLine="480"/>
        <w:spacing w:line="360" w:lineRule="auto"/>
        <w:rPr>
          <w:rFonts w:ascii="宋体" w:hAnsi="宋体" w:cs="宋体"/>
          <w:sz w:val="24"/>
        </w:rPr>
      </w:pPr>
      <w:r>
        <w:rPr>
          <w:rFonts w:hint="eastAsia" w:ascii="宋体" w:hAnsi="宋体" w:cs="宋体"/>
          <w:sz w:val="24"/>
        </w:rPr>
        <w:t xml:space="preserve">（4）继续防治越冬害虫。</w:t>
      </w:r>
      <w:r/>
    </w:p>
    <w:p>
      <w:pPr>
        <w:ind w:firstLine="480"/>
        <w:spacing w:line="360" w:lineRule="auto"/>
        <w:rPr>
          <w:rFonts w:ascii="宋体" w:hAnsi="宋体" w:cs="宋体"/>
          <w:sz w:val="24"/>
        </w:rPr>
      </w:pPr>
      <w:r>
        <w:rPr>
          <w:rFonts w:hint="eastAsia" w:ascii="宋体" w:hAnsi="宋体" w:cs="宋体"/>
          <w:sz w:val="24"/>
        </w:rPr>
        <w:t xml:space="preserve">3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（1）3 月份起，大部分地区进入春季，应全面检查草坪土壤平整状况，对草坪中的低洼处，应适当增添薄层肥泥铺平。低洼处超过 2cm 以上时，则应使用草坪平扳铲，先将低洼草坪扦起，再用肥土填平，然后将取下的草坪复原，并浇水、镇压。</w:t>
      </w:r>
      <w:r/>
    </w:p>
    <w:p>
      <w:pPr>
        <w:ind w:firstLine="480"/>
        <w:spacing w:line="360" w:lineRule="auto"/>
        <w:rPr>
          <w:rFonts w:ascii="宋体" w:hAnsi="宋体" w:cs="宋体"/>
          <w:sz w:val="24"/>
        </w:rPr>
      </w:pPr>
      <w:r>
        <w:rPr>
          <w:rFonts w:hint="eastAsia" w:ascii="宋体" w:hAnsi="宋体" w:cs="宋体"/>
          <w:sz w:val="24"/>
        </w:rPr>
        <w:t xml:space="preserve">（2）对践踏过度、土层板结的草坪，应使用滚齿筒，翻松草根，浇水，施肥或加沙，然后用滚石压平。</w:t>
      </w:r>
      <w:r/>
    </w:p>
    <w:p>
      <w:pPr>
        <w:ind w:firstLine="480"/>
        <w:spacing w:line="360" w:lineRule="auto"/>
        <w:rPr>
          <w:rFonts w:ascii="宋体" w:hAnsi="宋体" w:cs="宋体"/>
          <w:sz w:val="24"/>
        </w:rPr>
      </w:pPr>
      <w:r>
        <w:rPr>
          <w:rFonts w:hint="eastAsia" w:ascii="宋体" w:hAnsi="宋体" w:cs="宋体"/>
          <w:sz w:val="24"/>
        </w:rPr>
        <w:t xml:space="preserve">（3）对检查发现有成片空秃及质量差的草坪，应安排计划及早补种。</w:t>
      </w:r>
      <w:r/>
    </w:p>
    <w:p>
      <w:pPr>
        <w:ind w:firstLine="480"/>
        <w:spacing w:line="360" w:lineRule="auto"/>
        <w:rPr>
          <w:rFonts w:ascii="宋体" w:hAnsi="宋体" w:cs="宋体"/>
          <w:sz w:val="24"/>
        </w:rPr>
      </w:pPr>
      <w:r>
        <w:rPr>
          <w:rFonts w:hint="eastAsia" w:ascii="宋体" w:hAnsi="宋体" w:cs="宋体"/>
          <w:sz w:val="24"/>
        </w:rPr>
        <w:t xml:space="preserve">（4）做好草坪养护机具的年初检修养护工作。</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（1）木本地被的抽稀、移植、扩大种植和补缺苗。</w:t>
      </w:r>
      <w:r/>
    </w:p>
    <w:p>
      <w:pPr>
        <w:ind w:firstLine="480"/>
        <w:spacing w:line="360" w:lineRule="auto"/>
        <w:rPr>
          <w:rFonts w:ascii="宋体" w:hAnsi="宋体" w:cs="宋体"/>
          <w:sz w:val="24"/>
        </w:rPr>
      </w:pPr>
      <w:r>
        <w:rPr>
          <w:rFonts w:hint="eastAsia" w:ascii="宋体" w:hAnsi="宋体" w:cs="宋体"/>
          <w:sz w:val="24"/>
        </w:rPr>
        <w:t xml:space="preserve">（2）随气温回升，注意防治地老虎、蚜虫等害虫。</w:t>
      </w:r>
      <w:r/>
    </w:p>
    <w:p>
      <w:pPr>
        <w:ind w:firstLine="480"/>
        <w:spacing w:line="360" w:lineRule="auto"/>
        <w:rPr>
          <w:rFonts w:ascii="宋体" w:hAnsi="宋体" w:cs="宋体"/>
          <w:sz w:val="24"/>
        </w:rPr>
      </w:pPr>
      <w:r>
        <w:rPr>
          <w:rFonts w:hint="eastAsia" w:ascii="宋体" w:hAnsi="宋体" w:cs="宋体"/>
          <w:sz w:val="24"/>
        </w:rPr>
        <w:t xml:space="preserve">（3）观叶地被逐步萌发或恢复生长，可施春肥，促使其生长。</w:t>
      </w:r>
      <w:r/>
    </w:p>
    <w:p>
      <w:pPr>
        <w:ind w:firstLine="480"/>
        <w:spacing w:line="360" w:lineRule="auto"/>
        <w:rPr>
          <w:rFonts w:ascii="宋体" w:hAnsi="宋体" w:cs="宋体"/>
          <w:sz w:val="24"/>
        </w:rPr>
      </w:pPr>
      <w:r>
        <w:rPr>
          <w:rFonts w:hint="eastAsia" w:ascii="宋体" w:hAnsi="宋体" w:cs="宋体"/>
          <w:sz w:val="24"/>
        </w:rPr>
        <w:t xml:space="preserve">（4）葱兰等球根、宿根地被植物分栽可在月初进行。地被的缺株要在中、下旬及时补种，以利于植株生长的一致。</w:t>
      </w:r>
      <w:r/>
    </w:p>
    <w:p>
      <w:pPr>
        <w:ind w:firstLine="480"/>
        <w:spacing w:line="360" w:lineRule="auto"/>
        <w:rPr>
          <w:rFonts w:ascii="宋体" w:hAnsi="宋体" w:cs="宋体"/>
          <w:sz w:val="24"/>
        </w:rPr>
      </w:pPr>
      <w:r>
        <w:rPr>
          <w:rFonts w:hint="eastAsia" w:ascii="宋体" w:hAnsi="宋体" w:cs="宋体"/>
          <w:sz w:val="24"/>
        </w:rPr>
        <w:t xml:space="preserve">（5）重点防治大叶黄杨斑蛾，黄杨绢野螟，白粉病危害狭叶十大功劳、紫叶小檗。</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（1）对树木、果树、花灌木浇水和施肥。</w:t>
      </w:r>
      <w:r/>
    </w:p>
    <w:p>
      <w:pPr>
        <w:ind w:firstLine="480"/>
        <w:spacing w:line="360" w:lineRule="auto"/>
        <w:rPr>
          <w:rFonts w:ascii="宋体" w:hAnsi="宋体" w:cs="宋体"/>
          <w:sz w:val="24"/>
        </w:rPr>
      </w:pPr>
      <w:r>
        <w:rPr>
          <w:rFonts w:hint="eastAsia" w:ascii="宋体" w:hAnsi="宋体" w:cs="宋体"/>
          <w:sz w:val="24"/>
        </w:rPr>
        <w:t xml:space="preserve">（2）清除树下杂物，废土及树上的铅丝、铁丁等。</w:t>
      </w:r>
      <w:r/>
    </w:p>
    <w:p>
      <w:pPr>
        <w:ind w:firstLine="480"/>
        <w:spacing w:line="360" w:lineRule="auto"/>
        <w:rPr>
          <w:rFonts w:ascii="宋体" w:hAnsi="宋体" w:cs="宋体"/>
          <w:sz w:val="24"/>
        </w:rPr>
      </w:pPr>
      <w:r>
        <w:rPr>
          <w:rFonts w:hint="eastAsia" w:ascii="宋体" w:hAnsi="宋体" w:cs="宋体"/>
          <w:sz w:val="24"/>
        </w:rPr>
        <w:t xml:space="preserve">（3）撤除防寒设备及堆土。</w:t>
      </w:r>
      <w:r/>
    </w:p>
    <w:p>
      <w:pPr>
        <w:ind w:firstLine="480"/>
        <w:spacing w:line="360" w:lineRule="auto"/>
        <w:rPr>
          <w:rFonts w:ascii="宋体" w:hAnsi="宋体" w:cs="宋体"/>
          <w:sz w:val="24"/>
        </w:rPr>
      </w:pPr>
      <w:r>
        <w:rPr>
          <w:rFonts w:hint="eastAsia" w:ascii="宋体" w:hAnsi="宋体" w:cs="宋体"/>
          <w:sz w:val="24"/>
        </w:rPr>
        <w:t xml:space="preserve">（4）观察蚧壳虫的孵化期，在最佳时间打药防治蚧壳虫，预防草履蚧等刺吸类害虫对珊瑚等的危害以及栾树蚜虫对栾树的危害。</w:t>
      </w:r>
      <w:r/>
    </w:p>
    <w:p>
      <w:pPr>
        <w:ind w:firstLine="480"/>
        <w:spacing w:line="360" w:lineRule="auto"/>
        <w:rPr>
          <w:rFonts w:ascii="宋体" w:hAnsi="宋体" w:cs="宋体"/>
          <w:sz w:val="24"/>
        </w:rPr>
      </w:pPr>
      <w:r>
        <w:rPr>
          <w:rFonts w:hint="eastAsia" w:ascii="宋体" w:hAnsi="宋体" w:cs="宋体"/>
          <w:sz w:val="24"/>
        </w:rPr>
        <w:t xml:space="preserve">4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（1）4 月上旬，即清明节前后，由于气温转暖，夏绿草开始进入复苏生长阶段；冬绿草开始萌发新芽，此时人们习惯于踏青，应防止过度踩踏损伤嫩芽。</w:t>
      </w:r>
      <w:r/>
    </w:p>
    <w:p>
      <w:pPr>
        <w:ind w:firstLine="480"/>
        <w:spacing w:line="360" w:lineRule="auto"/>
        <w:rPr>
          <w:rFonts w:ascii="宋体" w:hAnsi="宋体" w:cs="宋体"/>
          <w:sz w:val="24"/>
        </w:rPr>
      </w:pPr>
      <w:r>
        <w:rPr>
          <w:rFonts w:hint="eastAsia" w:ascii="宋体" w:hAnsi="宋体" w:cs="宋体"/>
          <w:sz w:val="24"/>
        </w:rPr>
        <w:t xml:space="preserve">（2）对于公园、广场、街道绿地里铺设的开放性草坪，则应设置明显的标牌，限制游人入内。</w:t>
      </w:r>
      <w:r/>
    </w:p>
    <w:p>
      <w:pPr>
        <w:ind w:firstLine="480"/>
        <w:spacing w:line="360" w:lineRule="auto"/>
        <w:rPr>
          <w:rFonts w:ascii="宋体" w:hAnsi="宋体" w:cs="宋体"/>
          <w:sz w:val="24"/>
        </w:rPr>
      </w:pPr>
      <w:r>
        <w:rPr>
          <w:rFonts w:hint="eastAsia" w:ascii="宋体" w:hAnsi="宋体" w:cs="宋体"/>
          <w:sz w:val="24"/>
        </w:rPr>
        <w:t xml:space="preserve">（3）4 月中、下旬起，大部分生长快的草坪种类，应开始第一次修剪，以便更好地为“五一”节日服务。</w:t>
      </w:r>
      <w:r/>
    </w:p>
    <w:p>
      <w:pPr>
        <w:ind w:firstLine="480"/>
        <w:spacing w:line="360" w:lineRule="auto"/>
        <w:rPr>
          <w:rFonts w:ascii="宋体" w:hAnsi="宋体" w:cs="宋体"/>
          <w:sz w:val="24"/>
        </w:rPr>
      </w:pPr>
      <w:r>
        <w:rPr>
          <w:rFonts w:hint="eastAsia" w:ascii="宋体" w:hAnsi="宋体" w:cs="宋体"/>
          <w:sz w:val="24"/>
        </w:rPr>
        <w:t xml:space="preserve">（4）对检查发现生长欠佳的草坪，如色泽失常，应迅速增施 1 次含氮肥料，可以促进绿叶反青。</w:t>
      </w:r>
      <w:r/>
    </w:p>
    <w:p>
      <w:pPr>
        <w:ind w:firstLine="480"/>
        <w:spacing w:line="360" w:lineRule="auto"/>
        <w:rPr>
          <w:rFonts w:ascii="宋体" w:hAnsi="宋体" w:cs="宋体"/>
          <w:sz w:val="24"/>
        </w:rPr>
      </w:pPr>
      <w:r>
        <w:rPr>
          <w:rFonts w:hint="eastAsia" w:ascii="宋体" w:hAnsi="宋体" w:cs="宋体"/>
          <w:sz w:val="24"/>
        </w:rPr>
        <w:t xml:space="preserve">（5）对检查发现草坪中有大量宽叶类杂草，应每隔 10 天左右，连续两次，对杂草集中地段喷撒除草剂。使用时，应详细了解配水浓度和用量，以防止用量过多将家草杀死，或选择除草剂品种、施用方法不当，损伤草坪周围其他花木。地被色块养护重点：</w:t>
      </w:r>
      <w:r/>
    </w:p>
    <w:p>
      <w:pPr>
        <w:ind w:firstLine="480"/>
        <w:spacing w:line="360" w:lineRule="auto"/>
        <w:rPr>
          <w:rFonts w:ascii="宋体" w:hAnsi="宋体" w:cs="宋体"/>
          <w:sz w:val="24"/>
        </w:rPr>
      </w:pPr>
      <w:r>
        <w:rPr>
          <w:rFonts w:hint="eastAsia" w:ascii="宋体" w:hAnsi="宋体" w:cs="宋体"/>
          <w:sz w:val="24"/>
        </w:rPr>
        <w:t xml:space="preserve">（1）对地被种植地中耕、除草，使土壤疏松，更多地接纳春季雨水，提高土壤温度和透气性。</w:t>
      </w:r>
      <w:r/>
    </w:p>
    <w:p>
      <w:pPr>
        <w:ind w:firstLine="480"/>
        <w:spacing w:line="360" w:lineRule="auto"/>
        <w:rPr>
          <w:rFonts w:ascii="宋体" w:hAnsi="宋体" w:cs="宋体"/>
          <w:sz w:val="24"/>
        </w:rPr>
      </w:pPr>
      <w:r>
        <w:rPr>
          <w:rFonts w:hint="eastAsia" w:ascii="宋体" w:hAnsi="宋体" w:cs="宋体"/>
          <w:sz w:val="24"/>
        </w:rPr>
        <w:t xml:space="preserve">（2）检查植株残缺情况，适当补种或抽稀。</w:t>
      </w:r>
      <w:r/>
    </w:p>
    <w:p>
      <w:pPr>
        <w:ind w:firstLine="480"/>
        <w:spacing w:line="360" w:lineRule="auto"/>
        <w:rPr>
          <w:rFonts w:ascii="宋体" w:hAnsi="宋体" w:cs="宋体"/>
          <w:sz w:val="24"/>
        </w:rPr>
      </w:pPr>
      <w:r>
        <w:rPr>
          <w:rFonts w:hint="eastAsia" w:ascii="宋体" w:hAnsi="宋体" w:cs="宋体"/>
          <w:sz w:val="24"/>
        </w:rPr>
        <w:t xml:space="preserve">（3）对于生长量大的金丝桃等要求土壤肥沃、疏松，因此自4月起的生长季节，每月施 1—2 次薄肥。</w:t>
      </w:r>
      <w:r/>
    </w:p>
    <w:p>
      <w:pPr>
        <w:ind w:firstLine="480"/>
        <w:spacing w:line="360" w:lineRule="auto"/>
        <w:rPr>
          <w:rFonts w:ascii="宋体" w:hAnsi="宋体" w:cs="宋体"/>
          <w:sz w:val="24"/>
        </w:rPr>
      </w:pPr>
      <w:r>
        <w:rPr>
          <w:rFonts w:hint="eastAsia" w:ascii="宋体" w:hAnsi="宋体" w:cs="宋体"/>
          <w:sz w:val="24"/>
        </w:rPr>
        <w:t xml:space="preserve">（4）自本月起对杜鹃、栀子等木本观花地被，每 2 周进行硫酸亚铁、磷酸二氢钾和矾肥水交替施肥 1 次，防止黄化，改善土壤 PH 值，直到8月份。</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（1）加固树木支撑。</w:t>
      </w:r>
      <w:r/>
    </w:p>
    <w:p>
      <w:pPr>
        <w:ind w:firstLine="480"/>
        <w:spacing w:line="360" w:lineRule="auto"/>
        <w:rPr>
          <w:rFonts w:ascii="宋体" w:hAnsi="宋体" w:cs="宋体"/>
          <w:sz w:val="24"/>
        </w:rPr>
      </w:pPr>
      <w:r>
        <w:rPr>
          <w:rFonts w:hint="eastAsia" w:ascii="宋体" w:hAnsi="宋体" w:cs="宋体"/>
          <w:sz w:val="24"/>
        </w:rPr>
        <w:t xml:space="preserve">（2）对各类树木进行除草、松土、灌水抗旱。</w:t>
      </w:r>
      <w:r/>
    </w:p>
    <w:p>
      <w:pPr>
        <w:ind w:firstLine="480"/>
        <w:spacing w:line="360" w:lineRule="auto"/>
        <w:rPr>
          <w:rFonts w:ascii="宋体" w:hAnsi="宋体" w:cs="宋体"/>
          <w:sz w:val="24"/>
        </w:rPr>
      </w:pPr>
      <w:r>
        <w:rPr>
          <w:rFonts w:hint="eastAsia" w:ascii="宋体" w:hAnsi="宋体" w:cs="宋体"/>
          <w:sz w:val="24"/>
        </w:rPr>
        <w:t xml:space="preserve">（3）防止病虫害，对易感染病害的雪松、海棠等每10天喷一遍波尔多液。 </w:t>
      </w:r>
      <w:r/>
    </w:p>
    <w:p>
      <w:pPr>
        <w:ind w:firstLine="480"/>
        <w:spacing w:line="360" w:lineRule="auto"/>
        <w:rPr>
          <w:rFonts w:ascii="宋体" w:hAnsi="宋体" w:cs="宋体"/>
          <w:sz w:val="24"/>
        </w:rPr>
      </w:pPr>
      <w:r>
        <w:rPr>
          <w:rFonts w:hint="eastAsia" w:ascii="宋体" w:hAnsi="宋体" w:cs="宋体"/>
          <w:sz w:val="24"/>
        </w:rPr>
        <w:t xml:space="preserve">5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（1）5 月份的草坪植物，开始进入旺盛生长时期，也是草坪定期剪草的起始。</w:t>
      </w:r>
      <w:r/>
    </w:p>
    <w:p>
      <w:pPr>
        <w:ind w:firstLine="480"/>
        <w:spacing w:line="360" w:lineRule="auto"/>
        <w:rPr>
          <w:rFonts w:ascii="宋体" w:hAnsi="宋体" w:cs="宋体"/>
          <w:sz w:val="24"/>
        </w:rPr>
      </w:pPr>
      <w:r>
        <w:rPr>
          <w:rFonts w:hint="eastAsia" w:ascii="宋体" w:hAnsi="宋体" w:cs="宋体"/>
          <w:sz w:val="24"/>
        </w:rPr>
        <w:t xml:space="preserve">（2）修剪草坪时，供人观赏用的专用草坪，由于要求平整、美观，一般冷季型观赏草坪高度控制在3—5cm 左右；而对一般性的冷季型大面积草坪，留草高度通常为7—8cm 左右。一般暖季型观赏草坪高度控制在 1.5cm 左右；而对一般性的暖季型大面积草坪，留草高度通常为 2cm 左右。</w:t>
      </w:r>
      <w:r/>
    </w:p>
    <w:p>
      <w:pPr>
        <w:ind w:firstLine="480"/>
        <w:spacing w:line="360" w:lineRule="auto"/>
        <w:rPr>
          <w:rFonts w:ascii="宋体" w:hAnsi="宋体" w:cs="宋体"/>
          <w:sz w:val="24"/>
        </w:rPr>
      </w:pPr>
      <w:r>
        <w:rPr>
          <w:rFonts w:hint="eastAsia" w:ascii="宋体" w:hAnsi="宋体" w:cs="宋体"/>
          <w:sz w:val="24"/>
        </w:rPr>
        <w:t xml:space="preserve">（3）凡监测有锈病的草坪地块，应在锈病孢子扩散前及时喷射敌锈钠或石 硫合剂，控制病情发展。地被色块养护重点：</w:t>
      </w:r>
      <w:r/>
    </w:p>
    <w:p>
      <w:pPr>
        <w:ind w:firstLine="480"/>
        <w:spacing w:line="360" w:lineRule="auto"/>
        <w:rPr>
          <w:rFonts w:ascii="宋体" w:hAnsi="宋体" w:cs="宋体"/>
          <w:sz w:val="24"/>
        </w:rPr>
      </w:pPr>
      <w:r>
        <w:rPr>
          <w:rFonts w:hint="eastAsia" w:ascii="宋体" w:hAnsi="宋体" w:cs="宋体"/>
          <w:sz w:val="24"/>
        </w:rPr>
        <w:t xml:space="preserve">（1）春季开花地被植物花后植株整理，不留种的应剪去枯萎的花蒂，施肥以延长绿叶期。</w:t>
      </w:r>
      <w:r/>
    </w:p>
    <w:p>
      <w:pPr>
        <w:ind w:firstLine="480"/>
        <w:spacing w:line="360" w:lineRule="auto"/>
        <w:rPr>
          <w:rFonts w:ascii="宋体" w:hAnsi="宋体" w:cs="宋体"/>
          <w:sz w:val="24"/>
        </w:rPr>
      </w:pPr>
      <w:r>
        <w:rPr>
          <w:rFonts w:hint="eastAsia" w:ascii="宋体" w:hAnsi="宋体" w:cs="宋体"/>
          <w:sz w:val="24"/>
        </w:rPr>
        <w:t xml:space="preserve">（2）秋天开花的地被植物要求浇水施肥，使花蕾饱满开放。</w:t>
      </w:r>
      <w:r/>
    </w:p>
    <w:p>
      <w:pPr>
        <w:ind w:firstLine="480"/>
        <w:spacing w:line="360" w:lineRule="auto"/>
        <w:rPr>
          <w:rFonts w:ascii="宋体" w:hAnsi="宋体" w:cs="宋体"/>
          <w:sz w:val="24"/>
        </w:rPr>
      </w:pPr>
      <w:r>
        <w:rPr>
          <w:rFonts w:hint="eastAsia" w:ascii="宋体" w:hAnsi="宋体" w:cs="宋体"/>
          <w:sz w:val="24"/>
        </w:rPr>
        <w:t xml:space="preserve">（3）进入霉雨季节，病虫害普遍发生，应加强防治。</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（1）对春季开花的灌木进行花后修剪及更新，追施氮肥，中耕除草。</w:t>
      </w:r>
      <w:r/>
    </w:p>
    <w:p>
      <w:pPr>
        <w:ind w:firstLine="480"/>
        <w:spacing w:line="360" w:lineRule="auto"/>
        <w:rPr>
          <w:rFonts w:ascii="宋体" w:hAnsi="宋体" w:cs="宋体"/>
          <w:sz w:val="24"/>
        </w:rPr>
      </w:pPr>
      <w:r>
        <w:rPr>
          <w:rFonts w:hint="eastAsia" w:ascii="宋体" w:hAnsi="宋体" w:cs="宋体"/>
          <w:sz w:val="24"/>
        </w:rPr>
        <w:t xml:space="preserve">（2）灌水抗旱。</w:t>
      </w:r>
      <w:r/>
    </w:p>
    <w:p>
      <w:pPr>
        <w:ind w:firstLine="480"/>
        <w:spacing w:line="360" w:lineRule="auto"/>
        <w:rPr>
          <w:rFonts w:ascii="宋体" w:hAnsi="宋体" w:cs="宋体"/>
          <w:sz w:val="24"/>
        </w:rPr>
      </w:pPr>
      <w:r>
        <w:rPr>
          <w:rFonts w:hint="eastAsia" w:ascii="宋体" w:hAnsi="宋体" w:cs="宋体"/>
          <w:sz w:val="24"/>
        </w:rPr>
        <w:t xml:space="preserve">（3）防治病虫害，做好预测预报工作。</w:t>
      </w:r>
      <w:r/>
    </w:p>
    <w:p>
      <w:pPr>
        <w:ind w:firstLine="480"/>
        <w:spacing w:line="360" w:lineRule="auto"/>
        <w:rPr>
          <w:rFonts w:ascii="宋体" w:hAnsi="宋体" w:cs="宋体"/>
          <w:sz w:val="24"/>
        </w:rPr>
      </w:pPr>
      <w:r>
        <w:rPr>
          <w:rFonts w:hint="eastAsia" w:ascii="宋体" w:hAnsi="宋体" w:cs="宋体"/>
          <w:sz w:val="24"/>
        </w:rPr>
        <w:t xml:space="preserve">6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（1）6 月起，草坪进入夏季养护管理阶段。草坪草茎叶生长迅速，定期修剪的次数一般为 10 天左右 1 次。如遇久旱不雨，滚剪后不要耙除碎草，这些碎 草片可以减少地面的蒸发。</w:t>
      </w:r>
      <w:r/>
    </w:p>
    <w:p>
      <w:pPr>
        <w:ind w:firstLine="480"/>
        <w:spacing w:line="360" w:lineRule="auto"/>
        <w:rPr>
          <w:rFonts w:ascii="宋体" w:hAnsi="宋体" w:cs="宋体"/>
          <w:sz w:val="24"/>
        </w:rPr>
      </w:pPr>
      <w:r>
        <w:rPr>
          <w:rFonts w:hint="eastAsia" w:ascii="宋体" w:hAnsi="宋体" w:cs="宋体"/>
          <w:sz w:val="24"/>
        </w:rPr>
        <w:t xml:space="preserve">（2）对于混种有车轴草的混栽草坪，应于剪草前先耙一遍，然后在轧剪，这样可以控制住车轴草匍匐茎的蔓延。</w:t>
      </w:r>
      <w:r/>
    </w:p>
    <w:p>
      <w:pPr>
        <w:ind w:firstLine="480"/>
        <w:spacing w:line="360" w:lineRule="auto"/>
        <w:rPr>
          <w:rFonts w:ascii="宋体" w:hAnsi="宋体" w:cs="宋体"/>
          <w:sz w:val="24"/>
        </w:rPr>
      </w:pPr>
      <w:r>
        <w:rPr>
          <w:rFonts w:hint="eastAsia" w:ascii="宋体" w:hAnsi="宋体" w:cs="宋体"/>
          <w:sz w:val="24"/>
        </w:rPr>
        <w:t xml:space="preserve">（3）供人们观赏用的草坪，在我国南方从 6 月份起开始，经常使用一种月牙状的铲子或使用薄形平板铲，将不整齐的草坪边缘切齐。</w:t>
      </w:r>
      <w:r/>
    </w:p>
    <w:p>
      <w:pPr>
        <w:ind w:firstLine="480"/>
        <w:spacing w:line="360" w:lineRule="auto"/>
        <w:rPr>
          <w:rFonts w:ascii="宋体" w:hAnsi="宋体" w:cs="宋体"/>
          <w:sz w:val="24"/>
        </w:rPr>
      </w:pPr>
      <w:r>
        <w:rPr>
          <w:rFonts w:hint="eastAsia" w:ascii="宋体" w:hAnsi="宋体" w:cs="宋体"/>
          <w:sz w:val="24"/>
        </w:rPr>
        <w:t xml:space="preserve">（4）南方霉雨地区，雨水充沛，应预先做好排涝准备，防止草坪积水。</w:t>
      </w:r>
      <w:r/>
    </w:p>
    <w:p>
      <w:pPr>
        <w:ind w:firstLine="480"/>
        <w:spacing w:line="360" w:lineRule="auto"/>
        <w:rPr>
          <w:rFonts w:ascii="宋体" w:hAnsi="宋体" w:cs="宋体"/>
          <w:sz w:val="24"/>
        </w:rPr>
      </w:pPr>
      <w:r>
        <w:rPr>
          <w:rFonts w:hint="eastAsia" w:ascii="宋体" w:hAnsi="宋体" w:cs="宋体"/>
          <w:sz w:val="24"/>
        </w:rPr>
        <w:t xml:space="preserve">（5）本月中旬以后，天气开始炎热，又会晒硬土面，最好在抗旱浇水之前，用“钉滚 ”将板硬的土面滚松，然后进行喷水。</w:t>
      </w:r>
      <w:r/>
    </w:p>
    <w:p>
      <w:pPr>
        <w:ind w:firstLine="480"/>
        <w:spacing w:line="360" w:lineRule="auto"/>
        <w:rPr>
          <w:rFonts w:ascii="宋体" w:hAnsi="宋体" w:cs="宋体"/>
          <w:sz w:val="24"/>
        </w:rPr>
      </w:pPr>
      <w:r>
        <w:rPr>
          <w:rFonts w:hint="eastAsia" w:ascii="宋体" w:hAnsi="宋体" w:cs="宋体"/>
          <w:sz w:val="24"/>
        </w:rPr>
        <w:t xml:space="preserve">（6）对检查发现失色的草坪地段，可结合灌溉浇水施以速效性氮肥，如硫氨等。</w:t>
      </w:r>
      <w:r/>
    </w:p>
    <w:p>
      <w:pPr>
        <w:ind w:firstLine="480"/>
        <w:spacing w:line="360" w:lineRule="auto"/>
        <w:rPr>
          <w:rFonts w:ascii="宋体" w:hAnsi="宋体" w:cs="宋体"/>
          <w:sz w:val="24"/>
        </w:rPr>
      </w:pPr>
      <w:r>
        <w:rPr>
          <w:rFonts w:hint="eastAsia" w:ascii="宋体" w:hAnsi="宋体" w:cs="宋体"/>
          <w:sz w:val="24"/>
        </w:rPr>
        <w:t xml:space="preserve">（7）夏季观赏性草坪如发现有过多的蚂蚁、蚯蚓拱掘土壤，应及时觅找蚁穴，用敌百虫仿制。</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（1）霉雨季节注意地面排水。</w:t>
      </w:r>
      <w:r/>
    </w:p>
    <w:p>
      <w:pPr>
        <w:ind w:firstLine="480"/>
        <w:spacing w:line="360" w:lineRule="auto"/>
        <w:rPr>
          <w:rFonts w:ascii="宋体" w:hAnsi="宋体" w:cs="宋体"/>
          <w:sz w:val="24"/>
        </w:rPr>
      </w:pPr>
      <w:r>
        <w:rPr>
          <w:rFonts w:hint="eastAsia" w:ascii="宋体" w:hAnsi="宋体" w:cs="宋体"/>
          <w:sz w:val="24"/>
        </w:rPr>
        <w:t xml:space="preserve">（2）注意病虫害的发生，可每隔 10—15 天喷洒等量或 200 倍波尔多液 1 次。</w:t>
      </w:r>
      <w:r/>
    </w:p>
    <w:p>
      <w:pPr>
        <w:ind w:firstLine="480"/>
        <w:spacing w:line="360" w:lineRule="auto"/>
        <w:rPr>
          <w:rFonts w:ascii="宋体" w:hAnsi="宋体" w:cs="宋体"/>
          <w:sz w:val="24"/>
        </w:rPr>
      </w:pPr>
      <w:r>
        <w:rPr>
          <w:rFonts w:hint="eastAsia" w:ascii="宋体" w:hAnsi="宋体" w:cs="宋体"/>
          <w:sz w:val="24"/>
        </w:rPr>
        <w:t xml:space="preserve">（3）杜鹃等春花木本地被要施“花后肥 ”，为孕育明年的花蕾做准备。</w:t>
      </w:r>
      <w:r/>
    </w:p>
    <w:p>
      <w:pPr>
        <w:ind w:firstLine="480"/>
        <w:spacing w:line="360" w:lineRule="auto"/>
        <w:rPr>
          <w:rFonts w:ascii="宋体" w:hAnsi="宋体" w:cs="宋体"/>
          <w:sz w:val="24"/>
        </w:rPr>
      </w:pPr>
      <w:r>
        <w:rPr>
          <w:rFonts w:hint="eastAsia" w:ascii="宋体" w:hAnsi="宋体" w:cs="宋体"/>
          <w:sz w:val="24"/>
        </w:rPr>
        <w:t xml:space="preserve">（4）5 月蚜虫、红蜘蛛危害严重，应加强防治。</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（1）加强行道树的修剪，解决树木与架空线路与建筑物之间的矛盾。</w:t>
      </w:r>
      <w:r/>
    </w:p>
    <w:p>
      <w:pPr>
        <w:ind w:firstLine="480"/>
        <w:spacing w:line="360" w:lineRule="auto"/>
        <w:rPr>
          <w:rFonts w:ascii="宋体" w:hAnsi="宋体" w:cs="宋体"/>
          <w:sz w:val="24"/>
        </w:rPr>
      </w:pPr>
      <w:r>
        <w:rPr>
          <w:rFonts w:hint="eastAsia" w:ascii="宋体" w:hAnsi="宋体" w:cs="宋体"/>
          <w:sz w:val="24"/>
        </w:rPr>
        <w:t xml:space="preserve">（2）做好防暴风雨的工作，及时处理危险树木。</w:t>
      </w:r>
      <w:r/>
    </w:p>
    <w:p>
      <w:pPr>
        <w:ind w:firstLine="480"/>
        <w:spacing w:line="360" w:lineRule="auto"/>
        <w:rPr>
          <w:rFonts w:ascii="宋体" w:hAnsi="宋体" w:cs="宋体"/>
          <w:sz w:val="24"/>
        </w:rPr>
      </w:pPr>
      <w:r>
        <w:rPr>
          <w:rFonts w:hint="eastAsia" w:ascii="宋体" w:hAnsi="宋体" w:cs="宋体"/>
          <w:sz w:val="24"/>
        </w:rPr>
        <w:t xml:space="preserve">（3）做好抗旱、排涝工作确保树木的成活率。</w:t>
      </w:r>
      <w:r/>
    </w:p>
    <w:p>
      <w:pPr>
        <w:ind w:firstLine="480"/>
        <w:spacing w:line="360" w:lineRule="auto"/>
        <w:rPr>
          <w:rFonts w:ascii="宋体" w:hAnsi="宋体" w:cs="宋体"/>
          <w:sz w:val="24"/>
        </w:rPr>
      </w:pPr>
      <w:r>
        <w:rPr>
          <w:rFonts w:hint="eastAsia" w:ascii="宋体" w:hAnsi="宋体" w:cs="宋体"/>
          <w:sz w:val="24"/>
        </w:rPr>
        <w:t xml:space="preserve">（4）进行中耕除草和大量追肥，及花灌木花期后的修剪；整形，剪除残花。</w:t>
      </w:r>
      <w:r/>
    </w:p>
    <w:p>
      <w:pPr>
        <w:ind w:firstLine="480"/>
        <w:spacing w:line="360" w:lineRule="auto"/>
        <w:rPr>
          <w:rFonts w:ascii="宋体" w:hAnsi="宋体" w:cs="宋体"/>
          <w:sz w:val="24"/>
        </w:rPr>
      </w:pPr>
      <w:r>
        <w:rPr>
          <w:rFonts w:hint="eastAsia" w:ascii="宋体" w:hAnsi="宋体" w:cs="宋体"/>
          <w:sz w:val="24"/>
        </w:rPr>
        <w:t xml:space="preserve">7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（1）7 月份天气持续炎热，草坪同上月一样，应进行常规的定期剪草，留草高度冷季型观赏草坪为 7—8cm，一般草坪 8—9cm。一般暖季型观赏草坪高度控制在1.5cm 左右；而对一般性的暖季型大面积草坪，留草高度通常为2.5cm  左右。</w:t>
      </w:r>
      <w:r/>
    </w:p>
    <w:p>
      <w:pPr>
        <w:ind w:firstLine="480"/>
        <w:spacing w:line="360" w:lineRule="auto"/>
        <w:rPr>
          <w:rFonts w:ascii="宋体" w:hAnsi="宋体" w:cs="宋体"/>
          <w:sz w:val="24"/>
        </w:rPr>
      </w:pPr>
      <w:r>
        <w:rPr>
          <w:rFonts w:hint="eastAsia" w:ascii="宋体" w:hAnsi="宋体" w:cs="宋体"/>
          <w:sz w:val="24"/>
        </w:rPr>
        <w:t xml:space="preserve">（2）继续做好夏季草坪抗旱浇水工作。</w:t>
      </w:r>
      <w:r/>
    </w:p>
    <w:p>
      <w:pPr>
        <w:ind w:firstLine="480"/>
        <w:spacing w:line="360" w:lineRule="auto"/>
        <w:rPr>
          <w:rFonts w:ascii="宋体" w:hAnsi="宋体" w:cs="宋体"/>
          <w:sz w:val="24"/>
        </w:rPr>
      </w:pPr>
      <w:r>
        <w:rPr>
          <w:rFonts w:hint="eastAsia" w:ascii="宋体" w:hAnsi="宋体" w:cs="宋体"/>
          <w:sz w:val="24"/>
        </w:rPr>
        <w:t xml:space="preserve">（3）继续选择合理的除莠剂对草坪中的恶性杂草进行防除。</w:t>
      </w:r>
      <w:r/>
    </w:p>
    <w:p>
      <w:pPr>
        <w:ind w:firstLine="480"/>
        <w:spacing w:line="360" w:lineRule="auto"/>
        <w:rPr>
          <w:rFonts w:ascii="宋体" w:hAnsi="宋体" w:cs="宋体"/>
          <w:sz w:val="24"/>
        </w:rPr>
      </w:pPr>
      <w:r>
        <w:rPr>
          <w:rFonts w:hint="eastAsia" w:ascii="宋体" w:hAnsi="宋体" w:cs="宋体"/>
          <w:sz w:val="24"/>
        </w:rPr>
        <w:t xml:space="preserve">（4）种植的冷季型草种，发现越夏困难者，则可采取傍晚喷水等降温措施，改善其生长条件，帮助它抗高温越夏。</w:t>
      </w:r>
      <w:r/>
    </w:p>
    <w:p>
      <w:pPr>
        <w:ind w:firstLine="480"/>
        <w:spacing w:line="360" w:lineRule="auto"/>
        <w:rPr>
          <w:rFonts w:ascii="宋体" w:hAnsi="宋体" w:cs="宋体"/>
          <w:sz w:val="24"/>
        </w:rPr>
      </w:pPr>
      <w:r>
        <w:rPr>
          <w:rFonts w:hint="eastAsia" w:ascii="宋体" w:hAnsi="宋体" w:cs="宋体"/>
          <w:sz w:val="24"/>
        </w:rPr>
        <w:t xml:space="preserve">（5）注意防治高羊茅虫害，如地老虎等。</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（1）中耕、除草、施追肥，促进观叶地被的生长。</w:t>
      </w:r>
      <w:r/>
    </w:p>
    <w:p>
      <w:pPr>
        <w:ind w:firstLine="480"/>
        <w:spacing w:line="360" w:lineRule="auto"/>
        <w:rPr>
          <w:rFonts w:ascii="宋体" w:hAnsi="宋体" w:cs="宋体"/>
          <w:sz w:val="24"/>
        </w:rPr>
      </w:pPr>
      <w:r>
        <w:rPr>
          <w:rFonts w:hint="eastAsia" w:ascii="宋体" w:hAnsi="宋体" w:cs="宋体"/>
          <w:sz w:val="24"/>
        </w:rPr>
        <w:t xml:space="preserve">（2）根据天气情况，要经常适当地浇水，提高空气湿度，特别是杜鹃、八仙花、栀子等每到晴天要每天喷 2 次，减少叶子萎蔫。</w:t>
      </w:r>
      <w:r/>
    </w:p>
    <w:p>
      <w:pPr>
        <w:ind w:firstLine="480"/>
        <w:spacing w:line="360" w:lineRule="auto"/>
        <w:rPr>
          <w:rFonts w:ascii="宋体" w:hAnsi="宋体" w:cs="宋体"/>
          <w:sz w:val="24"/>
        </w:rPr>
      </w:pPr>
      <w:r>
        <w:rPr>
          <w:rFonts w:hint="eastAsia" w:ascii="宋体" w:hAnsi="宋体" w:cs="宋体"/>
          <w:sz w:val="24"/>
        </w:rPr>
        <w:t xml:space="preserve">（3）天气炎热，尽量少施浓肥，结合浇水施薄肥。</w:t>
      </w:r>
      <w:r/>
    </w:p>
    <w:p>
      <w:pPr>
        <w:ind w:firstLine="480"/>
        <w:spacing w:line="360" w:lineRule="auto"/>
        <w:rPr>
          <w:rFonts w:ascii="宋体" w:hAnsi="宋体" w:cs="宋体"/>
          <w:sz w:val="24"/>
        </w:rPr>
      </w:pPr>
      <w:r>
        <w:rPr>
          <w:rFonts w:hint="eastAsia" w:ascii="宋体" w:hAnsi="宋体" w:cs="宋体"/>
          <w:sz w:val="24"/>
        </w:rPr>
        <w:t xml:space="preserve">（4）金丝桃等枝叶相当稠密的灌木地被，进行枝条的抽稀，修剪内部的无用枝，以改善通风透光，减少内部枝叶的枯黄。</w:t>
      </w:r>
      <w:r/>
    </w:p>
    <w:p>
      <w:pPr>
        <w:ind w:firstLine="480"/>
        <w:spacing w:line="360" w:lineRule="auto"/>
        <w:rPr>
          <w:rFonts w:ascii="宋体" w:hAnsi="宋体" w:cs="宋体"/>
          <w:sz w:val="24"/>
        </w:rPr>
      </w:pPr>
      <w:r>
        <w:rPr>
          <w:rFonts w:hint="eastAsia" w:ascii="宋体" w:hAnsi="宋体" w:cs="宋体"/>
          <w:sz w:val="24"/>
        </w:rPr>
        <w:t xml:space="preserve">（5）继续防治蚜虫、红蜘蛛和植物病害。</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（1）本月暴风雨多，暴风雨后及时处理倒伏树木，凹穴填土夯实，排除积水。</w:t>
      </w:r>
      <w:r/>
    </w:p>
    <w:p>
      <w:pPr>
        <w:ind w:firstLine="480"/>
        <w:spacing w:line="360" w:lineRule="auto"/>
        <w:rPr>
          <w:rFonts w:ascii="宋体" w:hAnsi="宋体" w:cs="宋体"/>
          <w:sz w:val="24"/>
        </w:rPr>
      </w:pPr>
      <w:r>
        <w:rPr>
          <w:rFonts w:hint="eastAsia" w:ascii="宋体" w:hAnsi="宋体" w:cs="宋体"/>
          <w:sz w:val="24"/>
        </w:rPr>
        <w:t xml:space="preserve">（2）行道树修剪，剥芽。</w:t>
      </w:r>
      <w:r/>
    </w:p>
    <w:p>
      <w:pPr>
        <w:ind w:firstLine="480"/>
        <w:spacing w:line="360" w:lineRule="auto"/>
        <w:rPr>
          <w:rFonts w:ascii="宋体" w:hAnsi="宋体" w:cs="宋体"/>
          <w:sz w:val="24"/>
        </w:rPr>
      </w:pPr>
      <w:r>
        <w:rPr>
          <w:rFonts w:hint="eastAsia" w:ascii="宋体" w:hAnsi="宋体" w:cs="宋体"/>
          <w:sz w:val="24"/>
        </w:rPr>
        <w:t xml:space="preserve">（3）防治病虫害，清晨捕捉天牛，杀灭袋蛾、刺蛾、夜蛾幼虫等。</w:t>
      </w:r>
      <w:r/>
    </w:p>
    <w:p>
      <w:pPr>
        <w:ind w:firstLine="480"/>
        <w:spacing w:line="360" w:lineRule="auto"/>
        <w:rPr>
          <w:rFonts w:ascii="宋体" w:hAnsi="宋体" w:cs="宋体"/>
          <w:sz w:val="24"/>
        </w:rPr>
      </w:pPr>
      <w:r>
        <w:rPr>
          <w:rFonts w:hint="eastAsia" w:ascii="宋体" w:hAnsi="宋体" w:cs="宋体"/>
          <w:sz w:val="24"/>
        </w:rPr>
        <w:t xml:space="preserve">8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（1）草坪管理工作同 7 月份。</w:t>
      </w:r>
      <w:r/>
    </w:p>
    <w:p>
      <w:pPr>
        <w:ind w:firstLine="480"/>
        <w:spacing w:line="360" w:lineRule="auto"/>
        <w:rPr>
          <w:rFonts w:ascii="宋体" w:hAnsi="宋体" w:cs="宋体"/>
          <w:sz w:val="24"/>
        </w:rPr>
      </w:pPr>
      <w:r>
        <w:rPr>
          <w:rFonts w:hint="eastAsia" w:ascii="宋体" w:hAnsi="宋体" w:cs="宋体"/>
          <w:sz w:val="24"/>
        </w:rPr>
        <w:t xml:space="preserve">（2）如因耽误剪草而草坪的茎叶过高时，应分两遍剪低，第一遍只剪去顶部，第二遍再调整滚刀高度，降低剪草高度。</w:t>
      </w:r>
      <w:r/>
    </w:p>
    <w:p>
      <w:pPr>
        <w:ind w:firstLine="480"/>
        <w:spacing w:line="360" w:lineRule="auto"/>
        <w:rPr>
          <w:rFonts w:ascii="宋体" w:hAnsi="宋体" w:cs="宋体"/>
          <w:sz w:val="24"/>
        </w:rPr>
      </w:pPr>
      <w:r>
        <w:rPr>
          <w:rFonts w:hint="eastAsia" w:ascii="宋体" w:hAnsi="宋体" w:cs="宋体"/>
          <w:sz w:val="24"/>
        </w:rPr>
        <w:t xml:space="preserve">（3）本月份是使用除莠剂和氮肥的最后月份。</w:t>
      </w:r>
      <w:r/>
    </w:p>
    <w:p>
      <w:pPr>
        <w:ind w:firstLine="480"/>
        <w:spacing w:line="360" w:lineRule="auto"/>
        <w:rPr>
          <w:rFonts w:ascii="宋体" w:hAnsi="宋体" w:cs="宋体"/>
          <w:sz w:val="24"/>
        </w:rPr>
      </w:pPr>
      <w:r>
        <w:rPr>
          <w:rFonts w:hint="eastAsia" w:ascii="宋体" w:hAnsi="宋体" w:cs="宋体"/>
          <w:sz w:val="24"/>
        </w:rPr>
        <w:t xml:space="preserve">（4）如有需要，可在夏季绿草坪中添播冬绿草种类，可在本月下旬开始撒播草籽，撒播后应及时使用“钉滚 ”耙松土壤，使播下的草籽落入土壤中，并浇水促进草籽萌发。</w:t>
      </w:r>
      <w:r/>
    </w:p>
    <w:p>
      <w:pPr>
        <w:ind w:firstLine="480"/>
        <w:spacing w:line="360" w:lineRule="auto"/>
        <w:rPr>
          <w:rFonts w:ascii="宋体" w:hAnsi="宋体" w:cs="宋体"/>
          <w:sz w:val="24"/>
        </w:rPr>
      </w:pPr>
      <w:r>
        <w:rPr>
          <w:rFonts w:hint="eastAsia" w:ascii="宋体" w:hAnsi="宋体" w:cs="宋体"/>
          <w:sz w:val="24"/>
        </w:rPr>
        <w:t xml:space="preserve">（5）注意防治高羊茅虫害，如夜蛾二代、地老虎等。</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（1）加强土壤和空气湿度的管理，经常浇水和喷水。</w:t>
      </w:r>
      <w:r/>
    </w:p>
    <w:p>
      <w:pPr>
        <w:ind w:firstLine="480"/>
        <w:spacing w:line="360" w:lineRule="auto"/>
        <w:rPr>
          <w:rFonts w:ascii="宋体" w:hAnsi="宋体" w:cs="宋体"/>
          <w:sz w:val="24"/>
        </w:rPr>
      </w:pPr>
      <w:r>
        <w:rPr>
          <w:rFonts w:hint="eastAsia" w:ascii="宋体" w:hAnsi="宋体" w:cs="宋体"/>
          <w:sz w:val="24"/>
        </w:rPr>
        <w:t xml:space="preserve">（2）8 月份是暴雨和季风集中的季节，要防止暴雨后土壤积水。</w:t>
      </w:r>
      <w:r/>
    </w:p>
    <w:p>
      <w:pPr>
        <w:ind w:firstLine="480"/>
        <w:spacing w:line="360" w:lineRule="auto"/>
        <w:rPr>
          <w:rFonts w:ascii="宋体" w:hAnsi="宋体" w:cs="宋体"/>
          <w:sz w:val="24"/>
        </w:rPr>
      </w:pPr>
      <w:r>
        <w:rPr>
          <w:rFonts w:hint="eastAsia" w:ascii="宋体" w:hAnsi="宋体" w:cs="宋体"/>
          <w:sz w:val="24"/>
        </w:rPr>
        <w:t xml:space="preserve">（3）2 年生地被秋播可以进行。</w:t>
      </w:r>
      <w:r/>
    </w:p>
    <w:p>
      <w:pPr>
        <w:ind w:firstLine="480"/>
        <w:spacing w:line="360" w:lineRule="auto"/>
        <w:rPr>
          <w:rFonts w:ascii="宋体" w:hAnsi="宋体" w:cs="宋体"/>
          <w:sz w:val="24"/>
        </w:rPr>
      </w:pPr>
      <w:r>
        <w:rPr>
          <w:rFonts w:hint="eastAsia" w:ascii="宋体" w:hAnsi="宋体" w:cs="宋体"/>
          <w:sz w:val="24"/>
        </w:rPr>
        <w:t xml:space="preserve">（4）秋后对地被种植地进行土壤改良。</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（1）继续做好抗旱排涝工作，确保树木旺盛生长。</w:t>
      </w:r>
      <w:r/>
    </w:p>
    <w:p>
      <w:pPr>
        <w:ind w:firstLine="480"/>
        <w:spacing w:line="360" w:lineRule="auto"/>
        <w:rPr>
          <w:rFonts w:ascii="宋体" w:hAnsi="宋体" w:cs="宋体"/>
          <w:sz w:val="24"/>
        </w:rPr>
      </w:pPr>
      <w:r>
        <w:rPr>
          <w:rFonts w:hint="eastAsia" w:ascii="宋体" w:hAnsi="宋体" w:cs="宋体"/>
          <w:sz w:val="24"/>
        </w:rPr>
        <w:t xml:space="preserve">（2）继续做好防台及防汛工作，及时解决树木与电线、建筑物的矛盾，吹倒、吹歪树木及时扶正栽好。</w:t>
      </w:r>
      <w:r/>
    </w:p>
    <w:p>
      <w:pPr>
        <w:ind w:firstLine="480"/>
        <w:spacing w:line="360" w:lineRule="auto"/>
        <w:rPr>
          <w:rFonts w:ascii="宋体" w:hAnsi="宋体" w:cs="宋体"/>
          <w:sz w:val="24"/>
        </w:rPr>
      </w:pPr>
      <w:r>
        <w:rPr>
          <w:rFonts w:hint="eastAsia" w:ascii="宋体" w:hAnsi="宋体" w:cs="宋体"/>
          <w:sz w:val="24"/>
        </w:rPr>
        <w:t xml:space="preserve">（3）进行夏季修剪，对徒长枝、过密枝及时修去。四月份未修剪的绿篱、球类本月中下旬修剪。</w:t>
      </w:r>
      <w:r/>
    </w:p>
    <w:p>
      <w:pPr>
        <w:ind w:firstLine="480"/>
        <w:spacing w:line="360" w:lineRule="auto"/>
        <w:rPr>
          <w:rFonts w:ascii="宋体" w:hAnsi="宋体" w:cs="宋体"/>
          <w:sz w:val="24"/>
        </w:rPr>
      </w:pPr>
      <w:r>
        <w:rPr>
          <w:rFonts w:hint="eastAsia" w:ascii="宋体" w:hAnsi="宋体" w:cs="宋体"/>
          <w:sz w:val="24"/>
        </w:rPr>
        <w:t xml:space="preserve">（4）挖掉死树，对花灌木及树木进行中耕、除草。</w:t>
      </w:r>
      <w:r/>
    </w:p>
    <w:p>
      <w:pPr>
        <w:ind w:firstLine="480"/>
        <w:spacing w:line="360" w:lineRule="auto"/>
        <w:rPr>
          <w:rFonts w:ascii="宋体" w:hAnsi="宋体" w:cs="宋体"/>
          <w:sz w:val="24"/>
        </w:rPr>
      </w:pPr>
      <w:r>
        <w:rPr>
          <w:rFonts w:hint="eastAsia" w:ascii="宋体" w:hAnsi="宋体" w:cs="宋体"/>
          <w:sz w:val="24"/>
        </w:rPr>
        <w:t xml:space="preserve">（5）继续作好病虫害防治工作。</w:t>
      </w:r>
      <w:r/>
    </w:p>
    <w:p>
      <w:pPr>
        <w:ind w:firstLine="480"/>
        <w:spacing w:line="360" w:lineRule="auto"/>
        <w:rPr>
          <w:rFonts w:ascii="宋体" w:hAnsi="宋体" w:cs="宋体"/>
          <w:sz w:val="24"/>
        </w:rPr>
      </w:pPr>
      <w:r>
        <w:rPr>
          <w:rFonts w:hint="eastAsia" w:ascii="宋体" w:hAnsi="宋体" w:cs="宋体"/>
          <w:sz w:val="24"/>
        </w:rPr>
        <w:t xml:space="preserve">9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（1）自本月起属于秋季养护时期，剪草间隔天数应适当延长，留草高度观赏冷季型观赏草坪一般为 3—5cm，一般冷季型草坪为 7—8cm。一般暖季型观赏 草坪高度控制在 2cm 左右；而对一般性的暖季型大面积草坪，留草高度通常为3cm 左右。</w:t>
      </w:r>
      <w:r/>
    </w:p>
    <w:p>
      <w:pPr>
        <w:ind w:firstLine="480"/>
        <w:spacing w:line="360" w:lineRule="auto"/>
        <w:rPr>
          <w:rFonts w:ascii="宋体" w:hAnsi="宋体" w:cs="宋体"/>
          <w:sz w:val="24"/>
        </w:rPr>
      </w:pPr>
      <w:r>
        <w:rPr>
          <w:rFonts w:hint="eastAsia" w:ascii="宋体" w:hAnsi="宋体" w:cs="宋体"/>
          <w:sz w:val="24"/>
        </w:rPr>
        <w:t xml:space="preserve">（2）本月起由于气温下降，草坪害虫如草地螟、蝼蛄、金龟子幼虫等开始活跃，应积极防治病虫害。</w:t>
      </w:r>
      <w:r/>
    </w:p>
    <w:p>
      <w:pPr>
        <w:ind w:firstLine="480"/>
        <w:spacing w:line="360" w:lineRule="auto"/>
        <w:rPr>
          <w:rFonts w:ascii="宋体" w:hAnsi="宋体" w:cs="宋体"/>
          <w:sz w:val="24"/>
        </w:rPr>
      </w:pPr>
      <w:r>
        <w:rPr>
          <w:rFonts w:hint="eastAsia" w:ascii="宋体" w:hAnsi="宋体" w:cs="宋体"/>
          <w:sz w:val="24"/>
        </w:rPr>
        <w:t xml:space="preserve">（3）本月中、下旬可进行草坪上凹凸不平或秃裸空白以及草坪切边等秋季管理工作。</w:t>
      </w:r>
      <w:r/>
    </w:p>
    <w:p>
      <w:pPr>
        <w:ind w:firstLine="480"/>
        <w:spacing w:line="360" w:lineRule="auto"/>
        <w:rPr>
          <w:rFonts w:ascii="宋体" w:hAnsi="宋体" w:cs="宋体"/>
          <w:sz w:val="24"/>
        </w:rPr>
      </w:pPr>
      <w:r>
        <w:rPr>
          <w:rFonts w:hint="eastAsia" w:ascii="宋体" w:hAnsi="宋体" w:cs="宋体"/>
          <w:sz w:val="24"/>
        </w:rPr>
        <w:t xml:space="preserve">（4）对所有草坪，均可在本月上、中旬使用“钉耙 ”清除垃圾及厚的随草片，这样可以刺激走蔓的发生。然后对其中踩蹋板硬的地块，使用农业钢叉进行刺孔，深度应在 10cm 以下，并撒布一薄层配制的混合覆盖土，用扫帚将叶片上的土粒除掉。</w:t>
      </w:r>
      <w:r/>
    </w:p>
    <w:p>
      <w:pPr>
        <w:ind w:firstLine="480"/>
        <w:spacing w:line="360" w:lineRule="auto"/>
        <w:rPr>
          <w:rFonts w:ascii="宋体" w:hAnsi="宋体" w:cs="宋体"/>
          <w:sz w:val="24"/>
        </w:rPr>
      </w:pPr>
      <w:r>
        <w:rPr>
          <w:rFonts w:hint="eastAsia" w:ascii="宋体" w:hAnsi="宋体" w:cs="宋体"/>
          <w:sz w:val="24"/>
        </w:rPr>
        <w:t xml:space="preserve">（5）如草坪上出现苔藓斑块，应在上述工作前，先用药物除去苔藓。</w:t>
      </w:r>
      <w:r/>
    </w:p>
    <w:p>
      <w:pPr>
        <w:ind w:firstLine="480"/>
        <w:spacing w:line="360" w:lineRule="auto"/>
        <w:rPr>
          <w:rFonts w:ascii="宋体" w:hAnsi="宋体" w:cs="宋体"/>
          <w:sz w:val="24"/>
        </w:rPr>
      </w:pPr>
      <w:r>
        <w:rPr>
          <w:rFonts w:hint="eastAsia" w:ascii="宋体" w:hAnsi="宋体" w:cs="宋体"/>
          <w:sz w:val="24"/>
        </w:rPr>
        <w:t xml:space="preserve">（6）应在草坪上施用完全肥料或磷质肥料，以促进草坪草根群强大，增其抗病能力和越冬能力。</w:t>
      </w:r>
      <w:r/>
    </w:p>
    <w:p>
      <w:pPr>
        <w:ind w:firstLine="480"/>
        <w:spacing w:line="360" w:lineRule="auto"/>
        <w:rPr>
          <w:rFonts w:ascii="宋体" w:hAnsi="宋体" w:cs="宋体"/>
          <w:sz w:val="24"/>
        </w:rPr>
      </w:pPr>
      <w:r>
        <w:rPr>
          <w:rFonts w:hint="eastAsia" w:ascii="宋体" w:hAnsi="宋体" w:cs="宋体"/>
          <w:sz w:val="24"/>
        </w:rPr>
        <w:t xml:space="preserve">（7）本月是建立新草坪的最好时期，通常铺设新草坪，均在本月份或下月初播种草籽。</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（1）做好秋播地被苗期养护工作。</w:t>
      </w:r>
      <w:r/>
    </w:p>
    <w:p>
      <w:pPr>
        <w:ind w:firstLine="480"/>
        <w:spacing w:line="360" w:lineRule="auto"/>
        <w:rPr>
          <w:rFonts w:ascii="宋体" w:hAnsi="宋体" w:cs="宋体"/>
          <w:sz w:val="24"/>
        </w:rPr>
      </w:pPr>
      <w:r>
        <w:rPr>
          <w:rFonts w:hint="eastAsia" w:ascii="宋体" w:hAnsi="宋体" w:cs="宋体"/>
          <w:sz w:val="24"/>
        </w:rPr>
        <w:t xml:space="preserve">（2）对秋花地被进行施肥。</w:t>
      </w:r>
      <w:r/>
    </w:p>
    <w:p>
      <w:pPr>
        <w:ind w:firstLine="480"/>
        <w:spacing w:line="360" w:lineRule="auto"/>
        <w:rPr>
          <w:rFonts w:ascii="宋体" w:hAnsi="宋体" w:cs="宋体"/>
          <w:sz w:val="24"/>
        </w:rPr>
      </w:pPr>
      <w:r>
        <w:rPr>
          <w:rFonts w:hint="eastAsia" w:ascii="宋体" w:hAnsi="宋体" w:cs="宋体"/>
          <w:sz w:val="24"/>
        </w:rPr>
        <w:t xml:space="preserve">（3）对于孔雀草等花期很长的观花地被，进行植株整理，去掉破坏整体效果的过长、过高枝。</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（1）加强中耕、除草、整形修剪工作。</w:t>
      </w:r>
      <w:r/>
    </w:p>
    <w:p>
      <w:pPr>
        <w:ind w:firstLine="480"/>
        <w:spacing w:line="360" w:lineRule="auto"/>
        <w:rPr>
          <w:rFonts w:ascii="宋体" w:hAnsi="宋体" w:cs="宋体"/>
          <w:sz w:val="24"/>
        </w:rPr>
      </w:pPr>
      <w:r>
        <w:rPr>
          <w:rFonts w:hint="eastAsia" w:ascii="宋体" w:hAnsi="宋体" w:cs="宋体"/>
          <w:sz w:val="24"/>
        </w:rPr>
        <w:t xml:space="preserve">（2）结束绿篱的整形修剪工作。</w:t>
      </w:r>
      <w:r/>
    </w:p>
    <w:p>
      <w:pPr>
        <w:ind w:firstLine="480"/>
        <w:spacing w:line="360" w:lineRule="auto"/>
        <w:rPr>
          <w:rFonts w:ascii="宋体" w:hAnsi="宋体" w:cs="宋体"/>
          <w:sz w:val="24"/>
        </w:rPr>
      </w:pPr>
      <w:r>
        <w:rPr>
          <w:rFonts w:hint="eastAsia" w:ascii="宋体" w:hAnsi="宋体" w:cs="宋体"/>
          <w:sz w:val="24"/>
        </w:rPr>
        <w:t xml:space="preserve">（3）防止病虫害，特别是蛀干害虫，如天牛等。</w:t>
      </w:r>
      <w:r/>
    </w:p>
    <w:p>
      <w:pPr>
        <w:ind w:firstLine="480"/>
        <w:spacing w:line="360" w:lineRule="auto"/>
        <w:rPr>
          <w:rFonts w:ascii="宋体" w:hAnsi="宋体" w:cs="宋体"/>
          <w:sz w:val="24"/>
        </w:rPr>
      </w:pPr>
      <w:r>
        <w:rPr>
          <w:rFonts w:hint="eastAsia" w:ascii="宋体" w:hAnsi="宋体" w:cs="宋体"/>
          <w:sz w:val="24"/>
        </w:rPr>
        <w:t xml:space="preserve">（4）继续做好防台风、暴雨工作。</w:t>
      </w:r>
      <w:r/>
    </w:p>
    <w:p>
      <w:pPr>
        <w:ind w:firstLine="480"/>
        <w:spacing w:line="360" w:lineRule="auto"/>
        <w:rPr>
          <w:rFonts w:ascii="宋体" w:hAnsi="宋体" w:cs="宋体"/>
          <w:sz w:val="24"/>
        </w:rPr>
      </w:pPr>
      <w:r>
        <w:rPr>
          <w:rFonts w:hint="eastAsia" w:ascii="宋体" w:hAnsi="宋体" w:cs="宋体"/>
          <w:sz w:val="24"/>
        </w:rPr>
        <w:t xml:space="preserve">10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（1）正规的剪草工作在本月结束，最后一次剪草时的留草高度应适当升高，以利草坪正常越冬。</w:t>
      </w:r>
      <w:r/>
    </w:p>
    <w:p>
      <w:pPr>
        <w:ind w:firstLine="480"/>
        <w:spacing w:line="360" w:lineRule="auto"/>
        <w:rPr>
          <w:rFonts w:ascii="宋体" w:hAnsi="宋体" w:cs="宋体"/>
          <w:sz w:val="24"/>
        </w:rPr>
      </w:pPr>
      <w:r>
        <w:rPr>
          <w:rFonts w:hint="eastAsia" w:ascii="宋体" w:hAnsi="宋体" w:cs="宋体"/>
          <w:sz w:val="24"/>
        </w:rPr>
        <w:t xml:space="preserve">（2）施用杀虫剂、杀苔剂。修补草地，修整草坪边缘，对踩踏硬实处进行刺孔等草坪养护管理工作。</w:t>
      </w:r>
      <w:r/>
    </w:p>
    <w:p>
      <w:pPr>
        <w:ind w:firstLine="480"/>
        <w:spacing w:line="360" w:lineRule="auto"/>
        <w:rPr>
          <w:rFonts w:ascii="宋体" w:hAnsi="宋体" w:cs="宋体"/>
          <w:sz w:val="24"/>
        </w:rPr>
      </w:pPr>
      <w:r>
        <w:rPr>
          <w:rFonts w:hint="eastAsia" w:ascii="宋体" w:hAnsi="宋体" w:cs="宋体"/>
          <w:sz w:val="24"/>
        </w:rPr>
        <w:t xml:space="preserve">（3）对于使用铺草块或草坪植生带方法建立的新草坪，应在本月开始进行。</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（1）秋季球根、宿根地被的分株、移栽。</w:t>
      </w:r>
      <w:r/>
    </w:p>
    <w:p>
      <w:pPr>
        <w:ind w:firstLine="480"/>
        <w:spacing w:line="360" w:lineRule="auto"/>
        <w:rPr>
          <w:rFonts w:ascii="宋体" w:hAnsi="宋体" w:cs="宋体"/>
          <w:sz w:val="24"/>
        </w:rPr>
      </w:pPr>
      <w:r>
        <w:rPr>
          <w:rFonts w:hint="eastAsia" w:ascii="宋体" w:hAnsi="宋体" w:cs="宋体"/>
          <w:sz w:val="24"/>
        </w:rPr>
        <w:t xml:space="preserve">（2）生长高峰后，对地被要进行整理，徒长枝、竖向枝，尤其是木本矮生地被修剪可促使枝条开张，加大覆盖面积。</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（1）新栽、补植树木、灌木全面检查，确保全年成活率。</w:t>
      </w:r>
      <w:r/>
    </w:p>
    <w:p>
      <w:pPr>
        <w:ind w:firstLine="480"/>
        <w:spacing w:line="360" w:lineRule="auto"/>
        <w:rPr>
          <w:rFonts w:ascii="宋体" w:hAnsi="宋体" w:cs="宋体"/>
          <w:sz w:val="24"/>
        </w:rPr>
      </w:pPr>
      <w:r>
        <w:rPr>
          <w:rFonts w:hint="eastAsia" w:ascii="宋体" w:hAnsi="宋体" w:cs="宋体"/>
          <w:sz w:val="24"/>
        </w:rPr>
        <w:t xml:space="preserve">（2）继续做好防治病虫害工作</w:t>
      </w:r>
      <w:r/>
    </w:p>
    <w:p>
      <w:pPr>
        <w:ind w:firstLine="480"/>
        <w:spacing w:line="360" w:lineRule="auto"/>
        <w:rPr>
          <w:rFonts w:ascii="宋体" w:hAnsi="宋体" w:cs="宋体"/>
          <w:sz w:val="24"/>
        </w:rPr>
      </w:pPr>
      <w:r>
        <w:rPr>
          <w:rFonts w:hint="eastAsia" w:ascii="宋体" w:hAnsi="宋体" w:cs="宋体"/>
          <w:sz w:val="24"/>
        </w:rPr>
        <w:t xml:space="preserve">11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（1）如果天气晴朗温暖，土面较干实，应再适当增加 1 次剪草。</w:t>
      </w:r>
      <w:r/>
    </w:p>
    <w:p>
      <w:pPr>
        <w:ind w:firstLine="480"/>
        <w:spacing w:line="360" w:lineRule="auto"/>
        <w:rPr>
          <w:rFonts w:ascii="宋体" w:hAnsi="宋体" w:cs="宋体"/>
          <w:sz w:val="24"/>
        </w:rPr>
      </w:pPr>
      <w:r>
        <w:rPr>
          <w:rFonts w:hint="eastAsia" w:ascii="宋体" w:hAnsi="宋体" w:cs="宋体"/>
          <w:sz w:val="24"/>
        </w:rPr>
        <w:t xml:space="preserve">（2）本月在部分草地上如果发现有蜗牛危害，可及时施药消除。</w:t>
      </w:r>
      <w:r/>
    </w:p>
    <w:p>
      <w:pPr>
        <w:ind w:firstLine="480"/>
        <w:spacing w:line="360" w:lineRule="auto"/>
        <w:rPr>
          <w:rFonts w:ascii="宋体" w:hAnsi="宋体" w:cs="宋体"/>
          <w:sz w:val="24"/>
        </w:rPr>
      </w:pPr>
      <w:r>
        <w:rPr>
          <w:rFonts w:hint="eastAsia" w:ascii="宋体" w:hAnsi="宋体" w:cs="宋体"/>
          <w:sz w:val="24"/>
        </w:rPr>
        <w:t xml:space="preserve">（3）为了保持观赏草坪的平整美观，应及时清除积存在草坪上的秋季树木落叶。</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（1）11 月后大部分地被植物开始进入休眠或半休眠，要施冬肥和秋花“花后肥 ”。</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（1）进行冬季修剪，修去病虫枝、过密枝、徒长枝。</w:t>
      </w:r>
      <w:r/>
    </w:p>
    <w:p>
      <w:pPr>
        <w:ind w:firstLine="480"/>
        <w:spacing w:line="360" w:lineRule="auto"/>
        <w:rPr>
          <w:rFonts w:ascii="宋体" w:hAnsi="宋体" w:cs="宋体"/>
          <w:sz w:val="24"/>
        </w:rPr>
      </w:pPr>
      <w:r>
        <w:rPr>
          <w:rFonts w:hint="eastAsia" w:ascii="宋体" w:hAnsi="宋体" w:cs="宋体"/>
          <w:sz w:val="24"/>
        </w:rPr>
        <w:t xml:space="preserve">（2）冬翻土地，施肥，改良土壤。</w:t>
      </w:r>
      <w:r/>
    </w:p>
    <w:p>
      <w:pPr>
        <w:ind w:firstLine="480"/>
        <w:spacing w:line="360" w:lineRule="auto"/>
        <w:rPr>
          <w:rFonts w:ascii="宋体" w:hAnsi="宋体" w:cs="宋体"/>
          <w:sz w:val="24"/>
        </w:rPr>
      </w:pPr>
      <w:r>
        <w:rPr>
          <w:rFonts w:hint="eastAsia" w:ascii="宋体" w:hAnsi="宋体" w:cs="宋体"/>
          <w:sz w:val="24"/>
        </w:rPr>
        <w:t xml:space="preserve">（3）做好防寒工作，对抗寒性差或引进的新品种要进行防寒，如绕干、涂白、搭暖蓬、设风障等。</w:t>
      </w:r>
      <w:r/>
    </w:p>
    <w:p>
      <w:pPr>
        <w:ind w:firstLine="480"/>
        <w:spacing w:line="360" w:lineRule="auto"/>
        <w:rPr>
          <w:rFonts w:ascii="宋体" w:hAnsi="宋体" w:cs="宋体"/>
          <w:sz w:val="24"/>
        </w:rPr>
      </w:pPr>
      <w:r>
        <w:rPr>
          <w:rFonts w:hint="eastAsia" w:ascii="宋体" w:hAnsi="宋体" w:cs="宋体"/>
          <w:sz w:val="24"/>
        </w:rPr>
        <w:t xml:space="preserve">（4）防治病虫害，消灭越冬虫包、虫茧和幼虫。</w:t>
      </w:r>
      <w:r/>
    </w:p>
    <w:p>
      <w:pPr>
        <w:ind w:firstLine="480"/>
        <w:spacing w:line="360" w:lineRule="auto"/>
        <w:rPr>
          <w:rFonts w:ascii="宋体" w:hAnsi="宋体" w:cs="宋体"/>
          <w:sz w:val="24"/>
        </w:rPr>
      </w:pPr>
      <w:r>
        <w:rPr>
          <w:rFonts w:hint="eastAsia" w:ascii="宋体" w:hAnsi="宋体" w:cs="宋体"/>
          <w:sz w:val="24"/>
        </w:rPr>
        <w:t xml:space="preserve">12 月份</w:t>
      </w:r>
      <w:r/>
    </w:p>
    <w:p>
      <w:pPr>
        <w:ind w:firstLine="480"/>
        <w:spacing w:line="360" w:lineRule="auto"/>
        <w:rPr>
          <w:rFonts w:ascii="宋体" w:hAnsi="宋体" w:cs="宋体"/>
          <w:sz w:val="24"/>
        </w:rPr>
      </w:pPr>
      <w:r>
        <w:rPr>
          <w:rFonts w:hint="eastAsia" w:ascii="宋体" w:hAnsi="宋体" w:cs="宋体"/>
          <w:sz w:val="24"/>
        </w:rPr>
        <w:t xml:space="preserve">草坪养护重点：</w:t>
      </w:r>
      <w:r/>
    </w:p>
    <w:p>
      <w:pPr>
        <w:ind w:firstLine="480"/>
        <w:spacing w:line="360" w:lineRule="auto"/>
        <w:rPr>
          <w:rFonts w:ascii="宋体" w:hAnsi="宋体" w:cs="宋体"/>
          <w:sz w:val="24"/>
        </w:rPr>
      </w:pPr>
      <w:r>
        <w:rPr>
          <w:rFonts w:hint="eastAsia" w:ascii="宋体" w:hAnsi="宋体" w:cs="宋体"/>
          <w:sz w:val="24"/>
        </w:rPr>
        <w:t xml:space="preserve">（1）注意潮湿地块及雨雪时土壤冻结情况，禁止在草坪上踩塌，否则将会使草坪受严重伤害。</w:t>
      </w:r>
      <w:r/>
    </w:p>
    <w:p>
      <w:pPr>
        <w:ind w:firstLine="480"/>
        <w:spacing w:line="360" w:lineRule="auto"/>
        <w:rPr>
          <w:rFonts w:ascii="宋体" w:hAnsi="宋体" w:cs="宋体"/>
          <w:sz w:val="24"/>
        </w:rPr>
      </w:pPr>
      <w:r>
        <w:rPr>
          <w:rFonts w:hint="eastAsia" w:ascii="宋体" w:hAnsi="宋体" w:cs="宋体"/>
          <w:sz w:val="24"/>
        </w:rPr>
        <w:t xml:space="preserve">（2）冬季型草坪应在 12 月前进行 1 次冬季灌水，以防根系干冻受损，有利于冬绿型草坪越冬生长。</w:t>
      </w:r>
      <w:r/>
    </w:p>
    <w:p>
      <w:pPr>
        <w:ind w:firstLine="480"/>
        <w:spacing w:line="360" w:lineRule="auto"/>
        <w:rPr>
          <w:rFonts w:ascii="宋体" w:hAnsi="宋体" w:cs="宋体"/>
          <w:sz w:val="24"/>
        </w:rPr>
      </w:pPr>
      <w:r>
        <w:rPr>
          <w:rFonts w:hint="eastAsia" w:ascii="宋体" w:hAnsi="宋体" w:cs="宋体"/>
          <w:sz w:val="24"/>
        </w:rPr>
        <w:t xml:space="preserve">地被色块养护重点：</w:t>
      </w:r>
      <w:r/>
    </w:p>
    <w:p>
      <w:pPr>
        <w:ind w:firstLine="480"/>
        <w:spacing w:line="360" w:lineRule="auto"/>
        <w:rPr>
          <w:rFonts w:ascii="宋体" w:hAnsi="宋体" w:cs="宋体"/>
          <w:sz w:val="24"/>
        </w:rPr>
      </w:pPr>
      <w:r>
        <w:rPr>
          <w:rFonts w:hint="eastAsia" w:ascii="宋体" w:hAnsi="宋体" w:cs="宋体"/>
          <w:sz w:val="24"/>
        </w:rPr>
        <w:t xml:space="preserve">（1）本月进入隆冬，在严寒到来之前，对于一些常绿、露地越冬但又易受冻害的地被提前做好防冻措施，一般在地面洒上木屑或适当浇水防冻。</w:t>
      </w:r>
      <w:r/>
    </w:p>
    <w:p>
      <w:pPr>
        <w:ind w:firstLine="480"/>
        <w:spacing w:line="360" w:lineRule="auto"/>
        <w:rPr>
          <w:rFonts w:ascii="宋体" w:hAnsi="宋体" w:cs="宋体"/>
          <w:sz w:val="24"/>
        </w:rPr>
      </w:pPr>
      <w:r>
        <w:rPr>
          <w:rFonts w:hint="eastAsia" w:ascii="宋体" w:hAnsi="宋体" w:cs="宋体"/>
          <w:sz w:val="24"/>
        </w:rPr>
        <w:t xml:space="preserve">（2）对于已去掉枝叶的宿根花卉用腐熟的有机肥在根茎壅土施肥，促使翌年萌发枝条粗壮。</w:t>
      </w:r>
      <w:r/>
    </w:p>
    <w:p>
      <w:pPr>
        <w:ind w:firstLine="480"/>
        <w:spacing w:line="360" w:lineRule="auto"/>
        <w:rPr>
          <w:rFonts w:ascii="宋体" w:hAnsi="宋体" w:cs="宋体"/>
          <w:sz w:val="24"/>
        </w:rPr>
      </w:pPr>
      <w:r>
        <w:rPr>
          <w:rFonts w:hint="eastAsia" w:ascii="宋体" w:hAnsi="宋体" w:cs="宋体"/>
          <w:sz w:val="24"/>
        </w:rPr>
        <w:t xml:space="preserve">（3）在种植密度低的木本地被株间深翻施浓肥。</w:t>
      </w:r>
      <w:r/>
    </w:p>
    <w:p>
      <w:pPr>
        <w:ind w:firstLine="480"/>
        <w:spacing w:line="360" w:lineRule="auto"/>
        <w:rPr>
          <w:rFonts w:ascii="宋体" w:hAnsi="宋体" w:cs="宋体"/>
          <w:sz w:val="24"/>
        </w:rPr>
      </w:pPr>
      <w:r>
        <w:rPr>
          <w:rFonts w:hint="eastAsia" w:ascii="宋体" w:hAnsi="宋体" w:cs="宋体"/>
          <w:sz w:val="24"/>
        </w:rPr>
        <w:t xml:space="preserve">乔木、灌木养护重点：</w:t>
      </w:r>
      <w:r/>
    </w:p>
    <w:p>
      <w:pPr>
        <w:ind w:firstLine="480"/>
        <w:spacing w:line="360" w:lineRule="auto"/>
        <w:rPr>
          <w:rFonts w:ascii="宋体" w:hAnsi="宋体" w:cs="宋体"/>
          <w:sz w:val="24"/>
        </w:rPr>
      </w:pPr>
      <w:r>
        <w:rPr>
          <w:rFonts w:hint="eastAsia" w:ascii="宋体" w:hAnsi="宋体" w:cs="宋体"/>
          <w:sz w:val="24"/>
        </w:rPr>
        <w:t xml:space="preserve">（1）对树木冬季施肥，深施，施足。</w:t>
      </w:r>
      <w:r/>
    </w:p>
    <w:p>
      <w:pPr>
        <w:ind w:firstLine="480"/>
        <w:spacing w:line="360" w:lineRule="auto"/>
        <w:rPr>
          <w:rFonts w:ascii="宋体" w:hAnsi="宋体" w:cs="宋体"/>
          <w:sz w:val="24"/>
        </w:rPr>
      </w:pPr>
      <w:r>
        <w:rPr>
          <w:rFonts w:hint="eastAsia" w:ascii="宋体" w:hAnsi="宋体" w:cs="宋体"/>
          <w:sz w:val="24"/>
        </w:rPr>
        <w:t xml:space="preserve">（2）冬季树木的整形修剪。</w:t>
      </w:r>
      <w:r/>
    </w:p>
    <w:p>
      <w:pPr>
        <w:ind w:firstLine="480"/>
        <w:spacing w:line="360" w:lineRule="auto"/>
        <w:rPr>
          <w:rFonts w:ascii="宋体" w:hAnsi="宋体" w:cs="宋体"/>
          <w:sz w:val="24"/>
        </w:rPr>
      </w:pPr>
      <w:r>
        <w:rPr>
          <w:rFonts w:hint="eastAsia" w:ascii="宋体" w:hAnsi="宋体" w:cs="宋体"/>
          <w:sz w:val="24"/>
        </w:rPr>
        <w:t xml:space="preserve">（3）深翻和平整土地，使土壤熟化。</w:t>
      </w:r>
      <w:r/>
    </w:p>
    <w:p>
      <w:pPr>
        <w:ind w:firstLine="480"/>
        <w:spacing w:line="360" w:lineRule="auto"/>
        <w:rPr>
          <w:rFonts w:ascii="宋体" w:hAnsi="宋体" w:cs="宋体"/>
          <w:sz w:val="24"/>
        </w:rPr>
      </w:pPr>
      <w:r>
        <w:rPr>
          <w:rFonts w:hint="eastAsia" w:ascii="宋体" w:hAnsi="宋体" w:cs="宋体"/>
          <w:sz w:val="24"/>
        </w:rPr>
        <w:t xml:space="preserve">（4）继续做好防寒工作。</w:t>
      </w:r>
      <w:r/>
    </w:p>
    <w:p>
      <w:pPr>
        <w:ind w:firstLine="480"/>
        <w:spacing w:line="360" w:lineRule="auto"/>
        <w:rPr>
          <w:rFonts w:ascii="宋体" w:hAnsi="宋体" w:cs="宋体"/>
          <w:sz w:val="24"/>
        </w:rPr>
      </w:pPr>
      <w:r>
        <w:rPr>
          <w:rFonts w:hint="eastAsia" w:ascii="宋体" w:hAnsi="宋体" w:cs="宋体"/>
          <w:sz w:val="24"/>
        </w:rPr>
        <w:t xml:space="preserve">（5）防除越冬害虫。</w:t>
      </w:r>
      <w:r/>
    </w:p>
    <w:p>
      <w:pPr>
        <w:ind w:firstLine="480"/>
        <w:spacing w:line="360" w:lineRule="auto"/>
        <w:rPr>
          <w:rFonts w:ascii="宋体" w:hAnsi="宋体" w:cs="宋体"/>
          <w:sz w:val="24"/>
        </w:rPr>
      </w:pPr>
      <w:r>
        <w:rPr>
          <w:rFonts w:hint="eastAsia" w:ascii="宋体" w:hAnsi="宋体" w:cs="宋体"/>
          <w:sz w:val="24"/>
        </w:rPr>
        <w:t xml:space="preserve">做好全年的工作总结，找出经验与问题，以便翌年推广或改正。</w:t>
      </w:r>
      <w:r/>
    </w:p>
    <w:p>
      <w:pPr>
        <w:ind w:firstLine="480"/>
        <w:spacing w:line="360" w:lineRule="auto"/>
        <w:rPr>
          <w:rFonts w:ascii="宋体" w:hAnsi="宋体" w:cs="宋体"/>
          <w:sz w:val="24"/>
        </w:rPr>
      </w:pPr>
      <w:r>
        <w:rPr>
          <w:rFonts w:hint="eastAsia" w:ascii="宋体" w:hAnsi="宋体" w:cs="宋体"/>
          <w:sz w:val="24"/>
        </w:rPr>
        <w:t xml:space="preserve">8、文明安全养护要求</w:t>
      </w:r>
      <w:r/>
    </w:p>
    <w:p>
      <w:pPr>
        <w:ind w:firstLine="480"/>
        <w:spacing w:line="360" w:lineRule="auto"/>
        <w:rPr>
          <w:rFonts w:ascii="宋体" w:hAnsi="宋体" w:cs="宋体"/>
          <w:sz w:val="24"/>
        </w:rPr>
      </w:pPr>
      <w:r>
        <w:rPr>
          <w:rFonts w:hint="eastAsia" w:ascii="宋体" w:hAnsi="宋体" w:cs="宋体"/>
          <w:sz w:val="24"/>
        </w:rPr>
        <w:t xml:space="preserve">（1）乙方应配有专职安全员，需对养护人员进行施工安全教育和对施工设备、养护现场进行安全检查。</w:t>
      </w:r>
      <w:r/>
    </w:p>
    <w:p>
      <w:pPr>
        <w:ind w:firstLine="480"/>
        <w:spacing w:line="360" w:lineRule="auto"/>
        <w:rPr>
          <w:rFonts w:ascii="宋体" w:hAnsi="宋体" w:cs="宋体"/>
          <w:sz w:val="24"/>
        </w:rPr>
      </w:pPr>
      <w:r>
        <w:rPr>
          <w:rFonts w:hint="eastAsia" w:ascii="宋体" w:hAnsi="宋体" w:cs="宋体"/>
          <w:sz w:val="24"/>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80"/>
        <w:spacing w:line="360" w:lineRule="auto"/>
        <w:rPr>
          <w:rFonts w:ascii="宋体" w:hAnsi="宋体" w:cs="宋体"/>
          <w:sz w:val="24"/>
        </w:rPr>
      </w:pPr>
      <w:r>
        <w:rPr>
          <w:rFonts w:hint="eastAsia" w:ascii="宋体" w:hAnsi="宋体" w:cs="宋体"/>
          <w:sz w:val="24"/>
        </w:rPr>
        <w:t xml:space="preserve">（3）绿化养护作业时，应随时保持道路的清洁、畅通，并由专人负责监管，以确保文明安全养护。</w:t>
      </w:r>
      <w:r/>
    </w:p>
    <w:p>
      <w:pPr>
        <w:ind w:firstLine="480"/>
        <w:spacing w:line="360" w:lineRule="auto"/>
        <w:rPr>
          <w:rFonts w:ascii="宋体" w:hAnsi="宋体" w:cs="宋体"/>
          <w:sz w:val="24"/>
        </w:rPr>
      </w:pPr>
      <w:r>
        <w:rPr>
          <w:rFonts w:hint="eastAsia" w:ascii="宋体" w:hAnsi="宋体" w:cs="宋体"/>
          <w:sz w:val="24"/>
        </w:rPr>
        <w:t xml:space="preserve">（4）应做到文明作业。</w:t>
      </w:r>
      <w:r/>
    </w:p>
    <w:p>
      <w:pPr>
        <w:pStyle w:val="825"/>
      </w:pPr>
      <w:r/>
      <w:bookmarkStart w:id="214" w:name="_Toc209020156"/>
      <w:r>
        <w:rPr>
          <w:rFonts w:hint="eastAsia"/>
        </w:rPr>
        <w:t xml:space="preserve">五、镇江市市管绿地养护管理考核实施细则（见附件）</w:t>
      </w:r>
      <w:bookmarkEnd w:id="214"/>
      <w:r/>
      <w:r/>
    </w:p>
    <w:p>
      <w:pPr>
        <w:pStyle w:val="825"/>
      </w:pPr>
      <w:r/>
      <w:bookmarkStart w:id="215" w:name="_Toc209020157"/>
      <w:r>
        <w:rPr>
          <w:rFonts w:hint="eastAsia"/>
        </w:rPr>
        <w:t xml:space="preserve">六、普查、交接与验收</w:t>
      </w:r>
      <w:bookmarkEnd w:id="215"/>
      <w:r/>
      <w:r/>
    </w:p>
    <w:p>
      <w:pPr>
        <w:ind w:firstLine="480"/>
        <w:spacing w:line="360" w:lineRule="auto"/>
        <w:rPr>
          <w:rFonts w:ascii="宋体" w:hAnsi="宋体" w:cs="宋体"/>
          <w:sz w:val="24"/>
          <w:szCs w:val="32"/>
        </w:rPr>
      </w:pPr>
      <w:r>
        <w:rPr>
          <w:rFonts w:hint="eastAsia" w:ascii="宋体" w:hAnsi="宋体" w:cs="宋体"/>
          <w:sz w:val="24"/>
          <w:szCs w:val="32"/>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80"/>
        <w:spacing w:line="360" w:lineRule="auto"/>
        <w:rPr>
          <w:rFonts w:ascii="宋体" w:hAnsi="宋体" w:cs="宋体"/>
          <w:sz w:val="24"/>
          <w:szCs w:val="32"/>
        </w:rPr>
      </w:pPr>
      <w:r>
        <w:rPr>
          <w:rFonts w:hint="eastAsia" w:ascii="宋体" w:hAnsi="宋体" w:cs="宋体"/>
          <w:sz w:val="24"/>
          <w:szCs w:val="32"/>
        </w:rPr>
        <w:t xml:space="preserve">（2）交接。绿地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80"/>
        <w:spacing w:line="360" w:lineRule="auto"/>
        <w:rPr>
          <w:rFonts w:ascii="宋体" w:hAnsi="宋体" w:cs="宋体"/>
          <w:sz w:val="24"/>
          <w:szCs w:val="32"/>
        </w:rPr>
      </w:pPr>
      <w:r>
        <w:rPr>
          <w:rFonts w:hint="eastAsia" w:ascii="宋体" w:hAnsi="宋体" w:cs="宋体"/>
          <w:sz w:val="24"/>
          <w:szCs w:val="32"/>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 定进行公告。</w:t>
      </w:r>
      <w:r/>
    </w:p>
    <w:p>
      <w:r/>
      <w:bookmarkStart w:id="216" w:name="_Toc209020158"/>
      <w:r/>
      <w:bookmarkStart w:id="217" w:name="_Toc203554756"/>
      <w:r>
        <w:rPr>
          <w:rFonts w:hint="eastAsia"/>
        </w:rPr>
        <w:br w:type="page" w:clear="all"/>
      </w:r>
      <w:r/>
    </w:p>
    <w:p>
      <w:pPr>
        <w:pStyle w:val="824"/>
      </w:pPr>
      <w:r>
        <w:rPr>
          <w:rFonts w:hint="eastAsia"/>
        </w:rPr>
        <w:t xml:space="preserve">第五部分    评标办法和标准</w:t>
      </w:r>
      <w:bookmarkEnd w:id="216"/>
      <w:r/>
      <w:bookmarkEnd w:id="217"/>
      <w:r/>
      <w:r/>
    </w:p>
    <w:p>
      <w:pPr>
        <w:pStyle w:val="825"/>
      </w:pPr>
      <w:r/>
      <w:bookmarkStart w:id="218" w:name="_Toc209020159"/>
      <w:r/>
      <w:bookmarkStart w:id="219" w:name="_Toc203554757"/>
      <w:r>
        <w:t xml:space="preserve">1.</w:t>
      </w:r>
      <w:r>
        <w:rPr>
          <w:rFonts w:hint="eastAsia"/>
        </w:rPr>
        <w:t xml:space="preserve">采购代理机构职责</w:t>
      </w:r>
      <w:bookmarkEnd w:id="218"/>
      <w:r/>
      <w:bookmarkEnd w:id="219"/>
      <w:r/>
      <w:r/>
    </w:p>
    <w:p>
      <w:pPr>
        <w:pStyle w:val="830"/>
        <w:ind w:firstLine="480"/>
        <w:spacing w:line="360" w:lineRule="auto"/>
        <w:rPr>
          <w:rFonts w:ascii="宋体" w:hAnsi="宋体" w:cs="宋体"/>
          <w:color w:val="000000"/>
          <w:sz w:val="24"/>
        </w:rPr>
      </w:pPr>
      <w:r>
        <w:rPr>
          <w:rFonts w:hint="eastAsia" w:ascii="宋体" w:hAnsi="宋体" w:cs="宋体"/>
          <w:color w:val="000000"/>
          <w:sz w:val="24"/>
        </w:rPr>
        <w:t xml:space="preserve">1.1 采购代理机构负责组织评标工作，并履行下列职责：</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cs="宋体"/>
          <w:sz w:val="24"/>
        </w:rPr>
        <w:t xml:space="preserve">向政府采购监管部门</w:t>
      </w:r>
      <w:r>
        <w:rPr>
          <w:rFonts w:hint="eastAsia" w:ascii="宋体" w:hAnsi="宋体" w:cs="宋体"/>
          <w:color w:val="000000"/>
          <w:sz w:val="24"/>
        </w:rPr>
        <w:t xml:space="preserve">报告；</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（2）宣布评标纪律；</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30"/>
        <w:ind w:firstLine="360"/>
        <w:spacing w:line="360" w:lineRule="auto"/>
        <w:rPr>
          <w:rFonts w:ascii="宋体" w:hAnsi="宋体" w:cs="宋体"/>
          <w:sz w:val="24"/>
        </w:rPr>
      </w:pPr>
      <w:r>
        <w:rPr>
          <w:rFonts w:hint="eastAsia" w:ascii="宋体" w:hAnsi="宋体" w:cs="宋体"/>
          <w:color w:val="000000"/>
          <w:sz w:val="24"/>
        </w:rPr>
        <w:t xml:space="preserve">（8）核对评标结果，有《政府采购货物和服务招标投标管理办法》</w:t>
      </w:r>
      <w:r>
        <w:rPr>
          <w:rFonts w:hint="eastAsia" w:ascii="宋体" w:hAnsi="宋体" w:cs="宋体"/>
          <w:sz w:val="24"/>
        </w:rPr>
        <w:t xml:space="preserve">（财政部87号令）</w:t>
      </w:r>
      <w:r>
        <w:rPr>
          <w:rFonts w:hint="eastAsia" w:ascii="宋体" w:hAnsi="宋体" w:cs="宋体"/>
          <w:color w:val="000000"/>
          <w:sz w:val="24"/>
        </w:rPr>
        <w:t xml:space="preserve">第六十四条规定情形的，要</w:t>
      </w:r>
      <w:r>
        <w:rPr>
          <w:rFonts w:hint="eastAsia" w:ascii="宋体" w:hAnsi="宋体" w:cs="宋体"/>
          <w:sz w:val="24"/>
        </w:rPr>
        <w:t xml:space="preserve">求评标委员会复核或者书面说明理由，评标委员会拒绝的，应予记录并向本级政府采购监管部门报告；</w:t>
      </w:r>
      <w:r/>
    </w:p>
    <w:p>
      <w:pPr>
        <w:pStyle w:val="830"/>
        <w:ind w:firstLine="360"/>
        <w:spacing w:line="360" w:lineRule="auto"/>
        <w:rPr>
          <w:rFonts w:ascii="宋体" w:hAnsi="宋体" w:cs="宋体"/>
          <w:color w:val="000000"/>
          <w:sz w:val="24"/>
        </w:rPr>
      </w:pPr>
      <w:r>
        <w:rPr>
          <w:rFonts w:hint="eastAsia" w:ascii="宋体" w:hAnsi="宋体" w:cs="宋体"/>
          <w:sz w:val="24"/>
        </w:rPr>
        <w:t xml:space="preserve">（9）评审工作完成后，按照规定向评</w:t>
      </w:r>
      <w:r>
        <w:rPr>
          <w:rFonts w:hint="eastAsia" w:ascii="宋体" w:hAnsi="宋体" w:cs="宋体"/>
          <w:color w:val="000000"/>
          <w:sz w:val="24"/>
        </w:rPr>
        <w:t xml:space="preserve">审专家支付劳务报酬和异地评审差旅费，不得向评审专家以外的其他人员支付评审劳务报酬；</w:t>
      </w:r>
      <w:r/>
    </w:p>
    <w:p>
      <w:pPr>
        <w:pStyle w:val="830"/>
        <w:ind w:firstLine="360"/>
        <w:spacing w:line="360" w:lineRule="auto"/>
        <w:rPr>
          <w:rFonts w:ascii="宋体" w:hAnsi="宋体" w:cs="宋体"/>
          <w:color w:val="000000"/>
          <w:sz w:val="24"/>
        </w:rPr>
      </w:pPr>
      <w:r>
        <w:rPr>
          <w:rFonts w:hint="eastAsia" w:ascii="宋体" w:hAnsi="宋体" w:cs="宋体"/>
          <w:color w:val="000000"/>
          <w:sz w:val="24"/>
        </w:rPr>
        <w:t xml:space="preserve">（10）处理与评标有关的其他事项。</w:t>
      </w:r>
      <w:r/>
    </w:p>
    <w:p>
      <w:pPr>
        <w:pStyle w:val="825"/>
      </w:pPr>
      <w:r/>
      <w:bookmarkStart w:id="220" w:name="_Toc209020160"/>
      <w:r/>
      <w:bookmarkStart w:id="221" w:name="_Toc203554758"/>
      <w:r>
        <w:t xml:space="preserve">2.</w:t>
      </w:r>
      <w:r>
        <w:rPr>
          <w:rFonts w:hint="eastAsia"/>
        </w:rPr>
        <w:t xml:space="preserve">评标委员会职责</w:t>
      </w:r>
      <w:bookmarkEnd w:id="220"/>
      <w:r/>
      <w:bookmarkEnd w:id="221"/>
      <w:r/>
      <w:r/>
    </w:p>
    <w:p>
      <w:pPr>
        <w:pStyle w:val="826"/>
      </w:pPr>
      <w:r/>
      <w:bookmarkStart w:id="222" w:name="_Toc203554759"/>
      <w:r/>
      <w:bookmarkStart w:id="223" w:name="_Toc209020161"/>
      <w:r>
        <w:t xml:space="preserve">2.1 </w:t>
      </w:r>
      <w:r>
        <w:rPr>
          <w:rFonts w:hint="eastAsia"/>
        </w:rPr>
        <w:t xml:space="preserve">评标委员会负责具体评标事务，并独立履行下列职责：</w:t>
      </w:r>
      <w:bookmarkEnd w:id="222"/>
      <w:r/>
      <w:bookmarkEnd w:id="223"/>
      <w:r>
        <w:t xml:space="preserve">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pStyle w:val="825"/>
        <w:rPr>
          <w:rFonts w:ascii="Times New Roman" w:hAnsi="Times New Roman" w:cs="Times New Roman"/>
          <w:sz w:val="32"/>
        </w:rPr>
      </w:pPr>
      <w:r/>
      <w:bookmarkStart w:id="224" w:name="_Toc209020162"/>
      <w:r/>
      <w:bookmarkStart w:id="225" w:name="_Toc203554760"/>
      <w:r>
        <w:t xml:space="preserve">3.</w:t>
      </w:r>
      <w:r>
        <w:rPr>
          <w:rFonts w:hint="eastAsia"/>
        </w:rPr>
        <w:t xml:space="preserve">评标注意事项</w:t>
      </w:r>
      <w:bookmarkEnd w:id="224"/>
      <w:r/>
      <w:bookmarkEnd w:id="225"/>
      <w:r/>
      <w:r/>
    </w:p>
    <w:p>
      <w:pPr>
        <w:ind w:firstLine="480"/>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rPr>
          <w:rFonts w:ascii="宋体" w:hAnsi="宋体"/>
          <w:sz w:val="28"/>
          <w:szCs w:val="28"/>
        </w:rPr>
      </w:pPr>
      <w:r>
        <w:rPr>
          <w:rFonts w:hint="eastAsia" w:ascii="宋体" w:hAnsi="宋体" w:cs="宋体"/>
          <w:sz w:val="24"/>
        </w:rPr>
        <w:t xml:space="preserve">评标委员会成员有上述第（1）至（5）项行为之一的，其评审意见无效，并不得获取评审劳务报酬和报销异地评审差旅费。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25"/>
        <w:rPr>
          <w:rFonts w:ascii="Times New Roman" w:hAnsi="Times New Roman" w:cs="Times New Roman"/>
          <w:sz w:val="32"/>
        </w:rPr>
      </w:pPr>
      <w:r/>
      <w:bookmarkStart w:id="226" w:name="_Toc209020163"/>
      <w:r/>
      <w:bookmarkStart w:id="227" w:name="_Toc203554761"/>
      <w:r>
        <w:t xml:space="preserve">4.</w:t>
      </w:r>
      <w:r>
        <w:rPr>
          <w:rFonts w:hint="eastAsia"/>
        </w:rPr>
        <w:t xml:space="preserve">评标过程的保密</w:t>
      </w:r>
      <w:bookmarkEnd w:id="226"/>
      <w:r/>
      <w:bookmarkEnd w:id="227"/>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5"/>
        <w:rPr>
          <w:rFonts w:ascii="Times New Roman" w:hAnsi="Times New Roman" w:cs="Times New Roman"/>
          <w:sz w:val="32"/>
        </w:rPr>
      </w:pPr>
      <w:r/>
      <w:bookmarkStart w:id="228" w:name="_Toc209020164"/>
      <w:r/>
      <w:bookmarkStart w:id="229" w:name="_Toc203554762"/>
      <w:r>
        <w:t xml:space="preserve">5.</w:t>
      </w:r>
      <w:r>
        <w:rPr>
          <w:rFonts w:hint="eastAsia"/>
        </w:rPr>
        <w:t xml:space="preserve">报价前后不一致的处理原则</w:t>
      </w:r>
      <w:bookmarkEnd w:id="228"/>
      <w:r/>
      <w:bookmarkEnd w:id="229"/>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pStyle w:val="825"/>
        <w:rPr>
          <w:szCs w:val="28"/>
        </w:rPr>
      </w:pPr>
      <w:r/>
      <w:bookmarkStart w:id="230" w:name="_Toc209020165"/>
      <w:r>
        <w:rPr>
          <w:rFonts w:hint="eastAsia"/>
        </w:rPr>
        <w:t xml:space="preserve">6.投标人资格审查</w:t>
      </w:r>
      <w:bookmarkEnd w:id="230"/>
      <w:r/>
      <w:r/>
    </w:p>
    <w:p>
      <w:pPr>
        <w:ind w:firstLine="480"/>
        <w:jc w:val="left"/>
        <w:spacing w:line="360" w:lineRule="auto"/>
        <w:widowControl/>
        <w:rPr>
          <w:rFonts w:ascii="宋体" w:hAnsi="宋体" w:cs="宋体"/>
          <w:sz w:val="24"/>
        </w:rPr>
      </w:pPr>
      <w:r>
        <w:rPr>
          <w:rFonts w:hint="eastAsia" w:ascii="宋体" w:hAnsi="宋体" w:cs="宋体"/>
          <w:sz w:val="24"/>
          <w:szCs w:val="28"/>
        </w:rPr>
        <w:t xml:space="preserve"></w:t>
      </w: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开标结束后，采购人或代理机构将依法对投标人的资格进行审查。资格审查的内容如下：</w:t>
      </w:r>
      <w:r/>
    </w:p>
    <w:tbl>
      <w:tblPr>
        <w:tblStyle w:val="8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049"/>
        <w:gridCol w:w="5016"/>
      </w:tblGrid>
      <w:tr>
        <w:trPr/>
        <w:tc>
          <w:tcPr>
            <w:tcBorders>
              <w:top w:val="single" w:color="000000" w:sz="4" w:space="0"/>
              <w:left w:val="single" w:color="000000" w:sz="4" w:space="0"/>
              <w:bottom w:val="single" w:color="000000" w:sz="4" w:space="0"/>
              <w:right w:val="single" w:color="000000" w:sz="4" w:space="0"/>
            </w:tcBorders>
            <w:tcW w:w="268" w:type="pct"/>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审查要素</w:t>
            </w:r>
            <w:r/>
          </w:p>
        </w:tc>
        <w:tc>
          <w:tcPr>
            <w:tcBorders>
              <w:top w:val="single" w:color="000000" w:sz="4" w:space="0"/>
              <w:left w:val="single" w:color="000000" w:sz="4" w:space="0"/>
              <w:bottom w:val="single" w:color="000000" w:sz="4" w:space="0"/>
              <w:right w:val="single" w:color="000000" w:sz="4" w:space="0"/>
            </w:tcBorders>
            <w:tcW w:w="2943" w:type="pct"/>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2943" w:type="pct"/>
            <w:textDirection w:val="lrTb"/>
            <w:noWrap w:val="false"/>
          </w:tcPr>
          <w:p>
            <w:pPr>
              <w:spacing w:line="360" w:lineRule="auto"/>
              <w:rPr>
                <w:rFonts w:ascii="宋体" w:hAnsi="宋体" w:cs="宋体"/>
                <w:sz w:val="24"/>
              </w:rPr>
            </w:pPr>
            <w:r>
              <w:rPr>
                <w:rFonts w:hint="eastAsia" w:ascii="宋体" w:hAnsi="宋体" w:cs="宋体"/>
                <w:sz w:val="24"/>
                <w:szCs w:val="28"/>
              </w:rPr>
              <w:t xml:space="preserve">法人或者其他组织的营业执照等证明文件(原件扫描件)；供应商为自然人的，提供其身份证(原件扫描件) 。</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b/>
                <w:sz w:val="24"/>
              </w:rPr>
            </w:pPr>
            <w:r>
              <w:rPr>
                <w:rFonts w:hint="eastAsia" w:ascii="宋体" w:hAnsi="宋体" w:cs="宋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投标人相关信息一览表或资格承诺函。</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参加本次政府采购活动前半年内（至少一个月）依法缴纳税收和社会保险资金的相关材料原件扫描件或资格承诺函。</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sz w:val="24"/>
                <w:szCs w:val="28"/>
              </w:rPr>
            </w:pPr>
            <w:r/>
            <w:bookmarkStart w:id="231" w:name="OLE_LINK14"/>
            <w:r/>
            <w:bookmarkStart w:id="232" w:name="OLE_LINK15"/>
            <w:r>
              <w:rPr>
                <w:rFonts w:hint="eastAsia" w:ascii="宋体" w:hAnsi="宋体" w:cs="宋体"/>
                <w:sz w:val="24"/>
              </w:rPr>
              <w:t xml:space="preserve">（1）</w:t>
            </w:r>
            <w:bookmarkEnd w:id="231"/>
            <w:r/>
            <w:bookmarkEnd w:id="232"/>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sz w:val="24"/>
              </w:rPr>
            </w:pPr>
            <w:r/>
            <w:bookmarkStart w:id="233" w:name="OLE_LINK52"/>
            <w:r/>
            <w:bookmarkStart w:id="234" w:name="OLE_LINK53"/>
            <w:r>
              <w:rPr>
                <w:rFonts w:hint="eastAsia" w:ascii="宋体" w:hAnsi="宋体" w:cs="宋体"/>
                <w:sz w:val="24"/>
                <w:szCs w:val="28"/>
              </w:rPr>
              <w:t xml:space="preserve">无</w:t>
            </w:r>
            <w:bookmarkEnd w:id="233"/>
            <w:r/>
            <w:bookmarkEnd w:id="234"/>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sz w:val="24"/>
                <w:szCs w:val="28"/>
              </w:rPr>
            </w:pPr>
            <w:r>
              <w:rPr>
                <w:rFonts w:hint="eastAsia" w:ascii="宋体" w:hAnsi="宋体" w:cs="宋体"/>
                <w:sz w:val="24"/>
                <w:szCs w:val="28"/>
              </w:rPr>
              <w:t xml:space="preserve">中小企业声明函</w:t>
            </w:r>
            <w:r/>
          </w:p>
        </w:tc>
      </w:tr>
      <w:tr>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Borders>
              <w:top w:val="single" w:color="000000" w:sz="4" w:space="0"/>
              <w:left w:val="single" w:color="000000" w:sz="4" w:space="0"/>
              <w:bottom w:val="single" w:color="000000" w:sz="4" w:space="0"/>
              <w:right w:val="single" w:color="000000" w:sz="4" w:space="0"/>
            </w:tcBorders>
            <w:tcW w:w="294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无</w:t>
            </w:r>
            <w:r/>
          </w:p>
        </w:tc>
      </w:tr>
    </w:tbl>
    <w:p>
      <w:pPr>
        <w:pStyle w:val="825"/>
      </w:pPr>
      <w:r/>
      <w:bookmarkStart w:id="235" w:name="_Toc209020166"/>
      <w:r>
        <w:rPr>
          <w:rFonts w:hint="eastAsia"/>
        </w:rPr>
        <w:t xml:space="preserve">7.投标人符合性审查</w:t>
      </w:r>
      <w:bookmarkEnd w:id="235"/>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265"/>
        <w:gridCol w:w="551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5" w:type="dxa"/>
            <w:vAlign w:val="center"/>
            <w:textDirection w:val="lrTb"/>
            <w:noWrap/>
          </w:tcPr>
          <w:p>
            <w:pPr>
              <w:jc w:val="center"/>
              <w:widowControl/>
              <w:rPr>
                <w:rFonts w:ascii="宋体" w:hAnsi="宋体" w:cs="宋体"/>
                <w:sz w:val="24"/>
              </w:rPr>
            </w:pPr>
            <w:r/>
            <w:bookmarkStart w:id="236" w:name="_Hlk144485380"/>
            <w:r>
              <w:rPr>
                <w:rFonts w:hint="eastAsia"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265" w:type="dxa"/>
            <w:vAlign w:val="center"/>
            <w:textDirection w:val="lrTb"/>
            <w:noWrap/>
          </w:tcPr>
          <w:p>
            <w:pPr>
              <w:jc w:val="center"/>
              <w:widowControl/>
              <w:rPr>
                <w:rFonts w:ascii="宋体" w:hAnsi="宋体" w:cs="宋体"/>
                <w:sz w:val="24"/>
              </w:rPr>
            </w:pPr>
            <w:r>
              <w:rPr>
                <w:rFonts w:hint="eastAsia" w:ascii="宋体" w:hAnsi="宋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512" w:type="dxa"/>
            <w:vAlign w:val="center"/>
            <w:textDirection w:val="lrTb"/>
            <w:noWrap/>
          </w:tcPr>
          <w:p>
            <w:pPr>
              <w:jc w:val="center"/>
              <w:widowControl/>
              <w:rPr>
                <w:rFonts w:ascii="宋体" w:hAnsi="宋体" w:cs="宋体"/>
                <w:sz w:val="24"/>
              </w:rPr>
            </w:pPr>
            <w:r>
              <w:rPr>
                <w:rFonts w:hint="eastAsia" w:ascii="宋体" w:hAnsi="宋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22" w:type="dxa"/>
            <w:vAlign w:val="center"/>
            <w:textDirection w:val="lrTb"/>
            <w:noWrap/>
          </w:tcPr>
          <w:p>
            <w:pPr>
              <w:jc w:val="center"/>
              <w:widowControl/>
              <w:rPr>
                <w:rFonts w:ascii="宋体" w:hAnsi="宋体" w:cs="宋体"/>
                <w:sz w:val="24"/>
              </w:rPr>
            </w:pPr>
            <w:r>
              <w:rPr>
                <w:rFonts w:hint="eastAsia" w:ascii="宋体" w:hAnsi="宋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5"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265" w:type="dxa"/>
            <w:vAlign w:val="center"/>
            <w:textDirection w:val="lrTb"/>
            <w:noWrap/>
          </w:tcPr>
          <w:p>
            <w:pPr>
              <w:jc w:val="center"/>
              <w:widowControl/>
              <w:rPr>
                <w:rFonts w:ascii="宋体" w:hAnsi="宋体" w:cs="宋体"/>
                <w:sz w:val="24"/>
              </w:rPr>
            </w:pPr>
            <w:r>
              <w:rPr>
                <w:rFonts w:hint="eastAsia" w:ascii="宋体" w:hAnsi="宋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512" w:type="dxa"/>
            <w:vAlign w:val="center"/>
            <w:textDirection w:val="lrTb"/>
            <w:noWrap/>
          </w:tcPr>
          <w:p>
            <w:pPr>
              <w:jc w:val="left"/>
              <w:widowControl/>
              <w:rPr>
                <w:rFonts w:ascii="宋体" w:hAnsi="宋体" w:cs="宋体"/>
                <w:sz w:val="24"/>
              </w:rPr>
            </w:pPr>
            <w:r>
              <w:rPr>
                <w:rFonts w:hint="eastAsia" w:ascii="宋体" w:hAnsi="宋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22" w:type="dxa"/>
            <w:vAlign w:val="center"/>
            <w:textDirection w:val="lrTb"/>
            <w:noWrap/>
          </w:tcPr>
          <w:p>
            <w:pPr>
              <w:jc w:val="center"/>
              <w:widowControl/>
              <w:rPr>
                <w:rFonts w:ascii="宋体" w:hAnsi="宋体" w:cs="宋体"/>
                <w:sz w:val="24"/>
              </w:rPr>
            </w:pPr>
            <w:r>
              <w:rPr>
                <w:rFonts w:hint="eastAsia" w:ascii="宋体" w:hAnsi="宋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5"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265" w:type="dxa"/>
            <w:vAlign w:val="center"/>
            <w:textDirection w:val="lrTb"/>
            <w:noWrap/>
          </w:tcPr>
          <w:p>
            <w:pPr>
              <w:jc w:val="center"/>
              <w:widowControl/>
              <w:rPr>
                <w:rFonts w:ascii="宋体" w:hAnsi="宋体" w:cs="宋体"/>
                <w:sz w:val="24"/>
              </w:rPr>
            </w:pPr>
            <w:r>
              <w:rPr>
                <w:rFonts w:hint="eastAsia" w:ascii="宋体" w:hAnsi="宋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512" w:type="dxa"/>
            <w:vAlign w:val="center"/>
            <w:textDirection w:val="lrTb"/>
            <w:noWrap/>
          </w:tcPr>
          <w:p>
            <w:pPr>
              <w:jc w:val="center"/>
              <w:widowControl/>
              <w:rPr>
                <w:rFonts w:ascii="宋体" w:hAnsi="宋体" w:cs="宋体"/>
                <w:sz w:val="24"/>
              </w:rPr>
            </w:pPr>
            <w:r>
              <w:rPr>
                <w:rFonts w:hint="eastAsia" w:ascii="宋体" w:hAnsi="宋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5"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265" w:type="dxa"/>
            <w:vAlign w:val="center"/>
            <w:textDirection w:val="lrTb"/>
            <w:noWrap/>
          </w:tcPr>
          <w:p>
            <w:pPr>
              <w:jc w:val="center"/>
              <w:widowControl/>
              <w:rPr>
                <w:rFonts w:ascii="宋体" w:hAnsi="宋体" w:cs="宋体"/>
                <w:sz w:val="24"/>
              </w:rPr>
            </w:pPr>
            <w:r>
              <w:rPr>
                <w:rFonts w:hint="eastAsia" w:ascii="宋体" w:hAnsi="宋体" w:cs="宋体"/>
                <w:sz w:val="24"/>
                <w:shd w:val="clear" w:color="auto" w:fill="fafafa"/>
              </w:rPr>
              <w:t xml:space="preserve">有</w:t>
            </w:r>
            <w:r>
              <w:rPr>
                <w:rFonts w:hint="eastAsia" w:ascii="宋体" w:hAnsi="宋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512" w:type="dxa"/>
            <w:vAlign w:val="center"/>
            <w:textDirection w:val="lrTb"/>
            <w:noWrap/>
          </w:tcPr>
          <w:p>
            <w:pPr>
              <w:jc w:val="left"/>
              <w:widowControl/>
              <w:rPr>
                <w:rFonts w:ascii="宋体" w:hAnsi="宋体" w:cs="宋体"/>
                <w:sz w:val="24"/>
              </w:rPr>
            </w:pPr>
            <w:r>
              <w:rPr>
                <w:rFonts w:hint="eastAsia" w:ascii="宋体" w:hAnsi="宋体" w:cs="宋体"/>
                <w:sz w:val="24"/>
              </w:rPr>
              <w:t xml:space="preserve">如有委托代理人，须提交投标单位为其缴纳的社保证明材料。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22" w:type="dxa"/>
            <w:vAlign w:val="center"/>
            <w:textDirection w:val="lrTb"/>
            <w:noWrap/>
          </w:tcPr>
          <w:p>
            <w:pPr>
              <w:jc w:val="center"/>
              <w:widowControl/>
              <w:rPr>
                <w:rFonts w:ascii="宋体" w:hAnsi="宋体" w:cs="宋体"/>
                <w:sz w:val="24"/>
              </w:rPr>
            </w:pPr>
            <w:r>
              <w:rPr>
                <w:rFonts w:hint="eastAsia" w:ascii="宋体" w:hAnsi="宋体" w:cs="宋体"/>
                <w:sz w:val="24"/>
              </w:rPr>
              <w:t xml:space="preserve">技术要求</w:t>
            </w:r>
            <w:r/>
          </w:p>
        </w:tc>
      </w:tr>
      <w:tr>
        <w:trPr>
          <w:trHeight w:val="832"/>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5"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265" w:type="dxa"/>
            <w:vAlign w:val="center"/>
            <w:textDirection w:val="lrTb"/>
            <w:noWrap/>
          </w:tcPr>
          <w:p>
            <w:pPr>
              <w:jc w:val="center"/>
              <w:widowControl/>
              <w:rPr>
                <w:rFonts w:ascii="宋体" w:hAnsi="宋体" w:cs="宋体"/>
                <w:sz w:val="24"/>
              </w:rPr>
            </w:pPr>
            <w:r>
              <w:rPr>
                <w:rFonts w:hint="eastAsia" w:ascii="宋体" w:hAnsi="宋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512" w:type="dxa"/>
            <w:vAlign w:val="center"/>
            <w:textDirection w:val="lrTb"/>
            <w:noWrap/>
          </w:tcPr>
          <w:p>
            <w:pPr>
              <w:jc w:val="left"/>
              <w:widowControl/>
              <w:rPr>
                <w:rFonts w:ascii="宋体" w:hAnsi="宋体" w:cs="宋体"/>
                <w:sz w:val="24"/>
              </w:rPr>
            </w:pPr>
            <w:r>
              <w:rPr>
                <w:rFonts w:hint="eastAsia" w:ascii="宋体" w:hAnsi="宋体" w:cs="宋体"/>
                <w:sz w:val="24"/>
              </w:rPr>
              <w:t xml:space="preserve">审查投标文件与招标文件要求的主要条款、条件和技术规格是否相符，是否存在重大偏离或保留。</w:t>
            </w:r>
            <w:bookmarkEnd w:id="236"/>
            <w:r/>
            <w:r/>
          </w:p>
        </w:tc>
      </w:tr>
    </w:tbl>
    <w:p>
      <w:pPr>
        <w:ind w:firstLine="480"/>
        <w:spacing w:line="360" w:lineRule="auto"/>
        <w:rPr>
          <w:rFonts w:hint="eastAsia" w:ascii="宋体" w:hAnsi="宋体" w:cs="宋体"/>
          <w:sz w:val="24"/>
          <w:szCs w:val="22"/>
          <w:highlight w:val="white"/>
        </w:rPr>
      </w:pPr>
      <w:r>
        <w:rPr>
          <w:rFonts w:hint="eastAsia" w:ascii="宋体" w:hAnsi="宋体" w:cs="宋体"/>
          <w:sz w:val="24"/>
          <w:szCs w:val="22"/>
          <w:highlight w:val="white"/>
        </w:rPr>
      </w:r>
      <w:r/>
    </w:p>
    <w:p>
      <w:pPr>
        <w:ind w:firstLine="480"/>
        <w:spacing w:line="360" w:lineRule="auto"/>
        <w:rPr>
          <w:rFonts w:ascii="宋体" w:hAnsi="宋体"/>
          <w:sz w:val="28"/>
          <w:szCs w:val="28"/>
        </w:rPr>
      </w:pPr>
      <w:r>
        <w:rPr>
          <w:rFonts w:hint="eastAsia" w:ascii="宋体" w:hAnsi="宋体" w:cs="宋体"/>
          <w:sz w:val="24"/>
          <w:szCs w:val="22"/>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pStyle w:val="825"/>
      </w:pPr>
      <w:r/>
      <w:bookmarkStart w:id="237" w:name="_Toc209020167"/>
      <w:r/>
      <w:bookmarkStart w:id="238" w:name="OLE_LINK28"/>
      <w:r/>
      <w:bookmarkStart w:id="239" w:name="OLE_LINK29"/>
      <w:r>
        <w:rPr>
          <w:rFonts w:hint="eastAsia"/>
        </w:rPr>
        <w:t xml:space="preserve">8.商务和技术评估</w:t>
      </w:r>
      <w:bookmarkEnd w:id="237"/>
      <w:r/>
      <w:bookmarkEnd w:id="238"/>
      <w:r/>
      <w:bookmarkEnd w:id="239"/>
      <w:r/>
      <w:r/>
    </w:p>
    <w:p>
      <w:pPr>
        <w:pStyle w:val="826"/>
        <w:rPr>
          <w:color w:val="4bacc6" w:themeColor="accent5"/>
          <w:szCs w:val="24"/>
          <w14:textFill>
            <w14:solidFill>
              <w14:schemeClr w14:val="accent5"/>
            </w14:solidFill>
          </w14:textFill>
        </w:rPr>
      </w:pPr>
      <w:r/>
      <w:bookmarkStart w:id="240" w:name="_Toc209020168"/>
      <w:r>
        <w:rPr>
          <w:rFonts w:hint="eastAsia"/>
        </w:rPr>
        <w:t xml:space="preserve">8.1 本项目采用综合评分法。</w:t>
      </w:r>
      <w:bookmarkEnd w:id="240"/>
      <w:r/>
      <w:r/>
    </w:p>
    <w:tbl>
      <w:tblPr>
        <w:tblStyle w:val="828"/>
        <w:tblW w:w="5112" w:type="pct"/>
        <w:tblInd w:w="-1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125"/>
        <w:gridCol w:w="2087"/>
        <w:gridCol w:w="2168"/>
        <w:gridCol w:w="2128"/>
      </w:tblGrid>
      <w:tr>
        <w:trPr/>
        <w:tc>
          <w:tcPr>
            <w:tcBorders>
              <w:top w:val="single" w:color="auto" w:sz="6" w:space="0"/>
              <w:left w:val="single" w:color="auto" w:sz="6" w:space="0"/>
              <w:bottom w:val="single" w:color="auto" w:sz="6" w:space="0"/>
              <w:right w:val="single" w:color="auto" w:sz="6" w:space="0"/>
            </w:tcBorders>
            <w:tcW w:w="1249"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评分项目</w:t>
            </w:r>
            <w:r/>
          </w:p>
        </w:tc>
        <w:tc>
          <w:tcPr>
            <w:tcBorders>
              <w:top w:val="single" w:color="auto" w:sz="6" w:space="0"/>
              <w:left w:val="single" w:color="auto" w:sz="6" w:space="0"/>
              <w:bottom w:val="single" w:color="auto" w:sz="6" w:space="0"/>
              <w:right w:val="single" w:color="auto" w:sz="6" w:space="0"/>
            </w:tcBorders>
            <w:tcW w:w="1226"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技术评估</w:t>
            </w:r>
            <w:r/>
          </w:p>
        </w:tc>
        <w:tc>
          <w:tcPr>
            <w:tcBorders>
              <w:top w:val="single" w:color="auto" w:sz="6" w:space="0"/>
              <w:left w:val="single" w:color="auto" w:sz="6" w:space="0"/>
              <w:bottom w:val="single" w:color="auto" w:sz="6" w:space="0"/>
              <w:right w:val="single" w:color="auto" w:sz="6" w:space="0"/>
            </w:tcBorders>
            <w:tcW w:w="1274"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商务评估</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9"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分值</w:t>
            </w:r>
            <w:r/>
          </w:p>
        </w:tc>
        <w:tc>
          <w:tcPr>
            <w:tcBorders>
              <w:top w:val="single" w:color="auto" w:sz="6" w:space="0"/>
              <w:left w:val="single" w:color="auto" w:sz="6" w:space="0"/>
              <w:bottom w:val="single" w:color="auto" w:sz="6" w:space="0"/>
              <w:right w:val="single" w:color="auto" w:sz="6" w:space="0"/>
            </w:tcBorders>
            <w:tcW w:w="1226"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28分</w:t>
            </w:r>
            <w:r/>
          </w:p>
        </w:tc>
        <w:tc>
          <w:tcPr>
            <w:tcBorders>
              <w:top w:val="single" w:color="auto" w:sz="6" w:space="0"/>
              <w:left w:val="single" w:color="auto" w:sz="6" w:space="0"/>
              <w:bottom w:val="single" w:color="auto" w:sz="6" w:space="0"/>
              <w:right w:val="single" w:color="auto" w:sz="6" w:space="0"/>
            </w:tcBorders>
            <w:tcW w:w="1274"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42分</w:t>
            </w:r>
            <w:r/>
          </w:p>
        </w:tc>
        <w:tc>
          <w:tcPr>
            <w:tcBorders>
              <w:top w:val="single" w:color="auto" w:sz="6" w:space="0"/>
              <w:left w:val="single" w:color="auto" w:sz="6" w:space="0"/>
              <w:bottom w:val="single" w:color="auto" w:sz="6" w:space="0"/>
              <w:right w:val="single" w:color="auto" w:sz="6" w:space="0"/>
            </w:tcBorders>
            <w:tcW w:w="125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30分</w:t>
            </w:r>
            <w:r/>
          </w:p>
        </w:tc>
      </w:tr>
    </w:tbl>
    <w:p>
      <w:pPr>
        <w:jc w:val="left"/>
        <w:spacing w:line="360" w:lineRule="auto"/>
        <w:widowControl/>
        <w:rPr>
          <w:rFonts w:ascii="宋体" w:hAnsi="宋体" w:cs="宋体"/>
          <w:b/>
          <w:sz w:val="24"/>
        </w:rPr>
      </w:pPr>
      <w:r>
        <w:rPr>
          <w:rFonts w:hint="eastAsia" w:ascii="宋体" w:hAnsi="宋体" w:cs="宋体"/>
          <w:b/>
          <w:sz w:val="24"/>
        </w:rPr>
        <w:t xml:space="preserve">（一）技术评估</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251"/>
        <w:gridCol w:w="5938"/>
        <w:gridCol w:w="718"/>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61" w:type="pct"/>
            <w:vAlign w:val="center"/>
            <w:textDirection w:val="lrTb"/>
            <w:noWrap w:val="false"/>
          </w:tcPr>
          <w:p>
            <w:pPr>
              <w:pStyle w:val="866"/>
              <w:jc w:val="center"/>
              <w:rPr>
                <w:rFonts w:ascii="宋体" w:hAnsi="宋体" w:eastAsia="宋体" w:cs="宋体"/>
                <w:b/>
              </w:rPr>
            </w:pPr>
            <w:r>
              <w:rPr>
                <w:rFonts w:hint="eastAsia" w:ascii="宋体" w:hAnsi="宋体" w:eastAsia="宋体" w:cs="宋体"/>
                <w:b/>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4" w:type="pct"/>
            <w:vAlign w:val="center"/>
            <w:textDirection w:val="lrTb"/>
            <w:noWrap w:val="false"/>
          </w:tcPr>
          <w:p>
            <w:pPr>
              <w:pStyle w:val="866"/>
              <w:jc w:val="center"/>
              <w:rPr>
                <w:rFonts w:ascii="宋体" w:hAnsi="宋体" w:eastAsia="宋体" w:cs="宋体"/>
                <w:b/>
              </w:rPr>
            </w:pPr>
            <w:r>
              <w:rPr>
                <w:rFonts w:hint="eastAsia" w:ascii="宋体" w:hAnsi="宋体" w:eastAsia="宋体" w:cs="宋体"/>
                <w:b/>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4" w:type="pct"/>
            <w:vAlign w:val="center"/>
            <w:textDirection w:val="lrTb"/>
            <w:noWrap w:val="false"/>
          </w:tcPr>
          <w:p>
            <w:pPr>
              <w:pStyle w:val="866"/>
              <w:jc w:val="center"/>
              <w:rPr>
                <w:rFonts w:ascii="宋体" w:hAnsi="宋体" w:eastAsia="宋体" w:cs="宋体"/>
                <w:b/>
              </w:rPr>
            </w:pPr>
            <w:r>
              <w:rPr>
                <w:rFonts w:hint="eastAsia" w:ascii="宋体" w:hAnsi="宋体" w:eastAsia="宋体" w:cs="宋体"/>
                <w:b/>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21" w:type="pct"/>
            <w:vAlign w:val="center"/>
            <w:textDirection w:val="lrTb"/>
            <w:noWrap w:val="false"/>
          </w:tcPr>
          <w:p>
            <w:pPr>
              <w:pStyle w:val="866"/>
              <w:jc w:val="center"/>
              <w:rPr>
                <w:rFonts w:ascii="宋体" w:hAnsi="宋体" w:eastAsia="宋体" w:cs="宋体"/>
                <w:b/>
              </w:rPr>
            </w:pPr>
            <w:r>
              <w:rPr>
                <w:rFonts w:hint="eastAsia" w:ascii="宋体" w:hAnsi="宋体" w:eastAsia="宋体" w:cs="宋体"/>
                <w:b/>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579" w:type="pct"/>
            <w:vAlign w:val="center"/>
            <w:textDirection w:val="lrTb"/>
            <w:noWrap w:val="false"/>
          </w:tcPr>
          <w:p>
            <w:pPr>
              <w:pStyle w:val="866"/>
              <w:jc w:val="center"/>
              <w:rPr>
                <w:rFonts w:ascii="宋体" w:hAnsi="宋体" w:eastAsia="宋体" w:cs="宋体"/>
              </w:rPr>
            </w:pPr>
            <w:r>
              <w:rPr>
                <w:rFonts w:hint="eastAsia" w:ascii="宋体" w:hAnsi="宋体" w:eastAsia="宋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21" w:type="pct"/>
            <w:vAlign w:val="center"/>
            <w:textDirection w:val="lrTb"/>
            <w:noWrap w:val="false"/>
          </w:tcPr>
          <w:p>
            <w:pPr>
              <w:pStyle w:val="866"/>
              <w:jc w:val="center"/>
              <w:rPr>
                <w:rFonts w:ascii="宋体" w:hAnsi="宋体" w:eastAsia="宋体" w:cs="宋体"/>
              </w:rPr>
            </w:pPr>
            <w:r>
              <w:rPr>
                <w:rFonts w:hint="eastAsia" w:ascii="宋体" w:hAnsi="宋体" w:eastAsia="宋体" w:cs="宋体"/>
              </w:rPr>
              <w:t xml:space="preserve">28分</w:t>
            </w:r>
            <w:r/>
          </w:p>
        </w:tc>
      </w:tr>
      <w:tr>
        <w:trPr>
          <w:trHeight w:val="1159"/>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61" w:type="pct"/>
            <w:vAlign w:val="center"/>
            <w:textDirection w:val="lrTb"/>
            <w:noWrap w:val="false"/>
          </w:tcPr>
          <w:p>
            <w:pPr>
              <w:pStyle w:val="866"/>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4"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养护方案评价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4" w:type="pct"/>
            <w:vAlign w:val="center"/>
            <w:textDirection w:val="lrTb"/>
            <w:noWrap w:val="false"/>
          </w:tcPr>
          <w:p>
            <w:pPr>
              <w:pStyle w:val="865"/>
              <w:spacing w:line="360" w:lineRule="auto"/>
              <w:rPr>
                <w:rFonts w:ascii="宋体" w:hAnsi="宋体" w:eastAsia="宋体" w:cs="宋体"/>
                <w:color w:val="auto"/>
              </w:rPr>
            </w:pPr>
            <w:r>
              <w:rPr>
                <w:rFonts w:hint="eastAsia" w:ascii="宋体" w:hAnsi="宋体" w:eastAsia="宋体" w:cs="宋体"/>
                <w:color w:val="auto"/>
              </w:rPr>
              <w:t xml:space="preserve">根据提供的具体方案，考察以下方面:</w:t>
            </w:r>
            <w:r>
              <w:rPr>
                <w:rFonts w:hint="eastAsia" w:ascii="宋体" w:hAnsi="宋体" w:eastAsia="宋体" w:cs="宋体"/>
                <w:color w:val="auto"/>
              </w:rPr>
              <w:fldChar w:fldCharType="begin"/>
            </w:r>
            <w:r>
              <w:rPr>
                <w:rFonts w:hint="eastAsia" w:ascii="宋体" w:hAnsi="宋体" w:eastAsia="宋体" w:cs="宋体"/>
                <w:color w:val="auto"/>
              </w:rPr>
              <w:instrText xml:space="preserve"> = 1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①</w:t>
            </w:r>
            <w:r>
              <w:rPr>
                <w:rFonts w:hint="eastAsia" w:ascii="宋体" w:hAnsi="宋体" w:eastAsia="宋体" w:cs="宋体"/>
                <w:color w:val="auto"/>
              </w:rPr>
              <w:fldChar w:fldCharType="end"/>
            </w:r>
            <w:r>
              <w:rPr>
                <w:rFonts w:hint="eastAsia" w:ascii="宋体" w:hAnsi="宋体" w:eastAsia="宋体" w:cs="宋体"/>
                <w:color w:val="auto"/>
              </w:rPr>
              <w:t xml:space="preserve">针对性（养护计划与本项目植物品种、绿地实际情况）、</w:t>
            </w:r>
            <w:r>
              <w:rPr>
                <w:rFonts w:hint="eastAsia" w:ascii="宋体" w:hAnsi="宋体" w:eastAsia="宋体" w:cs="宋体"/>
                <w:color w:val="auto"/>
              </w:rPr>
              <w:fldChar w:fldCharType="begin"/>
            </w:r>
            <w:r>
              <w:rPr>
                <w:rFonts w:hint="eastAsia" w:ascii="宋体" w:hAnsi="宋体" w:eastAsia="宋体" w:cs="宋体"/>
                <w:color w:val="auto"/>
              </w:rPr>
              <w:instrText xml:space="preserve"> = 2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②</w:t>
            </w:r>
            <w:r>
              <w:rPr>
                <w:rFonts w:hint="eastAsia" w:ascii="宋体" w:hAnsi="宋体" w:eastAsia="宋体" w:cs="宋体"/>
                <w:color w:val="auto"/>
              </w:rPr>
              <w:fldChar w:fldCharType="end"/>
            </w:r>
            <w:r>
              <w:rPr>
                <w:rFonts w:hint="eastAsia" w:ascii="宋体" w:hAnsi="宋体" w:eastAsia="宋体" w:cs="宋体"/>
                <w:color w:val="auto"/>
              </w:rPr>
              <w:t xml:space="preserve">合理性（植物生长规律和季节性特点）、</w:t>
            </w:r>
            <w:r>
              <w:rPr>
                <w:rFonts w:hint="eastAsia" w:ascii="宋体" w:hAnsi="宋体" w:eastAsia="宋体" w:cs="宋体"/>
                <w:color w:val="auto"/>
              </w:rPr>
              <w:fldChar w:fldCharType="begin"/>
            </w:r>
            <w:r>
              <w:rPr>
                <w:rFonts w:hint="eastAsia" w:ascii="宋体" w:hAnsi="宋体" w:eastAsia="宋体" w:cs="宋体"/>
                <w:color w:val="auto"/>
              </w:rPr>
              <w:instrText xml:space="preserve"> = 3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③</w:t>
            </w:r>
            <w:r>
              <w:rPr>
                <w:rFonts w:hint="eastAsia" w:ascii="宋体" w:hAnsi="宋体" w:eastAsia="宋体" w:cs="宋体"/>
                <w:color w:val="auto"/>
              </w:rPr>
              <w:fldChar w:fldCharType="end"/>
            </w:r>
            <w:r>
              <w:rPr>
                <w:rFonts w:hint="eastAsia" w:ascii="宋体" w:hAnsi="宋体" w:eastAsia="宋体" w:cs="宋体"/>
                <w:color w:val="auto"/>
              </w:rPr>
              <w:t xml:space="preserve">质量保证措施（具体各个苗木品种上所采取的措施）、</w:t>
            </w:r>
            <w:r>
              <w:rPr>
                <w:rFonts w:hint="eastAsia" w:ascii="宋体" w:hAnsi="宋体" w:eastAsia="宋体" w:cs="宋体"/>
                <w:color w:val="auto"/>
              </w:rPr>
              <w:fldChar w:fldCharType="begin"/>
            </w:r>
            <w:r>
              <w:rPr>
                <w:rFonts w:hint="eastAsia" w:ascii="宋体" w:hAnsi="宋体" w:eastAsia="宋体" w:cs="宋体"/>
                <w:color w:val="auto"/>
              </w:rPr>
              <w:instrText xml:space="preserve"> = 4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④</w:t>
            </w:r>
            <w:r>
              <w:rPr>
                <w:rFonts w:hint="eastAsia" w:ascii="宋体" w:hAnsi="宋体" w:eastAsia="宋体" w:cs="宋体"/>
                <w:color w:val="auto"/>
              </w:rPr>
              <w:fldChar w:fldCharType="end"/>
            </w:r>
            <w:r>
              <w:rPr>
                <w:rFonts w:hint="eastAsia" w:ascii="宋体" w:hAnsi="宋体" w:eastAsia="宋体" w:cs="宋体"/>
                <w:color w:val="auto"/>
              </w:rPr>
              <w:t xml:space="preserve">内容全面(根据实际情况编写每季度养护重点)。</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方案完全包含上述要点且满足招标文件要求的得8分，每有一项缺项扣2分，未提供方案的不得分。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进一步细化，提出针对性的优化措施</w:t>
            </w:r>
            <w:r>
              <w:rPr>
                <w:rFonts w:hint="eastAsia" w:ascii="宋体" w:hAnsi="宋体" w:eastAsia="宋体" w:cs="宋体"/>
                <w:color w:val="auto"/>
              </w:rPr>
              <w:t xml:space="preserve">加3分；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实施步骤清晰、内容科学合理</w:t>
            </w:r>
            <w:r>
              <w:rPr>
                <w:rFonts w:hint="eastAsia" w:ascii="宋体" w:hAnsi="宋体" w:eastAsia="宋体" w:cs="宋体"/>
                <w:color w:val="auto"/>
              </w:rPr>
              <w:t xml:space="preserve">加3分。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本项最多得14分。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2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14分</w:t>
            </w:r>
            <w:r/>
          </w:p>
        </w:tc>
      </w:tr>
      <w:tr>
        <w:trPr>
          <w:trHeight w:val="74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61" w:type="pct"/>
            <w:vAlign w:val="center"/>
            <w:textDirection w:val="lrTb"/>
            <w:noWrap w:val="false"/>
          </w:tcPr>
          <w:p>
            <w:pPr>
              <w:pStyle w:val="866"/>
              <w:jc w:val="center"/>
              <w:rPr>
                <w:rFonts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4"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养护安全管理方案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4" w:type="pct"/>
            <w:vAlign w:val="center"/>
            <w:textDirection w:val="lrTb"/>
            <w:noWrap w:val="false"/>
          </w:tcPr>
          <w:p>
            <w:pPr>
              <w:pStyle w:val="865"/>
              <w:spacing w:line="360" w:lineRule="auto"/>
              <w:rPr>
                <w:rFonts w:ascii="宋体" w:hAnsi="宋体" w:eastAsia="宋体" w:cs="宋体"/>
                <w:color w:val="auto"/>
              </w:rPr>
            </w:pPr>
            <w:r>
              <w:rPr>
                <w:rFonts w:hint="eastAsia" w:ascii="宋体" w:hAnsi="宋体" w:eastAsia="宋体" w:cs="宋体"/>
                <w:color w:val="auto"/>
              </w:rPr>
              <w:t xml:space="preserve">根据提供的具体方案，考察以下方面:</w:t>
            </w:r>
            <w:r>
              <w:rPr>
                <w:rFonts w:hint="eastAsia" w:ascii="宋体" w:hAnsi="宋体" w:eastAsia="宋体" w:cs="宋体"/>
                <w:color w:val="auto"/>
              </w:rPr>
              <w:fldChar w:fldCharType="begin"/>
            </w:r>
            <w:r>
              <w:rPr>
                <w:rFonts w:hint="eastAsia" w:ascii="宋体" w:hAnsi="宋体" w:eastAsia="宋体" w:cs="宋体"/>
                <w:color w:val="auto"/>
              </w:rPr>
              <w:instrText xml:space="preserve"> = 1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①</w:t>
            </w:r>
            <w:r>
              <w:rPr>
                <w:rFonts w:hint="eastAsia" w:ascii="宋体" w:hAnsi="宋体" w:eastAsia="宋体" w:cs="宋体"/>
                <w:color w:val="auto"/>
              </w:rPr>
              <w:fldChar w:fldCharType="end"/>
            </w:r>
            <w:r>
              <w:rPr>
                <w:rFonts w:hint="eastAsia" w:ascii="宋体" w:hAnsi="宋体" w:eastAsia="宋体" w:cs="宋体"/>
                <w:color w:val="auto"/>
              </w:rPr>
              <w:t xml:space="preserve">针对性、合理性（方案内容和绿地实际情况符合本项目特点）、</w:t>
            </w:r>
            <w:r>
              <w:rPr>
                <w:rFonts w:hint="eastAsia" w:ascii="宋体" w:hAnsi="宋体" w:eastAsia="宋体" w:cs="宋体"/>
                <w:color w:val="auto"/>
              </w:rPr>
              <w:fldChar w:fldCharType="begin"/>
            </w:r>
            <w:r>
              <w:rPr>
                <w:rFonts w:hint="eastAsia" w:ascii="宋体" w:hAnsi="宋体" w:eastAsia="宋体" w:cs="宋体"/>
                <w:color w:val="auto"/>
              </w:rPr>
              <w:instrText xml:space="preserve"> = 2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②</w:t>
            </w:r>
            <w:r>
              <w:rPr>
                <w:rFonts w:hint="eastAsia" w:ascii="宋体" w:hAnsi="宋体" w:eastAsia="宋体" w:cs="宋体"/>
                <w:color w:val="auto"/>
              </w:rPr>
              <w:fldChar w:fldCharType="end"/>
            </w:r>
            <w:r>
              <w:rPr>
                <w:rFonts w:hint="eastAsia" w:ascii="宋体" w:hAnsi="宋体" w:eastAsia="宋体" w:cs="宋体"/>
                <w:color w:val="auto"/>
              </w:rPr>
              <w:t xml:space="preserve">养护安全管理保证措施（安全文明养护施工要点）。</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方案完全包含上述要点且满足招标文件要求的得2分，每有一项缺项扣1分，未提供方案的不得分。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进一步细化，提出针对性的优化措施</w:t>
            </w:r>
            <w:r>
              <w:rPr>
                <w:rFonts w:hint="eastAsia" w:ascii="宋体" w:hAnsi="宋体" w:eastAsia="宋体" w:cs="宋体"/>
                <w:color w:val="auto"/>
              </w:rPr>
              <w:t xml:space="preserve">加1分；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实施步骤清晰、内容科学合理</w:t>
            </w:r>
            <w:r>
              <w:rPr>
                <w:rFonts w:hint="eastAsia" w:ascii="宋体" w:hAnsi="宋体" w:eastAsia="宋体" w:cs="宋体"/>
                <w:color w:val="auto"/>
              </w:rPr>
              <w:t xml:space="preserve">加1分。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本项最多得4分。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2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4分</w:t>
            </w:r>
            <w:r/>
          </w:p>
        </w:tc>
      </w:tr>
      <w:tr>
        <w:trPr>
          <w:trHeight w:val="1494"/>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61" w:type="pct"/>
            <w:vAlign w:val="center"/>
            <w:textDirection w:val="lrTb"/>
            <w:noWrap w:val="false"/>
          </w:tcPr>
          <w:p>
            <w:pPr>
              <w:pStyle w:val="866"/>
              <w:jc w:val="center"/>
              <w:rPr>
                <w:rFonts w:ascii="宋体" w:hAnsi="宋体" w:eastAsia="宋体" w:cs="宋体"/>
              </w:rPr>
            </w:pPr>
            <w:r>
              <w:rPr>
                <w:rFonts w:hint="eastAsia"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4"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养护文明施工措施</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4" w:type="pct"/>
            <w:vAlign w:val="center"/>
            <w:textDirection w:val="lrTb"/>
            <w:noWrap w:val="false"/>
          </w:tcPr>
          <w:p>
            <w:pPr>
              <w:pStyle w:val="865"/>
              <w:spacing w:line="360" w:lineRule="auto"/>
              <w:rPr>
                <w:rFonts w:ascii="宋体" w:hAnsi="宋体" w:eastAsia="宋体" w:cs="宋体"/>
                <w:color w:val="auto"/>
              </w:rPr>
            </w:pPr>
            <w:r>
              <w:rPr>
                <w:rFonts w:hint="eastAsia" w:ascii="宋体" w:hAnsi="宋体" w:eastAsia="宋体" w:cs="宋体"/>
                <w:color w:val="auto"/>
              </w:rPr>
              <w:t xml:space="preserve">根据提供的具体方案，考察以下方面: </w:t>
            </w:r>
            <w:r>
              <w:rPr>
                <w:rFonts w:hint="eastAsia" w:ascii="宋体" w:hAnsi="宋体" w:eastAsia="宋体" w:cs="宋体"/>
                <w:color w:val="auto"/>
              </w:rPr>
              <w:fldChar w:fldCharType="begin"/>
            </w:r>
            <w:r>
              <w:rPr>
                <w:rFonts w:hint="eastAsia" w:ascii="宋体" w:hAnsi="宋体" w:eastAsia="宋体" w:cs="宋体"/>
                <w:color w:val="auto"/>
              </w:rPr>
              <w:instrText xml:space="preserve"> = 1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①</w:t>
            </w:r>
            <w:r>
              <w:rPr>
                <w:rFonts w:hint="eastAsia" w:ascii="宋体" w:hAnsi="宋体" w:eastAsia="宋体" w:cs="宋体"/>
                <w:color w:val="auto"/>
              </w:rPr>
              <w:fldChar w:fldCharType="end"/>
            </w:r>
            <w:r>
              <w:rPr>
                <w:rFonts w:hint="eastAsia" w:ascii="宋体" w:hAnsi="宋体" w:eastAsia="宋体" w:cs="宋体"/>
                <w:color w:val="auto"/>
              </w:rPr>
              <w:t xml:space="preserve">针对性、合理性（方案内容和绿地实际情况符合本项目特点）、</w:t>
            </w:r>
            <w:r>
              <w:rPr>
                <w:rFonts w:hint="eastAsia" w:ascii="宋体" w:hAnsi="宋体" w:eastAsia="宋体" w:cs="宋体"/>
                <w:color w:val="auto"/>
              </w:rPr>
              <w:fldChar w:fldCharType="begin"/>
            </w:r>
            <w:r>
              <w:rPr>
                <w:rFonts w:hint="eastAsia" w:ascii="宋体" w:hAnsi="宋体" w:eastAsia="宋体" w:cs="宋体"/>
                <w:color w:val="auto"/>
              </w:rPr>
              <w:instrText xml:space="preserve"> = 2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②</w:t>
            </w:r>
            <w:r>
              <w:rPr>
                <w:rFonts w:hint="eastAsia" w:ascii="宋体" w:hAnsi="宋体" w:eastAsia="宋体" w:cs="宋体"/>
                <w:color w:val="auto"/>
              </w:rPr>
              <w:fldChar w:fldCharType="end"/>
            </w:r>
            <w:r>
              <w:rPr>
                <w:rFonts w:hint="eastAsia" w:ascii="宋体" w:hAnsi="宋体" w:eastAsia="宋体" w:cs="宋体"/>
                <w:color w:val="auto"/>
              </w:rPr>
              <w:t xml:space="preserve">养护文明施工保证措施（现场文明养护施工要点）。</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方案完全包含上述要点且满足招标文件要求的得2分，每有一项缺项扣1分，未提供方案的不得分。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进一步细化，提出针对性的优化措施</w:t>
            </w:r>
            <w:r>
              <w:rPr>
                <w:rFonts w:hint="eastAsia" w:ascii="宋体" w:hAnsi="宋体" w:eastAsia="宋体" w:cs="宋体"/>
                <w:color w:val="auto"/>
              </w:rPr>
              <w:t xml:space="preserve">加1分；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实施步骤清晰、内容科学合理</w:t>
            </w:r>
            <w:r>
              <w:rPr>
                <w:rFonts w:hint="eastAsia" w:ascii="宋体" w:hAnsi="宋体" w:eastAsia="宋体" w:cs="宋体"/>
                <w:color w:val="auto"/>
              </w:rPr>
              <w:t xml:space="preserve">加1分。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本项最多得4分。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2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4分</w:t>
            </w:r>
            <w:r/>
          </w:p>
        </w:tc>
      </w:tr>
      <w:tr>
        <w:trPr>
          <w:trHeight w:val="462"/>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61" w:type="pct"/>
            <w:vAlign w:val="center"/>
            <w:textDirection w:val="lrTb"/>
            <w:noWrap w:val="false"/>
          </w:tcPr>
          <w:p>
            <w:pPr>
              <w:pStyle w:val="866"/>
              <w:jc w:val="center"/>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4"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抢险救灾应急预案评价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84" w:type="pct"/>
            <w:vAlign w:val="center"/>
            <w:textDirection w:val="lrTb"/>
            <w:noWrap w:val="false"/>
          </w:tcPr>
          <w:p>
            <w:pPr>
              <w:pStyle w:val="865"/>
              <w:spacing w:line="360" w:lineRule="auto"/>
              <w:rPr>
                <w:rFonts w:ascii="宋体" w:hAnsi="宋体" w:eastAsia="宋体" w:cs="宋体"/>
                <w:color w:val="auto"/>
              </w:rPr>
            </w:pPr>
            <w:r>
              <w:rPr>
                <w:rFonts w:hint="eastAsia" w:ascii="宋体" w:hAnsi="宋体" w:eastAsia="宋体" w:cs="宋体"/>
                <w:color w:val="auto"/>
              </w:rPr>
              <w:t xml:space="preserve">根据提供的具体预案，考察以下方面: </w:t>
            </w:r>
            <w:r>
              <w:rPr>
                <w:rFonts w:hint="eastAsia" w:ascii="宋体" w:hAnsi="宋体" w:eastAsia="宋体" w:cs="宋体"/>
                <w:color w:val="auto"/>
              </w:rPr>
              <w:fldChar w:fldCharType="begin"/>
            </w:r>
            <w:r>
              <w:rPr>
                <w:rFonts w:hint="eastAsia" w:ascii="宋体" w:hAnsi="宋体" w:eastAsia="宋体" w:cs="宋体"/>
                <w:color w:val="auto"/>
              </w:rPr>
              <w:instrText xml:space="preserve"> = 1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①</w:t>
            </w:r>
            <w:r>
              <w:rPr>
                <w:rFonts w:hint="eastAsia" w:ascii="宋体" w:hAnsi="宋体" w:eastAsia="宋体" w:cs="宋体"/>
                <w:color w:val="auto"/>
              </w:rPr>
              <w:fldChar w:fldCharType="end"/>
            </w:r>
            <w:r>
              <w:rPr>
                <w:rFonts w:hint="eastAsia" w:ascii="宋体" w:hAnsi="宋体" w:eastAsia="宋体" w:cs="宋体"/>
                <w:color w:val="auto"/>
              </w:rPr>
              <w:t xml:space="preserve">抢险救灾预案应急可行性(包括组织机构、教育培训、安全抢险、日常巡查、灾后恢复)、</w:t>
            </w:r>
            <w:r>
              <w:rPr>
                <w:rFonts w:hint="eastAsia" w:ascii="宋体" w:hAnsi="宋体" w:eastAsia="宋体" w:cs="宋体"/>
                <w:color w:val="auto"/>
              </w:rPr>
              <w:fldChar w:fldCharType="begin"/>
            </w:r>
            <w:r>
              <w:rPr>
                <w:rFonts w:hint="eastAsia" w:ascii="宋体" w:hAnsi="宋体" w:eastAsia="宋体" w:cs="宋体"/>
                <w:color w:val="auto"/>
              </w:rPr>
              <w:instrText xml:space="preserve"> = 2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②</w:t>
            </w:r>
            <w:r>
              <w:rPr>
                <w:rFonts w:hint="eastAsia" w:ascii="宋体" w:hAnsi="宋体" w:eastAsia="宋体" w:cs="宋体"/>
                <w:color w:val="auto"/>
              </w:rPr>
              <w:fldChar w:fldCharType="end"/>
            </w:r>
            <w:r>
              <w:rPr>
                <w:rFonts w:hint="eastAsia" w:ascii="宋体" w:hAnsi="宋体" w:eastAsia="宋体" w:cs="宋体"/>
                <w:color w:val="auto"/>
              </w:rPr>
              <w:t xml:space="preserve">抢险救灾机械应急配备情况(包括抢险救灾储备物资名录、维修保养及补充台账)、</w:t>
            </w:r>
            <w:r>
              <w:rPr>
                <w:rFonts w:hint="eastAsia" w:ascii="宋体" w:hAnsi="宋体" w:eastAsia="宋体" w:cs="宋体"/>
                <w:color w:val="auto"/>
              </w:rPr>
              <w:fldChar w:fldCharType="begin"/>
            </w:r>
            <w:r>
              <w:rPr>
                <w:rFonts w:hint="eastAsia" w:ascii="宋体" w:hAnsi="宋体" w:eastAsia="宋体" w:cs="宋体"/>
                <w:color w:val="auto"/>
              </w:rPr>
              <w:instrText xml:space="preserve"> = 3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③</w:t>
            </w:r>
            <w:r>
              <w:rPr>
                <w:rFonts w:hint="eastAsia" w:ascii="宋体" w:hAnsi="宋体" w:eastAsia="宋体" w:cs="宋体"/>
                <w:color w:val="auto"/>
              </w:rPr>
              <w:fldChar w:fldCharType="end"/>
            </w:r>
            <w:r>
              <w:rPr>
                <w:rFonts w:hint="eastAsia" w:ascii="宋体" w:hAnsi="宋体" w:eastAsia="宋体" w:cs="宋体"/>
                <w:color w:val="auto"/>
              </w:rPr>
              <w:t xml:space="preserve">抢险救灾人员应急配备情况(包括人员数量、职责分工)。</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方案完全包含上述要点且满足招标文件要求的得3分，每有一项缺项扣1分，未提供方案的不得分。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进一步细化，提出针对性的优化措施</w:t>
            </w:r>
            <w:r>
              <w:rPr>
                <w:rFonts w:hint="eastAsia" w:ascii="宋体" w:hAnsi="宋体" w:eastAsia="宋体" w:cs="宋体"/>
                <w:color w:val="auto"/>
              </w:rPr>
              <w:t xml:space="preserve">加1</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pStyle w:val="865"/>
              <w:spacing w:line="360" w:lineRule="auto"/>
              <w:rPr>
                <w:rFonts w:ascii="宋体" w:hAnsi="宋体" w:eastAsia="宋体" w:cs="宋体"/>
                <w:color w:val="auto"/>
              </w:rPr>
            </w:pP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实施步骤清晰、内容科学合理</w:t>
            </w:r>
            <w:r>
              <w:rPr>
                <w:rFonts w:hint="eastAsia" w:ascii="宋体" w:hAnsi="宋体" w:eastAsia="宋体" w:cs="宋体"/>
                <w:color w:val="auto"/>
              </w:rPr>
              <w:t xml:space="preserve">加1</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w:t>
            </w:r>
            <w:r/>
          </w:p>
          <w:p>
            <w:pPr>
              <w:pStyle w:val="865"/>
              <w:jc w:val="both"/>
              <w:rPr>
                <w:rFonts w:ascii="宋体" w:hAnsi="宋体" w:eastAsia="宋体" w:cs="宋体"/>
                <w:color w:val="auto"/>
              </w:rPr>
            </w:pPr>
            <w:r>
              <w:rPr>
                <w:rFonts w:hint="eastAsia" w:ascii="宋体" w:hAnsi="宋体" w:eastAsia="宋体" w:cs="宋体"/>
                <w:color w:val="auto"/>
              </w:rPr>
              <w:t xml:space="preserve">本项最多得6分。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21" w:type="pct"/>
            <w:vAlign w:val="center"/>
            <w:textDirection w:val="lrTb"/>
            <w:noWrap w:val="false"/>
          </w:tcPr>
          <w:p>
            <w:pPr>
              <w:pStyle w:val="865"/>
              <w:jc w:val="center"/>
              <w:rPr>
                <w:rFonts w:ascii="宋体" w:hAnsi="宋体" w:eastAsia="宋体" w:cs="宋体"/>
              </w:rPr>
            </w:pPr>
            <w:r/>
            <w:bookmarkStart w:id="241" w:name="OLE_LINK238"/>
            <w:r/>
            <w:bookmarkStart w:id="242" w:name="OLE_LINK239"/>
            <w:r>
              <w:rPr>
                <w:rFonts w:hint="eastAsia" w:ascii="宋体" w:hAnsi="宋体" w:eastAsia="宋体" w:cs="宋体"/>
              </w:rPr>
              <w:t xml:space="preserve">6分</w:t>
            </w:r>
            <w:bookmarkEnd w:id="241"/>
            <w:r/>
            <w:bookmarkEnd w:id="242"/>
            <w:r/>
            <w:r/>
          </w:p>
        </w:tc>
      </w:tr>
    </w:tbl>
    <w:p>
      <w:pPr>
        <w:rPr>
          <w:rFonts w:ascii="宋体" w:hAnsi="宋体"/>
          <w:sz w:val="28"/>
          <w:szCs w:val="28"/>
        </w:rPr>
      </w:pPr>
      <w:r>
        <w:rPr>
          <w:rFonts w:hint="eastAsia" w:ascii="宋体" w:hAnsi="宋体" w:cs="宋体"/>
          <w:b/>
          <w:sz w:val="24"/>
        </w:rPr>
        <w:t xml:space="preserve">（二）商务评估</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1253"/>
        <w:gridCol w:w="5960"/>
        <w:gridCol w:w="71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b/>
              </w:rPr>
            </w:pPr>
            <w:r>
              <w:rPr>
                <w:rFonts w:hint="eastAsia" w:ascii="宋体" w:hAnsi="宋体" w:eastAsia="宋体" w:cs="宋体"/>
                <w:b/>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rPr>
                <w:rFonts w:ascii="宋体" w:hAnsi="宋体" w:eastAsia="宋体" w:cs="宋体"/>
                <w:b/>
              </w:rPr>
            </w:pPr>
            <w:r>
              <w:rPr>
                <w:rFonts w:hint="eastAsia" w:ascii="宋体" w:hAnsi="宋体" w:eastAsia="宋体" w:cs="宋体"/>
                <w:b/>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pStyle w:val="865"/>
              <w:jc w:val="center"/>
              <w:rPr>
                <w:rFonts w:ascii="宋体" w:hAnsi="宋体" w:eastAsia="宋体" w:cs="宋体"/>
                <w:b/>
              </w:rPr>
            </w:pPr>
            <w:r>
              <w:rPr>
                <w:rFonts w:hint="eastAsia" w:ascii="宋体" w:hAnsi="宋体" w:eastAsia="宋体" w:cs="宋体"/>
                <w:b/>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5"/>
              <w:jc w:val="center"/>
              <w:rPr>
                <w:rFonts w:ascii="宋体" w:hAnsi="宋体" w:eastAsia="宋体" w:cs="宋体"/>
                <w:b/>
              </w:rPr>
            </w:pPr>
            <w:r>
              <w:rPr>
                <w:rFonts w:hint="eastAsia" w:ascii="宋体" w:hAnsi="宋体" w:eastAsia="宋体" w:cs="宋体"/>
                <w:b/>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583"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5"/>
              <w:jc w:val="center"/>
              <w:rPr>
                <w:rFonts w:ascii="宋体" w:hAnsi="宋体" w:eastAsia="宋体" w:cs="宋体"/>
              </w:rPr>
            </w:pPr>
            <w:r/>
            <w:bookmarkStart w:id="243" w:name="OLE_LINK30"/>
            <w:r/>
            <w:bookmarkStart w:id="244" w:name="OLE_LINK31"/>
            <w:r>
              <w:rPr>
                <w:rFonts w:hint="eastAsia" w:ascii="宋体" w:hAnsi="宋体" w:eastAsia="宋体" w:cs="宋体"/>
              </w:rPr>
              <w:t xml:space="preserve">42分</w:t>
            </w:r>
            <w:bookmarkEnd w:id="243"/>
            <w:r/>
            <w:bookmarkEnd w:id="244"/>
            <w:r/>
            <w:r/>
          </w:p>
        </w:tc>
      </w:tr>
      <w:tr>
        <w:trPr>
          <w:trHeight w:val="1027"/>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2.1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投标人体系认证</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投标人提供有效的质量管理体系、环境管理体系和职业健康安全管理体系认证，三种证书每提供一种证书得1分,最多3分。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7"/>
              <w:jc w:val="center"/>
              <w:rPr>
                <w:rFonts w:ascii="宋体" w:hAnsi="宋体" w:eastAsia="宋体" w:cs="宋体"/>
              </w:rPr>
            </w:pPr>
            <w:r>
              <w:rPr>
                <w:rFonts w:hint="eastAsia" w:ascii="宋体" w:hAnsi="宋体" w:eastAsia="宋体" w:cs="宋体"/>
              </w:rPr>
              <w:t xml:space="preserve">3分</w:t>
            </w:r>
            <w:r/>
          </w:p>
        </w:tc>
      </w:tr>
      <w:tr>
        <w:trPr>
          <w:trHeight w:val="1984"/>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2.2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绿化养护案例评价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根据提供的2022年1月1日( 以合同签订时间为准)至今独立承担的绿化养护( 该养护合同不包括绿化建设项目的一年或两年免费养护、单位居住区绿化以及风景林地绿化养护项目)服务业绩一览表。每具有一项养护合同得3分;本项最多得9分。</w:t>
            </w:r>
            <w:r/>
          </w:p>
          <w:p>
            <w:pPr>
              <w:spacing w:line="360" w:lineRule="auto"/>
              <w:widowControl/>
              <w:rPr>
                <w:rFonts w:ascii="宋体" w:hAnsi="宋体" w:cs="宋体"/>
                <w:sz w:val="24"/>
              </w:rPr>
            </w:pPr>
            <w:r>
              <w:rPr>
                <w:rFonts w:hint="eastAsia" w:ascii="宋体" w:hAnsi="宋体" w:cs="宋体"/>
                <w:sz w:val="24"/>
              </w:rPr>
              <w:t xml:space="preserve">注:①投标人须根据上述要求提供完整的合同、用户验收证明材料。</w:t>
            </w:r>
            <w:r/>
          </w:p>
          <w:p>
            <w:pPr>
              <w:spacing w:line="360" w:lineRule="auto"/>
              <w:widowControl/>
              <w:rPr>
                <w:rFonts w:ascii="宋体" w:hAnsi="宋体" w:cs="宋体"/>
                <w:sz w:val="24"/>
              </w:rPr>
            </w:pPr>
            <w:r>
              <w:rPr>
                <w:rFonts w:hint="eastAsia" w:ascii="宋体" w:hAnsi="宋体" w:cs="宋体"/>
                <w:sz w:val="24"/>
              </w:rPr>
              <w:t xml:space="preserve">②“2022年1月1日至今独立承担”:指在该期间内签订合同并已开始履行的项目，包括已完成和未完成项目，但至少已履行该合同12个月(含)以上。</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7"/>
              <w:jc w:val="center"/>
              <w:rPr>
                <w:rFonts w:ascii="宋体" w:hAnsi="宋体" w:eastAsia="宋体" w:cs="宋体"/>
              </w:rPr>
            </w:pPr>
            <w:r>
              <w:rPr>
                <w:rFonts w:hint="eastAsia" w:ascii="宋体" w:hAnsi="宋体" w:eastAsia="宋体" w:cs="宋体"/>
              </w:rPr>
              <w:t xml:space="preserve">9分</w:t>
            </w:r>
            <w:r/>
          </w:p>
        </w:tc>
      </w:tr>
      <w:tr>
        <w:trPr>
          <w:trHeight w:val="601"/>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2.3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根据提供的项目(现场)负责人情况表:</w:t>
            </w:r>
            <w:r/>
          </w:p>
          <w:p>
            <w:pPr>
              <w:spacing w:line="360" w:lineRule="auto"/>
              <w:widowControl/>
              <w:rPr>
                <w:rFonts w:ascii="宋体" w:hAnsi="宋体" w:cs="宋体"/>
                <w:sz w:val="24"/>
              </w:rPr>
            </w:pPr>
            <w:r>
              <w:rPr>
                <w:rFonts w:hint="eastAsia" w:ascii="宋体" w:hAnsi="宋体" w:cs="宋体"/>
                <w:sz w:val="24"/>
              </w:rPr>
              <w:t xml:space="preserve">1、项目负责人职称:具有有效的园林绿化中级及以上技术职称得2分，初级技术职称得1分，本项最多得2分。</w:t>
            </w:r>
            <w:r/>
          </w:p>
          <w:p>
            <w:pPr>
              <w:spacing w:line="360" w:lineRule="auto"/>
              <w:widowControl/>
              <w:rPr>
                <w:rFonts w:ascii="宋体" w:hAnsi="宋体" w:cs="宋体"/>
                <w:sz w:val="24"/>
              </w:rPr>
            </w:pPr>
            <w:r>
              <w:rPr>
                <w:rFonts w:hint="eastAsia" w:ascii="宋体" w:hAnsi="宋体" w:cs="宋体"/>
                <w:sz w:val="24"/>
              </w:rPr>
              <w:t xml:space="preserve">项目负责人业绩: 2022年 1月1日(以合同签订时间为准)起主持绿地养护的业绩，一项得 1分，最高不超过2分。</w:t>
            </w:r>
            <w:r/>
          </w:p>
          <w:p>
            <w:pPr>
              <w:spacing w:line="360" w:lineRule="auto"/>
              <w:widowControl/>
              <w:rPr>
                <w:rFonts w:ascii="宋体" w:hAnsi="宋体" w:cs="宋体"/>
                <w:sz w:val="24"/>
              </w:rPr>
            </w:pPr>
            <w:r>
              <w:rPr>
                <w:rFonts w:hint="eastAsia" w:ascii="宋体" w:hAnsi="宋体" w:cs="宋体"/>
                <w:sz w:val="24"/>
              </w:rPr>
              <w:t xml:space="preserve">2、现场负责人职称:具有有效的园林绿化初级及以上技术职称，得2分:具有高级及以上花卉工、绿化工或盆景工，得1分:具有中级花卉工、绿化工或盆景工，得0.5分;以最高分计。</w:t>
            </w:r>
            <w:r/>
          </w:p>
          <w:p>
            <w:pPr>
              <w:spacing w:line="360" w:lineRule="auto"/>
              <w:widowControl/>
              <w:rPr>
                <w:rFonts w:ascii="宋体" w:hAnsi="宋体" w:cs="宋体"/>
                <w:sz w:val="24"/>
              </w:rPr>
            </w:pPr>
            <w:r>
              <w:rPr>
                <w:rFonts w:hint="eastAsia" w:ascii="宋体" w:hAnsi="宋体" w:cs="宋体"/>
                <w:sz w:val="24"/>
              </w:rPr>
              <w:t xml:space="preserve">现场负责人业绩: 2022年 1月1日(以合同签订时间为准)起主持绿地养护的业绩，每有一项得1分，最高不超过2分。</w:t>
            </w:r>
            <w:r/>
          </w:p>
          <w:p>
            <w:pPr>
              <w:spacing w:line="360" w:lineRule="auto"/>
              <w:widowControl/>
              <w:rPr>
                <w:rFonts w:ascii="宋体" w:hAnsi="宋体" w:cs="宋体"/>
                <w:sz w:val="24"/>
              </w:rPr>
            </w:pPr>
            <w:r>
              <w:rPr>
                <w:rFonts w:hint="eastAsia" w:ascii="宋体" w:hAnsi="宋体" w:cs="宋体"/>
                <w:sz w:val="24"/>
              </w:rPr>
              <w:t xml:space="preserve">注:项目负责人、现场负责人必须为企业正式在职员工，提供近半年任意1个月社保证明材料:业绩证明材料须提供养护合同。</w:t>
            </w:r>
            <w:r/>
          </w:p>
          <w:p>
            <w:pPr>
              <w:spacing w:line="360" w:lineRule="auto"/>
              <w:widowControl/>
              <w:rPr>
                <w:rFonts w:ascii="宋体" w:hAnsi="宋体" w:cs="宋体"/>
                <w:sz w:val="24"/>
              </w:rPr>
            </w:pPr>
            <w:r>
              <w:rPr>
                <w:rFonts w:hint="eastAsia" w:ascii="宋体" w:hAnsi="宋体" w:cs="宋体"/>
                <w:sz w:val="24"/>
              </w:rPr>
              <w:t xml:space="preserve">如果养护合同不能反映项目负责人(现场负责人)人选，则应补充提供绿地养护工作采购单位出具的有关项目负责人(现场负责人)人选的证明材料。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7"/>
              <w:jc w:val="center"/>
              <w:rPr>
                <w:rFonts w:ascii="宋体" w:hAnsi="宋体" w:eastAsia="宋体" w:cs="宋体"/>
              </w:rPr>
            </w:pPr>
            <w:r>
              <w:rPr>
                <w:rFonts w:hint="eastAsia" w:ascii="宋体" w:hAnsi="宋体" w:eastAsia="宋体" w:cs="宋体"/>
              </w:rPr>
              <w:t xml:space="preserve">8分</w:t>
            </w:r>
            <w:r/>
          </w:p>
        </w:tc>
      </w:tr>
      <w:tr>
        <w:trPr>
          <w:trHeight w:val="1802"/>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2.4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①园林技术工人投入计划(4分)</w:t>
            </w:r>
            <w:r/>
          </w:p>
          <w:p>
            <w:pPr>
              <w:spacing w:line="360" w:lineRule="auto"/>
              <w:widowControl/>
              <w:rPr>
                <w:rFonts w:ascii="宋体" w:hAnsi="宋体" w:cs="宋体"/>
                <w:sz w:val="24"/>
              </w:rPr>
            </w:pPr>
            <w:r>
              <w:rPr>
                <w:rFonts w:hint="eastAsia" w:ascii="宋体" w:hAnsi="宋体" w:cs="宋体"/>
                <w:sz w:val="24"/>
              </w:rPr>
              <w:t xml:space="preserve">根据提供的投入专业技工人员情况一览表:</w:t>
            </w:r>
            <w:r/>
          </w:p>
          <w:p>
            <w:pPr>
              <w:spacing w:line="360" w:lineRule="auto"/>
              <w:widowControl/>
              <w:rPr>
                <w:rFonts w:ascii="宋体" w:hAnsi="宋体" w:cs="宋体"/>
                <w:sz w:val="24"/>
              </w:rPr>
            </w:pPr>
            <w:r>
              <w:rPr>
                <w:rFonts w:hint="eastAsia" w:ascii="宋体" w:hAnsi="宋体" w:cs="宋体"/>
                <w:sz w:val="24"/>
              </w:rPr>
              <w:t xml:space="preserve">园林技术工人投入人数满足最低人员数量(4人)配置要求的，得2分，达到5人或5人以上配置要求人数的得4分。</w:t>
            </w:r>
            <w:r/>
          </w:p>
          <w:p>
            <w:pPr>
              <w:spacing w:line="360" w:lineRule="auto"/>
              <w:widowControl/>
              <w:rPr>
                <w:rFonts w:ascii="宋体" w:hAnsi="宋体" w:cs="宋体"/>
                <w:sz w:val="24"/>
              </w:rPr>
            </w:pPr>
            <w:r>
              <w:rPr>
                <w:rFonts w:hint="eastAsia" w:ascii="宋体" w:hAnsi="宋体" w:cs="宋体"/>
                <w:sz w:val="24"/>
              </w:rPr>
              <w:t xml:space="preserve">注:园林技术工人必须具备绿化工、花卉工、盆景工中级或以上等级证书、近半年任意1个月社保情况证明单。</w:t>
            </w:r>
            <w:r/>
          </w:p>
          <w:p>
            <w:pPr>
              <w:spacing w:line="360" w:lineRule="auto"/>
              <w:widowControl/>
              <w:rPr>
                <w:rFonts w:ascii="宋体" w:hAnsi="宋体" w:cs="宋体"/>
                <w:sz w:val="24"/>
              </w:rPr>
            </w:pPr>
            <w:r>
              <w:rPr>
                <w:rFonts w:hint="eastAsia" w:ascii="宋体" w:hAnsi="宋体" w:cs="宋体"/>
                <w:sz w:val="24"/>
              </w:rPr>
              <w:t xml:space="preserve">②养护作业人员投入计划(8分)</w:t>
            </w:r>
            <w:r/>
          </w:p>
          <w:p>
            <w:pPr>
              <w:spacing w:line="360" w:lineRule="auto"/>
              <w:widowControl/>
              <w:rPr>
                <w:rFonts w:ascii="宋体" w:hAnsi="宋体" w:cs="宋体"/>
                <w:sz w:val="24"/>
              </w:rPr>
            </w:pPr>
            <w:r>
              <w:rPr>
                <w:rFonts w:hint="eastAsia" w:ascii="宋体" w:hAnsi="宋体" w:cs="宋体"/>
                <w:sz w:val="24"/>
              </w:rPr>
              <w:t xml:space="preserve">根据提供的拟投入作业人员一览表:</w:t>
            </w:r>
            <w:r/>
          </w:p>
          <w:p>
            <w:pPr>
              <w:spacing w:line="360" w:lineRule="auto"/>
              <w:widowControl/>
              <w:rPr>
                <w:rFonts w:ascii="宋体" w:hAnsi="宋体" w:cs="宋体"/>
                <w:sz w:val="24"/>
              </w:rPr>
            </w:pPr>
            <w:r>
              <w:rPr>
                <w:rFonts w:hint="eastAsia" w:ascii="宋体" w:hAnsi="宋体" w:cs="宋体"/>
                <w:sz w:val="24"/>
              </w:rPr>
              <w:t xml:space="preserve">养护人员投入人数满足作业人员配置数量最低标准的，得5分;达到作业人员配置数量高级标准的，得8分，以最高分计。作业人员配置数量最低标准: 39 人(含技术工人) ;作业人员配置数量高级标准: 43 人(含技术工人)。</w:t>
            </w:r>
            <w:r/>
          </w:p>
          <w:p>
            <w:pPr>
              <w:spacing w:line="360" w:lineRule="auto"/>
              <w:widowControl/>
              <w:rPr>
                <w:rFonts w:ascii="宋体" w:hAnsi="宋体" w:cs="宋体"/>
                <w:sz w:val="24"/>
              </w:rPr>
            </w:pPr>
            <w:r>
              <w:rPr>
                <w:rFonts w:hint="eastAsia" w:ascii="宋体" w:hAnsi="宋体" w:cs="宋体"/>
                <w:sz w:val="24"/>
              </w:rPr>
              <w:t xml:space="preserve">注:驾驶员必须具备近半年任意1个月)社保情况证明单，养.护工人、保洁人员必须具备近半年任意1个月社保情况证明单或企业为其购买的不低于80万意外险保单。</w:t>
            </w:r>
            <w:r/>
          </w:p>
          <w:p>
            <w:pPr>
              <w:spacing w:line="360" w:lineRule="auto"/>
              <w:widowControl/>
              <w:rPr>
                <w:rFonts w:ascii="宋体" w:hAnsi="宋体" w:cs="宋体"/>
                <w:sz w:val="24"/>
              </w:rPr>
            </w:pPr>
            <w:r>
              <w:rPr>
                <w:rFonts w:hint="eastAsia" w:ascii="宋体" w:hAnsi="宋体" w:cs="宋体"/>
                <w:sz w:val="24"/>
              </w:rPr>
              <w:t xml:space="preserve">由劳务派遣公司缴纳社保的需提供投标人与劳务派遣公司签订的合同(合同内需包含有本项目拟投入人员名单)、2025年投标人根据合同支付给该劳务派遣公司费用的发票、社保缴纳证明材料。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7"/>
              <w:jc w:val="center"/>
              <w:rPr>
                <w:rFonts w:ascii="宋体" w:hAnsi="宋体" w:eastAsia="宋体" w:cs="宋体"/>
              </w:rPr>
            </w:pPr>
            <w:r>
              <w:rPr>
                <w:rFonts w:hint="eastAsia" w:ascii="宋体" w:hAnsi="宋体" w:eastAsia="宋体" w:cs="宋体"/>
              </w:rPr>
              <w:t xml:space="preserve">12分</w:t>
            </w:r>
            <w:r/>
          </w:p>
        </w:tc>
      </w:tr>
      <w:tr>
        <w:trPr>
          <w:trHeight w:val="1026"/>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2.5</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机械设备</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①根据提供的拟投入车辆配备一览表， 洒水车、垃圾清运卡车、巡视车满足招标文件要求的得3分;满足招标文件要求基础上每增加一辆洒水车加1分，最多加2分。本项最多得5分。</w:t>
            </w:r>
            <w:r/>
          </w:p>
          <w:p>
            <w:pPr>
              <w:spacing w:line="360" w:lineRule="auto"/>
              <w:widowControl/>
              <w:rPr>
                <w:rFonts w:ascii="宋体" w:hAnsi="宋体" w:cs="宋体"/>
                <w:sz w:val="24"/>
              </w:rPr>
            </w:pPr>
            <w:r>
              <w:rPr>
                <w:rFonts w:hint="eastAsia" w:ascii="宋体" w:hAnsi="宋体" w:cs="宋体"/>
                <w:sz w:val="24"/>
              </w:rPr>
              <w:t xml:space="preserve">注:须提供车辆行驶证、购车发票、车辆(含车牌号)照片。</w:t>
            </w:r>
            <w:r/>
          </w:p>
          <w:p>
            <w:pPr>
              <w:spacing w:line="360" w:lineRule="auto"/>
              <w:widowControl/>
              <w:rPr>
                <w:rFonts w:ascii="宋体" w:hAnsi="宋体" w:cs="宋体"/>
                <w:sz w:val="24"/>
              </w:rPr>
            </w:pPr>
            <w:r>
              <w:rPr>
                <w:rFonts w:hint="eastAsia" w:ascii="宋体" w:hAnsi="宋体" w:cs="宋体"/>
                <w:sz w:val="24"/>
              </w:rPr>
              <w:t xml:space="preserve">②根据提供的拟投入主要养护机械设备一览表， 投标企业具有自购树叶(树桠)粉碎机的得1分，具有自购制式绿篱修剪车(自走式绿篱修剪机)的得1分，具有推式喷雾机、高枝油锯、草坪打孔机的每有一种得0.5分，本项最高得3分。</w:t>
            </w:r>
            <w:r/>
          </w:p>
          <w:p>
            <w:pPr>
              <w:spacing w:line="360" w:lineRule="auto"/>
              <w:widowControl/>
              <w:rPr>
                <w:rFonts w:ascii="宋体" w:hAnsi="宋体" w:cs="宋体"/>
                <w:sz w:val="24"/>
              </w:rPr>
            </w:pPr>
            <w:r>
              <w:rPr>
                <w:rFonts w:hint="eastAsia" w:ascii="宋体" w:hAnsi="宋体" w:cs="宋体"/>
                <w:sz w:val="24"/>
              </w:rPr>
              <w:t xml:space="preserve">注:须提供相关机械设备</w:t>
            </w:r>
            <w:r>
              <w:rPr>
                <w:rFonts w:hint="eastAsia" w:ascii="宋体" w:hAnsi="宋体" w:cs="宋体"/>
                <w:sz w:val="24"/>
                <w:highlight w:val="none"/>
              </w:rPr>
              <w:t xml:space="preserve">图片，</w:t>
            </w:r>
            <w:r>
              <w:rPr>
                <w:rFonts w:ascii="宋体" w:hAnsi="宋体" w:cs="宋体"/>
                <w:b w:val="0"/>
                <w:bCs w:val="0"/>
                <w:sz w:val="24"/>
                <w:szCs w:val="24"/>
                <w:highlight w:val="none"/>
              </w:rPr>
              <w:t xml:space="preserve">2021</w:t>
            </w:r>
            <w:r>
              <w:rPr>
                <w:rFonts w:hint="eastAsia" w:ascii="宋体" w:hAnsi="宋体" w:cs="宋体"/>
                <w:b w:val="0"/>
                <w:bCs w:val="0"/>
                <w:sz w:val="24"/>
                <w:szCs w:val="24"/>
                <w:highlight w:val="none"/>
              </w:rPr>
              <w:t xml:space="preserve">年</w:t>
            </w:r>
            <w:r>
              <w:rPr>
                <w:rFonts w:hint="eastAsia" w:ascii="宋体" w:hAnsi="宋体" w:cs="宋体"/>
                <w:sz w:val="24"/>
                <w:highlight w:val="none"/>
              </w:rPr>
              <w:t xml:space="preserve">后购买</w:t>
            </w:r>
            <w:r>
              <w:rPr>
                <w:rFonts w:hint="eastAsia" w:ascii="宋体" w:hAnsi="宋体" w:cs="宋体"/>
                <w:sz w:val="24"/>
              </w:rPr>
              <w:t xml:space="preserve">的发票，否则不得分。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7"/>
              <w:jc w:val="center"/>
              <w:rPr>
                <w:rFonts w:ascii="宋体" w:hAnsi="宋体" w:eastAsia="宋体" w:cs="宋体"/>
              </w:rPr>
            </w:pPr>
            <w:r>
              <w:rPr>
                <w:rFonts w:hint="eastAsia" w:ascii="宋体" w:hAnsi="宋体" w:eastAsia="宋体" w:cs="宋体"/>
              </w:rPr>
              <w:t xml:space="preserve">8分</w:t>
            </w:r>
            <w:r/>
          </w:p>
        </w:tc>
      </w:tr>
      <w:tr>
        <w:trPr>
          <w:trHeight w:val="1802"/>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1" w:type="pct"/>
            <w:vAlign w:val="center"/>
            <w:textDirection w:val="lrTb"/>
            <w:noWrap w:val="false"/>
          </w:tcPr>
          <w:p>
            <w:pPr>
              <w:pStyle w:val="865"/>
              <w:jc w:val="center"/>
              <w:rPr>
                <w:rFonts w:ascii="宋体" w:hAnsi="宋体" w:eastAsia="宋体" w:cs="宋体"/>
              </w:rPr>
            </w:pPr>
            <w:r>
              <w:rPr>
                <w:rFonts w:hint="eastAsia" w:ascii="宋体" w:hAnsi="宋体" w:eastAsia="宋体" w:cs="宋体"/>
              </w:rPr>
              <w:t xml:space="preserve">2.6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5" w:type="pct"/>
            <w:vAlign w:val="center"/>
            <w:textDirection w:val="lrTb"/>
            <w:noWrap w:val="false"/>
          </w:tcPr>
          <w:p>
            <w:pPr>
              <w:pStyle w:val="865"/>
              <w:jc w:val="center"/>
              <w:spacing w:line="360" w:lineRule="auto"/>
              <w:rPr>
                <w:rFonts w:ascii="宋体" w:hAnsi="宋体" w:eastAsia="宋体" w:cs="宋体"/>
              </w:rPr>
            </w:pPr>
            <w:r>
              <w:rPr>
                <w:rFonts w:hint="eastAsia" w:ascii="宋体" w:hAnsi="宋体" w:eastAsia="宋体" w:cs="宋体"/>
              </w:rPr>
              <w:t xml:space="preserve">养护质量承诺</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6" w:type="pct"/>
            <w:vAlign w:val="center"/>
            <w:textDirection w:val="lrTb"/>
            <w:noWrap w:val="false"/>
          </w:tcPr>
          <w:p>
            <w:pPr>
              <w:spacing w:line="360" w:lineRule="auto"/>
              <w:widowControl/>
              <w:rPr>
                <w:rFonts w:ascii="宋体" w:hAnsi="宋体" w:cs="宋体"/>
              </w:rPr>
            </w:pPr>
            <w:r>
              <w:rPr>
                <w:rFonts w:hint="eastAsia" w:ascii="宋体" w:hAnsi="宋体" w:cs="宋体"/>
                <w:sz w:val="24"/>
              </w:rPr>
              <w:t xml:space="preserve">根据供应商提供的质量及服务条件承诺，按招标文件提供的格式完全响应的得2分，否则不得分。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417" w:type="pct"/>
            <w:vAlign w:val="center"/>
            <w:textDirection w:val="lrTb"/>
            <w:noWrap w:val="false"/>
          </w:tcPr>
          <w:p>
            <w:pPr>
              <w:pStyle w:val="867"/>
              <w:jc w:val="center"/>
              <w:rPr>
                <w:rFonts w:ascii="宋体" w:hAnsi="宋体" w:eastAsia="宋体" w:cs="宋体"/>
              </w:rPr>
            </w:pPr>
            <w:r/>
            <w:bookmarkStart w:id="245" w:name="OLE_LINK20"/>
            <w:r/>
            <w:bookmarkStart w:id="246" w:name="OLE_LINK19"/>
            <w:r>
              <w:rPr>
                <w:rFonts w:hint="eastAsia" w:ascii="宋体" w:hAnsi="宋体" w:eastAsia="宋体" w:cs="宋体"/>
              </w:rPr>
              <w:t xml:space="preserve">2分</w:t>
            </w:r>
            <w:bookmarkEnd w:id="245"/>
            <w:r/>
            <w:bookmarkEnd w:id="246"/>
            <w:r/>
            <w:r/>
          </w:p>
        </w:tc>
      </w:tr>
    </w:tbl>
    <w:p>
      <w:pPr>
        <w:jc w:val="left"/>
        <w:spacing w:line="360" w:lineRule="auto"/>
        <w:widowControl/>
        <w:rPr>
          <w:rFonts w:ascii="宋体" w:hAnsi="宋体" w:cs="宋体"/>
          <w:b/>
          <w:sz w:val="24"/>
        </w:rPr>
      </w:pPr>
      <w:r>
        <w:rPr>
          <w:rFonts w:hint="eastAsia" w:ascii="宋体" w:hAnsi="宋体" w:cs="宋体"/>
          <w:b/>
          <w:sz w:val="24"/>
        </w:rPr>
        <w:t xml:space="preserve">（三）价格评估</w:t>
      </w:r>
      <w:r/>
    </w:p>
    <w:tbl>
      <w:tblPr>
        <w:tblStyle w:val="828"/>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255"/>
        <w:gridCol w:w="5912"/>
        <w:gridCol w:w="759"/>
      </w:tblGrid>
      <w:tr>
        <w:trPr>
          <w:trHeight w:val="20"/>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b/>
                <w:sz w:val="24"/>
              </w:rPr>
            </w:pPr>
            <w:r/>
            <w:bookmarkStart w:id="247" w:name="OLE_LINK237"/>
            <w:r/>
            <w:bookmarkStart w:id="248" w:name="OLE_LINK236"/>
            <w:r>
              <w:rPr>
                <w:rFonts w:hint="eastAsia" w:ascii="宋体" w:hAnsi="宋体" w:cs="宋体"/>
                <w:sz w:val="24"/>
              </w:rPr>
              <w:t xml:space="preserve">30分</w:t>
            </w:r>
            <w:bookmarkEnd w:id="247"/>
            <w:r/>
            <w:bookmarkEnd w:id="248"/>
            <w:r/>
            <w:r/>
          </w:p>
        </w:tc>
      </w:tr>
      <w:tr>
        <w:trPr>
          <w:trHeight w:val="20"/>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pStyle w:val="865"/>
              <w:jc w:val="center"/>
              <w:spacing w:line="360" w:lineRule="auto"/>
              <w:rPr>
                <w:rFonts w:ascii="宋体" w:hAnsi="宋体" w:cs="宋体"/>
              </w:rPr>
            </w:pPr>
            <w:r>
              <w:rPr>
                <w:rFonts w:hint="eastAsia" w:ascii="宋体" w:hAnsi="宋体" w:eastAsia="宋体" w:cs="宋体"/>
              </w:rPr>
              <w:t xml:space="preserve">投标报价</w:t>
            </w:r>
            <w:r/>
          </w:p>
        </w:tc>
        <w:tc>
          <w:tcPr>
            <w:tcBorders>
              <w:top w:val="single" w:color="000000" w:sz="4" w:space="0"/>
              <w:left w:val="single" w:color="000000" w:sz="4" w:space="0"/>
              <w:bottom w:val="single" w:color="000000" w:sz="4" w:space="0"/>
              <w:right w:val="single" w:color="000000" w:sz="4" w:space="0"/>
            </w:tcBorders>
            <w:tcW w:w="3467" w:type="pct"/>
            <w:textDirection w:val="lrTb"/>
            <w:noWrap w:val="false"/>
          </w:tcPr>
          <w:p>
            <w:pPr>
              <w:spacing w:line="360" w:lineRule="auto"/>
              <w:widowControl/>
              <w:rPr>
                <w:rFonts w:ascii="宋体" w:hAnsi="宋体" w:cs="宋体"/>
                <w:sz w:val="24"/>
              </w:rPr>
            </w:pPr>
            <w:r>
              <w:rPr>
                <w:rFonts w:hint="eastAsia" w:ascii="宋体" w:hAnsi="宋体" w:cs="宋体"/>
                <w:sz w:val="24"/>
              </w:rPr>
              <w:t xml:space="preserve">综合评分法中的价格分采用低价优先法计算，即满足招标文件要求且投标价格最低的投标报价为评标基准价，其价格分为满分30分。其他投标人的价格分统一按照 下列公式计算:投标报价得分= (评标基准价/投标报价) X30。</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30分</w:t>
            </w:r>
            <w:r/>
          </w:p>
        </w:tc>
      </w:tr>
    </w:tbl>
    <w:p>
      <w:pPr>
        <w:pStyle w:val="825"/>
      </w:pPr>
      <w:r/>
      <w:bookmarkStart w:id="249" w:name="_Toc209020169"/>
      <w:r>
        <w:rPr>
          <w:rFonts w:hint="eastAsia"/>
        </w:rPr>
        <w:t xml:space="preserve">9.相同品牌产品的处理原则</w:t>
      </w:r>
      <w:bookmarkEnd w:id="249"/>
      <w:r/>
      <w:r/>
    </w:p>
    <w:p>
      <w:pPr>
        <w:pStyle w:val="826"/>
      </w:pPr>
      <w:r/>
      <w:bookmarkStart w:id="250" w:name="_Toc209020170"/>
      <w:r/>
      <w:bookmarkStart w:id="251" w:name="_Toc203554764"/>
      <w:r>
        <w:t xml:space="preserve">9.1</w:t>
      </w:r>
      <w:r>
        <w:rPr>
          <w:rFonts w:hint="eastAsia"/>
        </w:rPr>
        <w:t xml:space="preserve">非单一产品采购项目，采购人应当根据采购项目技术构成、产品价格比重等合理确定核心产品。本项目核心产品见投标人须知前附表。</w:t>
      </w:r>
      <w:bookmarkEnd w:id="250"/>
      <w:r/>
      <w:bookmarkEnd w:id="251"/>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25"/>
        <w:rPr>
          <w:rFonts w:ascii="Times New Roman" w:hAnsi="Times New Roman" w:cs="Times New Roman"/>
          <w:sz w:val="32"/>
        </w:rPr>
      </w:pPr>
      <w:r/>
      <w:bookmarkStart w:id="252" w:name="_Toc203554765"/>
      <w:r/>
      <w:bookmarkStart w:id="253" w:name="_Toc209020171"/>
      <w:r>
        <w:t xml:space="preserve">10.</w:t>
      </w:r>
      <w:r>
        <w:rPr>
          <w:rFonts w:hint="eastAsia"/>
        </w:rPr>
        <w:t xml:space="preserve">允许修改评标结果的情形</w:t>
      </w:r>
      <w:bookmarkEnd w:id="252"/>
      <w:r/>
      <w:bookmarkEnd w:id="253"/>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4" w:name="_Toc20732998"/>
      <w:r/>
      <w:bookmarkEnd w:id="254"/>
      <w:r/>
      <w:bookmarkStart w:id="255" w:name="_Toc98669361"/>
      <w:r/>
      <w:bookmarkEnd w:id="255"/>
      <w:r/>
      <w:bookmarkStart w:id="256" w:name="_Toc92168030"/>
      <w:r/>
      <w:bookmarkEnd w:id="256"/>
      <w:r/>
      <w:bookmarkStart w:id="257" w:name="_Toc100386064"/>
      <w:r/>
      <w:bookmarkEnd w:id="257"/>
      <w:r/>
      <w:bookmarkStart w:id="258" w:name="_Toc98669719"/>
      <w:r/>
      <w:bookmarkEnd w:id="258"/>
      <w:r/>
      <w:r/>
    </w:p>
    <w:p>
      <w:pPr>
        <w:pStyle w:val="825"/>
        <w:rPr>
          <w:rFonts w:ascii="Times New Roman" w:hAnsi="Times New Roman" w:cs="Times New Roman"/>
          <w:sz w:val="32"/>
        </w:rPr>
      </w:pPr>
      <w:r/>
      <w:bookmarkStart w:id="259" w:name="_Toc203554766"/>
      <w:r/>
      <w:bookmarkStart w:id="260" w:name="_Toc209020172"/>
      <w:r>
        <w:t xml:space="preserve">11.</w:t>
      </w:r>
      <w:r>
        <w:rPr>
          <w:rFonts w:hint="eastAsia"/>
        </w:rPr>
        <w:t xml:space="preserve">推荐中标候选人</w:t>
      </w:r>
      <w:bookmarkEnd w:id="259"/>
      <w:r/>
      <w:bookmarkEnd w:id="260"/>
      <w:r/>
      <w:r/>
    </w:p>
    <w:p>
      <w:pPr>
        <w:rPr>
          <w:rFonts w:ascii="宋体" w:hAnsi="宋体"/>
          <w:sz w:val="28"/>
          <w:szCs w:val="28"/>
        </w:rP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r/>
      <w:bookmarkStart w:id="261" w:name="_Toc203554767"/>
      <w:r/>
      <w:bookmarkStart w:id="262" w:name="_Toc209020173"/>
      <w:r>
        <w:rPr>
          <w:rFonts w:hint="eastAsia"/>
        </w:rPr>
        <w:br w:type="page" w:clear="all"/>
      </w:r>
      <w:r/>
    </w:p>
    <w:p>
      <w:pPr>
        <w:pStyle w:val="824"/>
        <w:rPr>
          <w:rFonts w:ascii="宋体" w:hAnsi="宋体"/>
          <w:sz w:val="28"/>
          <w:szCs w:val="28"/>
        </w:rPr>
      </w:pPr>
      <w:r>
        <w:rPr>
          <w:rFonts w:hint="eastAsia"/>
        </w:rPr>
        <w:t xml:space="preserve">第六部分</w:t>
      </w:r>
      <w:r>
        <w:t xml:space="preserve">    </w:t>
      </w:r>
      <w:r>
        <w:rPr>
          <w:rFonts w:hint="eastAsia"/>
        </w:rPr>
        <w:t xml:space="preserve">投标文件（格式）</w:t>
      </w:r>
      <w:bookmarkEnd w:id="261"/>
      <w:r/>
      <w:bookmarkEnd w:id="262"/>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24"/>
          <w:u w:val="single"/>
        </w:rPr>
        <w:t xml:space="preserve">××××</w:t>
      </w:r>
      <w:r/>
    </w:p>
    <w:p>
      <w:pPr>
        <w:ind w:firstLine="560"/>
        <w:jc w:val="center"/>
        <w:spacing w:line="360" w:lineRule="auto"/>
        <w:rPr>
          <w:rFonts w:ascii="宋体" w:hAnsi="宋体" w:cs="宋体"/>
          <w:sz w:val="28"/>
        </w:rPr>
      </w:pPr>
      <w:r>
        <w:rPr>
          <w:rFonts w:ascii="宋体" w:hAnsi="宋体" w:cs="宋体"/>
          <w:sz w:val="28"/>
        </w:rPr>
      </w:r>
      <w:r/>
    </w:p>
    <w:p>
      <w:pPr>
        <w:ind w:firstLine="560"/>
        <w:jc w:val="center"/>
        <w:spacing w:line="360" w:lineRule="auto"/>
        <w:rPr>
          <w:rFonts w:ascii="宋体" w:hAnsi="宋体" w:cs="宋体"/>
          <w:sz w:val="28"/>
        </w:rPr>
      </w:pPr>
      <w:r>
        <w:rPr>
          <w:rFonts w:ascii="宋体" w:hAnsi="宋体" w:cs="宋体"/>
          <w:sz w:val="28"/>
        </w:rPr>
      </w:r>
      <w:r/>
    </w:p>
    <w:p>
      <w:pPr>
        <w:ind w:firstLine="560"/>
        <w:jc w:val="center"/>
        <w:spacing w:line="360" w:lineRule="auto"/>
        <w:rPr>
          <w:rFonts w:ascii="宋体" w:hAnsi="宋体" w:cs="宋体"/>
          <w:sz w:val="28"/>
        </w:rPr>
      </w:pPr>
      <w:r>
        <w:rPr>
          <w:rFonts w:ascii="宋体" w:hAnsi="宋体" w:cs="宋体"/>
          <w:sz w:val="28"/>
        </w:rPr>
      </w:r>
      <w:r/>
    </w:p>
    <w:p>
      <w:pPr>
        <w:ind w:firstLine="562"/>
        <w:jc w:val="center"/>
        <w:spacing w:line="360" w:lineRule="auto"/>
        <w:rPr>
          <w:rFonts w:ascii="宋体" w:hAnsi="宋体" w:cs="宋体"/>
          <w:b/>
          <w:sz w:val="28"/>
        </w:rPr>
      </w:pPr>
      <w:r>
        <w:rPr>
          <w:rFonts w:ascii="宋体" w:hAnsi="宋体" w:cs="宋体"/>
          <w:b/>
          <w:sz w:val="28"/>
        </w:rPr>
      </w:r>
      <w:r/>
    </w:p>
    <w:p>
      <w:pPr>
        <w:jc w:val="center"/>
        <w:spacing w:line="360" w:lineRule="auto"/>
        <w:rPr>
          <w:rFonts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24"/>
          <w:u w:val="single"/>
        </w:rPr>
        <w:t xml:space="preserve">××××</w:t>
      </w:r>
      <w:r/>
    </w:p>
    <w:p>
      <w:pPr>
        <w:pStyle w:val="843"/>
        <w:ind w:firstLine="643"/>
        <w:spacing w:line="360" w:lineRule="auto"/>
        <w:rPr>
          <w:rFonts w:ascii="宋体" w:hAnsi="宋体" w:cs="宋体"/>
          <w:b/>
          <w:sz w:val="32"/>
          <w:szCs w:val="22"/>
        </w:rPr>
      </w:pPr>
      <w:r>
        <w:rPr>
          <w:rFonts w:ascii="宋体" w:hAnsi="宋体" w:cs="宋体"/>
          <w:b/>
          <w:sz w:val="32"/>
          <w:szCs w:val="22"/>
        </w:rPr>
      </w:r>
      <w:r/>
    </w:p>
    <w:p>
      <w:pPr>
        <w:pStyle w:val="843"/>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4"/>
      </w:pPr>
      <w:r/>
      <w:bookmarkStart w:id="263" w:name="_Toc209020174"/>
      <w:r>
        <w:rPr>
          <w:rFonts w:hint="eastAsia"/>
        </w:rPr>
        <w:t xml:space="preserve">一、资格部分</w:t>
      </w:r>
      <w:bookmarkEnd w:id="263"/>
      <w:r/>
      <w:r/>
    </w:p>
    <w:p>
      <w:pPr>
        <w:pStyle w:val="825"/>
        <w:jc w:val="center"/>
      </w:pPr>
      <w:r/>
      <w:bookmarkStart w:id="264" w:name="_Toc209020175"/>
      <w:r>
        <w:rPr>
          <w:rFonts w:hint="eastAsia"/>
        </w:rPr>
        <w:t xml:space="preserve">（一）投标函</w:t>
      </w:r>
      <w:bookmarkEnd w:id="264"/>
      <w:r/>
      <w:r/>
    </w:p>
    <w:p>
      <w:pPr>
        <w:spacing w:line="360" w:lineRule="auto"/>
        <w:rPr>
          <w:rFonts w:ascii="宋体" w:hAnsi="宋体" w:cs="宋体"/>
          <w:b/>
          <w:bCs/>
          <w:sz w:val="30"/>
        </w:rPr>
      </w:pPr>
      <w:r>
        <w:rPr>
          <w:rFonts w:hint="eastAsia" w:ascii="宋体" w:hAnsi="宋体" w:cs="宋体"/>
          <w:b/>
          <w:sz w:val="24"/>
          <w:u w:val="single"/>
        </w:rPr>
        <w:t xml:space="preserve">致×××</w:t>
      </w:r>
      <w:r>
        <w:rPr>
          <w:rFonts w:hint="eastAsia" w:ascii="宋体" w:hAnsi="宋体" w:cs="宋体"/>
          <w:b/>
          <w:sz w:val="24"/>
          <w:szCs w:val="16"/>
          <w:u w:val="single"/>
        </w:rPr>
        <w:t xml:space="preserve">×（采购代理机构）</w:t>
      </w:r>
      <w:r>
        <w:rPr>
          <w:rFonts w:hint="eastAsia" w:ascii="宋体" w:hAnsi="宋体" w:cs="宋体"/>
          <w:b/>
          <w:bCs/>
          <w:sz w:val="30"/>
        </w:rPr>
        <w:t xml:space="preserve">：</w:t>
      </w:r>
      <w:r/>
    </w:p>
    <w:p>
      <w:pPr>
        <w:pStyle w:val="843"/>
        <w:ind w:firstLine="560"/>
        <w:spacing w:line="360" w:lineRule="auto"/>
        <w:rPr>
          <w:rFonts w:ascii="宋体" w:hAnsi="宋体" w:cs="宋体"/>
          <w:sz w:val="28"/>
          <w:szCs w:val="28"/>
        </w:rPr>
      </w:pPr>
      <w:r>
        <w:rPr>
          <w:rFonts w:hint="eastAsia" w:ascii="宋体" w:hAnsi="宋体" w:cs="宋体"/>
          <w:sz w:val="28"/>
          <w:szCs w:val="24"/>
        </w:rPr>
        <w:t xml:space="preserve">根据贵方</w:t>
      </w:r>
      <w:r>
        <w:rPr>
          <w:rFonts w:hint="eastAsia" w:ascii="宋体" w:hAnsi="宋体" w:cs="宋体"/>
          <w:sz w:val="28"/>
          <w:szCs w:val="28"/>
        </w:rPr>
        <w:t xml:space="preserve">关于</w:t>
      </w:r>
      <w:r>
        <w:rPr>
          <w:rFonts w:hint="eastAsia" w:ascii="宋体" w:hAnsi="宋体" w:cs="宋体"/>
          <w:b/>
          <w:sz w:val="24"/>
          <w:u w:val="single"/>
        </w:rPr>
        <w:t xml:space="preserve">××××（项目名称）（项目编号：××××）</w:t>
      </w:r>
      <w:r>
        <w:rPr>
          <w:rFonts w:hint="eastAsia" w:ascii="宋体" w:hAnsi="宋体" w:cs="宋体"/>
          <w:sz w:val="28"/>
          <w:szCs w:val="24"/>
        </w:rPr>
        <w:t xml:space="preserve">的投标邀请</w:t>
      </w:r>
      <w:r>
        <w:rPr>
          <w:rFonts w:hint="eastAsia" w:ascii="宋体" w:hAnsi="宋体" w:cs="宋体"/>
          <w:sz w:val="28"/>
          <w:szCs w:val="28"/>
        </w:rPr>
        <w:t xml:space="preserve">，我方已完全理解招标文件的所有内容。</w:t>
      </w:r>
      <w:r/>
    </w:p>
    <w:p>
      <w:pPr>
        <w:pStyle w:val="833"/>
        <w:ind w:firstLine="560"/>
        <w:spacing w:line="360" w:lineRule="auto"/>
        <w:rPr>
          <w:rFonts w:ascii="宋体" w:hAnsi="宋体" w:cs="宋体"/>
          <w:sz w:val="28"/>
          <w:szCs w:val="28"/>
        </w:rPr>
      </w:pPr>
      <w:r>
        <w:rPr>
          <w:rFonts w:hint="eastAsia" w:ascii="宋体" w:hAnsi="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33"/>
        <w:ind w:firstLine="560"/>
        <w:spacing w:line="360" w:lineRule="auto"/>
        <w:rPr>
          <w:rFonts w:ascii="宋体" w:hAnsi="宋体" w:cs="宋体"/>
          <w:sz w:val="28"/>
        </w:rPr>
      </w:pPr>
      <w:r>
        <w:rPr>
          <w:rFonts w:hint="eastAsia" w:ascii="宋体" w:hAnsi="宋体" w:cs="宋体"/>
          <w:sz w:val="28"/>
        </w:rPr>
        <w:t xml:space="preserve">地址： </w:t>
      </w:r>
      <w:r>
        <w:rPr>
          <w:rFonts w:hint="eastAsia" w:ascii="宋体" w:hAnsi="宋体" w:cs="宋体"/>
          <w:b/>
          <w:sz w:val="24"/>
          <w:u w:val="single"/>
        </w:rPr>
        <w:t xml:space="preserve">××</w:t>
      </w:r>
      <w:r>
        <w:rPr>
          <w:rFonts w:hint="eastAsia" w:ascii="宋体" w:hAnsi="宋体" w:cs="宋体"/>
          <w:sz w:val="28"/>
        </w:rPr>
        <w:t xml:space="preserve">                  电话： </w:t>
      </w:r>
      <w:r>
        <w:rPr>
          <w:rFonts w:hint="eastAsia" w:ascii="宋体" w:hAnsi="宋体" w:cs="宋体"/>
          <w:b/>
          <w:sz w:val="24"/>
          <w:u w:val="single"/>
        </w:rPr>
        <w:t xml:space="preserve">××</w:t>
      </w:r>
      <w:r/>
    </w:p>
    <w:p>
      <w:pPr>
        <w:pStyle w:val="833"/>
        <w:ind w:firstLine="560"/>
        <w:spacing w:line="360" w:lineRule="auto"/>
        <w:rPr>
          <w:rFonts w:ascii="宋体" w:hAnsi="宋体" w:cs="宋体"/>
          <w:sz w:val="28"/>
        </w:rPr>
      </w:pPr>
      <w:r>
        <w:rPr>
          <w:rFonts w:hint="eastAsia" w:ascii="宋体" w:hAnsi="宋体" w:cs="宋体"/>
          <w:sz w:val="28"/>
        </w:rPr>
        <w:t xml:space="preserve">传真：</w:t>
      </w:r>
      <w:r>
        <w:rPr>
          <w:rFonts w:hint="eastAsia" w:ascii="宋体" w:hAnsi="宋体" w:cs="宋体"/>
          <w:b/>
          <w:sz w:val="24"/>
          <w:u w:val="single"/>
        </w:rPr>
        <w:t xml:space="preserve">××</w:t>
      </w:r>
      <w:r>
        <w:rPr>
          <w:rFonts w:hint="eastAsia" w:ascii="宋体" w:hAnsi="宋体" w:cs="宋体"/>
          <w:sz w:val="28"/>
        </w:rPr>
        <w:t xml:space="preserve">邮政编码：</w:t>
      </w:r>
      <w:r>
        <w:rPr>
          <w:rFonts w:hint="eastAsia" w:ascii="宋体" w:hAnsi="宋体" w:cs="宋体"/>
          <w:b/>
          <w:sz w:val="24"/>
          <w:u w:val="single"/>
        </w:rPr>
        <w:t xml:space="preserve">××</w:t>
      </w:r>
      <w:r/>
    </w:p>
    <w:p>
      <w:pPr>
        <w:pStyle w:val="833"/>
        <w:ind w:firstLine="560"/>
        <w:spacing w:line="360" w:lineRule="auto"/>
        <w:rPr>
          <w:rFonts w:ascii="宋体" w:hAnsi="宋体" w:cs="宋体"/>
          <w:sz w:val="28"/>
        </w:rPr>
      </w:pPr>
      <w:r>
        <w:rPr>
          <w:rFonts w:hint="eastAsia" w:ascii="宋体" w:hAnsi="宋体" w:cs="宋体"/>
          <w:sz w:val="28"/>
        </w:rPr>
        <w:t xml:space="preserve">投标人（公章）：</w:t>
      </w:r>
      <w:r>
        <w:rPr>
          <w:rFonts w:hint="eastAsia" w:ascii="宋体" w:hAnsi="宋体" w:cs="宋体"/>
          <w:b/>
          <w:sz w:val="24"/>
          <w:u w:val="single"/>
        </w:rPr>
        <w:t xml:space="preserve">××</w:t>
      </w:r>
      <w:r/>
    </w:p>
    <w:p>
      <w:pPr>
        <w:pStyle w:val="833"/>
        <w:ind w:firstLine="560"/>
        <w:spacing w:line="360" w:lineRule="auto"/>
        <w:rPr>
          <w:rFonts w:ascii="宋体" w:hAnsi="宋体" w:cs="宋体"/>
          <w:sz w:val="28"/>
        </w:rPr>
      </w:pPr>
      <w:r>
        <w:rPr>
          <w:rFonts w:hint="eastAsia" w:ascii="宋体" w:hAnsi="宋体" w:cs="宋体"/>
          <w:sz w:val="28"/>
        </w:rPr>
        <w:t xml:space="preserve">法定代表人签字或盖章： </w:t>
      </w:r>
      <w:r>
        <w:rPr>
          <w:rFonts w:hint="eastAsia" w:ascii="宋体" w:hAnsi="宋体" w:cs="宋体"/>
          <w:b/>
          <w:sz w:val="24"/>
          <w:u w:val="single"/>
        </w:rPr>
        <w:t xml:space="preserve">××</w:t>
      </w:r>
      <w:r/>
    </w:p>
    <w:p>
      <w:pPr>
        <w:pStyle w:val="833"/>
        <w:ind w:right="1060" w:firstLine="560"/>
        <w:jc w:val="right"/>
        <w:spacing w:line="360" w:lineRule="auto"/>
        <w:rPr>
          <w:rFonts w:ascii="宋体" w:hAnsi="宋体" w:cs="宋体"/>
          <w:sz w:val="28"/>
          <w:szCs w:val="28"/>
        </w:rPr>
      </w:pPr>
      <w:r>
        <w:rPr>
          <w:rFonts w:hint="eastAsia" w:ascii="宋体" w:hAnsi="宋体" w:cs="宋体"/>
          <w:sz w:val="28"/>
        </w:rPr>
        <w:t xml:space="preserve">日期： </w:t>
      </w:r>
      <w:r>
        <w:rPr>
          <w:rFonts w:hint="eastAsia" w:ascii="宋体" w:hAnsi="宋体" w:cs="宋体"/>
          <w:b/>
          <w:sz w:val="24"/>
          <w:u w:val="single"/>
        </w:rPr>
        <w:t xml:space="preserve">××××</w:t>
      </w:r>
      <w:r>
        <w:rPr>
          <w:rFonts w:hint="eastAsia" w:ascii="宋体" w:hAnsi="宋体" w:cs="宋体"/>
          <w:sz w:val="28"/>
        </w:rPr>
        <w:t xml:space="preserve">年</w:t>
      </w:r>
      <w:r>
        <w:rPr>
          <w:rFonts w:hint="eastAsia" w:ascii="宋体" w:hAnsi="宋体" w:cs="宋体"/>
          <w:b/>
          <w:sz w:val="24"/>
          <w:u w:val="single"/>
        </w:rPr>
        <w:t xml:space="preserve">××</w:t>
      </w:r>
      <w:r>
        <w:rPr>
          <w:rFonts w:hint="eastAsia" w:ascii="宋体" w:hAnsi="宋体" w:cs="宋体"/>
          <w:sz w:val="28"/>
        </w:rPr>
        <w:t xml:space="preserve">月</w:t>
      </w:r>
      <w:r>
        <w:rPr>
          <w:rFonts w:hint="eastAsia" w:ascii="宋体" w:hAnsi="宋体" w:cs="宋体"/>
          <w:b/>
          <w:sz w:val="24"/>
          <w:u w:val="single"/>
        </w:rPr>
        <w:t xml:space="preserve">××</w:t>
      </w:r>
      <w:r>
        <w:rPr>
          <w:rFonts w:hint="eastAsia" w:ascii="宋体" w:hAnsi="宋体" w:cs="宋体"/>
          <w:sz w:val="28"/>
        </w:rPr>
        <w:t xml:space="preserve">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65" w:name="_Toc209020176"/>
      <w:r>
        <w:rPr>
          <w:rFonts w:hint="eastAsia"/>
        </w:rPr>
        <w:t xml:space="preserve">（二）独立承担民事责任的能力</w:t>
      </w:r>
      <w:bookmarkEnd w:id="265"/>
      <w:r/>
      <w:r/>
    </w:p>
    <w:p>
      <w:pPr>
        <w:rPr>
          <w:rFonts w:ascii="宋体" w:hAnsi="宋体"/>
          <w:sz w:val="28"/>
          <w:szCs w:val="28"/>
        </w:rPr>
      </w:pPr>
      <w:r>
        <w:rPr>
          <w:rFonts w:hint="eastAsia" w:ascii="宋体" w:hAnsi="宋体" w:cs="宋体"/>
          <w:sz w:val="28"/>
          <w:szCs w:val="28"/>
        </w:rPr>
        <w:t xml:space="preserve">法人或者其他组织的营业执照等证明文件(原件扫描件)；供应商为自然人的，提供其身份证(原件扫描件) 。</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66" w:name="OLE_LINK5"/>
      <w:r/>
      <w:bookmarkStart w:id="267" w:name="OLE_LINK3"/>
      <w:r/>
      <w:bookmarkStart w:id="268" w:name="_Toc209020177"/>
      <w:r>
        <w:rPr>
          <w:rFonts w:hint="eastAsia"/>
        </w:rPr>
        <w:t xml:space="preserve">（三）</w:t>
      </w:r>
      <w:bookmarkEnd w:id="266"/>
      <w:r/>
      <w:bookmarkEnd w:id="267"/>
      <w:r>
        <w:rPr>
          <w:rFonts w:hint="eastAsia"/>
        </w:rPr>
        <w:t xml:space="preserve">良好的商业信誉和健全的财务会计制度</w:t>
      </w:r>
      <w:bookmarkEnd w:id="268"/>
      <w:r/>
      <w:r/>
    </w:p>
    <w:p>
      <w:pPr>
        <w:rPr>
          <w:rFonts w:ascii="宋体" w:hAnsi="宋体"/>
          <w:sz w:val="28"/>
          <w:szCs w:val="28"/>
        </w:rPr>
      </w:pPr>
      <w:r>
        <w:rPr>
          <w:rFonts w:hint="eastAsia" w:ascii="宋体" w:hAnsi="宋体" w:cs="宋体"/>
          <w:sz w:val="28"/>
          <w:szCs w:val="28"/>
        </w:rPr>
        <w:t xml:space="preserve">提供上一年度财务报告、成立不满一年的提供至少一个月财务报告，或银行出具的资信证明，或财政部门认可的政府采购专业担保机构出具的投标担保函等原件扫描件，或提供</w:t>
      </w:r>
      <w:bookmarkStart w:id="269" w:name="_Hlk131494070"/>
      <w:r>
        <w:rPr>
          <w:rFonts w:hint="eastAsia" w:ascii="宋体" w:hAnsi="宋体" w:cs="宋体"/>
          <w:sz w:val="28"/>
          <w:szCs w:val="28"/>
        </w:rPr>
        <w:t xml:space="preserve">资格承诺函</w:t>
      </w:r>
      <w:bookmarkEnd w:id="269"/>
      <w:r/>
      <w:bookmarkStart w:id="270" w:name="_Hlk131494108"/>
      <w:r>
        <w:rPr>
          <w:rFonts w:hint="eastAsia" w:ascii="宋体" w:hAnsi="宋体" w:cs="宋体"/>
          <w:sz w:val="28"/>
          <w:szCs w:val="28"/>
        </w:rPr>
        <w:t xml:space="preserve">（见本部分（六）资格承诺函）</w:t>
      </w:r>
      <w:bookmarkEnd w:id="270"/>
      <w:r>
        <w:rPr>
          <w:rFonts w:hint="eastAsia" w:ascii="宋体" w:hAnsi="宋体" w:cs="宋体"/>
          <w:sz w:val="28"/>
          <w:szCs w:val="28"/>
        </w:rPr>
        <w:t xml:space="preserve">。</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71" w:name="_Toc209020178"/>
      <w:r>
        <w:rPr>
          <w:rFonts w:hint="eastAsia"/>
        </w:rPr>
        <w:t xml:space="preserve">（四）履行合同所必需的设备和专业技术能力</w:t>
      </w:r>
      <w:bookmarkEnd w:id="271"/>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Borders>
              <w:top w:val="single" w:color="auto" w:sz="4" w:space="0"/>
              <w:left w:val="single" w:color="auto" w:sz="4" w:space="0"/>
              <w:bottom w:val="single" w:color="auto" w:sz="4" w:space="0"/>
              <w:right w:val="single" w:color="auto" w:sz="4" w:space="0"/>
            </w:tcBorders>
            <w:tcW w:w="438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spacing w:line="360" w:lineRule="auto"/>
              <w:rPr>
                <w:rFonts w:ascii="宋体" w:hAnsi="宋体" w:cs="宋体"/>
                <w:sz w:val="24"/>
              </w:rPr>
            </w:pPr>
            <w:r>
              <w:rPr>
                <w:rFonts w:hint="eastAsia" w:ascii="宋体" w:hAnsi="宋体" w:cs="宋体"/>
                <w:sz w:val="24"/>
              </w:rPr>
              <w:t xml:space="preserve">公司名称</w:t>
            </w:r>
            <w:r/>
          </w:p>
        </w:tc>
        <w:tc>
          <w:tcPr>
            <w:gridSpan w:val="8"/>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注册资金</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从业人数</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开户银行</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Borders>
              <w:top w:val="single" w:color="auto" w:sz="4" w:space="0"/>
              <w:left w:val="single" w:color="auto" w:sz="4" w:space="0"/>
              <w:bottom w:val="single" w:color="auto" w:sz="4" w:space="0"/>
              <w:right w:val="single" w:color="auto" w:sz="4" w:space="0"/>
            </w:tcBorders>
            <w:tcW w:w="438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Borders>
              <w:top w:val="single" w:color="auto" w:sz="4" w:space="0"/>
              <w:left w:val="single" w:color="auto" w:sz="4" w:space="0"/>
              <w:bottom w:val="single" w:color="auto" w:sz="4" w:space="0"/>
              <w:right w:val="single" w:color="auto" w:sz="4" w:space="0"/>
            </w:tcBorders>
            <w:tcW w:w="438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u w:val="single"/>
              </w:rPr>
              <w:t xml:space="preserve">2024</w:t>
            </w:r>
            <w:r>
              <w:rPr>
                <w:rFonts w:hint="eastAsia" w:ascii="宋体" w:hAnsi="宋体" w:cs="宋体"/>
                <w:b/>
                <w:sz w:val="24"/>
              </w:rPr>
              <w:t xml:space="preserve">年度财务状况</w:t>
            </w:r>
            <w:r/>
          </w:p>
        </w:tc>
      </w:tr>
      <w:tr>
        <w:trPr>
          <w:trHeight w:val="682"/>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c>
          <w:tcPr>
            <w:gridSpan w:val="2"/>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Borders>
              <w:top w:val="single" w:color="auto" w:sz="4" w:space="0"/>
              <w:left w:val="single" w:color="auto" w:sz="4" w:space="0"/>
              <w:bottom w:val="single" w:color="auto" w:sz="4" w:space="0"/>
              <w:right w:val="single" w:color="auto" w:sz="4" w:space="0"/>
            </w:tcBorders>
            <w:tcW w:w="1158"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Borders>
              <w:top w:val="single" w:color="auto" w:sz="4" w:space="0"/>
              <w:left w:val="single" w:color="auto" w:sz="4" w:space="0"/>
              <w:bottom w:val="single" w:color="auto" w:sz="4" w:space="0"/>
              <w:right w:val="single" w:color="auto" w:sz="4" w:space="0"/>
            </w:tcBorders>
            <w:tcW w:w="1246"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Borders>
              <w:top w:val="single" w:color="auto" w:sz="4" w:space="0"/>
              <w:left w:val="single" w:color="auto" w:sz="4" w:space="0"/>
              <w:bottom w:val="single" w:color="auto" w:sz="4" w:space="0"/>
              <w:right w:val="single" w:color="auto" w:sz="4" w:space="0"/>
            </w:tcBorders>
            <w:tcW w:w="438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投标人其他信息</w:t>
            </w:r>
            <w:r/>
          </w:p>
        </w:tc>
      </w:tr>
      <w:tr>
        <w:trPr>
          <w:trHeight w:val="1015"/>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（二）</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830"/>
              <w:ind w:firstLine="0"/>
              <w:jc w:val="center"/>
              <w:spacing w:line="360" w:lineRule="auto"/>
              <w:rPr>
                <w:rFonts w:ascii="宋体" w:hAnsi="宋体" w:cs="宋体"/>
                <w:sz w:val="24"/>
              </w:rPr>
            </w:pPr>
            <w:r>
              <w:rPr>
                <w:rFonts w:hint="eastAsia" w:ascii="宋体" w:hAnsi="宋体" w:cs="宋体"/>
                <w:sz w:val="24"/>
              </w:rPr>
              <w:t xml:space="preserve">公司获得的荣誉及表彰情况</w:t>
            </w:r>
            <w:r/>
          </w:p>
        </w:tc>
        <w:tc>
          <w:tcPr>
            <w:gridSpan w:val="8"/>
            <w:tcBorders>
              <w:top w:val="single" w:color="auto" w:sz="4" w:space="0"/>
              <w:left w:val="single" w:color="auto" w:sz="4" w:space="0"/>
              <w:bottom w:val="single" w:color="auto" w:sz="4" w:space="0"/>
              <w:right w:val="single" w:color="auto" w:sz="4" w:space="0"/>
            </w:tcBorders>
            <w:tcW w:w="3648" w:type="pct"/>
            <w:vAlign w:val="center"/>
            <w:textDirection w:val="lrTb"/>
            <w:noWrap w:val="false"/>
          </w:tcPr>
          <w:p>
            <w:pPr>
              <w:pStyle w:val="830"/>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Borders>
              <w:top w:val="single" w:color="auto" w:sz="4" w:space="0"/>
              <w:left w:val="single" w:color="auto" w:sz="4" w:space="0"/>
              <w:bottom w:val="single" w:color="auto" w:sz="4" w:space="0"/>
              <w:right w:val="single" w:color="auto" w:sz="4" w:space="0"/>
            </w:tcBorders>
            <w:tcW w:w="438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Borders>
              <w:top w:val="single" w:color="auto" w:sz="4" w:space="0"/>
              <w:left w:val="single" w:color="auto" w:sz="4" w:space="0"/>
              <w:bottom w:val="single" w:color="auto" w:sz="4" w:space="0"/>
              <w:right w:val="single" w:color="auto" w:sz="4" w:space="0"/>
            </w:tcBorders>
            <w:tcW w:w="1946"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color w:val="000000"/>
                <w:sz w:val="24"/>
              </w:rPr>
              <w:t xml:space="preserve">品牌、型号及主要参数配置简述</w:t>
            </w:r>
            <w:r/>
          </w:p>
        </w:tc>
        <w:tc>
          <w:tcPr>
            <w:gridSpan w:val="2"/>
            <w:shd w:val="clear" w:color="auto" w:fill="ffffff"/>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Borders>
              <w:top w:val="single" w:color="auto" w:sz="4" w:space="0"/>
              <w:left w:val="single" w:color="auto" w:sz="4" w:space="0"/>
              <w:bottom w:val="single" w:color="auto" w:sz="4" w:space="0"/>
              <w:right w:val="single" w:color="auto" w:sz="4" w:space="0"/>
            </w:tcBorders>
            <w:tcW w:w="194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Borders>
              <w:top w:val="single" w:color="auto" w:sz="4" w:space="0"/>
              <w:left w:val="single" w:color="auto" w:sz="4" w:space="0"/>
              <w:bottom w:val="single" w:color="auto" w:sz="4" w:space="0"/>
              <w:right w:val="single" w:color="auto" w:sz="4" w:space="0"/>
            </w:tcBorders>
            <w:tcW w:w="194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Borders>
              <w:top w:val="single" w:color="auto" w:sz="4" w:space="0"/>
              <w:left w:val="single" w:color="auto" w:sz="4" w:space="0"/>
              <w:bottom w:val="single" w:color="auto" w:sz="4" w:space="0"/>
              <w:right w:val="single" w:color="auto" w:sz="4" w:space="0"/>
            </w:tcBorders>
            <w:tcW w:w="194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top w:val="single" w:color="auto" w:sz="4" w:space="0"/>
              <w:left w:val="single" w:color="auto" w:sz="4" w:space="0"/>
              <w:bottom w:val="single" w:color="auto" w:sz="4" w:space="0"/>
              <w:right w:val="single" w:color="auto" w:sz="4" w:space="0"/>
            </w:tcBorders>
            <w:tcW w:w="194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Borders>
              <w:top w:val="single" w:color="auto" w:sz="4" w:space="0"/>
              <w:left w:val="single" w:color="auto" w:sz="4" w:space="0"/>
              <w:bottom w:val="single" w:color="auto" w:sz="4" w:space="0"/>
              <w:right w:val="single" w:color="auto" w:sz="4" w:space="0"/>
            </w:tcBorders>
            <w:tcW w:w="4385" w:type="pct"/>
            <w:vAlign w:val="center"/>
            <w:textDirection w:val="lrTb"/>
            <w:noWrap w:val="false"/>
          </w:tcPr>
          <w:p>
            <w:pPr>
              <w:pStyle w:val="830"/>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30"/>
              <w:ind w:firstLine="0"/>
              <w:jc w:val="center"/>
              <w:spacing w:line="360" w:lineRule="auto"/>
              <w:rPr>
                <w:rFonts w:ascii="宋体" w:hAnsi="宋体" w:cs="宋体"/>
                <w:b/>
                <w:sz w:val="24"/>
              </w:rPr>
            </w:pPr>
            <w:r>
              <w:rPr>
                <w:rFonts w:ascii="宋体" w:hAnsi="宋体" w:cs="宋体"/>
                <w:b/>
                <w:sz w:val="24"/>
              </w:rPr>
            </w:r>
            <w:r/>
          </w:p>
        </w:tc>
      </w:tr>
    </w:tbl>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72" w:name="_Toc209020179"/>
      <w:r>
        <w:rPr>
          <w:rFonts w:hint="eastAsia"/>
        </w:rPr>
        <w:t xml:space="preserve">（五）依法缴纳税收和社会保障资金的良好记录</w:t>
      </w:r>
      <w:bookmarkEnd w:id="272"/>
      <w:r/>
      <w:r/>
    </w:p>
    <w:p>
      <w:pPr>
        <w:rPr>
          <w:sz w:val="28"/>
          <w:szCs w:val="28"/>
        </w:rPr>
      </w:pPr>
      <w:r>
        <w:rPr>
          <w:sz w:val="28"/>
          <w:szCs w:val="28"/>
        </w:rPr>
      </w:r>
      <w:r/>
    </w:p>
    <w:p>
      <w:pPr>
        <w:rPr>
          <w:sz w:val="28"/>
          <w:szCs w:val="28"/>
        </w:rPr>
      </w:pPr>
      <w:r>
        <w:rPr>
          <w:rFonts w:hint="eastAsia"/>
          <w:sz w:val="28"/>
          <w:szCs w:val="28"/>
        </w:rPr>
        <w:t xml:space="preserve">提供参加本次政府采购活动前半年内至少一个月依法缴纳税收和社会保险的相关材料等原件扫描件，或提供资格承诺函（见本部分（六）资格承诺函）。</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rPr>
          <w:sz w:val="40"/>
          <w:szCs w:val="44"/>
        </w:rPr>
      </w:pPr>
      <w:r/>
      <w:bookmarkStart w:id="273" w:name="_Toc203554768"/>
      <w:r/>
      <w:bookmarkStart w:id="274" w:name="_Toc209020180"/>
      <w:r/>
      <w:bookmarkStart w:id="275" w:name="_Toc209016741"/>
      <w:r>
        <w:rPr>
          <w:rFonts w:hint="eastAsia"/>
        </w:rPr>
        <w:t xml:space="preserve">（六）资格承诺函</w:t>
      </w:r>
      <w:bookmarkEnd w:id="273"/>
      <w:r/>
      <w:bookmarkEnd w:id="274"/>
      <w:r/>
      <w:bookmarkEnd w:id="275"/>
      <w:r/>
      <w:r/>
    </w:p>
    <w:p>
      <w:pPr>
        <w:rPr>
          <w:rFonts w:ascii="宋体" w:hAnsi="宋体"/>
          <w:sz w:val="28"/>
          <w:szCs w:val="28"/>
          <w:u w:val="single"/>
        </w:rPr>
      </w:pPr>
      <w:r/>
      <w:bookmarkStart w:id="276" w:name="_Toc203554769"/>
      <w:r>
        <w:rPr>
          <w:rFonts w:hint="eastAsia" w:ascii="宋体" w:hAnsi="宋体"/>
          <w:sz w:val="28"/>
          <w:szCs w:val="28"/>
        </w:rPr>
        <w:t xml:space="preserve">致：</w:t>
      </w:r>
      <w:r>
        <w:rPr>
          <w:rFonts w:hint="eastAsia" w:ascii="宋体" w:hAnsi="宋体"/>
          <w:sz w:val="28"/>
          <w:szCs w:val="28"/>
          <w:u w:val="single"/>
        </w:rPr>
        <w:t xml:space="preserve">    （采购人、采购代理机构）</w:t>
      </w:r>
      <w:bookmarkEnd w:id="276"/>
      <w:r>
        <w:rPr>
          <w:rFonts w:hint="eastAsia" w:ascii="宋体" w:hAnsi="宋体"/>
          <w:sz w:val="28"/>
          <w:szCs w:val="28"/>
          <w:u w:val="single"/>
        </w:rPr>
        <w:t xml:space="preserve">   </w:t>
      </w:r>
      <w:r/>
    </w:p>
    <w:p>
      <w:pPr>
        <w:ind w:firstLine="560"/>
        <w:rPr>
          <w:rFonts w:ascii="宋体" w:hAnsi="宋体"/>
          <w:sz w:val="28"/>
          <w:szCs w:val="28"/>
        </w:rPr>
      </w:pPr>
      <w:r/>
      <w:bookmarkStart w:id="277" w:name="_Toc203554770"/>
      <w:r>
        <w:rPr>
          <w:rFonts w:hint="eastAsia" w:ascii="宋体" w:hAnsi="宋体"/>
          <w:sz w:val="28"/>
          <w:szCs w:val="28"/>
        </w:rPr>
        <w:t xml:space="preserve">我单位参与</w:t>
      </w:r>
      <w:r>
        <w:rPr>
          <w:rFonts w:hint="eastAsia" w:ascii="宋体" w:hAnsi="宋体"/>
          <w:sz w:val="28"/>
          <w:szCs w:val="28"/>
          <w:u w:val="single"/>
        </w:rPr>
        <w:t xml:space="preserve">  （项目名称）  （项目编号：    ）</w:t>
      </w:r>
      <w:r>
        <w:rPr>
          <w:rFonts w:hint="eastAsia" w:ascii="宋体" w:hAnsi="宋体"/>
          <w:sz w:val="28"/>
          <w:szCs w:val="28"/>
        </w:rPr>
        <w:t xml:space="preserve">项目的政府采购活动，现承诺如下：</w:t>
      </w:r>
      <w:bookmarkEnd w:id="277"/>
      <w:r/>
      <w:r/>
    </w:p>
    <w:p>
      <w:pPr>
        <w:ind w:firstLine="560"/>
        <w:rPr>
          <w:rFonts w:ascii="宋体" w:hAnsi="宋体"/>
          <w:sz w:val="28"/>
          <w:szCs w:val="28"/>
        </w:rPr>
      </w:pPr>
      <w:r/>
      <w:bookmarkStart w:id="278" w:name="_Toc203554771"/>
      <w:r>
        <w:rPr>
          <w:rFonts w:hint="eastAsia" w:ascii="宋体" w:hAnsi="宋体"/>
          <w:sz w:val="28"/>
          <w:szCs w:val="28"/>
        </w:rPr>
        <w:t xml:space="preserve">1.我方具有良好的商业信誉和健全的财务会计制度。</w:t>
      </w:r>
      <w:bookmarkEnd w:id="278"/>
      <w:r/>
      <w:r/>
    </w:p>
    <w:p>
      <w:pPr>
        <w:ind w:firstLine="560"/>
        <w:rPr>
          <w:rFonts w:ascii="宋体" w:hAnsi="宋体"/>
          <w:sz w:val="28"/>
          <w:szCs w:val="28"/>
        </w:rPr>
      </w:pPr>
      <w:r/>
      <w:bookmarkStart w:id="279" w:name="_Toc203554772"/>
      <w:r>
        <w:rPr>
          <w:rFonts w:hint="eastAsia" w:ascii="宋体" w:hAnsi="宋体"/>
          <w:sz w:val="28"/>
          <w:szCs w:val="28"/>
        </w:rPr>
        <w:t xml:space="preserve">2.我方具有履行合同所必需的设备和专业技术能力。</w:t>
      </w:r>
      <w:bookmarkEnd w:id="279"/>
      <w:r/>
      <w:r/>
    </w:p>
    <w:p>
      <w:pPr>
        <w:ind w:firstLine="560"/>
        <w:rPr>
          <w:rFonts w:ascii="宋体" w:hAnsi="宋体"/>
          <w:sz w:val="28"/>
          <w:szCs w:val="28"/>
        </w:rPr>
      </w:pPr>
      <w:r/>
      <w:bookmarkStart w:id="280" w:name="_Toc203554773"/>
      <w:r>
        <w:rPr>
          <w:rFonts w:hint="eastAsia" w:ascii="宋体" w:hAnsi="宋体"/>
          <w:sz w:val="28"/>
          <w:szCs w:val="28"/>
        </w:rPr>
        <w:t xml:space="preserve">3.我方具有依法缴纳税收和社会保障资金的良好记录。</w:t>
      </w:r>
      <w:bookmarkEnd w:id="280"/>
      <w:r/>
      <w:r/>
    </w:p>
    <w:p>
      <w:pPr>
        <w:ind w:firstLine="560"/>
        <w:rPr>
          <w:rFonts w:ascii="宋体" w:hAnsi="宋体"/>
          <w:sz w:val="28"/>
          <w:szCs w:val="28"/>
        </w:rPr>
      </w:pPr>
      <w:r/>
      <w:bookmarkStart w:id="281" w:name="_Toc203554774"/>
      <w:r>
        <w:rPr>
          <w:rFonts w:hint="eastAsia" w:ascii="宋体" w:hAnsi="宋体"/>
          <w:sz w:val="28"/>
          <w:szCs w:val="28"/>
        </w:rPr>
        <w:t xml:space="preserve">4.我方参加本项目采购活动前三年内，在经营活动中没有重大违法记录。</w:t>
      </w:r>
      <w:bookmarkEnd w:id="281"/>
      <w:r/>
      <w:r/>
    </w:p>
    <w:p>
      <w:pPr>
        <w:ind w:firstLine="560"/>
        <w:rPr>
          <w:rFonts w:ascii="宋体" w:hAnsi="宋体"/>
          <w:sz w:val="28"/>
          <w:szCs w:val="28"/>
        </w:rPr>
      </w:pPr>
      <w:r/>
      <w:bookmarkStart w:id="282" w:name="_Toc203554775"/>
      <w:r>
        <w:rPr>
          <w:rFonts w:hint="eastAsia" w:ascii="宋体" w:hAnsi="宋体"/>
          <w:sz w:val="28"/>
          <w:szCs w:val="28"/>
        </w:rPr>
        <w:t xml:space="preserve">若我单位承诺不实，自愿承担提供虚假材料谋取中标、成交的法律责任。</w:t>
      </w:r>
      <w:bookmarkEnd w:id="282"/>
      <w:r/>
      <w:r/>
    </w:p>
    <w:p>
      <w:pPr>
        <w:ind w:firstLine="560"/>
        <w:rPr>
          <w:rFonts w:ascii="宋体" w:hAnsi="宋体"/>
          <w:sz w:val="28"/>
          <w:szCs w:val="28"/>
        </w:rPr>
      </w:pPr>
      <w:r/>
      <w:bookmarkStart w:id="283" w:name="_Toc203554776"/>
      <w:r>
        <w:rPr>
          <w:rFonts w:hint="eastAsia" w:ascii="宋体" w:hAnsi="宋体"/>
          <w:sz w:val="28"/>
          <w:szCs w:val="28"/>
        </w:rPr>
        <w:t xml:space="preserve">投标（响应）供应商（全称并盖章）：</w:t>
      </w:r>
      <w:bookmarkEnd w:id="283"/>
      <w:r>
        <w:rPr>
          <w:rFonts w:hint="eastAsia" w:ascii="宋体" w:hAnsi="宋体"/>
          <w:sz w:val="28"/>
          <w:szCs w:val="28"/>
        </w:rPr>
        <w:t xml:space="preserve">         </w:t>
      </w:r>
      <w:r/>
    </w:p>
    <w:p>
      <w:pPr>
        <w:ind w:firstLine="560"/>
        <w:rPr>
          <w:rFonts w:ascii="宋体" w:hAnsi="宋体"/>
          <w:sz w:val="28"/>
          <w:szCs w:val="28"/>
        </w:rPr>
      </w:pPr>
      <w:r/>
      <w:bookmarkStart w:id="284" w:name="_Toc203554777"/>
      <w:r>
        <w:rPr>
          <w:rFonts w:hint="eastAsia" w:ascii="宋体" w:hAnsi="宋体"/>
          <w:sz w:val="28"/>
          <w:szCs w:val="28"/>
        </w:rPr>
        <w:t xml:space="preserve">供应商法定代表人或授权代表（签字或签章）：</w:t>
      </w:r>
      <w:bookmarkEnd w:id="284"/>
      <w:r>
        <w:rPr>
          <w:rFonts w:hint="eastAsia" w:ascii="宋体" w:hAnsi="宋体"/>
          <w:sz w:val="28"/>
          <w:szCs w:val="28"/>
        </w:rPr>
        <w:t xml:space="preserve">    </w:t>
      </w:r>
      <w:r/>
    </w:p>
    <w:p>
      <w:pPr>
        <w:ind w:firstLine="560"/>
        <w:rPr>
          <w:rFonts w:ascii="宋体" w:hAnsi="宋体"/>
          <w:sz w:val="28"/>
          <w:szCs w:val="28"/>
        </w:rPr>
      </w:pPr>
      <w:r/>
      <w:bookmarkStart w:id="285" w:name="_Toc203554778"/>
      <w:r>
        <w:rPr>
          <w:rFonts w:hint="eastAsia" w:ascii="宋体" w:hAnsi="宋体"/>
          <w:sz w:val="28"/>
          <w:szCs w:val="28"/>
        </w:rPr>
        <w:t xml:space="preserve">日期：</w:t>
      </w:r>
      <w:bookmarkEnd w:id="285"/>
      <w:r>
        <w:rPr>
          <w:rFonts w:hint="eastAsia" w:ascii="宋体" w:hAnsi="宋体"/>
          <w:sz w:val="28"/>
          <w:szCs w:val="28"/>
        </w:rPr>
        <w:t xml:space="preserve">     </w:t>
      </w:r>
      <w:r/>
    </w:p>
    <w:p>
      <w:pPr>
        <w:rPr>
          <w:rFonts w:asciiTheme="minorHAnsi" w:hAnsiTheme="minorHAnsi" w:eastAsiaTheme="minorEastAsia"/>
          <w:szCs w:val="22"/>
        </w:rPr>
      </w:pPr>
      <w:r/>
      <w:bookmarkStart w:id="286" w:name="_Toc203554779"/>
      <w:r>
        <w:rPr>
          <w:rFonts w:hint="eastAsia"/>
        </w:rPr>
        <w:t xml:space="preserve">﹍﹍﹍﹍﹍﹍﹍﹍﹍﹍﹍﹍﹍﹍﹍﹍﹍﹍﹍﹍﹍﹍﹍﹍</w:t>
      </w:r>
      <w:bookmarkEnd w:id="286"/>
      <w:r/>
      <w:r/>
    </w:p>
    <w:p>
      <w:pPr>
        <w:ind w:firstLine="420"/>
        <w:spacing w:line="360" w:lineRule="auto"/>
      </w:pPr>
      <w:r/>
      <w:bookmarkStart w:id="287" w:name="_Toc203554780"/>
      <w:r>
        <w:rPr>
          <w:rFonts w:hint="eastAsia"/>
        </w:rPr>
        <w:t xml:space="preserve">说明：</w:t>
      </w:r>
      <w:r>
        <w:t xml:space="preserve">1.</w:t>
      </w:r>
      <w:r>
        <w:rPr>
          <w:rFonts w:hint="eastAsia"/>
        </w:rPr>
        <w:t xml:space="preserve">供应商可自行选择是否提供本承诺函，若不提供本承诺函的，应按采购文件要求提供相应的证明材料。</w:t>
      </w:r>
      <w:bookmarkEnd w:id="287"/>
      <w:r/>
      <w:r/>
    </w:p>
    <w:p>
      <w:pPr>
        <w:ind w:firstLine="420"/>
        <w:spacing w:line="360" w:lineRule="auto"/>
      </w:pPr>
      <w:r/>
      <w:bookmarkStart w:id="288" w:name="_Toc203554781"/>
      <w:r>
        <w:t xml:space="preserve">2.</w:t>
      </w:r>
      <w:r>
        <w:rPr>
          <w:rFonts w:hint="eastAsia"/>
        </w:rPr>
        <w:t xml:space="preserve">供应商可删减承诺事项，删减的承诺事项须按采购文件要求提供相应的证明材料。比如删去本承诺函第</w:t>
      </w:r>
      <w:r>
        <w:t xml:space="preserve">3</w:t>
      </w:r>
      <w:r>
        <w:rPr>
          <w:rFonts w:hint="eastAsia"/>
        </w:rPr>
        <w:t xml:space="preserve">项的，则应按采购文件要求提供依法缴纳税收和社会保障资金的良好记录。</w:t>
      </w:r>
      <w:bookmarkEnd w:id="288"/>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89" w:name="_Toc209020181"/>
      <w:r/>
      <w:bookmarkStart w:id="290" w:name="_Toc203554782"/>
      <w:r>
        <w:rPr>
          <w:rFonts w:hint="eastAsia"/>
        </w:rPr>
        <w:t xml:space="preserve">（七）法律、行政法规规定的其他条件</w:t>
      </w:r>
      <w:bookmarkEnd w:id="289"/>
      <w:r/>
      <w:bookmarkEnd w:id="290"/>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91" w:name="_Toc203554783"/>
      <w:r/>
      <w:bookmarkStart w:id="292" w:name="_Toc209020182"/>
      <w:r>
        <w:rPr>
          <w:rFonts w:hint="eastAsia"/>
        </w:rPr>
        <w:t xml:space="preserve">（八）落实政府采购政策需满足的资格要求</w:t>
      </w:r>
      <w:bookmarkEnd w:id="291"/>
      <w:r/>
      <w:bookmarkEnd w:id="292"/>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293" w:name="_Toc209020183"/>
      <w:r/>
      <w:bookmarkStart w:id="294" w:name="_Toc203554784"/>
      <w:r>
        <w:rPr>
          <w:rFonts w:hint="eastAsia"/>
        </w:rPr>
        <w:t xml:space="preserve">（九）本项目的特定资格要求</w:t>
      </w:r>
      <w:bookmarkEnd w:id="293"/>
      <w:r/>
      <w:bookmarkEnd w:id="294"/>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4"/>
        <w:rPr>
          <w:sz w:val="36"/>
          <w:szCs w:val="36"/>
          <w:u w:val="single"/>
        </w:rPr>
      </w:pPr>
      <w:r/>
      <w:bookmarkStart w:id="295" w:name="_Toc203554785"/>
      <w:r/>
      <w:bookmarkStart w:id="296" w:name="_Toc209020184"/>
      <w:r>
        <w:rPr>
          <w:rFonts w:hint="eastAsia"/>
        </w:rPr>
        <w:t xml:space="preserve">二、法定代表人身份证明书</w:t>
      </w:r>
      <w:bookmarkEnd w:id="295"/>
      <w:r/>
      <w:bookmarkEnd w:id="296"/>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附：法定代表人居民身份证复印件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rPr>
          <w:rFonts w:ascii="宋体" w:hAnsi="宋体"/>
          <w:sz w:val="28"/>
          <w:szCs w:val="28"/>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rPr>
          <w:rFonts w:ascii="宋体" w:hAnsi="宋体"/>
          <w:sz w:val="28"/>
          <w:szCs w:val="28"/>
        </w:rPr>
      </w:pPr>
      <w:r>
        <w:rPr>
          <w:rFonts w:ascii="宋体" w:hAnsi="宋体"/>
          <w:sz w:val="28"/>
          <w:szCs w:val="28"/>
        </w:rPr>
      </w:r>
      <w:r/>
    </w:p>
    <w:p>
      <w:pPr>
        <w:pStyle w:val="824"/>
        <w:rPr>
          <w:sz w:val="15"/>
          <w:szCs w:val="15"/>
        </w:rPr>
      </w:pPr>
      <w:r/>
      <w:bookmarkStart w:id="297" w:name="_Toc203554786"/>
      <w:r/>
      <w:bookmarkStart w:id="298" w:name="_Toc209020185"/>
      <w:r>
        <w:rPr>
          <w:rFonts w:hint="eastAsia"/>
        </w:rPr>
        <w:t xml:space="preserve">三、法定代表人授权委托书</w:t>
      </w:r>
      <w:bookmarkEnd w:id="297"/>
      <w:r/>
      <w:bookmarkEnd w:id="298"/>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4"/>
          <w:u w:val="single"/>
        </w:rPr>
        <w:t xml:space="preserve">×××（投标人名称）</w:t>
      </w:r>
      <w:r>
        <w:rPr>
          <w:rFonts w:hint="eastAsia" w:ascii="宋体" w:hAnsi="宋体" w:cs="宋体"/>
          <w:sz w:val="28"/>
        </w:rPr>
        <w:t xml:space="preserve">法定代表人</w:t>
      </w:r>
      <w:r>
        <w:rPr>
          <w:rFonts w:hint="eastAsia" w:ascii="宋体" w:hAnsi="宋体" w:cs="宋体"/>
          <w:b/>
          <w:sz w:val="24"/>
          <w:u w:val="single"/>
        </w:rPr>
        <w:t xml:space="preserve">×××（姓名） </w:t>
      </w:r>
      <w:r>
        <w:rPr>
          <w:rFonts w:hint="eastAsia" w:ascii="宋体" w:hAnsi="宋体" w:cs="宋体"/>
          <w:sz w:val="28"/>
        </w:rPr>
        <w:t xml:space="preserve">授权</w:t>
      </w:r>
      <w:r>
        <w:rPr>
          <w:rFonts w:hint="eastAsia" w:ascii="宋体" w:hAnsi="宋体" w:cs="宋体"/>
          <w:b/>
          <w:sz w:val="24"/>
          <w:u w:val="single"/>
        </w:rPr>
        <w:t xml:space="preserve">×××（委托代理人的姓名、身份证号）</w:t>
      </w:r>
      <w:r>
        <w:rPr>
          <w:rFonts w:hint="eastAsia" w:ascii="宋体" w:hAnsi="宋体" w:cs="宋体"/>
          <w:sz w:val="28"/>
        </w:rPr>
        <w:t xml:space="preserve">为我方就</w:t>
      </w:r>
      <w:r>
        <w:rPr>
          <w:rFonts w:hint="eastAsia" w:ascii="宋体" w:hAnsi="宋体" w:cs="宋体"/>
          <w:b/>
          <w:sz w:val="24"/>
          <w:u w:val="single"/>
        </w:rPr>
        <w:t xml:space="preserve">××××（代理机构）代理的××××（项目编号）</w:t>
      </w:r>
      <w:r>
        <w:rPr>
          <w:rFonts w:hint="eastAsia" w:ascii="宋体" w:hAnsi="宋体" w:cs="宋体"/>
          <w:bCs/>
          <w:sz w:val="28"/>
        </w:rPr>
        <w:t xml:space="preserve">项目</w:t>
      </w:r>
      <w:r>
        <w:rPr>
          <w:rFonts w:hint="eastAsia" w:ascii="宋体" w:hAnsi="宋体" w:cs="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年    月   </w:t>
      </w:r>
      <w:r>
        <w:rPr>
          <w:rFonts w:hint="eastAsia" w:ascii="宋体" w:hAnsi="宋体" w:cs="宋体"/>
          <w:sz w:val="28"/>
        </w:rPr>
        <w:t xml:space="preserve">日签字生效，特此声明。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color w:val="ff0000"/>
          <w:sz w:val="28"/>
        </w:rPr>
      </w:pPr>
      <w:r>
        <w:rPr>
          <w:rFonts w:ascii="宋体" w:hAnsi="宋体" w:cs="宋体"/>
          <w:color w:val="ff0000"/>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color w:val="ff0000"/>
          <w:sz w:val="28"/>
        </w:rPr>
      </w:pPr>
      <w:r>
        <w:rPr>
          <w:rFonts w:ascii="宋体" w:hAnsi="宋体" w:cs="宋体"/>
          <w:color w:val="ff0000"/>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附：委托代理人居民身份证复印件</w:t>
      </w:r>
      <w:r/>
    </w:p>
    <w:p>
      <w:pPr>
        <w:ind w:firstLine="643"/>
        <w:spacing w:line="360" w:lineRule="auto"/>
        <w:rPr>
          <w:rFonts w:ascii="宋体" w:hAnsi="宋体" w:cs="宋体"/>
          <w:b/>
          <w:sz w:val="24"/>
          <w:szCs w:val="32"/>
          <w:u w:val="single"/>
        </w:rPr>
      </w:pPr>
      <w:r/>
      <w:bookmarkStart w:id="299" w:name="_Toc203554787"/>
      <w:r>
        <w:rPr>
          <w:rFonts w:hint="eastAsia" w:ascii="宋体" w:hAnsi="宋体" w:cs="宋体"/>
          <w:b/>
          <w:sz w:val="24"/>
          <w:szCs w:val="32"/>
          <w:u w:val="single"/>
        </w:rPr>
        <w:t xml:space="preserve">注：“法定代表人”授权其他人（必须为投标人正式员工，证明材料：近半年内至少一个月社会保险缴纳材料附后）投标的，须填写法定代表人身份证明书和本委托书。</w:t>
      </w:r>
      <w:bookmarkEnd w:id="299"/>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4"/>
        <w:rPr>
          <w:sz w:val="40"/>
        </w:rPr>
      </w:pPr>
      <w:r/>
      <w:bookmarkStart w:id="300" w:name="_Toc209020186"/>
      <w:r/>
      <w:bookmarkStart w:id="301" w:name="_Toc203554788"/>
      <w:r/>
      <w:bookmarkStart w:id="302" w:name="_Toc209016747"/>
      <w:r>
        <w:rPr>
          <w:rFonts w:hint="eastAsia" w:eastAsiaTheme="minorEastAsia"/>
        </w:rPr>
        <w:t xml:space="preserve">四、价格部分</w:t>
      </w:r>
      <w:bookmarkEnd w:id="300"/>
      <w:r/>
      <w:bookmarkEnd w:id="301"/>
      <w:r/>
      <w:bookmarkEnd w:id="302"/>
      <w:r/>
      <w:r/>
    </w:p>
    <w:p>
      <w:pPr>
        <w:jc w:val="center"/>
        <w:rPr>
          <w:rFonts w:ascii="宋体" w:hAnsi="宋体" w:cs="宋体"/>
          <w:b/>
          <w:sz w:val="48"/>
          <w:szCs w:val="44"/>
        </w:rPr>
      </w:pPr>
      <w:r/>
      <w:bookmarkStart w:id="303" w:name="_Toc203554789"/>
      <w:r>
        <w:rPr>
          <w:rFonts w:hint="eastAsia" w:ascii="宋体" w:hAnsi="宋体" w:cs="宋体"/>
          <w:b/>
          <w:sz w:val="48"/>
          <w:szCs w:val="44"/>
        </w:rPr>
        <w:t xml:space="preserve">开标一览表</w:t>
      </w:r>
      <w:bookmarkEnd w:id="303"/>
      <w:r/>
      <w:r/>
    </w:p>
    <w:p>
      <w:pPr>
        <w:ind w:firstLine="480"/>
        <w:jc w:val="left"/>
        <w:rPr>
          <w:rFonts w:ascii="宋体" w:hAnsi="宋体" w:cs="宋体"/>
          <w:sz w:val="24"/>
        </w:rPr>
      </w:pPr>
      <w:r>
        <w:rPr>
          <w:rFonts w:hint="eastAsia" w:ascii="宋体" w:hAnsi="宋体" w:cs="宋体"/>
          <w:sz w:val="24"/>
        </w:rPr>
        <w:t xml:space="preserve">项目编号： </w:t>
      </w:r>
      <w:r/>
    </w:p>
    <w:p>
      <w:pPr>
        <w:pStyle w:val="832"/>
        <w:ind w:firstLine="480"/>
        <w:spacing w:line="360" w:lineRule="auto"/>
        <w:rPr>
          <w:rFonts w:ascii="宋体" w:hAnsi="宋体" w:eastAsia="宋体" w:cs="宋体"/>
          <w:sz w:val="24"/>
          <w:u w:val="single"/>
        </w:rPr>
      </w:pPr>
      <w:r>
        <w:rPr>
          <w:rFonts w:hint="eastAsia" w:ascii="宋体" w:hAnsi="宋体" w:eastAsia="宋体" w:cs="宋体"/>
          <w:sz w:val="24"/>
        </w:rPr>
        <w:t xml:space="preserve">投标人名称（公章）：                            货币单位：人民币元</w:t>
      </w:r>
      <w:r/>
    </w:p>
    <w:tbl>
      <w:tblPr>
        <w:tblStyle w:val="828"/>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271"/>
        <w:gridCol w:w="2301"/>
        <w:gridCol w:w="3349"/>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38"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89"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638"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38"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 </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89"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详见投标文件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638"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38"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6157" w:type="dxa"/>
            <w:vAlign w:val="center"/>
            <w:textDirection w:val="lrTb"/>
            <w:noWrap w:val="false"/>
          </w:tcPr>
          <w:p>
            <w:pPr>
              <w:pStyle w:val="832"/>
              <w:ind w:firstLine="480"/>
              <w:spacing w:line="360" w:lineRule="auto"/>
              <w:rPr>
                <w:rFonts w:ascii="宋体" w:hAnsi="宋体" w:eastAsia="宋体" w:cs="宋体"/>
                <w:sz w:val="24"/>
              </w:rPr>
            </w:pPr>
            <w:r>
              <w:rPr>
                <w:rFonts w:hint="eastAsia" w:ascii="宋体" w:hAnsi="宋体" w:eastAsia="宋体" w:cs="宋体"/>
                <w:sz w:val="24"/>
              </w:rPr>
              <w:t xml:space="preserve">金额大写 </w:t>
            </w:r>
            <w:r/>
          </w:p>
        </w:tc>
      </w:tr>
    </w:tbl>
    <w:p>
      <w:pPr>
        <w:pStyle w:val="832"/>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 xml:space="preserve">1.“项目总报价”包括本次招标要求提供的货物（服务）已支付或将支付的所有费用；</w:t>
      </w:r>
      <w:r/>
    </w:p>
    <w:p>
      <w:pPr>
        <w:pStyle w:val="832"/>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32"/>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32"/>
        <w:ind w:firstLine="480"/>
        <w:jc w:val="center"/>
        <w:spacing w:line="360" w:lineRule="auto"/>
        <w:rPr>
          <w:rFonts w:ascii="宋体" w:hAnsi="宋体" w:eastAsia="宋体" w:cs="宋体"/>
        </w:rPr>
      </w:pPr>
      <w:r>
        <w:rPr>
          <w:rFonts w:ascii="宋体" w:hAnsi="宋体" w:eastAsia="宋体" w:cs="宋体"/>
        </w:rPr>
      </w:r>
      <w:r/>
    </w:p>
    <w:p>
      <w:pPr>
        <w:pStyle w:val="832"/>
        <w:ind w:firstLine="480"/>
        <w:jc w:val="center"/>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投标人盖章（公章）：</w:t>
      </w:r>
      <w:r/>
    </w:p>
    <w:p>
      <w:pPr>
        <w:jc w:val="left"/>
        <w:rPr>
          <w:rFonts w:asciiTheme="minorHAnsi" w:hAnsiTheme="minorHAnsi" w:eastAsiaTheme="minorEastAsia" w:cstheme="minorBidi"/>
          <w:color w:val="auto"/>
          <w:sz w:val="40"/>
          <w:szCs w:val="44"/>
        </w:rPr>
      </w:pPr>
      <w:r>
        <w:rPr>
          <w:rFonts w:hint="eastAsia" w:ascii="宋体" w:hAnsi="宋体" w:cs="宋体"/>
          <w:color w:val="auto"/>
          <w:sz w:val="24"/>
        </w:rPr>
        <w:t xml:space="preserve">法定代表人签字或盖章：</w:t>
      </w:r>
      <w:r>
        <w:rPr>
          <w:rFonts w:hint="eastAsia" w:ascii="宋体" w:hAnsi="宋体" w:cs="宋体"/>
          <w:b/>
          <w:color w:val="auto"/>
          <w:sz w:val="24"/>
          <w:u w:val="single"/>
        </w:rPr>
        <w:t xml:space="preserve">××××</w:t>
      </w:r>
      <w:r>
        <w:rPr>
          <w:rFonts w:hint="eastAsia" w:ascii="宋体" w:hAnsi="宋体" w:cs="宋体"/>
          <w:color w:val="auto"/>
          <w:sz w:val="24"/>
        </w:rPr>
        <w:t xml:space="preserve">日期：</w:t>
      </w:r>
      <w:r>
        <w:rPr>
          <w:rFonts w:hint="eastAsia" w:ascii="宋体" w:hAnsi="宋体" w:cs="宋体"/>
          <w:b/>
          <w:color w:val="auto"/>
          <w:sz w:val="24"/>
          <w:u w:val="single"/>
        </w:rPr>
        <w:t xml:space="preserve">××××</w:t>
      </w:r>
      <w:r>
        <w:rPr>
          <w:rFonts w:hint="eastAsia" w:ascii="宋体" w:hAnsi="宋体" w:cs="宋体"/>
          <w:color w:val="auto"/>
          <w:sz w:val="24"/>
        </w:rPr>
        <w:t xml:space="preserve">年</w:t>
      </w:r>
      <w:r>
        <w:rPr>
          <w:rFonts w:hint="eastAsia" w:ascii="宋体" w:hAnsi="宋体" w:cs="宋体"/>
          <w:b/>
          <w:color w:val="auto"/>
          <w:sz w:val="24"/>
          <w:u w:val="single"/>
        </w:rPr>
        <w:t xml:space="preserve">××</w:t>
      </w:r>
      <w:r>
        <w:rPr>
          <w:rFonts w:hint="eastAsia" w:ascii="宋体" w:hAnsi="宋体" w:cs="宋体"/>
          <w:color w:val="auto"/>
          <w:sz w:val="24"/>
        </w:rPr>
        <w:t xml:space="preserve">月</w:t>
      </w:r>
      <w:r>
        <w:rPr>
          <w:rFonts w:hint="eastAsia" w:ascii="宋体" w:hAnsi="宋体" w:cs="宋体"/>
          <w:b/>
          <w:color w:val="auto"/>
          <w:sz w:val="24"/>
          <w:u w:val="single"/>
        </w:rPr>
        <w:t xml:space="preserve">××</w:t>
      </w:r>
      <w:r>
        <w:rPr>
          <w:rFonts w:hint="eastAsia" w:ascii="宋体" w:hAnsi="宋体" w:cs="宋体"/>
          <w:color w:val="auto"/>
          <w:sz w:val="24"/>
        </w:rPr>
        <w:t xml:space="preserve">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bookmarkStart w:id="333" w:name="_GoBack"/>
      <w:r/>
      <w:bookmarkEnd w:id="333"/>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center"/>
        <w:spacing w:before="100" w:beforeAutospacing="1" w:line="360" w:lineRule="auto"/>
        <w:tabs>
          <w:tab w:val="left" w:pos="764" w:leader="none"/>
        </w:tabs>
        <w:rPr>
          <w:rFonts w:ascii="宋体" w:hAnsi="宋体" w:cs="宋体"/>
          <w:b/>
          <w:sz w:val="30"/>
          <w:szCs w:val="30"/>
        </w:rPr>
        <w:outlineLvl w:val="1"/>
      </w:pPr>
      <w:r/>
      <w:bookmarkStart w:id="304" w:name="_Toc209020187"/>
      <w:r/>
      <w:bookmarkStart w:id="305" w:name="_Toc203554790"/>
      <w:r>
        <w:rPr>
          <w:rFonts w:hint="eastAsia" w:ascii="宋体" w:hAnsi="宋体" w:cs="宋体"/>
          <w:b/>
          <w:bCs w:val="0"/>
          <w:sz w:val="30"/>
          <w:szCs w:val="30"/>
        </w:rPr>
        <w:t xml:space="preserve">明细报价表</w:t>
      </w:r>
      <w:bookmarkEnd w:id="304"/>
      <w:r/>
      <w:bookmarkEnd w:id="305"/>
      <w:r/>
      <w:r/>
    </w:p>
    <w:tbl>
      <w:tblPr>
        <w:tblStyle w:val="8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486"/>
        <w:gridCol w:w="851"/>
        <w:gridCol w:w="1074"/>
        <w:gridCol w:w="1218"/>
        <w:gridCol w:w="826"/>
        <w:gridCol w:w="1610"/>
      </w:tblGrid>
      <w:tr>
        <w:trPr/>
        <w:tc>
          <w:tcPr>
            <w:tcW w:w="457" w:type="dxa"/>
            <w:textDirection w:val="lrTb"/>
            <w:noWrap w:val="false"/>
          </w:tcPr>
          <w:p>
            <w:pPr>
              <w:rPr>
                <w:rFonts w:ascii="宋体" w:hAnsi="宋体" w:cs="宋体"/>
                <w:b/>
                <w:sz w:val="22"/>
              </w:rPr>
            </w:pPr>
            <w:r>
              <w:rPr>
                <w:rFonts w:hint="eastAsia" w:ascii="宋体" w:hAnsi="宋体" w:cs="宋体"/>
                <w:b/>
                <w:sz w:val="22"/>
              </w:rPr>
              <w:t xml:space="preserve">序号</w:t>
            </w:r>
            <w:r/>
          </w:p>
        </w:tc>
        <w:tc>
          <w:tcPr>
            <w:tcW w:w="2486" w:type="dxa"/>
            <w:textDirection w:val="lrTb"/>
            <w:noWrap w:val="false"/>
          </w:tcPr>
          <w:p>
            <w:pPr>
              <w:rPr>
                <w:rFonts w:ascii="宋体" w:hAnsi="宋体" w:cs="宋体"/>
                <w:b/>
                <w:sz w:val="22"/>
              </w:rPr>
            </w:pPr>
            <w:r>
              <w:rPr>
                <w:rFonts w:hint="eastAsia" w:ascii="宋体" w:hAnsi="宋体" w:cs="宋体"/>
                <w:b/>
                <w:sz w:val="22"/>
              </w:rPr>
              <w:t xml:space="preserve">分项名称</w:t>
            </w:r>
            <w:r/>
          </w:p>
        </w:tc>
        <w:tc>
          <w:tcPr>
            <w:tcW w:w="851" w:type="dxa"/>
            <w:textDirection w:val="lrTb"/>
            <w:noWrap w:val="false"/>
          </w:tcPr>
          <w:p>
            <w:pPr>
              <w:rPr>
                <w:rFonts w:ascii="宋体" w:hAnsi="宋体" w:cs="宋体"/>
                <w:b/>
                <w:sz w:val="22"/>
              </w:rPr>
            </w:pPr>
            <w:r>
              <w:rPr>
                <w:rFonts w:hint="eastAsia" w:ascii="宋体" w:hAnsi="宋体" w:cs="宋体"/>
                <w:b/>
                <w:sz w:val="22"/>
              </w:rPr>
              <w:t xml:space="preserve">人数</w:t>
            </w:r>
            <w:r/>
          </w:p>
        </w:tc>
        <w:tc>
          <w:tcPr>
            <w:tcW w:w="1074" w:type="dxa"/>
            <w:textDirection w:val="lrTb"/>
            <w:noWrap w:val="false"/>
          </w:tcPr>
          <w:p>
            <w:pPr>
              <w:rPr>
                <w:rFonts w:ascii="宋体" w:hAnsi="宋体" w:cs="宋体"/>
                <w:b/>
                <w:sz w:val="22"/>
              </w:rPr>
            </w:pPr>
            <w:r>
              <w:rPr>
                <w:rFonts w:hint="eastAsia" w:ascii="宋体" w:hAnsi="宋体" w:cs="宋体"/>
                <w:b/>
                <w:sz w:val="22"/>
              </w:rPr>
              <w:t xml:space="preserve">单价(月费用</w:t>
            </w:r>
            <w:r/>
          </w:p>
        </w:tc>
        <w:tc>
          <w:tcPr>
            <w:tcW w:w="1218" w:type="dxa"/>
            <w:textDirection w:val="lrTb"/>
            <w:noWrap w:val="false"/>
          </w:tcPr>
          <w:p>
            <w:pPr>
              <w:rPr>
                <w:rFonts w:ascii="宋体" w:hAnsi="宋体" w:cs="宋体"/>
                <w:b/>
                <w:sz w:val="22"/>
              </w:rPr>
            </w:pPr>
            <w:r>
              <w:rPr>
                <w:rFonts w:hint="eastAsia" w:ascii="宋体" w:hAnsi="宋体" w:cs="宋体"/>
                <w:b/>
                <w:sz w:val="22"/>
              </w:rPr>
              <w:t xml:space="preserve">总价(年费用</w:t>
            </w:r>
            <w:r/>
          </w:p>
        </w:tc>
        <w:tc>
          <w:tcPr>
            <w:tcW w:w="826" w:type="dxa"/>
            <w:textDirection w:val="lrTb"/>
            <w:noWrap w:val="false"/>
          </w:tcPr>
          <w:p>
            <w:pPr>
              <w:rPr>
                <w:rFonts w:ascii="宋体" w:hAnsi="宋体" w:cs="宋体"/>
                <w:b/>
                <w:sz w:val="22"/>
              </w:rPr>
            </w:pPr>
            <w:r>
              <w:rPr>
                <w:rFonts w:hint="eastAsia" w:ascii="宋体" w:hAnsi="宋体" w:cs="宋体"/>
                <w:b/>
                <w:sz w:val="22"/>
              </w:rPr>
              <w:t xml:space="preserve">计算依据</w:t>
            </w:r>
            <w:r/>
          </w:p>
        </w:tc>
        <w:tc>
          <w:tcPr>
            <w:tcW w:w="1610" w:type="dxa"/>
            <w:textDirection w:val="lrTb"/>
            <w:noWrap w:val="false"/>
          </w:tcPr>
          <w:p>
            <w:pPr>
              <w:rPr>
                <w:rFonts w:ascii="宋体" w:hAnsi="宋体" w:cs="宋体"/>
                <w:b/>
                <w:sz w:val="22"/>
              </w:rPr>
            </w:pPr>
            <w:r>
              <w:rPr>
                <w:rFonts w:hint="eastAsia" w:ascii="宋体" w:hAnsi="宋体" w:cs="宋体"/>
                <w:b/>
                <w:sz w:val="22"/>
              </w:rPr>
              <w:t xml:space="preserve">备注</w:t>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1</w:t>
            </w:r>
            <w:r/>
          </w:p>
        </w:tc>
        <w:tc>
          <w:tcPr>
            <w:tcW w:w="2486" w:type="dxa"/>
            <w:textDirection w:val="lrTb"/>
            <w:noWrap w:val="false"/>
          </w:tcPr>
          <w:p>
            <w:pPr>
              <w:rPr>
                <w:rFonts w:ascii="宋体" w:hAnsi="宋体" w:cs="宋体"/>
                <w:sz w:val="22"/>
              </w:rPr>
            </w:pPr>
            <w:r>
              <w:rPr>
                <w:rFonts w:hint="eastAsia" w:ascii="宋体" w:hAnsi="宋体" w:cs="宋体"/>
                <w:sz w:val="22"/>
              </w:rPr>
              <w:t xml:space="preserve">人员费用</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hint="eastAsia" w:ascii="宋体" w:hAnsi="宋体" w:cs="宋体"/>
                <w:sz w:val="22"/>
              </w:rPr>
              <w:t xml:space="preserve">包括工资、社保、高温费、加班工资等所有费用;列明岗位，并根据不同岗位测算人员费用</w:t>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2</w:t>
            </w:r>
            <w:r/>
          </w:p>
        </w:tc>
        <w:tc>
          <w:tcPr>
            <w:tcW w:w="2486" w:type="dxa"/>
            <w:textDirection w:val="lrTb"/>
            <w:noWrap w:val="false"/>
          </w:tcPr>
          <w:p>
            <w:pPr>
              <w:rPr>
                <w:rFonts w:ascii="宋体" w:hAnsi="宋体" w:cs="宋体"/>
                <w:sz w:val="22"/>
              </w:rPr>
            </w:pPr>
            <w:r>
              <w:rPr>
                <w:rFonts w:hint="eastAsia" w:ascii="宋体" w:hAnsi="宋体" w:cs="宋体"/>
                <w:sz w:val="22"/>
              </w:rPr>
              <w:t xml:space="preserve">机械、工具、设备及安</w:t>
            </w:r>
            <w:r/>
          </w:p>
          <w:p>
            <w:pPr>
              <w:rPr>
                <w:rFonts w:ascii="宋体" w:hAnsi="宋体" w:cs="宋体"/>
                <w:sz w:val="22"/>
              </w:rPr>
            </w:pPr>
            <w:r>
              <w:rPr>
                <w:rFonts w:hint="eastAsia" w:ascii="宋体" w:hAnsi="宋体" w:cs="宋体"/>
                <w:sz w:val="22"/>
              </w:rPr>
              <w:t xml:space="preserve">全防护用品费用</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3</w:t>
            </w:r>
            <w:r/>
          </w:p>
        </w:tc>
        <w:tc>
          <w:tcPr>
            <w:tcW w:w="2486" w:type="dxa"/>
            <w:textDirection w:val="lrTb"/>
            <w:noWrap w:val="false"/>
          </w:tcPr>
          <w:p>
            <w:pPr>
              <w:rPr>
                <w:rFonts w:ascii="宋体" w:hAnsi="宋体" w:cs="宋体"/>
                <w:sz w:val="22"/>
              </w:rPr>
            </w:pPr>
            <w:r>
              <w:rPr>
                <w:rFonts w:hint="eastAsia" w:ascii="宋体" w:hAnsi="宋体" w:cs="宋体"/>
                <w:sz w:val="22"/>
              </w:rPr>
              <w:t xml:space="preserve">养护用劳动用品、用具、</w:t>
            </w:r>
            <w:r/>
          </w:p>
          <w:p>
            <w:pPr>
              <w:rPr>
                <w:rFonts w:ascii="宋体" w:hAnsi="宋体" w:cs="宋体"/>
                <w:sz w:val="22"/>
              </w:rPr>
            </w:pPr>
            <w:r>
              <w:rPr>
                <w:rFonts w:hint="eastAsia" w:ascii="宋体" w:hAnsi="宋体" w:cs="宋体"/>
                <w:sz w:val="22"/>
              </w:rPr>
              <w:t xml:space="preserve">耗材等费用</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4</w:t>
            </w:r>
            <w:r/>
          </w:p>
        </w:tc>
        <w:tc>
          <w:tcPr>
            <w:tcW w:w="2486" w:type="dxa"/>
            <w:textDirection w:val="lrTb"/>
            <w:noWrap w:val="false"/>
          </w:tcPr>
          <w:p>
            <w:pPr>
              <w:rPr>
                <w:rFonts w:ascii="宋体" w:hAnsi="宋体" w:cs="宋体"/>
                <w:sz w:val="22"/>
              </w:rPr>
            </w:pPr>
            <w:r>
              <w:rPr>
                <w:rFonts w:hint="eastAsia" w:ascii="宋体" w:hAnsi="宋体" w:cs="宋体"/>
                <w:sz w:val="22"/>
              </w:rPr>
              <w:t xml:space="preserve">固定资产折旧费及服</w:t>
            </w:r>
            <w:r/>
          </w:p>
          <w:p>
            <w:pPr>
              <w:rPr>
                <w:rFonts w:ascii="宋体" w:hAnsi="宋体" w:cs="宋体"/>
                <w:sz w:val="22"/>
              </w:rPr>
            </w:pPr>
            <w:r>
              <w:rPr>
                <w:rFonts w:hint="eastAsia" w:ascii="宋体" w:hAnsi="宋体" w:cs="宋体"/>
                <w:sz w:val="22"/>
              </w:rPr>
              <w:t xml:space="preserve">务中损坏物赔偿费用</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5</w:t>
            </w:r>
            <w:r/>
          </w:p>
        </w:tc>
        <w:tc>
          <w:tcPr>
            <w:tcW w:w="2486" w:type="dxa"/>
            <w:textDirection w:val="lrTb"/>
            <w:noWrap w:val="false"/>
          </w:tcPr>
          <w:p>
            <w:pPr>
              <w:rPr>
                <w:rFonts w:ascii="宋体" w:hAnsi="宋体" w:cs="宋体"/>
                <w:sz w:val="22"/>
              </w:rPr>
            </w:pPr>
            <w:r>
              <w:rPr>
                <w:rFonts w:hint="eastAsia" w:ascii="宋体" w:hAnsi="宋体" w:cs="宋体"/>
                <w:sz w:val="22"/>
              </w:rPr>
              <w:t xml:space="preserve">管理、服装、培训等会</w:t>
            </w:r>
            <w:r/>
          </w:p>
          <w:p>
            <w:pPr>
              <w:rPr>
                <w:rFonts w:ascii="宋体" w:hAnsi="宋体" w:cs="宋体"/>
                <w:sz w:val="22"/>
              </w:rPr>
            </w:pPr>
            <w:r>
              <w:rPr>
                <w:rFonts w:hint="eastAsia" w:ascii="宋体" w:hAnsi="宋体" w:cs="宋体"/>
                <w:sz w:val="22"/>
              </w:rPr>
              <w:t xml:space="preserve">费用</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6</w:t>
            </w:r>
            <w:r/>
          </w:p>
        </w:tc>
        <w:tc>
          <w:tcPr>
            <w:tcW w:w="2486" w:type="dxa"/>
            <w:textDirection w:val="lrTb"/>
            <w:noWrap w:val="false"/>
          </w:tcPr>
          <w:p>
            <w:pPr>
              <w:rPr>
                <w:rFonts w:ascii="宋体" w:hAnsi="宋体" w:cs="宋体"/>
                <w:sz w:val="22"/>
              </w:rPr>
            </w:pPr>
            <w:r>
              <w:rPr>
                <w:rFonts w:hint="eastAsia" w:ascii="宋体" w:hAnsi="宋体" w:cs="宋体"/>
                <w:sz w:val="22"/>
              </w:rPr>
              <w:t xml:space="preserve">税金</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7</w:t>
            </w:r>
            <w:r/>
          </w:p>
        </w:tc>
        <w:tc>
          <w:tcPr>
            <w:tcW w:w="2486" w:type="dxa"/>
            <w:textDirection w:val="lrTb"/>
            <w:noWrap w:val="false"/>
          </w:tcPr>
          <w:p>
            <w:pPr>
              <w:rPr>
                <w:rFonts w:ascii="宋体" w:hAnsi="宋体" w:cs="宋体"/>
                <w:sz w:val="22"/>
              </w:rPr>
            </w:pPr>
            <w:r>
              <w:rPr>
                <w:rFonts w:hint="eastAsia" w:ascii="宋体" w:hAnsi="宋体" w:cs="宋体"/>
                <w:sz w:val="22"/>
              </w:rPr>
              <w:t xml:space="preserve">利润</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tcW w:w="457" w:type="dxa"/>
            <w:textDirection w:val="lrTb"/>
            <w:noWrap w:val="false"/>
          </w:tcPr>
          <w:p>
            <w:pPr>
              <w:rPr>
                <w:rFonts w:ascii="宋体" w:hAnsi="宋体" w:cs="宋体"/>
                <w:sz w:val="22"/>
              </w:rPr>
            </w:pPr>
            <w:r>
              <w:rPr>
                <w:rFonts w:hint="eastAsia" w:ascii="宋体" w:hAnsi="宋体" w:cs="宋体"/>
                <w:sz w:val="22"/>
              </w:rPr>
              <w:t xml:space="preserve">8</w:t>
            </w:r>
            <w:r/>
          </w:p>
        </w:tc>
        <w:tc>
          <w:tcPr>
            <w:tcW w:w="2486" w:type="dxa"/>
            <w:textDirection w:val="lrTb"/>
            <w:noWrap w:val="false"/>
          </w:tcPr>
          <w:p>
            <w:pPr>
              <w:rPr>
                <w:rFonts w:ascii="宋体" w:hAnsi="宋体" w:cs="宋体"/>
                <w:sz w:val="22"/>
              </w:rPr>
            </w:pPr>
            <w:r>
              <w:rPr>
                <w:rFonts w:hint="eastAsia" w:ascii="宋体" w:hAnsi="宋体" w:cs="宋体"/>
                <w:sz w:val="22"/>
              </w:rPr>
              <w:t xml:space="preserve">其他</w:t>
            </w:r>
            <w:r/>
          </w:p>
        </w:tc>
        <w:tc>
          <w:tcPr>
            <w:tcW w:w="851" w:type="dxa"/>
            <w:textDirection w:val="lrTb"/>
            <w:noWrap w:val="false"/>
          </w:tcPr>
          <w:p>
            <w:pPr>
              <w:rPr>
                <w:rFonts w:ascii="宋体" w:hAnsi="宋体" w:cs="宋体"/>
                <w:sz w:val="22"/>
              </w:rPr>
            </w:pPr>
            <w:r>
              <w:rPr>
                <w:rFonts w:ascii="宋体" w:hAnsi="宋体" w:cs="宋体"/>
                <w:sz w:val="22"/>
              </w:rPr>
            </w:r>
            <w:r/>
          </w:p>
        </w:tc>
        <w:tc>
          <w:tcPr>
            <w:tcW w:w="1074" w:type="dxa"/>
            <w:textDirection w:val="lrTb"/>
            <w:noWrap w:val="false"/>
          </w:tcPr>
          <w:p>
            <w:pPr>
              <w:rPr>
                <w:rFonts w:ascii="宋体" w:hAnsi="宋体" w:cs="宋体"/>
                <w:sz w:val="22"/>
              </w:rPr>
            </w:pPr>
            <w:r>
              <w:rPr>
                <w:rFonts w:ascii="宋体" w:hAnsi="宋体" w:cs="宋体"/>
                <w:sz w:val="22"/>
              </w:rPr>
            </w:r>
            <w:r/>
          </w:p>
        </w:tc>
        <w:tc>
          <w:tcPr>
            <w:tcW w:w="1218" w:type="dxa"/>
            <w:textDirection w:val="lrTb"/>
            <w:noWrap w:val="false"/>
          </w:tcPr>
          <w:p>
            <w:pPr>
              <w:rPr>
                <w:rFonts w:ascii="宋体" w:hAnsi="宋体" w:cs="宋体"/>
                <w:sz w:val="22"/>
              </w:rPr>
            </w:pPr>
            <w:r>
              <w:rPr>
                <w:rFonts w:ascii="宋体" w:hAnsi="宋体" w:cs="宋体"/>
                <w:sz w:val="22"/>
              </w:rPr>
            </w:r>
            <w:r/>
          </w:p>
        </w:tc>
        <w:tc>
          <w:tcPr>
            <w:tcW w:w="826" w:type="dxa"/>
            <w:textDirection w:val="lrTb"/>
            <w:noWrap w:val="false"/>
          </w:tcPr>
          <w:p>
            <w:pPr>
              <w:rPr>
                <w:rFonts w:ascii="宋体" w:hAnsi="宋体" w:cs="宋体"/>
                <w:sz w:val="22"/>
              </w:rPr>
            </w:pPr>
            <w:r>
              <w:rPr>
                <w:rFonts w:ascii="宋体" w:hAnsi="宋体" w:cs="宋体"/>
                <w:sz w:val="22"/>
              </w:rPr>
            </w:r>
            <w:r/>
          </w:p>
        </w:tc>
        <w:tc>
          <w:tcPr>
            <w:tcW w:w="1610" w:type="dxa"/>
            <w:textDirection w:val="lrTb"/>
            <w:noWrap w:val="false"/>
          </w:tcPr>
          <w:p>
            <w:pPr>
              <w:rPr>
                <w:rFonts w:ascii="宋体" w:hAnsi="宋体" w:cs="宋体"/>
                <w:sz w:val="22"/>
              </w:rPr>
            </w:pPr>
            <w:r>
              <w:rPr>
                <w:rFonts w:ascii="宋体" w:hAnsi="宋体" w:cs="宋体"/>
                <w:sz w:val="22"/>
              </w:rPr>
            </w:r>
            <w:r/>
          </w:p>
        </w:tc>
      </w:tr>
      <w:tr>
        <w:trPr/>
        <w:tc>
          <w:tcPr>
            <w:gridSpan w:val="7"/>
            <w:tcW w:w="8522" w:type="dxa"/>
            <w:textDirection w:val="lrTb"/>
            <w:noWrap w:val="false"/>
          </w:tcPr>
          <w:p>
            <w:pPr>
              <w:rPr>
                <w:rFonts w:ascii="宋体" w:hAnsi="宋体" w:cs="宋体"/>
                <w:sz w:val="22"/>
              </w:rPr>
            </w:pPr>
            <w:r>
              <w:rPr>
                <w:rFonts w:hint="eastAsia" w:ascii="宋体" w:hAnsi="宋体" w:cs="宋体"/>
                <w:sz w:val="22"/>
              </w:rPr>
              <w:t xml:space="preserve">合计金额:                     元/年</w:t>
            </w:r>
            <w:r/>
          </w:p>
        </w:tc>
      </w:tr>
    </w:tbl>
    <w:p>
      <w:pPr>
        <w:spacing w:line="360" w:lineRule="auto"/>
        <w:rPr>
          <w:rFonts w:ascii="宋体" w:hAnsi="宋体" w:cs="宋体"/>
          <w:b/>
          <w:sz w:val="24"/>
          <w:highlight w:val="yellow"/>
        </w:rPr>
      </w:pPr>
      <w:r>
        <w:rPr>
          <w:rFonts w:ascii="宋体" w:hAnsi="宋体" w:cs="宋体"/>
          <w:b/>
          <w:sz w:val="24"/>
          <w:highlight w:val="yellow"/>
        </w:rPr>
      </w:r>
      <w:r/>
    </w:p>
    <w:p>
      <w:pPr>
        <w:rPr>
          <w:rFonts w:ascii="宋体" w:hAnsi="宋体"/>
          <w:b/>
          <w:sz w:val="22"/>
          <w:szCs w:val="28"/>
        </w:rPr>
      </w:pPr>
      <w:r>
        <w:rPr>
          <w:rFonts w:hint="eastAsia" w:ascii="宋体" w:hAnsi="宋体"/>
          <w:b/>
          <w:sz w:val="22"/>
          <w:szCs w:val="28"/>
        </w:rPr>
        <w:t xml:space="preserve">注: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rPr>
          <w:rFonts w:ascii="宋体" w:hAnsi="宋体"/>
          <w:sz w:val="28"/>
          <w:szCs w:val="28"/>
        </w:rPr>
      </w:pPr>
      <w:r>
        <w:rPr>
          <w:rFonts w:ascii="宋体" w:hAnsi="宋体"/>
          <w:sz w:val="28"/>
          <w:szCs w:val="28"/>
        </w:rPr>
      </w:r>
      <w:r/>
    </w:p>
    <w:p>
      <w:pPr>
        <w:jc w:val="left"/>
        <w:widowControl/>
        <w:rPr>
          <w:rFonts w:ascii="宋体" w:hAnsi="宋体"/>
          <w:sz w:val="28"/>
          <w:szCs w:val="28"/>
        </w:rPr>
      </w:pPr>
      <w:r>
        <w:rPr>
          <w:rFonts w:hint="eastAsia" w:ascii="宋体" w:hAnsi="宋体"/>
          <w:sz w:val="28"/>
          <w:szCs w:val="28"/>
        </w:rPr>
        <w:br w:type="page" w:clear="all"/>
      </w:r>
      <w:r/>
    </w:p>
    <w:tbl>
      <w:tblPr>
        <w:tblStyle w:val="828"/>
        <w:tblW w:w="8364" w:type="dxa"/>
        <w:tblInd w:w="108" w:type="dxa"/>
        <w:tblLayout w:type="autofit"/>
        <w:tblCellMar>
          <w:left w:w="108" w:type="dxa"/>
          <w:top w:w="0" w:type="dxa"/>
          <w:right w:w="108" w:type="dxa"/>
          <w:bottom w:w="0" w:type="dxa"/>
        </w:tblCellMar>
        <w:tblLook w:val="04A0" w:firstRow="1" w:lastRow="0" w:firstColumn="1" w:lastColumn="0" w:noHBand="0" w:noVBand="1"/>
      </w:tblPr>
      <w:tblGrid>
        <w:gridCol w:w="1100"/>
        <w:gridCol w:w="2260"/>
        <w:gridCol w:w="1035"/>
        <w:gridCol w:w="1161"/>
        <w:gridCol w:w="1248"/>
        <w:gridCol w:w="1560"/>
      </w:tblGrid>
      <w:tr>
        <w:trPr>
          <w:trHeight w:val="888"/>
        </w:trPr>
        <w:tc>
          <w:tcPr>
            <w:gridSpan w:val="6"/>
            <w:tcBorders>
              <w:top w:val="none" w:color="000000" w:sz="4" w:space="0"/>
              <w:left w:val="none" w:color="000000" w:sz="4" w:space="0"/>
              <w:bottom w:val="none" w:color="000000" w:sz="4" w:space="0"/>
              <w:right w:val="none" w:color="000000" w:sz="4" w:space="0"/>
            </w:tcBorders>
            <w:tcW w:w="8364"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39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编制范围：官塘桥路</w:t>
            </w:r>
            <w:r/>
          </w:p>
        </w:tc>
        <w:tc>
          <w:tcPr>
            <w:gridSpan w:val="3"/>
            <w:tcBorders>
              <w:top w:val="none" w:color="000000" w:sz="4" w:space="0"/>
              <w:left w:val="none" w:color="000000" w:sz="4" w:space="0"/>
              <w:bottom w:val="single" w:color="000000" w:sz="4" w:space="0"/>
              <w:right w:val="none" w:color="000000" w:sz="4" w:space="0"/>
            </w:tcBorders>
            <w:tcW w:w="3969"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第1页 共2页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364"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第100章 总则</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工程管理</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102-3</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安全生产费</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总额</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16817.55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16817.55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第100章 合计 人民币 （元）</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16817.55 </w:t>
            </w:r>
            <w:r/>
          </w:p>
        </w:tc>
      </w:tr>
      <w:tr>
        <w:trPr>
          <w:trHeight w:val="435"/>
        </w:trPr>
        <w:tc>
          <w:tcPr>
            <w:tcBorders>
              <w:top w:val="none" w:color="000000" w:sz="4" w:space="0"/>
              <w:left w:val="none" w:color="000000" w:sz="4" w:space="0"/>
              <w:bottom w:val="none" w:color="000000" w:sz="4" w:space="0"/>
              <w:right w:val="none" w:color="000000" w:sz="4" w:space="0"/>
            </w:tcBorders>
            <w:tcW w:w="110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226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035"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161"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248"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56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r>
      <w:tr>
        <w:trPr>
          <w:trHeight w:val="612"/>
        </w:trPr>
        <w:tc>
          <w:tcPr>
            <w:gridSpan w:val="2"/>
            <w:tcBorders>
              <w:top w:val="none" w:color="000000" w:sz="4" w:space="0"/>
              <w:left w:val="none" w:color="000000" w:sz="4" w:space="0"/>
              <w:bottom w:val="none" w:color="000000" w:sz="4" w:space="0"/>
              <w:right w:val="none" w:color="000000" w:sz="4" w:space="0"/>
            </w:tcBorders>
            <w:tcW w:w="3360" w:type="dxa"/>
            <w:vAlign w:val="center"/>
            <w:textDirection w:val="lrTb"/>
            <w:noWrap w:val="false"/>
          </w:tcPr>
          <w:p>
            <w:pPr>
              <w:jc w:val="left"/>
              <w:widowControl/>
              <w:rPr>
                <w:rFonts w:ascii="Arial" w:hAnsi="Arial" w:cs="Arial"/>
                <w:color w:val="000000"/>
                <w:sz w:val="20"/>
                <w:szCs w:val="20"/>
              </w:rPr>
            </w:pPr>
            <w:r>
              <w:rPr>
                <w:rFonts w:ascii="Arial" w:hAnsi="Arial" w:cs="Arial"/>
                <w:color w:val="000000"/>
                <w:sz w:val="20"/>
                <w:szCs w:val="20"/>
              </w:rPr>
            </w:r>
            <w:r/>
          </w:p>
        </w:tc>
        <w:tc>
          <w:tcPr>
            <w:gridSpan w:val="4"/>
            <w:tcBorders>
              <w:top w:val="none" w:color="000000" w:sz="4" w:space="0"/>
              <w:left w:val="none" w:color="000000" w:sz="4" w:space="0"/>
              <w:bottom w:val="none" w:color="000000" w:sz="4" w:space="0"/>
              <w:right w:val="none" w:color="000000" w:sz="4" w:space="0"/>
            </w:tcBorders>
            <w:tcW w:w="5004"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【新点2013公路造价全国版 V10.4.7】</w:t>
            </w:r>
            <w:r/>
          </w:p>
        </w:tc>
      </w:tr>
      <w:tr>
        <w:trPr>
          <w:trHeight w:val="465"/>
        </w:trPr>
        <w:tc>
          <w:tcPr>
            <w:gridSpan w:val="2"/>
            <w:tcBorders>
              <w:top w:val="none" w:color="000000" w:sz="4" w:space="0"/>
              <w:left w:val="none" w:color="000000" w:sz="4" w:space="0"/>
              <w:bottom w:val="none" w:color="000000" w:sz="4" w:space="0"/>
              <w:right w:val="none" w:color="000000" w:sz="4" w:space="0"/>
            </w:tcBorders>
            <w:tcW w:w="3360" w:type="dxa"/>
            <w:vAlign w:val="center"/>
            <w:textDirection w:val="lrTb"/>
            <w:noWrap w:val="false"/>
          </w:tcPr>
          <w:p>
            <w:pPr>
              <w:jc w:val="right"/>
              <w:widowControl/>
              <w:rPr>
                <w:rFonts w:ascii="宋体" w:hAnsi="宋体" w:cs="Arial"/>
                <w:b/>
                <w:bCs/>
                <w:color w:val="000000"/>
                <w:szCs w:val="21"/>
              </w:rPr>
            </w:pPr>
            <w:r>
              <w:rPr>
                <w:rFonts w:ascii="宋体" w:hAnsi="宋体" w:cs="Arial"/>
                <w:b/>
                <w:bCs/>
                <w:color w:val="000000"/>
                <w:szCs w:val="21"/>
              </w:rPr>
            </w:r>
            <w:r/>
          </w:p>
        </w:tc>
        <w:tc>
          <w:tcPr>
            <w:gridSpan w:val="2"/>
            <w:tcBorders>
              <w:top w:val="none" w:color="000000" w:sz="4" w:space="0"/>
              <w:left w:val="none" w:color="000000" w:sz="4" w:space="0"/>
              <w:bottom w:val="none" w:color="000000" w:sz="4" w:space="0"/>
              <w:right w:val="none" w:color="000000" w:sz="4" w:space="0"/>
            </w:tcBorders>
            <w:tcW w:w="2196" w:type="dxa"/>
            <w:vAlign w:val="center"/>
            <w:textDirection w:val="lrTb"/>
            <w:noWrap w:val="false"/>
          </w:tcPr>
          <w:p>
            <w:pPr>
              <w:jc w:val="left"/>
              <w:widowControl/>
              <w:rPr>
                <w:rFonts w:eastAsia="Times New Roman"/>
                <w:sz w:val="20"/>
                <w:szCs w:val="20"/>
              </w:rPr>
            </w:pPr>
            <w:r>
              <w:rPr>
                <w:rFonts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2808" w:type="dxa"/>
            <w:vAlign w:val="center"/>
            <w:textDirection w:val="lrTb"/>
            <w:noWrap w:val="false"/>
          </w:tcPr>
          <w:p>
            <w:pPr>
              <w:jc w:val="center"/>
              <w:widowControl/>
              <w:rPr>
                <w:rFonts w:eastAsia="Times New Roman"/>
                <w:sz w:val="20"/>
                <w:szCs w:val="20"/>
              </w:rPr>
            </w:pPr>
            <w:r>
              <w:rPr>
                <w:rFonts w:eastAsia="Times New Roman"/>
                <w:sz w:val="20"/>
                <w:szCs w:val="20"/>
              </w:rPr>
            </w:r>
            <w:r/>
          </w:p>
        </w:tc>
      </w:tr>
      <w:tr>
        <w:trPr>
          <w:trHeight w:val="888"/>
        </w:trPr>
        <w:tc>
          <w:tcPr>
            <w:gridSpan w:val="6"/>
            <w:tcBorders>
              <w:top w:val="none" w:color="000000" w:sz="4" w:space="0"/>
              <w:left w:val="none" w:color="000000" w:sz="4" w:space="0"/>
              <w:bottom w:val="none" w:color="000000" w:sz="4" w:space="0"/>
              <w:right w:val="none" w:color="000000" w:sz="4" w:space="0"/>
            </w:tcBorders>
            <w:tcW w:w="8364"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39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编制范围：官塘桥路</w:t>
            </w:r>
            <w:r/>
          </w:p>
        </w:tc>
        <w:tc>
          <w:tcPr>
            <w:gridSpan w:val="3"/>
            <w:tcBorders>
              <w:top w:val="none" w:color="000000" w:sz="4" w:space="0"/>
              <w:left w:val="none" w:color="000000" w:sz="4" w:space="0"/>
              <w:bottom w:val="single" w:color="000000" w:sz="4" w:space="0"/>
              <w:right w:val="none" w:color="000000" w:sz="4" w:space="0"/>
            </w:tcBorders>
            <w:tcW w:w="3969"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第2页 共2页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364"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第700章 绿化及环境保护设施</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绿化养护项目</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707-1</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乔、灌木养护</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行道树</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株</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1048.00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-b</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景观树</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株</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17243.00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绿化</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绿地养护</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211095.66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-b</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绿地保洁</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211095.66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707-3</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水面保洁</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136.30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707-5</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铺装保洁</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484.93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707-6</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石栏杆保洁</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181.50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707-7</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景亭保洁</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57.00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第700章 合计 人民币 （元）</w:t>
            </w:r>
            <w:r/>
          </w:p>
        </w:tc>
        <w:tc>
          <w:tcPr>
            <w:tcBorders>
              <w:top w:val="none" w:color="000000" w:sz="4" w:space="0"/>
              <w:left w:val="none" w:color="000000" w:sz="4" w:space="0"/>
              <w:bottom w:val="single" w:color="000000" w:sz="4" w:space="0"/>
              <w:right w:val="single" w:color="000000" w:sz="4" w:space="0"/>
            </w:tcBorders>
            <w:tcW w:w="1035"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6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248"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bl>
    <w:p>
      <w:pPr>
        <w:rPr>
          <w:rFonts w:ascii="宋体" w:hAnsi="宋体"/>
          <w:sz w:val="28"/>
          <w:szCs w:val="28"/>
        </w:rPr>
      </w:pPr>
      <w:r>
        <w:rPr>
          <w:rFonts w:ascii="宋体" w:hAnsi="宋体"/>
          <w:sz w:val="28"/>
          <w:szCs w:val="28"/>
        </w:rPr>
      </w:r>
      <w:r/>
    </w:p>
    <w:p>
      <w:pPr>
        <w:jc w:val="left"/>
        <w:widowControl/>
        <w:rPr>
          <w:rFonts w:ascii="宋体" w:hAnsi="宋体"/>
          <w:sz w:val="28"/>
          <w:szCs w:val="28"/>
        </w:rPr>
      </w:pPr>
      <w:r>
        <w:rPr>
          <w:rFonts w:hint="eastAsia" w:ascii="宋体" w:hAnsi="宋体"/>
          <w:sz w:val="28"/>
          <w:szCs w:val="28"/>
        </w:rPr>
        <w:br w:type="page" w:clear="all"/>
      </w:r>
      <w:r/>
    </w:p>
    <w:tbl>
      <w:tblPr>
        <w:tblStyle w:val="828"/>
        <w:tblW w:w="8222" w:type="dxa"/>
        <w:tblInd w:w="108" w:type="dxa"/>
        <w:tblLayout w:type="autofit"/>
        <w:tblCellMar>
          <w:left w:w="108" w:type="dxa"/>
          <w:top w:w="0" w:type="dxa"/>
          <w:right w:w="108" w:type="dxa"/>
          <w:bottom w:w="0" w:type="dxa"/>
        </w:tblCellMar>
        <w:tblLook w:val="04A0" w:firstRow="1" w:lastRow="0" w:firstColumn="1" w:lastColumn="0" w:noHBand="0" w:noVBand="1"/>
      </w:tblPr>
      <w:tblGrid>
        <w:gridCol w:w="1100"/>
        <w:gridCol w:w="2260"/>
        <w:gridCol w:w="1360"/>
        <w:gridCol w:w="1056"/>
        <w:gridCol w:w="1454"/>
        <w:gridCol w:w="992"/>
      </w:tblGrid>
      <w:tr>
        <w:trPr>
          <w:trHeight w:val="888"/>
        </w:trPr>
        <w:tc>
          <w:tcPr>
            <w:gridSpan w:val="6"/>
            <w:tcBorders>
              <w:top w:val="none" w:color="000000" w:sz="4" w:space="0"/>
              <w:left w:val="none" w:color="000000" w:sz="4" w:space="0"/>
              <w:bottom w:val="none" w:color="000000" w:sz="4" w:space="0"/>
              <w:right w:val="none" w:color="000000" w:sz="4" w:space="0"/>
            </w:tcBorders>
            <w:tcW w:w="8222"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72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编制范围：金桥大道</w:t>
            </w:r>
            <w:r/>
          </w:p>
        </w:tc>
        <w:tc>
          <w:tcPr>
            <w:gridSpan w:val="3"/>
            <w:tcBorders>
              <w:top w:val="none" w:color="000000" w:sz="4" w:space="0"/>
              <w:left w:val="none" w:color="000000" w:sz="4" w:space="0"/>
              <w:bottom w:val="single" w:color="000000" w:sz="4" w:space="0"/>
              <w:right w:val="none" w:color="000000" w:sz="4" w:space="0"/>
            </w:tcBorders>
            <w:tcW w:w="3502"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第1页 共2页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第100章 总则</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工程管理</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102-3</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安全生产费</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总额</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7067.51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7067.51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第100章 合计 人民币 （元）</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7067.51 </w:t>
            </w:r>
            <w:r/>
          </w:p>
        </w:tc>
      </w:tr>
      <w:tr>
        <w:trPr>
          <w:trHeight w:val="435"/>
        </w:trPr>
        <w:tc>
          <w:tcPr>
            <w:tcBorders>
              <w:top w:val="none" w:color="000000" w:sz="4" w:space="0"/>
              <w:left w:val="none" w:color="000000" w:sz="4" w:space="0"/>
              <w:bottom w:val="none" w:color="000000" w:sz="4" w:space="0"/>
              <w:right w:val="none" w:color="000000" w:sz="4" w:space="0"/>
            </w:tcBorders>
            <w:tcW w:w="110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226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36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056"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454"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r>
      <w:tr>
        <w:trPr>
          <w:trHeight w:val="612"/>
        </w:trPr>
        <w:tc>
          <w:tcPr>
            <w:gridSpan w:val="2"/>
            <w:tcBorders>
              <w:top w:val="none" w:color="000000" w:sz="4" w:space="0"/>
              <w:left w:val="none" w:color="000000" w:sz="4" w:space="0"/>
              <w:bottom w:val="none" w:color="000000" w:sz="4" w:space="0"/>
              <w:right w:val="none" w:color="000000" w:sz="4" w:space="0"/>
            </w:tcBorders>
            <w:tcW w:w="3360" w:type="dxa"/>
            <w:vAlign w:val="center"/>
            <w:textDirection w:val="lrTb"/>
            <w:noWrap w:val="false"/>
          </w:tcPr>
          <w:p>
            <w:pPr>
              <w:jc w:val="left"/>
              <w:widowControl/>
              <w:rPr>
                <w:rFonts w:ascii="Arial" w:hAnsi="Arial" w:cs="Arial"/>
                <w:color w:val="000000"/>
                <w:sz w:val="20"/>
                <w:szCs w:val="20"/>
              </w:rPr>
            </w:pPr>
            <w:r>
              <w:rPr>
                <w:rFonts w:ascii="Arial" w:hAnsi="Arial" w:cs="Arial"/>
                <w:color w:val="000000"/>
                <w:sz w:val="20"/>
                <w:szCs w:val="20"/>
              </w:rPr>
            </w:r>
            <w:r/>
          </w:p>
        </w:tc>
        <w:tc>
          <w:tcPr>
            <w:gridSpan w:val="4"/>
            <w:tcBorders>
              <w:top w:val="none" w:color="000000" w:sz="4" w:space="0"/>
              <w:left w:val="none" w:color="000000" w:sz="4" w:space="0"/>
              <w:bottom w:val="none" w:color="000000" w:sz="4" w:space="0"/>
              <w:right w:val="none" w:color="000000" w:sz="4" w:space="0"/>
            </w:tcBorders>
            <w:tcW w:w="4862"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【新点2013公路造价全国版 V10.4.7】</w:t>
            </w:r>
            <w:r/>
          </w:p>
        </w:tc>
      </w:tr>
      <w:tr>
        <w:trPr>
          <w:trHeight w:val="465"/>
        </w:trPr>
        <w:tc>
          <w:tcPr>
            <w:gridSpan w:val="2"/>
            <w:tcBorders>
              <w:top w:val="none" w:color="000000" w:sz="4" w:space="0"/>
              <w:left w:val="none" w:color="000000" w:sz="4" w:space="0"/>
              <w:bottom w:val="none" w:color="000000" w:sz="4" w:space="0"/>
              <w:right w:val="none" w:color="000000" w:sz="4" w:space="0"/>
            </w:tcBorders>
            <w:tcW w:w="3360" w:type="dxa"/>
            <w:vAlign w:val="center"/>
            <w:textDirection w:val="lrTb"/>
            <w:noWrap w:val="false"/>
          </w:tcPr>
          <w:p>
            <w:pPr>
              <w:jc w:val="right"/>
              <w:widowControl/>
              <w:rPr>
                <w:rFonts w:ascii="宋体" w:hAnsi="宋体" w:cs="Arial"/>
                <w:b/>
                <w:bCs/>
                <w:color w:val="000000"/>
                <w:szCs w:val="21"/>
              </w:rPr>
            </w:pPr>
            <w:r>
              <w:rPr>
                <w:rFonts w:ascii="宋体" w:hAnsi="宋体" w:cs="Arial"/>
                <w:b/>
                <w:bCs/>
                <w:color w:val="000000"/>
                <w:szCs w:val="21"/>
              </w:rPr>
            </w:r>
            <w:r/>
          </w:p>
        </w:tc>
        <w:tc>
          <w:tcPr>
            <w:gridSpan w:val="2"/>
            <w:tcBorders>
              <w:top w:val="none" w:color="000000" w:sz="4" w:space="0"/>
              <w:left w:val="none" w:color="000000" w:sz="4" w:space="0"/>
              <w:bottom w:val="none" w:color="000000" w:sz="4" w:space="0"/>
              <w:right w:val="none" w:color="000000" w:sz="4" w:space="0"/>
            </w:tcBorders>
            <w:tcW w:w="2416" w:type="dxa"/>
            <w:vAlign w:val="center"/>
            <w:textDirection w:val="lrTb"/>
            <w:noWrap w:val="false"/>
          </w:tcPr>
          <w:p>
            <w:pPr>
              <w:jc w:val="left"/>
              <w:widowControl/>
              <w:rPr>
                <w:rFonts w:eastAsia="Times New Roman"/>
                <w:sz w:val="20"/>
                <w:szCs w:val="20"/>
              </w:rPr>
            </w:pPr>
            <w:r>
              <w:rPr>
                <w:rFonts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2446" w:type="dxa"/>
            <w:vAlign w:val="center"/>
            <w:textDirection w:val="lrTb"/>
            <w:noWrap w:val="false"/>
          </w:tcPr>
          <w:p>
            <w:pPr>
              <w:jc w:val="center"/>
              <w:widowControl/>
              <w:rPr>
                <w:rFonts w:eastAsia="Times New Roman"/>
                <w:sz w:val="20"/>
                <w:szCs w:val="20"/>
              </w:rPr>
            </w:pPr>
            <w:r>
              <w:rPr>
                <w:rFonts w:eastAsia="Times New Roman"/>
                <w:sz w:val="20"/>
                <w:szCs w:val="20"/>
              </w:rPr>
            </w:r>
            <w:r/>
          </w:p>
        </w:tc>
      </w:tr>
      <w:tr>
        <w:trPr>
          <w:trHeight w:val="888"/>
        </w:trPr>
        <w:tc>
          <w:tcPr>
            <w:gridSpan w:val="6"/>
            <w:tcBorders>
              <w:top w:val="none" w:color="000000" w:sz="4" w:space="0"/>
              <w:left w:val="none" w:color="000000" w:sz="4" w:space="0"/>
              <w:bottom w:val="none" w:color="000000" w:sz="4" w:space="0"/>
              <w:right w:val="none" w:color="000000" w:sz="4" w:space="0"/>
            </w:tcBorders>
            <w:tcW w:w="8222"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72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编制范围：金桥大道</w:t>
            </w:r>
            <w:r/>
          </w:p>
        </w:tc>
        <w:tc>
          <w:tcPr>
            <w:gridSpan w:val="3"/>
            <w:tcBorders>
              <w:top w:val="none" w:color="000000" w:sz="4" w:space="0"/>
              <w:left w:val="none" w:color="000000" w:sz="4" w:space="0"/>
              <w:bottom w:val="single" w:color="000000" w:sz="4" w:space="0"/>
              <w:right w:val="none" w:color="000000" w:sz="4" w:space="0"/>
            </w:tcBorders>
            <w:tcW w:w="3502"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第2页 共2页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第700章 绿化及环境保护设施</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绿化养护项目</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707-1</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乔、灌木养护</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行道树</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株</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780.00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-b</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景观树</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株</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4658.00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绿化</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绿地养护</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54758.00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-b</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绿地保洁</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54758.00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56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707-4</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花草（补植、养护、保洁）</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1299.00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第700章 合计 人民币 （元）</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bl>
    <w:p>
      <w:pPr>
        <w:jc w:val="left"/>
        <w:widowControl/>
        <w:rPr>
          <w:rFonts w:ascii="宋体" w:hAnsi="宋体"/>
          <w:sz w:val="28"/>
          <w:szCs w:val="28"/>
        </w:rPr>
      </w:pPr>
      <w:r>
        <w:rPr>
          <w:rFonts w:ascii="宋体" w:hAnsi="宋体"/>
          <w:sz w:val="28"/>
          <w:szCs w:val="28"/>
        </w:rPr>
      </w:r>
      <w:r/>
    </w:p>
    <w:tbl>
      <w:tblPr>
        <w:tblStyle w:val="828"/>
        <w:tblW w:w="8364" w:type="dxa"/>
        <w:tblInd w:w="108" w:type="dxa"/>
        <w:tblLayout w:type="autofit"/>
        <w:tblCellMar>
          <w:left w:w="108" w:type="dxa"/>
          <w:top w:w="0" w:type="dxa"/>
          <w:right w:w="108" w:type="dxa"/>
          <w:bottom w:w="0" w:type="dxa"/>
        </w:tblCellMar>
        <w:tblLook w:val="04A0" w:firstRow="1" w:lastRow="0" w:firstColumn="1" w:lastColumn="0" w:noHBand="0" w:noVBand="1"/>
      </w:tblPr>
      <w:tblGrid>
        <w:gridCol w:w="1100"/>
        <w:gridCol w:w="2260"/>
        <w:gridCol w:w="1360"/>
        <w:gridCol w:w="951"/>
        <w:gridCol w:w="992"/>
        <w:gridCol w:w="1701"/>
      </w:tblGrid>
      <w:tr>
        <w:trPr>
          <w:trHeight w:val="888"/>
        </w:trPr>
        <w:tc>
          <w:tcPr>
            <w:gridSpan w:val="6"/>
            <w:tcBorders>
              <w:top w:val="none" w:color="000000" w:sz="4" w:space="0"/>
              <w:left w:val="none" w:color="000000" w:sz="4" w:space="0"/>
              <w:bottom w:val="none" w:color="000000" w:sz="4" w:space="0"/>
              <w:right w:val="none" w:color="000000" w:sz="4" w:space="0"/>
            </w:tcBorders>
            <w:tcW w:w="8364"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72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编制范围：绿化补植</w:t>
            </w:r>
            <w:r/>
          </w:p>
        </w:tc>
        <w:tc>
          <w:tcPr>
            <w:gridSpan w:val="3"/>
            <w:tcBorders>
              <w:top w:val="none" w:color="000000" w:sz="4" w:space="0"/>
              <w:left w:val="none" w:color="000000" w:sz="4" w:space="0"/>
              <w:bottom w:val="single" w:color="000000" w:sz="4" w:space="0"/>
              <w:right w:val="none" w:color="000000" w:sz="4" w:space="0"/>
            </w:tcBorders>
            <w:tcW w:w="3644"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第1页 共3页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364"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第100章 总则</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工程管理</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102-3</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安全生产费</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总额</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4797.21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4797.21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第100章 合计 人民币 （元）</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4797.21 </w:t>
            </w:r>
            <w:r/>
          </w:p>
        </w:tc>
      </w:tr>
      <w:tr>
        <w:trPr>
          <w:trHeight w:val="888"/>
        </w:trPr>
        <w:tc>
          <w:tcPr>
            <w:gridSpan w:val="6"/>
            <w:tcBorders>
              <w:top w:val="none" w:color="000000" w:sz="4" w:space="0"/>
              <w:left w:val="none" w:color="000000" w:sz="4" w:space="0"/>
              <w:bottom w:val="none" w:color="000000" w:sz="4" w:space="0"/>
              <w:right w:val="none" w:color="000000" w:sz="4" w:space="0"/>
            </w:tcBorders>
            <w:tcW w:w="8364"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72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编制范围：绿化补植</w:t>
            </w:r>
            <w:r/>
          </w:p>
        </w:tc>
        <w:tc>
          <w:tcPr>
            <w:gridSpan w:val="3"/>
            <w:tcBorders>
              <w:top w:val="none" w:color="000000" w:sz="4" w:space="0"/>
              <w:left w:val="none" w:color="000000" w:sz="4" w:space="0"/>
              <w:bottom w:val="single" w:color="000000" w:sz="4" w:space="0"/>
              <w:right w:val="none" w:color="000000" w:sz="4" w:space="0"/>
            </w:tcBorders>
            <w:tcW w:w="3644"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第2页 共3页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364"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第200章 路基</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场地清理</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202-1</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清理与掘除</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-c</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挖除树根</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第200章 合计 人民币 （元）</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30"/>
        </w:trPr>
        <w:tc>
          <w:tcPr>
            <w:tcBorders>
              <w:top w:val="none" w:color="000000" w:sz="4" w:space="0"/>
              <w:left w:val="none" w:color="000000" w:sz="4" w:space="0"/>
              <w:bottom w:val="none" w:color="000000" w:sz="4" w:space="0"/>
              <w:right w:val="none" w:color="000000" w:sz="4" w:space="0"/>
            </w:tcBorders>
            <w:tcW w:w="110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226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360"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951"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c>
          <w:tcPr>
            <w:tcBorders>
              <w:top w:val="none" w:color="000000" w:sz="4" w:space="0"/>
              <w:left w:val="none" w:color="000000" w:sz="4" w:space="0"/>
              <w:bottom w:val="none" w:color="000000" w:sz="4" w:space="0"/>
              <w:right w:val="none" w:color="000000" w:sz="4" w:space="0"/>
            </w:tcBorders>
            <w:tcW w:w="1701" w:type="dxa"/>
            <w:vAlign w:val="bottom"/>
            <w:textDirection w:val="lrTb"/>
            <w:noWrap/>
          </w:tcPr>
          <w:p>
            <w:pPr>
              <w:jc w:val="left"/>
              <w:widowControl/>
              <w:rPr>
                <w:rFonts w:ascii="Arial" w:hAnsi="Arial" w:cs="Arial"/>
                <w:color w:val="000000"/>
                <w:sz w:val="20"/>
                <w:szCs w:val="20"/>
              </w:rPr>
            </w:pPr>
            <w:r>
              <w:rPr>
                <w:rFonts w:ascii="Arial" w:hAnsi="Arial" w:cs="Arial"/>
                <w:color w:val="000000"/>
                <w:sz w:val="20"/>
                <w:szCs w:val="20"/>
              </w:rPr>
              <w:t xml:space="preserve">　</w:t>
            </w:r>
            <w:r/>
          </w:p>
        </w:tc>
      </w:tr>
      <w:tr>
        <w:trPr>
          <w:trHeight w:val="888"/>
        </w:trPr>
        <w:tc>
          <w:tcPr>
            <w:gridSpan w:val="6"/>
            <w:tcBorders>
              <w:top w:val="none" w:color="000000" w:sz="4" w:space="0"/>
              <w:left w:val="none" w:color="000000" w:sz="4" w:space="0"/>
              <w:bottom w:val="none" w:color="000000" w:sz="4" w:space="0"/>
              <w:right w:val="none" w:color="000000" w:sz="4" w:space="0"/>
            </w:tcBorders>
            <w:tcW w:w="8364" w:type="dxa"/>
            <w:vAlign w:val="center"/>
            <w:textDirection w:val="lrTb"/>
            <w:noWrap w:val="false"/>
          </w:tcPr>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工程量清单表</w:t>
            </w:r>
            <w:r/>
          </w:p>
        </w:tc>
      </w:tr>
      <w:tr>
        <w:trPr>
          <w:trHeight w:val="714"/>
        </w:trPr>
        <w:tc>
          <w:tcPr>
            <w:gridSpan w:val="3"/>
            <w:tcBorders>
              <w:top w:val="none" w:color="000000" w:sz="4" w:space="0"/>
              <w:left w:val="none" w:color="000000" w:sz="4" w:space="0"/>
              <w:bottom w:val="single" w:color="000000" w:sz="4" w:space="0"/>
              <w:right w:val="none" w:color="000000" w:sz="4" w:space="0"/>
            </w:tcBorders>
            <w:tcW w:w="472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编制范围：绿化补植</w:t>
            </w:r>
            <w:r/>
          </w:p>
        </w:tc>
        <w:tc>
          <w:tcPr>
            <w:gridSpan w:val="3"/>
            <w:tcBorders>
              <w:top w:val="none" w:color="000000" w:sz="4" w:space="0"/>
              <w:left w:val="none" w:color="000000" w:sz="4" w:space="0"/>
              <w:bottom w:val="single" w:color="000000" w:sz="4" w:space="0"/>
              <w:right w:val="none" w:color="000000" w:sz="4" w:space="0"/>
            </w:tcBorders>
            <w:tcW w:w="3644" w:type="dxa"/>
            <w:vAlign w:val="center"/>
            <w:textDirection w:val="lrTb"/>
            <w:noWrap/>
          </w:tcPr>
          <w:p>
            <w:pPr>
              <w:jc w:val="right"/>
              <w:widowControl/>
              <w:rPr>
                <w:rFonts w:ascii="宋体" w:hAnsi="宋体" w:cs="Arial"/>
                <w:color w:val="000000"/>
                <w:szCs w:val="21"/>
              </w:rPr>
            </w:pPr>
            <w:r>
              <w:rPr>
                <w:rFonts w:hint="eastAsia" w:ascii="宋体" w:hAnsi="宋体" w:cs="Arial"/>
                <w:color w:val="000000"/>
                <w:szCs w:val="21"/>
              </w:rPr>
              <w:t xml:space="preserve">第3页 共3页</w:t>
            </w:r>
            <w:r/>
          </w:p>
        </w:tc>
      </w:tr>
      <w:tr>
        <w:trPr>
          <w:trHeight w:val="495"/>
        </w:trPr>
        <w:tc>
          <w:tcPr>
            <w:gridSpan w:val="6"/>
            <w:tcBorders>
              <w:top w:val="single" w:color="000000" w:sz="4" w:space="0"/>
              <w:left w:val="single" w:color="000000" w:sz="4" w:space="0"/>
              <w:bottom w:val="single" w:color="000000" w:sz="4" w:space="0"/>
              <w:right w:val="single" w:color="000000" w:sz="4" w:space="0"/>
            </w:tcBorders>
            <w:tcW w:w="8364" w:type="dxa"/>
            <w:vAlign w:val="center"/>
            <w:textDirection w:val="lrTb"/>
            <w:noWrap w:val="false"/>
          </w:tcPr>
          <w:p>
            <w:pPr>
              <w:jc w:val="center"/>
              <w:widowControl/>
              <w:rPr>
                <w:rFonts w:ascii="宋体" w:hAnsi="宋体" w:cs="Arial"/>
                <w:color w:val="000000"/>
                <w:sz w:val="28"/>
                <w:szCs w:val="28"/>
              </w:rPr>
            </w:pPr>
            <w:r>
              <w:rPr>
                <w:rFonts w:hint="eastAsia" w:ascii="宋体" w:hAnsi="宋体" w:cs="Arial"/>
                <w:color w:val="000000"/>
                <w:sz w:val="28"/>
                <w:szCs w:val="28"/>
              </w:rPr>
              <w:t xml:space="preserve">清单 第700章 绿化及环境保护设施</w:t>
            </w:r>
            <w:r/>
          </w:p>
        </w:tc>
      </w:tr>
      <w:tr>
        <w:trPr>
          <w:trHeight w:val="59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子目号</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子目名称</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单位</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单价</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703</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撒播草种和铺植草皮</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703-1</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撒播草种（含喷播）补撒草籽根据现场情况综合考虑，不区分品种</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501"/>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703-4</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铺植草皮</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不铺草皮（根据现场情况综合考虑，不区分品种）</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56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704</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种植乔木、灌木和攀缘植物</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704-1</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人工种植乔木</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52"/>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香樟（胸径φ=10cm）与现有香樟同规格</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56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-b</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榉树（胸径φ=15cm）与现有榉树同规格</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552"/>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-c</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无患子（胸径φ=10cm）与现有榉树同规格</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704-2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人工种植灌木</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-a</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红叶石楠梂（φ=120cm）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-b</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小龙柏（h=70cm）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-c</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红花檵木（φ=120cm）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100.00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-d</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石楠梂（φ=120cm）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棵</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其他</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707-1</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红叶石楠（h=50cm）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500.00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567"/>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707-2</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八角金盘（同原苗木高度）</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300.00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707-3</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扶芳藤（h=50cm）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707-4</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小叶女贞（h=50cm）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707-5</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麦冬</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400.00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393"/>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707-6</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金边黄杨（h=50cm）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08"/>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707-6</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栀子（h=50cm）</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200.00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65"/>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22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08"/>
        </w:trPr>
        <w:tc>
          <w:tcPr>
            <w:gridSpan w:val="2"/>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宋体" w:hAnsi="宋体" w:cs="Arial"/>
                <w:color w:val="000000"/>
                <w:szCs w:val="21"/>
              </w:rPr>
            </w:pPr>
            <w:r>
              <w:rPr>
                <w:rFonts w:hint="eastAsia" w:ascii="宋体" w:hAnsi="宋体" w:cs="Arial"/>
                <w:color w:val="000000"/>
                <w:szCs w:val="21"/>
              </w:rPr>
              <w:t xml:space="preserve">第700章 合计 人民币 （元）</w:t>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0.00 </w:t>
            </w:r>
            <w:r/>
          </w:p>
        </w:tc>
      </w:tr>
    </w:tbl>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jc w:val="left"/>
        <w:widowControl/>
        <w:rPr>
          <w:b/>
          <w:bCs/>
          <w:sz w:val="44"/>
          <w:szCs w:val="44"/>
        </w:rPr>
      </w:pPr>
      <w:r/>
      <w:bookmarkStart w:id="306" w:name="_Toc209020188"/>
      <w:r>
        <w:br w:type="page" w:clear="all"/>
      </w:r>
      <w:r/>
    </w:p>
    <w:p>
      <w:pPr>
        <w:pStyle w:val="824"/>
      </w:pPr>
      <w:r>
        <w:rPr>
          <w:rFonts w:hint="eastAsia"/>
        </w:rPr>
        <w:t xml:space="preserve">五、技术部分</w:t>
      </w:r>
      <w:bookmarkEnd w:id="306"/>
      <w:r/>
      <w:r/>
    </w:p>
    <w:p>
      <w:pPr>
        <w:pStyle w:val="825"/>
        <w:jc w:val="center"/>
        <w:rPr>
          <w:szCs w:val="28"/>
        </w:rPr>
      </w:pPr>
      <w:r/>
      <w:bookmarkStart w:id="307" w:name="_Toc209020189"/>
      <w:r>
        <w:rPr>
          <w:rFonts w:hint="eastAsia"/>
        </w:rPr>
        <w:t xml:space="preserve">技术方案</w:t>
      </w:r>
      <w:bookmarkEnd w:id="307"/>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4"/>
        <w:rPr>
          <w:color w:val="002060"/>
        </w:rPr>
      </w:pPr>
      <w:r/>
      <w:bookmarkStart w:id="308" w:name="_Toc209020190"/>
      <w:r>
        <w:rPr>
          <w:rFonts w:hint="eastAsia"/>
        </w:rPr>
        <w:t xml:space="preserve">六、商务部分</w:t>
      </w:r>
      <w:bookmarkEnd w:id="308"/>
      <w:r/>
      <w:r/>
    </w:p>
    <w:p>
      <w:pPr>
        <w:pStyle w:val="825"/>
        <w:jc w:val="center"/>
      </w:pPr>
      <w:r/>
      <w:bookmarkStart w:id="309" w:name="_Toc203554792"/>
      <w:r/>
      <w:bookmarkStart w:id="310" w:name="_Toc209020191"/>
      <w:r>
        <w:rPr>
          <w:rFonts w:hint="eastAsia"/>
        </w:rPr>
        <w:t xml:space="preserve">（一）企业实力</w:t>
      </w:r>
      <w:bookmarkEnd w:id="309"/>
      <w:r/>
      <w:bookmarkEnd w:id="310"/>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rPr>
          <w:rFonts w:ascii="宋体" w:hAnsi="宋体" w:eastAsia="宋体" w:cs="宋体"/>
          <w:sz w:val="30"/>
          <w:szCs w:val="30"/>
        </w:rPr>
      </w:pPr>
      <w:r/>
      <w:bookmarkStart w:id="311" w:name="_Toc203554793"/>
      <w:r/>
      <w:bookmarkStart w:id="312" w:name="_Toc209020192"/>
      <w:r/>
      <w:bookmarkStart w:id="313" w:name="_Toc209016751"/>
      <w:r>
        <w:rPr>
          <w:rFonts w:hint="eastAsia" w:ascii="宋体" w:hAnsi="宋体" w:eastAsia="宋体" w:cs="宋体"/>
          <w:sz w:val="30"/>
          <w:szCs w:val="30"/>
        </w:rPr>
        <w:t xml:space="preserve">（二）项目经理能力</w:t>
      </w:r>
      <w:bookmarkEnd w:id="311"/>
      <w:r/>
      <w:bookmarkEnd w:id="312"/>
      <w:r/>
      <w:bookmarkEnd w:id="313"/>
      <w:r/>
      <w:r/>
    </w:p>
    <w:tbl>
      <w:tblPr>
        <w:tblStyle w:val="8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926"/>
        <w:gridCol w:w="6295"/>
      </w:tblGrid>
      <w:tr>
        <w:trPr>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
                <w:color w:val="000000"/>
                <w:sz w:val="24"/>
              </w:rPr>
              <w:br w:type="page" w:clear="all"/>
            </w:r>
            <w:r>
              <w:rPr>
                <w:rFonts w:hint="eastAsia" w:ascii="宋体" w:hAnsi="宋体" w:cs="宋体"/>
                <w:bCs/>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6295" w:type="dxa"/>
            <w:vAlign w:val="center"/>
            <w:textDirection w:val="lrTb"/>
            <w:noWrap/>
          </w:tcPr>
          <w:p>
            <w:pPr>
              <w:ind w:left="-15" w:firstLine="480"/>
              <w:rPr>
                <w:rFonts w:ascii="宋体" w:hAnsi="宋体" w:cs="宋体" w:eastAsiaTheme="minorEastAsia"/>
                <w:bCs/>
                <w:color w:val="000000"/>
                <w:sz w:val="24"/>
                <w:szCs w:val="22"/>
              </w:rPr>
            </w:pPr>
            <w:r>
              <w:rPr>
                <w:rFonts w:hint="eastAsia" w:ascii="宋体" w:hAnsi="宋体" w:cs="宋体"/>
                <w:bCs/>
                <w:color w:val="000000"/>
                <w:sz w:val="24"/>
              </w:rPr>
              <w:t xml:space="preserve">3年（以上）工作业绩及承担的主要工作</w:t>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Cs/>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6295" w:type="dxa"/>
            <w:vAlign w:val="center"/>
            <w:vMerge w:val="restart"/>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Cs/>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Cs/>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Cs/>
                <w:color w:val="000000"/>
                <w:sz w:val="24"/>
              </w:rPr>
              <w:t xml:space="preserve">毕业时间</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宋体" w:hAnsi="宋体" w:cs="宋体" w:eastAsiaTheme="minorEastAsia"/>
                <w:bCs/>
                <w:color w:val="000000"/>
                <w:sz w:val="24"/>
                <w:szCs w:val="22"/>
              </w:rPr>
            </w:pPr>
            <w:r>
              <w:rPr>
                <w:rFonts w:hint="eastAsia" w:ascii="宋体" w:hAnsi="宋体" w:cs="宋体"/>
                <w:bCs/>
                <w:color w:val="000000"/>
                <w:sz w:val="24"/>
              </w:rPr>
              <w:t xml:space="preserve">所学专业</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Cs/>
                <w:color w:val="000000"/>
                <w:sz w:val="24"/>
              </w:rPr>
              <w:t xml:space="preserve">学历</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宋体" w:hAnsi="宋体" w:cs="宋体" w:eastAsiaTheme="minorEastAsia"/>
                <w:bCs/>
                <w:color w:val="000000"/>
                <w:sz w:val="24"/>
                <w:szCs w:val="22"/>
              </w:rPr>
            </w:pPr>
            <w:r>
              <w:rPr>
                <w:rFonts w:hint="eastAsia" w:ascii="宋体" w:hAnsi="宋体" w:cs="宋体"/>
                <w:bCs/>
                <w:color w:val="000000"/>
                <w:sz w:val="24"/>
              </w:rPr>
              <w:t xml:space="preserve">证书名称</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宋体" w:hAnsi="宋体" w:cs="宋体" w:eastAsiaTheme="minorEastAsia"/>
                <w:bCs/>
                <w:color w:val="000000"/>
                <w:sz w:val="24"/>
                <w:szCs w:val="22"/>
              </w:rPr>
            </w:pPr>
            <w:r>
              <w:rPr>
                <w:rFonts w:hint="eastAsia" w:ascii="宋体" w:hAnsi="宋体" w:cs="宋体"/>
                <w:bCs/>
                <w:color w:val="000000"/>
                <w:sz w:val="24"/>
              </w:rPr>
              <w:t xml:space="preserve">专业资格</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cantSplit/>
          <w:jc w:val="center"/>
          <w:trHeight w:val="630"/>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ind w:left="-15"/>
              <w:jc w:val="center"/>
              <w:rPr>
                <w:rFonts w:ascii="宋体" w:hAnsi="宋体" w:cs="宋体" w:eastAsiaTheme="minorEastAsia"/>
                <w:bCs/>
                <w:color w:val="000000"/>
                <w:sz w:val="24"/>
                <w:szCs w:val="22"/>
              </w:rPr>
            </w:pPr>
            <w:r>
              <w:rPr>
                <w:rFonts w:hint="eastAsia" w:ascii="宋体" w:hAnsi="宋体" w:cs="宋体"/>
                <w:bCs/>
                <w:color w:val="000000"/>
                <w:sz w:val="24"/>
              </w:rPr>
              <w:t xml:space="preserve">联系电话</w:t>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r>
        <w:trPr>
          <w:jc w:val="center"/>
          <w:trHeight w:val="1435"/>
        </w:trPr>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tcPr>
          <w:p>
            <w:pPr>
              <w:jc w:val="center"/>
              <w:rPr>
                <w:rFonts w:ascii="宋体" w:hAnsi="宋体" w:cs="宋体" w:eastAsiaTheme="minorEastAsia"/>
                <w:bCs/>
                <w:color w:val="000000"/>
                <w:sz w:val="24"/>
                <w:szCs w:val="22"/>
              </w:rPr>
            </w:pPr>
            <w:r>
              <w:rPr>
                <w:rFonts w:hint="eastAsia" w:ascii="宋体" w:hAnsi="宋体" w:cs="宋体"/>
                <w:bCs/>
                <w:color w:val="000000"/>
                <w:sz w:val="24"/>
              </w:rPr>
              <w:t xml:space="preserve">曾担任项目主要负责人的项目</w:t>
            </w:r>
            <w:r/>
          </w:p>
        </w:tc>
        <w:tc>
          <w:tcPr>
            <w:gridSpan w:val="2"/>
            <w:tcBorders>
              <w:top w:val="single" w:color="000000" w:sz="4" w:space="0"/>
              <w:left w:val="single" w:color="000000" w:sz="4" w:space="0"/>
              <w:bottom w:val="single" w:color="000000" w:sz="4" w:space="0"/>
              <w:right w:val="single" w:color="000000" w:sz="4" w:space="0"/>
            </w:tcBorders>
            <w:tcW w:w="7221" w:type="dxa"/>
            <w:vAlign w:val="center"/>
            <w:textDirection w:val="lrTb"/>
            <w:noWrap/>
          </w:tcPr>
          <w:p>
            <w:pPr>
              <w:ind w:left="-15" w:firstLine="480"/>
              <w:rPr>
                <w:rFonts w:ascii="宋体" w:hAnsi="宋体" w:cs="宋体" w:eastAsiaTheme="minorEastAsia"/>
                <w:bCs/>
                <w:color w:val="000000"/>
                <w:sz w:val="24"/>
                <w:szCs w:val="22"/>
              </w:rPr>
            </w:pPr>
            <w:r>
              <w:rPr>
                <w:rFonts w:ascii="宋体" w:hAnsi="宋体" w:cs="宋体" w:eastAsiaTheme="minorEastAsia"/>
                <w:bCs/>
                <w:color w:val="000000"/>
                <w:sz w:val="24"/>
                <w:szCs w:val="22"/>
              </w:rPr>
            </w:r>
            <w:r/>
          </w:p>
        </w:tc>
      </w:tr>
    </w:tbl>
    <w:p>
      <w:pPr>
        <w:jc w:val="left"/>
        <w:widowControl/>
        <w:rPr>
          <w:rFonts w:ascii="宋体" w:hAnsi="宋体" w:cs="宋体"/>
          <w:sz w:val="24"/>
          <w:lang w:val="zh-CN" w:bidi="zh-CN"/>
        </w:rPr>
      </w:pPr>
      <w:r>
        <w:rPr>
          <w:rFonts w:hint="eastAsia" w:ascii="宋体" w:hAnsi="宋体" w:cs="宋体"/>
          <w:sz w:val="24"/>
          <w:lang w:val="zh-CN" w:bidi="zh-CN"/>
        </w:rPr>
        <w:t xml:space="preserve">注：1、</w:t>
      </w:r>
      <w:bookmarkStart w:id="314" w:name="OLE_LINK294"/>
      <w:r/>
      <w:bookmarkStart w:id="315" w:name="OLE_LINK295"/>
      <w:r>
        <w:rPr>
          <w:rFonts w:hint="eastAsia" w:ascii="宋体" w:hAnsi="宋体" w:cs="宋体"/>
          <w:sz w:val="24"/>
          <w:lang w:val="zh-CN" w:bidi="zh-CN"/>
        </w:rPr>
        <w:t xml:space="preserve">需提供相关证书、工作经验的，应在本栏目提交相关证明材料扫描件；</w:t>
      </w:r>
      <w:r/>
    </w:p>
    <w:p>
      <w:pPr>
        <w:ind w:firstLine="480"/>
        <w:spacing w:line="360" w:lineRule="auto"/>
        <w:rPr>
          <w:rFonts w:ascii="宋体" w:hAnsi="宋体" w:cs="宋体"/>
          <w:sz w:val="24"/>
          <w:lang w:val="zh-CN" w:bidi="zh-CN"/>
        </w:rPr>
      </w:pPr>
      <w:r>
        <w:rPr>
          <w:rFonts w:hint="eastAsia" w:ascii="宋体" w:hAnsi="宋体" w:cs="宋体"/>
          <w:sz w:val="24"/>
          <w:lang w:val="zh-CN" w:bidi="zh-CN"/>
        </w:rPr>
        <w:t xml:space="preserve">2、需提供</w:t>
      </w:r>
      <w:bookmarkEnd w:id="314"/>
      <w:r/>
      <w:bookmarkEnd w:id="315"/>
      <w:r>
        <w:rPr>
          <w:rFonts w:hint="eastAsia" w:ascii="宋体" w:hAnsi="宋体" w:cs="宋体"/>
          <w:sz w:val="24"/>
          <w:lang w:val="zh-CN" w:bidi="zh-CN"/>
        </w:rPr>
        <w:t xml:space="preserve">近半年（</w:t>
      </w:r>
      <w:r>
        <w:rPr>
          <w:rFonts w:hint="eastAsia" w:ascii="宋体" w:hAnsi="宋体" w:cs="宋体"/>
          <w:color w:val="0000ff"/>
          <w:sz w:val="24"/>
          <w:lang w:val="en-US" w:bidi="zh-CN"/>
        </w:rPr>
        <w:t xml:space="preserve">任意</w:t>
      </w:r>
      <w:r>
        <w:rPr>
          <w:rFonts w:hint="eastAsia" w:ascii="宋体" w:hAnsi="宋体" w:cs="宋体"/>
          <w:color w:val="0000ff"/>
          <w:sz w:val="24"/>
          <w:lang w:val="zh-CN" w:bidi="zh-CN"/>
        </w:rPr>
        <w:t xml:space="preserve">一个月</w:t>
      </w:r>
      <w:r>
        <w:rPr>
          <w:rFonts w:hint="eastAsia" w:ascii="宋体" w:hAnsi="宋体" w:cs="宋体"/>
          <w:sz w:val="24"/>
          <w:lang w:val="zh-CN" w:bidi="zh-CN"/>
        </w:rPr>
        <w:t xml:space="preserve">）投标人为其缴纳社会保险的证明材料；</w:t>
      </w:r>
      <w:r/>
    </w:p>
    <w:p>
      <w:pPr>
        <w:jc w:val="left"/>
        <w:rPr>
          <w:rFonts w:asciiTheme="minorHAnsi" w:hAnsiTheme="minorHAnsi" w:cstheme="minorBidi"/>
          <w:sz w:val="40"/>
          <w:szCs w:val="44"/>
        </w:rPr>
      </w:pPr>
      <w:r>
        <w:rPr>
          <w:rFonts w:hint="eastAsia" w:ascii="宋体" w:hAnsi="宋体" w:cs="宋体"/>
          <w:sz w:val="24"/>
          <w:lang w:val="zh-CN" w:bidi="zh-CN"/>
        </w:rPr>
        <w:t xml:space="preserve">3、列入本表人员如要更换，需经采购人同意。擅自更换属违约行为。</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rPr>
          <w:sz w:val="40"/>
          <w:szCs w:val="44"/>
        </w:rPr>
      </w:pPr>
      <w:r/>
      <w:bookmarkStart w:id="316" w:name="_Toc209016752"/>
      <w:r/>
      <w:bookmarkStart w:id="317" w:name="_Toc209020193"/>
      <w:r>
        <w:rPr>
          <w:rFonts w:hint="eastAsia"/>
        </w:rPr>
        <w:t xml:space="preserve">（三）本项目拟投入</w:t>
      </w:r>
      <w:bookmarkEnd w:id="316"/>
      <w:r>
        <w:rPr>
          <w:rFonts w:hint="eastAsia" w:ascii="宋体" w:hAnsi="宋体" w:eastAsia="宋体" w:cs="宋体"/>
        </w:rPr>
        <w:t xml:space="preserve">车辆配备一览表</w:t>
      </w:r>
      <w:bookmarkEnd w:id="317"/>
      <w:r/>
      <w:r/>
    </w:p>
    <w:tbl>
      <w:tblPr>
        <w:tblStyle w:val="828"/>
        <w:tblW w:w="808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40"/>
        <w:gridCol w:w="1277"/>
        <w:gridCol w:w="709"/>
        <w:gridCol w:w="1276"/>
        <w:gridCol w:w="1561"/>
        <w:gridCol w:w="993"/>
      </w:tblGrid>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名称</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制造年份</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排放标准</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80" w:lineRule="auto"/>
              <w:rPr>
                <w:rFonts w:ascii="宋体" w:hAnsi="宋体" w:cs="宋体" w:eastAsiaTheme="minorEastAsia"/>
                <w:sz w:val="24"/>
                <w:lang w:val="zh-CN"/>
              </w:rPr>
            </w:pPr>
            <w:r>
              <w:rPr>
                <w:rFonts w:hint="eastAsia" w:ascii="宋体" w:hAnsi="宋体" w:cs="宋体"/>
                <w:sz w:val="24"/>
                <w:lang w:val="zh-CN"/>
              </w:rPr>
              <w:t xml:space="preserve">备注</w:t>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2</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ind w:right="-108"/>
              <w:jc w:val="center"/>
              <w:spacing w:line="480" w:lineRule="auto"/>
              <w:rPr>
                <w:rFonts w:ascii="宋体" w:hAnsi="宋体" w:cs="宋体" w:eastAsiaTheme="minorEastAsia"/>
                <w:sz w:val="24"/>
                <w:lang w:val="zh-CN"/>
              </w:rPr>
            </w:pPr>
            <w:r>
              <w:rPr>
                <w:rFonts w:hint="eastAsia" w:ascii="宋体" w:hAnsi="宋体" w:cs="宋体"/>
                <w:sz w:val="24"/>
                <w:lang w:val="zh-CN"/>
              </w:rPr>
              <w:t xml:space="preserve">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108"/>
              <w:jc w:val="center"/>
              <w:spacing w:line="480" w:lineRule="auto"/>
              <w:rPr>
                <w:rFonts w:ascii="宋体" w:hAnsi="宋体" w:cs="宋体" w:eastAsiaTheme="minorEastAsia"/>
                <w:sz w:val="24"/>
                <w:lang w:val="zh-CN"/>
              </w:rPr>
            </w:pPr>
            <w:r>
              <w:rPr>
                <w:rFonts w:ascii="宋体" w:hAnsi="宋体" w:cs="宋体" w:eastAsiaTheme="minorEastAsia"/>
                <w:sz w:val="24"/>
                <w:lang w:val="zh-CN"/>
              </w:rPr>
            </w:r>
            <w:r/>
          </w:p>
        </w:tc>
      </w:tr>
      <w:tr>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80" w:lineRule="auto"/>
              <w:rPr>
                <w:rFonts w:ascii="宋体" w:hAnsi="宋体" w:cs="宋体" w:eastAsiaTheme="minorEastAsia"/>
                <w:sz w:val="24"/>
              </w:rPr>
            </w:pPr>
            <w:r>
              <w:rPr>
                <w:rFonts w:hint="eastAsia" w:ascii="宋体" w:hAnsi="宋体" w:cs="宋体"/>
                <w:sz w:val="24"/>
                <w:lang w:val="zh-CN"/>
              </w:rPr>
              <w:t xml:space="preserve">…</w:t>
            </w:r>
            <w:r/>
          </w:p>
        </w:tc>
      </w:tr>
    </w:tbl>
    <w:p>
      <w:pPr>
        <w:rPr>
          <w:rFonts w:ascii="宋体" w:hAnsi="宋体"/>
          <w:sz w:val="28"/>
          <w:szCs w:val="28"/>
        </w:rPr>
      </w:pPr>
      <w:r>
        <w:rPr>
          <w:rFonts w:ascii="宋体" w:hAnsi="宋体"/>
          <w:sz w:val="28"/>
          <w:szCs w:val="28"/>
        </w:rPr>
      </w:r>
      <w:r/>
    </w:p>
    <w:p>
      <w:pPr>
        <w:ind w:firstLine="480"/>
        <w:spacing w:line="360" w:lineRule="auto"/>
        <w:rPr>
          <w:rFonts w:ascii="宋体" w:hAnsi="宋体" w:cs="宋体"/>
          <w:sz w:val="24"/>
        </w:rPr>
      </w:pPr>
      <w:r/>
      <w:bookmarkStart w:id="318" w:name="OLE_LINK316"/>
      <w:r>
        <w:rPr>
          <w:rFonts w:hint="eastAsia" w:ascii="宋体" w:hAnsi="宋体" w:cs="宋体"/>
          <w:sz w:val="24"/>
        </w:rPr>
        <w:t xml:space="preserve">注：1、按招标文件要求附相关证明材料；</w:t>
      </w:r>
      <w:r/>
    </w:p>
    <w:p>
      <w:pPr>
        <w:ind w:firstLine="480"/>
        <w:spacing w:line="360" w:lineRule="auto"/>
        <w:rPr>
          <w:rFonts w:ascii="宋体" w:hAnsi="宋体" w:cs="宋体"/>
          <w:sz w:val="24"/>
        </w:rPr>
      </w:pPr>
      <w:r>
        <w:rPr>
          <w:rFonts w:hint="eastAsia" w:ascii="宋体" w:hAnsi="宋体" w:cs="宋体"/>
          <w:sz w:val="24"/>
        </w:rPr>
        <w:t xml:space="preserve">2、行数不够请自行添加。</w:t>
      </w:r>
      <w:r/>
    </w:p>
    <w:p>
      <w:pPr>
        <w:ind w:firstLine="5280"/>
        <w:jc w:val="left"/>
        <w:spacing w:line="360" w:lineRule="auto"/>
        <w:rPr>
          <w:rFonts w:ascii="宋体" w:hAnsi="宋体" w:cs="宋体"/>
          <w:bCs/>
          <w:sz w:val="24"/>
        </w:rPr>
      </w:pPr>
      <w:r>
        <w:rPr>
          <w:rFonts w:ascii="宋体" w:hAnsi="宋体" w:cs="宋体"/>
          <w:bCs/>
          <w:sz w:val="24"/>
        </w:rPr>
      </w:r>
      <w:r/>
    </w:p>
    <w:p>
      <w:pPr>
        <w:ind w:firstLine="5280"/>
        <w:jc w:val="left"/>
        <w:spacing w:line="360" w:lineRule="auto"/>
        <w:rPr>
          <w:rFonts w:ascii="宋体" w:hAnsi="宋体" w:cs="宋体"/>
          <w:bCs/>
          <w:sz w:val="24"/>
        </w:rPr>
      </w:pPr>
      <w:r>
        <w:rPr>
          <w:rFonts w:hint="eastAsia" w:ascii="宋体" w:hAnsi="宋体" w:cs="宋体"/>
          <w:bCs/>
          <w:sz w:val="24"/>
        </w:rPr>
        <w:t xml:space="preserve">投标人全称（加盖公章）：</w:t>
      </w:r>
      <w:r/>
    </w:p>
    <w:p>
      <w:pPr>
        <w:ind w:firstLine="480"/>
        <w:jc w:val="left"/>
        <w:spacing w:line="360" w:lineRule="auto"/>
        <w:rPr>
          <w:rFonts w:ascii="宋体" w:hAnsi="宋体" w:cs="宋体"/>
          <w:bCs/>
          <w:sz w:val="24"/>
        </w:rPr>
      </w:pPr>
      <w:r>
        <w:rPr>
          <w:rFonts w:hint="eastAsia" w:ascii="宋体" w:hAnsi="宋体" w:cs="宋体"/>
          <w:bCs/>
          <w:sz w:val="24"/>
        </w:rPr>
        <w:t xml:space="preserve">                                        法定代表人或授权代表签字：</w:t>
      </w:r>
      <w:r/>
    </w:p>
    <w:p>
      <w:pPr>
        <w:jc w:val="right"/>
        <w:rPr>
          <w:rFonts w:asciiTheme="minorHAnsi" w:hAnsiTheme="minorHAnsi" w:cstheme="minorBidi"/>
          <w:sz w:val="40"/>
          <w:szCs w:val="44"/>
        </w:rPr>
      </w:pPr>
      <w:r>
        <w:rPr>
          <w:rFonts w:hint="eastAsia" w:ascii="宋体" w:hAnsi="宋体" w:cs="宋体"/>
          <w:bCs/>
          <w:sz w:val="24"/>
        </w:rPr>
        <w:t xml:space="preserve">年   月   日</w:t>
      </w:r>
      <w:bookmarkEnd w:id="318"/>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rPr>
          <w:sz w:val="40"/>
          <w:szCs w:val="44"/>
        </w:rPr>
      </w:pPr>
      <w:r/>
      <w:bookmarkStart w:id="319" w:name="_Toc209016753"/>
      <w:r/>
      <w:bookmarkStart w:id="320" w:name="_Toc209020194"/>
      <w:r>
        <w:rPr>
          <w:rFonts w:hint="eastAsia"/>
        </w:rPr>
        <w:t xml:space="preserve">（四）类似业绩</w:t>
      </w:r>
      <w:bookmarkEnd w:id="319"/>
      <w:r/>
      <w:bookmarkEnd w:id="320"/>
      <w:r/>
      <w:r/>
    </w:p>
    <w:tbl>
      <w:tblPr>
        <w:tblStyle w:val="828"/>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760"/>
        <w:gridCol w:w="2694"/>
        <w:gridCol w:w="1542"/>
        <w:gridCol w:w="1749"/>
      </w:tblGrid>
      <w:tr>
        <w:trPr>
          <w:jc w:val="center"/>
          <w:trHeight w:val="111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bCs/>
                <w:sz w:val="24"/>
                <w:szCs w:val="21"/>
              </w:rPr>
            </w:pPr>
            <w:r>
              <w:rPr>
                <w:rFonts w:hint="eastAsia" w:ascii="宋体" w:hAnsi="宋体" w:cs="宋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bCs/>
                <w:sz w:val="24"/>
                <w:szCs w:val="21"/>
              </w:rPr>
            </w:pPr>
            <w:r>
              <w:rPr>
                <w:rFonts w:hint="eastAsia" w:ascii="宋体" w:hAnsi="宋体" w:cs="宋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601" w:type="pct"/>
            <w:vAlign w:val="center"/>
            <w:textDirection w:val="lrTb"/>
            <w:noWrap w:val="false"/>
          </w:tcPr>
          <w:p>
            <w:pPr>
              <w:jc w:val="center"/>
              <w:spacing w:line="360" w:lineRule="auto"/>
              <w:rPr>
                <w:rFonts w:ascii="宋体" w:hAnsi="宋体" w:cs="宋体" w:eastAsiaTheme="minorEastAsia"/>
                <w:bCs/>
                <w:sz w:val="24"/>
                <w:szCs w:val="21"/>
              </w:rPr>
            </w:pPr>
            <w:r>
              <w:rPr>
                <w:rFonts w:hint="eastAsia" w:ascii="宋体" w:hAnsi="宋体" w:cs="宋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bCs/>
                <w:sz w:val="24"/>
                <w:szCs w:val="21"/>
              </w:rPr>
            </w:pPr>
            <w:r>
              <w:rPr>
                <w:rFonts w:hint="eastAsia" w:ascii="宋体" w:hAnsi="宋体" w:cs="宋体"/>
                <w:bCs/>
                <w:sz w:val="24"/>
                <w:szCs w:val="21"/>
              </w:rPr>
              <w:t xml:space="preserve">服务年限</w:t>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bCs/>
                <w:sz w:val="24"/>
                <w:szCs w:val="21"/>
              </w:rPr>
            </w:pPr>
            <w:r>
              <w:rPr>
                <w:rFonts w:hint="eastAsia" w:ascii="宋体" w:hAnsi="宋体" w:cs="宋体"/>
                <w:bCs/>
                <w:sz w:val="24"/>
                <w:szCs w:val="21"/>
              </w:rPr>
              <w:t xml:space="preserve">合同签订时间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601" w:type="pct"/>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601" w:type="pct"/>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601" w:type="pct"/>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601" w:type="pct"/>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601" w:type="pct"/>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4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601" w:type="pct"/>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c>
          <w:tcPr>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spacing w:line="360" w:lineRule="auto"/>
              <w:rPr>
                <w:rFonts w:ascii="宋体" w:hAnsi="宋体" w:cs="宋体" w:eastAsiaTheme="minorEastAsia"/>
                <w:sz w:val="24"/>
                <w:szCs w:val="21"/>
              </w:rPr>
            </w:pPr>
            <w:r>
              <w:rPr>
                <w:rFonts w:ascii="宋体" w:hAnsi="宋体" w:cs="宋体" w:eastAsiaTheme="minorEastAsia"/>
                <w:sz w:val="24"/>
                <w:szCs w:val="21"/>
              </w:rPr>
            </w:r>
            <w:r/>
          </w:p>
        </w:tc>
      </w:tr>
    </w:tbl>
    <w:p>
      <w:pPr>
        <w:jc w:val="left"/>
        <w:rPr>
          <w:sz w:val="40"/>
          <w:szCs w:val="44"/>
        </w:rPr>
      </w:pPr>
      <w:r/>
      <w:bookmarkStart w:id="321" w:name="_Hlk513642805"/>
      <w:r>
        <w:rPr>
          <w:rFonts w:hint="eastAsia" w:ascii="宋体" w:hAnsi="宋体" w:cs="宋体"/>
          <w:sz w:val="24"/>
          <w:szCs w:val="21"/>
        </w:rPr>
        <w:t xml:space="preserve">备注：</w:t>
      </w:r>
      <w:bookmarkEnd w:id="321"/>
      <w:r>
        <w:rPr>
          <w:rFonts w:hint="eastAsia" w:ascii="宋体" w:hAnsi="宋体" w:cs="宋体"/>
          <w:sz w:val="24"/>
          <w:szCs w:val="21"/>
          <w:lang w:val="zh-CN" w:bidi="zh-CN"/>
        </w:rPr>
        <w:t xml:space="preserve">根据评分标准中关于类似业绩的描述，提供符合招标文件要求的证明材料扫描件。</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pPr>
      <w:r/>
      <w:bookmarkStart w:id="322" w:name="_Toc167287471"/>
      <w:r/>
      <w:bookmarkStart w:id="323" w:name="_Toc209020195"/>
      <w:r/>
      <w:bookmarkStart w:id="324" w:name="_Toc203554794"/>
      <w:r/>
      <w:bookmarkStart w:id="325" w:name="_Toc209016754"/>
      <w:r>
        <w:rPr>
          <w:rFonts w:hint="eastAsia"/>
        </w:rPr>
        <w:t xml:space="preserve">（五）服务偏离表</w:t>
      </w:r>
      <w:bookmarkEnd w:id="322"/>
      <w:r/>
      <w:bookmarkEnd w:id="323"/>
      <w:r/>
      <w:bookmarkEnd w:id="324"/>
      <w:r/>
      <w:bookmarkEnd w:id="325"/>
      <w:r/>
      <w:r/>
    </w:p>
    <w:tbl>
      <w:tblPr>
        <w:tblStyle w:val="8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249"/>
        <w:gridCol w:w="2781"/>
        <w:gridCol w:w="1997"/>
        <w:gridCol w:w="1997"/>
      </w:tblGrid>
      <w:t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序号</w:t>
            </w:r>
            <w:r/>
          </w:p>
        </w:tc>
        <w:tc>
          <w:tcPr>
            <w:tcBorders>
              <w:top w:val="single" w:color="auto" w:sz="12" w:space="0"/>
              <w:left w:val="single" w:color="auto" w:sz="6" w:space="0"/>
              <w:bottom w:val="single" w:color="auto" w:sz="6" w:space="0"/>
              <w:right w:val="single" w:color="auto" w:sz="6" w:space="0"/>
            </w:tcBorders>
            <w:tcW w:w="1249"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名称</w:t>
            </w:r>
            <w:r/>
          </w:p>
        </w:tc>
        <w:tc>
          <w:tcPr>
            <w:tcBorders>
              <w:top w:val="single" w:color="auto" w:sz="12" w:space="0"/>
              <w:left w:val="single" w:color="auto" w:sz="6" w:space="0"/>
              <w:bottom w:val="single" w:color="auto" w:sz="6" w:space="0"/>
              <w:right w:val="single" w:color="auto" w:sz="6" w:space="0"/>
            </w:tcBorders>
            <w:tcW w:w="2781"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招标文件要求</w:t>
            </w:r>
            <w:r/>
          </w:p>
        </w:tc>
        <w:tc>
          <w:tcPr>
            <w:tcBorders>
              <w:top w:val="single" w:color="auto" w:sz="12" w:space="0"/>
              <w:left w:val="single" w:color="auto" w:sz="6" w:space="0"/>
              <w:bottom w:val="single" w:color="auto" w:sz="6" w:space="0"/>
              <w:right w:val="single" w:color="auto" w:sz="6" w:space="0"/>
            </w:tcBorders>
            <w:tcW w:w="1997"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实际响应</w:t>
            </w:r>
            <w:r/>
          </w:p>
        </w:tc>
        <w:tc>
          <w:tcPr>
            <w:tcBorders>
              <w:top w:val="single" w:color="auto" w:sz="12" w:space="0"/>
              <w:left w:val="single" w:color="auto" w:sz="6" w:space="0"/>
              <w:bottom w:val="single" w:color="auto" w:sz="6" w:space="0"/>
              <w:right w:val="single" w:color="auto" w:sz="12" w:space="0"/>
            </w:tcBorders>
            <w:tcW w:w="1997"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符合/正偏离/负偏离</w:t>
            </w:r>
            <w:r/>
          </w:p>
        </w:tc>
      </w:tr>
      <w:tr>
        <w:trPr>
          <w:trHeight w:val="463"/>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12"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bl>
    <w:p>
      <w:pPr>
        <w:pStyle w:val="871"/>
        <w:spacing w:line="360" w:lineRule="auto"/>
        <w:rPr>
          <w:rFonts w:ascii="宋体" w:hAnsi="宋体" w:cs="宋体"/>
          <w:sz w:val="24"/>
          <w:szCs w:val="24"/>
        </w:rPr>
      </w:pPr>
      <w:r>
        <w:rPr>
          <w:rFonts w:hint="eastAsia" w:ascii="宋体" w:hAnsi="宋体" w:cs="宋体"/>
          <w:sz w:val="24"/>
          <w:szCs w:val="24"/>
        </w:rPr>
        <w:t xml:space="preserve">填表说明：</w:t>
      </w:r>
      <w:r/>
    </w:p>
    <w:p>
      <w:pPr>
        <w:pStyle w:val="871"/>
        <w:ind w:left="-141"/>
        <w:spacing w:line="360" w:lineRule="auto"/>
        <w:rPr>
          <w:rFonts w:ascii="宋体" w:hAnsi="宋体" w:cs="宋体"/>
          <w:sz w:val="24"/>
          <w:szCs w:val="24"/>
        </w:rPr>
      </w:pPr>
      <w:r>
        <w:rPr>
          <w:rFonts w:hint="eastAsia" w:ascii="宋体" w:hAnsi="宋体" w:cs="宋体"/>
          <w:sz w:val="24"/>
          <w:szCs w:val="24"/>
        </w:rPr>
        <w:t xml:space="preserve">（1）本表根据招标文件“第四部分 采购需求”的“服务要求”填写；</w:t>
      </w:r>
      <w:r/>
    </w:p>
    <w:p>
      <w:pPr>
        <w:pStyle w:val="871"/>
        <w:ind w:left="-141"/>
        <w:spacing w:line="360" w:lineRule="auto"/>
        <w:rPr>
          <w:rFonts w:ascii="宋体" w:hAnsi="宋体" w:cs="宋体"/>
          <w:sz w:val="24"/>
          <w:szCs w:val="24"/>
        </w:rPr>
      </w:pPr>
      <w:r>
        <w:rPr>
          <w:rFonts w:hint="eastAsia" w:ascii="宋体" w:hAnsi="宋体" w:cs="宋体"/>
          <w:sz w:val="24"/>
          <w:szCs w:val="24"/>
        </w:rPr>
        <w:t xml:space="preserve">（2）供应商如果对招标文件“第四部分 采购需求”的“服务要求”的响应有偏离，应注明“正/负偏离”，并将偏离条款逐条如实应答，并作出说明。</w:t>
      </w:r>
      <w:r/>
    </w:p>
    <w:p>
      <w:pPr>
        <w:pStyle w:val="871"/>
        <w:ind w:left="-141" w:firstLine="5520"/>
        <w:spacing w:line="360" w:lineRule="auto"/>
        <w:rPr>
          <w:rFonts w:ascii="宋体" w:hAnsi="宋体" w:cs="宋体"/>
          <w:sz w:val="24"/>
          <w:szCs w:val="24"/>
        </w:rPr>
      </w:pPr>
      <w:r>
        <w:rPr>
          <w:rFonts w:ascii="宋体" w:hAnsi="宋体" w:cs="宋体"/>
          <w:sz w:val="24"/>
          <w:szCs w:val="24"/>
        </w:rPr>
      </w:r>
      <w:r/>
    </w:p>
    <w:p>
      <w:pPr>
        <w:pStyle w:val="871"/>
        <w:ind w:left="-141" w:firstLine="4620"/>
        <w:spacing w:line="360" w:lineRule="auto"/>
        <w:rPr>
          <w:rFonts w:ascii="宋体" w:hAnsi="宋体" w:cs="宋体"/>
          <w:sz w:val="28"/>
          <w:szCs w:val="28"/>
        </w:rPr>
      </w:pPr>
      <w:r>
        <w:rPr>
          <w:rFonts w:hint="eastAsia" w:ascii="宋体" w:hAnsi="宋体" w:cs="宋体"/>
          <w:sz w:val="28"/>
          <w:szCs w:val="28"/>
        </w:rPr>
        <w:t xml:space="preserve">法定代表人（签字或盖章）：</w:t>
      </w:r>
      <w:r/>
    </w:p>
    <w:p>
      <w:pPr>
        <w:pStyle w:val="871"/>
        <w:ind w:right="280"/>
        <w:jc w:val="right"/>
        <w:spacing w:line="560" w:lineRule="exact"/>
        <w:tabs>
          <w:tab w:val="left" w:pos="567" w:leader="none"/>
          <w:tab w:val="left" w:pos="709" w:leader="none"/>
          <w:tab w:val="left" w:pos="993" w:leader="none"/>
        </w:tabs>
        <w:rPr>
          <w:rFonts w:ascii="宋体" w:hAnsi="宋体" w:cs="宋体"/>
          <w:sz w:val="28"/>
          <w:szCs w:val="28"/>
        </w:rPr>
      </w:pPr>
      <w:r>
        <w:rPr>
          <w:rFonts w:hint="eastAsia" w:ascii="宋体" w:hAnsi="宋体" w:cs="宋体"/>
          <w:sz w:val="28"/>
          <w:szCs w:val="28"/>
        </w:rPr>
        <w:t xml:space="preserve">供应商名称（盖章）：</w:t>
      </w:r>
      <w:r/>
    </w:p>
    <w:p>
      <w:pPr>
        <w:jc w:val="right"/>
        <w:rPr>
          <w:rFonts w:ascii="宋体" w:hAnsi="宋体" w:cs="宋体"/>
          <w:b/>
          <w:sz w:val="28"/>
          <w:szCs w:val="28"/>
        </w:rPr>
      </w:pPr>
      <w:r>
        <w:rPr>
          <w:rFonts w:hint="eastAsia" w:ascii="宋体" w:hAnsi="宋体" w:cs="宋体"/>
          <w:sz w:val="28"/>
          <w:szCs w:val="28"/>
        </w:rPr>
        <w:t xml:space="preserve">日期：   年   月   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5"/>
        <w:jc w:val="center"/>
        <w:rPr>
          <w:szCs w:val="28"/>
        </w:rPr>
      </w:pPr>
      <w:r/>
      <w:bookmarkStart w:id="326" w:name="_Toc209016755"/>
      <w:r/>
      <w:bookmarkStart w:id="327" w:name="_Toc203554795"/>
      <w:r/>
      <w:bookmarkStart w:id="328" w:name="_Toc209020196"/>
      <w:r>
        <w:rPr>
          <w:rFonts w:hint="eastAsia"/>
        </w:rPr>
        <w:t xml:space="preserve">（六）商务偏离表</w:t>
      </w:r>
      <w:bookmarkEnd w:id="326"/>
      <w:r/>
      <w:bookmarkEnd w:id="327"/>
      <w:r/>
      <w:bookmarkEnd w:id="328"/>
      <w:r/>
      <w:r/>
    </w:p>
    <w:tbl>
      <w:tblPr>
        <w:tblStyle w:val="82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249"/>
        <w:gridCol w:w="2781"/>
        <w:gridCol w:w="1997"/>
        <w:gridCol w:w="1997"/>
      </w:tblGrid>
      <w:t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序号</w:t>
            </w:r>
            <w:r/>
          </w:p>
        </w:tc>
        <w:tc>
          <w:tcPr>
            <w:tcBorders>
              <w:top w:val="single" w:color="auto" w:sz="12" w:space="0"/>
              <w:left w:val="single" w:color="auto" w:sz="6" w:space="0"/>
              <w:bottom w:val="single" w:color="auto" w:sz="6" w:space="0"/>
              <w:right w:val="single" w:color="auto" w:sz="6" w:space="0"/>
            </w:tcBorders>
            <w:tcW w:w="1249"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名称</w:t>
            </w:r>
            <w:r/>
          </w:p>
        </w:tc>
        <w:tc>
          <w:tcPr>
            <w:tcBorders>
              <w:top w:val="single" w:color="auto" w:sz="12" w:space="0"/>
              <w:left w:val="single" w:color="auto" w:sz="6" w:space="0"/>
              <w:bottom w:val="single" w:color="auto" w:sz="6" w:space="0"/>
              <w:right w:val="single" w:color="auto" w:sz="6" w:space="0"/>
            </w:tcBorders>
            <w:tcW w:w="2781"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招标文件要求</w:t>
            </w:r>
            <w:r/>
          </w:p>
        </w:tc>
        <w:tc>
          <w:tcPr>
            <w:tcBorders>
              <w:top w:val="single" w:color="auto" w:sz="12" w:space="0"/>
              <w:left w:val="single" w:color="auto" w:sz="6" w:space="0"/>
              <w:bottom w:val="single" w:color="auto" w:sz="6" w:space="0"/>
              <w:right w:val="single" w:color="auto" w:sz="6" w:space="0"/>
            </w:tcBorders>
            <w:tcW w:w="1997"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实际响应</w:t>
            </w:r>
            <w:r/>
          </w:p>
        </w:tc>
        <w:tc>
          <w:tcPr>
            <w:tcBorders>
              <w:top w:val="single" w:color="auto" w:sz="12" w:space="0"/>
              <w:left w:val="single" w:color="auto" w:sz="6" w:space="0"/>
              <w:bottom w:val="single" w:color="auto" w:sz="6" w:space="0"/>
              <w:right w:val="single" w:color="auto" w:sz="12" w:space="0"/>
            </w:tcBorders>
            <w:tcW w:w="1997" w:type="dxa"/>
            <w:vAlign w:val="center"/>
            <w:textDirection w:val="lrTb"/>
            <w:noWrap w:val="false"/>
          </w:tcPr>
          <w:p>
            <w:pPr>
              <w:pStyle w:val="871"/>
              <w:jc w:val="center"/>
              <w:tabs>
                <w:tab w:val="left" w:pos="567" w:leader="none"/>
                <w:tab w:val="left" w:pos="709" w:leader="none"/>
                <w:tab w:val="left" w:pos="993" w:leader="none"/>
              </w:tabs>
              <w:rPr>
                <w:rFonts w:ascii="宋体" w:hAnsi="宋体" w:cs="宋体"/>
                <w:b/>
                <w:sz w:val="28"/>
                <w:szCs w:val="28"/>
              </w:rPr>
            </w:pPr>
            <w:r>
              <w:rPr>
                <w:rFonts w:hint="eastAsia" w:ascii="宋体" w:hAnsi="宋体" w:cs="宋体"/>
                <w:b/>
                <w:sz w:val="28"/>
                <w:szCs w:val="28"/>
              </w:rPr>
              <w:t xml:space="preserve">符合/正偏离/负偏离</w:t>
            </w:r>
            <w:r/>
          </w:p>
        </w:tc>
      </w:tr>
      <w:tr>
        <w:trPr>
          <w:trHeight w:val="463"/>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6"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r>
        <w:trPr/>
        <w:tc>
          <w:tcPr>
            <w:tcBorders>
              <w:top w:val="single" w:color="auto" w:sz="6" w:space="0"/>
              <w:left w:val="single" w:color="auto" w:sz="12" w:space="0"/>
              <w:bottom w:val="single" w:color="auto" w:sz="12" w:space="0"/>
              <w:right w:val="single" w:color="auto" w:sz="6" w:space="0"/>
            </w:tcBorders>
            <w:tcW w:w="0" w:type="auto"/>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6" w:space="0"/>
            </w:tcBorders>
            <w:tcW w:w="1249"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6" w:space="0"/>
            </w:tcBorders>
            <w:tcW w:w="2781"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6"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12" w:space="0"/>
              <w:right w:val="single" w:color="auto" w:sz="12" w:space="0"/>
            </w:tcBorders>
            <w:tcW w:w="1997" w:type="dxa"/>
            <w:textDirection w:val="lrTb"/>
            <w:noWrap w:val="false"/>
          </w:tcPr>
          <w:p>
            <w:pPr>
              <w:pStyle w:val="871"/>
              <w:jc w:val="left"/>
              <w:spacing w:line="560" w:lineRule="exact"/>
              <w:tabs>
                <w:tab w:val="left" w:pos="567" w:leader="none"/>
                <w:tab w:val="left" w:pos="709" w:leader="none"/>
                <w:tab w:val="left" w:pos="993" w:leader="none"/>
              </w:tabs>
              <w:rPr>
                <w:rFonts w:ascii="宋体" w:hAnsi="宋体" w:cs="宋体"/>
                <w:sz w:val="28"/>
                <w:szCs w:val="28"/>
              </w:rPr>
            </w:pPr>
            <w:r>
              <w:rPr>
                <w:rFonts w:ascii="宋体" w:hAnsi="宋体" w:cs="宋体"/>
                <w:sz w:val="28"/>
                <w:szCs w:val="28"/>
              </w:rPr>
            </w:r>
            <w:r/>
          </w:p>
        </w:tc>
      </w:tr>
    </w:tbl>
    <w:p>
      <w:pPr>
        <w:pStyle w:val="871"/>
        <w:spacing w:line="360" w:lineRule="auto"/>
        <w:rPr>
          <w:rFonts w:ascii="宋体" w:hAnsi="宋体" w:cs="宋体"/>
          <w:sz w:val="24"/>
          <w:szCs w:val="24"/>
        </w:rPr>
      </w:pPr>
      <w:r>
        <w:rPr>
          <w:rFonts w:hint="eastAsia" w:ascii="宋体" w:hAnsi="宋体" w:cs="宋体"/>
          <w:sz w:val="24"/>
          <w:szCs w:val="24"/>
        </w:rPr>
        <w:t xml:space="preserve">填表说明：</w:t>
      </w:r>
      <w:r/>
    </w:p>
    <w:p>
      <w:pPr>
        <w:pStyle w:val="871"/>
        <w:ind w:left="-141"/>
        <w:spacing w:line="360" w:lineRule="auto"/>
        <w:rPr>
          <w:rFonts w:ascii="宋体" w:hAnsi="宋体" w:cs="宋体"/>
          <w:sz w:val="24"/>
          <w:szCs w:val="24"/>
        </w:rPr>
      </w:pPr>
      <w:r>
        <w:rPr>
          <w:rFonts w:hint="eastAsia" w:ascii="宋体" w:hAnsi="宋体" w:cs="宋体"/>
          <w:sz w:val="24"/>
          <w:szCs w:val="24"/>
        </w:rPr>
        <w:t xml:space="preserve">（1）本表根据招标文件“第四部分 采购需求”的“商务要求”填写；</w:t>
      </w:r>
      <w:r/>
    </w:p>
    <w:p>
      <w:pPr>
        <w:pStyle w:val="871"/>
        <w:ind w:left="-141"/>
        <w:spacing w:line="360" w:lineRule="auto"/>
        <w:rPr>
          <w:rFonts w:ascii="宋体" w:hAnsi="宋体" w:cs="宋体"/>
          <w:sz w:val="24"/>
          <w:szCs w:val="24"/>
        </w:rPr>
      </w:pPr>
      <w:r>
        <w:rPr>
          <w:rFonts w:hint="eastAsia" w:ascii="宋体" w:hAnsi="宋体" w:cs="宋体"/>
          <w:sz w:val="24"/>
          <w:szCs w:val="24"/>
        </w:rPr>
        <w:t xml:space="preserve">（2）供应商如果对招标文件“第四部分 采购需求”的“商务要求”的响应有偏离，应注明“正/负偏离”，并将偏离条款逐条如实应答，并作出说明。</w:t>
      </w:r>
      <w:r/>
    </w:p>
    <w:p>
      <w:pPr>
        <w:pStyle w:val="871"/>
        <w:ind w:left="-141" w:firstLine="5520"/>
        <w:spacing w:line="360" w:lineRule="auto"/>
        <w:rPr>
          <w:rFonts w:ascii="宋体" w:hAnsi="宋体" w:cs="宋体"/>
          <w:sz w:val="24"/>
          <w:szCs w:val="24"/>
        </w:rPr>
      </w:pPr>
      <w:r>
        <w:rPr>
          <w:rFonts w:ascii="宋体" w:hAnsi="宋体" w:cs="宋体"/>
          <w:sz w:val="24"/>
          <w:szCs w:val="24"/>
        </w:rPr>
      </w:r>
      <w:r/>
    </w:p>
    <w:p>
      <w:pPr>
        <w:pStyle w:val="871"/>
        <w:ind w:left="-141" w:firstLine="4620"/>
        <w:spacing w:line="360" w:lineRule="auto"/>
        <w:rPr>
          <w:rFonts w:ascii="宋体" w:hAnsi="宋体" w:cs="宋体"/>
          <w:sz w:val="28"/>
          <w:szCs w:val="28"/>
        </w:rPr>
      </w:pPr>
      <w:r>
        <w:rPr>
          <w:rFonts w:hint="eastAsia" w:ascii="宋体" w:hAnsi="宋体" w:cs="宋体"/>
          <w:sz w:val="28"/>
          <w:szCs w:val="28"/>
        </w:rPr>
        <w:t xml:space="preserve">法定代表人（签字或盖章）：</w:t>
      </w:r>
      <w:r/>
    </w:p>
    <w:p>
      <w:pPr>
        <w:pStyle w:val="871"/>
        <w:ind w:right="280"/>
        <w:jc w:val="right"/>
        <w:spacing w:line="560" w:lineRule="exact"/>
        <w:tabs>
          <w:tab w:val="left" w:pos="567" w:leader="none"/>
          <w:tab w:val="left" w:pos="709" w:leader="none"/>
          <w:tab w:val="left" w:pos="993" w:leader="none"/>
        </w:tabs>
        <w:rPr>
          <w:rFonts w:ascii="宋体" w:hAnsi="宋体" w:cs="宋体"/>
          <w:sz w:val="28"/>
          <w:szCs w:val="28"/>
        </w:rPr>
      </w:pPr>
      <w:r>
        <w:rPr>
          <w:rFonts w:hint="eastAsia" w:ascii="宋体" w:hAnsi="宋体" w:cs="宋体"/>
          <w:sz w:val="28"/>
          <w:szCs w:val="28"/>
        </w:rPr>
        <w:t xml:space="preserve">供应商名称（盖章）：</w:t>
      </w:r>
      <w:r/>
    </w:p>
    <w:p>
      <w:pPr>
        <w:jc w:val="right"/>
        <w:rPr>
          <w:rFonts w:ascii="宋体" w:hAnsi="宋体" w:cs="宋体"/>
          <w:b/>
          <w:sz w:val="28"/>
          <w:szCs w:val="28"/>
        </w:rPr>
      </w:pPr>
      <w:r>
        <w:rPr>
          <w:rFonts w:hint="eastAsia" w:ascii="宋体" w:hAnsi="宋体" w:cs="宋体"/>
          <w:sz w:val="28"/>
          <w:szCs w:val="28"/>
        </w:rPr>
        <w:t xml:space="preserve">日期：   年   月   日</w:t>
      </w:r>
      <w:r/>
    </w:p>
    <w:p>
      <w:pPr>
        <w:pStyle w:val="825"/>
        <w:ind w:left="0" w:right="0" w:firstLine="0"/>
        <w:jc w:val="center"/>
        <w:spacing w:before="0" w:after="0"/>
        <w:rPr>
          <w:rFonts w:ascii="SimSun" w:hAnsi="SimSun" w:eastAsia="SimSun" w:cs="SimSun"/>
          <w:sz w:val="36"/>
          <w:szCs w:val="36"/>
        </w:rPr>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highlight w:val="none"/>
        </w:rPr>
      </w:r>
      <w:r>
        <w:rPr>
          <w:rFonts w:ascii="Cambria" w:hAnsi="Cambria" w:eastAsia="Cambria" w:cs="Cambria"/>
          <w:b/>
          <w:color w:val="000000"/>
          <w:sz w:val="28"/>
          <w:highlight w:val="none"/>
        </w:rPr>
      </w:r>
      <w:r/>
    </w:p>
    <w:p>
      <w:pPr>
        <w:pStyle w:val="825"/>
        <w:ind w:left="0" w:right="0" w:firstLine="0"/>
        <w:jc w:val="center"/>
        <w:spacing w:before="0" w:after="0"/>
        <w:rPr>
          <w:rFonts w:ascii="Cambria" w:hAnsi="Cambria" w:eastAsia="Cambria" w:cs="Cambria"/>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highlight w:val="none"/>
        </w:rPr>
      </w:r>
      <w:r>
        <w:rPr>
          <w:rFonts w:ascii="Cambria" w:hAnsi="Cambria" w:eastAsia="Cambria" w:cs="Cambria"/>
          <w:b/>
          <w:color w:val="000000"/>
          <w:sz w:val="28"/>
          <w:highlight w:val="none"/>
        </w:rPr>
      </w:r>
      <w:r/>
    </w:p>
    <w:p>
      <w:pPr>
        <w:pStyle w:val="825"/>
        <w:ind w:left="0" w:right="0" w:firstLine="0"/>
        <w:jc w:val="center"/>
        <w:spacing w:before="0" w:after="0"/>
        <w:rPr>
          <w:rFonts w:ascii="Cambria" w:hAnsi="Cambria" w:eastAsia="Cambria" w:cs="Cambria"/>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（七）绿化养护质量承诺函</w:t>
      </w:r>
      <w:r/>
    </w:p>
    <w:p>
      <w:pPr>
        <w:ind w:left="0" w:right="0" w:firstLine="0"/>
        <w:jc w:val="both"/>
        <w:spacing w:before="105" w:after="105" w:line="43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致：</w:t>
      </w:r>
      <w:r>
        <w:rPr>
          <w:rFonts w:ascii="Arial" w:hAnsi="Arial" w:eastAsia="Arial" w:cs="Arial"/>
          <w:color w:val="333333"/>
          <w:sz w:val="24"/>
          <w:highlight w:val="white"/>
          <w:u w:val="single"/>
        </w:rPr>
        <w:t xml:space="preserve">                     </w:t>
      </w:r>
      <w:r>
        <w:rPr>
          <w:rFonts w:ascii="Arial" w:hAnsi="Arial" w:eastAsia="Arial" w:cs="Arial"/>
          <w:color w:val="333333"/>
          <w:sz w:val="24"/>
          <w:highlight w:val="white"/>
        </w:rPr>
        <w:t xml:space="preserve">[</w:t>
      </w:r>
      <w:r>
        <w:rPr>
          <w:rFonts w:ascii="SimSun" w:hAnsi="SimSun" w:eastAsia="SimSun" w:cs="SimSun"/>
          <w:color w:val="333333"/>
          <w:sz w:val="24"/>
          <w:highlight w:val="white"/>
        </w:rPr>
        <w:t xml:space="preserve">采购单位</w:t>
      </w:r>
      <w:r>
        <w:rPr>
          <w:rFonts w:ascii="Arial" w:hAnsi="Arial" w:eastAsia="Arial" w:cs="Arial"/>
          <w:color w:val="333333"/>
          <w:sz w:val="24"/>
          <w:highlight w:val="white"/>
        </w:rPr>
        <w:t xml:space="preserve">]</w:t>
      </w:r>
      <w:r/>
    </w:p>
    <w:p>
      <w:pPr>
        <w:ind w:left="0" w:right="0" w:firstLine="0"/>
        <w:jc w:val="both"/>
        <w:spacing w:before="105" w:after="105" w:line="43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333333"/>
          <w:sz w:val="24"/>
          <w:highlight w:val="white"/>
        </w:rPr>
        <w:t xml:space="preserve">    </w:t>
      </w:r>
      <w:r>
        <w:rPr>
          <w:rFonts w:ascii="SimSun" w:hAnsi="SimSun" w:eastAsia="SimSun" w:cs="SimSun"/>
          <w:color w:val="333333"/>
          <w:sz w:val="24"/>
          <w:highlight w:val="white"/>
        </w:rPr>
        <w:t xml:space="preserve">为切实履行绿化养护责任，保障管养区域内植物群落健康生长，景观效果持续优化，生态功能稳定发挥，我单位就承接的</w:t>
      </w:r>
      <w:r>
        <w:rPr>
          <w:rFonts w:ascii="Arial" w:hAnsi="Arial" w:eastAsia="Arial" w:cs="Arial"/>
          <w:color w:val="333333"/>
          <w:sz w:val="24"/>
          <w:highlight w:val="white"/>
          <w:u w:val="single"/>
        </w:rPr>
        <w:t xml:space="preserve">                  </w:t>
      </w:r>
      <w:r>
        <w:rPr>
          <w:rFonts w:ascii="Arial" w:hAnsi="Arial" w:eastAsia="Arial" w:cs="Arial"/>
          <w:color w:val="333333"/>
          <w:sz w:val="24"/>
          <w:highlight w:val="white"/>
        </w:rPr>
        <w:t xml:space="preserve">[</w:t>
      </w:r>
      <w:r>
        <w:rPr>
          <w:rFonts w:ascii="SimSun" w:hAnsi="SimSun" w:eastAsia="SimSun" w:cs="SimSun"/>
          <w:color w:val="333333"/>
          <w:sz w:val="24"/>
          <w:highlight w:val="white"/>
        </w:rPr>
        <w:t xml:space="preserve">项目名称、项目编号</w:t>
      </w:r>
      <w:r>
        <w:rPr>
          <w:rFonts w:ascii="Arial" w:hAnsi="Arial" w:eastAsia="Arial" w:cs="Arial"/>
          <w:color w:val="333333"/>
          <w:sz w:val="24"/>
          <w:highlight w:val="white"/>
        </w:rPr>
        <w:t xml:space="preserve">]</w:t>
      </w:r>
      <w:r>
        <w:rPr>
          <w:rFonts w:ascii="SimSun" w:hAnsi="SimSun" w:eastAsia="SimSun" w:cs="SimSun"/>
          <w:color w:val="333333"/>
          <w:sz w:val="24"/>
          <w:highlight w:val="white"/>
        </w:rPr>
        <w:t xml:space="preserve">绿化养护服务作出质量承诺，并严格按照采购文件中的相关要求以及第四部分采购需求</w:t>
      </w:r>
      <w:r>
        <w:rPr>
          <w:rFonts w:ascii="Arial" w:hAnsi="Arial" w:eastAsia="Arial" w:cs="Arial"/>
          <w:color w:val="333333"/>
          <w:sz w:val="24"/>
          <w:highlight w:val="white"/>
        </w:rPr>
        <w:t xml:space="preserve">“</w:t>
      </w:r>
      <w:r>
        <w:rPr>
          <w:rFonts w:ascii="SimSun" w:hAnsi="SimSun" w:eastAsia="SimSun" w:cs="SimSun"/>
          <w:color w:val="333333"/>
          <w:sz w:val="24"/>
          <w:highlight w:val="white"/>
        </w:rPr>
        <w:t xml:space="preserve">四、绿化养护的质量标准和要求</w:t>
      </w:r>
      <w:r>
        <w:rPr>
          <w:rFonts w:ascii="Arial" w:hAnsi="Arial" w:eastAsia="Arial" w:cs="Arial"/>
          <w:color w:val="333333"/>
          <w:sz w:val="24"/>
          <w:highlight w:val="white"/>
        </w:rPr>
        <w:t xml:space="preserve">”</w:t>
      </w:r>
      <w:r>
        <w:rPr>
          <w:rFonts w:ascii="SimSun" w:hAnsi="SimSun" w:eastAsia="SimSun" w:cs="SimSun"/>
          <w:color w:val="333333"/>
          <w:sz w:val="24"/>
          <w:highlight w:val="white"/>
        </w:rPr>
        <w:t xml:space="preserve">执行养护作业。</w:t>
      </w:r>
      <w:r/>
    </w:p>
    <w:p>
      <w:pPr>
        <w:ind w:left="0" w:right="0" w:firstLine="0"/>
        <w:jc w:val="both"/>
        <w:spacing w:before="105" w:after="105" w:line="43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rFonts w:ascii="SimSun" w:hAnsi="SimSun" w:eastAsia="SimSun" w:cs="SimSun"/>
          <w:color w:val="333333"/>
          <w:sz w:val="24"/>
          <w:highlight w:val="white"/>
        </w:rPr>
        <w:t xml:space="preserve">特此承诺！</w:t>
      </w:r>
      <w:r/>
    </w:p>
    <w:p>
      <w:pPr>
        <w:ind w:left="0" w:right="0" w:firstLine="0"/>
        <w:jc w:val="both"/>
        <w:spacing w:before="105" w:after="105" w:line="43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承诺单位（盖章）：</w:t>
      </w:r>
      <w:r>
        <w:rPr>
          <w:rFonts w:ascii="Arial" w:hAnsi="Arial" w:eastAsia="Arial" w:cs="Arial"/>
          <w:color w:val="333333"/>
          <w:sz w:val="24"/>
          <w:highlight w:val="white"/>
        </w:rPr>
        <w:t xml:space="preserve">________________________</w:t>
      </w:r>
      <w:r/>
    </w:p>
    <w:p>
      <w:pPr>
        <w:ind w:left="0" w:right="0" w:firstLine="0"/>
        <w:jc w:val="both"/>
        <w:spacing w:before="105" w:after="105" w:line="43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法定代表人（签字）：</w:t>
      </w:r>
      <w:r>
        <w:rPr>
          <w:rFonts w:ascii="Arial" w:hAnsi="Arial" w:eastAsia="Arial" w:cs="Arial"/>
          <w:color w:val="333333"/>
          <w:sz w:val="24"/>
          <w:highlight w:val="white"/>
        </w:rPr>
        <w:t xml:space="preserve">______________________</w:t>
      </w:r>
      <w:r/>
    </w:p>
    <w:p>
      <w:pPr>
        <w:ind w:left="0" w:right="0" w:firstLine="0"/>
        <w:jc w:val="both"/>
        <w:spacing w:before="105" w:after="105" w:line="43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日期：</w:t>
      </w:r>
      <w:r>
        <w:rPr>
          <w:rFonts w:ascii="Arial" w:hAnsi="Arial" w:eastAsia="Arial" w:cs="Arial"/>
          <w:color w:val="333333"/>
          <w:sz w:val="24"/>
          <w:highlight w:val="white"/>
        </w:rPr>
        <w:t xml:space="preserve">2025</w:t>
      </w:r>
      <w:r>
        <w:rPr>
          <w:rFonts w:ascii="SimSun" w:hAnsi="SimSun" w:eastAsia="SimSun" w:cs="SimSun"/>
          <w:color w:val="333333"/>
          <w:sz w:val="24"/>
          <w:highlight w:val="white"/>
        </w:rPr>
        <w:t xml:space="preserve">年</w:t>
      </w:r>
      <w:r>
        <w:rPr>
          <w:rFonts w:ascii="Arial" w:hAnsi="Arial" w:eastAsia="Arial" w:cs="Arial"/>
          <w:color w:val="333333"/>
          <w:sz w:val="24"/>
          <w:highlight w:val="white"/>
        </w:rPr>
        <w:t xml:space="preserve">  </w:t>
      </w:r>
      <w:r>
        <w:rPr>
          <w:rFonts w:ascii="SimSun" w:hAnsi="SimSun" w:eastAsia="SimSun" w:cs="SimSun"/>
          <w:color w:val="333333"/>
          <w:sz w:val="24"/>
          <w:highlight w:val="white"/>
        </w:rPr>
        <w:t xml:space="preserve">月</w:t>
      </w:r>
      <w:r>
        <w:rPr>
          <w:rFonts w:ascii="Arial" w:hAnsi="Arial" w:eastAsia="Arial" w:cs="Arial"/>
          <w:color w:val="333333"/>
          <w:sz w:val="24"/>
          <w:highlight w:val="white"/>
        </w:rPr>
        <w:t xml:space="preserve">   </w:t>
      </w:r>
      <w:r>
        <w:rPr>
          <w:rFonts w:ascii="SimSun" w:hAnsi="SimSun" w:eastAsia="SimSun" w:cs="SimSun"/>
          <w:color w:val="333333"/>
          <w:sz w:val="24"/>
          <w:highlight w:val="white"/>
        </w:rPr>
        <w:t xml:space="preserve">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824"/>
      </w:pPr>
      <w:r/>
      <w:bookmarkStart w:id="329" w:name="_Toc209020197"/>
      <w:r/>
      <w:bookmarkStart w:id="330" w:name="_Toc209016756"/>
      <w:r>
        <w:rPr>
          <w:rFonts w:hint="eastAsia" w:eastAsiaTheme="minorEastAsia"/>
        </w:rPr>
        <w:t xml:space="preserve">七、其他部分</w:t>
      </w:r>
      <w:bookmarkEnd w:id="329"/>
      <w:r/>
      <w:bookmarkEnd w:id="330"/>
      <w:r/>
      <w:r/>
    </w:p>
    <w:p>
      <w:pPr>
        <w:pStyle w:val="825"/>
        <w:jc w:val="center"/>
      </w:pPr>
      <w:r/>
      <w:bookmarkStart w:id="331" w:name="_Toc209020198"/>
      <w:r/>
      <w:bookmarkStart w:id="332" w:name="_Toc209016757"/>
      <w:r>
        <w:rPr>
          <w:rFonts w:hint="eastAsia"/>
        </w:rPr>
        <w:t xml:space="preserve">（一）中小企业声明函</w:t>
      </w:r>
      <w:bookmarkEnd w:id="331"/>
      <w:r/>
      <w:bookmarkEnd w:id="332"/>
      <w:r/>
      <w:r/>
    </w:p>
    <w:p>
      <w:pPr>
        <w:ind w:left="220" w:right="415" w:firstLine="472"/>
        <w:spacing w:line="300" w:lineRule="auto"/>
        <w:rPr>
          <w:rFonts w:ascii="宋体" w:hAnsi="宋体" w:cs="宋体"/>
          <w:spacing w:val="5"/>
          <w:sz w:val="24"/>
          <w:lang w:val="zh-CN" w:bidi="zh-CN"/>
        </w:rPr>
      </w:pPr>
      <w:r>
        <w:rPr>
          <w:rFonts w:hint="eastAsia" w:ascii="宋体" w:hAnsi="宋体" w:cs="宋体"/>
          <w:spacing w:val="-2"/>
          <w:sz w:val="24"/>
          <w:lang w:val="zh-CN" w:bidi="zh-CN"/>
        </w:rPr>
        <w:t xml:space="preserve">本公司</w:t>
      </w:r>
      <w:r>
        <w:rPr>
          <w:rFonts w:hint="eastAsia" w:ascii="宋体" w:hAnsi="宋体" w:cs="宋体"/>
          <w:sz w:val="24"/>
          <w:lang w:val="zh-CN" w:bidi="zh-CN"/>
        </w:rPr>
        <w:t xml:space="preserve">（联合体</w:t>
      </w:r>
      <w:r>
        <w:rPr>
          <w:rFonts w:hint="eastAsia" w:ascii="宋体" w:hAnsi="宋体" w:cs="宋体"/>
          <w:spacing w:val="-5"/>
          <w:sz w:val="24"/>
          <w:lang w:val="zh-CN" w:bidi="zh-CN"/>
        </w:rPr>
        <w:t xml:space="preserve">）</w:t>
      </w:r>
      <w:r>
        <w:rPr>
          <w:rFonts w:hint="eastAsia" w:ascii="宋体" w:hAnsi="宋体" w:cs="宋体"/>
          <w:spacing w:val="-2"/>
          <w:sz w:val="24"/>
          <w:lang w:val="zh-CN" w:bidi="zh-CN"/>
        </w:rPr>
        <w:t xml:space="preserve">郑重声明，根据《政府采购促进中小</w:t>
      </w:r>
      <w:r>
        <w:rPr>
          <w:rFonts w:hint="eastAsia" w:ascii="宋体" w:hAnsi="宋体" w:cs="宋体"/>
          <w:spacing w:val="-18"/>
          <w:sz w:val="24"/>
          <w:lang w:val="zh-CN" w:bidi="zh-CN"/>
        </w:rPr>
        <w:t xml:space="preserve">企业发展管理办法》</w:t>
      </w:r>
      <w:r>
        <w:rPr>
          <w:rFonts w:hint="eastAsia" w:ascii="宋体" w:hAnsi="宋体" w:cs="宋体"/>
          <w:sz w:val="24"/>
          <w:lang w:val="zh-CN" w:bidi="zh-CN"/>
        </w:rPr>
        <w:t xml:space="preserve">（</w:t>
      </w:r>
      <w:r>
        <w:rPr>
          <w:rFonts w:hint="eastAsia" w:ascii="宋体" w:hAnsi="宋体" w:cs="宋体"/>
          <w:spacing w:val="5"/>
          <w:sz w:val="24"/>
          <w:lang w:val="zh-CN" w:bidi="zh-CN"/>
        </w:rPr>
        <w:t xml:space="preserve">财库</w:t>
      </w:r>
      <w:r>
        <w:rPr>
          <w:rFonts w:hint="eastAsia" w:ascii="宋体" w:hAnsi="宋体" w:cs="宋体"/>
          <w:sz w:val="24"/>
          <w:lang w:val="zh-CN" w:bidi="zh-CN"/>
        </w:rPr>
        <w:t xml:space="preserve">﹝2020﹞46</w:t>
      </w:r>
      <w:r>
        <w:rPr>
          <w:rFonts w:hint="eastAsia" w:ascii="宋体" w:hAnsi="宋体" w:cs="宋体"/>
          <w:spacing w:val="-38"/>
          <w:sz w:val="24"/>
          <w:lang w:val="zh-CN" w:bidi="zh-CN"/>
        </w:rPr>
        <w:t xml:space="preserve"> 号</w:t>
      </w:r>
      <w:r>
        <w:rPr>
          <w:rFonts w:hint="eastAsia" w:ascii="宋体" w:hAnsi="宋体" w:cs="宋体"/>
          <w:spacing w:val="5"/>
          <w:sz w:val="24"/>
          <w:lang w:val="zh-CN" w:bidi="zh-CN"/>
        </w:rPr>
        <w:t xml:space="preserve">）</w:t>
      </w:r>
      <w:r>
        <w:rPr>
          <w:rFonts w:hint="eastAsia" w:ascii="宋体" w:hAnsi="宋体" w:cs="宋体"/>
          <w:sz w:val="24"/>
          <w:lang w:val="zh-CN" w:bidi="zh-CN"/>
        </w:rPr>
        <w:t xml:space="preserve">的规定，本公司（联合体）</w:t>
      </w:r>
      <w:r>
        <w:rPr>
          <w:rFonts w:hint="eastAsia" w:ascii="宋体" w:hAnsi="宋体" w:cs="宋体"/>
          <w:spacing w:val="-8"/>
          <w:sz w:val="24"/>
          <w:lang w:val="zh-CN" w:bidi="zh-CN"/>
        </w:rPr>
        <w:t xml:space="preserve">参加</w:t>
      </w:r>
      <w:r>
        <w:rPr>
          <w:rFonts w:hint="eastAsia" w:ascii="宋体" w:hAnsi="宋体" w:cs="宋体"/>
          <w:spacing w:val="-2"/>
          <w:sz w:val="24"/>
          <w:u w:val="single"/>
          <w:lang w:val="zh-CN" w:bidi="zh-CN"/>
        </w:rPr>
        <w:t xml:space="preserve">（单位名称）</w:t>
      </w:r>
      <w:r>
        <w:rPr>
          <w:rFonts w:hint="eastAsia" w:ascii="宋体" w:hAnsi="宋体" w:cs="宋体"/>
          <w:spacing w:val="-2"/>
          <w:sz w:val="24"/>
          <w:lang w:val="zh-CN" w:bidi="zh-CN"/>
        </w:rPr>
        <w:t xml:space="preserve">的</w:t>
      </w:r>
      <w:r>
        <w:rPr>
          <w:rFonts w:hint="eastAsia" w:ascii="宋体" w:hAnsi="宋体" w:cs="宋体"/>
          <w:spacing w:val="-2"/>
          <w:sz w:val="24"/>
          <w:u w:val="single"/>
          <w:lang w:val="zh-CN" w:bidi="zh-CN"/>
        </w:rPr>
        <w:t xml:space="preserve">（项目名称）</w:t>
      </w:r>
      <w:r>
        <w:rPr>
          <w:rFonts w:hint="eastAsia" w:ascii="宋体" w:hAnsi="宋体" w:cs="宋体"/>
          <w:spacing w:val="-2"/>
          <w:sz w:val="24"/>
          <w:lang w:val="zh-CN" w:bidi="zh-CN"/>
        </w:rPr>
        <w:t xml:space="preserve">采购活动</w:t>
      </w:r>
      <w:r>
        <w:rPr>
          <w:rFonts w:hint="eastAsia" w:ascii="宋体" w:hAnsi="宋体" w:cs="宋体"/>
          <w:spacing w:val="-1"/>
          <w:sz w:val="24"/>
          <w:lang w:val="zh-CN" w:bidi="zh-CN"/>
        </w:rPr>
        <w:t xml:space="preserve">，</w:t>
      </w:r>
      <w:r>
        <w:rPr>
          <w:rFonts w:hint="eastAsia" w:ascii="宋体" w:hAnsi="宋体" w:cs="宋体"/>
          <w:spacing w:val="-3"/>
          <w:sz w:val="24"/>
          <w:lang w:val="zh-CN" w:bidi="zh-CN"/>
        </w:rPr>
        <w:t xml:space="preserve">服务</w:t>
      </w:r>
      <w:r>
        <w:rPr>
          <w:rFonts w:hint="eastAsia" w:ascii="宋体" w:hAnsi="宋体" w:cs="宋体"/>
          <w:spacing w:val="5"/>
          <w:sz w:val="24"/>
          <w:lang w:val="zh-CN" w:bidi="zh-CN"/>
        </w:rPr>
        <w:t xml:space="preserve">全部由符合政策要求的中小企业承接</w:t>
      </w:r>
      <w:r>
        <w:rPr>
          <w:rFonts w:hint="eastAsia" w:ascii="宋体" w:hAnsi="宋体" w:cs="宋体"/>
          <w:spacing w:val="-154"/>
          <w:sz w:val="24"/>
          <w:lang w:val="zh-CN" w:bidi="zh-CN"/>
        </w:rPr>
        <w:t xml:space="preserve">。</w:t>
      </w:r>
      <w:r>
        <w:rPr>
          <w:rFonts w:hint="eastAsia" w:ascii="宋体" w:hAnsi="宋体" w:cs="宋体"/>
          <w:spacing w:val="6"/>
          <w:sz w:val="24"/>
          <w:lang w:val="zh-CN" w:bidi="zh-CN"/>
        </w:rPr>
        <w:t xml:space="preserve">相关企业</w:t>
      </w:r>
      <w:r>
        <w:rPr>
          <w:rFonts w:hint="eastAsia" w:ascii="宋体" w:hAnsi="宋体" w:cs="宋体"/>
          <w:spacing w:val="7"/>
          <w:sz w:val="24"/>
          <w:lang w:val="zh-CN" w:bidi="zh-CN"/>
        </w:rPr>
        <w:t xml:space="preserve">（</w:t>
      </w:r>
      <w:r>
        <w:rPr>
          <w:rFonts w:hint="eastAsia" w:ascii="宋体" w:hAnsi="宋体" w:cs="宋体"/>
          <w:spacing w:val="4"/>
          <w:sz w:val="24"/>
          <w:lang w:val="zh-CN" w:bidi="zh-CN"/>
        </w:rPr>
        <w:t xml:space="preserve">含联合</w:t>
      </w:r>
      <w:r>
        <w:rPr>
          <w:rFonts w:hint="eastAsia" w:ascii="宋体" w:hAnsi="宋体" w:cs="宋体"/>
          <w:sz w:val="24"/>
          <w:lang w:val="zh-CN" w:bidi="zh-CN"/>
        </w:rPr>
        <w:t xml:space="preserve">体中的中小企业、签订分包意</w:t>
      </w:r>
      <w:r>
        <w:rPr>
          <w:rFonts w:hint="eastAsia" w:ascii="宋体" w:hAnsi="宋体" w:cs="宋体"/>
          <w:spacing w:val="5"/>
          <w:sz w:val="24"/>
          <w:lang w:val="zh-CN" w:bidi="zh-CN"/>
        </w:rPr>
        <w:t xml:space="preserve">向协议的中小企业）的具体情况如下：</w:t>
      </w:r>
      <w:r/>
    </w:p>
    <w:p>
      <w:pPr>
        <w:ind w:left="218" w:firstLine="714"/>
        <w:spacing w:line="402" w:lineRule="exact"/>
        <w:tabs>
          <w:tab w:val="left" w:pos="1243" w:leader="none"/>
        </w:tabs>
        <w:rPr>
          <w:rFonts w:ascii="宋体" w:hAnsi="宋体" w:cs="宋体"/>
          <w:spacing w:val="5"/>
          <w:sz w:val="24"/>
          <w:u w:val="single"/>
          <w:lang w:val="zh-CN" w:bidi="zh-CN"/>
        </w:rPr>
      </w:pPr>
      <w:r>
        <w:rPr>
          <w:rFonts w:hint="eastAsia" w:ascii="宋体" w:hAnsi="宋体" w:cs="宋体"/>
          <w:spacing w:val="5"/>
          <w:sz w:val="24"/>
          <w:lang w:val="zh-CN" w:bidi="zh-CN"/>
        </w:rPr>
        <w:t xml:space="preserve">1.</w:t>
      </w:r>
      <w:r>
        <w:rPr>
          <w:rFonts w:hint="eastAsia" w:ascii="宋体" w:hAnsi="宋体" w:cs="宋体"/>
          <w:spacing w:val="5"/>
          <w:sz w:val="24"/>
          <w:u w:val="single"/>
          <w:lang w:val="zh-CN" w:bidi="zh-CN"/>
        </w:rPr>
        <w:t xml:space="preserve">（标的名称）</w:t>
      </w:r>
      <w:r>
        <w:rPr>
          <w:rFonts w:hint="eastAsia" w:ascii="宋体" w:hAnsi="宋体" w:cs="宋体"/>
          <w:spacing w:val="5"/>
          <w:sz w:val="24"/>
          <w:lang w:val="zh-CN" w:bidi="zh-CN"/>
        </w:rPr>
        <w:t xml:space="preserve">，属于</w:t>
      </w:r>
      <w:r>
        <w:rPr>
          <w:rFonts w:hint="eastAsia" w:ascii="宋体" w:hAnsi="宋体" w:cs="宋体"/>
          <w:spacing w:val="5"/>
          <w:sz w:val="24"/>
          <w:u w:val="single"/>
          <w:lang w:val="zh-CN" w:bidi="zh-CN"/>
        </w:rPr>
        <w:t xml:space="preserve">（采购文件中明确的所属行业）</w:t>
      </w:r>
      <w:r>
        <w:rPr>
          <w:rFonts w:hint="eastAsia" w:ascii="宋体" w:hAnsi="宋体" w:cs="宋体"/>
          <w:spacing w:val="5"/>
          <w:sz w:val="24"/>
          <w:lang w:val="zh-CN" w:bidi="zh-CN"/>
        </w:rPr>
        <w:t xml:space="preserve">；承建（承接）企业为</w:t>
      </w:r>
      <w:r>
        <w:rPr>
          <w:rFonts w:hint="eastAsia" w:ascii="宋体" w:hAnsi="宋体" w:cs="宋体"/>
          <w:spacing w:val="5"/>
          <w:sz w:val="24"/>
          <w:u w:val="single"/>
          <w:lang w:val="zh-CN" w:bidi="zh-CN"/>
        </w:rPr>
        <w:t xml:space="preserve">（企业名称）</w:t>
      </w:r>
      <w:r>
        <w:rPr>
          <w:rFonts w:hint="eastAsia" w:ascii="宋体" w:hAnsi="宋体" w:cs="宋体"/>
          <w:spacing w:val="5"/>
          <w:sz w:val="24"/>
          <w:lang w:val="zh-CN" w:bidi="zh-CN"/>
        </w:rPr>
        <w:t xml:space="preserve">，从</w:t>
      </w:r>
      <w:r>
        <w:rPr>
          <w:rFonts w:hint="eastAsia" w:ascii="宋体" w:hAnsi="宋体" w:cs="宋体"/>
          <w:spacing w:val="7"/>
          <w:sz w:val="24"/>
          <w:lang w:val="zh-CN" w:bidi="zh-CN"/>
        </w:rPr>
        <w:t xml:space="preserve">业</w:t>
      </w:r>
      <w:r>
        <w:rPr>
          <w:rFonts w:hint="eastAsia" w:ascii="宋体" w:hAnsi="宋体" w:cs="宋体"/>
          <w:spacing w:val="5"/>
          <w:sz w:val="24"/>
          <w:lang w:val="zh-CN" w:bidi="zh-CN"/>
        </w:rPr>
        <w:t xml:space="preserve">人</w:t>
      </w:r>
      <w:r>
        <w:rPr>
          <w:rFonts w:hint="eastAsia" w:ascii="宋体" w:hAnsi="宋体" w:cs="宋体"/>
          <w:spacing w:val="7"/>
          <w:sz w:val="24"/>
          <w:lang w:val="zh-CN" w:bidi="zh-CN"/>
        </w:rPr>
        <w:t xml:space="preserve">员</w:t>
      </w:r>
      <w:r>
        <w:rPr>
          <w:rFonts w:hint="eastAsia" w:ascii="宋体" w:hAnsi="宋体" w:cs="宋体"/>
          <w:sz w:val="24"/>
          <w:u w:val="single"/>
          <w:lang w:val="zh-CN" w:bidi="zh-CN"/>
        </w:rPr>
        <w:tab/>
      </w:r>
      <w:r>
        <w:rPr>
          <w:rFonts w:hint="eastAsia" w:ascii="宋体" w:hAnsi="宋体" w:cs="宋体"/>
          <w:spacing w:val="7"/>
          <w:sz w:val="24"/>
          <w:lang w:val="zh-CN" w:bidi="zh-CN"/>
        </w:rPr>
        <w:t xml:space="preserve">人</w:t>
      </w:r>
      <w:r>
        <w:rPr>
          <w:rFonts w:hint="eastAsia" w:ascii="宋体" w:hAnsi="宋体" w:cs="宋体"/>
          <w:spacing w:val="5"/>
          <w:sz w:val="24"/>
          <w:lang w:val="zh-CN" w:bidi="zh-CN"/>
        </w:rPr>
        <w:t xml:space="preserve">，</w:t>
      </w:r>
      <w:r>
        <w:rPr>
          <w:rFonts w:hint="eastAsia" w:ascii="宋体" w:hAnsi="宋体" w:cs="宋体"/>
          <w:spacing w:val="7"/>
          <w:sz w:val="24"/>
          <w:lang w:val="zh-CN" w:bidi="zh-CN"/>
        </w:rPr>
        <w:t xml:space="preserve">营</w:t>
      </w:r>
      <w:r>
        <w:rPr>
          <w:rFonts w:hint="eastAsia" w:ascii="宋体" w:hAnsi="宋体" w:cs="宋体"/>
          <w:sz w:val="24"/>
          <w:lang w:val="zh-CN" w:bidi="zh-CN"/>
        </w:rPr>
        <w:t xml:space="preserve">业收入为</w:t>
      </w:r>
      <w:r>
        <w:rPr>
          <w:rFonts w:hint="eastAsia" w:ascii="宋体" w:hAnsi="宋体" w:cs="宋体"/>
          <w:sz w:val="24"/>
          <w:u w:val="single"/>
          <w:lang w:val="zh-CN" w:bidi="zh-CN"/>
        </w:rPr>
        <w:tab/>
      </w:r>
      <w:r>
        <w:rPr>
          <w:rFonts w:hint="eastAsia" w:ascii="宋体" w:hAnsi="宋体" w:cs="宋体"/>
          <w:sz w:val="24"/>
          <w:lang w:val="zh-CN" w:bidi="zh-CN"/>
        </w:rPr>
        <w:t xml:space="preserve">万元，资产总</w:t>
      </w:r>
      <w:r>
        <w:rPr>
          <w:rFonts w:hint="eastAsia" w:ascii="宋体" w:hAnsi="宋体" w:cs="宋体"/>
          <w:spacing w:val="-3"/>
          <w:sz w:val="24"/>
          <w:lang w:val="zh-CN" w:bidi="zh-CN"/>
        </w:rPr>
        <w:t xml:space="preserve">额为</w:t>
      </w:r>
      <w:r>
        <w:rPr>
          <w:rFonts w:hint="eastAsia" w:ascii="宋体" w:hAnsi="宋体" w:cs="宋体"/>
          <w:spacing w:val="-3"/>
          <w:sz w:val="24"/>
          <w:u w:val="single"/>
          <w:lang w:val="zh-CN" w:bidi="zh-CN"/>
        </w:rPr>
        <w:tab/>
      </w:r>
      <w:r>
        <w:rPr>
          <w:rFonts w:hint="eastAsia" w:ascii="宋体" w:hAnsi="宋体" w:cs="宋体"/>
          <w:spacing w:val="-3"/>
          <w:sz w:val="24"/>
          <w:lang w:val="zh-CN" w:bidi="zh-CN"/>
        </w:rPr>
        <w:t xml:space="preserve">万元</w:t>
      </w:r>
      <w:r>
        <w:fldChar w:fldCharType="begin"/>
      </w:r>
      <w:r>
        <w:instrText xml:space="preserve"> HYPERLINK "file:///Z:\\招标代理\\天信\\2025年\\公路事业中心\\官塘桥路路面保洁项目\\招标文件-官塘桥路路面保洁项目9.17.docx" \l "_bookmark1" </w:instrText>
      </w:r>
      <w:r>
        <w:fldChar w:fldCharType="separate"/>
      </w:r>
      <w:r>
        <w:rPr>
          <w:rStyle w:val="847"/>
          <w:rFonts w:hint="eastAsia" w:ascii="宋体" w:hAnsi="宋体" w:cs="宋体"/>
          <w:spacing w:val="-3"/>
          <w:sz w:val="24"/>
          <w:vertAlign w:val="superscript"/>
          <w:lang w:bidi="zh-CN"/>
        </w:rPr>
        <w:t xml:space="preserve">1</w:t>
      </w:r>
      <w:r>
        <w:rPr>
          <w:rStyle w:val="847"/>
          <w:rFonts w:hint="eastAsia" w:ascii="宋体" w:hAnsi="宋体" w:cs="宋体"/>
          <w:spacing w:val="-3"/>
          <w:sz w:val="24"/>
          <w:vertAlign w:val="superscript"/>
          <w:lang w:bidi="zh-CN"/>
        </w:rPr>
        <w:fldChar w:fldCharType="end"/>
      </w:r>
      <w:r>
        <w:rPr>
          <w:rFonts w:hint="eastAsia" w:ascii="宋体" w:hAnsi="宋体" w:cs="宋体"/>
          <w:spacing w:val="-3"/>
          <w:sz w:val="24"/>
          <w:lang w:val="zh-CN" w:bidi="zh-CN"/>
        </w:rPr>
        <w:t xml:space="preserve">，属于</w:t>
      </w:r>
      <w:r>
        <w:rPr>
          <w:rFonts w:hint="eastAsia" w:ascii="宋体" w:hAnsi="宋体" w:cs="宋体"/>
          <w:spacing w:val="-3"/>
          <w:sz w:val="24"/>
          <w:u w:val="single"/>
          <w:lang w:val="zh-CN" w:bidi="zh-CN"/>
        </w:rPr>
        <w:t xml:space="preserve">（中型企业、小型企业、微型企业）；</w:t>
      </w:r>
      <w:r/>
    </w:p>
    <w:p>
      <w:pPr>
        <w:ind w:left="220" w:right="417" w:firstLine="645"/>
        <w:spacing w:before="108" w:line="302" w:lineRule="auto"/>
        <w:rPr>
          <w:rFonts w:ascii="宋体" w:hAnsi="宋体" w:cs="宋体"/>
          <w:spacing w:val="-3"/>
          <w:sz w:val="24"/>
          <w:lang w:val="zh-CN" w:bidi="zh-CN"/>
        </w:rPr>
      </w:pPr>
      <w:r>
        <w:rPr>
          <w:rFonts w:hint="eastAsia" w:ascii="宋体" w:hAnsi="宋体" w:cs="宋体"/>
          <w:spacing w:val="-3"/>
          <w:sz w:val="24"/>
          <w:lang w:val="zh-CN" w:bidi="zh-CN"/>
        </w:rPr>
        <w:t xml:space="preserve">2.</w:t>
      </w:r>
      <w:r>
        <w:rPr>
          <w:rFonts w:hint="eastAsia" w:ascii="宋体" w:hAnsi="宋体" w:cs="宋体"/>
          <w:spacing w:val="-3"/>
          <w:sz w:val="24"/>
          <w:u w:val="single"/>
          <w:lang w:val="zh-CN" w:bidi="zh-CN"/>
        </w:rPr>
        <w:t xml:space="preserve">（标的名称）</w:t>
      </w:r>
      <w:r>
        <w:rPr>
          <w:rFonts w:hint="eastAsia" w:ascii="宋体" w:hAnsi="宋体" w:cs="宋体"/>
          <w:spacing w:val="-3"/>
          <w:sz w:val="24"/>
          <w:lang w:val="zh-CN" w:bidi="zh-CN"/>
        </w:rPr>
        <w:t xml:space="preserve">，属于</w:t>
      </w:r>
      <w:r>
        <w:rPr>
          <w:rFonts w:hint="eastAsia" w:ascii="宋体" w:hAnsi="宋体" w:cs="宋体"/>
          <w:spacing w:val="-3"/>
          <w:sz w:val="24"/>
          <w:u w:val="single"/>
          <w:lang w:val="zh-CN" w:bidi="zh-CN"/>
        </w:rPr>
        <w:t xml:space="preserve">（采购文件中明确的所属行业）</w:t>
      </w:r>
      <w:r>
        <w:rPr>
          <w:rFonts w:hint="eastAsia" w:ascii="宋体" w:hAnsi="宋体" w:cs="宋体"/>
          <w:spacing w:val="-3"/>
          <w:sz w:val="24"/>
          <w:lang w:val="zh-CN" w:bidi="zh-CN"/>
        </w:rPr>
        <w:t xml:space="preserve">；承建（承接）企业为</w:t>
      </w:r>
      <w:r>
        <w:rPr>
          <w:rFonts w:hint="eastAsia" w:ascii="宋体" w:hAnsi="宋体" w:cs="宋体"/>
          <w:spacing w:val="-3"/>
          <w:sz w:val="24"/>
          <w:u w:val="single"/>
          <w:lang w:val="zh-CN" w:bidi="zh-CN"/>
        </w:rPr>
        <w:t xml:space="preserve">（企业名称）</w:t>
      </w:r>
      <w:r>
        <w:rPr>
          <w:rFonts w:hint="eastAsia" w:ascii="宋体" w:hAnsi="宋体" w:cs="宋体"/>
          <w:spacing w:val="-3"/>
          <w:sz w:val="24"/>
          <w:lang w:val="zh-CN" w:bidi="zh-CN"/>
        </w:rPr>
        <w:t xml:space="preserve">，从业人员</w:t>
      </w:r>
      <w:r>
        <w:rPr>
          <w:rFonts w:hint="eastAsia" w:ascii="宋体" w:hAnsi="宋体" w:cs="宋体"/>
          <w:spacing w:val="-3"/>
          <w:sz w:val="24"/>
          <w:u w:val="single"/>
          <w:lang w:val="zh-CN" w:bidi="zh-CN"/>
        </w:rPr>
        <w:tab/>
      </w:r>
      <w:r>
        <w:rPr>
          <w:rFonts w:hint="eastAsia" w:ascii="宋体" w:hAnsi="宋体" w:cs="宋体"/>
          <w:spacing w:val="-3"/>
          <w:sz w:val="24"/>
          <w:lang w:val="zh-CN" w:bidi="zh-CN"/>
        </w:rPr>
        <w:t xml:space="preserve">人，营业收入为</w:t>
      </w:r>
      <w:r>
        <w:rPr>
          <w:rFonts w:hint="eastAsia" w:ascii="宋体" w:hAnsi="宋体" w:cs="宋体"/>
          <w:spacing w:val="-3"/>
          <w:sz w:val="24"/>
          <w:u w:val="single"/>
          <w:lang w:val="zh-CN" w:bidi="zh-CN"/>
        </w:rPr>
        <w:tab/>
      </w:r>
      <w:r>
        <w:rPr>
          <w:rFonts w:hint="eastAsia" w:ascii="宋体" w:hAnsi="宋体" w:cs="宋体"/>
          <w:spacing w:val="-3"/>
          <w:sz w:val="24"/>
          <w:lang w:val="zh-CN" w:bidi="zh-CN"/>
        </w:rPr>
        <w:t xml:space="preserve">万元，资产总额为</w:t>
      </w:r>
      <w:r>
        <w:rPr>
          <w:rFonts w:hint="eastAsia" w:ascii="宋体" w:hAnsi="宋体" w:cs="宋体"/>
          <w:spacing w:val="-3"/>
          <w:sz w:val="24"/>
          <w:u w:val="single"/>
          <w:lang w:val="zh-CN" w:bidi="zh-CN"/>
        </w:rPr>
        <w:tab/>
      </w:r>
      <w:r>
        <w:rPr>
          <w:rFonts w:hint="eastAsia" w:ascii="宋体" w:hAnsi="宋体" w:cs="宋体"/>
          <w:spacing w:val="-3"/>
          <w:sz w:val="24"/>
          <w:lang w:val="zh-CN" w:bidi="zh-CN"/>
        </w:rPr>
        <w:t xml:space="preserve">万元，属于</w:t>
      </w:r>
      <w:r>
        <w:rPr>
          <w:rFonts w:hint="eastAsia" w:ascii="宋体" w:hAnsi="宋体" w:cs="宋体"/>
          <w:spacing w:val="-3"/>
          <w:sz w:val="24"/>
          <w:u w:val="single"/>
          <w:lang w:val="zh-CN" w:bidi="zh-CN"/>
        </w:rPr>
        <w:t xml:space="preserve">（中型企业、小型企业、微型企业）；</w:t>
      </w:r>
      <w:r/>
    </w:p>
    <w:p>
      <w:pPr>
        <w:ind w:left="220" w:right="417" w:firstLine="645"/>
        <w:spacing w:before="108" w:line="302" w:lineRule="auto"/>
        <w:rPr>
          <w:rFonts w:ascii="宋体" w:hAnsi="宋体" w:cs="宋体"/>
          <w:spacing w:val="-3"/>
          <w:sz w:val="24"/>
          <w:lang w:val="zh-CN" w:bidi="zh-CN"/>
        </w:rPr>
      </w:pPr>
      <w:r>
        <w:rPr>
          <w:rFonts w:hint="eastAsia" w:ascii="宋体" w:hAnsi="宋体" w:cs="宋体"/>
          <w:spacing w:val="-3"/>
          <w:sz w:val="24"/>
          <w:lang w:val="zh-CN" w:bidi="zh-CN"/>
        </w:rPr>
        <w:t xml:space="preserve">……</w:t>
      </w:r>
      <w:r/>
    </w:p>
    <w:p>
      <w:pPr>
        <w:ind w:left="220" w:right="417" w:firstLine="468"/>
        <w:spacing w:before="108" w:line="302" w:lineRule="auto"/>
        <w:rPr>
          <w:rFonts w:ascii="宋体" w:hAnsi="宋体" w:cs="宋体"/>
          <w:sz w:val="24"/>
          <w:lang w:val="zh-CN" w:bidi="zh-CN"/>
        </w:rPr>
      </w:pPr>
      <w:r>
        <w:rPr>
          <w:rFonts w:hint="eastAsia" w:ascii="宋体" w:hAnsi="宋体" w:cs="宋体"/>
          <w:spacing w:val="-3"/>
          <w:sz w:val="24"/>
          <w:lang w:val="zh-CN" w:bidi="zh-CN"/>
        </w:rPr>
        <w:t xml:space="preserve">以上企业，不属于大企业的分支机构，不存在控股股东</w:t>
      </w:r>
      <w:r>
        <w:rPr>
          <w:rFonts w:hint="eastAsia" w:ascii="宋体" w:hAnsi="宋体" w:cs="宋体"/>
          <w:spacing w:val="-5"/>
          <w:sz w:val="24"/>
          <w:lang w:val="zh-CN" w:bidi="zh-CN"/>
        </w:rPr>
        <w:t xml:space="preserve">为大企业的情形，也不存在与大企业的负责人为同一人的情形。</w:t>
      </w:r>
      <w:r/>
    </w:p>
    <w:p>
      <w:pPr>
        <w:ind w:right="375" w:firstLine="720"/>
        <w:jc w:val="left"/>
        <w:spacing w:line="302" w:lineRule="auto"/>
        <w:rPr>
          <w:rFonts w:ascii="宋体" w:hAnsi="宋体" w:cs="宋体"/>
          <w:sz w:val="24"/>
          <w:lang w:val="zh-CN" w:bidi="zh-CN"/>
        </w:rPr>
      </w:pPr>
      <w:r>
        <w:rPr>
          <w:rFonts w:hint="eastAsia" w:ascii="宋体" w:hAnsi="宋体" w:cs="宋体"/>
          <w:sz w:val="24"/>
          <w:lang w:val="zh-CN" w:bidi="zh-CN"/>
        </w:rPr>
        <w:t xml:space="preserve">本企业对上述声明内容的真实性负责。如有虚假，将依法承担相应责任。</w:t>
      </w:r>
      <w:r/>
    </w:p>
    <w:p>
      <w:pPr>
        <w:jc w:val="center"/>
        <w:spacing w:line="560" w:lineRule="exact"/>
        <w:tabs>
          <w:tab w:val="left" w:pos="567" w:leader="none"/>
          <w:tab w:val="left" w:pos="709" w:leader="none"/>
          <w:tab w:val="left" w:pos="993" w:leader="none"/>
        </w:tabs>
        <w:rPr>
          <w:rFonts w:ascii="宋体" w:hAnsi="宋体" w:cs="宋体"/>
          <w:spacing w:val="-8"/>
          <w:sz w:val="24"/>
          <w:lang w:val="zh-CN" w:bidi="zh-CN"/>
        </w:rPr>
      </w:pPr>
      <w:r>
        <w:rPr>
          <w:rFonts w:hint="eastAsia" w:ascii="宋体" w:hAnsi="宋体" w:cs="宋体"/>
          <w:spacing w:val="24"/>
          <w:sz w:val="24"/>
          <w:lang w:val="zh-CN" w:bidi="zh-CN"/>
        </w:rPr>
        <w:t xml:space="preserve">企业名称（盖章）：</w:t>
      </w:r>
      <w:r/>
    </w:p>
    <w:p>
      <w:pPr>
        <w:ind w:firstLine="3312"/>
        <w:jc w:val="left"/>
        <w:rPr>
          <w:rFonts w:ascii="宋体" w:hAnsi="宋体" w:cs="宋体"/>
          <w:b/>
          <w:sz w:val="32"/>
          <w:szCs w:val="32"/>
        </w:rPr>
      </w:pPr>
      <w:r>
        <w:rPr>
          <w:rFonts w:hint="eastAsia" w:ascii="宋体" w:hAnsi="宋体" w:cs="宋体"/>
          <w:spacing w:val="24"/>
          <w:sz w:val="24"/>
          <w:lang w:val="zh-CN" w:bidi="zh-CN"/>
        </w:rPr>
        <w:t xml:space="preserve">日期：</w:t>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sz w:val="24"/>
        </w:rPr>
        <w:t xml:space="preserve">注：从业人员、营业收入、资产总额填报上一年度数据，无上一年度数据的新成立企业可不填报。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S Mincho">
    <w:panose1 w:val="02020603050405090304"/>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5698557"/>
      <w:rPr/>
    </w:sdtPr>
    <w:sdtContent>
      <w:p>
        <w:pPr>
          <w:pStyle w:val="83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827"/>
    <w:link w:val="824"/>
    <w:uiPriority w:val="9"/>
    <w:rPr>
      <w:rFonts w:ascii="Arial" w:hAnsi="Arial" w:eastAsia="Arial" w:cs="Arial"/>
      <w:sz w:val="40"/>
      <w:szCs w:val="40"/>
    </w:rPr>
  </w:style>
  <w:style w:type="character" w:styleId="663">
    <w:name w:val="Heading 2 Char"/>
    <w:basedOn w:val="827"/>
    <w:link w:val="825"/>
    <w:uiPriority w:val="9"/>
    <w:rPr>
      <w:rFonts w:ascii="Arial" w:hAnsi="Arial" w:eastAsia="Arial" w:cs="Arial"/>
      <w:sz w:val="34"/>
    </w:rPr>
  </w:style>
  <w:style w:type="character" w:styleId="664">
    <w:name w:val="Heading 3 Char"/>
    <w:basedOn w:val="827"/>
    <w:link w:val="826"/>
    <w:uiPriority w:val="9"/>
    <w:rPr>
      <w:rFonts w:ascii="Arial" w:hAnsi="Arial" w:eastAsia="Arial" w:cs="Arial"/>
      <w:sz w:val="30"/>
      <w:szCs w:val="30"/>
    </w:rPr>
  </w:style>
  <w:style w:type="paragraph" w:styleId="665">
    <w:name w:val="Heading 4"/>
    <w:basedOn w:val="823"/>
    <w:next w:val="823"/>
    <w:link w:val="666"/>
    <w:uiPriority w:val="9"/>
    <w:unhideWhenUsed/>
    <w:qFormat/>
    <w:pPr>
      <w:keepLines/>
      <w:keepNext/>
      <w:spacing w:before="320" w:after="200"/>
      <w:outlineLvl w:val="3"/>
    </w:pPr>
    <w:rPr>
      <w:rFonts w:ascii="Arial" w:hAnsi="Arial" w:eastAsia="Arial" w:cs="Arial"/>
      <w:b/>
      <w:bCs/>
      <w:sz w:val="26"/>
      <w:szCs w:val="26"/>
    </w:rPr>
  </w:style>
  <w:style w:type="character" w:styleId="666">
    <w:name w:val="Heading 4 Char"/>
    <w:basedOn w:val="827"/>
    <w:link w:val="665"/>
    <w:uiPriority w:val="9"/>
    <w:rPr>
      <w:rFonts w:ascii="Arial" w:hAnsi="Arial" w:eastAsia="Arial" w:cs="Arial"/>
      <w:b/>
      <w:bCs/>
      <w:sz w:val="26"/>
      <w:szCs w:val="26"/>
    </w:rPr>
  </w:style>
  <w:style w:type="paragraph" w:styleId="667">
    <w:name w:val="Heading 5"/>
    <w:basedOn w:val="823"/>
    <w:next w:val="823"/>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basedOn w:val="827"/>
    <w:link w:val="667"/>
    <w:uiPriority w:val="9"/>
    <w:rPr>
      <w:rFonts w:ascii="Arial" w:hAnsi="Arial" w:eastAsia="Arial" w:cs="Arial"/>
      <w:b/>
      <w:bCs/>
      <w:sz w:val="24"/>
      <w:szCs w:val="24"/>
    </w:rPr>
  </w:style>
  <w:style w:type="paragraph" w:styleId="669">
    <w:name w:val="Heading 6"/>
    <w:basedOn w:val="823"/>
    <w:next w:val="823"/>
    <w:link w:val="670"/>
    <w:uiPriority w:val="9"/>
    <w:unhideWhenUsed/>
    <w:qFormat/>
    <w:pPr>
      <w:keepLines/>
      <w:keepNext/>
      <w:spacing w:before="320" w:after="200"/>
      <w:outlineLvl w:val="5"/>
    </w:pPr>
    <w:rPr>
      <w:rFonts w:ascii="Arial" w:hAnsi="Arial" w:eastAsia="Arial" w:cs="Arial"/>
      <w:b/>
      <w:bCs/>
      <w:sz w:val="22"/>
      <w:szCs w:val="22"/>
    </w:rPr>
  </w:style>
  <w:style w:type="character" w:styleId="670">
    <w:name w:val="Heading 6 Char"/>
    <w:basedOn w:val="827"/>
    <w:link w:val="669"/>
    <w:uiPriority w:val="9"/>
    <w:rPr>
      <w:rFonts w:ascii="Arial" w:hAnsi="Arial" w:eastAsia="Arial" w:cs="Arial"/>
      <w:b/>
      <w:bCs/>
      <w:sz w:val="22"/>
      <w:szCs w:val="22"/>
    </w:rPr>
  </w:style>
  <w:style w:type="paragraph" w:styleId="671">
    <w:name w:val="Heading 7"/>
    <w:basedOn w:val="823"/>
    <w:next w:val="823"/>
    <w:link w:val="672"/>
    <w:uiPriority w:val="9"/>
    <w:unhideWhenUsed/>
    <w:qFormat/>
    <w:pPr>
      <w:keepLines/>
      <w:keepNext/>
      <w:spacing w:before="320" w:after="200"/>
      <w:outlineLvl w:val="6"/>
    </w:pPr>
    <w:rPr>
      <w:rFonts w:ascii="Arial" w:hAnsi="Arial" w:eastAsia="Arial" w:cs="Arial"/>
      <w:b/>
      <w:bCs/>
      <w:i/>
      <w:iCs/>
      <w:sz w:val="22"/>
      <w:szCs w:val="22"/>
    </w:rPr>
  </w:style>
  <w:style w:type="character" w:styleId="672">
    <w:name w:val="Heading 7 Char"/>
    <w:basedOn w:val="827"/>
    <w:link w:val="671"/>
    <w:uiPriority w:val="9"/>
    <w:rPr>
      <w:rFonts w:ascii="Arial" w:hAnsi="Arial" w:eastAsia="Arial" w:cs="Arial"/>
      <w:b/>
      <w:bCs/>
      <w:i/>
      <w:iCs/>
      <w:sz w:val="22"/>
      <w:szCs w:val="22"/>
    </w:rPr>
  </w:style>
  <w:style w:type="paragraph" w:styleId="673">
    <w:name w:val="Heading 8"/>
    <w:basedOn w:val="823"/>
    <w:next w:val="823"/>
    <w:link w:val="674"/>
    <w:uiPriority w:val="9"/>
    <w:unhideWhenUsed/>
    <w:qFormat/>
    <w:pPr>
      <w:keepLines/>
      <w:keepNext/>
      <w:spacing w:before="320" w:after="200"/>
      <w:outlineLvl w:val="7"/>
    </w:pPr>
    <w:rPr>
      <w:rFonts w:ascii="Arial" w:hAnsi="Arial" w:eastAsia="Arial" w:cs="Arial"/>
      <w:i/>
      <w:iCs/>
      <w:sz w:val="22"/>
      <w:szCs w:val="22"/>
    </w:rPr>
  </w:style>
  <w:style w:type="character" w:styleId="674">
    <w:name w:val="Heading 8 Char"/>
    <w:basedOn w:val="827"/>
    <w:link w:val="673"/>
    <w:uiPriority w:val="9"/>
    <w:rPr>
      <w:rFonts w:ascii="Arial" w:hAnsi="Arial" w:eastAsia="Arial" w:cs="Arial"/>
      <w:i/>
      <w:iCs/>
      <w:sz w:val="22"/>
      <w:szCs w:val="22"/>
    </w:rPr>
  </w:style>
  <w:style w:type="paragraph" w:styleId="675">
    <w:name w:val="Heading 9"/>
    <w:basedOn w:val="823"/>
    <w:next w:val="823"/>
    <w:link w:val="676"/>
    <w:uiPriority w:val="9"/>
    <w:unhideWhenUsed/>
    <w:qFormat/>
    <w:pPr>
      <w:keepLines/>
      <w:keepNext/>
      <w:spacing w:before="320" w:after="200"/>
      <w:outlineLvl w:val="8"/>
    </w:pPr>
    <w:rPr>
      <w:rFonts w:ascii="Arial" w:hAnsi="Arial" w:eastAsia="Arial" w:cs="Arial"/>
      <w:i/>
      <w:iCs/>
      <w:sz w:val="21"/>
      <w:szCs w:val="21"/>
    </w:rPr>
  </w:style>
  <w:style w:type="character" w:styleId="676">
    <w:name w:val="Heading 9 Char"/>
    <w:basedOn w:val="827"/>
    <w:link w:val="675"/>
    <w:uiPriority w:val="9"/>
    <w:rPr>
      <w:rFonts w:ascii="Arial" w:hAnsi="Arial" w:eastAsia="Arial" w:cs="Arial"/>
      <w:i/>
      <w:iCs/>
      <w:sz w:val="21"/>
      <w:szCs w:val="21"/>
    </w:rPr>
  </w:style>
  <w:style w:type="paragraph" w:styleId="677">
    <w:name w:val="No Spacing"/>
    <w:uiPriority w:val="1"/>
    <w:qFormat/>
    <w:pPr>
      <w:spacing w:before="0" w:after="0" w:line="240" w:lineRule="auto"/>
    </w:pPr>
  </w:style>
  <w:style w:type="paragraph" w:styleId="678">
    <w:name w:val="Title"/>
    <w:basedOn w:val="823"/>
    <w:next w:val="823"/>
    <w:link w:val="679"/>
    <w:uiPriority w:val="10"/>
    <w:qFormat/>
    <w:pPr>
      <w:contextualSpacing/>
      <w:spacing w:before="300" w:after="200"/>
    </w:pPr>
    <w:rPr>
      <w:sz w:val="48"/>
      <w:szCs w:val="48"/>
    </w:rPr>
  </w:style>
  <w:style w:type="character" w:styleId="679">
    <w:name w:val="Title Char"/>
    <w:basedOn w:val="827"/>
    <w:link w:val="678"/>
    <w:uiPriority w:val="10"/>
    <w:rPr>
      <w:sz w:val="48"/>
      <w:szCs w:val="48"/>
    </w:rPr>
  </w:style>
  <w:style w:type="paragraph" w:styleId="680">
    <w:name w:val="Subtitle"/>
    <w:basedOn w:val="823"/>
    <w:next w:val="823"/>
    <w:link w:val="681"/>
    <w:uiPriority w:val="11"/>
    <w:qFormat/>
    <w:pPr>
      <w:spacing w:before="200" w:after="200"/>
    </w:pPr>
    <w:rPr>
      <w:sz w:val="24"/>
      <w:szCs w:val="24"/>
    </w:rPr>
  </w:style>
  <w:style w:type="character" w:styleId="681">
    <w:name w:val="Subtitle Char"/>
    <w:basedOn w:val="827"/>
    <w:link w:val="680"/>
    <w:uiPriority w:val="11"/>
    <w:rPr>
      <w:sz w:val="24"/>
      <w:szCs w:val="24"/>
    </w:rPr>
  </w:style>
  <w:style w:type="paragraph" w:styleId="682">
    <w:name w:val="Quote"/>
    <w:basedOn w:val="823"/>
    <w:next w:val="823"/>
    <w:link w:val="683"/>
    <w:uiPriority w:val="29"/>
    <w:qFormat/>
    <w:pPr>
      <w:ind w:left="720" w:right="720"/>
    </w:pPr>
    <w:rPr>
      <w:i/>
    </w:rPr>
  </w:style>
  <w:style w:type="character" w:styleId="683">
    <w:name w:val="Quote Char"/>
    <w:link w:val="682"/>
    <w:uiPriority w:val="29"/>
    <w:rPr>
      <w:i/>
    </w:rPr>
  </w:style>
  <w:style w:type="paragraph" w:styleId="684">
    <w:name w:val="Intense Quote"/>
    <w:basedOn w:val="823"/>
    <w:next w:val="823"/>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27"/>
    <w:link w:val="839"/>
    <w:uiPriority w:val="99"/>
  </w:style>
  <w:style w:type="character" w:styleId="687">
    <w:name w:val="Footer Char"/>
    <w:basedOn w:val="827"/>
    <w:link w:val="838"/>
    <w:uiPriority w:val="99"/>
  </w:style>
  <w:style w:type="paragraph" w:styleId="688">
    <w:name w:val="Caption"/>
    <w:basedOn w:val="823"/>
    <w:next w:val="823"/>
    <w:uiPriority w:val="35"/>
    <w:semiHidden/>
    <w:unhideWhenUsed/>
    <w:qFormat/>
    <w:pPr>
      <w:spacing w:line="276" w:lineRule="auto"/>
    </w:pPr>
    <w:rPr>
      <w:b/>
      <w:bCs/>
      <w:color w:val="4f81bd" w:themeColor="accent1"/>
      <w:sz w:val="18"/>
      <w:szCs w:val="18"/>
    </w:rPr>
  </w:style>
  <w:style w:type="character" w:styleId="689">
    <w:name w:val="Caption Char"/>
    <w:basedOn w:val="688"/>
    <w:link w:val="838"/>
    <w:uiPriority w:val="99"/>
  </w:style>
  <w:style w:type="table" w:styleId="690">
    <w:name w:val="Table Grid Light"/>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5">
    <w:name w:val="footnote text"/>
    <w:basedOn w:val="823"/>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basedOn w:val="827"/>
    <w:uiPriority w:val="99"/>
    <w:unhideWhenUsed/>
    <w:rPr>
      <w:vertAlign w:val="superscript"/>
    </w:rPr>
  </w:style>
  <w:style w:type="paragraph" w:styleId="818">
    <w:name w:val="endnote text"/>
    <w:basedOn w:val="823"/>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basedOn w:val="827"/>
    <w:uiPriority w:val="99"/>
    <w:semiHidden/>
    <w:unhideWhenUsed/>
    <w:rPr>
      <w:vertAlign w:val="superscript"/>
    </w:r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4">
    <w:name w:val="Heading 1"/>
    <w:basedOn w:val="823"/>
    <w:next w:val="823"/>
    <w:link w:val="853"/>
    <w:uiPriority w:val="9"/>
    <w:qFormat/>
    <w:pPr>
      <w:jc w:val="center"/>
      <w:keepLines/>
      <w:keepNext/>
      <w:spacing w:line="360" w:lineRule="auto"/>
      <w:outlineLvl w:val="0"/>
    </w:pPr>
    <w:rPr>
      <w:b/>
      <w:bCs/>
      <w:sz w:val="44"/>
      <w:szCs w:val="44"/>
    </w:rPr>
  </w:style>
  <w:style w:type="paragraph" w:styleId="825">
    <w:name w:val="Heading 2"/>
    <w:basedOn w:val="823"/>
    <w:next w:val="823"/>
    <w:link w:val="851"/>
    <w:uiPriority w:val="9"/>
    <w:unhideWhenUsed/>
    <w:qFormat/>
    <w:pPr>
      <w:keepLines/>
      <w:keepNext/>
      <w:outlineLvl w:val="1"/>
    </w:pPr>
    <w:rPr>
      <w:rFonts w:asciiTheme="majorHAnsi" w:hAnsiTheme="majorHAnsi" w:eastAsiaTheme="majorEastAsia" w:cstheme="majorBidi"/>
      <w:b/>
      <w:bCs/>
      <w:sz w:val="28"/>
      <w:szCs w:val="32"/>
    </w:rPr>
  </w:style>
  <w:style w:type="paragraph" w:styleId="826">
    <w:name w:val="Heading 3"/>
    <w:basedOn w:val="823"/>
    <w:next w:val="823"/>
    <w:link w:val="858"/>
    <w:uiPriority w:val="9"/>
    <w:unhideWhenUsed/>
    <w:qFormat/>
    <w:pPr>
      <w:keepLines/>
      <w:keepNext/>
      <w:outlineLvl w:val="2"/>
    </w:pPr>
    <w:rPr>
      <w:b/>
      <w:bCs/>
      <w:sz w:val="28"/>
      <w:szCs w:val="32"/>
    </w:rPr>
  </w:style>
  <w:style w:type="character" w:styleId="827" w:default="1">
    <w:name w:val="Default Paragraph Font"/>
    <w:uiPriority w:val="1"/>
    <w:semiHidden/>
    <w:unhideWhenUsed/>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23"/>
    <w:next w:val="823"/>
    <w:uiPriority w:val="39"/>
    <w:unhideWhenUsed/>
    <w:qFormat/>
    <w:pPr>
      <w:ind w:left="2520"/>
    </w:pPr>
    <w:rPr>
      <w:rFonts w:asciiTheme="minorHAnsi" w:hAnsiTheme="minorHAnsi" w:eastAsiaTheme="minorEastAsia" w:cstheme="minorBidi"/>
      <w:szCs w:val="22"/>
    </w:rPr>
  </w:style>
  <w:style w:type="paragraph" w:styleId="830">
    <w:name w:val="Normal Indent"/>
    <w:basedOn w:val="823"/>
    <w:link w:val="857"/>
    <w:uiPriority w:val="0"/>
    <w:unhideWhenUsed/>
    <w:qFormat/>
    <w:pPr>
      <w:ind w:firstLine="420"/>
    </w:pPr>
    <w:rPr>
      <w:rFonts w:asciiTheme="minorHAnsi" w:hAnsiTheme="minorHAnsi" w:eastAsiaTheme="minorEastAsia" w:cstheme="minorBidi"/>
    </w:rPr>
  </w:style>
  <w:style w:type="paragraph" w:styleId="831">
    <w:name w:val="annotation text"/>
    <w:basedOn w:val="823"/>
    <w:uiPriority w:val="99"/>
    <w:semiHidden/>
    <w:unhideWhenUsed/>
    <w:qFormat/>
    <w:pPr>
      <w:jc w:val="left"/>
    </w:pPr>
  </w:style>
  <w:style w:type="paragraph" w:styleId="832">
    <w:name w:val="Body Text"/>
    <w:basedOn w:val="823"/>
    <w:link w:val="861"/>
    <w:uiPriority w:val="0"/>
    <w:semiHidden/>
    <w:unhideWhenUsed/>
    <w:qFormat/>
    <w:rPr>
      <w:rFonts w:ascii="楷体_GB2312" w:hAnsi="Arial" w:eastAsia="楷体_GB2312" w:cstheme="minorBidi"/>
      <w:sz w:val="28"/>
      <w:szCs w:val="22"/>
    </w:rPr>
  </w:style>
  <w:style w:type="paragraph" w:styleId="833">
    <w:name w:val="Body Text Indent"/>
    <w:basedOn w:val="823"/>
    <w:link w:val="870"/>
    <w:uiPriority w:val="99"/>
    <w:semiHidden/>
    <w:unhideWhenUsed/>
    <w:qFormat/>
    <w:pPr>
      <w:ind w:left="420"/>
      <w:spacing w:after="120"/>
    </w:pPr>
  </w:style>
  <w:style w:type="paragraph" w:styleId="834">
    <w:name w:val="toc 5"/>
    <w:basedOn w:val="823"/>
    <w:next w:val="823"/>
    <w:uiPriority w:val="39"/>
    <w:unhideWhenUsed/>
    <w:qFormat/>
    <w:pPr>
      <w:ind w:left="1680"/>
    </w:pPr>
    <w:rPr>
      <w:rFonts w:asciiTheme="minorHAnsi" w:hAnsiTheme="minorHAnsi" w:eastAsiaTheme="minorEastAsia" w:cstheme="minorBidi"/>
      <w:szCs w:val="22"/>
    </w:rPr>
  </w:style>
  <w:style w:type="paragraph" w:styleId="835">
    <w:name w:val="toc 3"/>
    <w:basedOn w:val="823"/>
    <w:next w:val="823"/>
    <w:uiPriority w:val="39"/>
    <w:unhideWhenUsed/>
    <w:qFormat/>
    <w:pPr>
      <w:ind w:left="840"/>
    </w:pPr>
  </w:style>
  <w:style w:type="paragraph" w:styleId="836">
    <w:name w:val="toc 8"/>
    <w:basedOn w:val="823"/>
    <w:next w:val="823"/>
    <w:uiPriority w:val="39"/>
    <w:unhideWhenUsed/>
    <w:qFormat/>
    <w:pPr>
      <w:ind w:left="2940"/>
    </w:pPr>
    <w:rPr>
      <w:rFonts w:asciiTheme="minorHAnsi" w:hAnsiTheme="minorHAnsi" w:eastAsiaTheme="minorEastAsia" w:cstheme="minorBidi"/>
      <w:szCs w:val="22"/>
    </w:rPr>
  </w:style>
  <w:style w:type="paragraph" w:styleId="837">
    <w:name w:val="Balloon Text"/>
    <w:basedOn w:val="823"/>
    <w:link w:val="859"/>
    <w:uiPriority w:val="99"/>
    <w:semiHidden/>
    <w:unhideWhenUsed/>
    <w:qFormat/>
    <w:rPr>
      <w:sz w:val="18"/>
      <w:szCs w:val="18"/>
    </w:rPr>
  </w:style>
  <w:style w:type="paragraph" w:styleId="838">
    <w:name w:val="Footer"/>
    <w:basedOn w:val="823"/>
    <w:link w:val="850"/>
    <w:uiPriority w:val="99"/>
    <w:unhideWhenUsed/>
    <w:qFormat/>
    <w:pPr>
      <w:jc w:val="left"/>
      <w:tabs>
        <w:tab w:val="center" w:pos="4153" w:leader="none"/>
        <w:tab w:val="right" w:pos="8306" w:leader="none"/>
      </w:tabs>
    </w:pPr>
    <w:rPr>
      <w:sz w:val="18"/>
      <w:szCs w:val="18"/>
    </w:rPr>
  </w:style>
  <w:style w:type="paragraph" w:styleId="839">
    <w:name w:val="Header"/>
    <w:basedOn w:val="823"/>
    <w:link w:val="8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23"/>
    <w:next w:val="823"/>
    <w:uiPriority w:val="39"/>
    <w:unhideWhenUsed/>
    <w:qFormat/>
  </w:style>
  <w:style w:type="paragraph" w:styleId="841">
    <w:name w:val="toc 4"/>
    <w:basedOn w:val="823"/>
    <w:next w:val="823"/>
    <w:uiPriority w:val="39"/>
    <w:unhideWhenUsed/>
    <w:qFormat/>
    <w:pPr>
      <w:ind w:left="1260"/>
    </w:pPr>
    <w:rPr>
      <w:rFonts w:asciiTheme="minorHAnsi" w:hAnsiTheme="minorHAnsi" w:eastAsiaTheme="minorEastAsia" w:cstheme="minorBidi"/>
      <w:szCs w:val="22"/>
    </w:rPr>
  </w:style>
  <w:style w:type="paragraph" w:styleId="842">
    <w:name w:val="toc 6"/>
    <w:basedOn w:val="823"/>
    <w:next w:val="823"/>
    <w:uiPriority w:val="39"/>
    <w:unhideWhenUsed/>
    <w:qFormat/>
    <w:pPr>
      <w:ind w:left="2100"/>
    </w:pPr>
    <w:rPr>
      <w:rFonts w:asciiTheme="minorHAnsi" w:hAnsiTheme="minorHAnsi" w:eastAsiaTheme="minorEastAsia" w:cstheme="minorBidi"/>
      <w:szCs w:val="22"/>
    </w:rPr>
  </w:style>
  <w:style w:type="paragraph" w:styleId="843">
    <w:name w:val="Body Text Indent 3"/>
    <w:basedOn w:val="823"/>
    <w:link w:val="869"/>
    <w:uiPriority w:val="99"/>
    <w:semiHidden/>
    <w:unhideWhenUsed/>
    <w:qFormat/>
    <w:pPr>
      <w:ind w:left="420"/>
      <w:spacing w:after="120"/>
    </w:pPr>
    <w:rPr>
      <w:sz w:val="16"/>
      <w:szCs w:val="16"/>
    </w:rPr>
  </w:style>
  <w:style w:type="paragraph" w:styleId="844">
    <w:name w:val="toc 2"/>
    <w:basedOn w:val="823"/>
    <w:next w:val="823"/>
    <w:uiPriority w:val="39"/>
    <w:unhideWhenUsed/>
    <w:qFormat/>
    <w:pPr>
      <w:ind w:left="420"/>
    </w:pPr>
  </w:style>
  <w:style w:type="paragraph" w:styleId="845">
    <w:name w:val="toc 9"/>
    <w:basedOn w:val="823"/>
    <w:next w:val="823"/>
    <w:uiPriority w:val="39"/>
    <w:unhideWhenUsed/>
    <w:qFormat/>
    <w:pPr>
      <w:ind w:left="3360"/>
    </w:pPr>
    <w:rPr>
      <w:rFonts w:asciiTheme="minorHAnsi" w:hAnsiTheme="minorHAnsi" w:eastAsiaTheme="minorEastAsia" w:cstheme="minorBidi"/>
      <w:szCs w:val="22"/>
    </w:rPr>
  </w:style>
  <w:style w:type="table" w:styleId="846">
    <w:name w:val="Table Grid"/>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Hyperlink"/>
    <w:basedOn w:val="827"/>
    <w:uiPriority w:val="99"/>
    <w:unhideWhenUsed/>
    <w:qFormat/>
    <w:rPr>
      <w:color w:val="0000ff"/>
      <w:u w:val="none"/>
    </w:rPr>
  </w:style>
  <w:style w:type="character" w:styleId="848">
    <w:name w:val="annotation reference"/>
    <w:basedOn w:val="827"/>
    <w:uiPriority w:val="99"/>
    <w:semiHidden/>
    <w:unhideWhenUsed/>
    <w:qFormat/>
    <w:rPr>
      <w:sz w:val="21"/>
      <w:szCs w:val="21"/>
    </w:rPr>
  </w:style>
  <w:style w:type="character" w:styleId="849" w:customStyle="1">
    <w:name w:val="页眉 Char"/>
    <w:basedOn w:val="827"/>
    <w:link w:val="839"/>
    <w:uiPriority w:val="99"/>
    <w:qFormat/>
    <w:rPr>
      <w:sz w:val="18"/>
      <w:szCs w:val="18"/>
    </w:rPr>
  </w:style>
  <w:style w:type="character" w:styleId="850" w:customStyle="1">
    <w:name w:val="页脚 Char"/>
    <w:basedOn w:val="827"/>
    <w:link w:val="838"/>
    <w:uiPriority w:val="99"/>
    <w:qFormat/>
    <w:rPr>
      <w:sz w:val="18"/>
      <w:szCs w:val="18"/>
    </w:rPr>
  </w:style>
  <w:style w:type="character" w:styleId="851" w:customStyle="1">
    <w:name w:val="标题 2 Char"/>
    <w:basedOn w:val="827"/>
    <w:link w:val="825"/>
    <w:uiPriority w:val="9"/>
    <w:qFormat/>
    <w:rPr>
      <w:rFonts w:asciiTheme="majorHAnsi" w:hAnsiTheme="majorHAnsi" w:eastAsiaTheme="majorEastAsia" w:cstheme="majorBidi"/>
      <w:b/>
      <w:bCs/>
      <w:sz w:val="28"/>
      <w:szCs w:val="32"/>
    </w:rPr>
  </w:style>
  <w:style w:type="character" w:styleId="852" w:customStyle="1">
    <w:name w:val="标题 1 Char1"/>
    <w:uiPriority w:val="0"/>
    <w:qFormat/>
    <w:rPr>
      <w:rFonts w:hint="eastAsia" w:ascii="宋体" w:hAnsi="宋体" w:eastAsia="宋体"/>
      <w:b/>
      <w:sz w:val="44"/>
    </w:rPr>
  </w:style>
  <w:style w:type="character" w:styleId="853" w:customStyle="1">
    <w:name w:val="标题 1 Char"/>
    <w:basedOn w:val="827"/>
    <w:link w:val="824"/>
    <w:uiPriority w:val="9"/>
    <w:qFormat/>
    <w:rPr>
      <w:rFonts w:ascii="Times New Roman" w:hAnsi="Times New Roman" w:eastAsia="宋体" w:cs="Times New Roman"/>
      <w:b/>
      <w:bCs/>
      <w:sz w:val="44"/>
      <w:szCs w:val="44"/>
    </w:rPr>
  </w:style>
  <w:style w:type="character" w:styleId="854" w:customStyle="1">
    <w:name w:val="标题2 Char"/>
    <w:link w:val="855"/>
    <w:uiPriority w:val="0"/>
    <w:qFormat/>
    <w:rPr>
      <w:rFonts w:ascii="宋体" w:hAnsi="宋体" w:eastAsia="宋体"/>
      <w:b/>
      <w:bCs/>
      <w:sz w:val="28"/>
      <w:szCs w:val="28"/>
    </w:rPr>
  </w:style>
  <w:style w:type="paragraph" w:styleId="855" w:customStyle="1">
    <w:name w:val="标题2"/>
    <w:basedOn w:val="825"/>
    <w:next w:val="823"/>
    <w:link w:val="854"/>
    <w:uiPriority w:val="0"/>
    <w:qFormat/>
    <w:pPr>
      <w:ind w:left="425"/>
      <w:jc w:val="left"/>
      <w:spacing w:line="360" w:lineRule="auto"/>
    </w:pPr>
    <w:rPr>
      <w:rFonts w:ascii="宋体" w:hAnsi="宋体" w:eastAsia="宋体" w:cstheme="minorBidi"/>
      <w:szCs w:val="28"/>
    </w:rPr>
  </w:style>
  <w:style w:type="paragraph" w:styleId="856" w:customStyle="1">
    <w:name w:val="列出段落3"/>
    <w:basedOn w:val="823"/>
    <w:uiPriority w:val="99"/>
    <w:qFormat/>
    <w:pPr>
      <w:ind w:firstLine="420"/>
    </w:pPr>
    <w:rPr>
      <w:rFonts w:ascii="Calibri" w:hAnsi="Calibri"/>
      <w:szCs w:val="22"/>
    </w:rPr>
  </w:style>
  <w:style w:type="character" w:styleId="857" w:customStyle="1">
    <w:name w:val="正文缩进 Char"/>
    <w:link w:val="830"/>
    <w:uiPriority w:val="0"/>
    <w:qFormat/>
    <w:rPr>
      <w:szCs w:val="24"/>
    </w:rPr>
  </w:style>
  <w:style w:type="character" w:styleId="858" w:customStyle="1">
    <w:name w:val="标题 3 Char"/>
    <w:basedOn w:val="827"/>
    <w:link w:val="826"/>
    <w:uiPriority w:val="9"/>
    <w:qFormat/>
    <w:rPr>
      <w:rFonts w:ascii="Times New Roman" w:hAnsi="Times New Roman" w:eastAsia="宋体" w:cs="Times New Roman"/>
      <w:b/>
      <w:bCs/>
      <w:sz w:val="28"/>
      <w:szCs w:val="32"/>
    </w:rPr>
  </w:style>
  <w:style w:type="character" w:styleId="859" w:customStyle="1">
    <w:name w:val="批注框文本 Char"/>
    <w:basedOn w:val="827"/>
    <w:link w:val="837"/>
    <w:uiPriority w:val="99"/>
    <w:semiHidden/>
    <w:qFormat/>
    <w:rPr>
      <w:rFonts w:ascii="Times New Roman" w:hAnsi="Times New Roman" w:eastAsia="宋体" w:cs="Times New Roman"/>
      <w:sz w:val="18"/>
      <w:szCs w:val="18"/>
    </w:rPr>
  </w:style>
  <w:style w:type="paragraph" w:styleId="860" w:customStyle="1">
    <w:name w:val="列出段落12"/>
    <w:basedOn w:val="823"/>
    <w:uiPriority w:val="0"/>
    <w:qFormat/>
    <w:pPr>
      <w:ind w:firstLine="420"/>
    </w:pPr>
  </w:style>
  <w:style w:type="character" w:styleId="861" w:customStyle="1">
    <w:name w:val="正文文本 Char"/>
    <w:basedOn w:val="827"/>
    <w:link w:val="832"/>
    <w:uiPriority w:val="0"/>
    <w:semiHidden/>
    <w:qFormat/>
    <w:rPr>
      <w:rFonts w:ascii="楷体_GB2312" w:hAnsi="Arial" w:eastAsia="楷体_GB2312"/>
      <w:sz w:val="28"/>
    </w:rPr>
  </w:style>
  <w:style w:type="character" w:styleId="862" w:customStyle="1">
    <w:name w:val="Table Text Char"/>
    <w:link w:val="863"/>
    <w:uiPriority w:val="0"/>
    <w:qFormat/>
    <w:rPr>
      <w:rFonts w:ascii="Arial" w:hAnsi="Arial" w:cs="Arial"/>
      <w:szCs w:val="21"/>
    </w:rPr>
  </w:style>
  <w:style w:type="paragraph" w:styleId="863" w:customStyle="1">
    <w:name w:val="Table Text"/>
    <w:basedOn w:val="823"/>
    <w:link w:val="862"/>
    <w:uiPriority w:val="0"/>
    <w:qFormat/>
    <w:pPr>
      <w:jc w:val="left"/>
      <w:spacing w:before="80" w:after="80" w:line="240" w:lineRule="atLeast"/>
    </w:pPr>
    <w:rPr>
      <w:rFonts w:ascii="Arial" w:hAnsi="Arial" w:cs="Arial" w:eastAsiaTheme="minorEastAsia"/>
      <w:szCs w:val="21"/>
    </w:rPr>
  </w:style>
  <w:style w:type="table" w:styleId="864" w:customStyle="1">
    <w:name w:val="Table Normal"/>
    <w:uiPriority w:val="0"/>
    <w:semiHidden/>
    <w:qFormat/>
    <w:rPr>
      <w:rFonts w:ascii="Arial" w:hAnsi="Arial" w:eastAsia="Times New Roman" w:cs="Arial"/>
      <w:color w:val="000000"/>
      <w:szCs w:val="21"/>
      <w:lang w:eastAsia="en-US"/>
    </w:rPr>
    <w:tblPr>
      <w:tblCellMar>
        <w:left w:w="0" w:type="dxa"/>
        <w:top w:w="0" w:type="dxa"/>
        <w:right w:w="0" w:type="dxa"/>
        <w:bottom w:w="0" w:type="dxa"/>
      </w:tblCellMar>
    </w:tblPr>
  </w:style>
  <w:style w:type="paragraph" w:styleId="865" w:customStyle="1">
    <w:name w:val="Normal_6"/>
    <w:uiPriority w:val="0"/>
    <w:qFormat/>
    <w:rPr>
      <w:rFonts w:ascii="Times New Roman" w:hAnsi="Times New Roman" w:eastAsia="Times New Roman" w:cs="Times New Roman"/>
      <w:sz w:val="24"/>
      <w:szCs w:val="24"/>
      <w:lang w:val="en-US" w:eastAsia="zh-CN" w:bidi="ar-SA"/>
    </w:rPr>
  </w:style>
  <w:style w:type="paragraph" w:styleId="866" w:customStyle="1">
    <w:name w:val="Normal_5"/>
    <w:uiPriority w:val="0"/>
    <w:qFormat/>
    <w:rPr>
      <w:rFonts w:ascii="Times New Roman" w:hAnsi="Times New Roman" w:eastAsia="Times New Roman" w:cs="Times New Roman"/>
      <w:sz w:val="24"/>
      <w:szCs w:val="24"/>
      <w:lang w:val="en-US" w:eastAsia="zh-CN" w:bidi="ar-SA"/>
    </w:rPr>
  </w:style>
  <w:style w:type="paragraph" w:styleId="867" w:customStyle="1">
    <w:name w:val="Normal_7"/>
    <w:uiPriority w:val="0"/>
    <w:qFormat/>
    <w:rPr>
      <w:rFonts w:ascii="Times New Roman" w:hAnsi="Times New Roman" w:eastAsia="Times New Roman" w:cs="Times New Roman"/>
      <w:sz w:val="24"/>
      <w:szCs w:val="24"/>
      <w:lang w:val="en-US" w:eastAsia="zh-CN" w:bidi="ar-SA"/>
    </w:rPr>
  </w:style>
  <w:style w:type="character" w:styleId="868" w:customStyle="1">
    <w:name w:val="NormalCharacter"/>
    <w:uiPriority w:val="0"/>
    <w:qFormat/>
    <w:rPr>
      <w:rFonts w:hint="default" w:ascii="Times New Roman" w:hAnsi="Times New Roman" w:eastAsia="宋体" w:cs="Times New Roman"/>
      <w:sz w:val="21"/>
      <w:szCs w:val="22"/>
      <w:lang w:val="en-US" w:eastAsia="zh-CN" w:bidi="ar-SA"/>
    </w:rPr>
  </w:style>
  <w:style w:type="character" w:styleId="869" w:customStyle="1">
    <w:name w:val="正文文本缩进 3 Char"/>
    <w:basedOn w:val="827"/>
    <w:link w:val="843"/>
    <w:uiPriority w:val="99"/>
    <w:semiHidden/>
    <w:qFormat/>
    <w:rPr>
      <w:rFonts w:ascii="Times New Roman" w:hAnsi="Times New Roman" w:eastAsia="宋体" w:cs="Times New Roman"/>
      <w:sz w:val="16"/>
      <w:szCs w:val="16"/>
    </w:rPr>
  </w:style>
  <w:style w:type="character" w:styleId="870" w:customStyle="1">
    <w:name w:val="正文文本缩进 Char"/>
    <w:basedOn w:val="827"/>
    <w:link w:val="833"/>
    <w:uiPriority w:val="99"/>
    <w:semiHidden/>
    <w:qFormat/>
    <w:rPr>
      <w:rFonts w:ascii="Times New Roman" w:hAnsi="Times New Roman" w:eastAsia="宋体" w:cs="Times New Roman"/>
      <w:szCs w:val="24"/>
    </w:rPr>
  </w:style>
  <w:style w:type="paragraph" w:styleId="87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872" w:customStyle="1">
    <w:name w:val="TOC 标题1"/>
    <w:basedOn w:val="824"/>
    <w:next w:val="823"/>
    <w:uiPriority w:val="39"/>
    <w:semiHidden/>
    <w:unhideWhenUsed/>
    <w:qFormat/>
    <w:pPr>
      <w:jc w:val="left"/>
      <w:spacing w:before="480" w:line="276" w:lineRule="auto"/>
      <w:widowControl/>
      <w:outlineLvl w:val="9"/>
    </w:pPr>
    <w:rPr>
      <w:rFonts w:asciiTheme="majorHAnsi" w:hAnsiTheme="majorHAnsi" w:eastAsiaTheme="majorEastAsia" w:cstheme="majorBidi"/>
      <w:color w:val="376092" w:themeColor="accent1" w:themeShade="BF"/>
      <w:sz w:val="28"/>
      <w:szCs w:val="28"/>
    </w:rPr>
  </w:style>
  <w:style w:type="paragraph" w:styleId="873">
    <w:name w:val="List Paragraph"/>
    <w:basedOn w:val="823"/>
    <w:uiPriority w:val="99"/>
    <w:unhideWhenUsed/>
    <w:qFormat/>
    <w:pPr>
      <w:ind w:firstLine="420"/>
    </w:p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715DA13-B679-4640-B32B-8CFDAF1846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史圣雨</cp:lastModifiedBy>
  <cp:revision>22</cp:revision>
  <dcterms:created xsi:type="dcterms:W3CDTF">2025-09-17T08:01:00Z</dcterms:created>
  <dcterms:modified xsi:type="dcterms:W3CDTF">2025-10-28T08:32:02Z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eyJoZGlkIjoiNmJiYjQxYTg5Y2NhMDU3N2QyN2Q5ZmNjYjNiYzE4MTUiLCJ1c2VySWQiOiI2OTMxMzQ2NzQifQ==</vt:lpwstr>
  </property>
  <property fmtid="{D5CDD505-2E9C-101B-9397-08002B2CF9AE}" pid="3" name="KSOProductBuildVer">
    <vt:lpwstr>2052-12.1.0.23125</vt:lpwstr>
  </property>
  <property fmtid="{D5CDD505-2E9C-101B-9397-08002B2CF9AE}" pid="4" name="ICV">
    <vt:lpwstr>E595DFC5FDDA47F8B87A62CBA817B62B_13</vt:lpwstr>
  </property>
</Properties>
</file>