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项目名称：射阳县综合检验检测中心仪器设备维修保养项目</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项目编号：JSZC-320924-SYHY-G2024-0022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射阳县综合检验检测中心</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2024年9月</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目录</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173" w:history="1">
        <w:r>
          <w:rPr>
            <w:rStyle w:val="730"/>
            <w:rFonts w:ascii="SimSun" w:hAnsi="SimSun" w:eastAsia="SimSun" w:cs="SimSun"/>
            <w:color w:val="0000ee"/>
            <w:sz w:val="32"/>
            <w:u w:val="single"/>
          </w:rPr>
          <w:t xml:space="preserve">第一章采购公告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3039" w:history="1">
        <w:r>
          <w:rPr>
            <w:rStyle w:val="730"/>
            <w:rFonts w:ascii="SimSun" w:hAnsi="SimSun" w:eastAsia="SimSun" w:cs="SimSun"/>
            <w:color w:val="0000ee"/>
            <w:sz w:val="32"/>
            <w:u w:val="single"/>
          </w:rPr>
          <w:t xml:space="preserve">第二章投标人须知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956" w:history="1">
        <w:r>
          <w:rPr>
            <w:rStyle w:val="730"/>
            <w:rFonts w:ascii="SimSun" w:hAnsi="SimSun" w:eastAsia="SimSun" w:cs="SimSun"/>
            <w:color w:val="0000ee"/>
            <w:sz w:val="32"/>
            <w:u w:val="single"/>
          </w:rPr>
          <w:t xml:space="preserve">第三章合同文本</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6469" w:history="1">
        <w:r>
          <w:rPr>
            <w:rStyle w:val="730"/>
            <w:rFonts w:ascii="SimSun" w:hAnsi="SimSun" w:eastAsia="SimSun" w:cs="SimSun"/>
            <w:color w:val="0000ee"/>
            <w:sz w:val="32"/>
            <w:u w:val="single"/>
          </w:rPr>
          <w:t xml:space="preserve">第四章</w:t>
        </w:r>
        <w:r>
          <w:rPr>
            <w:rStyle w:val="730"/>
            <w:rFonts w:ascii="SimSun" w:hAnsi="SimSun" w:eastAsia="SimSun" w:cs="SimSun"/>
            <w:color w:val="0000ee"/>
            <w:sz w:val="32"/>
            <w:u w:val="none"/>
          </w:rPr>
          <w:t xml:space="preserve"> </w:t>
        </w:r>
        <w:r>
          <w:rPr>
            <w:rStyle w:val="730"/>
            <w:rFonts w:ascii="SimSun" w:hAnsi="SimSun" w:eastAsia="SimSun" w:cs="SimSun"/>
            <w:color w:val="0000ee"/>
            <w:sz w:val="32"/>
            <w:u w:val="single"/>
          </w:rPr>
          <w:t xml:space="preserve">采购需求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6108" w:history="1">
        <w:r>
          <w:rPr>
            <w:rStyle w:val="730"/>
            <w:rFonts w:ascii="SimSun" w:hAnsi="SimSun" w:eastAsia="SimSun" w:cs="SimSun"/>
            <w:color w:val="0000ee"/>
            <w:sz w:val="32"/>
            <w:u w:val="single"/>
          </w:rPr>
          <w:t xml:space="preserve">第五章评标方法与评标标准</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9678" w:history="1">
        <w:r>
          <w:rPr>
            <w:rStyle w:val="730"/>
            <w:rFonts w:ascii="SimSun" w:hAnsi="SimSun" w:eastAsia="SimSun" w:cs="SimSun"/>
            <w:color w:val="0000ee"/>
            <w:sz w:val="32"/>
            <w:u w:val="single"/>
          </w:rPr>
          <w:t xml:space="preserve">第六章投标文件格式</w:t>
        </w:r>
      </w:hyperlink>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第一章采购公告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受射阳县综合检验检测中心的委托，射阳宏远财会服务有限公司就射阳县综合检验检测中心仪器设备维修保养项目【项目编号：JSZC-320924-SYHY-G2024-0022】项目进行公开招标采购，欢迎符合条件的投标人投标。</w:t>
      </w:r>
      <w:r/>
    </w:p>
    <w:p>
      <w:pPr>
        <w:ind w:left="0" w:right="0" w:firstLine="482"/>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射阳县综合检验检测中心仪器设备维修保养项目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中国政府采购网、江苏省政府采购网，盐城市政府采购网</w:t>
      </w:r>
      <w:r>
        <w:rPr>
          <w:rFonts w:ascii="SimSun" w:hAnsi="SimSun" w:eastAsia="SimSun" w:cs="SimSun"/>
          <w:color w:val="000000"/>
          <w:sz w:val="24"/>
        </w:rPr>
        <w:t xml:space="preserve">获取招标文件，并于投标文件截止时间2024年9月23日15点00分（北京时间）前递交投标文件。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项目编号：JSZC-320924-SYHY-G2024-0022</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项目名称：射阳县综合检验检测中心仪器设备维修保养项目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预算金额：80万元</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最高限价：70万元，投标报价高于最高限价的作无效标处理。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采购需求：</w:t>
      </w:r>
      <w:r>
        <w:rPr>
          <w:rFonts w:ascii="SimSun" w:hAnsi="SimSun" w:eastAsia="SimSun" w:cs="SimSun"/>
          <w:color w:val="000000"/>
          <w:sz w:val="24"/>
        </w:rPr>
        <w:t xml:space="preserve">我县综合检验检测中心目前有多台仪器设备，为保证仪器的良好状态以及故障时的售后及时响应，我中心拟购买售后维保服务。具体采购范围及所应达到的具体要求，以招标文件采购需求中的相应规定为准。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合同履行期限：自签订合同之日起，维保服务期2年。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履约地点：射阳县综合检验检测中心。</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1.4具备履行合同所必需的设备和专业技术能力的证明材料；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color w:val="000000"/>
          <w:sz w:val="24"/>
          <w:u w:val="none"/>
        </w:rPr>
        <w:t xml:space="preserve">本项目属于专门面向中小企业采购的项目,供应商应为中小微企业、监狱企业、残疾人福利性单位。响应文件中提供《中小企业声明函》。本项目属于服务类采购项目，所属行业为</w:t>
      </w:r>
      <w:r>
        <w:rPr>
          <w:rFonts w:ascii="SimSun" w:hAnsi="SimSun" w:eastAsia="SimSun" w:cs="SimSun"/>
          <w:color w:val="000000"/>
          <w:sz w:val="24"/>
        </w:rPr>
        <w:t xml:space="preserve">：其他未列明行业。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numPr>
          <w:ilvl w:val="0"/>
          <w:numId w:val="5"/>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3.2单位负责人为同一人或者存在直接控股、管理关系的不同投标人，不得参加同一合同项下的政府采购活动，否则均做无效标处理。</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时间：2024年9月2日至2024年9月9日，每天上午00:00-12:00，下午12:00-23:59（北京时间，法定节假日除外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地点：“中国政府采购网、江苏政府采购网、盐城市政府采购网”。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方式：在“中国政府采购网”、“江苏政府采购网”、“盐城市政府采购网”自行免费下载招标文件。售价：0.00元。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投标文件接收截止时间：2024年9月23日15点00分（北京时间）。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开标时间：2024年9月23日15点00分（北京时间）。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u w:val="none"/>
        </w:rPr>
        <w:t xml:space="preserve">3ce9.html。</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3.有关本次招标的事项若存在变动或修改，敬请及时关注招标代理机构在“中国政府采购网、江苏政府采购网、盐城市政府采购网”发布的更正公告。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4.本次采购不收取投标保证金，不收取质量保证金。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99"/>
        <w:jc w:val="both"/>
        <w:spacing w:before="145" w:after="145"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名称：射阳县综合检验检测中心</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地址：射阳县幸福大道26号联创中心B座2楼</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18862060076</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名称：射阳宏远财会服务有限公司</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址：射阳县合德镇沿河路17-1号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13851150809</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项目联系人：高小惠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话：18862060076</w:t>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pStyle w:val="690"/>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u w:val="none"/>
        </w:rPr>
        <w:t xml:space="preserve">第二章投标人须知</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4.3本项目招标代理服务费用按苏招协[2022]002 号文件规定收取（如中标服务费低于壹万元时，本项目中标服务费按壹万元进行收取）。该费用折算在报价中，不在投标文件中单独列出。收款帐户为：射阳宏远财会服务有限公司，开户行：中国建设银行股份有限公司射阳县支行，账号：32001737436052512853。</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招标文件的修改将在中国政府采购网、江苏省政府采购网，盐城市政府采购网公布，补充文件将作为招标文件的组成部分，并对投标人具有约束力。</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投标人提交的投标文件以及投标人与采购中心就有关投标的所有来往通知、函件和文件均应使用简体中文。</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13、技术要求响应及偏离表、商务要求响应及偏离表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14、服务承诺、人员安排及其他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投标人需根据招标文件要求提供有关服务的管理制度，服务机构的分布情况，服务人员的数量、素质、技术水平及服务的反应能力等。</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投标人需根据招标文件要求提供技术方案。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15、投标函和开标一览表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对于采用货币报价的项目，开标一览表中的投标单价应与投标分项报价表中的投标单价一致，如不一致，不作为无效投标处理，但评标时按开标一览表中价格为准。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16、投标有效期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16.1投标有效期为采购人规定的开标之日后六十（60）天。投标有效期比规定短的将被视为未实质性响应招标文件而予以拒绝。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18、电子投标文件</w:t>
      </w:r>
      <w:r>
        <w:rPr>
          <w:rFonts w:ascii="SimSun" w:hAnsi="SimSun" w:eastAsia="SimSun" w:cs="SimSun"/>
          <w:b/>
          <w:color w:val="000000"/>
          <w:sz w:val="24"/>
        </w:rPr>
        <w:t xml:space="preserve">的递交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w:t>
      </w:r>
      <w:r>
        <w:rPr>
          <w:rFonts w:ascii="SimSun" w:hAnsi="SimSun" w:eastAsia="SimSun" w:cs="SimSun"/>
          <w:b/>
          <w:color w:val="000000"/>
          <w:sz w:val="24"/>
        </w:rPr>
        <w:t xml:space="preserve">的拒收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21、投标文件的撤回和修改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22、开标</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22.2开标仪式由招标代理机构组织。苏采云系统将自动对项目进行开标，并宣布各投标人名称和投标价格。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23、评标委员会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开标后，招标代理机构将立即组织评标委员会（以下简称评委会）进行评标。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25．投标文件的澄清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核心产品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7.1无效投标条款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27.2.1符合专业条件的投标人或者对招标文件作实质响应的投标人不足三家的。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投标截止时间结束后参加投标的投标人不足三家的处理：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27.3.1如出现投标截止时间结束后参加投标的投标人或者在评标期间对招标文件做出实质响应的投标人不足三家情况，按政府采购相关规定执行。</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定标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w:t>
      </w:r>
      <w:r>
        <w:rPr>
          <w:rFonts w:ascii="SimSun" w:hAnsi="SimSun" w:eastAsia="SimSun" w:cs="SimSun"/>
          <w:b/>
          <w:color w:val="000000"/>
          <w:sz w:val="24"/>
        </w:rPr>
        <w:t xml:space="preserve">确定中标单位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招标代理机构将在“中国政府采购网、江苏省政府采购网、盐城市政府采购网”发布中标公告，公告期限为1个工作日。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28.4.2向采购人、招标代理机构行贿或者提供其他不正当利益的。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28.4.4与采购人或者其他投标人恶意串通的。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28.4.5采取不正当手段诋毁、排挤其他投标人的。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提出质疑的投标人应当是参与所质疑项目采购活动的投标人。潜在投标人依法获取其可质疑的招标文件的，可以对招标文件提出质疑。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投标人认为招标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29.2.1对可以质疑的招标文件提出质疑的，为收到招标文件之日或者招标文件公告期限届满之日；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投标人应当在法定质疑期内一次性提出针对同一采购程序环节的质疑。投标人如在法定期限内对同一采购程序环节提出多次质疑的，招标代理机构、采购人将只对投标人第一次质疑作出答复。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投标人（含潜在投标人）对采购方式、招标文件中采购需求、投标人资格条件、评标方法和评标标准、合同文本及资格审查结果的询问、质疑请向采购人提出，由采购人负责答复。投标人（含潜在投标人）对与本项目有关的所有询问、质疑均请向采购人提出，由采购人负责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采购人及招标代理机构只接收以纸质原件形式送达的质疑,建议投标人尽量通过邮寄方式提交质疑（采购人和招标代理机构不接受未填写快递运单的快件）。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质疑人（或授权委托人）须是投标单位正式员工，授权委托人须提供投标单位为其缴纳的本年度近期社保证明。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未参加投标活动的投标人或在投标活动中自身权益未受到损害的投标人所提出的质疑。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29.5.5投标人组成联合体参加投标，联合体中任何一方或多方未按要求签字、盖章、加盖公章的质疑。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30.2中标通知书将是合同的一个组成部分。对采购人和中标投标人均具有法律效力。中标通知书发出后，采购人改变中标结果的，或者中标投标人放弃中标项目的，应当依法承担法律责任。</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七、授予合同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签订合同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中标人应当在中标通知书发出之日起30日内（原则上应在15日内签订采购合同），按照招标文件确定的事项与采购人签订政府采购合同。合同签订后2个工作日内合同公示。所签订的合同不得对招标文件确定的事项和中标人投标文件作实质性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31.4中标或者成交后无正当理由拒不与采购人签订政府采购合同的，将被列入不良行为记录名单，在一至三年内禁止参加政府采购活动。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w:t>
      </w:r>
      <w:r>
        <w:rPr>
          <w:rFonts w:ascii="SimSun" w:hAnsi="SimSun" w:eastAsia="SimSun" w:cs="SimSun"/>
          <w:b/>
          <w:color w:val="000000"/>
          <w:sz w:val="24"/>
        </w:rPr>
        <w:t xml:space="preserve">政府采购履约资金扶持政策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33.1根据《转发江苏省财政厅 中国人民银行南京分行&lt;关于深入推进政府采购线上合同信用融资工作的通知&gt;的通知》（盐财购〔2021〕20号）规定，中标投标人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保证金的金额和是否缴纳由采购人与成交供应商协商确定。确需收取履约保证金的，中标后签订合同时中标方须交纳不超过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w:t>
      </w:r>
      <w:r>
        <w:rPr>
          <w:rFonts w:ascii="SimSun" w:hAnsi="SimSun" w:eastAsia="SimSun" w:cs="SimSun"/>
          <w:color w:val="000000"/>
          <w:sz w:val="24"/>
        </w:rPr>
        <w:t xml:space="preserve">还履约保证金，不计利息。如果成交供应商不同意按照规定去做，采购方有权取消本次采购成交决定。履约保证金不予退还的情形按政府采购相关法律法规执行。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降低履约保证金缴纳比例至5%（或免于缴纳履约保证金）。本项目采购人是否收取履约保证金，在签订本项目合同时根据合同内容约定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34.2合同履行结束后，甲方应及时退还交纳的履约保证金。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34.3履约保证金的退还：</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34.3.1方式：无息退还至投标人缴纳履约保证金的账户。如为保函，在到期时自行失效。34.3.2时间：验收合格且采购人收到发票后15日内。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34.3.3条件：按合同要求全部履约完成并经采购人验收合格，且采购人收到中标人出具的发票。</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34.3.4不予退还情形：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中标人无正当理由拒绝签订合同的，或者在签订合同时向采购人提出附加条件或者更改合同实质性内容要求的；</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中标人不履行与采购人订立的合同的；</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中标人所供货物或服务不符合招标文件规定要求的；</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中标人采取欺骗、弄虚作假方式投标的或与其它投标人串通投标的；</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中标人将合同内容转包、违法分包的；</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中标人故意捏造事实或伪造证明材料，进行虚假恶意投诉或反映的。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35、招标项目需满足的政府采购政策目标和具体支持对象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35.1本项目专门面向中小企业采购，投标人须为符合《关于印发中小企业划型标准规定的通知》（工信部联企业[2011]300号）文件的中小微企业（投标时须提供中小企业声明函，否则按无效标处理）。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35.1.1因本项目专门面向中小企业采购，不再执行价格评审优惠的扶持政策。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35.1.2供应商须按照采购文件要求提供相应的《企业声明函》（格式附后），不提供声明函或有弄虚作假的，将依法承担相应责任。</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35.1.3残疾人福利单位</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35.1.4监狱和戒毒企业</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35.1.5残疾人福利单位、监狱企业属于小型、微型企业的，不重复享受政策。</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35.1.6以上规定未尽事项，按《政府采购促进中小企业发展管理办法》 （财库【2020】46号）等有关制度规定执行。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35.4政府采购落实“政采贷”政策，依据《关于深入推进政府采购线上合同信用融资工作的通知》（苏财购﹝2021﹞82号）。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35.6政府采购落实（苏财购﹝2022﹞51号）。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35.7政府采购落实《关于进一步优化政府采购营商环境的通知》（射财库﹝2023﹞23号）。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36、踏勘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盐城市政府采购合同（合同编号）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 </w:t>
      </w:r>
      <w:r>
        <w:rPr>
          <w:rFonts w:ascii="SimSun" w:hAnsi="SimSun" w:eastAsia="SimSun" w:cs="SimSun"/>
          <w:color w:val="000000"/>
          <w:sz w:val="24"/>
          <w:u w:val="single"/>
        </w:rPr>
        <w:t xml:space="preserve">       </w:t>
      </w:r>
      <w:r>
        <w:rPr>
          <w:rFonts w:ascii="SimSun" w:hAnsi="SimSun" w:eastAsia="SimSun" w:cs="SimSun"/>
          <w:color w:val="000000"/>
          <w:sz w:val="24"/>
        </w:rPr>
        <w:t xml:space="preserve"> 项目公开招标的结果，签署本合同。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本合同金额为（大写）：____________圆（_______________元）人民币或其他币种。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3.1乙方应按招标文件规定的时间向甲方提供与合同标的有关的技术资料。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乙方保证所交付的合同标的的所有权完全属于乙方且无任何抵押、查封等产权瑕疵。</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6.2确需收取履约保证金的，履约保证金的缴纳形式：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如以履约保函（保险）形式缴纳履约保证金，投标人可通过政府采购电子履约保函（保险）平台（www.jsdzbh.com）在线申请履约保函（保险）。</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6.3合同履行结束后，甲方应及时退还交纳的履约保证金。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6.4履约保证金的退还：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6.4.1方式：无息退还至投标人缴纳履约保证金的账户。如为保函，在到期时自行失效。</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6.4.2时间：验收合格且采购人收到发票后15日内。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6.4.3条件：按合同要求全部履约完成并经采购人验收合格，且采购人收到中标人出具的发票。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6.4.4不予退还情形：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6.4.5逾期退还的违约责任：采购人逾期无故未退还履约保证金的，按中国人民银行同期贷款基准利率上浮20%后的利率支付超期资金占用费，但因中标人自身原因导致无法及时退还的除外。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合同签订时，经采购人与中标供应商根据实际情况协商一致，可支付合同总价的30%作为项目启动预付款；中标供应商的服务经验收和核查合格通过后，2024年12月31日前支付至合同总价的50%，并无息退还履约保证金（如有），余款在服务期满1年后，无服务问题，在财政拨款到位后10日内一次性全部结清。结算时，乙方需提供税务发票，以上付款均不计任何利息和相关费用，付款一律通过银行结转。</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注：在签订合同时，中标人明确表示无需预付款或者主动要求降低预付款比例的金额，招标人可不适用预付款规定,但中标人需提供书面声明，采购人可就预付款比例作相应调整。</w:t>
      </w:r>
      <w:r>
        <w:rPr>
          <w:rFonts w:ascii="SimSun" w:hAnsi="SimSun" w:eastAsia="SimSun" w:cs="SimSun"/>
          <w:b/>
          <w:color w:val="000000"/>
          <w:sz w:val="24"/>
        </w:rPr>
        <w:t xml:space="preserve">九、税费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如有必要，甲方邀请参加本项目的其他投标人或第三方专业机构及专家参与验收，相关意见将作为验收书的参考资料。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 的违约金。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w:t>
      </w:r>
      <w:r>
        <w:rPr>
          <w:rFonts w:ascii="SimSun" w:hAnsi="SimSun" w:eastAsia="SimSun" w:cs="SimSun"/>
          <w:color w:val="000000"/>
          <w:sz w:val="24"/>
          <w:u w:val="single"/>
        </w:rPr>
        <w:t xml:space="preserve">   </w:t>
      </w:r>
      <w:r>
        <w:rPr>
          <w:rFonts w:ascii="SimSun" w:hAnsi="SimSun" w:eastAsia="SimSun" w:cs="SimSun"/>
          <w:color w:val="000000"/>
          <w:sz w:val="24"/>
        </w:rPr>
        <w:t xml:space="preserve"> 的违约金，如造成甲方损失超过违约金的，超出部分由乙方继续承担赔偿责任。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乙方交付合同标的的标准不符合合同规定及招标文件规定标准的，甲方有权拒绝接受合同标的，并可单方面解除合同。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本合同正本一式三份，具有同等法律效力，甲方、乙方及招标代理机构各执一份。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24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四章 采购需求</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一、项目介绍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中心目前有多台仪器，实验室日常的分析检测项目大多需要在这些仪器上进行分析。经专业工程师的精心维护，仪器一直保持良好的运行状态，保证了实验室样品检测工作的正常进行。目前其中11台大型仪器已出质保期。为保证仪器的良好运行状态以及故障发生时售后的及时响应，我中心拟购买售后维保服务，要求原厂全新备件，同时确保备件的响应时间及工程师团队具有较高的专业水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维保维修（二年）服务：</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2613"/>
        <w:gridCol w:w="5520"/>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3"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Waters（沃特斯）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2695-2475+2414（液相色谱仪）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Waters（沃特斯）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UPLC-QSM-FTN-CHA-TUV（液相色谱仪）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Waters（沃特斯）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2695+2998（液相色谱仪）</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Waters（沃特斯）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Hclass-TUV+PDA（液相色谱仪）</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PE（珀金埃尔默）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CLARUS 690（气相色谱仪）</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PE（珀金埃尔默）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CLARUS 690（气相色谱仪）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Agilent（安捷伦）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GC-7890B（气相色谱仪）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Agilent（安捷伦）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LC-1290（液相色谱仪）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Agilent（安捷伦）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LC-MS 6460（液相-质谱联用仪）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Agilent（安捷伦）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GC-MS 7890B+5977B（气相-质谱联用仪）</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Agilent（安捷伦）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ICP-MS 7800（电感耦合等离子体质谱仪）</w:t>
            </w:r>
            <w:r/>
          </w:p>
        </w:tc>
      </w:tr>
    </w:tbl>
    <w:p>
      <w:pPr>
        <w:ind w:left="0" w:right="0" w:firstLine="482"/>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三、维保服务要求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1、对我县综合检验检测中心分析实验室精密分析仪器提供为期2年的标准保修维护服务。</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1.1各投标人充分展示其维保服务的实力，确保项目维保有保障。包括但不限于业绩案例、人员资历、获得的管理认证等。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1.2各投标人须编制具体的整体服务方案包括但不限于：服务质量的措施、维修工程师管理制度、巡检方案、与操作人员交流仪器使用情况方案、检修方案、零备件更换方案。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1.3各投标人须编制具体的服务期间安全保证措施包括但不限于：安全防护方案、安全保证措施方案、特殊情况处理方案。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1.4各投标人须编制具体的人员配备保障方案包括但不限于：队伍建设方案、工作规范方案、人员技术能力、人员稳定方案、人员安全方案、人员同类项目经验。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1.5各投标人须编制具体的进度保证方案包括但不限于：工作进度安排、进度保障方案、突发事件保障方案、服务时效性。</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1.6各投标人须编制具体的应急方案，提出解决方案包括但不限于：应急处理预案、响应时间、故障处理、定期检查。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2、标准保修维护服务包含两部分内容：</w:t>
      </w:r>
      <w:r>
        <w:rPr>
          <w:rFonts w:ascii="SimSun" w:hAnsi="SimSun" w:eastAsia="SimSun" w:cs="SimSun"/>
          <w:color w:val="000000"/>
          <w:sz w:val="24"/>
        </w:rPr>
        <w:t xml:space="preserve">仪器的硬件保修和年度维护保养。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仪器的硬件保修：承担对合同内所限定产品提供维修服务时的所有费用（其中包括但不限于工时费，派遣费，备件费等），仪器运行不正常或发生故障时，供应商提供维修服务，进行故障诊断和排除，直至仪器运行正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2.2年度维护保养：针对每台仪器指定维护方案，每年提供一次设备全面维护保养服务，使仪器达到良好的使用状态。</w:t>
      </w:r>
      <w:r/>
    </w:p>
    <w:p>
      <w:pPr>
        <w:numPr>
          <w:ilvl w:val="0"/>
          <w:numId w:val="8"/>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维保服务范围：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3.1保修合同包含所有的维修备件，合同有效期内设备零部件损坏，维保服务商负责更换，且不收取任何服务费。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3.2在服务期内，出现仪器故障需要工程师上门维修时，提供不计次数的上门服务，维保合同包含所有的费用，提供服务期内不限次数的故障性维修服务，并提供详细的应急保障技术服务方案。</w:t>
      </w:r>
      <w:r/>
    </w:p>
    <w:p>
      <w:pPr>
        <w:numPr>
          <w:ilvl w:val="0"/>
          <w:numId w:val="8"/>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服务响应要求：</w:t>
      </w:r>
      <w:r>
        <w:rPr>
          <w:rFonts w:ascii="SimSun" w:hAnsi="SimSun" w:eastAsia="SimSun" w:cs="SimSun"/>
          <w:color w:val="000000"/>
          <w:sz w:val="24"/>
        </w:rPr>
        <w:t xml:space="preserve">仪器出现任何故障，在接到采购人报修后24小时内给予排查建议及解决方案，如不能电话或线上解决，48小时之内供应商工程师将赶到现场排除故障,不收取任何费用。</w:t>
      </w:r>
      <w:r/>
    </w:p>
    <w:p>
      <w:pPr>
        <w:numPr>
          <w:ilvl w:val="0"/>
          <w:numId w:val="8"/>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备件响应要求：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为保证实验室大型分析仪器设备保持稳定正常的工作状态，投标人须具有专业维修维护队伍和充足的备品备件库，并提供固定的运维联系人员和提供专线电话接待及微信线上答疑服务，7*24小时技术服务支持（含线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5.2投标人必须保证为本项目所含设备提供全保维修维护服务，备件更换原厂备件，现场服务所用零部件应均为新部件，确保备件的及时响应。</w:t>
      </w:r>
      <w:r/>
    </w:p>
    <w:p>
      <w:pPr>
        <w:numPr>
          <w:ilvl w:val="0"/>
          <w:numId w:val="8"/>
        </w:numPr>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服务能力要求：</w:t>
      </w:r>
      <w:r/>
    </w:p>
    <w:p>
      <w:pPr>
        <w:ind w:left="0" w:right="0" w:firstLine="42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6.1投标人须提供充足人数的工程师服务团队，并且服务团队需经合格培训，具有维修仪器设备的能力。</w:t>
      </w:r>
      <w:r/>
    </w:p>
    <w:p>
      <w:pPr>
        <w:ind w:left="0" w:right="0" w:firstLine="42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投标人须有独立的售后服务管理系统，确保维保项目的稳定运行和零配件的及时供应。</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7、服务质保：</w:t>
      </w:r>
      <w:r>
        <w:rPr>
          <w:rFonts w:ascii="SimSun" w:hAnsi="SimSun" w:eastAsia="SimSun" w:cs="SimSun"/>
          <w:color w:val="000000"/>
          <w:sz w:val="24"/>
        </w:rPr>
        <w:t xml:space="preserve">投标人服务期满前1个月内，需对全部维保设备进行全面维修、维保。确保仪器设备正常运行。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8、对软件服务：</w:t>
      </w:r>
      <w:r>
        <w:rPr>
          <w:rFonts w:ascii="SimSun" w:hAnsi="SimSun" w:eastAsia="SimSun" w:cs="SimSun"/>
          <w:color w:val="000000"/>
          <w:sz w:val="24"/>
        </w:rPr>
        <w:t xml:space="preserve">对设备软件提供远程支持，重装包含在服务范围内。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9、服务验收：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9.1工程师进行维护和维修工作，每次须填写维修报告，详细记录工作过程，由甲方签字认可；提供维护保养和维修服务后，应进行性能测试，确保仪器技术指标达到原厂合格标准，满足检验检测方法要求；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提供维保服务组织实施方案，包括维保服务的组织、联系和协调、记录和报告、验收与确认；提供年度运维总结报告，对全年运维情况、维修情况进行统计分析，并对存在的问题进行分析建议和下一年度改进计划；</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9.3每年提供一次设备全面维护保养服务，并提出相应设备状态建议。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9.4工程师按照《预防性维护检查表》标准程序，为仪器进行预防性维护保养，给仪器做彻底的清洗、除尘、润滑。</w:t>
      </w:r>
      <w:r/>
    </w:p>
    <w:p>
      <w:pPr>
        <w:ind w:left="0"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10、维保期限：2年。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合同签订时，经采购人与中标供应商根据实际情况协商一致，可支付合同总价的30%作为项目启动预付款；中标供应商的服务经验收和核查合格通过后，2024年12月31日前支付至合同总价的50%，并无息退还履约保证金（如有），余款在服务期满1年后，无服务问题，在财政拨款到位后10日内一次性全部结清。结算时，乙方需提供税务发票，以上付款均不计任何利息和相关费用，付款一律通过银行结转。</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注：在签订合同时，中标人明确表示无需预付款或者主动要求降低预付款比例的金额，招标人可不适用预付款规定,但中标人需提供书面声明，采购人可就预付款比例作相应调整。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五、安全管理要求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1、为贯彻“安全第一，预防为主”方针，中标人</w:t>
      </w:r>
      <w:r>
        <w:rPr>
          <w:rFonts w:ascii="SimSun" w:hAnsi="SimSun" w:eastAsia="SimSun" w:cs="SimSun"/>
          <w:b/>
          <w:color w:val="ff0000"/>
          <w:sz w:val="24"/>
        </w:rPr>
        <w:t xml:space="preserve">应为项目服务人员购买不记名意外伤害保险。</w:t>
      </w:r>
      <w:r>
        <w:rPr>
          <w:rFonts w:ascii="SimSun" w:hAnsi="SimSun" w:eastAsia="SimSun" w:cs="SimSun"/>
          <w:color w:val="000000"/>
          <w:sz w:val="24"/>
        </w:rPr>
        <w:t xml:space="preserve">中标方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2、若发生安全问题，由中标方自行负责处理并承担一切经济和法律责任，其与招标单位一切无关，同时按合同要求保证服务进度，按时完工。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六、落实节能、环保产品政策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本项目落实节能、环保产品政策。鼓励投标人因完成该项目服务所使用的设备产品具备：节能产品认证证书和环保产品认证证书。</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七、特别说明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1、报价含交付使用前一切费用。不接受选择性报价。</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投标人最后报价结束后,如评标委员会认为投标人的报价明显低于其他通过符合性审查投标人的报价，明显低于其自身成本，涉嫌恶意竞争，有可能影响服务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3、资格后审：项目开标结束后，采购人或采购代理机构应当依法对投标人的资格进行审查。资格审查材料须在投标文件中提供。</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4、对本项目投标人资格要求、项目需求、评分标准等的质疑由采购单位负责答复；采购单位具有项目的解释权，质疑函和答复由采购代理机构备案。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八、采购标的对应的中小企业划分标准所属行业一览表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根据《工业和信息化部、国家统计局、国家发展和改革委员会、财政部关于印发中小企业划型标准规定的通知》（工信部联企业[2011]300号）规定的划分标准填写。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3490"/>
        <w:gridCol w:w="373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0"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24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0"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仪器设备维修保养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第五章评标方法与评标标准</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37"/>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供应商。</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（1）本项目专门面向中小企业采购，不再对小型和微型企业给予价格扣除。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（3）本次采购项目属于其他未列明行业。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（4）企业标准请参照《关于印发中小企业划型标准规定的通知》（工信部联企业[2011]300号）文件规定自行填写。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（5）本项目对残疾人福利性单位视同小型、微型企业。残疾人福利单位标准请参照《关于促进残疾人就业政府采购政策的通知》（财库〔2017〕141号），需提供《残疾人福利性单位声明函》。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（9）根据《江苏省政府采购信用管理暂行办法》的规定，供应商信用评价结果为三星的扣2分，评价结果为二星的扣3分，评价结果为一星的扣4分。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三、评标方法与评标标准</w:t>
      </w:r>
      <w:r/>
    </w:p>
    <w:p>
      <w:pPr>
        <w:ind w:left="0" w:right="0" w:firstLine="473"/>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888"/>
        <w:gridCol w:w="7491"/>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2" w:type="dxa"/>
            <w:vAlign w:val="top"/>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top"/>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评审规则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价格最低的报价为评标基准价，其价格分为满分。其他报价人的价格分统一按照下列公式计算：报价得分=（评标基准价/各单位投标报价）×10分，保留两位小数，第三位不论大小一律不计。</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投标人提供2021年1月1日（签订日期）以来类似项目的设备维保</w:t>
            </w:r>
            <w:r>
              <w:rPr>
                <w:rFonts w:ascii="SimSun" w:hAnsi="SimSun" w:eastAsia="SimSun" w:cs="SimSun"/>
                <w:b/>
                <w:color w:val="000000"/>
                <w:sz w:val="24"/>
              </w:rPr>
              <w:t xml:space="preserve">（气相</w:t>
            </w:r>
            <w:r>
              <w:rPr>
                <w:rFonts w:ascii="Calibri" w:hAnsi="Calibri" w:eastAsia="Calibri" w:cs="Calibri"/>
                <w:b/>
                <w:color w:val="000000"/>
                <w:sz w:val="24"/>
              </w:rPr>
              <w:t xml:space="preserve">-</w:t>
            </w:r>
            <w:r>
              <w:rPr>
                <w:rFonts w:ascii="SimSun" w:hAnsi="SimSun" w:eastAsia="SimSun" w:cs="SimSun"/>
                <w:b/>
                <w:color w:val="000000"/>
                <w:sz w:val="24"/>
              </w:rPr>
              <w:t xml:space="preserve">质谱联用仪</w:t>
            </w:r>
            <w:r>
              <w:rPr>
                <w:rFonts w:ascii="Calibri" w:hAnsi="Calibri" w:eastAsia="Calibri" w:cs="Calibri"/>
                <w:b/>
                <w:color w:val="000000"/>
                <w:sz w:val="24"/>
              </w:rPr>
              <w:t xml:space="preserve">GC-MS</w:t>
            </w:r>
            <w:r>
              <w:rPr>
                <w:rFonts w:ascii="SimSun" w:hAnsi="SimSun" w:eastAsia="SimSun" w:cs="SimSun"/>
                <w:b/>
                <w:color w:val="000000"/>
                <w:sz w:val="24"/>
              </w:rPr>
              <w:t xml:space="preserve">、液相</w:t>
            </w:r>
            <w:r>
              <w:rPr>
                <w:rFonts w:ascii="Calibri" w:hAnsi="Calibri" w:eastAsia="Calibri" w:cs="Calibri"/>
                <w:b/>
                <w:color w:val="000000"/>
                <w:sz w:val="24"/>
              </w:rPr>
              <w:t xml:space="preserve">-</w:t>
            </w:r>
            <w:r>
              <w:rPr>
                <w:rFonts w:ascii="SimSun" w:hAnsi="SimSun" w:eastAsia="SimSun" w:cs="SimSun"/>
                <w:b/>
                <w:color w:val="000000"/>
                <w:sz w:val="24"/>
              </w:rPr>
              <w:t xml:space="preserve">质谱联用仪</w:t>
            </w:r>
            <w:r>
              <w:rPr>
                <w:rFonts w:ascii="Calibri" w:hAnsi="Calibri" w:eastAsia="Calibri" w:cs="Calibri"/>
                <w:b/>
                <w:color w:val="000000"/>
                <w:sz w:val="24"/>
              </w:rPr>
              <w:t xml:space="preserve">LC-MS</w:t>
            </w:r>
            <w:r>
              <w:rPr>
                <w:rFonts w:ascii="SimSun" w:hAnsi="SimSun" w:eastAsia="SimSun" w:cs="SimSun"/>
                <w:b/>
                <w:color w:val="000000"/>
                <w:sz w:val="24"/>
              </w:rPr>
              <w:t xml:space="preserve">和电感耦合等离子体质谱仪</w:t>
            </w:r>
            <w:r>
              <w:rPr>
                <w:rFonts w:ascii="Calibri" w:hAnsi="Calibri" w:eastAsia="Calibri" w:cs="Calibri"/>
                <w:b/>
                <w:color w:val="000000"/>
                <w:sz w:val="24"/>
              </w:rPr>
              <w:t xml:space="preserve">ICP-MS</w:t>
            </w:r>
            <w:r>
              <w:rPr>
                <w:rFonts w:ascii="SimSun" w:hAnsi="SimSun" w:eastAsia="SimSun" w:cs="SimSun"/>
                <w:b/>
                <w:color w:val="000000"/>
                <w:sz w:val="24"/>
              </w:rPr>
              <w:t xml:space="preserve">）</w:t>
            </w:r>
            <w:r>
              <w:rPr>
                <w:rFonts w:ascii="SimSun" w:hAnsi="SimSun" w:eastAsia="SimSun" w:cs="SimSun"/>
                <w:color w:val="000000"/>
                <w:sz w:val="24"/>
              </w:rPr>
              <w:t xml:space="preserve">业绩合同，每提供一种设备维保业绩得2分，每种设备最多得4分，本项最高得12分。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完整合同彩色扫描件加盖投标人公章，每份合同须提供合同履行良好的相关证明材料原件彩色扫描件同时加盖投标人公章，须清晰可辨且不得遮挡涂黑，否则不予认定加分。未提供或者证明材料不全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团队人员配置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根据投标人提供的服务团队人员能力配置进行评审，服务人员均须经过设备厂家专业培训并取得培训合格证明，培训内容覆盖类</w:t>
            </w:r>
            <w:r>
              <w:rPr>
                <w:rFonts w:ascii="SimSun" w:hAnsi="SimSun" w:eastAsia="SimSun" w:cs="SimSun"/>
                <w:b/>
                <w:color w:val="000000"/>
                <w:sz w:val="24"/>
              </w:rPr>
              <w:t xml:space="preserve">（气相</w:t>
            </w:r>
            <w:r>
              <w:rPr>
                <w:rFonts w:ascii="Calibri" w:hAnsi="Calibri" w:eastAsia="Calibri" w:cs="Calibri"/>
                <w:b/>
                <w:color w:val="000000"/>
                <w:sz w:val="24"/>
              </w:rPr>
              <w:t xml:space="preserve">-</w:t>
            </w:r>
            <w:r>
              <w:rPr>
                <w:rFonts w:ascii="SimSun" w:hAnsi="SimSun" w:eastAsia="SimSun" w:cs="SimSun"/>
                <w:b/>
                <w:color w:val="000000"/>
                <w:sz w:val="24"/>
              </w:rPr>
              <w:t xml:space="preserve">质谱联用仪</w:t>
            </w:r>
            <w:r>
              <w:rPr>
                <w:rFonts w:ascii="Calibri" w:hAnsi="Calibri" w:eastAsia="Calibri" w:cs="Calibri"/>
                <w:b/>
                <w:color w:val="000000"/>
                <w:sz w:val="24"/>
              </w:rPr>
              <w:t xml:space="preserve">GC-MS</w:t>
            </w:r>
            <w:r>
              <w:rPr>
                <w:rFonts w:ascii="SimSun" w:hAnsi="SimSun" w:eastAsia="SimSun" w:cs="SimSun"/>
                <w:b/>
                <w:color w:val="000000"/>
                <w:sz w:val="24"/>
              </w:rPr>
              <w:t xml:space="preserve">、液相</w:t>
            </w:r>
            <w:r>
              <w:rPr>
                <w:rFonts w:ascii="Calibri" w:hAnsi="Calibri" w:eastAsia="Calibri" w:cs="Calibri"/>
                <w:b/>
                <w:color w:val="000000"/>
                <w:sz w:val="24"/>
              </w:rPr>
              <w:t xml:space="preserve">-</w:t>
            </w:r>
            <w:r>
              <w:rPr>
                <w:rFonts w:ascii="SimSun" w:hAnsi="SimSun" w:eastAsia="SimSun" w:cs="SimSun"/>
                <w:b/>
                <w:color w:val="000000"/>
                <w:sz w:val="24"/>
              </w:rPr>
              <w:t xml:space="preserve">质谱联用仪</w:t>
            </w:r>
            <w:r>
              <w:rPr>
                <w:rFonts w:ascii="Calibri" w:hAnsi="Calibri" w:eastAsia="Calibri" w:cs="Calibri"/>
                <w:b/>
                <w:color w:val="000000"/>
                <w:sz w:val="24"/>
              </w:rPr>
              <w:t xml:space="preserve">LC-MS</w:t>
            </w:r>
            <w:r>
              <w:rPr>
                <w:rFonts w:ascii="SimSun" w:hAnsi="SimSun" w:eastAsia="SimSun" w:cs="SimSun"/>
                <w:b/>
                <w:color w:val="000000"/>
                <w:sz w:val="24"/>
              </w:rPr>
              <w:t xml:space="preserve">和电感耦合等离子体质谱仪</w:t>
            </w:r>
            <w:r>
              <w:rPr>
                <w:rFonts w:ascii="Calibri" w:hAnsi="Calibri" w:eastAsia="Calibri" w:cs="Calibri"/>
                <w:b/>
                <w:color w:val="000000"/>
                <w:sz w:val="24"/>
              </w:rPr>
              <w:t xml:space="preserve">ICP-MS</w:t>
            </w:r>
            <w:r>
              <w:rPr>
                <w:rFonts w:ascii="SimSun" w:hAnsi="SimSun" w:eastAsia="SimSun" w:cs="SimSun"/>
                <w:b/>
                <w:color w:val="000000"/>
                <w:sz w:val="24"/>
              </w:rPr>
              <w:t xml:space="preserve">）</w:t>
            </w:r>
            <w:r>
              <w:rPr>
                <w:rFonts w:ascii="SimSun" w:hAnsi="SimSun" w:eastAsia="SimSun" w:cs="SimSun"/>
                <w:color w:val="000000"/>
                <w:sz w:val="24"/>
              </w:rPr>
              <w:t xml:space="preserve">，每项维保设备须各有</w:t>
            </w:r>
            <w:r>
              <w:rPr>
                <w:rFonts w:ascii="Calibri" w:hAnsi="Calibri" w:eastAsia="Calibri" w:cs="Calibri"/>
                <w:color w:val="000000"/>
                <w:sz w:val="24"/>
              </w:rPr>
              <w:t xml:space="preserve">2</w:t>
            </w:r>
            <w:r>
              <w:rPr>
                <w:rFonts w:ascii="SimSun" w:hAnsi="SimSun" w:eastAsia="SimSun" w:cs="SimSun"/>
                <w:color w:val="000000"/>
                <w:sz w:val="24"/>
              </w:rPr>
              <w:t xml:space="preserve">名专业服务人员的得</w:t>
            </w:r>
            <w:r>
              <w:rPr>
                <w:rFonts w:ascii="Calibri" w:hAnsi="Calibri" w:eastAsia="Calibri" w:cs="Calibri"/>
                <w:color w:val="000000"/>
                <w:sz w:val="24"/>
              </w:rPr>
              <w:t xml:space="preserve">6</w:t>
            </w:r>
            <w:r>
              <w:rPr>
                <w:rFonts w:ascii="SimSun" w:hAnsi="SimSun" w:eastAsia="SimSun" w:cs="SimSun"/>
                <w:color w:val="000000"/>
                <w:sz w:val="24"/>
              </w:rPr>
              <w:t xml:space="preserve">分，否则不得分。在此基础上，每项增加</w:t>
            </w:r>
            <w:r>
              <w:rPr>
                <w:rFonts w:ascii="Calibri" w:hAnsi="Calibri" w:eastAsia="Calibri" w:cs="Calibri"/>
                <w:color w:val="000000"/>
                <w:sz w:val="24"/>
              </w:rPr>
              <w:t xml:space="preserve">1</w:t>
            </w:r>
            <w:r>
              <w:rPr>
                <w:rFonts w:ascii="SimSun" w:hAnsi="SimSun" w:eastAsia="SimSun" w:cs="SimSun"/>
                <w:color w:val="000000"/>
                <w:sz w:val="24"/>
              </w:rPr>
              <w:t xml:space="preserve">人加</w:t>
            </w:r>
            <w:r>
              <w:rPr>
                <w:rFonts w:ascii="Calibri" w:hAnsi="Calibri" w:eastAsia="Calibri" w:cs="Calibri"/>
                <w:color w:val="000000"/>
                <w:sz w:val="24"/>
              </w:rPr>
              <w:t xml:space="preserve">1</w:t>
            </w:r>
            <w:r>
              <w:rPr>
                <w:rFonts w:ascii="SimSun" w:hAnsi="SimSun" w:eastAsia="SimSun" w:cs="SimSun"/>
                <w:color w:val="000000"/>
                <w:sz w:val="24"/>
              </w:rPr>
              <w:t xml:space="preserve">分，每人最多加</w:t>
            </w:r>
            <w:r>
              <w:rPr>
                <w:rFonts w:ascii="Calibri" w:hAnsi="Calibri" w:eastAsia="Calibri" w:cs="Calibri"/>
                <w:color w:val="000000"/>
                <w:sz w:val="24"/>
              </w:rPr>
              <w:t xml:space="preserve">3</w:t>
            </w:r>
            <w:r>
              <w:rPr>
                <w:rFonts w:ascii="SimSun" w:hAnsi="SimSun" w:eastAsia="SimSun" w:cs="SimSun"/>
                <w:color w:val="000000"/>
                <w:sz w:val="24"/>
              </w:rPr>
              <w:t xml:space="preserve">分，每项最多加</w:t>
            </w:r>
            <w:r>
              <w:rPr>
                <w:rFonts w:ascii="Calibri" w:hAnsi="Calibri" w:eastAsia="Calibri" w:cs="Calibri"/>
                <w:color w:val="000000"/>
                <w:sz w:val="24"/>
              </w:rPr>
              <w:t xml:space="preserve">3</w:t>
            </w:r>
            <w:r>
              <w:rPr>
                <w:rFonts w:ascii="SimSun" w:hAnsi="SimSun" w:eastAsia="SimSun" w:cs="SimSun"/>
                <w:color w:val="000000"/>
                <w:sz w:val="24"/>
              </w:rPr>
              <w:t xml:space="preserve">分，本项最高得</w:t>
            </w:r>
            <w:r>
              <w:rPr>
                <w:rFonts w:ascii="Calibri" w:hAnsi="Calibri" w:eastAsia="Calibri" w:cs="Calibri"/>
                <w:color w:val="000000"/>
                <w:sz w:val="24"/>
              </w:rPr>
              <w:t xml:space="preserve">15</w:t>
            </w:r>
            <w:r>
              <w:rPr>
                <w:rFonts w:ascii="SimSun" w:hAnsi="SimSun" w:eastAsia="SimSun" w:cs="SimSun"/>
                <w:color w:val="000000"/>
                <w:sz w:val="24"/>
              </w:rPr>
              <w:t xml:space="preserve">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以上人员有效期内的相关证书彩色扫描件及在本项目招标公告上网公示前（三个月中任一个月）投标人为其项目组人员发放工资的银行流水证明彩色扫描件（加盖投标人公章），未按要求提供或提供不全的不得分。</w:t>
            </w:r>
            <w:r>
              <w:rPr>
                <w:rFonts w:ascii="SimSun" w:hAnsi="SimSun" w:eastAsia="SimSun" w:cs="SimSun"/>
                <w:b/>
                <w:color w:val="000000"/>
                <w:sz w:val="21"/>
              </w:rPr>
              <w:t xml:space="preserve"> </w:t>
            </w:r>
            <w:r/>
          </w:p>
        </w:tc>
      </w:tr>
      <w:tr>
        <w:trPr>
          <w:trHeight w:val="1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投标人管理体系评价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1、投标人具备有效期内质量管理体系认证证书，提供证书彩色扫描件并加盖投标人公章，同时提供全国认证认可信息公共服务平台 （http://cx.cnca.cn/CertECloud/index/index/page）有效查询彩色截图加盖投标人公章，提供证书和截图得3分，未提供或提供不全的不得分。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2、投标人具有独立的售后服务管理系统，提供相关使用证明（加盖投标人公章）得3分，未提供或提供不全的不得分。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备件管理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投标人须设有专门的零备件仓库，提供零备件仓库相关租赁合同或产权证明和仓库照片，提供的得5分，未提供或提供不全的不得分。</w:t>
            </w:r>
            <w:r/>
          </w:p>
        </w:tc>
      </w:tr>
      <w:tr>
        <w:trPr>
          <w:trHeight w:val="1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要求以及项目实际情况，编制具体的整体服务方案包含：（1）服务质量的措施；（2）维修工程师管理制度；（3）巡检方案；（4）与操作人员交流仪器使用情况方案；（5）检修方案；（6）零备件更换方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方案内容均有涉及但不够详细，基本符合采购需求的得7分；方案中有上述内容，方案内容不完整、具有部分逻辑错误，各项工作要求理解有所欠缺的得4分，案思路较混乱、目标设置不明确、对项目各项工作有所偏差、套用其他方案、凭空编造的不得分。</w:t>
            </w:r>
            <w:r/>
          </w:p>
        </w:tc>
      </w:tr>
      <w:tr>
        <w:trPr>
          <w:trHeight w:val="1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服务期间安全保证措施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根据“采购需求”要求以及项目实际情况，编制具体的服务期间安全保证措施包含：（1）安全防护方案；（2）安全保证措施方案；（3）特殊情况处理方案。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方案内容均有涉及但不够详细，基本符合采购需求的得7分；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方案中有上述内容，方案内容不完整、具有部分逻辑错误，各项工作要求理解有所欠缺的得4分；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方案思路较混乱、目标设置不明确、对项目各项工作有所偏差、套用其他方案、凭空编造的不得分。</w:t>
            </w:r>
            <w:r/>
          </w:p>
        </w:tc>
      </w:tr>
      <w:tr>
        <w:trPr>
          <w:trHeight w:val="3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根据“采购需求”要求以及项目实际情况，编制具体的人员配备保障方案包含：（1）队伍建设方案；（2）工作规范方案；（3）人员技术能力；（4）人员稳定方案；（5）人员安全方案；（6）人员同类项目经验。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方案内容均有涉及但不够详细，基本符合采购需求的得7分；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方案中有上述内容，方案内容不完整、具有部分逻辑错误，各项工作要求理解有所欠缺的得4分；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方案思路较混乱、目标设置不明确、对项目各项工作有所偏差、套用其他方案、凭空编造的不得分。</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根据“采购需求”要求以及项目实际情况，编制具体的进度保证方案包含:（1）工作进度安排；（2）进度保障方案；（3）突发事件保障方案；（4）服务时效性。</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方案内容均有涉及但不够详细，基本符合采购需求的得7分；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方案中有上述内容，方案内容不完整、具有部分逻辑错误，各项工作要求理解有所欠缺的得4分；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方案思路较混乱、目标设置不明确、对项目各项工作有所偏差、套用其他方案、凭空编造的不得分。</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应急处理预案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根据“采购需求”要求以及项目实际情况，编制具体的应急方案，提出解决方案包含：（1）应急处理预案；（2）响应时间；（3）故障处理；（4）定期检查。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方案内容均有涉及但不够详细，基本符合采购需求的得7分；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方案中有上述内容，方案内容不完整、具有部分逻辑错误，各项工作要求理解有所欠缺的得4分；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方案思路较混乱、目标设置不明确、对项目各项工作有所偏差、套用其他方案、凭空编造的不得分。</w:t>
            </w:r>
            <w:r/>
          </w:p>
        </w:tc>
      </w:tr>
      <w:tr>
        <w:trPr>
          <w:trHeight w:val="1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1" w:type="dxa"/>
            <w:vAlign w:val="center"/>
            <w:textDirection w:val="lrTb"/>
            <w:noWrap w:val="false"/>
          </w:tcPr>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3、评分中涉及相关证明材料均应在有效期内，</w:t>
      </w:r>
      <w:r>
        <w:rPr>
          <w:rFonts w:ascii="SimSun" w:hAnsi="SimSun" w:eastAsia="SimSun" w:cs="SimSun"/>
          <w:b/>
          <w:color w:val="000000"/>
          <w:sz w:val="24"/>
        </w:rPr>
        <w:t xml:space="preserve">且在招标文件上网前取得。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690"/>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pStyle w:val="690"/>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0"/>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u w:val="none"/>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二、上一年度的财务状况报表（成立不满一年无需提供）；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六、法律、行政法规规定的其他条件的证明材料。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八、单位负责人为同一人或者存在直接控股、服务关系的不同投标人，不得参加同一合同项下的政府采购活动。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九、特定资格要求的证明文件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十二、中小企业声明函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十三、残疾人福利性单位声明函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十四、资格性审查响应对照表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十五、符合性检查响应对照表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十六、开标一览表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十七、项目方案等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十八、盐城市政府采购事前信用承诺书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六、法律、行政法规规定的其他条件的证明材料。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七、在“信用中国”网站查询，无被列入失信被执行人、重大税收违法案件当事人名单、政府采购严重失信行为记录名单及其他不符合《中华人民共和国政府采购法》第二十二条规定条件的信用记录。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八、单位负责人为同一人或者存在直接控股、服务关系的不同投标人，不得参加同一合同项下的政府采购活动。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我单位不存在：单位负责人为同一人或者存在直接控股、服务关系的不同投标人，同时参加同一合同项下的政府采购活动。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九、特定资格要求的证明文件。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十、法人授权书</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致：【采购单位】</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本人</w:t>
      </w:r>
      <w:r>
        <w:rPr>
          <w:rFonts w:ascii="SimSun" w:hAnsi="SimSun" w:eastAsia="SimSun" w:cs="SimSun"/>
          <w:color w:val="000000"/>
          <w:sz w:val="22"/>
          <w:u w:val="single"/>
        </w:rPr>
        <w:t xml:space="preserve">（姓名）   </w:t>
      </w:r>
      <w:r>
        <w:rPr>
          <w:rFonts w:ascii="SimSun" w:hAnsi="SimSun" w:eastAsia="SimSun" w:cs="SimSun"/>
          <w:color w:val="000000"/>
          <w:sz w:val="22"/>
        </w:rPr>
        <w:t xml:space="preserve">系</w:t>
      </w:r>
      <w:r>
        <w:rPr>
          <w:rFonts w:ascii="SimSun" w:hAnsi="SimSun" w:eastAsia="SimSun" w:cs="SimSun"/>
          <w:color w:val="000000"/>
          <w:sz w:val="22"/>
          <w:u w:val="single"/>
        </w:rPr>
        <w:t xml:space="preserve">（投标人名称）   </w:t>
      </w:r>
      <w:r>
        <w:rPr>
          <w:rFonts w:ascii="SimSun" w:hAnsi="SimSun" w:eastAsia="SimSun" w:cs="SimSun"/>
          <w:color w:val="000000"/>
          <w:sz w:val="22"/>
        </w:rPr>
        <w:t xml:space="preserve">的法定代表人（单位负责人），现授权</w:t>
      </w:r>
      <w:r>
        <w:rPr>
          <w:rFonts w:ascii="SimSun" w:hAnsi="SimSun" w:eastAsia="SimSun" w:cs="SimSun"/>
          <w:color w:val="000000"/>
          <w:sz w:val="22"/>
          <w:u w:val="single"/>
        </w:rPr>
        <w:t xml:space="preserve">（姓名）</w:t>
      </w:r>
      <w:r>
        <w:rPr>
          <w:rFonts w:ascii="SimSun" w:hAnsi="SimSun" w:eastAsia="SimSun" w:cs="SimSun"/>
          <w:color w:val="000000"/>
          <w:sz w:val="22"/>
        </w:rPr>
        <w:t xml:space="preserve">为我方代理人。代理人根据授权，以我方名义签署、澄清确认、递交、撤回、修改</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项目（项目编号：</w:t>
      </w:r>
      <w:r>
        <w:rPr>
          <w:rFonts w:ascii="SimSun" w:hAnsi="SimSun" w:eastAsia="SimSun" w:cs="SimSun"/>
          <w:color w:val="000000"/>
          <w:sz w:val="22"/>
          <w:u w:val="single"/>
        </w:rPr>
        <w:t xml:space="preserve">【项目编号】</w:t>
      </w:r>
      <w:r>
        <w:rPr>
          <w:rFonts w:ascii="SimSun" w:hAnsi="SimSun" w:eastAsia="SimSun" w:cs="SimSun"/>
          <w:color w:val="000000"/>
          <w:sz w:val="22"/>
        </w:rPr>
        <w:t xml:space="preserve">）招标文件和处理有关事宜，其法律后果由我方承担。</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授权期限：自本授权委托书签署之日起至响应有效期届满之日止。</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被授权人无转委托权。</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投标人名称（加盖</w:t>
      </w:r>
      <w:r>
        <w:rPr>
          <w:rFonts w:ascii="Calibri" w:hAnsi="Calibri" w:eastAsia="Calibri" w:cs="Calibri"/>
          <w:color w:val="000000"/>
          <w:sz w:val="22"/>
        </w:rPr>
        <w:t xml:space="preserve">CA</w:t>
      </w:r>
      <w:r>
        <w:rPr>
          <w:rFonts w:ascii="SimSun" w:hAnsi="SimSun" w:eastAsia="SimSun" w:cs="SimSun"/>
          <w:color w:val="000000"/>
          <w:sz w:val="22"/>
        </w:rPr>
        <w:t xml:space="preserve">电子公章）：</w:t>
      </w:r>
      <w:r>
        <w:rPr>
          <w:rFonts w:ascii="Calibri" w:hAnsi="Calibri" w:eastAsia="Calibri" w:cs="Calibri"/>
          <w:color w:val="000000"/>
          <w:sz w:val="22"/>
        </w:rPr>
        <w:t xml:space="preserve">________________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法定代表人（单位负责人）（签字、签章或印鉴）：</w:t>
      </w:r>
      <w:r>
        <w:rPr>
          <w:rFonts w:ascii="Calibri" w:hAnsi="Calibri" w:eastAsia="Calibri" w:cs="Calibri"/>
          <w:color w:val="000000"/>
          <w:sz w:val="22"/>
        </w:rPr>
        <w:t xml:space="preserve">________________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法定代表人（单位负责人）联系电话：（手机）</w:t>
      </w:r>
      <w:r>
        <w:rPr>
          <w:rFonts w:ascii="SimSun" w:hAnsi="SimSun" w:eastAsia="SimSun" w:cs="SimSun"/>
          <w:color w:val="000000"/>
          <w:sz w:val="22"/>
          <w:u w:val="single"/>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w:t>
      </w:r>
      <w:r>
        <w:rPr>
          <w:rFonts w:ascii="Calibri" w:hAnsi="Calibri" w:eastAsia="Calibri" w:cs="Calibri"/>
          <w:color w:val="000000"/>
          <w:sz w:val="22"/>
        </w:rPr>
        <w:t xml:space="preserve">/</w:t>
      </w:r>
      <w:r>
        <w:rPr>
          <w:rFonts w:ascii="SimSun" w:hAnsi="SimSun" w:eastAsia="SimSun" w:cs="SimSun"/>
          <w:color w:val="000000"/>
          <w:sz w:val="22"/>
        </w:rPr>
        <w:t xml:space="preserve">签章）：</w:t>
      </w:r>
      <w:r>
        <w:rPr>
          <w:rFonts w:ascii="Calibri" w:hAnsi="Calibri" w:eastAsia="Calibri" w:cs="Calibri"/>
          <w:color w:val="000000"/>
          <w:sz w:val="22"/>
        </w:rPr>
        <w:t xml:space="preserve">________________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被授权人身份证号码： </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被授权人联系电话：（手机） </w:t>
      </w:r>
      <w:r>
        <w:rPr>
          <w:rFonts w:ascii="SimSun" w:hAnsi="SimSun" w:eastAsia="SimSun" w:cs="SimSun"/>
          <w:color w:val="000000"/>
          <w:sz w:val="22"/>
          <w:u w:val="single"/>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2"/>
        </w:rPr>
        <w:t xml:space="preserve">_____</w:t>
      </w:r>
      <w:r>
        <w:rPr>
          <w:rFonts w:ascii="SimSun" w:hAnsi="SimSun" w:eastAsia="SimSun" w:cs="SimSun"/>
          <w:color w:val="000000"/>
          <w:sz w:val="22"/>
        </w:rPr>
        <w:t xml:space="preserve">年</w:t>
      </w:r>
      <w:r>
        <w:rPr>
          <w:rFonts w:ascii="Calibri" w:hAnsi="Calibri" w:eastAsia="Calibri" w:cs="Calibri"/>
          <w:color w:val="000000"/>
          <w:sz w:val="22"/>
        </w:rPr>
        <w:t xml:space="preserve">______</w:t>
      </w:r>
      <w:r>
        <w:rPr>
          <w:rFonts w:ascii="SimSun" w:hAnsi="SimSun" w:eastAsia="SimSun" w:cs="SimSun"/>
          <w:color w:val="000000"/>
          <w:sz w:val="22"/>
        </w:rPr>
        <w:t xml:space="preserve">月</w:t>
      </w:r>
      <w:r>
        <w:rPr>
          <w:rFonts w:ascii="Calibri" w:hAnsi="Calibri" w:eastAsia="Calibri" w:cs="Calibri"/>
          <w:color w:val="000000"/>
          <w:sz w:val="22"/>
        </w:rPr>
        <w:t xml:space="preserve">______</w:t>
      </w:r>
      <w:r>
        <w:rPr>
          <w:rFonts w:ascii="SimSun" w:hAnsi="SimSun" w:eastAsia="SimSun" w:cs="SimSun"/>
          <w:color w:val="000000"/>
          <w:sz w:val="22"/>
        </w:rPr>
        <w:t xml:space="preserve">日</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法定代表人（单位负责人）有效期内的身份证正反面电子件：</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被授权人有效期内的身份证正反面电子件：</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、若投标人为事业单位或其他组织或分支机构（仅当招标文件注明允许分支机构投标的），则法定代表人（单位负责人）处的签署人可为单位负责人。</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、若招标文件中全部签字之处均为法定代表人（单位负责人）本人签署，则可不提供本《授权委托书》，但须提供《法定代表人（单位负责人）身份证明》。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、投标人为自然人的情形，可不提供本《授权委托书》。</w:t>
      </w:r>
      <w:r/>
    </w:p>
    <w:p>
      <w:pPr>
        <w:ind w:left="0" w:right="0" w:firstLine="0"/>
        <w:jc w:val="center"/>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法定代表人（单位负责人）身份证明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致：【采购单位】</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Calibri" w:hAnsi="Calibri" w:eastAsia="Calibri" w:cs="Calibri"/>
          <w:color w:val="000000"/>
          <w:sz w:val="21"/>
        </w:rPr>
        <w:t xml:space="preserve">____</w:t>
      </w:r>
      <w:r>
        <w:rPr>
          <w:rFonts w:ascii="SimSun" w:hAnsi="SimSun" w:eastAsia="SimSun" w:cs="SimSun"/>
          <w:color w:val="000000"/>
          <w:sz w:val="21"/>
        </w:rPr>
        <w:t xml:space="preserve">性别：</w:t>
      </w:r>
      <w:r>
        <w:rPr>
          <w:rFonts w:ascii="Calibri" w:hAnsi="Calibri" w:eastAsia="Calibri" w:cs="Calibri"/>
          <w:color w:val="000000"/>
          <w:sz w:val="21"/>
        </w:rPr>
        <w:t xml:space="preserve">____</w:t>
      </w:r>
      <w:r>
        <w:rPr>
          <w:rFonts w:ascii="SimSun" w:hAnsi="SimSun" w:eastAsia="SimSun" w:cs="SimSun"/>
          <w:color w:val="000000"/>
          <w:sz w:val="21"/>
        </w:rPr>
        <w:t xml:space="preserve">年龄：</w:t>
      </w:r>
      <w:r>
        <w:rPr>
          <w:rFonts w:ascii="Calibri" w:hAnsi="Calibri" w:eastAsia="Calibri" w:cs="Calibri"/>
          <w:color w:val="000000"/>
          <w:sz w:val="21"/>
        </w:rPr>
        <w:t xml:space="preserve">____</w:t>
      </w:r>
      <w:r>
        <w:rPr>
          <w:rFonts w:ascii="SimSun" w:hAnsi="SimSun" w:eastAsia="SimSun" w:cs="SimSun"/>
          <w:color w:val="000000"/>
          <w:sz w:val="21"/>
        </w:rPr>
        <w:t xml:space="preserve">职务：</w:t>
      </w:r>
      <w:r>
        <w:rPr>
          <w:rFonts w:ascii="Calibri" w:hAnsi="Calibri" w:eastAsia="Calibri" w:cs="Calibri"/>
          <w:color w:val="000000"/>
          <w:sz w:val="21"/>
        </w:rPr>
        <w:t xml:space="preserve">____ </w:t>
      </w:r>
      <w:r>
        <w:rPr>
          <w:rFonts w:ascii="SimSun" w:hAnsi="SimSun" w:eastAsia="SimSun" w:cs="SimSun"/>
          <w:color w:val="000000"/>
          <w:sz w:val="21"/>
        </w:rPr>
        <w:t xml:space="preserve">系 </w:t>
      </w:r>
      <w:r>
        <w:rPr>
          <w:rFonts w:ascii="SimSun" w:hAnsi="SimSun" w:eastAsia="SimSun" w:cs="SimSun"/>
          <w:color w:val="000000"/>
          <w:sz w:val="21"/>
          <w:u w:val="single"/>
        </w:rPr>
        <w:t xml:space="preserve">（投标人名称）</w:t>
      </w:r>
      <w:r>
        <w:rPr>
          <w:rFonts w:ascii="SimSun" w:hAnsi="SimSun" w:eastAsia="SimSun" w:cs="SimSun"/>
          <w:color w:val="000000"/>
          <w:sz w:val="21"/>
        </w:rPr>
        <w:t xml:space="preserve">的法定代表人（单位负责人）。</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附：法定代表人（单位负责人）有效期内的身份证正反面电子件。（可电子粘贴）</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5"/>
        <w:gridCol w:w="3797"/>
      </w:tblGrid>
      <w:tr>
        <w:trPr>
          <w:trHeight w:val="1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w:t>
      </w:r>
      <w:r>
        <w:rPr>
          <w:rFonts w:ascii="Calibri" w:hAnsi="Calibri" w:eastAsia="Calibri" w:cs="Calibri"/>
          <w:color w:val="000000"/>
          <w:sz w:val="21"/>
        </w:rPr>
        <w:t xml:space="preserve">CA</w:t>
      </w:r>
      <w:r>
        <w:rPr>
          <w:rFonts w:ascii="SimSun" w:hAnsi="SimSun" w:eastAsia="SimSun" w:cs="SimSun"/>
          <w:color w:val="000000"/>
          <w:sz w:val="21"/>
        </w:rPr>
        <w:t xml:space="preserve">电子公章）：</w:t>
      </w:r>
      <w:r>
        <w:rPr>
          <w:rFonts w:ascii="Calibri" w:hAnsi="Calibri" w:eastAsia="Calibri" w:cs="Calibri"/>
          <w:color w:val="000000"/>
          <w:sz w:val="21"/>
        </w:rPr>
        <w:t xml:space="preserve">________________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法定代表人（单位负责人）（签字、签章或印鉴）：</w:t>
      </w:r>
      <w:r>
        <w:rPr>
          <w:rFonts w:ascii="Calibri" w:hAnsi="Calibri" w:eastAsia="Calibri" w:cs="Calibri"/>
          <w:color w:val="000000"/>
          <w:sz w:val="21"/>
        </w:rPr>
        <w:t xml:space="preserve">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Calibri" w:hAnsi="Calibri" w:eastAsia="Calibri" w:cs="Calibri"/>
          <w:color w:val="000000"/>
          <w:sz w:val="21"/>
        </w:rPr>
        <w:t xml:space="preserve">_____</w:t>
      </w:r>
      <w:r>
        <w:rPr>
          <w:rFonts w:ascii="SimSun" w:hAnsi="SimSun" w:eastAsia="SimSun" w:cs="SimSun"/>
          <w:color w:val="000000"/>
          <w:sz w:val="21"/>
        </w:rPr>
        <w:t xml:space="preserve">年</w:t>
      </w:r>
      <w:r>
        <w:rPr>
          <w:rFonts w:ascii="Calibri" w:hAnsi="Calibri" w:eastAsia="Calibri" w:cs="Calibri"/>
          <w:color w:val="000000"/>
          <w:sz w:val="21"/>
        </w:rPr>
        <w:t xml:space="preserve">______</w:t>
      </w:r>
      <w:r>
        <w:rPr>
          <w:rFonts w:ascii="SimSun" w:hAnsi="SimSun" w:eastAsia="SimSun" w:cs="SimSun"/>
          <w:color w:val="000000"/>
          <w:sz w:val="21"/>
        </w:rPr>
        <w:t xml:space="preserve">月</w:t>
      </w:r>
      <w:r>
        <w:rPr>
          <w:rFonts w:ascii="Calibri" w:hAnsi="Calibri" w:eastAsia="Calibri" w:cs="Calibri"/>
          <w:color w:val="000000"/>
          <w:sz w:val="21"/>
        </w:rPr>
        <w:t xml:space="preserve">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93"/>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93"/>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93"/>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十一、投标函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致：射阳县综合检验检测中心、射阳宏远财会服务有限公司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号招标文件，正式授权下述签字人_________(姓名)代表我方__________（投标人的名称），全权处理本次项目投标的有关事宜。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十二、中小企业声明函（服务）</w:t>
      </w:r>
      <w:r/>
    </w:p>
    <w:p>
      <w:pPr>
        <w:ind w:left="0" w:right="0" w:firstLine="54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8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十三、残疾人福利性单位声明函（如有）</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Calibri" w:hAnsi="Calibri" w:eastAsia="Calibri" w:cs="Calibri"/>
          <w:color w:val="000000"/>
          <w:sz w:val="24"/>
        </w:rPr>
        <w:t xml:space="preserve">______</w:t>
      </w:r>
      <w:r>
        <w:rPr>
          <w:rFonts w:ascii="SimSun" w:hAnsi="SimSun" w:eastAsia="SimSun" w:cs="SimSun"/>
          <w:color w:val="000000"/>
          <w:sz w:val="24"/>
        </w:rPr>
        <w:t xml:space="preserve">单位的</w:t>
      </w:r>
      <w:r>
        <w:rPr>
          <w:rFonts w:ascii="Calibri" w:hAnsi="Calibri" w:eastAsia="Calibri" w:cs="Calibri"/>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Calibri" w:hAnsi="Calibri" w:eastAsia="Calibri" w:cs="Calibri"/>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（备注：1、投标人如不提供此声明函，价格将不做相应扣除。2、中标投标人为残疾人福利单位的，此声明函将随中标结果同时公告，接受社会监督）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投标人全称（加盖CA电子公章）：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十四、资格性审查响应对照表（格式）</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9"/>
        <w:gridCol w:w="4739"/>
        <w:gridCol w:w="1652"/>
        <w:gridCol w:w="1605"/>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年度财务状况报告或本年度近期月度财务报表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本年度近期依法缴纳税费材料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本年度近期依法缴纳社保材料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具备履行合同所必需的服务和专业技术能力的书面声明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注：本表须明确填写并按招标文件要求提供材料，否则资格性检查无法通过。</w:t>
      </w:r>
      <w:r/>
    </w:p>
    <w:p>
      <w:pPr>
        <w:ind w:left="0" w:right="0" w:firstLine="37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560" w:firstLine="624"/>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156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pStyle w:val="691"/>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十五、符合性检查响应对照表（格式）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4154"/>
        <w:gridCol w:w="1895"/>
        <w:gridCol w:w="18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其他须投标人承诺响应内容，详见附件</w:t>
            </w: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3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注：本表须明确填写并按招标文件要求提供材料，否则符合性检查无法通过。</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560" w:firstLine="624"/>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156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0"/>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w:t>
      </w:r>
      <w:r>
        <w:rPr>
          <w:rFonts w:ascii="KaiTi" w:hAnsi="KaiTi" w:eastAsia="KaiTi" w:cs="KaiTi"/>
          <w:b/>
          <w:color w:val="000000"/>
          <w:sz w:val="32"/>
        </w:rPr>
        <w:t xml:space="preserve">1</w:t>
      </w:r>
      <w:r>
        <w:rPr>
          <w:rFonts w:ascii="SimSun" w:hAnsi="SimSun" w:eastAsia="SimSun" w:cs="SimSun"/>
          <w:b/>
          <w:color w:val="000000"/>
          <w:sz w:val="32"/>
        </w:rPr>
        <w:t xml:space="preserve">、          </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其他须投标人承诺响应内容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我公司承诺完全响应招标文件第四章采购需求的全部内容。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  投标人</w:t>
      </w:r>
      <w:r>
        <w:rPr>
          <w:rFonts w:ascii="SimSun" w:hAnsi="SimSun" w:eastAsia="SimSun" w:cs="SimSun"/>
          <w:color w:val="000000"/>
          <w:sz w:val="28"/>
        </w:rPr>
        <w:t xml:space="preserve">（加盖CA电子签章）</w:t>
      </w:r>
      <w:r>
        <w:rPr>
          <w:rFonts w:ascii="SimSun" w:hAnsi="SimSun" w:eastAsia="SimSun" w:cs="SimSun"/>
          <w:color w:val="000000"/>
          <w:sz w:val="22"/>
        </w:rPr>
        <w:t xml:space="preserve">：</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5"/>
        <w:gridCol w:w="7391"/>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投标金额（总价）：（大写）： </w:t>
            </w:r>
            <w:r>
              <w:rPr>
                <w:rFonts w:ascii="Calibri" w:hAnsi="Calibri" w:eastAsia="Calibri" w:cs="Calibri"/>
                <w:color w:val="000000"/>
                <w:sz w:val="24"/>
                <w:u w:val="single"/>
              </w:rPr>
              <w:t xml:space="preserve">                </w:t>
            </w:r>
            <w:r>
              <w:rPr>
                <w:rFonts w:ascii="SimSun" w:hAnsi="SimSun" w:eastAsia="SimSun" w:cs="SimSun"/>
                <w:color w:val="000000"/>
                <w:sz w:val="24"/>
              </w:rPr>
              <w:t xml:space="preserve">小写：</w:t>
            </w:r>
            <w:r>
              <w:rPr>
                <w:rFonts w:ascii="Calibri" w:hAnsi="Calibri" w:eastAsia="Calibri" w:cs="Calibri"/>
                <w:color w:val="000000"/>
                <w:sz w:val="24"/>
                <w:u w:val="single"/>
              </w:rPr>
              <w:t xml:space="preserve">             </w:t>
            </w: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9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合同履约期限：自签订合同之日起，服务期2年。</w:t>
            </w:r>
            <w:r/>
          </w:p>
        </w:tc>
      </w:tr>
      <w:tr>
        <w:trPr>
          <w:trHeight w:val="7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《中小企业声明函》详见 </w:t>
            </w:r>
            <w:r>
              <w:rPr>
                <w:rFonts w:ascii="Calibri" w:hAnsi="Calibri" w:eastAsia="Calibri" w:cs="Calibri"/>
                <w:color w:val="000000"/>
                <w:sz w:val="24"/>
                <w:u w:val="single"/>
              </w:rPr>
              <w:t xml:space="preserve">     </w:t>
            </w:r>
            <w:r>
              <w:rPr>
                <w:rFonts w:ascii="SimSun" w:hAnsi="SimSun" w:eastAsia="SimSun" w:cs="SimSun"/>
                <w:color w:val="000000"/>
                <w:sz w:val="24"/>
              </w:rPr>
              <w:t xml:space="preserve">页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投标人全称（加盖CA电子签章）：</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十七、项目方案等（投标人按评分标准要求分点表述，格式自拟）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十八、盐城市政府采购事前信用承诺书</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投标人全称（加盖CA电子公章）：</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rPr>
          <w:rFonts w:ascii="SimSun" w:hAnsi="SimSun" w:eastAsia="SimSun" w:cs="SimSun"/>
          <w:color w:val="ff0000"/>
          <w:sz w:val="24"/>
        </w:rPr>
        <w:t xml:space="preserve">营业执照复印件、授权委托书，授权委托人社保等证明材料）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981006681"/>
                            <w:docPartObj>
                              <w:docPartGallery w:val="autotext"/>
                            </w:docPartObj>
                            <w:rPr/>
                          </w:sdtPr>
                          <w:sdtContent>
                            <w:p>
                              <w:pPr>
                                <w:pStyle w:val="714"/>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726"/>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981006681"/>
                      <w:docPartObj>
                        <w:docPartGallery w:val="autotext"/>
                      </w:docPartObj>
                      <w:rPr/>
                    </w:sdtPr>
                    <w:sdtContent>
                      <w:p>
                        <w:pPr>
                          <w:pStyle w:val="714"/>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726"/>
                    </w:pPr>
                    <w:r/>
                    <w:r/>
                  </w:p>
                </w:txbxContent>
              </v:textbox>
            </v:shape>
          </w:pict>
        </mc:Fallback>
      </mc:AlternateContent>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0"/>
    <w:uiPriority w:val="9"/>
    <w:rPr>
      <w:rFonts w:ascii="Arial" w:hAnsi="Arial" w:eastAsia="Arial" w:cs="Arial"/>
      <w:sz w:val="40"/>
      <w:szCs w:val="40"/>
    </w:rPr>
  </w:style>
  <w:style w:type="character" w:styleId="15">
    <w:name w:val="Heading 2 Char"/>
    <w:basedOn w:val="699"/>
    <w:link w:val="691"/>
    <w:uiPriority w:val="9"/>
    <w:rPr>
      <w:rFonts w:ascii="Arial" w:hAnsi="Arial" w:eastAsia="Arial" w:cs="Arial"/>
      <w:sz w:val="34"/>
    </w:rPr>
  </w:style>
  <w:style w:type="character" w:styleId="17">
    <w:name w:val="Heading 3 Char"/>
    <w:basedOn w:val="699"/>
    <w:link w:val="692"/>
    <w:uiPriority w:val="9"/>
    <w:rPr>
      <w:rFonts w:ascii="Arial" w:hAnsi="Arial" w:eastAsia="Arial" w:cs="Arial"/>
      <w:sz w:val="30"/>
      <w:szCs w:val="30"/>
    </w:rPr>
  </w:style>
  <w:style w:type="character" w:styleId="19">
    <w:name w:val="Heading 4 Char"/>
    <w:basedOn w:val="699"/>
    <w:link w:val="693"/>
    <w:uiPriority w:val="9"/>
    <w:rPr>
      <w:rFonts w:ascii="Arial" w:hAnsi="Arial" w:eastAsia="Arial" w:cs="Arial"/>
      <w:b/>
      <w:bCs/>
      <w:sz w:val="26"/>
      <w:szCs w:val="26"/>
    </w:rPr>
  </w:style>
  <w:style w:type="character" w:styleId="21">
    <w:name w:val="Heading 5 Char"/>
    <w:basedOn w:val="699"/>
    <w:link w:val="694"/>
    <w:uiPriority w:val="9"/>
    <w:rPr>
      <w:rFonts w:ascii="Arial" w:hAnsi="Arial" w:eastAsia="Arial" w:cs="Arial"/>
      <w:b/>
      <w:bCs/>
      <w:sz w:val="24"/>
      <w:szCs w:val="24"/>
    </w:rPr>
  </w:style>
  <w:style w:type="character" w:styleId="23">
    <w:name w:val="Heading 6 Char"/>
    <w:basedOn w:val="699"/>
    <w:link w:val="695"/>
    <w:uiPriority w:val="9"/>
    <w:rPr>
      <w:rFonts w:ascii="Arial" w:hAnsi="Arial" w:eastAsia="Arial" w:cs="Arial"/>
      <w:b/>
      <w:bCs/>
      <w:sz w:val="22"/>
      <w:szCs w:val="22"/>
    </w:rPr>
  </w:style>
  <w:style w:type="character" w:styleId="25">
    <w:name w:val="Heading 7 Char"/>
    <w:basedOn w:val="699"/>
    <w:link w:val="696"/>
    <w:uiPriority w:val="9"/>
    <w:rPr>
      <w:rFonts w:ascii="Arial" w:hAnsi="Arial" w:eastAsia="Arial" w:cs="Arial"/>
      <w:b/>
      <w:bCs/>
      <w:i/>
      <w:iCs/>
      <w:sz w:val="22"/>
      <w:szCs w:val="22"/>
    </w:rPr>
  </w:style>
  <w:style w:type="character" w:styleId="27">
    <w:name w:val="Heading 8 Char"/>
    <w:basedOn w:val="699"/>
    <w:link w:val="697"/>
    <w:uiPriority w:val="9"/>
    <w:rPr>
      <w:rFonts w:ascii="Arial" w:hAnsi="Arial" w:eastAsia="Arial" w:cs="Arial"/>
      <w:i/>
      <w:iCs/>
      <w:sz w:val="22"/>
      <w:szCs w:val="22"/>
    </w:rPr>
  </w:style>
  <w:style w:type="character" w:styleId="29">
    <w:name w:val="Heading 9 Char"/>
    <w:basedOn w:val="699"/>
    <w:link w:val="698"/>
    <w:uiPriority w:val="9"/>
    <w:rPr>
      <w:rFonts w:ascii="Arial" w:hAnsi="Arial" w:eastAsia="Arial" w:cs="Arial"/>
      <w:i/>
      <w:iCs/>
      <w:sz w:val="21"/>
      <w:szCs w:val="21"/>
    </w:rPr>
  </w:style>
  <w:style w:type="character" w:styleId="34">
    <w:name w:val="Title Char"/>
    <w:basedOn w:val="699"/>
    <w:link w:val="725"/>
    <w:uiPriority w:val="10"/>
    <w:rPr>
      <w:sz w:val="48"/>
      <w:szCs w:val="48"/>
    </w:rPr>
  </w:style>
  <w:style w:type="character" w:styleId="36">
    <w:name w:val="Subtitle Char"/>
    <w:basedOn w:val="699"/>
    <w:link w:val="718"/>
    <w:uiPriority w:val="11"/>
    <w:rPr>
      <w:sz w:val="24"/>
      <w:szCs w:val="24"/>
    </w:rPr>
  </w:style>
  <w:style w:type="character" w:styleId="38">
    <w:name w:val="Quote Char"/>
    <w:link w:val="747"/>
    <w:uiPriority w:val="29"/>
    <w:rPr>
      <w:i/>
    </w:rPr>
  </w:style>
  <w:style w:type="character" w:styleId="40">
    <w:name w:val="Intense Quote Char"/>
    <w:link w:val="749"/>
    <w:uiPriority w:val="30"/>
    <w:rPr>
      <w:i/>
    </w:rPr>
  </w:style>
  <w:style w:type="character" w:styleId="42">
    <w:name w:val="Header Char"/>
    <w:basedOn w:val="699"/>
    <w:link w:val="715"/>
    <w:uiPriority w:val="99"/>
  </w:style>
  <w:style w:type="character" w:styleId="46">
    <w:name w:val="Caption Char"/>
    <w:basedOn w:val="704"/>
    <w:link w:val="714"/>
    <w:uiPriority w:val="99"/>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9"/>
    <w:uiPriority w:val="99"/>
    <w:rPr>
      <w:sz w:val="18"/>
    </w:rPr>
  </w:style>
  <w:style w:type="character" w:styleId="178">
    <w:name w:val="Endnote Text Char"/>
    <w:link w:val="713"/>
    <w:uiPriority w:val="99"/>
    <w:rPr>
      <w:sz w:val="20"/>
    </w:rPr>
  </w:style>
  <w:style w:type="paragraph" w:styleId="689" w:default="1">
    <w:name w:val="Normal"/>
    <w:next w:val="701"/>
    <w:uiPriority w:val="0"/>
    <w:qFormat/>
    <w:pPr>
      <w:jc w:val="both"/>
      <w:widowControl w:val="off"/>
    </w:pPr>
    <w:rPr>
      <w:rFonts w:ascii="Calibri" w:hAnsi="Calibri" w:eastAsia="宋体" w:cs="Times New Roman"/>
      <w:sz w:val="21"/>
      <w:szCs w:val="22"/>
      <w:lang w:val="en-US" w:eastAsia="zh-CN" w:bidi="ar-SA"/>
    </w:rPr>
  </w:style>
  <w:style w:type="paragraph" w:styleId="690">
    <w:name w:val="Heading 1"/>
    <w:basedOn w:val="689"/>
    <w:next w:val="689"/>
    <w:link w:val="735"/>
    <w:uiPriority w:val="0"/>
    <w:qFormat/>
    <w:pPr>
      <w:jc w:val="center"/>
      <w:keepNext/>
      <w:spacing w:line="360" w:lineRule="auto"/>
      <w:outlineLvl w:val="0"/>
    </w:pPr>
    <w:rPr>
      <w:rFonts w:ascii="楷体_GB2312" w:eastAsiaTheme="majorEastAsia"/>
      <w:b/>
      <w:sz w:val="32"/>
      <w:szCs w:val="28"/>
    </w:rPr>
  </w:style>
  <w:style w:type="paragraph" w:styleId="691">
    <w:name w:val="Heading 2"/>
    <w:basedOn w:val="689"/>
    <w:next w:val="702"/>
    <w:link w:val="736"/>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37"/>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38"/>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9"/>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40"/>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41"/>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42"/>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43"/>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Body Text"/>
    <w:basedOn w:val="689"/>
    <w:next w:val="689"/>
    <w:link w:val="883"/>
    <w:uiPriority w:val="0"/>
    <w:qFormat/>
    <w:pPr>
      <w:spacing w:after="120"/>
    </w:pPr>
  </w:style>
  <w:style w:type="paragraph" w:styleId="702">
    <w:name w:val="Normal Indent"/>
    <w:basedOn w:val="689"/>
    <w:next w:val="689"/>
    <w:uiPriority w:val="0"/>
    <w:qFormat/>
    <w:pPr>
      <w:ind w:firstLine="420"/>
    </w:pPr>
    <w:rPr>
      <w:rFonts w:ascii="Times New Roman" w:eastAsia="宋体"/>
      <w:szCs w:val="20"/>
    </w:rPr>
  </w:style>
  <w:style w:type="paragraph" w:styleId="703">
    <w:name w:val="toc 7"/>
    <w:basedOn w:val="689"/>
    <w:next w:val="689"/>
    <w:uiPriority w:val="39"/>
    <w:unhideWhenUsed/>
    <w:qFormat/>
    <w:pPr>
      <w:ind w:left="1701"/>
      <w:spacing w:after="57"/>
    </w:pPr>
  </w:style>
  <w:style w:type="paragraph" w:styleId="704">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5">
    <w:name w:val="annotation text"/>
    <w:basedOn w:val="689"/>
    <w:link w:val="882"/>
    <w:uiPriority w:val="0"/>
    <w:qFormat/>
    <w:pPr>
      <w:jc w:val="left"/>
    </w:pPr>
  </w:style>
  <w:style w:type="paragraph" w:styleId="706">
    <w:name w:val="Body Text Indent"/>
    <w:basedOn w:val="689"/>
    <w:next w:val="707"/>
    <w:link w:val="880"/>
    <w:uiPriority w:val="0"/>
    <w:unhideWhenUsed/>
    <w:qFormat/>
    <w:pPr>
      <w:ind w:left="420"/>
      <w:spacing w:after="120"/>
    </w:pPr>
  </w:style>
  <w:style w:type="paragraph" w:styleId="707">
    <w:name w:val="envelope return"/>
    <w:basedOn w:val="689"/>
    <w:uiPriority w:val="0"/>
    <w:qFormat/>
    <w:rPr>
      <w:rFonts w:ascii="Arial" w:hAnsi="Arial"/>
    </w:rPr>
  </w:style>
  <w:style w:type="paragraph" w:styleId="708">
    <w:name w:val="Block Text"/>
    <w:basedOn w:val="689"/>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09">
    <w:name w:val="toc 5"/>
    <w:basedOn w:val="689"/>
    <w:next w:val="689"/>
    <w:uiPriority w:val="39"/>
    <w:unhideWhenUsed/>
    <w:qFormat/>
    <w:pPr>
      <w:ind w:left="1134"/>
      <w:spacing w:after="57"/>
    </w:pPr>
  </w:style>
  <w:style w:type="paragraph" w:styleId="710">
    <w:name w:val="toc 3"/>
    <w:basedOn w:val="689"/>
    <w:next w:val="689"/>
    <w:uiPriority w:val="39"/>
    <w:unhideWhenUsed/>
    <w:qFormat/>
    <w:pPr>
      <w:ind w:left="567"/>
      <w:spacing w:after="57"/>
    </w:pPr>
  </w:style>
  <w:style w:type="paragraph" w:styleId="711">
    <w:name w:val="Plain Text"/>
    <w:basedOn w:val="689"/>
    <w:link w:val="884"/>
    <w:uiPriority w:val="0"/>
    <w:qFormat/>
    <w:rPr>
      <w:rFonts w:ascii="宋体" w:hAnsi="Courier New" w:cs="Courier New"/>
      <w:szCs w:val="21"/>
    </w:rPr>
  </w:style>
  <w:style w:type="paragraph" w:styleId="712">
    <w:name w:val="toc 8"/>
    <w:basedOn w:val="689"/>
    <w:next w:val="689"/>
    <w:uiPriority w:val="39"/>
    <w:unhideWhenUsed/>
    <w:qFormat/>
    <w:pPr>
      <w:ind w:left="1984"/>
      <w:spacing w:after="57"/>
    </w:pPr>
  </w:style>
  <w:style w:type="paragraph" w:styleId="713">
    <w:name w:val="endnote text"/>
    <w:basedOn w:val="689"/>
    <w:link w:val="878"/>
    <w:uiPriority w:val="99"/>
    <w:semiHidden/>
    <w:unhideWhenUsed/>
    <w:qFormat/>
    <w:rPr>
      <w:sz w:val="20"/>
    </w:rPr>
  </w:style>
  <w:style w:type="paragraph" w:styleId="714">
    <w:name w:val="Footer"/>
    <w:basedOn w:val="689"/>
    <w:link w:val="734"/>
    <w:uiPriority w:val="99"/>
    <w:unhideWhenUsed/>
    <w:qFormat/>
    <w:pPr>
      <w:jc w:val="left"/>
      <w:tabs>
        <w:tab w:val="center" w:pos="4153" w:leader="none"/>
        <w:tab w:val="right" w:pos="8306" w:leader="none"/>
      </w:tabs>
    </w:pPr>
    <w:rPr>
      <w:sz w:val="18"/>
      <w:szCs w:val="18"/>
    </w:rPr>
  </w:style>
  <w:style w:type="paragraph" w:styleId="715">
    <w:name w:val="Header"/>
    <w:basedOn w:val="689"/>
    <w:link w:val="73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9"/>
    <w:next w:val="689"/>
    <w:uiPriority w:val="39"/>
    <w:unhideWhenUsed/>
    <w:qFormat/>
    <w:pPr>
      <w:spacing w:after="57"/>
    </w:pPr>
  </w:style>
  <w:style w:type="paragraph" w:styleId="717">
    <w:name w:val="toc 4"/>
    <w:basedOn w:val="689"/>
    <w:next w:val="689"/>
    <w:uiPriority w:val="39"/>
    <w:unhideWhenUsed/>
    <w:qFormat/>
    <w:pPr>
      <w:ind w:left="850"/>
      <w:spacing w:after="57"/>
    </w:pPr>
  </w:style>
  <w:style w:type="paragraph" w:styleId="718">
    <w:name w:val="Subtitle"/>
    <w:basedOn w:val="689"/>
    <w:next w:val="689"/>
    <w:link w:val="746"/>
    <w:uiPriority w:val="11"/>
    <w:qFormat/>
    <w:pPr>
      <w:spacing w:before="200" w:after="200"/>
    </w:pPr>
    <w:rPr>
      <w:sz w:val="24"/>
      <w:szCs w:val="24"/>
    </w:rPr>
  </w:style>
  <w:style w:type="paragraph" w:styleId="719">
    <w:name w:val="footnote text"/>
    <w:basedOn w:val="689"/>
    <w:link w:val="877"/>
    <w:uiPriority w:val="99"/>
    <w:qFormat/>
    <w:pPr>
      <w:jc w:val="left"/>
    </w:pPr>
    <w:rPr>
      <w:rFonts w:asciiTheme="minorHAnsi" w:hAnsiTheme="minorHAnsi" w:eastAsiaTheme="minorEastAsia" w:cstheme="minorBidi"/>
      <w:sz w:val="18"/>
    </w:rPr>
  </w:style>
  <w:style w:type="paragraph" w:styleId="720">
    <w:name w:val="toc 6"/>
    <w:basedOn w:val="689"/>
    <w:next w:val="689"/>
    <w:uiPriority w:val="39"/>
    <w:unhideWhenUsed/>
    <w:qFormat/>
    <w:pPr>
      <w:ind w:left="1417"/>
      <w:spacing w:after="57"/>
    </w:pPr>
  </w:style>
  <w:style w:type="paragraph" w:styleId="721">
    <w:name w:val="table of figures"/>
    <w:basedOn w:val="689"/>
    <w:next w:val="689"/>
    <w:uiPriority w:val="99"/>
    <w:unhideWhenUsed/>
    <w:qFormat/>
  </w:style>
  <w:style w:type="paragraph" w:styleId="722">
    <w:name w:val="toc 2"/>
    <w:basedOn w:val="689"/>
    <w:next w:val="689"/>
    <w:uiPriority w:val="39"/>
    <w:unhideWhenUsed/>
    <w:qFormat/>
    <w:pPr>
      <w:ind w:left="283"/>
      <w:spacing w:after="57"/>
    </w:pPr>
  </w:style>
  <w:style w:type="paragraph" w:styleId="723">
    <w:name w:val="toc 9"/>
    <w:basedOn w:val="689"/>
    <w:next w:val="689"/>
    <w:uiPriority w:val="39"/>
    <w:unhideWhenUsed/>
    <w:qFormat/>
    <w:pPr>
      <w:ind w:left="2268"/>
      <w:spacing w:after="57"/>
    </w:pPr>
  </w:style>
  <w:style w:type="paragraph" w:styleId="724">
    <w:name w:val="Normal (Web)"/>
    <w:basedOn w:val="689"/>
    <w:uiPriority w:val="0"/>
    <w:qFormat/>
    <w:pPr>
      <w:jc w:val="left"/>
      <w:spacing w:beforeAutospacing="1" w:afterAutospacing="1"/>
    </w:pPr>
    <w:rPr>
      <w:sz w:val="24"/>
    </w:rPr>
  </w:style>
  <w:style w:type="paragraph" w:styleId="725">
    <w:name w:val="Title"/>
    <w:basedOn w:val="689"/>
    <w:next w:val="689"/>
    <w:link w:val="745"/>
    <w:uiPriority w:val="10"/>
    <w:qFormat/>
    <w:pPr>
      <w:contextualSpacing/>
      <w:spacing w:before="300" w:after="200"/>
    </w:pPr>
    <w:rPr>
      <w:sz w:val="48"/>
      <w:szCs w:val="48"/>
    </w:rPr>
  </w:style>
  <w:style w:type="paragraph" w:styleId="726">
    <w:name w:val="Body Text First Indent"/>
    <w:basedOn w:val="689"/>
    <w:uiPriority w:val="0"/>
    <w:qFormat/>
    <w:pPr>
      <w:ind w:firstLine="200"/>
      <w:spacing w:line="360" w:lineRule="auto"/>
    </w:pPr>
    <w:rPr>
      <w:rFonts w:ascii="仿宋_GB2312" w:hAnsi="Times New Roman" w:eastAsia="仿宋_GB2312" w:cs="Times New Roman"/>
      <w:sz w:val="30"/>
      <w:szCs w:val="30"/>
    </w:rPr>
  </w:style>
  <w:style w:type="paragraph" w:styleId="727">
    <w:name w:val="Body Text First Indent 2"/>
    <w:basedOn w:val="706"/>
    <w:link w:val="881"/>
    <w:uiPriority w:val="0"/>
    <w:qFormat/>
    <w:pPr>
      <w:ind w:left="0" w:firstLine="420"/>
      <w:spacing w:before="50" w:line="360" w:lineRule="auto"/>
    </w:pPr>
    <w:rPr>
      <w:sz w:val="30"/>
      <w:szCs w:val="24"/>
    </w:rPr>
  </w:style>
  <w:style w:type="table" w:styleId="728">
    <w:name w:val="Table Grid"/>
    <w:basedOn w:val="700"/>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endnote reference"/>
    <w:basedOn w:val="699"/>
    <w:uiPriority w:val="99"/>
    <w:semiHidden/>
    <w:unhideWhenUsed/>
    <w:qFormat/>
    <w:rPr>
      <w:vertAlign w:val="superscript"/>
    </w:rPr>
  </w:style>
  <w:style w:type="character" w:styleId="730">
    <w:name w:val="Hyperlink"/>
    <w:basedOn w:val="699"/>
    <w:uiPriority w:val="99"/>
    <w:unhideWhenUsed/>
    <w:qFormat/>
    <w:rPr>
      <w:color w:val="0563c1" w:themeColor="hyperlink"/>
      <w:u w:val="single"/>
      <w14:textFill>
        <w14:solidFill>
          <w14:schemeClr w14:val="hlink"/>
        </w14:solidFill>
      </w14:textFill>
    </w:rPr>
  </w:style>
  <w:style w:type="character" w:styleId="731">
    <w:name w:val="footnote reference"/>
    <w:basedOn w:val="699"/>
    <w:uiPriority w:val="99"/>
    <w:unhideWhenUsed/>
    <w:qFormat/>
    <w:rPr>
      <w:vertAlign w:val="superscript"/>
    </w:rPr>
  </w:style>
  <w:style w:type="paragraph" w:styleId="732" w:customStyle="1">
    <w:name w:val="正文文本1"/>
    <w:basedOn w:val="689"/>
    <w:next w:val="689"/>
    <w:uiPriority w:val="0"/>
    <w:unhideWhenUsed/>
    <w:qFormat/>
    <w:pPr>
      <w:spacing w:after="120"/>
    </w:pPr>
    <w:rPr>
      <w:rFonts w:ascii="Calibri" w:hAnsi="Calibri"/>
    </w:rPr>
  </w:style>
  <w:style w:type="character" w:styleId="733" w:customStyle="1">
    <w:name w:val="页眉 Char"/>
    <w:basedOn w:val="699"/>
    <w:link w:val="715"/>
    <w:uiPriority w:val="99"/>
    <w:qFormat/>
    <w:rPr>
      <w:sz w:val="18"/>
      <w:szCs w:val="18"/>
    </w:rPr>
  </w:style>
  <w:style w:type="character" w:styleId="734" w:customStyle="1">
    <w:name w:val="页脚 Char"/>
    <w:basedOn w:val="699"/>
    <w:link w:val="714"/>
    <w:uiPriority w:val="99"/>
    <w:qFormat/>
    <w:rPr>
      <w:sz w:val="18"/>
      <w:szCs w:val="18"/>
    </w:rPr>
  </w:style>
  <w:style w:type="character" w:styleId="735" w:customStyle="1">
    <w:name w:val="标题 1 Char"/>
    <w:basedOn w:val="699"/>
    <w:link w:val="690"/>
    <w:uiPriority w:val="0"/>
    <w:qFormat/>
    <w:rPr>
      <w:rFonts w:ascii="楷体_GB2312" w:hAnsi="Calibri" w:cs="Times New Roman" w:eastAsiaTheme="majorEastAsia"/>
      <w:b/>
      <w:sz w:val="32"/>
      <w:szCs w:val="28"/>
    </w:rPr>
  </w:style>
  <w:style w:type="character" w:styleId="736" w:customStyle="1">
    <w:name w:val="标题 2 Char"/>
    <w:basedOn w:val="699"/>
    <w:link w:val="691"/>
    <w:uiPriority w:val="9"/>
    <w:qFormat/>
    <w:rPr>
      <w:rFonts w:ascii="Arial" w:hAnsi="Arial" w:eastAsia="Arial" w:cs="Arial"/>
      <w:sz w:val="34"/>
    </w:rPr>
  </w:style>
  <w:style w:type="character" w:styleId="737" w:customStyle="1">
    <w:name w:val="标题 3 Char"/>
    <w:basedOn w:val="699"/>
    <w:link w:val="692"/>
    <w:uiPriority w:val="9"/>
    <w:qFormat/>
    <w:rPr>
      <w:rFonts w:ascii="Arial" w:hAnsi="Arial" w:eastAsia="Arial" w:cs="Arial"/>
      <w:sz w:val="30"/>
      <w:szCs w:val="30"/>
    </w:rPr>
  </w:style>
  <w:style w:type="character" w:styleId="738" w:customStyle="1">
    <w:name w:val="标题 4 Char"/>
    <w:basedOn w:val="699"/>
    <w:link w:val="693"/>
    <w:uiPriority w:val="9"/>
    <w:qFormat/>
    <w:rPr>
      <w:rFonts w:ascii="Arial" w:hAnsi="Arial" w:eastAsia="Arial" w:cs="Arial"/>
      <w:b/>
      <w:bCs/>
      <w:sz w:val="26"/>
      <w:szCs w:val="26"/>
    </w:rPr>
  </w:style>
  <w:style w:type="character" w:styleId="739" w:customStyle="1">
    <w:name w:val="标题 5 Char"/>
    <w:basedOn w:val="699"/>
    <w:link w:val="694"/>
    <w:uiPriority w:val="9"/>
    <w:qFormat/>
    <w:rPr>
      <w:rFonts w:ascii="Arial" w:hAnsi="Arial" w:eastAsia="Arial" w:cs="Arial"/>
      <w:b/>
      <w:bCs/>
      <w:sz w:val="24"/>
      <w:szCs w:val="24"/>
    </w:rPr>
  </w:style>
  <w:style w:type="character" w:styleId="740" w:customStyle="1">
    <w:name w:val="标题 6 Char"/>
    <w:basedOn w:val="699"/>
    <w:link w:val="695"/>
    <w:uiPriority w:val="9"/>
    <w:qFormat/>
    <w:rPr>
      <w:rFonts w:ascii="Arial" w:hAnsi="Arial" w:eastAsia="Arial" w:cs="Arial"/>
      <w:b/>
      <w:bCs/>
      <w:sz w:val="22"/>
    </w:rPr>
  </w:style>
  <w:style w:type="character" w:styleId="741" w:customStyle="1">
    <w:name w:val="标题 7 Char"/>
    <w:basedOn w:val="699"/>
    <w:link w:val="696"/>
    <w:uiPriority w:val="9"/>
    <w:qFormat/>
    <w:rPr>
      <w:rFonts w:ascii="Arial" w:hAnsi="Arial" w:eastAsia="Arial" w:cs="Arial"/>
      <w:b/>
      <w:bCs/>
      <w:i/>
      <w:iCs/>
      <w:sz w:val="22"/>
    </w:rPr>
  </w:style>
  <w:style w:type="character" w:styleId="742" w:customStyle="1">
    <w:name w:val="标题 8 Char"/>
    <w:basedOn w:val="699"/>
    <w:link w:val="697"/>
    <w:uiPriority w:val="9"/>
    <w:qFormat/>
    <w:rPr>
      <w:rFonts w:ascii="Arial" w:hAnsi="Arial" w:eastAsia="Arial" w:cs="Arial"/>
      <w:i/>
      <w:iCs/>
      <w:sz w:val="22"/>
    </w:rPr>
  </w:style>
  <w:style w:type="character" w:styleId="743" w:customStyle="1">
    <w:name w:val="标题 9 Char"/>
    <w:basedOn w:val="699"/>
    <w:link w:val="698"/>
    <w:uiPriority w:val="9"/>
    <w:qFormat/>
    <w:rPr>
      <w:rFonts w:ascii="Arial" w:hAnsi="Arial" w:eastAsia="Arial" w:cs="Arial"/>
      <w:i/>
      <w:iCs/>
      <w:szCs w:val="21"/>
    </w:rPr>
  </w:style>
  <w:style w:type="paragraph" w:styleId="744">
    <w:name w:val="No Spacing"/>
    <w:uiPriority w:val="1"/>
    <w:qFormat/>
    <w:rPr>
      <w:rFonts w:ascii="Times New Roman" w:hAnsi="Times New Roman" w:eastAsia="宋体" w:cs="Times New Roman"/>
      <w:lang w:val="en-US" w:eastAsia="zh-CN" w:bidi="ar-SA"/>
    </w:rPr>
  </w:style>
  <w:style w:type="character" w:styleId="745" w:customStyle="1">
    <w:name w:val="标题 Char"/>
    <w:basedOn w:val="699"/>
    <w:link w:val="725"/>
    <w:uiPriority w:val="10"/>
    <w:qFormat/>
    <w:rPr>
      <w:rFonts w:ascii="Calibri" w:hAnsi="Calibri" w:eastAsia="宋体" w:cs="Times New Roman"/>
      <w:sz w:val="48"/>
      <w:szCs w:val="48"/>
    </w:rPr>
  </w:style>
  <w:style w:type="character" w:styleId="746" w:customStyle="1">
    <w:name w:val="副标题 Char"/>
    <w:basedOn w:val="699"/>
    <w:link w:val="718"/>
    <w:uiPriority w:val="11"/>
    <w:qFormat/>
    <w:rPr>
      <w:rFonts w:ascii="Calibri" w:hAnsi="Calibri" w:eastAsia="宋体" w:cs="Times New Roman"/>
      <w:sz w:val="24"/>
      <w:szCs w:val="24"/>
    </w:rPr>
  </w:style>
  <w:style w:type="paragraph" w:styleId="747">
    <w:name w:val="Quote"/>
    <w:basedOn w:val="689"/>
    <w:next w:val="689"/>
    <w:link w:val="748"/>
    <w:uiPriority w:val="29"/>
    <w:qFormat/>
    <w:pPr>
      <w:ind w:left="720" w:right="720"/>
    </w:pPr>
    <w:rPr>
      <w:i/>
    </w:rPr>
  </w:style>
  <w:style w:type="character" w:styleId="748" w:customStyle="1">
    <w:name w:val="引用 Char"/>
    <w:basedOn w:val="699"/>
    <w:link w:val="747"/>
    <w:uiPriority w:val="29"/>
    <w:qFormat/>
    <w:rPr>
      <w:rFonts w:ascii="Calibri" w:hAnsi="Calibri" w:eastAsia="宋体" w:cs="Times New Roman"/>
      <w:i/>
    </w:rPr>
  </w:style>
  <w:style w:type="paragraph" w:styleId="749">
    <w:name w:val="Intense Quote"/>
    <w:basedOn w:val="689"/>
    <w:next w:val="689"/>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basedOn w:val="699"/>
    <w:link w:val="749"/>
    <w:uiPriority w:val="30"/>
    <w:qFormat/>
    <w:rPr>
      <w:rFonts w:ascii="Calibri" w:hAnsi="Calibri" w:eastAsia="宋体" w:cs="Times New Roman"/>
      <w:i/>
      <w:shd w:val="clear" w:color="auto" w:fill="f2f2f2"/>
    </w:rPr>
  </w:style>
  <w:style w:type="character" w:styleId="751" w:customStyle="1">
    <w:name w:val="Footer Char"/>
    <w:basedOn w:val="699"/>
    <w:uiPriority w:val="99"/>
    <w:qFormat/>
  </w:style>
  <w:style w:type="table" w:styleId="752" w:customStyle="1">
    <w:name w:val="Table Grid Light"/>
    <w:basedOn w:val="700"/>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3" w:customStyle="1">
    <w:name w:val="无格式表格 11"/>
    <w:basedOn w:val="700"/>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700"/>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700"/>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700"/>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700"/>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700"/>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700"/>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700"/>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700"/>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700"/>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700"/>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700"/>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00"/>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700"/>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700"/>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700"/>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700"/>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700"/>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700"/>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网格表 31"/>
    <w:basedOn w:val="700"/>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700"/>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700"/>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700"/>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700"/>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700"/>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700"/>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00"/>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700"/>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1" w:customStyle="1">
    <w:name w:val="Grid Table 4 - Accent 2"/>
    <w:basedOn w:val="700"/>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2" w:customStyle="1">
    <w:name w:val="Grid Table 4 - Accent 3"/>
    <w:basedOn w:val="700"/>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3" w:customStyle="1">
    <w:name w:val="Grid Table 4 - Accent 4"/>
    <w:basedOn w:val="700"/>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4" w:customStyle="1">
    <w:name w:val="Grid Table 4 - Accent 5"/>
    <w:basedOn w:val="700"/>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5" w:customStyle="1">
    <w:name w:val="Grid Table 4 - Accent 6"/>
    <w:basedOn w:val="700"/>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6" w:customStyle="1">
    <w:name w:val="网格表 5 深色1"/>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8" w:customStyle="1">
    <w:name w:val="Grid Table 5 Dark - Accent 2"/>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9" w:customStyle="1">
    <w:name w:val="Grid Table 5 Dark - Accent 3"/>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0" w:customStyle="1">
    <w:name w:val="Grid Table 5 Dark- Accent 4"/>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1" w:customStyle="1">
    <w:name w:val="Grid Table 5 Dark - Accent 5"/>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2" w:customStyle="1">
    <w:name w:val="Grid Table 5 Dark - Accent 6"/>
    <w:basedOn w:val="700"/>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3" w:customStyle="1">
    <w:name w:val="网格表 6 彩色1"/>
    <w:basedOn w:val="700"/>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basedOn w:val="700"/>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700"/>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700"/>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7" w:customStyle="1">
    <w:name w:val="Grid Table 6 Colorful - Accent 4"/>
    <w:basedOn w:val="700"/>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700"/>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6 Colorful - Accent 6"/>
    <w:basedOn w:val="700"/>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网格表 7 彩色1"/>
    <w:basedOn w:val="700"/>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700"/>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700"/>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700"/>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700"/>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700"/>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700"/>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basedOn w:val="700"/>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700"/>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700"/>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700"/>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700"/>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700"/>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700"/>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清单表 21"/>
    <w:basedOn w:val="700"/>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700"/>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6" w:customStyle="1">
    <w:name w:val="List Table 2 - Accent 2"/>
    <w:basedOn w:val="700"/>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7" w:customStyle="1">
    <w:name w:val="List Table 2 - Accent 3"/>
    <w:basedOn w:val="700"/>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8" w:customStyle="1">
    <w:name w:val="List Table 2 - Accent 4"/>
    <w:basedOn w:val="700"/>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9" w:customStyle="1">
    <w:name w:val="List Table 2 - Accent 5"/>
    <w:basedOn w:val="700"/>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0" w:customStyle="1">
    <w:name w:val="List Table 2 - Accent 6"/>
    <w:basedOn w:val="700"/>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1" w:customStyle="1">
    <w:name w:val="清单表 31"/>
    <w:basedOn w:val="700"/>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700"/>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3" w:customStyle="1">
    <w:name w:val="List Table 3 - Accent 2"/>
    <w:basedOn w:val="700"/>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700"/>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700"/>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700"/>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700"/>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8" w:customStyle="1">
    <w:name w:val="清单表 41"/>
    <w:basedOn w:val="700"/>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700"/>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4 - Accent 2"/>
    <w:basedOn w:val="700"/>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List Table 4 - Accent 3"/>
    <w:basedOn w:val="700"/>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2" w:customStyle="1">
    <w:name w:val="List Table 4 - Accent 4"/>
    <w:basedOn w:val="700"/>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3" w:customStyle="1">
    <w:name w:val="List Table 4 - Accent 5"/>
    <w:basedOn w:val="700"/>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4" w:customStyle="1">
    <w:name w:val="List Table 4 - Accent 6"/>
    <w:basedOn w:val="700"/>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5" w:customStyle="1">
    <w:name w:val="清单表 5 深色1"/>
    <w:basedOn w:val="700"/>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basedOn w:val="700"/>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basedOn w:val="700"/>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basedOn w:val="700"/>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basedOn w:val="700"/>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basedOn w:val="700"/>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basedOn w:val="700"/>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700"/>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basedOn w:val="700"/>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4" w:customStyle="1">
    <w:name w:val="List Table 6 Colorful - Accent 2"/>
    <w:basedOn w:val="700"/>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5" w:customStyle="1">
    <w:name w:val="List Table 6 Colorful - Accent 3"/>
    <w:basedOn w:val="700"/>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6" w:customStyle="1">
    <w:name w:val="List Table 6 Colorful - Accent 4"/>
    <w:basedOn w:val="700"/>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7" w:customStyle="1">
    <w:name w:val="List Table 6 Colorful - Accent 5"/>
    <w:basedOn w:val="700"/>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8" w:customStyle="1">
    <w:name w:val="List Table 6 Colorful - Accent 6"/>
    <w:basedOn w:val="700"/>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9" w:customStyle="1">
    <w:name w:val="清单表 7 彩色1"/>
    <w:basedOn w:val="700"/>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700"/>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700"/>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700"/>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700"/>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700"/>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700"/>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8" w:customStyle="1">
    <w:name w:val="Lined - Accent 2"/>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9" w:customStyle="1">
    <w:name w:val="Lined - Accent 3"/>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0" w:customStyle="1">
    <w:name w:val="Lined - Accent 4"/>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1" w:customStyle="1">
    <w:name w:val="Lined - Accent 5"/>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2" w:customStyle="1">
    <w:name w:val="Lined - Accent 6"/>
    <w:basedOn w:val="700"/>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3" w:customStyle="1">
    <w:name w:val="Bordered &amp; Lined - Accent"/>
    <w:basedOn w:val="700"/>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700"/>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5" w:customStyle="1">
    <w:name w:val="Bordered &amp; Lined - Accent 2"/>
    <w:basedOn w:val="700"/>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6" w:customStyle="1">
    <w:name w:val="Bordered &amp; Lined - Accent 3"/>
    <w:basedOn w:val="700"/>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7" w:customStyle="1">
    <w:name w:val="Bordered &amp; Lined - Accent 4"/>
    <w:basedOn w:val="700"/>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8" w:customStyle="1">
    <w:name w:val="Bordered &amp; Lined - Accent 5"/>
    <w:basedOn w:val="700"/>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9" w:customStyle="1">
    <w:name w:val="Bordered &amp; Lined - Accent 6"/>
    <w:basedOn w:val="700"/>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0" w:customStyle="1">
    <w:name w:val="Bordered"/>
    <w:basedOn w:val="700"/>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700"/>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2" w:customStyle="1">
    <w:name w:val="Bordered - Accent 2"/>
    <w:basedOn w:val="700"/>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3" w:customStyle="1">
    <w:name w:val="Bordered - Accent 3"/>
    <w:basedOn w:val="700"/>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4" w:customStyle="1">
    <w:name w:val="Bordered - Accent 4"/>
    <w:basedOn w:val="700"/>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5" w:customStyle="1">
    <w:name w:val="Bordered - Accent 5"/>
    <w:basedOn w:val="700"/>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6" w:customStyle="1">
    <w:name w:val="Bordered - Accent 6"/>
    <w:basedOn w:val="700"/>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7" w:customStyle="1">
    <w:name w:val="脚注文本 Char"/>
    <w:link w:val="719"/>
    <w:uiPriority w:val="99"/>
    <w:qFormat/>
    <w:rPr>
      <w:sz w:val="18"/>
    </w:rPr>
  </w:style>
  <w:style w:type="character" w:styleId="878" w:customStyle="1">
    <w:name w:val="尾注文本 Char"/>
    <w:basedOn w:val="699"/>
    <w:link w:val="713"/>
    <w:uiPriority w:val="99"/>
    <w:semiHidden/>
    <w:qFormat/>
    <w:rPr>
      <w:rFonts w:ascii="Calibri" w:hAnsi="Calibri" w:eastAsia="宋体" w:cs="Times New Roman"/>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character" w:styleId="880" w:customStyle="1">
    <w:name w:val="正文文本缩进 Char"/>
    <w:basedOn w:val="699"/>
    <w:link w:val="706"/>
    <w:uiPriority w:val="99"/>
    <w:semiHidden/>
    <w:qFormat/>
    <w:rPr>
      <w:rFonts w:ascii="Calibri" w:hAnsi="Calibri" w:eastAsia="宋体" w:cs="Times New Roman"/>
    </w:rPr>
  </w:style>
  <w:style w:type="character" w:styleId="881" w:customStyle="1">
    <w:name w:val="正文首行缩进 2 Char"/>
    <w:basedOn w:val="880"/>
    <w:link w:val="727"/>
    <w:uiPriority w:val="0"/>
    <w:qFormat/>
    <w:rPr>
      <w:rFonts w:ascii="Calibri" w:hAnsi="Calibri" w:eastAsia="宋体" w:cs="Times New Roman"/>
      <w:sz w:val="30"/>
      <w:szCs w:val="24"/>
    </w:rPr>
  </w:style>
  <w:style w:type="character" w:styleId="882" w:customStyle="1">
    <w:name w:val="批注文字 Char"/>
    <w:basedOn w:val="699"/>
    <w:link w:val="705"/>
    <w:uiPriority w:val="0"/>
    <w:qFormat/>
    <w:rPr>
      <w:rFonts w:ascii="Calibri" w:hAnsi="Calibri" w:eastAsia="宋体" w:cs="Times New Roman"/>
    </w:rPr>
  </w:style>
  <w:style w:type="character" w:styleId="883" w:customStyle="1">
    <w:name w:val="正文文本 Char"/>
    <w:basedOn w:val="699"/>
    <w:link w:val="701"/>
    <w:uiPriority w:val="0"/>
    <w:qFormat/>
    <w:rPr>
      <w:rFonts w:ascii="Calibri" w:hAnsi="Calibri" w:eastAsia="宋体" w:cs="Times New Roman"/>
    </w:rPr>
  </w:style>
  <w:style w:type="character" w:styleId="884" w:customStyle="1">
    <w:name w:val="纯文本 Char"/>
    <w:basedOn w:val="699"/>
    <w:link w:val="711"/>
    <w:uiPriority w:val="0"/>
    <w:qFormat/>
    <w:rPr>
      <w:rFonts w:ascii="宋体" w:hAnsi="Courier New" w:eastAsia="宋体" w:cs="Courier New"/>
      <w:szCs w:val="21"/>
    </w:rPr>
  </w:style>
  <w:style w:type="character" w:styleId="885" w:customStyle="1">
    <w:name w:val="脚注文本 Char1"/>
    <w:basedOn w:val="699"/>
    <w:uiPriority w:val="99"/>
    <w:semiHidden/>
    <w:qFormat/>
    <w:rPr>
      <w:rFonts w:ascii="Calibri" w:hAnsi="Calibri" w:eastAsia="宋体" w:cs="Times New Roman"/>
      <w:sz w:val="18"/>
      <w:szCs w:val="18"/>
    </w:rPr>
  </w:style>
  <w:style w:type="paragraph" w:styleId="886" w:customStyle="1">
    <w:name w:val="页眉1"/>
    <w:basedOn w:val="68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87" w:customStyle="1">
    <w:name w:val="页脚1"/>
    <w:basedOn w:val="689"/>
    <w:uiPriority w:val="0"/>
    <w:qFormat/>
    <w:pPr>
      <w:jc w:val="left"/>
      <w:tabs>
        <w:tab w:val="center" w:pos="4153" w:leader="none"/>
        <w:tab w:val="right" w:pos="8306" w:leader="none"/>
      </w:tabs>
    </w:pPr>
    <w:rPr>
      <w:rFonts w:ascii="Times New Roman" w:hAnsi="Times New Roman"/>
      <w:sz w:val="18"/>
      <w:szCs w:val="18"/>
    </w:rPr>
  </w:style>
  <w:style w:type="character" w:styleId="888" w:customStyle="1">
    <w:name w:val="页码1"/>
    <w:uiPriority w:val="0"/>
    <w:qFormat/>
    <w:rPr>
      <w:rFonts w:hint="default" w:ascii="Calibri" w:hAnsi="Calibri" w:eastAsia="宋体" w:cs="Times New Roman"/>
      <w:sz w:val="21"/>
      <w:szCs w:val="22"/>
      <w:lang w:val="en-US" w:eastAsia="zh-CN" w:bidi="ar-SA"/>
    </w:rPr>
  </w:style>
  <w:style w:type="paragraph" w:styleId="889" w:customStyle="1">
    <w:name w:val="正文空2格  1."/>
    <w:basedOn w:val="689"/>
    <w:uiPriority w:val="0"/>
    <w:qFormat/>
    <w:pPr>
      <w:ind w:firstLine="480"/>
    </w:pPr>
    <w:rPr>
      <w:rFonts w:cs="宋体"/>
      <w:szCs w:val="20"/>
    </w:rPr>
  </w:style>
  <w:style w:type="character" w:styleId="890" w:customStyle="1">
    <w:name w:val="font01"/>
    <w:basedOn w:val="699"/>
    <w:uiPriority w:val="0"/>
    <w:qFormat/>
    <w:rPr>
      <w:rFonts w:hint="eastAsia" w:ascii="宋体" w:hAnsi="宋体" w:eastAsia="宋体" w:cs="宋体"/>
      <w:color w:val="000000"/>
      <w:sz w:val="22"/>
      <w:szCs w:val="22"/>
      <w:u w:val="none"/>
    </w:rPr>
  </w:style>
  <w:style w:type="character" w:styleId="891" w:customStyle="1">
    <w:name w:val="font91"/>
    <w:basedOn w:val="699"/>
    <w:uiPriority w:val="0"/>
    <w:qFormat/>
    <w:rPr>
      <w:rFonts w:hint="eastAsia" w:ascii="宋体" w:hAnsi="宋体" w:eastAsia="宋体" w:cs="宋体"/>
      <w:color w:val="ff0000"/>
      <w:sz w:val="22"/>
      <w:szCs w:val="22"/>
      <w:u w:val="none"/>
    </w:rPr>
  </w:style>
  <w:style w:type="character" w:styleId="892" w:customStyle="1">
    <w:name w:val="font21"/>
    <w:basedOn w:val="699"/>
    <w:uiPriority w:val="0"/>
    <w:qFormat/>
    <w:rPr>
      <w:rFonts w:hint="eastAsia" w:ascii="宋体" w:hAnsi="宋体" w:eastAsia="宋体" w:cs="宋体"/>
      <w:color w:val="000000"/>
      <w:sz w:val="22"/>
      <w:szCs w:val="22"/>
      <w:u w:val="none"/>
    </w:rPr>
  </w:style>
  <w:style w:type="character" w:styleId="893" w:customStyle="1">
    <w:name w:val="font41"/>
    <w:basedOn w:val="699"/>
    <w:uiPriority w:val="0"/>
    <w:qFormat/>
    <w:rPr>
      <w:rFonts w:hint="eastAsia" w:ascii="宋体" w:hAnsi="宋体" w:eastAsia="宋体" w:cs="宋体"/>
      <w:color w:val="000000"/>
      <w:sz w:val="22"/>
      <w:szCs w:val="22"/>
      <w:u w:val="none"/>
    </w:rPr>
  </w:style>
  <w:style w:type="paragraph" w:styleId="894">
    <w:name w:val="List Paragraph"/>
    <w:basedOn w:val="689"/>
    <w:uiPriority w:val="34"/>
    <w:qFormat/>
    <w:pPr>
      <w:contextualSpacing/>
      <w:ind w:left="720"/>
    </w:pPr>
  </w:style>
  <w:style w:type="paragraph" w:styleId="895" w:customStyle="1">
    <w:name w:val="纯文本1"/>
    <w:basedOn w:val="689"/>
    <w:uiPriority w:val="0"/>
    <w:qFormat/>
    <w:pPr>
      <w:jc w:val="left"/>
      <w:widowControl/>
    </w:pPr>
    <w:rPr>
      <w:rFonts w:ascii="宋体" w:hAnsi="Courier New" w:eastAsia="楷体_GB2312"/>
      <w:sz w:val="26"/>
    </w:rPr>
  </w:style>
  <w:style w:type="paragraph" w:styleId="896" w:customStyle="1">
    <w:name w:val="TOC Heading"/>
    <w:basedOn w:val="690"/>
    <w:next w:val="689"/>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89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98" w:customStyle="1">
    <w:name w:val="表格文字"/>
    <w:basedOn w:val="689"/>
    <w:uiPriority w:val="0"/>
    <w:qFormat/>
    <w:pPr>
      <w:ind w:firstLine="0"/>
    </w:pPr>
    <w:rPr>
      <w:rFonts w:ascii="宋体" w:hAnsi="宋体" w:cs="宋体"/>
    </w:rPr>
  </w:style>
  <w:style w:type="numbering" w:styleId="8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0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0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67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3FFD33A-3B22-468B-A409-C1E08DAD6F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曹红芹</cp:lastModifiedBy>
  <cp:revision>2</cp:revision>
  <dcterms:created xsi:type="dcterms:W3CDTF">2024-05-09T15:25:00Z</dcterms:created>
  <dcterms:modified xsi:type="dcterms:W3CDTF">2024-09-02T06:23:36Z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8705B6540C3F45F7AF2070F24C319402_12</vt:lpwstr>
  </property>
</Properties>
</file>