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color w:val="000000"/>
          <w:sz w:val="36"/>
        </w:rPr>
      </w:pPr>
      <w:r>
        <w:rPr>
          <w:rFonts w:hint="eastAsia" w:ascii="宋体" w:hAnsi="宋体" w:cs="宋体"/>
          <w:color w:val="000000"/>
          <w:sz w:val="22"/>
          <w:szCs w:val="16"/>
        </w:rPr>
        <w:t xml:space="preserve">             编号：</w:t>
      </w:r>
      <w:r>
        <w:rPr>
          <w:rFonts w:hint="eastAsia" w:ascii="宋体" w:hAnsi="宋体" w:cs="宋体"/>
          <w:color w:val="000000"/>
          <w:sz w:val="24"/>
          <w:szCs w:val="18"/>
          <w:lang w:eastAsia="zh-CN"/>
        </w:rPr>
        <w:t xml:space="preserve">JSZC-321084-YZHZ-G2024-0012</w:t>
      </w:r>
      <w:r>
        <w:rPr>
          <w:rFonts w:hint="eastAsia" w:ascii="宋体" w:hAnsi="宋体" w:cs="宋体"/>
          <w:color w:val="000000"/>
          <w:sz w:val="36"/>
        </w:rPr>
        <w:t xml:space="preserve">       </w:t>
      </w:r>
      <w:r/>
    </w:p>
    <w:p>
      <w:pPr>
        <w:jc w:val="center"/>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sz w:val="44"/>
          <w:szCs w:val="44"/>
        </w:rPr>
      </w:pPr>
      <w:r/>
      <w:bookmarkStart w:id="0" w:name="_Toc31058"/>
      <w:r/>
      <w:bookmarkStart w:id="1" w:name="_Toc843"/>
      <w:r/>
      <w:r/>
    </w:p>
    <w:p>
      <w:pPr>
        <w:jc w:val="center"/>
        <w:spacing w:line="360" w:lineRule="auto"/>
        <w:rPr>
          <w:rFonts w:ascii="宋体" w:hAnsi="宋体" w:cs="宋体"/>
          <w:color w:val="000000"/>
          <w:sz w:val="44"/>
          <w:szCs w:val="44"/>
        </w:rPr>
      </w:pPr>
      <w:r>
        <w:rPr>
          <w:rFonts w:ascii="宋体" w:hAnsi="宋体" w:cs="宋体"/>
          <w:color w:val="000000"/>
          <w:sz w:val="44"/>
          <w:szCs w:val="44"/>
        </w:rPr>
      </w:r>
      <w:bookmarkEnd w:id="0"/>
      <w:r/>
      <w:bookmarkEnd w:id="1"/>
      <w:r/>
      <w:r/>
    </w:p>
    <w:p>
      <w:pPr>
        <w:jc w:val="center"/>
        <w:spacing w:line="360" w:lineRule="auto"/>
        <w:rPr>
          <w:rFonts w:ascii="宋体" w:hAnsi="宋体" w:cs="宋体"/>
          <w:color w:val="000000"/>
          <w:sz w:val="44"/>
          <w:szCs w:val="44"/>
        </w:rPr>
      </w:pPr>
      <w:r>
        <w:rPr>
          <w:rFonts w:hint="eastAsia" w:ascii="宋体" w:hAnsi="宋体" w:cs="宋体"/>
          <w:color w:val="000000"/>
          <w:sz w:val="52"/>
          <w:szCs w:val="52"/>
        </w:rPr>
        <w:t xml:space="preserve">2024年中央农业防灾减灾和水利救灾资金项目（防灾减灾第三批）</w:t>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color w:val="000000"/>
          <w:sz w:val="56"/>
          <w:szCs w:val="40"/>
        </w:rPr>
      </w:pPr>
      <w:r>
        <w:rPr>
          <w:rFonts w:hint="eastAsia" w:ascii="宋体" w:hAnsi="宋体" w:cs="宋体"/>
          <w:color w:val="000000"/>
          <w:sz w:val="56"/>
          <w:szCs w:val="40"/>
        </w:rPr>
        <w:t xml:space="preserve">公开招标文件</w:t>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36"/>
        </w:rPr>
      </w:pPr>
      <w:r>
        <w:rPr>
          <w:rFonts w:ascii="宋体" w:hAnsi="宋体" w:cs="宋体"/>
          <w:color w:val="000000"/>
          <w:sz w:val="36"/>
        </w:rPr>
      </w:r>
      <w:r/>
    </w:p>
    <w:p>
      <w:pPr>
        <w:pStyle w:val="845"/>
        <w:rPr>
          <w:rFonts w:hAnsi="宋体" w:cs="宋体"/>
        </w:rPr>
      </w:pPr>
      <w:r>
        <w:rPr>
          <w:rFonts w:hAnsi="宋体" w:cs="宋体"/>
        </w:rPr>
      </w:r>
      <w:r/>
    </w:p>
    <w:p>
      <w:pPr>
        <w:jc w:val="center"/>
        <w:rPr>
          <w:rFonts w:ascii="宋体" w:hAnsi="宋体" w:cs="宋体"/>
          <w:color w:val="000000"/>
          <w:sz w:val="36"/>
        </w:rPr>
      </w:pPr>
      <w:r>
        <w:rPr>
          <w:rFonts w:ascii="宋体" w:hAnsi="宋体" w:cs="宋体"/>
          <w:color w:val="000000"/>
          <w:sz w:val="36"/>
        </w:rPr>
      </w:r>
      <w:r/>
    </w:p>
    <w:p>
      <w:pPr>
        <w:rPr>
          <w:rFonts w:ascii="宋体" w:hAnsi="宋体" w:cs="宋体"/>
        </w:rPr>
      </w:pPr>
      <w:r>
        <w:rPr>
          <w:rFonts w:ascii="宋体" w:hAnsi="宋体" w:cs="宋体"/>
        </w:rPr>
      </w:r>
      <w:r/>
    </w:p>
    <w:p>
      <w:pPr>
        <w:pStyle w:val="845"/>
        <w:rPr>
          <w:rFonts w:hAnsi="宋体" w:cs="宋体"/>
        </w:rPr>
      </w:pPr>
      <w:r>
        <w:rPr>
          <w:rFonts w:hAnsi="宋体" w:cs="宋体"/>
        </w:rPr>
      </w:r>
      <w:r/>
    </w:p>
    <w:p>
      <w:pPr>
        <w:pStyle w:val="846"/>
        <w:rPr>
          <w:rFonts w:hAnsi="宋体" w:cs="宋体"/>
          <w:lang w:eastAsia="zh-CN"/>
        </w:rPr>
      </w:pPr>
      <w:r>
        <w:rPr>
          <w:rFonts w:hAnsi="宋体" w:cs="宋体"/>
          <w:lang w:eastAsia="zh-CN"/>
        </w:rPr>
      </w:r>
      <w:r/>
    </w:p>
    <w:p>
      <w:pPr>
        <w:pStyle w:val="845"/>
        <w:rPr>
          <w:rFonts w:hAnsi="宋体" w:cs="宋体"/>
        </w:rPr>
      </w:pPr>
      <w:r>
        <w:rPr>
          <w:rFonts w:hAnsi="宋体" w:cs="宋体"/>
        </w:rPr>
      </w:r>
      <w:r/>
    </w:p>
    <w:p>
      <w:pPr>
        <w:jc w:val="center"/>
        <w:spacing w:line="360" w:lineRule="auto"/>
        <w:rPr>
          <w:rFonts w:ascii="宋体" w:hAnsi="宋体" w:cs="宋体"/>
          <w:color w:val="000000"/>
          <w:sz w:val="32"/>
          <w:szCs w:val="32"/>
        </w:rPr>
      </w:pPr>
      <w:r/>
      <w:bookmarkStart w:id="2" w:name="_Toc25339"/>
      <w:r/>
      <w:bookmarkStart w:id="3" w:name="_Toc3851"/>
      <w:r/>
      <w:bookmarkStart w:id="4" w:name="_Toc138777680"/>
      <w:r>
        <w:rPr>
          <w:rFonts w:hint="eastAsia" w:ascii="宋体" w:hAnsi="宋体" w:cs="宋体"/>
          <w:color w:val="000000"/>
          <w:sz w:val="32"/>
          <w:szCs w:val="32"/>
        </w:rPr>
        <w:t xml:space="preserve"> </w:t>
      </w:r>
      <w:bookmarkEnd w:id="2"/>
      <w:r/>
      <w:bookmarkEnd w:id="3"/>
      <w:r/>
      <w:bookmarkEnd w:id="4"/>
      <w:r/>
      <w:bookmarkStart w:id="5" w:name="_Toc138777681"/>
      <w:r>
        <w:rPr>
          <w:rFonts w:hint="eastAsia" w:ascii="宋体" w:hAnsi="宋体" w:cs="宋体"/>
          <w:color w:val="000000"/>
          <w:sz w:val="32"/>
          <w:szCs w:val="32"/>
        </w:rPr>
        <w:t xml:space="preserve">高邮市农业农村局</w:t>
      </w:r>
      <w:r/>
    </w:p>
    <w:p>
      <w:pPr>
        <w:spacing w:line="360" w:lineRule="auto"/>
        <w:rPr>
          <w:rFonts w:ascii="宋体" w:hAnsi="宋体" w:cs="宋体"/>
          <w:color w:val="000000"/>
          <w:sz w:val="32"/>
          <w:szCs w:val="32"/>
        </w:rPr>
      </w:pPr>
      <w:r>
        <w:rPr>
          <w:rFonts w:hint="eastAsia" w:ascii="宋体" w:hAnsi="宋体" w:cs="宋体"/>
          <w:color w:val="000000"/>
          <w:sz w:val="32"/>
          <w:szCs w:val="32"/>
        </w:rPr>
        <w:t xml:space="preserve">          </w:t>
      </w:r>
      <w:bookmarkEnd w:id="5"/>
      <w:r/>
      <w:bookmarkStart w:id="6" w:name="FMFBSJ_1"/>
      <w:r>
        <w:rPr>
          <w:rFonts w:hint="eastAsia" w:ascii="宋体" w:hAnsi="宋体" w:cs="宋体"/>
          <w:color w:val="000000"/>
          <w:sz w:val="32"/>
          <w:szCs w:val="32"/>
        </w:rPr>
        <w:t xml:space="preserve"> 扬州华泽工程项目管理咨询有限公司</w:t>
      </w:r>
      <w:r/>
    </w:p>
    <w:p>
      <w:pPr>
        <w:spacing w:line="360" w:lineRule="auto"/>
        <w:rPr>
          <w:rFonts w:ascii="宋体" w:hAnsi="宋体" w:cs="宋体"/>
          <w:color w:val="000000"/>
          <w:sz w:val="32"/>
          <w:szCs w:val="32"/>
        </w:rPr>
      </w:pPr>
      <w:r>
        <w:rPr>
          <w:rFonts w:hint="eastAsia" w:ascii="宋体" w:hAnsi="宋体" w:cs="宋体"/>
          <w:color w:val="000000"/>
          <w:sz w:val="32"/>
          <w:szCs w:val="32"/>
        </w:rPr>
        <w:t xml:space="preserve">                  </w:t>
      </w:r>
      <w:bookmarkEnd w:id="6"/>
      <w:r>
        <w:rPr>
          <w:rFonts w:hint="eastAsia" w:ascii="宋体" w:hAnsi="宋体" w:cs="宋体"/>
          <w:color w:val="000000"/>
          <w:sz w:val="32"/>
          <w:szCs w:val="32"/>
        </w:rPr>
        <w:t xml:space="preserve">  </w:t>
      </w:r>
      <w:r/>
    </w:p>
    <w:p>
      <w:pPr>
        <w:ind w:firstLine="3200"/>
        <w:spacing w:line="360" w:lineRule="auto"/>
        <w:rPr>
          <w:rFonts w:ascii="宋体" w:hAnsi="宋体" w:cs="宋体"/>
          <w:color w:val="000000"/>
          <w:sz w:val="32"/>
          <w:szCs w:val="32"/>
        </w:rPr>
        <w:sectPr>
          <w:headerReference w:type="default" r:id="rId9"/>
          <w:headerReference w:type="even" r:id="rId10"/>
          <w:footerReference w:type="default" r:id="rId12"/>
          <w:footerReference w:type="even" r:id="rId13"/>
          <w:footnotePr/>
          <w:endnotePr/>
          <w:type w:val="nextPage"/>
          <w:pgSz w:w="11906" w:h="16838" w:orient="portrait"/>
          <w:pgMar w:top="1440" w:right="1440" w:bottom="1440" w:left="1440" w:header="851" w:footer="850" w:gutter="0"/>
          <w:cols w:num="1" w:sep="0" w:space="1701" w:equalWidth="1"/>
          <w:docGrid w:linePitch="360"/>
          <w:titlePg/>
        </w:sectPr>
      </w:pPr>
      <w:r>
        <w:rPr>
          <w:rFonts w:hint="eastAsia" w:ascii="宋体" w:hAnsi="宋体" w:cs="宋体"/>
          <w:color w:val="000000"/>
          <w:sz w:val="32"/>
          <w:szCs w:val="32"/>
        </w:rPr>
        <w:t xml:space="preserve"> 二O二四年七月</w:t>
      </w:r>
      <w:r/>
    </w:p>
    <w:p>
      <w:pPr>
        <w:pStyle w:val="846"/>
        <w:jc w:val="both"/>
        <w:rPr>
          <w:rFonts w:hAnsi="宋体" w:cs="宋体"/>
          <w:bCs/>
          <w:sz w:val="21"/>
          <w:szCs w:val="34"/>
          <w:lang w:eastAsia="zh-CN"/>
        </w:rPr>
      </w:pPr>
      <w:r>
        <w:rPr>
          <w:rFonts w:hAnsi="宋体" w:cs="宋体"/>
          <w:bCs/>
          <w:sz w:val="21"/>
          <w:szCs w:val="34"/>
          <w:lang w:eastAsia="zh-CN"/>
        </w:rPr>
      </w:r>
      <w:r/>
    </w:p>
    <w:p>
      <w:r/>
      <w:bookmarkStart w:id="7" w:name="_Toc10073"/>
      <w:r/>
      <w:bookmarkStart w:id="8" w:name="_Toc7071"/>
      <w:r/>
      <w:bookmarkStart w:id="9" w:name="_Toc55204177"/>
      <w:r/>
      <w:bookmarkStart w:id="10" w:name="_Toc150173457"/>
      <w:r/>
      <w:r/>
    </w:p>
    <w:p>
      <w:pPr>
        <w:jc w:val="center"/>
        <w:rPr>
          <w:rFonts w:ascii="宋体" w:hAnsi="宋体" w:cs="宋体"/>
          <w:color w:val="000000"/>
          <w:sz w:val="32"/>
        </w:rPr>
      </w:pPr>
      <w:r>
        <w:rPr>
          <w:rFonts w:hint="eastAsia" w:ascii="宋体" w:hAnsi="宋体" w:cs="宋体"/>
          <w:color w:val="000000"/>
          <w:sz w:val="32"/>
        </w:rPr>
        <w:t xml:space="preserve">目 录</w:t>
      </w:r>
      <w:r/>
    </w:p>
    <w:p>
      <w:pPr>
        <w:pStyle w:val="827"/>
        <w:spacing w:line="360" w:lineRule="auto"/>
        <w:tabs>
          <w:tab w:val="right" w:pos="9016" w:leader="dot"/>
        </w:tabs>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TOC \o "1-3" \f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第一章 招标公告...........................................................1</w:t>
      </w:r>
      <w:r/>
    </w:p>
    <w:p>
      <w:pPr>
        <w:pStyle w:val="827"/>
        <w:spacing w:line="360" w:lineRule="auto"/>
        <w:tabs>
          <w:tab w:val="right" w:pos="9016" w:leader="dot"/>
        </w:tabs>
        <w:rPr>
          <w:rFonts w:ascii="宋体" w:hAnsi="宋体" w:cs="宋体"/>
          <w:sz w:val="24"/>
          <w:szCs w:val="24"/>
        </w:rPr>
      </w:pPr>
      <w:r>
        <w:rPr>
          <w:rFonts w:hint="eastAsia" w:ascii="宋体" w:hAnsi="宋体" w:cs="宋体"/>
          <w:color w:val="000000"/>
          <w:sz w:val="24"/>
          <w:szCs w:val="24"/>
        </w:rPr>
        <w:t xml:space="preserve">第二章 投标人须知</w:t>
      </w:r>
      <w:r>
        <w:rPr>
          <w:rFonts w:hint="eastAsia" w:ascii="宋体" w:hAnsi="宋体" w:cs="宋体"/>
          <w:sz w:val="24"/>
          <w:szCs w:val="24"/>
        </w:rPr>
        <w:tab/>
      </w:r>
      <w:r>
        <w:rPr>
          <w:rFonts w:hint="eastAsia" w:ascii="宋体" w:hAnsi="宋体" w:cs="宋体"/>
          <w:sz w:val="24"/>
          <w:szCs w:val="24"/>
        </w:rPr>
        <w:t xml:space="preserve">5</w:t>
      </w:r>
      <w:r/>
    </w:p>
    <w:p>
      <w:pPr>
        <w:pStyle w:val="827"/>
        <w:spacing w:line="360" w:lineRule="auto"/>
        <w:tabs>
          <w:tab w:val="right" w:pos="9016" w:leader="dot"/>
        </w:tabs>
        <w:rPr>
          <w:rFonts w:ascii="宋体" w:hAnsi="宋体" w:cs="宋体"/>
          <w:sz w:val="24"/>
          <w:szCs w:val="24"/>
        </w:rPr>
      </w:pPr>
      <w:r>
        <w:rPr>
          <w:rFonts w:hint="eastAsia" w:ascii="宋体" w:hAnsi="宋体" w:cs="宋体"/>
          <w:color w:val="000000"/>
          <w:sz w:val="24"/>
          <w:szCs w:val="24"/>
        </w:rPr>
        <w:t xml:space="preserve">第三章 合同条款及格式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_Toc150173459 \h </w:instrText>
      </w:r>
      <w:r>
        <w:rPr>
          <w:rFonts w:hint="eastAsia" w:ascii="宋体" w:hAnsi="宋体" w:cs="宋体"/>
          <w:sz w:val="24"/>
          <w:szCs w:val="24"/>
        </w:rPr>
        <w:fldChar w:fldCharType="separate"/>
      </w:r>
      <w:r>
        <w:rPr>
          <w:rFonts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fldChar w:fldCharType="end"/>
      </w:r>
      <w:r/>
    </w:p>
    <w:p>
      <w:pPr>
        <w:pStyle w:val="827"/>
        <w:spacing w:line="360" w:lineRule="auto"/>
        <w:tabs>
          <w:tab w:val="right" w:pos="9016" w:leader="dot"/>
        </w:tabs>
        <w:rPr>
          <w:rFonts w:ascii="宋体" w:hAnsi="宋体" w:cs="宋体"/>
          <w:sz w:val="24"/>
          <w:szCs w:val="24"/>
        </w:rPr>
      </w:pPr>
      <w:r>
        <w:rPr>
          <w:rFonts w:hint="eastAsia" w:ascii="宋体" w:hAnsi="宋体" w:cs="宋体"/>
          <w:color w:val="000000"/>
          <w:sz w:val="24"/>
          <w:szCs w:val="24"/>
        </w:rPr>
        <w:t xml:space="preserve">第四章 项目需求</w:t>
      </w:r>
      <w:r>
        <w:rPr>
          <w:rFonts w:hint="eastAsia" w:ascii="宋体" w:hAnsi="宋体" w:cs="宋体"/>
          <w:sz w:val="24"/>
          <w:szCs w:val="24"/>
        </w:rPr>
        <w:tab/>
      </w:r>
      <w:r>
        <w:rPr>
          <w:rFonts w:hint="eastAsia" w:ascii="宋体" w:hAnsi="宋体" w:cs="宋体"/>
          <w:sz w:val="24"/>
          <w:szCs w:val="24"/>
        </w:rPr>
        <w:t xml:space="preserve">19</w:t>
      </w:r>
      <w:r/>
    </w:p>
    <w:p>
      <w:pPr>
        <w:pStyle w:val="827"/>
        <w:spacing w:line="360" w:lineRule="auto"/>
        <w:tabs>
          <w:tab w:val="right" w:pos="9016" w:leader="dot"/>
        </w:tabs>
        <w:rPr>
          <w:rFonts w:hint="default" w:ascii="宋体" w:hAnsi="宋体" w:eastAsia="宋体" w:cs="宋体"/>
          <w:sz w:val="24"/>
          <w:szCs w:val="24"/>
          <w:lang w:val="en-US" w:eastAsia="zh-CN"/>
        </w:rPr>
      </w:pPr>
      <w:r>
        <w:rPr>
          <w:rFonts w:hint="eastAsia" w:ascii="宋体" w:hAnsi="宋体" w:cs="宋体"/>
          <w:color w:val="000000"/>
          <w:sz w:val="24"/>
          <w:szCs w:val="24"/>
        </w:rPr>
        <w:t xml:space="preserve">第五章 评标方法及评标标准</w:t>
      </w:r>
      <w:r>
        <w:rPr>
          <w:rFonts w:hint="eastAsia" w:ascii="宋体" w:hAnsi="宋体" w:cs="宋体"/>
          <w:sz w:val="24"/>
          <w:szCs w:val="24"/>
        </w:rPr>
        <w:tab/>
      </w:r>
      <w:r>
        <w:rPr>
          <w:rFonts w:hint="eastAsia" w:ascii="宋体" w:hAnsi="宋体" w:cs="宋体"/>
          <w:sz w:val="24"/>
          <w:szCs w:val="24"/>
          <w:lang w:val="en-US" w:eastAsia="zh-CN"/>
        </w:rPr>
        <w:t xml:space="preserve">20</w:t>
      </w:r>
      <w:r/>
    </w:p>
    <w:p>
      <w:pPr>
        <w:pStyle w:val="827"/>
        <w:spacing w:line="360" w:lineRule="auto"/>
        <w:tabs>
          <w:tab w:val="right" w:pos="9016" w:leader="dot"/>
        </w:tabs>
        <w:rPr>
          <w:rFonts w:hint="default" w:ascii="宋体" w:hAnsi="宋体" w:eastAsia="宋体" w:cs="宋体"/>
          <w:sz w:val="24"/>
          <w:szCs w:val="24"/>
          <w:lang w:val="en-US" w:eastAsia="zh-CN"/>
        </w:rPr>
      </w:pPr>
      <w:r>
        <w:rPr>
          <w:rFonts w:hint="eastAsia" w:ascii="宋体" w:hAnsi="宋体" w:cs="宋体"/>
          <w:color w:val="000000"/>
          <w:sz w:val="24"/>
          <w:szCs w:val="24"/>
        </w:rPr>
        <w:t xml:space="preserve">第六章 投标文件格式</w:t>
      </w:r>
      <w:r>
        <w:rPr>
          <w:rFonts w:hint="eastAsia" w:ascii="宋体" w:hAnsi="宋体" w:cs="宋体"/>
          <w:sz w:val="24"/>
          <w:szCs w:val="24"/>
        </w:rPr>
        <w:tab/>
      </w:r>
      <w:r>
        <w:rPr>
          <w:rFonts w:hint="eastAsia" w:ascii="宋体" w:hAnsi="宋体" w:cs="宋体"/>
          <w:sz w:val="24"/>
          <w:szCs w:val="24"/>
          <w:lang w:val="en-US" w:eastAsia="zh-CN"/>
        </w:rPr>
        <w:t xml:space="preserve">22</w:t>
      </w:r>
      <w:r/>
    </w:p>
    <w:p>
      <w:pPr>
        <w:rPr>
          <w:rFonts w:ascii="宋体" w:hAnsi="宋体" w:cs="宋体"/>
          <w:sz w:val="24"/>
          <w:szCs w:val="24"/>
        </w:rPr>
      </w:pPr>
      <w:r>
        <w:rPr>
          <w:rFonts w:ascii="宋体" w:hAnsi="宋体" w:cs="宋体"/>
          <w:sz w:val="24"/>
          <w:szCs w:val="24"/>
        </w:rPr>
      </w:r>
      <w:r/>
    </w:p>
    <w:p>
      <w:pPr>
        <w:pStyle w:val="845"/>
        <w:rPr>
          <w:rFonts w:hAnsi="宋体" w:cs="宋体"/>
          <w:szCs w:val="24"/>
        </w:rPr>
      </w:pPr>
      <w:r>
        <w:rPr>
          <w:rFonts w:hAnsi="宋体" w:cs="宋体"/>
          <w:szCs w:val="24"/>
        </w:rPr>
      </w:r>
      <w:r/>
    </w:p>
    <w:p>
      <w:pPr>
        <w:pStyle w:val="846"/>
        <w:rPr>
          <w:rFonts w:hAnsi="宋体" w:cs="宋体"/>
          <w:szCs w:val="24"/>
          <w:lang w:eastAsia="zh-CN"/>
        </w:rPr>
      </w:pPr>
      <w:r>
        <w:rPr>
          <w:rFonts w:hAnsi="宋体" w:cs="宋体"/>
          <w:szCs w:val="24"/>
          <w:lang w:eastAsia="zh-CN"/>
        </w:rPr>
      </w:r>
      <w:r/>
    </w:p>
    <w:p>
      <w:pPr>
        <w:pStyle w:val="847"/>
        <w:rPr>
          <w:rFonts w:ascii="宋体" w:eastAsia="宋体" w:cs="宋体"/>
          <w:sz w:val="24"/>
          <w:szCs w:val="24"/>
        </w:rPr>
      </w:pPr>
      <w:r>
        <w:rPr>
          <w:rFonts w:ascii="宋体" w:eastAsia="宋体" w:cs="宋体"/>
          <w:sz w:val="24"/>
          <w:szCs w:val="24"/>
        </w:rPr>
      </w:r>
      <w:r/>
    </w:p>
    <w:p>
      <w:pPr>
        <w:pStyle w:val="849"/>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845"/>
        <w:rPr>
          <w:rFonts w:hAnsi="宋体" w:cs="宋体"/>
          <w:szCs w:val="24"/>
        </w:rPr>
      </w:pPr>
      <w:r>
        <w:rPr>
          <w:rFonts w:hAnsi="宋体" w:cs="宋体"/>
          <w:szCs w:val="24"/>
        </w:rPr>
      </w:r>
      <w:r/>
    </w:p>
    <w:p>
      <w:pPr>
        <w:pStyle w:val="846"/>
        <w:rPr>
          <w:rFonts w:hAnsi="宋体" w:cs="宋体"/>
          <w:szCs w:val="24"/>
          <w:lang w:eastAsia="zh-CN"/>
        </w:rPr>
      </w:pPr>
      <w:r>
        <w:rPr>
          <w:rFonts w:hAnsi="宋体" w:cs="宋体"/>
          <w:szCs w:val="24"/>
          <w:lang w:eastAsia="zh-CN"/>
        </w:rPr>
      </w:r>
      <w:r/>
    </w:p>
    <w:p>
      <w:pPr>
        <w:pStyle w:val="847"/>
        <w:rPr>
          <w:rFonts w:ascii="宋体" w:eastAsia="宋体" w:cs="宋体"/>
          <w:sz w:val="24"/>
          <w:szCs w:val="24"/>
        </w:rPr>
      </w:pPr>
      <w:r>
        <w:rPr>
          <w:rFonts w:ascii="宋体" w:eastAsia="宋体" w:cs="宋体"/>
          <w:sz w:val="24"/>
          <w:szCs w:val="24"/>
        </w:rPr>
      </w:r>
      <w:r/>
    </w:p>
    <w:p>
      <w:pPr>
        <w:pStyle w:val="849"/>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845"/>
        <w:rPr>
          <w:rFonts w:hAnsi="宋体" w:cs="宋体"/>
          <w:szCs w:val="24"/>
        </w:rPr>
      </w:pPr>
      <w:r>
        <w:rPr>
          <w:rFonts w:hAnsi="宋体" w:cs="宋体"/>
          <w:szCs w:val="24"/>
        </w:rPr>
      </w:r>
      <w:r/>
    </w:p>
    <w:p>
      <w:pPr>
        <w:pStyle w:val="846"/>
        <w:rPr>
          <w:rFonts w:hAnsi="宋体" w:cs="宋体"/>
          <w:szCs w:val="24"/>
          <w:lang w:eastAsia="zh-CN"/>
        </w:rPr>
      </w:pPr>
      <w:r>
        <w:rPr>
          <w:rFonts w:hAnsi="宋体" w:cs="宋体"/>
          <w:szCs w:val="24"/>
          <w:lang w:eastAsia="zh-CN"/>
        </w:rPr>
      </w:r>
      <w:r/>
    </w:p>
    <w:p>
      <w:pPr>
        <w:pStyle w:val="847"/>
        <w:rPr>
          <w:rFonts w:ascii="宋体" w:eastAsia="宋体" w:cs="宋体"/>
          <w:sz w:val="24"/>
          <w:szCs w:val="24"/>
        </w:rPr>
      </w:pPr>
      <w:r>
        <w:rPr>
          <w:rFonts w:ascii="宋体" w:eastAsia="宋体" w:cs="宋体"/>
          <w:sz w:val="24"/>
          <w:szCs w:val="24"/>
        </w:rPr>
      </w:r>
      <w:r/>
    </w:p>
    <w:p>
      <w:pPr>
        <w:pStyle w:val="849"/>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845"/>
        <w:rPr>
          <w:rFonts w:hAnsi="宋体" w:cs="宋体"/>
          <w:szCs w:val="24"/>
        </w:rPr>
      </w:pPr>
      <w:r>
        <w:rPr>
          <w:rFonts w:hAnsi="宋体" w:cs="宋体"/>
          <w:szCs w:val="24"/>
        </w:rPr>
      </w:r>
      <w:r/>
    </w:p>
    <w:p>
      <w:pPr>
        <w:pStyle w:val="846"/>
        <w:rPr>
          <w:rFonts w:hAnsi="宋体" w:cs="宋体"/>
          <w:szCs w:val="24"/>
          <w:lang w:eastAsia="zh-CN"/>
        </w:rPr>
      </w:pPr>
      <w:r>
        <w:rPr>
          <w:rFonts w:hAnsi="宋体" w:cs="宋体"/>
          <w:szCs w:val="24"/>
          <w:lang w:eastAsia="zh-CN"/>
        </w:rPr>
      </w:r>
      <w:r/>
    </w:p>
    <w:p>
      <w:pPr>
        <w:pStyle w:val="847"/>
        <w:rPr>
          <w:rFonts w:ascii="宋体" w:eastAsia="宋体" w:cs="宋体"/>
          <w:sz w:val="24"/>
          <w:szCs w:val="24"/>
        </w:rPr>
      </w:pPr>
      <w:r>
        <w:rPr>
          <w:rFonts w:ascii="宋体" w:eastAsia="宋体" w:cs="宋体"/>
          <w:sz w:val="24"/>
          <w:szCs w:val="24"/>
        </w:rPr>
      </w:r>
      <w:r/>
    </w:p>
    <w:p>
      <w:pPr>
        <w:pStyle w:val="849"/>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845"/>
        <w:rPr>
          <w:rFonts w:hAnsi="宋体" w:cs="宋体"/>
          <w:szCs w:val="24"/>
        </w:rPr>
      </w:pPr>
      <w:r>
        <w:rPr>
          <w:rFonts w:hAnsi="宋体" w:cs="宋体"/>
          <w:szCs w:val="24"/>
        </w:rPr>
      </w:r>
      <w:r/>
    </w:p>
    <w:p>
      <w:pPr>
        <w:pStyle w:val="846"/>
        <w:rPr>
          <w:rFonts w:hAnsi="宋体" w:cs="宋体"/>
          <w:szCs w:val="24"/>
          <w:lang w:eastAsia="zh-CN"/>
        </w:rPr>
      </w:pPr>
      <w:r>
        <w:rPr>
          <w:rFonts w:hAnsi="宋体" w:cs="宋体"/>
          <w:szCs w:val="24"/>
          <w:lang w:eastAsia="zh-CN"/>
        </w:rPr>
      </w:r>
      <w:r/>
    </w:p>
    <w:p>
      <w:pPr>
        <w:pStyle w:val="847"/>
        <w:rPr>
          <w:rFonts w:ascii="宋体" w:eastAsia="宋体" w:cs="宋体"/>
          <w:sz w:val="24"/>
          <w:szCs w:val="24"/>
        </w:rPr>
      </w:pPr>
      <w:r>
        <w:rPr>
          <w:rFonts w:ascii="宋体" w:eastAsia="宋体" w:cs="宋体"/>
          <w:sz w:val="24"/>
          <w:szCs w:val="24"/>
        </w:rPr>
      </w:r>
      <w:r/>
    </w:p>
    <w:p>
      <w:pPr>
        <w:pStyle w:val="849"/>
        <w:rPr>
          <w:rFonts w:hAnsi="宋体" w:cs="宋体"/>
          <w:sz w:val="24"/>
          <w:szCs w:val="24"/>
        </w:rPr>
        <w:sectPr>
          <w:headerReference w:type="default" r:id="rId11"/>
          <w:footerReference w:type="default" r:id="rId14"/>
          <w:footnotePr/>
          <w:endnotePr/>
          <w:type w:val="nextPage"/>
          <w:pgSz w:w="11906" w:h="16838" w:orient="portrait"/>
          <w:pgMar w:top="1440" w:right="1440" w:bottom="1440" w:left="1440" w:header="851" w:footer="850" w:gutter="0"/>
          <w:pgNumType w:start="1"/>
          <w:cols w:num="1" w:sep="0" w:space="1701" w:equalWidth="1"/>
          <w:docGrid w:linePitch="360"/>
        </w:sectPr>
      </w:pPr>
      <w:r>
        <w:rPr>
          <w:rFonts w:hAnsi="宋体" w:cs="宋体"/>
          <w:sz w:val="24"/>
          <w:szCs w:val="24"/>
        </w:rPr>
      </w:r>
      <w:r/>
    </w:p>
    <w:p>
      <w:pPr>
        <w:jc w:val="center"/>
        <w:outlineLvl w:val="0"/>
      </w:pPr>
      <w:r>
        <w:rPr>
          <w:rFonts w:hint="eastAsia" w:ascii="宋体" w:hAnsi="宋体" w:cs="宋体"/>
          <w:color w:val="000000"/>
          <w:sz w:val="24"/>
          <w:szCs w:val="24"/>
        </w:rPr>
        <w:fldChar w:fldCharType="end"/>
      </w:r>
      <w:bookmarkStart w:id="11" w:name="_Toc1255"/>
      <w:r>
        <w:rPr>
          <w:rFonts w:hint="eastAsia" w:ascii="宋体" w:hAnsi="宋体"/>
          <w:b/>
          <w:bCs/>
          <w:color w:val="000000"/>
          <w:sz w:val="34"/>
          <w:szCs w:val="34"/>
        </w:rPr>
        <w:t xml:space="preserve">第一章 高邮市农业农村局关于2024年中央农业防灾减灾和水利救灾资金项目（防灾减灾第三批）</w:t>
      </w:r>
      <w:bookmarkEnd w:id="7"/>
      <w:r/>
      <w:bookmarkEnd w:id="8"/>
      <w:r/>
      <w:bookmarkEnd w:id="11"/>
      <w:r/>
      <w:bookmarkStart w:id="12" w:name="_Toc20301"/>
      <w:r/>
      <w:bookmarkStart w:id="13" w:name="_Toc14583"/>
      <w:r>
        <w:rPr>
          <w:rFonts w:hint="eastAsia" w:ascii="宋体" w:hAnsi="宋体"/>
          <w:b/>
          <w:bCs/>
          <w:color w:val="000000"/>
          <w:sz w:val="34"/>
          <w:szCs w:val="34"/>
        </w:rPr>
        <w:t xml:space="preserve">的招标公告</w:t>
      </w:r>
      <w:bookmarkEnd w:id="9"/>
      <w:r/>
      <w:bookmarkEnd w:id="10"/>
      <w:r/>
      <w:bookmarkEnd w:id="12"/>
      <w:r/>
      <w:bookmarkEnd w:id="13"/>
      <w:r/>
      <w:r/>
    </w:p>
    <w:p>
      <w:pPr>
        <w:ind w:firstLine="420"/>
        <w:spacing w:line="360" w:lineRule="auto"/>
        <w:tabs>
          <w:tab w:val="left" w:pos="266" w:leader="none"/>
        </w:tabs>
        <w:rPr>
          <w:rFonts w:ascii="宋体" w:hAnsi="宋体" w:cs="宋体"/>
        </w:rPr>
      </w:pPr>
      <w:r>
        <w:rPr>
          <w:rFonts w:ascii="宋体" w:hAnsi="宋体" w:cs="宋体"/>
        </w:rPr>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u w:val="single"/>
        </w:rPr>
        <w:t xml:space="preserve">高邮市农业农村局</w:t>
      </w:r>
      <w:r>
        <w:rPr>
          <w:rFonts w:hint="eastAsia" w:ascii="宋体" w:hAnsi="宋体" w:cs="宋体"/>
        </w:rPr>
        <w:t xml:space="preserve">的委托，</w:t>
      </w:r>
      <w:r>
        <w:rPr>
          <w:rFonts w:hint="eastAsia" w:ascii="宋体" w:hAnsi="宋体" w:cs="宋体"/>
          <w:u w:val="single"/>
        </w:rPr>
        <w:t xml:space="preserve">扬州华泽工程项目管理咨询有限公司</w:t>
      </w:r>
      <w:r>
        <w:rPr>
          <w:rFonts w:hint="eastAsia" w:ascii="宋体" w:hAnsi="宋体" w:cs="宋体"/>
        </w:rPr>
        <w:t xml:space="preserve">就</w:t>
      </w:r>
      <w:r>
        <w:rPr>
          <w:rFonts w:hint="eastAsia" w:ascii="宋体" w:hAnsi="宋体" w:cs="宋体"/>
          <w:u w:val="single"/>
        </w:rPr>
        <w:t xml:space="preserve">2024年中央农业防灾减灾和水利救灾资金项目（防灾减灾第三批）</w:t>
      </w:r>
      <w:r>
        <w:rPr>
          <w:rFonts w:hint="eastAsia" w:ascii="宋体" w:hAnsi="宋体" w:cs="宋体"/>
        </w:rPr>
        <w:t xml:space="preserve">进行公开招标采购，欢迎符合条件的供应商投标。</w:t>
      </w:r>
      <w:r/>
    </w:p>
    <w:p>
      <w:pPr>
        <w:ind w:firstLine="422"/>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项目概况：本项目共分六个包，</w:t>
      </w:r>
      <w:r>
        <w:rPr>
          <w:rFonts w:hint="eastAsia" w:ascii="宋体" w:hAnsi="宋体" w:cs="宋体"/>
          <w:b w:val="0"/>
          <w:bCs w:val="0"/>
        </w:rPr>
        <w:t xml:space="preserve">采购包1</w:t>
      </w:r>
      <w:r>
        <w:rPr>
          <w:rFonts w:hint="eastAsia" w:ascii="宋体" w:hAnsi="宋体" w:cs="宋体"/>
        </w:rPr>
        <w:t xml:space="preserve">：40%氟环·稻瘟灵悬浮剂、</w:t>
      </w:r>
      <w:r>
        <w:rPr>
          <w:rFonts w:hint="eastAsia" w:ascii="宋体" w:hAnsi="宋体" w:cs="宋体"/>
          <w:b w:val="0"/>
          <w:bCs w:val="0"/>
        </w:rPr>
        <w:t xml:space="preserve">采购包2</w:t>
      </w:r>
      <w:r>
        <w:rPr>
          <w:rFonts w:hint="eastAsia" w:ascii="宋体" w:hAnsi="宋体" w:cs="宋体"/>
        </w:rPr>
        <w:t xml:space="preserve">：42%肟菌·戊唑醇悬浮剂、</w:t>
      </w:r>
      <w:r>
        <w:rPr>
          <w:rFonts w:hint="eastAsia" w:ascii="宋体" w:hAnsi="宋体" w:cs="宋体"/>
          <w:b w:val="0"/>
          <w:bCs w:val="0"/>
        </w:rPr>
        <w:t xml:space="preserve">采购包3</w:t>
      </w:r>
      <w:r>
        <w:rPr>
          <w:rFonts w:hint="eastAsia" w:ascii="宋体" w:hAnsi="宋体" w:cs="宋体"/>
        </w:rPr>
        <w:t xml:space="preserve">：33.6%井冈·嘧菌酯悬浮剂、</w:t>
      </w:r>
      <w:r>
        <w:rPr>
          <w:rFonts w:hint="eastAsia" w:ascii="宋体" w:hAnsi="宋体" w:cs="宋体"/>
          <w:b w:val="0"/>
          <w:bCs w:val="0"/>
        </w:rPr>
        <w:t xml:space="preserve">采购包4</w:t>
      </w:r>
      <w:r>
        <w:rPr>
          <w:rFonts w:hint="eastAsia" w:ascii="宋体" w:hAnsi="宋体" w:cs="宋体"/>
        </w:rPr>
        <w:t xml:space="preserve">：23%醚菌・氟环唑悬浮剂、</w:t>
      </w:r>
      <w:r>
        <w:rPr>
          <w:rFonts w:hint="eastAsia" w:ascii="宋体" w:hAnsi="宋体" w:cs="宋体"/>
          <w:b w:val="0"/>
          <w:bCs w:val="0"/>
        </w:rPr>
        <w:t xml:space="preserve">采购包5</w:t>
      </w:r>
      <w:r>
        <w:rPr>
          <w:rFonts w:hint="eastAsia" w:ascii="宋体" w:hAnsi="宋体" w:cs="宋体"/>
        </w:rPr>
        <w:t xml:space="preserve">：28%井冈•嘧菌酯悬浮剂、</w:t>
      </w:r>
      <w:r>
        <w:rPr>
          <w:rFonts w:hint="eastAsia" w:ascii="宋体" w:hAnsi="宋体" w:cs="宋体"/>
          <w:b w:val="0"/>
          <w:bCs w:val="0"/>
        </w:rPr>
        <w:t xml:space="preserve">采购包6</w:t>
      </w:r>
      <w:r>
        <w:rPr>
          <w:rFonts w:hint="eastAsia" w:ascii="宋体" w:hAnsi="宋体" w:cs="宋体"/>
        </w:rPr>
        <w:t xml:space="preserve">：35%氟唑·嘧菌酯微囊悬浮-悬浮剂,产品生产日期2024年1月1日以后。</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2024年中央农业防灾减灾和水利救灾资金项目（防灾减灾第三批） </w:t>
      </w:r>
      <w:r>
        <w:rPr>
          <w:rFonts w:hint="eastAsia" w:ascii="宋体" w:hAnsi="宋体" w:cs="宋体"/>
        </w:rPr>
        <w:t xml:space="preserve">招标项目的潜在投标人可在</w:t>
      </w:r>
      <w:r>
        <w:rPr>
          <w:rFonts w:hint="eastAsia" w:ascii="宋体" w:hAnsi="宋体" w:cs="宋体"/>
          <w:u w:val="single"/>
        </w:rPr>
        <w:t xml:space="preserve"> “扬州市政府采购网”、“江苏省政府采购网”</w:t>
      </w:r>
      <w:r>
        <w:rPr>
          <w:rFonts w:hint="eastAsia" w:ascii="宋体" w:hAnsi="宋体" w:cs="宋体"/>
        </w:rPr>
        <w:t xml:space="preserve">自行免费下载招标文件，并于</w:t>
      </w:r>
      <w:r>
        <w:rPr>
          <w:rFonts w:hint="eastAsia" w:ascii="宋体" w:hAnsi="宋体" w:cs="宋体"/>
          <w:bCs/>
          <w:u w:val="single"/>
        </w:rPr>
        <w:t xml:space="preserve">2024年 08 月 0</w:t>
      </w:r>
      <w:r>
        <w:rPr>
          <w:rFonts w:hint="eastAsia" w:ascii="宋体" w:hAnsi="宋体" w:cs="宋体"/>
          <w:bCs/>
          <w:u w:val="single"/>
          <w:lang w:val="en-US" w:eastAsia="zh-CN"/>
        </w:rPr>
        <w:t xml:space="preserve">6</w:t>
      </w:r>
      <w:r>
        <w:rPr>
          <w:rFonts w:hint="eastAsia" w:ascii="宋体" w:hAnsi="宋体" w:cs="宋体"/>
          <w:bCs/>
          <w:u w:val="single"/>
        </w:rPr>
        <w:t xml:space="preserve">日9:00（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outlineLvl w:val="1"/>
      </w:pPr>
      <w:r/>
      <w:bookmarkStart w:id="14" w:name="_Toc38985263"/>
      <w:r/>
      <w:bookmarkStart w:id="15" w:name="_Toc35393790"/>
      <w:r/>
      <w:bookmarkStart w:id="16" w:name="_Toc22574"/>
      <w:r/>
      <w:bookmarkStart w:id="17" w:name="_Toc28359002"/>
      <w:r/>
      <w:bookmarkStart w:id="18" w:name="_Toc35393621"/>
      <w:r/>
      <w:bookmarkStart w:id="19" w:name="_Toc24585"/>
      <w:r/>
      <w:bookmarkStart w:id="20" w:name="_Toc28359079"/>
      <w:r/>
      <w:bookmarkStart w:id="21" w:name="_Toc2904"/>
      <w:r/>
      <w:bookmarkStart w:id="22" w:name="_Hlk24379207"/>
      <w:r>
        <w:rPr>
          <w:rFonts w:hint="eastAsia" w:ascii="宋体" w:hAnsi="宋体" w:cs="宋体"/>
          <w:b/>
          <w:bCs/>
        </w:rPr>
        <w:t xml:space="preserve">一、项目基本情况</w:t>
      </w:r>
      <w:bookmarkEnd w:id="14"/>
      <w:r/>
      <w:bookmarkEnd w:id="15"/>
      <w:r/>
      <w:bookmarkEnd w:id="16"/>
      <w:r/>
      <w:bookmarkEnd w:id="17"/>
      <w:r/>
      <w:bookmarkEnd w:id="18"/>
      <w:r/>
      <w:bookmarkEnd w:id="19"/>
      <w:r/>
      <w:bookmarkEnd w:id="20"/>
      <w:r/>
      <w:bookmarkEnd w:id="21"/>
      <w:r/>
      <w:r/>
    </w:p>
    <w:p>
      <w:pPr>
        <w:ind w:firstLine="420"/>
        <w:spacing w:line="360" w:lineRule="auto"/>
        <w:rPr>
          <w:rFonts w:ascii="宋体" w:hAnsi="宋体" w:cs="宋体"/>
        </w:rPr>
      </w:pPr>
      <w:r/>
      <w:bookmarkStart w:id="23" w:name="_Toc17018"/>
      <w:r/>
      <w:bookmarkStart w:id="24" w:name="_Toc21609"/>
      <w:r>
        <w:rPr>
          <w:rFonts w:hint="eastAsia" w:ascii="宋体" w:hAnsi="宋体" w:cs="宋体"/>
        </w:rPr>
        <w:t xml:space="preserve">1.项目编号：</w:t>
      </w:r>
      <w:bookmarkEnd w:id="23"/>
      <w:r/>
      <w:bookmarkEnd w:id="24"/>
      <w:r>
        <w:rPr>
          <w:rFonts w:hint="eastAsia" w:ascii="宋体" w:hAnsi="宋体" w:cs="宋体"/>
          <w:lang w:eastAsia="zh-CN"/>
        </w:rPr>
        <w:t xml:space="preserve">JSZC-321084-YZHZ-G2024-0012</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2.项目名称：</w:t>
      </w:r>
      <w:bookmarkEnd w:id="22"/>
      <w:r>
        <w:rPr>
          <w:rFonts w:hint="eastAsia" w:ascii="宋体" w:hAnsi="宋体" w:cs="宋体"/>
        </w:rPr>
        <w:t xml:space="preserve">2024年中央农业防灾减灾和水利救灾资金项目（防灾减灾第三批）</w:t>
      </w:r>
      <w:r/>
    </w:p>
    <w:p>
      <w:pPr>
        <w:ind w:left="0" w:right="0" w:firstLine="42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bookmarkStart w:id="25" w:name="_Toc28359080"/>
      <w:r/>
      <w:bookmarkStart w:id="26" w:name="_Toc24912"/>
      <w:r/>
      <w:bookmarkStart w:id="27" w:name="_Toc35393791"/>
      <w:r/>
      <w:bookmarkStart w:id="28" w:name="_Toc38985264"/>
      <w:r/>
      <w:bookmarkStart w:id="29" w:name="_Toc28359003"/>
      <w:r/>
      <w:bookmarkStart w:id="30" w:name="_Toc31055"/>
      <w:r/>
      <w:bookmarkStart w:id="31" w:name="_Toc35393622"/>
      <w:r/>
      <w:bookmarkStart w:id="32" w:name="_Toc100"/>
      <w:r>
        <w:rPr>
          <w:rFonts w:hint="eastAsia" w:ascii="宋体" w:hAnsi="宋体" w:cs="宋体"/>
        </w:rPr>
        <w:t xml:space="preserve">3.包段数及中标包段数：</w:t>
      </w:r>
      <w:r>
        <w:rPr>
          <w:rFonts w:ascii="SimSun" w:hAnsi="SimSun" w:eastAsia="SimSun" w:cs="SimSun"/>
          <w:color w:val="000000"/>
          <w:sz w:val="22"/>
          <w:szCs w:val="22"/>
        </w:rPr>
        <w:t xml:space="preserve">本项目共分为采购包1、采购包2、采购包3、采购包4、采购包5、采购包6共六个包段，投标人可同时进行六个采购包的投标，但最多只能中一个采购包，评标时，依开标顺序（按采购包1到采购包6自然顺序开标），确定该采购包的中标供应商，供应商中标后其则不再具有其它采购包的中标资格。</w:t>
      </w:r>
      <w:r>
        <w:rPr>
          <w:sz w:val="22"/>
          <w:szCs w:val="22"/>
        </w:rPr>
      </w:r>
      <w:r>
        <w:rPr>
          <w:sz w:val="22"/>
          <w:szCs w:val="22"/>
        </w:rPr>
      </w:r>
    </w:p>
    <w:p>
      <w:pPr>
        <w:ind w:firstLine="420"/>
        <w:spacing w:line="360" w:lineRule="auto"/>
        <w:rPr>
          <w:rFonts w:ascii="宋体" w:hAnsi="宋体" w:cs="宋体"/>
          <w:color w:val="ff0000"/>
        </w:rPr>
      </w:pPr>
      <w:r>
        <w:rPr>
          <w:rFonts w:hint="eastAsia" w:ascii="宋体" w:hAnsi="宋体" w:cs="宋体"/>
        </w:rPr>
        <w:t xml:space="preserve">4.预算金额：</w:t>
      </w:r>
      <w:r>
        <w:rPr>
          <w:rFonts w:hint="eastAsia" w:ascii="宋体" w:hAnsi="宋体" w:cs="宋体"/>
        </w:rPr>
        <w:t xml:space="preserve">采购包1</w:t>
      </w:r>
      <w:r>
        <w:rPr>
          <w:rFonts w:hint="eastAsia" w:ascii="宋体" w:hAnsi="宋体" w:cs="宋体"/>
        </w:rPr>
        <w:t xml:space="preserve">：预算56万元；</w:t>
      </w:r>
      <w:r>
        <w:rPr>
          <w:rFonts w:hint="eastAsia" w:ascii="宋体" w:hAnsi="宋体" w:cs="宋体"/>
        </w:rPr>
        <w:t xml:space="preserve">采购包2</w:t>
      </w:r>
      <w:r>
        <w:rPr>
          <w:rFonts w:hint="eastAsia" w:ascii="宋体" w:hAnsi="宋体" w:cs="宋体"/>
        </w:rPr>
        <w:t xml:space="preserve">：预算63万元；</w:t>
      </w:r>
      <w:r>
        <w:rPr>
          <w:rFonts w:hint="eastAsia" w:ascii="宋体" w:hAnsi="宋体" w:cs="宋体"/>
        </w:rPr>
        <w:t xml:space="preserve">采购包3</w:t>
      </w:r>
      <w:r>
        <w:rPr>
          <w:rFonts w:hint="eastAsia" w:ascii="宋体" w:hAnsi="宋体" w:cs="宋体"/>
        </w:rPr>
        <w:t xml:space="preserve">：预算57万元；</w:t>
      </w:r>
      <w:r>
        <w:rPr>
          <w:rFonts w:hint="eastAsia" w:ascii="宋体" w:hAnsi="宋体" w:cs="宋体"/>
        </w:rPr>
        <w:t xml:space="preserve">采购包4</w:t>
      </w:r>
      <w:r>
        <w:rPr>
          <w:rFonts w:hint="eastAsia" w:ascii="宋体" w:hAnsi="宋体" w:cs="宋体"/>
        </w:rPr>
        <w:t xml:space="preserve">：预算56万元；</w:t>
      </w:r>
      <w:r>
        <w:rPr>
          <w:rFonts w:hint="eastAsia" w:ascii="宋体" w:hAnsi="宋体" w:cs="宋体"/>
        </w:rPr>
        <w:t xml:space="preserve">采购包5</w:t>
      </w:r>
      <w:r>
        <w:rPr>
          <w:rFonts w:hint="eastAsia" w:ascii="宋体" w:hAnsi="宋体" w:cs="宋体"/>
        </w:rPr>
        <w:t xml:space="preserve">：预算88万元；</w:t>
      </w:r>
      <w:r>
        <w:rPr>
          <w:rFonts w:hint="eastAsia" w:ascii="宋体" w:hAnsi="宋体" w:cs="宋体"/>
        </w:rPr>
        <w:t xml:space="preserve">采购包6</w:t>
      </w:r>
      <w:r>
        <w:rPr>
          <w:rFonts w:hint="eastAsia" w:ascii="宋体" w:hAnsi="宋体" w:cs="宋体"/>
        </w:rPr>
        <w:t xml:space="preserve">：预算51万元。 </w:t>
      </w:r>
      <w:r/>
    </w:p>
    <w:p>
      <w:pPr>
        <w:ind w:firstLine="420"/>
        <w:spacing w:line="360" w:lineRule="auto"/>
        <w:rPr>
          <w:rFonts w:ascii="宋体" w:hAnsi="宋体" w:cs="宋体"/>
          <w:color w:val="ff0000"/>
        </w:rPr>
      </w:pPr>
      <w:r>
        <w:rPr>
          <w:rFonts w:hint="eastAsia" w:ascii="宋体" w:hAnsi="宋体" w:cs="宋体"/>
        </w:rPr>
        <w:t xml:space="preserve">5.最高限单价</w:t>
      </w:r>
      <w:r>
        <w:rPr>
          <w:rFonts w:hint="eastAsia" w:ascii="宋体" w:hAnsi="宋体" w:cs="宋体"/>
          <w:lang w:eastAsia="zh-CN"/>
        </w:rPr>
        <w:t xml:space="preserve">：</w:t>
      </w:r>
      <w:r>
        <w:rPr>
          <w:rFonts w:hint="eastAsia" w:ascii="宋体" w:hAnsi="宋体" w:cs="宋体"/>
        </w:rPr>
        <w:t xml:space="preserve">采购包1</w:t>
      </w:r>
      <w:r>
        <w:rPr>
          <w:rFonts w:hint="eastAsia" w:ascii="宋体" w:hAnsi="宋体" w:cs="宋体"/>
        </w:rPr>
        <w:t xml:space="preserve">：最高限价10.4万元/吨；</w:t>
      </w:r>
      <w:r>
        <w:rPr>
          <w:rFonts w:hint="eastAsia" w:ascii="宋体" w:hAnsi="宋体" w:cs="宋体"/>
        </w:rPr>
        <w:t xml:space="preserve">采购包2</w:t>
      </w:r>
      <w:r>
        <w:rPr>
          <w:rFonts w:hint="eastAsia" w:ascii="宋体" w:hAnsi="宋体" w:cs="宋体"/>
        </w:rPr>
        <w:t xml:space="preserve">：最高限价28.3万元/吨；</w:t>
      </w:r>
      <w:r>
        <w:rPr>
          <w:rFonts w:hint="eastAsia" w:ascii="宋体" w:hAnsi="宋体" w:cs="宋体"/>
        </w:rPr>
        <w:t xml:space="preserve">采购包3</w:t>
      </w:r>
      <w:r>
        <w:rPr>
          <w:rFonts w:hint="eastAsia" w:ascii="宋体" w:hAnsi="宋体" w:cs="宋体"/>
        </w:rPr>
        <w:t xml:space="preserve">：最高限价21万元/吨；</w:t>
      </w:r>
      <w:r>
        <w:rPr>
          <w:rFonts w:hint="eastAsia" w:ascii="宋体" w:hAnsi="宋体" w:cs="宋体"/>
        </w:rPr>
        <w:t xml:space="preserve">采购包4</w:t>
      </w:r>
      <w:r>
        <w:rPr>
          <w:rFonts w:hint="eastAsia" w:ascii="宋体" w:hAnsi="宋体" w:cs="宋体"/>
        </w:rPr>
        <w:t xml:space="preserve">：最高限价22万元/吨；</w:t>
      </w:r>
      <w:r>
        <w:rPr>
          <w:rFonts w:hint="eastAsia" w:ascii="宋体" w:hAnsi="宋体" w:cs="宋体"/>
        </w:rPr>
        <w:t xml:space="preserve">采购包5</w:t>
      </w:r>
      <w:r>
        <w:rPr>
          <w:rFonts w:hint="eastAsia" w:ascii="宋体" w:hAnsi="宋体" w:cs="宋体"/>
        </w:rPr>
        <w:t xml:space="preserve">：最高限价22.63万元/吨；</w:t>
      </w:r>
      <w:r>
        <w:rPr>
          <w:rFonts w:hint="eastAsia" w:ascii="宋体" w:hAnsi="宋体" w:cs="宋体"/>
        </w:rPr>
        <w:t xml:space="preserve">采购包6</w:t>
      </w:r>
      <w:r>
        <w:rPr>
          <w:rFonts w:hint="eastAsia" w:ascii="宋体" w:hAnsi="宋体" w:cs="宋体"/>
        </w:rPr>
        <w:t xml:space="preserve">：最高限价16万元/吨。</w:t>
      </w:r>
      <w:r/>
    </w:p>
    <w:p>
      <w:pPr>
        <w:ind w:firstLine="420"/>
        <w:spacing w:line="360" w:lineRule="auto"/>
        <w:rPr>
          <w:rFonts w:ascii="宋体" w:hAnsi="宋体" w:cs="宋体"/>
          <w:u w:val="single"/>
        </w:rPr>
      </w:pPr>
      <w:r>
        <w:rPr>
          <w:rFonts w:hint="eastAsia" w:ascii="宋体" w:hAnsi="宋体" w:cs="宋体"/>
        </w:rPr>
        <w:t xml:space="preserve">6.采购需求：见招标文件第四章</w:t>
      </w:r>
      <w:r/>
    </w:p>
    <w:p>
      <w:pPr>
        <w:ind w:firstLine="420"/>
        <w:spacing w:line="360" w:lineRule="auto"/>
        <w:rPr>
          <w:rFonts w:ascii="宋体" w:hAnsi="宋体" w:cs="宋体"/>
        </w:rPr>
      </w:pPr>
      <w:r>
        <w:rPr>
          <w:rFonts w:hint="eastAsia" w:ascii="宋体" w:hAnsi="宋体" w:cs="宋体"/>
        </w:rPr>
        <w:t xml:space="preserve">7.供货期：合同签订后7个工作日内供货至采购人指定地点。</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pPr>
      <w:r>
        <w:rPr>
          <w:rFonts w:hint="eastAsia" w:ascii="宋体" w:hAnsi="宋体" w:cs="宋体"/>
        </w:rPr>
        <w:t xml:space="preserve">9.本项目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outlineLvl w:val="1"/>
      </w:pPr>
      <w:r>
        <w:rPr>
          <w:rFonts w:hint="eastAsia" w:ascii="宋体" w:hAnsi="宋体" w:cs="宋体"/>
          <w:b/>
          <w:bCs/>
        </w:rPr>
        <w:t xml:space="preserve">二、申请人的资格要求：</w:t>
      </w:r>
      <w:bookmarkEnd w:id="25"/>
      <w:r/>
      <w:bookmarkEnd w:id="26"/>
      <w:r/>
      <w:bookmarkEnd w:id="27"/>
      <w:r/>
      <w:bookmarkEnd w:id="28"/>
      <w:r/>
      <w:bookmarkEnd w:id="29"/>
      <w:r/>
      <w:bookmarkEnd w:id="30"/>
      <w:r/>
      <w:bookmarkEnd w:id="31"/>
      <w:r/>
      <w:bookmarkEnd w:id="32"/>
      <w:r/>
      <w:r/>
    </w:p>
    <w:p>
      <w:pPr>
        <w:ind w:firstLine="420"/>
        <w:spacing w:line="360" w:lineRule="auto"/>
        <w:rPr>
          <w:rFonts w:ascii="宋体" w:hAnsi="宋体" w:cs="宋体"/>
          <w:szCs w:val="21"/>
        </w:rPr>
      </w:pPr>
      <w:r/>
      <w:bookmarkStart w:id="33" w:name="_Toc35393792"/>
      <w:r/>
      <w:bookmarkStart w:id="34" w:name="_Toc35393623"/>
      <w:r/>
      <w:bookmarkStart w:id="35" w:name="_Toc28359081"/>
      <w:r/>
      <w:bookmarkStart w:id="36" w:name="_Toc38985265"/>
      <w:r/>
      <w:bookmarkStart w:id="37" w:name="_Toc28359004"/>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bookmarkStart w:id="38" w:name="_Toc22036"/>
      <w:r/>
      <w:bookmarkStart w:id="39" w:name="_Toc5171"/>
      <w:r>
        <w:rPr>
          <w:rFonts w:hint="eastAsia" w:ascii="宋体" w:hAnsi="宋体" w:cs="宋体"/>
          <w:i/>
          <w:iCs/>
          <w:szCs w:val="21"/>
          <w:u w:val="single"/>
        </w:rPr>
        <w:t xml:space="preserve">1.1法人或者其他组织的营业执照等证明文件，自然人的身份证明</w:t>
      </w:r>
      <w:bookmarkEnd w:id="38"/>
      <w:r/>
      <w:bookmarkEnd w:id="39"/>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ff0000"/>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bookmarkStart w:id="40" w:name="_Toc18851"/>
      <w:r/>
      <w:bookmarkStart w:id="41" w:name="_Toc28524"/>
      <w:r>
        <w:rPr>
          <w:rFonts w:hint="eastAsia" w:ascii="宋体" w:hAnsi="宋体" w:cs="宋体"/>
          <w:i/>
          <w:iCs/>
          <w:szCs w:val="21"/>
          <w:u w:val="single"/>
        </w:rPr>
        <w:t xml:space="preserve">1.8供应商信用承诺函</w:t>
      </w:r>
      <w:bookmarkEnd w:id="40"/>
      <w:r/>
      <w:bookmarkEnd w:id="41"/>
      <w:r/>
      <w:r/>
    </w:p>
    <w:p>
      <w:pPr>
        <w:ind w:firstLine="420"/>
        <w:spacing w:line="360" w:lineRule="auto"/>
        <w:rPr>
          <w:rFonts w:ascii="宋体" w:hAnsi="宋体" w:cs="宋体"/>
          <w:i/>
          <w:szCs w:val="21"/>
          <w:u w:val="single"/>
        </w:rPr>
      </w:pPr>
      <w:r>
        <w:rPr>
          <w:rFonts w:hint="eastAsia" w:ascii="宋体" w:hAnsi="宋体" w:cs="宋体"/>
          <w:szCs w:val="21"/>
        </w:rPr>
        <w:t xml:space="preserve">2.落实政府采购政策需满足的资格要求：</w:t>
      </w:r>
      <w:r>
        <w:rPr>
          <w:rFonts w:hint="eastAsia" w:ascii="宋体" w:hAnsi="宋体" w:cs="宋体"/>
          <w:i/>
          <w:szCs w:val="21"/>
          <w:u w:val="single"/>
        </w:rPr>
        <w:t xml:space="preserve">本项目专门面向中小企业采购；投标人须提供《中小企业声明函》，企业类型为</w:t>
      </w:r>
      <w:r>
        <w:rPr>
          <w:rFonts w:hint="eastAsia" w:ascii="宋体" w:hAnsi="宋体" w:cs="宋体"/>
          <w:b/>
          <w:bCs/>
          <w:i/>
          <w:iCs/>
          <w:color w:val="0000ff"/>
          <w:szCs w:val="21"/>
          <w:u w:val="single"/>
        </w:rPr>
        <w:t xml:space="preserve">工业</w:t>
      </w:r>
      <w:r>
        <w:rPr>
          <w:rFonts w:hint="eastAsia" w:ascii="宋体" w:hAnsi="宋体" w:cs="宋体"/>
          <w:i/>
          <w:szCs w:val="21"/>
          <w:u w:val="single"/>
        </w:rPr>
        <w:t xml:space="preserve">。《中小企业声明函》不符合要求或未提供的，投标文件无效。</w:t>
      </w:r>
      <w:r/>
    </w:p>
    <w:p>
      <w:pPr>
        <w:ind w:firstLine="420"/>
        <w:spacing w:line="360" w:lineRule="auto"/>
        <w:rPr>
          <w:rFonts w:ascii="宋体" w:hAnsi="宋体" w:cs="宋体"/>
          <w:szCs w:val="21"/>
          <w:u w:val="single"/>
        </w:rPr>
      </w:pPr>
      <w:r>
        <w:rPr>
          <w:rFonts w:hint="eastAsia" w:ascii="宋体" w:hAnsi="宋体" w:cs="宋体"/>
          <w:szCs w:val="21"/>
        </w:rPr>
        <w:t xml:space="preserve">3.本项目的特定资格要求：</w:t>
      </w:r>
      <w:r>
        <w:rPr>
          <w:rFonts w:hint="eastAsia" w:ascii="宋体" w:hAnsi="宋体" w:cs="宋体"/>
          <w:szCs w:val="21"/>
          <w:u w:val="single"/>
        </w:rPr>
        <w:t xml:space="preserve">无</w:t>
      </w:r>
      <w:r/>
    </w:p>
    <w:p>
      <w:pPr>
        <w:spacing w:line="360" w:lineRule="auto"/>
        <w:tabs>
          <w:tab w:val="left" w:pos="266" w:leader="none"/>
        </w:tabs>
        <w:rPr>
          <w:rFonts w:ascii="宋体" w:hAnsi="宋体" w:cs="宋体"/>
          <w:b/>
          <w:bCs/>
        </w:rPr>
        <w:outlineLvl w:val="1"/>
      </w:pPr>
      <w:r/>
      <w:bookmarkStart w:id="42" w:name="_Toc20796"/>
      <w:r/>
      <w:bookmarkStart w:id="43" w:name="_Toc23766"/>
      <w:r/>
      <w:bookmarkStart w:id="44" w:name="_Toc27325"/>
      <w:r>
        <w:rPr>
          <w:rFonts w:hint="eastAsia" w:ascii="宋体" w:hAnsi="宋体" w:cs="宋体"/>
          <w:b/>
          <w:bCs/>
        </w:rPr>
        <w:t xml:space="preserve">三、获取招标文件</w:t>
      </w:r>
      <w:bookmarkEnd w:id="33"/>
      <w:r/>
      <w:bookmarkEnd w:id="34"/>
      <w:r/>
      <w:bookmarkEnd w:id="35"/>
      <w:r/>
      <w:bookmarkEnd w:id="36"/>
      <w:r/>
      <w:bookmarkEnd w:id="37"/>
      <w:r/>
      <w:bookmarkEnd w:id="42"/>
      <w:r/>
      <w:bookmarkEnd w:id="43"/>
      <w:r/>
      <w:bookmarkEnd w:id="44"/>
      <w:r/>
      <w:r/>
    </w:p>
    <w:p>
      <w:pPr>
        <w:ind w:firstLine="420"/>
        <w:spacing w:line="360" w:lineRule="auto"/>
        <w:rPr>
          <w:rFonts w:ascii="宋体" w:hAnsi="宋体" w:cs="宋体"/>
        </w:rPr>
      </w:pPr>
      <w:r/>
      <w:bookmarkStart w:id="45" w:name="_Toc28359082"/>
      <w:r/>
      <w:bookmarkStart w:id="46" w:name="_Toc28359005"/>
      <w:r/>
      <w:bookmarkStart w:id="47" w:name="_Toc38985266"/>
      <w:r/>
      <w:bookmarkStart w:id="48" w:name="_Toc35393624"/>
      <w:r/>
      <w:bookmarkStart w:id="49" w:name="_Toc35393793"/>
      <w:r>
        <w:rPr>
          <w:rFonts w:hint="eastAsia" w:ascii="宋体" w:hAnsi="宋体" w:cs="宋体"/>
        </w:rPr>
        <w:t xml:space="preserve">1.时间：自公告发布之日起至响应文件提交截止时间止。</w:t>
      </w:r>
      <w:r/>
    </w:p>
    <w:p>
      <w:pPr>
        <w:ind w:firstLine="420"/>
        <w:spacing w:line="360" w:lineRule="auto"/>
      </w:pPr>
      <w:r/>
      <w:bookmarkStart w:id="50" w:name="_Toc30"/>
      <w:r/>
      <w:bookmarkStart w:id="51" w:name="_Toc3639"/>
      <w:r>
        <w:rPr>
          <w:rFonts w:hint="eastAsia" w:ascii="宋体" w:hAnsi="宋体" w:cs="宋体"/>
          <w:b/>
          <w:bCs/>
        </w:rPr>
        <w:t xml:space="preserve">2.获取方式：本项目采用网上注册登记方式。</w:t>
      </w:r>
      <w:bookmarkEnd w:id="50"/>
      <w:r/>
      <w:bookmarkEnd w:id="51"/>
      <w:r/>
      <w:r/>
    </w:p>
    <w:p>
      <w:pPr>
        <w:ind w:firstLine="42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p>
    <w:p>
      <w:pPr>
        <w:ind w:firstLine="42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
          <w:bCs/>
        </w:rPr>
      </w:pPr>
      <w:r>
        <w:rPr>
          <w:rFonts w:hint="eastAsia" w:ascii="宋体" w:hAnsi="宋体" w:cs="宋体"/>
          <w:b/>
          <w:bCs/>
        </w:rPr>
        <w:t xml:space="preserve">（3）“CA数字证书”的办理材料以及供应商操作手册详见：</w:t>
      </w:r>
      <w:r/>
    </w:p>
    <w:p>
      <w:pPr>
        <w:spacing w:line="360" w:lineRule="auto"/>
        <w:rPr>
          <w:rFonts w:ascii="宋体" w:hAnsi="宋体" w:cs="宋体"/>
          <w:b/>
          <w:bCs/>
        </w:rPr>
      </w:pPr>
      <w:r>
        <w:rPr>
          <w:rFonts w:hint="eastAsia" w:ascii="宋体" w:hAnsi="宋体" w:cs="宋体"/>
          <w:b/>
          <w:bCs/>
        </w:rPr>
        <w:t xml:space="preserve">http://zfcg.yangzhou.gov.cn/zfcg/xzzx/202309/4d7de1f7865f4a2894fc22bc452f94d8.shtml。</w:t>
      </w:r>
      <w:r/>
    </w:p>
    <w:p>
      <w:pPr>
        <w:ind w:firstLine="420"/>
        <w:spacing w:line="36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0"/>
        <w:spacing w:line="360" w:lineRule="auto"/>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outlineLvl w:val="1"/>
      </w:pPr>
      <w:r/>
      <w:bookmarkStart w:id="52" w:name="_Toc23401"/>
      <w:r/>
      <w:bookmarkStart w:id="53" w:name="_Toc24345"/>
      <w:r/>
      <w:bookmarkStart w:id="54" w:name="_Toc13045"/>
      <w:r>
        <w:rPr>
          <w:rFonts w:hint="eastAsia" w:ascii="宋体" w:hAnsi="宋体" w:cs="宋体"/>
          <w:b/>
          <w:bCs/>
        </w:rPr>
        <w:t xml:space="preserve">四、提交投标文件</w:t>
      </w:r>
      <w:bookmarkEnd w:id="45"/>
      <w:r/>
      <w:bookmarkEnd w:id="46"/>
      <w:r>
        <w:rPr>
          <w:rFonts w:hint="eastAsia" w:ascii="宋体" w:hAnsi="宋体" w:cs="宋体"/>
          <w:b/>
          <w:bCs/>
        </w:rPr>
        <w:t xml:space="preserve">截止时间、开标时间和地点</w:t>
      </w:r>
      <w:bookmarkEnd w:id="47"/>
      <w:r/>
      <w:bookmarkEnd w:id="48"/>
      <w:r/>
      <w:bookmarkEnd w:id="49"/>
      <w:r/>
      <w:bookmarkEnd w:id="52"/>
      <w:r/>
      <w:bookmarkEnd w:id="53"/>
      <w:r/>
      <w:bookmarkEnd w:id="54"/>
      <w:r/>
      <w:r/>
    </w:p>
    <w:p>
      <w:pPr>
        <w:ind w:firstLine="420"/>
        <w:spacing w:line="360" w:lineRule="auto"/>
        <w:rPr>
          <w:rFonts w:ascii="宋体" w:hAnsi="宋体" w:cs="宋体"/>
        </w:rPr>
      </w:pPr>
      <w:r/>
      <w:bookmarkStart w:id="55" w:name="_Toc2365"/>
      <w:r/>
      <w:bookmarkStart w:id="56" w:name="_Toc9537"/>
      <w:r>
        <w:rPr>
          <w:rFonts w:hint="eastAsia" w:ascii="宋体" w:hAnsi="宋体" w:cs="宋体"/>
        </w:rPr>
        <w:t xml:space="preserve">1.时间：</w:t>
      </w:r>
      <w:r>
        <w:rPr>
          <w:rFonts w:hint="eastAsia" w:ascii="宋体" w:hAnsi="宋体" w:cs="宋体"/>
          <w:u w:val="single"/>
        </w:rPr>
        <w:t xml:space="preserve">2024年8月 0</w:t>
      </w:r>
      <w:r>
        <w:rPr>
          <w:rFonts w:hint="eastAsia" w:ascii="宋体" w:hAnsi="宋体" w:cs="宋体"/>
          <w:u w:val="single"/>
          <w:lang w:val="en-US" w:eastAsia="zh-CN"/>
        </w:rPr>
        <w:t xml:space="preserve">6</w:t>
      </w:r>
      <w:bookmarkStart w:id="333" w:name="_GoBack"/>
      <w:r/>
      <w:bookmarkEnd w:id="333"/>
      <w:r>
        <w:rPr>
          <w:rFonts w:hint="eastAsia" w:ascii="宋体" w:hAnsi="宋体" w:cs="宋体"/>
          <w:u w:val="single"/>
        </w:rPr>
        <w:t xml:space="preserve">日9:00</w:t>
      </w:r>
      <w:r>
        <w:rPr>
          <w:rFonts w:hint="eastAsia" w:ascii="宋体" w:hAnsi="宋体" w:cs="宋体"/>
        </w:rPr>
        <w:t xml:space="preserve">（北京时间）</w:t>
      </w:r>
      <w:bookmarkEnd w:id="55"/>
      <w:r/>
      <w:bookmarkEnd w:id="56"/>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outlineLvl w:val="1"/>
      </w:pPr>
      <w:r/>
      <w:bookmarkStart w:id="57" w:name="_Toc35393794"/>
      <w:r/>
      <w:bookmarkStart w:id="58" w:name="_Toc28359007"/>
      <w:r/>
      <w:bookmarkStart w:id="59" w:name="_Toc2115"/>
      <w:r/>
      <w:bookmarkStart w:id="60" w:name="_Toc28359084"/>
      <w:r/>
      <w:bookmarkStart w:id="61" w:name="_Toc38985267"/>
      <w:r/>
      <w:bookmarkStart w:id="62" w:name="_Toc35393625"/>
      <w:r/>
      <w:bookmarkStart w:id="63" w:name="_Toc29475"/>
      <w:r/>
      <w:bookmarkStart w:id="64" w:name="_Toc16125"/>
      <w:r>
        <w:rPr>
          <w:rFonts w:hint="eastAsia" w:ascii="宋体" w:hAnsi="宋体" w:cs="宋体"/>
          <w:b/>
          <w:bCs/>
        </w:rPr>
        <w:t xml:space="preserve">五、公告期限</w:t>
      </w:r>
      <w:bookmarkEnd w:id="57"/>
      <w:r/>
      <w:bookmarkEnd w:id="58"/>
      <w:r/>
      <w:bookmarkEnd w:id="59"/>
      <w:r/>
      <w:bookmarkEnd w:id="60"/>
      <w:r/>
      <w:bookmarkEnd w:id="61"/>
      <w:r/>
      <w:bookmarkEnd w:id="62"/>
      <w:r/>
      <w:bookmarkEnd w:id="63"/>
      <w:r/>
      <w:bookmarkEnd w:id="64"/>
      <w:r/>
      <w:r/>
    </w:p>
    <w:p>
      <w:pPr>
        <w:ind w:firstLine="420"/>
        <w:spacing w:line="360" w:lineRule="auto"/>
        <w:rPr>
          <w:rFonts w:ascii="宋体" w:hAnsi="宋体" w:cs="宋体"/>
        </w:rPr>
      </w:pPr>
      <w:r/>
      <w:bookmarkStart w:id="65" w:name="_Toc38985268"/>
      <w:r/>
      <w:bookmarkStart w:id="66" w:name="_Toc35393795"/>
      <w:r/>
      <w:bookmarkStart w:id="67"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outlineLvl w:val="1"/>
      </w:pPr>
      <w:r/>
      <w:bookmarkStart w:id="68" w:name="_Toc2618"/>
      <w:r/>
      <w:bookmarkStart w:id="69" w:name="_Toc32321"/>
      <w:r/>
      <w:bookmarkStart w:id="70" w:name="_Toc23246"/>
      <w:r>
        <w:rPr>
          <w:rFonts w:hint="eastAsia" w:ascii="宋体" w:hAnsi="宋体" w:cs="宋体"/>
          <w:b/>
          <w:bCs/>
        </w:rPr>
        <w:t xml:space="preserve">六、其他补充事宜</w:t>
      </w:r>
      <w:bookmarkEnd w:id="65"/>
      <w:r/>
      <w:bookmarkEnd w:id="66"/>
      <w:r/>
      <w:bookmarkEnd w:id="67"/>
      <w:r/>
      <w:bookmarkEnd w:id="68"/>
      <w:r/>
      <w:bookmarkEnd w:id="69"/>
      <w:r/>
      <w:bookmarkEnd w:id="70"/>
      <w:r/>
      <w:r/>
    </w:p>
    <w:p>
      <w:pPr>
        <w:ind w:firstLine="420"/>
        <w:spacing w:line="360" w:lineRule="auto"/>
        <w:tabs>
          <w:tab w:val="left" w:pos="266" w:leader="none"/>
        </w:tabs>
        <w:rPr>
          <w:rFonts w:hint="eastAsia" w:ascii="宋体" w:hAnsi="宋体" w:cs="宋体"/>
          <w:color w:val="auto"/>
          <w:lang w:val="en-US" w:eastAsia="zh-CN"/>
        </w:rPr>
        <w:outlineLvl w:val="1"/>
      </w:pPr>
      <w:r/>
      <w:bookmarkStart w:id="71" w:name="_Toc35393796"/>
      <w:r/>
      <w:bookmarkStart w:id="72" w:name="_Toc28359008"/>
      <w:r/>
      <w:bookmarkStart w:id="73" w:name="_Toc35393627"/>
      <w:r/>
      <w:bookmarkStart w:id="74" w:name="_Toc29069"/>
      <w:r/>
      <w:bookmarkStart w:id="75" w:name="_Toc28359085"/>
      <w:r/>
      <w:bookmarkStart w:id="76" w:name="_Toc23688"/>
      <w:r/>
      <w:bookmarkStart w:id="77" w:name="_Toc38985269"/>
      <w:r/>
      <w:bookmarkStart w:id="78" w:name="_Toc18694"/>
      <w:r>
        <w:rPr>
          <w:rFonts w:hint="eastAsia" w:ascii="宋体" w:hAnsi="宋体" w:cs="宋体"/>
          <w:color w:val="auto"/>
          <w:lang w:val="en-US" w:eastAsia="zh-CN"/>
        </w:rPr>
        <w:t xml:space="preserve">无</w:t>
      </w:r>
      <w:r/>
    </w:p>
    <w:p>
      <w:pPr>
        <w:spacing w:line="360" w:lineRule="auto"/>
        <w:tabs>
          <w:tab w:val="left" w:pos="266" w:leader="none"/>
        </w:tabs>
        <w:rPr>
          <w:rFonts w:ascii="宋体" w:hAnsi="宋体" w:cs="宋体"/>
          <w:b/>
          <w:bCs/>
        </w:rPr>
        <w:outlineLvl w:val="1"/>
      </w:pPr>
      <w:r>
        <w:rPr>
          <w:rFonts w:hint="eastAsia" w:ascii="宋体" w:hAnsi="宋体" w:cs="宋体"/>
          <w:b/>
          <w:bCs/>
        </w:rPr>
        <w:t xml:space="preserve">七、本次招标联系方式</w:t>
      </w:r>
      <w:bookmarkEnd w:id="71"/>
      <w:r/>
      <w:bookmarkEnd w:id="72"/>
      <w:r/>
      <w:bookmarkEnd w:id="73"/>
      <w:r/>
      <w:bookmarkEnd w:id="74"/>
      <w:r/>
      <w:bookmarkEnd w:id="75"/>
      <w:r/>
      <w:bookmarkEnd w:id="76"/>
      <w:r/>
      <w:bookmarkEnd w:id="77"/>
      <w:r/>
      <w:bookmarkEnd w:id="78"/>
      <w:r/>
      <w:r/>
    </w:p>
    <w:p>
      <w:pPr>
        <w:ind w:firstLine="420"/>
        <w:spacing w:line="360" w:lineRule="auto"/>
        <w:rPr>
          <w:rFonts w:ascii="宋体" w:hAnsi="宋体" w:cs="宋体"/>
        </w:rPr>
      </w:pPr>
      <w:r/>
      <w:bookmarkStart w:id="79" w:name="_Toc25700"/>
      <w:r/>
      <w:bookmarkStart w:id="80" w:name="_Toc29369"/>
      <w:r/>
      <w:bookmarkStart w:id="81" w:name="XMJBRDH_1"/>
      <w:r/>
      <w:bookmarkStart w:id="82" w:name="_Toc28359010"/>
      <w:r/>
      <w:bookmarkStart w:id="83" w:name="_Toc28359087"/>
      <w:r>
        <w:rPr>
          <w:rFonts w:hint="eastAsia" w:ascii="宋体" w:hAnsi="宋体" w:cs="宋体"/>
        </w:rPr>
        <w:t xml:space="preserve">1.采购人信息</w:t>
      </w:r>
      <w:bookmarkEnd w:id="79"/>
      <w:r/>
      <w:bookmarkEnd w:id="80"/>
      <w:r/>
      <w:r/>
    </w:p>
    <w:p>
      <w:pPr>
        <w:ind w:firstLine="420"/>
        <w:spacing w:line="360" w:lineRule="auto"/>
        <w:rPr>
          <w:rFonts w:ascii="宋体" w:hAnsi="宋体" w:cs="宋体"/>
          <w:u w:val="single"/>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rPr>
        <w:t xml:space="preserve">高邮市农业农村局</w:t>
      </w:r>
      <w:r/>
    </w:p>
    <w:p>
      <w:pPr>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高邮市文游中路173号</w:t>
      </w:r>
      <w:r/>
    </w:p>
    <w:p>
      <w:pPr>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    张女士            </w:t>
      </w:r>
      <w:r/>
    </w:p>
    <w:p>
      <w:pPr>
        <w:ind w:firstLine="420"/>
        <w:spacing w:line="360" w:lineRule="auto"/>
        <w:rPr>
          <w:rFonts w:ascii="宋体" w:hAnsi="宋体" w:cs="宋体"/>
          <w:u w:val="single"/>
        </w:rPr>
      </w:pPr>
      <w:r>
        <w:rPr>
          <w:rFonts w:hint="eastAsia" w:ascii="宋体" w:hAnsi="宋体" w:cs="宋体"/>
        </w:rPr>
        <w:t xml:space="preserve">联系电话：</w:t>
      </w:r>
      <w:r>
        <w:rPr>
          <w:rFonts w:hint="eastAsia" w:ascii="宋体" w:hAnsi="宋体" w:cs="宋体"/>
          <w:u w:val="single"/>
        </w:rPr>
        <w:t xml:space="preserve">   13951437871         </w:t>
      </w:r>
      <w:r/>
    </w:p>
    <w:p>
      <w:pPr>
        <w:ind w:firstLine="420"/>
        <w:spacing w:line="360" w:lineRule="auto"/>
        <w:rPr>
          <w:rFonts w:ascii="宋体" w:hAnsi="宋体" w:cs="宋体"/>
        </w:rPr>
      </w:pPr>
      <w:r/>
      <w:bookmarkStart w:id="84" w:name="_Toc22260"/>
      <w:r/>
      <w:bookmarkStart w:id="85" w:name="_Toc1979"/>
      <w:r>
        <w:rPr>
          <w:rFonts w:hint="eastAsia" w:ascii="宋体" w:hAnsi="宋体" w:cs="宋体"/>
        </w:rPr>
        <w:t xml:space="preserve">2.采购代理机构信息</w:t>
      </w:r>
      <w:bookmarkEnd w:id="84"/>
      <w:r/>
      <w:bookmarkEnd w:id="85"/>
      <w:r/>
      <w:r/>
    </w:p>
    <w:p>
      <w:pPr>
        <w:ind w:firstLine="420"/>
        <w:spacing w:line="360" w:lineRule="auto"/>
        <w:rPr>
          <w:rFonts w:ascii="宋体" w:hAnsi="宋体" w:cs="宋体"/>
          <w:u w:val="single"/>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rPr>
        <w:t xml:space="preserve">扬州华泽工程项目管理咨询有限公司</w:t>
      </w:r>
      <w:r/>
    </w:p>
    <w:p>
      <w:pPr>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高邮市文游中路168-1号</w:t>
      </w:r>
      <w:r/>
    </w:p>
    <w:p>
      <w:pPr>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陆工</w:t>
      </w:r>
      <w:r/>
    </w:p>
    <w:p>
      <w:pPr>
        <w:ind w:firstLine="420"/>
        <w:spacing w:line="360" w:lineRule="auto"/>
        <w:rPr>
          <w:rFonts w:ascii="宋体" w:hAnsi="宋体" w:cs="宋体"/>
          <w:u w:val="single"/>
        </w:rPr>
      </w:pPr>
      <w:r>
        <w:rPr>
          <w:rFonts w:hint="eastAsia" w:ascii="宋体" w:hAnsi="宋体" w:cs="宋体"/>
        </w:rPr>
        <w:t xml:space="preserve">联系电话：</w:t>
      </w:r>
      <w:bookmarkEnd w:id="81"/>
      <w:r>
        <w:rPr>
          <w:rFonts w:hint="eastAsia" w:ascii="宋体" w:hAnsi="宋体" w:cs="宋体"/>
          <w:u w:val="single"/>
        </w:rPr>
        <w:t xml:space="preserve">18012336466</w:t>
      </w:r>
      <w:r/>
    </w:p>
    <w:p>
      <w:pPr>
        <w:spacing w:line="360" w:lineRule="auto"/>
        <w:tabs>
          <w:tab w:val="left" w:pos="266" w:leader="none"/>
        </w:tabs>
        <w:rPr>
          <w:rFonts w:ascii="宋体" w:hAnsi="宋体" w:cs="宋体"/>
          <w:b/>
          <w:bCs/>
        </w:rPr>
        <w:outlineLvl w:val="1"/>
      </w:pPr>
      <w:r/>
      <w:bookmarkStart w:id="86" w:name="_Toc13007"/>
      <w:r>
        <w:rPr>
          <w:rFonts w:hint="eastAsia" w:ascii="宋体" w:hAnsi="宋体" w:cs="宋体"/>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6"/>
      <w:r/>
      <w:bookmarkEnd w:id="82"/>
      <w:r/>
      <w:bookmarkEnd w:id="83"/>
      <w:r/>
      <w:r/>
    </w:p>
    <w:p>
      <w:pPr>
        <w:rPr>
          <w:rFonts w:ascii="宋体" w:hAnsi="宋体" w:cs="宋体"/>
          <w:b/>
          <w:bCs/>
        </w:rPr>
        <w:outlineLvl w:val="1"/>
      </w:pPr>
      <w:r/>
      <w:bookmarkStart w:id="87" w:name="_Toc21065"/>
      <w:r/>
      <w:bookmarkStart w:id="88" w:name="_Toc3447"/>
      <w:r/>
      <w:bookmarkStart w:id="89" w:name="_Toc1256"/>
      <w:r>
        <w:rPr>
          <w:rFonts w:hint="eastAsia" w:ascii="宋体" w:hAnsi="宋体" w:cs="宋体"/>
          <w:b/>
          <w:bCs/>
        </w:rPr>
        <w:t xml:space="preserve">九、其他</w:t>
      </w:r>
      <w:bookmarkEnd w:id="87"/>
      <w:r/>
      <w:bookmarkEnd w:id="88"/>
      <w:r/>
      <w:bookmarkEnd w:id="89"/>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p>
    <w:p>
      <w:pPr>
        <w:ind w:firstLine="420"/>
        <w:spacing w:line="360" w:lineRule="auto"/>
        <w:rPr>
          <w:rFonts w:ascii="宋体" w:hAnsi="宋体" w:cs="宋体"/>
          <w:bCs/>
        </w:rPr>
      </w:pPr>
      <w:r/>
      <w:bookmarkStart w:id="90" w:name="_Toc27330"/>
      <w:r/>
      <w:bookmarkStart w:id="91" w:name="_Toc20470"/>
      <w:r>
        <w:rPr>
          <w:rFonts w:hint="eastAsia" w:ascii="宋体" w:hAnsi="宋体" w:cs="宋体"/>
          <w:bCs/>
        </w:rPr>
        <w:t xml:space="preserve">4.本次招标</w:t>
      </w:r>
      <w:r>
        <w:rPr>
          <w:rFonts w:hint="eastAsia" w:ascii="宋体" w:hAnsi="宋体" w:cs="宋体"/>
          <w:b/>
        </w:rPr>
        <w:t xml:space="preserve">不收取</w:t>
      </w:r>
      <w:r>
        <w:rPr>
          <w:rFonts w:hint="eastAsia" w:ascii="宋体" w:hAnsi="宋体" w:cs="宋体"/>
          <w:bCs/>
        </w:rPr>
        <w:t xml:space="preserve">投标保证金。</w:t>
      </w:r>
      <w:bookmarkEnd w:id="90"/>
      <w:r/>
      <w:bookmarkEnd w:id="91"/>
      <w:r/>
      <w:r/>
    </w:p>
    <w:p>
      <w:pPr>
        <w:ind w:firstLine="420"/>
        <w:spacing w:line="360" w:lineRule="auto"/>
        <w:rPr>
          <w:rFonts w:ascii="宋体" w:hAnsi="宋体" w:cs="宋体"/>
          <w:bCs/>
        </w:rPr>
      </w:pPr>
      <w:r>
        <w:rPr>
          <w:rFonts w:hint="eastAsia" w:ascii="宋体" w:hAnsi="宋体" w:cs="宋体"/>
          <w:bCs/>
        </w:rPr>
        <w:t xml:space="preserve">5.有关本次招标的事项若存在变动或修改，敬请及时关注 “扬州市政府采购网”、“江苏省政府采购网”发布的信息。</w:t>
      </w:r>
      <w:r/>
    </w:p>
    <w:p>
      <w:pPr>
        <w:ind w:firstLine="420"/>
        <w:spacing w:line="360" w:lineRule="auto"/>
        <w:rPr>
          <w:rFonts w:ascii="宋体" w:hAnsi="宋体" w:cs="宋体"/>
          <w:bCs/>
        </w:rPr>
      </w:pPr>
      <w:r>
        <w:rPr>
          <w:rFonts w:hint="eastAsia" w:ascii="宋体" w:hAnsi="宋体" w:cs="宋体"/>
          <w:bCs/>
        </w:rPr>
        <w:t xml:space="preserve">6. 落实好政府采购履约资金扶持政策。中标/成交供应商可凭政府采购合同办理融资贷款，详见江苏政府采购网</w:t>
      </w:r>
      <w:r>
        <w:rPr>
          <w:rFonts w:ascii="宋体" w:hAnsi="宋体" w:cs="宋体"/>
          <w:bCs/>
        </w:rPr>
        <w:t xml:space="preserve">“</w:t>
      </w:r>
      <w:r>
        <w:rPr>
          <w:rFonts w:hint="eastAsia" w:ascii="宋体" w:hAnsi="宋体" w:cs="宋体"/>
          <w:bCs/>
        </w:rPr>
        <w:t xml:space="preserve">政采贷</w:t>
      </w:r>
      <w:r>
        <w:rPr>
          <w:rFonts w:ascii="宋体" w:hAnsi="宋体" w:cs="宋体"/>
          <w:bCs/>
        </w:rPr>
        <w:t xml:space="preserve">”</w:t>
      </w:r>
      <w:r>
        <w:rPr>
          <w:rFonts w:hint="eastAsia" w:ascii="宋体" w:hAnsi="宋体" w:cs="宋体"/>
          <w:bCs/>
        </w:rPr>
        <w:t xml:space="preserve">专栏。”</w:t>
      </w:r>
      <w:r/>
    </w:p>
    <w:p>
      <w:pPr>
        <w:ind w:firstLine="420"/>
        <w:spacing w:line="360" w:lineRule="auto"/>
        <w:rPr>
          <w:rFonts w:ascii="宋体" w:hAnsi="宋体" w:cs="宋体"/>
          <w:bCs/>
        </w:rPr>
      </w:pPr>
      <w:r/>
      <w:bookmarkStart w:id="92" w:name="_Toc3607"/>
      <w:r/>
      <w:bookmarkStart w:id="93" w:name="_Toc383"/>
      <w:r>
        <w:rPr>
          <w:rFonts w:hint="eastAsia" w:ascii="宋体" w:hAnsi="宋体" w:cs="宋体"/>
          <w:bCs/>
        </w:rPr>
        <w:t xml:space="preserve">7. 严格执行政府采购关于支持</w:t>
      </w:r>
      <w:r>
        <w:rPr>
          <w:rFonts w:hint="eastAsia" w:ascii="宋体" w:hAnsi="宋体" w:cs="宋体"/>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2"/>
      <w:r/>
      <w:bookmarkEnd w:id="93"/>
      <w:r/>
      <w:r/>
    </w:p>
    <w:p>
      <w:pPr>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8.本项目招标文件中所有斜体下划线部分为实质性条款，如不满足，则为无效投标。</w:t>
      </w:r>
      <w:r/>
    </w:p>
    <w:p>
      <w:r/>
      <w:r/>
    </w:p>
    <w:p>
      <w:r/>
      <w:r/>
    </w:p>
    <w:p>
      <w:pPr>
        <w:jc w:val="right"/>
        <w:rPr>
          <w:sz w:val="24"/>
          <w:szCs w:val="24"/>
        </w:rPr>
      </w:pPr>
      <w:r>
        <w:rPr>
          <w:rFonts w:hint="eastAsia"/>
          <w:sz w:val="24"/>
          <w:szCs w:val="24"/>
        </w:rPr>
        <w:t xml:space="preserve">扬州华泽工程项目管理咨询有限公司</w:t>
      </w:r>
      <w:r/>
    </w:p>
    <w:p>
      <w:pPr>
        <w:jc w:val="center"/>
        <w:spacing w:line="360" w:lineRule="auto"/>
        <w:rPr>
          <w:rFonts w:ascii="宋体" w:hAnsi="宋体"/>
          <w:b/>
          <w:bCs/>
          <w:color w:val="000000"/>
          <w:sz w:val="34"/>
          <w:szCs w:val="34"/>
        </w:rPr>
      </w:pPr>
      <w:r>
        <w:rPr>
          <w:rFonts w:hint="eastAsia" w:ascii="宋体" w:hAnsi="宋体" w:cs="宋体"/>
          <w:bCs/>
          <w:sz w:val="24"/>
          <w:szCs w:val="24"/>
        </w:rPr>
        <w:t xml:space="preserve">                                                 </w:t>
      </w:r>
      <w:bookmarkStart w:id="94" w:name="_Toc25974"/>
      <w:r>
        <w:rPr>
          <w:rFonts w:hint="eastAsia" w:ascii="宋体" w:hAnsi="宋体" w:cs="宋体"/>
          <w:bCs/>
          <w:sz w:val="24"/>
          <w:szCs w:val="24"/>
        </w:rPr>
        <w:t xml:space="preserve"> </w:t>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pStyle w:val="845"/>
        <w:rPr>
          <w:rFonts w:hAnsi="宋体"/>
          <w:b/>
          <w:bCs/>
          <w:color w:val="000000"/>
          <w:sz w:val="34"/>
          <w:szCs w:val="34"/>
        </w:rPr>
      </w:pPr>
      <w:r>
        <w:rPr>
          <w:rFonts w:hAnsi="宋体"/>
          <w:b/>
          <w:bCs/>
          <w:color w:val="000000"/>
          <w:sz w:val="34"/>
          <w:szCs w:val="34"/>
        </w:rPr>
      </w:r>
      <w:r/>
    </w:p>
    <w:p>
      <w:pPr>
        <w:pStyle w:val="846"/>
        <w:rPr>
          <w:rFonts w:hAnsi="宋体"/>
          <w:b/>
          <w:bCs/>
          <w:color w:val="000000"/>
          <w:sz w:val="34"/>
          <w:szCs w:val="34"/>
          <w:lang w:eastAsia="zh-CN"/>
        </w:rPr>
      </w:pPr>
      <w:r>
        <w:rPr>
          <w:rFonts w:hAnsi="宋体"/>
          <w:b/>
          <w:bCs/>
          <w:color w:val="000000"/>
          <w:sz w:val="34"/>
          <w:szCs w:val="34"/>
          <w:lang w:eastAsia="zh-CN"/>
        </w:rPr>
      </w:r>
      <w:r/>
    </w:p>
    <w:p>
      <w:pPr>
        <w:pStyle w:val="847"/>
        <w:rPr>
          <w:rFonts w:ascii="宋体"/>
          <w:b/>
          <w:bCs/>
          <w:color w:val="000000"/>
          <w:sz w:val="34"/>
          <w:szCs w:val="34"/>
        </w:rPr>
        <w:outlineLvl w:val="9"/>
      </w:pPr>
      <w:r>
        <w:rPr>
          <w:rFonts w:ascii="宋体"/>
          <w:b/>
          <w:bCs/>
          <w:color w:val="000000"/>
          <w:sz w:val="34"/>
          <w:szCs w:val="34"/>
        </w:rPr>
      </w:r>
      <w:r/>
    </w:p>
    <w:p>
      <w:pPr>
        <w:pStyle w:val="849"/>
        <w:rPr>
          <w:rFonts w:hAnsi="宋体"/>
          <w:b/>
          <w:bCs/>
          <w:color w:val="000000"/>
          <w:sz w:val="34"/>
          <w:szCs w:val="34"/>
        </w:rPr>
      </w:pPr>
      <w:r>
        <w:rPr>
          <w:rFonts w:hAnsi="宋体"/>
          <w:b/>
          <w:bCs/>
          <w:color w:val="000000"/>
          <w:sz w:val="34"/>
          <w:szCs w:val="34"/>
        </w:rPr>
      </w:r>
      <w:r/>
    </w:p>
    <w:p>
      <w:r/>
      <w:r/>
    </w:p>
    <w:p>
      <w:pPr>
        <w:rPr>
          <w:rFonts w:ascii="宋体" w:hAnsi="宋体"/>
          <w:b/>
          <w:sz w:val="32"/>
          <w:szCs w:val="32"/>
        </w:rPr>
        <w:outlineLvl w:val="0"/>
      </w:pPr>
      <w:r/>
      <w:bookmarkStart w:id="95" w:name="_Toc31083"/>
      <w:r/>
      <w:r/>
    </w:p>
    <w:p>
      <w:pPr>
        <w:numPr>
          <w:ilvl w:val="0"/>
          <w:numId w:val="1"/>
        </w:numPr>
        <w:jc w:val="center"/>
        <w:rPr>
          <w:rFonts w:ascii="宋体" w:hAnsi="宋体"/>
          <w:b/>
          <w:sz w:val="32"/>
          <w:szCs w:val="32"/>
        </w:rPr>
        <w:outlineLvl w:val="0"/>
      </w:pPr>
      <w:r>
        <w:rPr>
          <w:rFonts w:hint="eastAsia" w:ascii="宋体" w:hAnsi="宋体"/>
          <w:b/>
          <w:sz w:val="32"/>
          <w:szCs w:val="32"/>
        </w:rPr>
        <w:t xml:space="preserve"> </w:t>
      </w:r>
      <w:bookmarkStart w:id="96" w:name="_Toc27660"/>
      <w:r>
        <w:rPr>
          <w:rFonts w:hint="eastAsia" w:ascii="宋体" w:hAnsi="宋体"/>
          <w:b/>
          <w:sz w:val="32"/>
          <w:szCs w:val="32"/>
        </w:rPr>
        <w:t xml:space="preserve">投标人须知</w:t>
      </w:r>
      <w:bookmarkEnd w:id="96"/>
      <w:r/>
      <w:r/>
    </w:p>
    <w:p>
      <w:pPr>
        <w:ind w:firstLine="422"/>
        <w:spacing w:line="440" w:lineRule="exact"/>
        <w:rPr>
          <w:rFonts w:ascii="宋体" w:hAnsi="宋体"/>
          <w:b/>
          <w:szCs w:val="21"/>
        </w:rPr>
        <w:outlineLvl w:val="1"/>
      </w:pPr>
      <w:r/>
      <w:bookmarkStart w:id="97" w:name="_Toc4192"/>
      <w:r>
        <w:rPr>
          <w:rFonts w:hint="eastAsia" w:ascii="宋体" w:hAnsi="宋体"/>
          <w:b/>
          <w:szCs w:val="21"/>
        </w:rPr>
        <w:t xml:space="preserve">1、招标方式</w:t>
      </w:r>
      <w:bookmarkEnd w:id="94"/>
      <w:r/>
      <w:bookmarkEnd w:id="95"/>
      <w:r/>
      <w:bookmarkEnd w:id="97"/>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JSZC-321084-YZHZ-G2024-0012</w:t>
      </w:r>
      <w:r>
        <w:rPr>
          <w:rFonts w:hint="eastAsia" w:ascii="宋体" w:hAnsi="宋体"/>
          <w:bCs/>
          <w:szCs w:val="21"/>
        </w:rPr>
        <w:t xml:space="preserve">项目。</w:t>
      </w:r>
      <w:r/>
    </w:p>
    <w:p>
      <w:pPr>
        <w:ind w:firstLine="422"/>
        <w:spacing w:line="440" w:lineRule="exact"/>
        <w:rPr>
          <w:rFonts w:ascii="宋体" w:hAnsi="宋体"/>
          <w:b/>
          <w:szCs w:val="21"/>
        </w:rPr>
        <w:outlineLvl w:val="1"/>
      </w:pPr>
      <w:r/>
      <w:bookmarkStart w:id="98" w:name="_Toc32763"/>
      <w:r/>
      <w:bookmarkStart w:id="99" w:name="_Toc32201"/>
      <w:r/>
      <w:bookmarkStart w:id="100" w:name="_Toc25258"/>
      <w:r>
        <w:rPr>
          <w:rFonts w:hint="eastAsia" w:ascii="宋体" w:hAnsi="宋体"/>
          <w:b/>
          <w:szCs w:val="21"/>
        </w:rPr>
        <w:t xml:space="preserve">2、投标人</w:t>
      </w:r>
      <w:bookmarkEnd w:id="98"/>
      <w:r/>
      <w:bookmarkEnd w:id="99"/>
      <w:r/>
      <w:bookmarkEnd w:id="100"/>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pPr>
      <w:r>
        <w:rPr>
          <w:rFonts w:hint="eastAsia" w:ascii="宋体" w:hAnsi="宋体"/>
          <w:bCs/>
          <w:szCs w:val="21"/>
        </w:rPr>
        <w:t xml:space="preserve">2.2.2 满足本文件实质性条款的规定。</w:t>
      </w:r>
      <w:r/>
    </w:p>
    <w:p>
      <w:pPr>
        <w:ind w:firstLine="422"/>
        <w:spacing w:line="360" w:lineRule="auto"/>
        <w:rPr>
          <w:rFonts w:ascii="宋体" w:hAnsi="宋体"/>
          <w:b/>
          <w:szCs w:val="21"/>
        </w:rPr>
        <w:outlineLvl w:val="1"/>
      </w:pPr>
      <w:r/>
      <w:bookmarkStart w:id="101" w:name="_Toc7771"/>
      <w:r/>
      <w:bookmarkStart w:id="102" w:name="_Toc18196"/>
      <w:r/>
      <w:bookmarkStart w:id="103" w:name="_Toc25510"/>
      <w:r>
        <w:rPr>
          <w:rFonts w:hint="eastAsia" w:ascii="宋体" w:hAnsi="宋体"/>
          <w:b/>
          <w:szCs w:val="21"/>
        </w:rPr>
        <w:t xml:space="preserve">3、适用法律</w:t>
      </w:r>
      <w:bookmarkEnd w:id="101"/>
      <w:r/>
      <w:bookmarkEnd w:id="102"/>
      <w:r/>
      <w:bookmarkEnd w:id="103"/>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outlineLvl w:val="1"/>
      </w:pPr>
      <w:r/>
      <w:bookmarkStart w:id="104" w:name="_Toc27897"/>
      <w:r/>
      <w:bookmarkStart w:id="105" w:name="_Toc12086"/>
      <w:r/>
      <w:bookmarkStart w:id="106" w:name="_Toc7547"/>
      <w:r>
        <w:rPr>
          <w:rFonts w:hint="eastAsia" w:ascii="宋体" w:hAnsi="宋体"/>
          <w:b/>
          <w:szCs w:val="21"/>
        </w:rPr>
        <w:t xml:space="preserve">4、投标费用</w:t>
      </w:r>
      <w:bookmarkEnd w:id="104"/>
      <w:r/>
      <w:bookmarkEnd w:id="105"/>
      <w:r/>
      <w:bookmarkEnd w:id="106"/>
      <w:r/>
      <w:r/>
    </w:p>
    <w:p>
      <w:pPr>
        <w:ind w:firstLine="420"/>
        <w:spacing w:line="360" w:lineRule="auto"/>
      </w:pPr>
      <w:r>
        <w:t xml:space="preserve">4.1 投标人应自行承担所有与参加投标有关的费用，无论投标过程中的做法和结果如何，代理机构在任何情况下均无义务和责任承担这些费用。 </w:t>
      </w:r>
      <w:r/>
    </w:p>
    <w:p>
      <w:pPr>
        <w:ind w:firstLine="420"/>
        <w:spacing w:line="360" w:lineRule="auto"/>
      </w:pPr>
      <w:r>
        <w:t xml:space="preserve">4.</w:t>
      </w:r>
      <w:r>
        <w:rPr>
          <w:rFonts w:hint="eastAsia"/>
        </w:rPr>
        <w:t xml:space="preserve">2本次采购招标代理费由中标人支付；招标代理费按照国家计委印发的《招标代理服务收费管理暂行办法》(计价格【2002】1980 号文)（货物类）的标准计取。</w:t>
      </w:r>
      <w:r/>
    </w:p>
    <w:p>
      <w:pPr>
        <w:ind w:firstLine="420"/>
        <w:spacing w:line="360" w:lineRule="auto"/>
      </w:pPr>
      <w:r>
        <w:t xml:space="preserve">（1）代理服务费以人民币支付； </w:t>
      </w:r>
      <w:r/>
    </w:p>
    <w:p>
      <w:pPr>
        <w:ind w:firstLine="420"/>
        <w:spacing w:line="360" w:lineRule="auto"/>
      </w:pPr>
      <w:r>
        <w:t xml:space="preserve">（2）代理服务费一次性以电汇、转账等非现金形式支付； </w:t>
      </w:r>
      <w:r/>
    </w:p>
    <w:p>
      <w:pPr>
        <w:ind w:firstLine="420"/>
        <w:spacing w:line="360" w:lineRule="auto"/>
      </w:pPr>
      <w:r>
        <w:t xml:space="preserve">（3）招标代理服务费不在投标报价中单列，包含在投标总价中，由中标单位支付给代理机构。 </w:t>
      </w:r>
      <w:r/>
    </w:p>
    <w:p>
      <w:pPr>
        <w:ind w:left="13" w:right="2" w:firstLine="475"/>
        <w:spacing w:line="360" w:lineRule="auto"/>
        <w:rPr>
          <w:rFonts w:ascii="宋体" w:hAnsi="宋体" w:cs="宋体"/>
          <w:sz w:val="23"/>
          <w:szCs w:val="23"/>
        </w:rPr>
      </w:pPr>
      <w:r>
        <w:t xml:space="preserve">4.</w:t>
      </w:r>
      <w:r>
        <w:rPr>
          <w:rFonts w:hint="eastAsia"/>
        </w:rPr>
        <w:t xml:space="preserve">3</w:t>
      </w:r>
      <w:r>
        <w:t xml:space="preserve">本次招标专家评审费由</w:t>
      </w:r>
      <w:r>
        <w:rPr>
          <w:rFonts w:hint="eastAsia"/>
        </w:rPr>
        <w:t xml:space="preserve">中标</w:t>
      </w:r>
      <w:r>
        <w:t xml:space="preserve">人支付。按邮财购【2020】287 号文《关于进一步规范高邮市政府采购专家评审费标准的通知》执行。</w:t>
      </w:r>
      <w:r/>
    </w:p>
    <w:p>
      <w:pPr>
        <w:ind w:firstLine="422"/>
        <w:spacing w:line="360" w:lineRule="auto"/>
        <w:rPr>
          <w:rFonts w:ascii="宋体" w:hAnsi="宋体"/>
          <w:b/>
          <w:szCs w:val="21"/>
        </w:rPr>
        <w:outlineLvl w:val="1"/>
      </w:pPr>
      <w:r/>
      <w:bookmarkStart w:id="107" w:name="_Toc4840"/>
      <w:r/>
      <w:bookmarkStart w:id="108" w:name="_Toc4843"/>
      <w:r/>
      <w:bookmarkStart w:id="109" w:name="_Toc25928"/>
      <w:r>
        <w:rPr>
          <w:rFonts w:hint="eastAsia" w:ascii="宋体" w:hAnsi="宋体"/>
          <w:b/>
          <w:szCs w:val="21"/>
        </w:rPr>
        <w:t xml:space="preserve">5、招标文件的约束力</w:t>
      </w:r>
      <w:bookmarkEnd w:id="107"/>
      <w:r/>
      <w:bookmarkEnd w:id="108"/>
      <w:r/>
      <w:bookmarkEnd w:id="109"/>
      <w:r/>
      <w:r/>
    </w:p>
    <w:p>
      <w:pPr>
        <w:ind w:firstLine="422"/>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outlineLvl w:val="1"/>
      </w:pPr>
      <w:r/>
      <w:bookmarkStart w:id="110" w:name="_Toc18248"/>
      <w:r/>
      <w:bookmarkStart w:id="111" w:name="_Toc16077"/>
      <w:r/>
      <w:bookmarkStart w:id="112" w:name="_Toc32433"/>
      <w:r>
        <w:rPr>
          <w:rFonts w:hint="eastAsia" w:ascii="宋体" w:hAnsi="宋体"/>
          <w:b/>
          <w:szCs w:val="21"/>
        </w:rPr>
        <w:t xml:space="preserve">6、招标文件构成</w:t>
      </w:r>
      <w:bookmarkEnd w:id="110"/>
      <w:r/>
      <w:bookmarkEnd w:id="111"/>
      <w:r/>
      <w:bookmarkEnd w:id="112"/>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outlineLvl w:val="1"/>
      </w:pPr>
      <w:r/>
      <w:bookmarkStart w:id="113" w:name="_Toc30611"/>
      <w:r/>
      <w:bookmarkStart w:id="114" w:name="_Toc6722"/>
      <w:r/>
      <w:bookmarkStart w:id="115" w:name="_Toc30023"/>
      <w:r>
        <w:rPr>
          <w:rFonts w:hint="eastAsia" w:ascii="宋体" w:hAnsi="宋体"/>
          <w:b/>
          <w:szCs w:val="21"/>
        </w:rPr>
        <w:t xml:space="preserve">7、招标文件的澄清</w:t>
      </w:r>
      <w:bookmarkEnd w:id="113"/>
      <w:r/>
      <w:bookmarkEnd w:id="114"/>
      <w:r/>
      <w:bookmarkEnd w:id="115"/>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w:t>
      </w:r>
      <w:r>
        <w:rPr>
          <w:rFonts w:hint="eastAsia" w:ascii="宋体" w:hAnsi="宋体"/>
          <w:b/>
          <w:bCs/>
          <w:i/>
          <w:szCs w:val="21"/>
        </w:rPr>
        <w:t xml:space="preserve">十日前</w:t>
      </w:r>
      <w:r>
        <w:rPr>
          <w:rFonts w:hint="eastAsia" w:ascii="宋体" w:hAnsi="宋体"/>
          <w:bCs/>
          <w:szCs w:val="21"/>
        </w:rPr>
        <w:t xml:space="preserve">按招标公告中的通讯地址，以书面形式通知代理机构。</w:t>
      </w:r>
      <w:r/>
    </w:p>
    <w:p>
      <w:pPr>
        <w:ind w:firstLine="422"/>
        <w:spacing w:line="360" w:lineRule="auto"/>
        <w:rPr>
          <w:rFonts w:ascii="宋体" w:hAnsi="宋体"/>
          <w:b/>
          <w:szCs w:val="21"/>
        </w:rPr>
        <w:outlineLvl w:val="1"/>
      </w:pPr>
      <w:r/>
      <w:bookmarkStart w:id="116" w:name="_Toc5041"/>
      <w:r/>
      <w:bookmarkStart w:id="117" w:name="_Toc1752"/>
      <w:r/>
      <w:bookmarkStart w:id="118" w:name="_Toc11169"/>
      <w:r>
        <w:rPr>
          <w:rFonts w:hint="eastAsia" w:ascii="宋体" w:hAnsi="宋体"/>
          <w:b/>
          <w:szCs w:val="21"/>
        </w:rPr>
        <w:t xml:space="preserve">8、招标文件的修改</w:t>
      </w:r>
      <w:bookmarkEnd w:id="116"/>
      <w:r/>
      <w:bookmarkEnd w:id="117"/>
      <w:r/>
      <w:bookmarkEnd w:id="118"/>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szCs w:val="21"/>
        </w:rPr>
        <w:outlineLvl w:val="1"/>
      </w:pPr>
      <w:r/>
      <w:bookmarkStart w:id="119" w:name="_Toc24377"/>
      <w:r/>
      <w:bookmarkStart w:id="120" w:name="_Toc8816"/>
      <w:r/>
      <w:bookmarkStart w:id="121" w:name="_Toc14587"/>
      <w:r>
        <w:rPr>
          <w:rFonts w:hint="eastAsia" w:ascii="宋体" w:hAnsi="宋体"/>
          <w:b/>
          <w:szCs w:val="21"/>
        </w:rPr>
        <w:t xml:space="preserve">9、投标文件的语言、度量衡单位、货币</w:t>
      </w:r>
      <w:bookmarkEnd w:id="119"/>
      <w:r/>
      <w:bookmarkEnd w:id="120"/>
      <w:r/>
      <w:bookmarkEnd w:id="121"/>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rPr>
          <w:rFonts w:hint="eastAsia" w:ascii="宋体" w:hAnsi="宋体"/>
        </w:rPr>
        <w:t xml:space="preserve">招标文件中另有规定的按规定执行。</w:t>
      </w:r>
      <w:r/>
    </w:p>
    <w:p>
      <w:pPr>
        <w:ind w:firstLine="422"/>
        <w:spacing w:line="360" w:lineRule="auto"/>
        <w:rPr>
          <w:rFonts w:ascii="宋体" w:hAnsi="宋体"/>
          <w:b/>
          <w:szCs w:val="21"/>
        </w:rPr>
        <w:outlineLvl w:val="1"/>
      </w:pPr>
      <w:r/>
      <w:bookmarkStart w:id="122" w:name="_Toc20377"/>
      <w:r/>
      <w:bookmarkStart w:id="123" w:name="_Toc30688"/>
      <w:r/>
      <w:bookmarkStart w:id="124" w:name="_Toc13663"/>
      <w:r>
        <w:rPr>
          <w:rFonts w:hint="eastAsia" w:ascii="宋体" w:hAnsi="宋体"/>
          <w:b/>
          <w:szCs w:val="21"/>
        </w:rPr>
        <w:t xml:space="preserve">10、投标文件构成</w:t>
      </w:r>
      <w:bookmarkEnd w:id="122"/>
      <w:r/>
      <w:bookmarkEnd w:id="123"/>
      <w:r/>
      <w:bookmarkEnd w:id="124"/>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outlineLvl w:val="1"/>
      </w:pPr>
      <w:r/>
      <w:bookmarkStart w:id="125" w:name="_Toc22047"/>
      <w:r/>
      <w:bookmarkStart w:id="126" w:name="_Toc12252"/>
      <w:r/>
      <w:bookmarkStart w:id="127" w:name="_Toc29605"/>
      <w:r>
        <w:rPr>
          <w:rFonts w:hint="eastAsia" w:ascii="宋体" w:hAnsi="宋体"/>
          <w:b/>
          <w:szCs w:val="21"/>
        </w:rPr>
        <w:t xml:space="preserve">11、证明投标人资格及符合招标文件规定的文件</w:t>
      </w:r>
      <w:bookmarkEnd w:id="125"/>
      <w:r/>
      <w:bookmarkEnd w:id="126"/>
      <w:r/>
      <w:bookmarkEnd w:id="127"/>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outlineLvl w:val="1"/>
      </w:pPr>
      <w:r/>
      <w:bookmarkStart w:id="128" w:name="_Toc12043"/>
      <w:r/>
      <w:bookmarkStart w:id="129" w:name="_Toc20234"/>
      <w:r/>
      <w:bookmarkStart w:id="130" w:name="_Toc5147"/>
      <w:r>
        <w:rPr>
          <w:rFonts w:hint="eastAsia" w:ascii="宋体" w:hAnsi="宋体"/>
          <w:b/>
          <w:szCs w:val="21"/>
        </w:rPr>
        <w:t xml:space="preserve">12、</w:t>
      </w:r>
      <w:r>
        <w:rPr>
          <w:rFonts w:hint="eastAsia"/>
          <w:b/>
          <w:bCs/>
        </w:rPr>
        <w:t xml:space="preserve">分项报价表</w:t>
      </w:r>
      <w:bookmarkEnd w:id="128"/>
      <w:r/>
      <w:bookmarkEnd w:id="129"/>
      <w:r/>
      <w:bookmarkEnd w:id="130"/>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outlineLvl w:val="1"/>
      </w:pPr>
      <w:r/>
      <w:bookmarkStart w:id="131" w:name="_Toc17533"/>
      <w:r/>
      <w:bookmarkStart w:id="132" w:name="_Toc18416"/>
      <w:r/>
      <w:bookmarkStart w:id="133" w:name="_Toc17453"/>
      <w:r>
        <w:rPr>
          <w:rFonts w:hint="eastAsia" w:ascii="宋体" w:hAnsi="宋体"/>
          <w:b/>
          <w:szCs w:val="21"/>
        </w:rPr>
        <w:t xml:space="preserve">13、技术参数响应及偏离表、商务条款响应及偏离表及投标货物说明</w:t>
      </w:r>
      <w:bookmarkEnd w:id="131"/>
      <w:r/>
      <w:bookmarkEnd w:id="132"/>
      <w:r/>
      <w:bookmarkEnd w:id="133"/>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outlineLvl w:val="1"/>
      </w:pPr>
      <w:r/>
      <w:bookmarkStart w:id="134" w:name="_Toc12914"/>
      <w:r/>
      <w:bookmarkStart w:id="135" w:name="_Toc5746"/>
      <w:r/>
      <w:bookmarkStart w:id="136" w:name="_Toc21943"/>
      <w:r>
        <w:rPr>
          <w:rFonts w:hint="eastAsia" w:ascii="宋体" w:hAnsi="宋体"/>
          <w:b/>
          <w:szCs w:val="21"/>
        </w:rPr>
        <w:t xml:space="preserve">14、服务承诺及售后服务机构、人员的情况介绍</w:t>
      </w:r>
      <w:bookmarkEnd w:id="134"/>
      <w:r/>
      <w:bookmarkEnd w:id="135"/>
      <w:r/>
      <w:bookmarkEnd w:id="136"/>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outlineLvl w:val="1"/>
      </w:pPr>
      <w:r/>
      <w:bookmarkStart w:id="137" w:name="_Toc21324"/>
      <w:r/>
      <w:bookmarkStart w:id="138" w:name="_Toc28899"/>
      <w:r/>
      <w:bookmarkStart w:id="139" w:name="_Toc12286"/>
      <w:r>
        <w:rPr>
          <w:rFonts w:hint="eastAsia" w:ascii="宋体" w:hAnsi="宋体"/>
          <w:b/>
          <w:szCs w:val="21"/>
        </w:rPr>
        <w:t xml:space="preserve">15、投标函和开标一览表</w:t>
      </w:r>
      <w:bookmarkEnd w:id="137"/>
      <w:r/>
      <w:bookmarkEnd w:id="138"/>
      <w:r/>
      <w:bookmarkEnd w:id="139"/>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outlineLvl w:val="1"/>
      </w:pPr>
      <w:r/>
      <w:bookmarkStart w:id="140" w:name="_Toc15779"/>
      <w:r/>
      <w:bookmarkStart w:id="141" w:name="_Toc8980"/>
      <w:r/>
      <w:bookmarkStart w:id="142" w:name="_Toc530"/>
      <w:r>
        <w:rPr>
          <w:rFonts w:hint="eastAsia" w:ascii="宋体" w:hAnsi="宋体"/>
          <w:b/>
          <w:szCs w:val="21"/>
        </w:rPr>
        <w:t xml:space="preserve">16、投标有效期</w:t>
      </w:r>
      <w:bookmarkEnd w:id="140"/>
      <w:r/>
      <w:bookmarkEnd w:id="141"/>
      <w:r/>
      <w:bookmarkEnd w:id="142"/>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outlineLvl w:val="1"/>
      </w:pPr>
      <w:r/>
      <w:bookmarkStart w:id="143" w:name="_Toc513029225"/>
      <w:r/>
      <w:bookmarkStart w:id="144" w:name="_Toc462564084"/>
      <w:r/>
      <w:bookmarkStart w:id="145" w:name="_Toc16938541"/>
      <w:r/>
      <w:bookmarkStart w:id="146" w:name="_Toc20823297"/>
      <w:r/>
      <w:bookmarkStart w:id="147" w:name="_Toc10310"/>
      <w:r/>
      <w:bookmarkStart w:id="148" w:name="_Toc28839"/>
      <w:r/>
      <w:bookmarkStart w:id="149" w:name="_Toc26078"/>
      <w:r>
        <w:rPr>
          <w:rFonts w:hint="eastAsia" w:ascii="宋体" w:hAnsi="宋体"/>
          <w:b/>
          <w:szCs w:val="21"/>
        </w:rPr>
        <w:t xml:space="preserve">17、投标文件</w:t>
      </w:r>
      <w:bookmarkEnd w:id="143"/>
      <w:r/>
      <w:bookmarkEnd w:id="144"/>
      <w:r/>
      <w:bookmarkEnd w:id="145"/>
      <w:r/>
      <w:bookmarkEnd w:id="146"/>
      <w:r>
        <w:rPr>
          <w:rFonts w:hint="eastAsia" w:ascii="宋体" w:hAnsi="宋体"/>
          <w:b/>
          <w:szCs w:val="21"/>
        </w:rPr>
        <w:t xml:space="preserve">的递交</w:t>
      </w:r>
      <w:bookmarkEnd w:id="147"/>
      <w:r/>
      <w:bookmarkEnd w:id="148"/>
      <w:r/>
      <w:bookmarkEnd w:id="149"/>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150" w:name="_Toc20823298"/>
      <w:r/>
      <w:bookmarkStart w:id="151" w:name="_Toc513029226"/>
      <w:r/>
      <w:bookmarkStart w:id="152"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
          <w:szCs w:val="21"/>
        </w:rPr>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outlineLvl w:val="1"/>
      </w:pPr>
      <w:r/>
      <w:bookmarkStart w:id="153" w:name="_Toc18897"/>
      <w:r/>
      <w:bookmarkStart w:id="154" w:name="_Toc12951"/>
      <w:r/>
      <w:bookmarkStart w:id="155" w:name="_Toc5485"/>
      <w:r>
        <w:rPr>
          <w:rFonts w:hint="eastAsia" w:ascii="宋体" w:hAnsi="宋体"/>
          <w:b/>
          <w:szCs w:val="21"/>
        </w:rPr>
        <w:t xml:space="preserve">18、投标截止日期</w:t>
      </w:r>
      <w:bookmarkEnd w:id="150"/>
      <w:r/>
      <w:bookmarkEnd w:id="151"/>
      <w:r/>
      <w:bookmarkEnd w:id="152"/>
      <w:r/>
      <w:bookmarkEnd w:id="153"/>
      <w:r/>
      <w:bookmarkEnd w:id="154"/>
      <w:r/>
      <w:bookmarkEnd w:id="155"/>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outlineLvl w:val="1"/>
      </w:pPr>
      <w:r/>
      <w:bookmarkStart w:id="156" w:name="_Toc513029227"/>
      <w:r/>
      <w:bookmarkStart w:id="157" w:name="_Toc20823299"/>
      <w:r/>
      <w:bookmarkStart w:id="158" w:name="_Toc16938543"/>
      <w:r/>
      <w:bookmarkStart w:id="159" w:name="_Toc22437"/>
      <w:r/>
      <w:bookmarkStart w:id="160" w:name="_Toc8043"/>
      <w:r/>
      <w:bookmarkStart w:id="161" w:name="_Toc4302"/>
      <w:r>
        <w:rPr>
          <w:rFonts w:hint="eastAsia" w:ascii="宋体" w:hAnsi="宋体"/>
          <w:b/>
          <w:szCs w:val="21"/>
        </w:rPr>
        <w:t xml:space="preserve">19、投标文件</w:t>
      </w:r>
      <w:bookmarkEnd w:id="156"/>
      <w:r/>
      <w:bookmarkEnd w:id="157"/>
      <w:r/>
      <w:bookmarkEnd w:id="158"/>
      <w:r>
        <w:rPr>
          <w:rFonts w:hint="eastAsia" w:ascii="宋体" w:hAnsi="宋体"/>
          <w:b/>
          <w:szCs w:val="21"/>
        </w:rPr>
        <w:t xml:space="preserve">的拒收</w:t>
      </w:r>
      <w:bookmarkEnd w:id="159"/>
      <w:r/>
      <w:bookmarkEnd w:id="160"/>
      <w:r/>
      <w:bookmarkEnd w:id="161"/>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outlineLvl w:val="1"/>
      </w:pPr>
      <w:r/>
      <w:bookmarkStart w:id="162" w:name="_Toc13895"/>
      <w:r/>
      <w:bookmarkStart w:id="163" w:name="_Toc27392"/>
      <w:r/>
      <w:bookmarkStart w:id="164" w:name="_Toc513029228"/>
      <w:r/>
      <w:bookmarkStart w:id="165" w:name="_Toc16938544"/>
      <w:r/>
      <w:bookmarkStart w:id="166" w:name="_Toc20823300"/>
      <w:r/>
      <w:bookmarkStart w:id="167" w:name="_Toc2577"/>
      <w:r>
        <w:rPr>
          <w:rFonts w:hint="eastAsia" w:ascii="宋体" w:hAnsi="宋体"/>
          <w:b/>
          <w:szCs w:val="21"/>
        </w:rPr>
        <w:t xml:space="preserve">20、投标文件的撤回和修改</w:t>
      </w:r>
      <w:bookmarkEnd w:id="162"/>
      <w:r/>
      <w:bookmarkEnd w:id="163"/>
      <w:r/>
      <w:bookmarkEnd w:id="164"/>
      <w:r/>
      <w:bookmarkEnd w:id="165"/>
      <w:r/>
      <w:bookmarkEnd w:id="166"/>
      <w:r/>
      <w:bookmarkEnd w:id="167"/>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outlineLvl w:val="1"/>
      </w:pPr>
      <w:r/>
      <w:bookmarkStart w:id="168" w:name="_Toc1094"/>
      <w:r/>
      <w:bookmarkStart w:id="169" w:name="_Toc6046"/>
      <w:r/>
      <w:bookmarkStart w:id="170" w:name="_Toc6937"/>
      <w:r>
        <w:rPr>
          <w:rFonts w:hint="eastAsia" w:ascii="宋体" w:hAnsi="宋体"/>
          <w:b/>
          <w:szCs w:val="21"/>
        </w:rPr>
        <w:t xml:space="preserve">21、开标</w:t>
      </w:r>
      <w:bookmarkEnd w:id="168"/>
      <w:r/>
      <w:bookmarkEnd w:id="169"/>
      <w:r/>
      <w:bookmarkEnd w:id="170"/>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outlineLvl w:val="1"/>
      </w:pPr>
      <w:r/>
      <w:bookmarkStart w:id="171" w:name="_Toc9134"/>
      <w:r/>
      <w:bookmarkStart w:id="172" w:name="_Toc12714"/>
      <w:r/>
      <w:bookmarkStart w:id="173" w:name="_Toc2052"/>
      <w:r>
        <w:rPr>
          <w:rFonts w:hint="eastAsia" w:ascii="宋体" w:hAnsi="宋体"/>
          <w:b/>
          <w:szCs w:val="21"/>
        </w:rPr>
        <w:t xml:space="preserve">22、评标委员会</w:t>
      </w:r>
      <w:bookmarkEnd w:id="171"/>
      <w:r/>
      <w:bookmarkEnd w:id="172"/>
      <w:r/>
      <w:bookmarkEnd w:id="173"/>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outlineLvl w:val="1"/>
      </w:pPr>
      <w:r/>
      <w:bookmarkStart w:id="174" w:name="_Toc132"/>
      <w:r/>
      <w:bookmarkStart w:id="175" w:name="_Toc9252"/>
      <w:r/>
      <w:bookmarkStart w:id="176" w:name="_Toc9981"/>
      <w:r>
        <w:rPr>
          <w:rFonts w:hint="eastAsia" w:ascii="宋体" w:hAnsi="宋体"/>
          <w:b/>
          <w:szCs w:val="21"/>
        </w:rPr>
        <w:t xml:space="preserve">23、评标过程的保密与公正</w:t>
      </w:r>
      <w:bookmarkEnd w:id="174"/>
      <w:r/>
      <w:bookmarkEnd w:id="175"/>
      <w:r/>
      <w:bookmarkEnd w:id="176"/>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outlineLvl w:val="1"/>
      </w:pPr>
      <w:r/>
      <w:bookmarkStart w:id="177" w:name="_Toc12612"/>
      <w:r/>
      <w:bookmarkStart w:id="178" w:name="_Toc691"/>
      <w:r/>
      <w:bookmarkStart w:id="179" w:name="_Toc12474"/>
      <w:r>
        <w:rPr>
          <w:rFonts w:hint="eastAsia" w:ascii="宋体" w:hAnsi="宋体"/>
          <w:b/>
          <w:szCs w:val="21"/>
        </w:rPr>
        <w:t xml:space="preserve">24、投标的澄清</w:t>
      </w:r>
      <w:bookmarkEnd w:id="177"/>
      <w:r/>
      <w:bookmarkEnd w:id="178"/>
      <w:r/>
      <w:bookmarkEnd w:id="179"/>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outlineLvl w:val="1"/>
      </w:pPr>
      <w:r/>
      <w:bookmarkStart w:id="180" w:name="_Toc30154"/>
      <w:r/>
      <w:bookmarkStart w:id="181" w:name="_Toc8989"/>
      <w:r/>
      <w:bookmarkStart w:id="182" w:name="_Toc31935"/>
      <w:r>
        <w:rPr>
          <w:rFonts w:hint="eastAsia" w:ascii="宋体" w:hAnsi="宋体"/>
          <w:b/>
          <w:szCs w:val="21"/>
        </w:rPr>
        <w:t xml:space="preserve">25、对投标文件的初审</w:t>
      </w:r>
      <w:bookmarkEnd w:id="180"/>
      <w:r/>
      <w:bookmarkEnd w:id="181"/>
      <w:r/>
      <w:bookmarkEnd w:id="182"/>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outlineLvl w:val="1"/>
      </w:pPr>
      <w:r/>
      <w:bookmarkStart w:id="183" w:name="_Toc30449"/>
      <w:r/>
      <w:bookmarkStart w:id="184" w:name="_Toc29525"/>
      <w:r/>
      <w:bookmarkStart w:id="185" w:name="_Toc27845"/>
      <w:r>
        <w:rPr>
          <w:rFonts w:hint="eastAsia" w:ascii="宋体" w:hAnsi="宋体"/>
          <w:b/>
          <w:szCs w:val="21"/>
        </w:rPr>
        <w:t xml:space="preserve">26、无效投标、废标及投标人不足三家的处理</w:t>
      </w:r>
      <w:bookmarkEnd w:id="183"/>
      <w:r/>
      <w:bookmarkEnd w:id="184"/>
      <w:r/>
      <w:bookmarkEnd w:id="185"/>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outlineLvl w:val="1"/>
      </w:pPr>
      <w:r/>
      <w:bookmarkStart w:id="186" w:name="_Toc31180"/>
      <w:r/>
      <w:bookmarkStart w:id="187" w:name="_Toc24621"/>
      <w:r/>
      <w:bookmarkStart w:id="188" w:name="_Toc8804"/>
      <w:r>
        <w:rPr>
          <w:rFonts w:hint="eastAsia" w:ascii="宋体" w:hAnsi="宋体"/>
          <w:b/>
          <w:szCs w:val="21"/>
        </w:rPr>
        <w:t xml:space="preserve">27、确定中标单位</w:t>
      </w:r>
      <w:bookmarkEnd w:id="186"/>
      <w:r/>
      <w:bookmarkEnd w:id="187"/>
      <w:r/>
      <w:bookmarkEnd w:id="188"/>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outlineLvl w:val="1"/>
      </w:pPr>
      <w:r/>
      <w:bookmarkStart w:id="189" w:name="_Toc1346"/>
      <w:r/>
      <w:bookmarkStart w:id="190" w:name="_Toc20452"/>
      <w:r/>
      <w:bookmarkStart w:id="191" w:name="_Toc2001"/>
      <w:r>
        <w:rPr>
          <w:rFonts w:hint="eastAsia" w:ascii="宋体" w:hAnsi="宋体"/>
          <w:b/>
          <w:szCs w:val="21"/>
        </w:rPr>
        <w:t xml:space="preserve">28、质疑处理</w:t>
      </w:r>
      <w:bookmarkEnd w:id="189"/>
      <w:r/>
      <w:bookmarkEnd w:id="190"/>
      <w:r/>
      <w:bookmarkEnd w:id="191"/>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w:t>
      </w:r>
      <w:bookmarkStart w:id="192" w:name="_Toc23929"/>
      <w:r/>
      <w:bookmarkStart w:id="193" w:name="_Toc32253"/>
      <w:r>
        <w:rPr>
          <w:rFonts w:hint="eastAsia" w:ascii="宋体" w:hAnsi="宋体"/>
          <w:bCs/>
          <w:szCs w:val="21"/>
        </w:rPr>
        <w:t xml:space="preserve">7个工作日内提出。</w:t>
      </w:r>
      <w:bookmarkEnd w:id="192"/>
      <w:r/>
      <w:bookmarkEnd w:id="193"/>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outlineLvl w:val="1"/>
      </w:pPr>
      <w:r/>
      <w:bookmarkStart w:id="194" w:name="_Toc29067"/>
      <w:r/>
      <w:bookmarkStart w:id="195" w:name="_Toc1747"/>
      <w:r/>
      <w:bookmarkStart w:id="196" w:name="_Toc10965"/>
      <w:r>
        <w:rPr>
          <w:rFonts w:hint="eastAsia" w:ascii="宋体" w:hAnsi="宋体"/>
          <w:b/>
          <w:szCs w:val="21"/>
        </w:rPr>
        <w:t xml:space="preserve">29、中标通知书</w:t>
      </w:r>
      <w:bookmarkEnd w:id="194"/>
      <w:r/>
      <w:bookmarkEnd w:id="195"/>
      <w:r/>
      <w:bookmarkEnd w:id="196"/>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outlineLvl w:val="1"/>
      </w:pPr>
      <w:r/>
      <w:bookmarkStart w:id="197" w:name="_Toc31143"/>
      <w:r/>
      <w:bookmarkStart w:id="198" w:name="_Toc13861"/>
      <w:r/>
      <w:bookmarkStart w:id="199" w:name="_Toc11797"/>
      <w:r>
        <w:rPr>
          <w:rFonts w:hint="eastAsia" w:ascii="宋体" w:hAnsi="宋体"/>
          <w:b/>
          <w:szCs w:val="21"/>
        </w:rPr>
        <w:t xml:space="preserve">30、签订合同</w:t>
      </w:r>
      <w:bookmarkEnd w:id="197"/>
      <w:r/>
      <w:bookmarkEnd w:id="198"/>
      <w:r/>
      <w:bookmarkEnd w:id="199"/>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outlineLvl w:val="1"/>
      </w:pPr>
      <w:r/>
      <w:bookmarkStart w:id="200" w:name="_Toc14697"/>
      <w:r/>
      <w:bookmarkStart w:id="201" w:name="_Toc14548"/>
      <w:r/>
      <w:bookmarkStart w:id="202" w:name="_Toc18956"/>
      <w:r>
        <w:rPr>
          <w:rFonts w:hint="eastAsia" w:ascii="宋体" w:hAnsi="宋体"/>
          <w:b/>
          <w:szCs w:val="21"/>
        </w:rPr>
        <w:t xml:space="preserve">31、其他</w:t>
      </w:r>
      <w:bookmarkEnd w:id="200"/>
      <w:r/>
      <w:bookmarkEnd w:id="201"/>
      <w:r/>
      <w:bookmarkEnd w:id="202"/>
      <w:r/>
      <w:r/>
    </w:p>
    <w:p>
      <w:pPr>
        <w:ind w:firstLine="422"/>
        <w:spacing w:line="360" w:lineRule="auto"/>
        <w:rPr>
          <w:rFonts w:ascii="宋体" w:hAnsi="宋体"/>
          <w:bCs/>
          <w:szCs w:val="21"/>
        </w:rPr>
      </w:pPr>
      <w:r>
        <w:t xml:space="preserve">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pPr>
      <w:r>
        <w:rPr>
          <w:rFonts w:hint="eastAsia"/>
        </w:rPr>
        <w:t xml:space="preserve">32.2.落实好政府采购履约资金扶持政策。中标/成交供应商可凭政府采购合同办理融资贷款，详见江苏政府采购网“政采贷”专栏。”</w:t>
      </w:r>
      <w:r/>
    </w:p>
    <w:p>
      <w:pPr>
        <w:ind w:firstLine="420"/>
        <w:spacing w:line="440" w:lineRule="exact"/>
      </w:pPr>
      <w:r>
        <w:rPr>
          <w:rFonts w:hint="eastAsia"/>
        </w:rPr>
        <w:t xml:space="preserve">32.3 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09"/>
        <w:ind w:firstLine="683"/>
      </w:pPr>
      <w:r/>
      <w:bookmarkStart w:id="203" w:name="_Toc150173459"/>
      <w:r/>
      <w:bookmarkStart w:id="204" w:name="_Toc55204179"/>
      <w:r/>
      <w:bookmarkStart w:id="205" w:name="_Toc229"/>
      <w:r/>
      <w:bookmarkStart w:id="206" w:name="_Toc14533"/>
      <w:r/>
      <w:bookmarkStart w:id="207" w:name="_Toc15772"/>
      <w:r/>
      <w:bookmarkStart w:id="208" w:name="_Hlk69392822"/>
      <w:r>
        <w:rPr>
          <w:rFonts w:hint="eastAsia"/>
        </w:rPr>
        <w:t xml:space="preserve">第三章 合同条款及格式</w:t>
      </w:r>
      <w:bookmarkEnd w:id="203"/>
      <w:r/>
      <w:bookmarkEnd w:id="204"/>
      <w:r/>
      <w:bookmarkEnd w:id="205"/>
      <w:r/>
      <w:bookmarkEnd w:id="206"/>
      <w:r/>
      <w:bookmarkEnd w:id="207"/>
      <w:r/>
      <w:r/>
    </w:p>
    <w:p>
      <w:pPr>
        <w:pStyle w:val="821"/>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jc w:val="center"/>
        <w:rPr>
          <w:rFonts w:ascii="宋体" w:hAnsi="宋体" w:cs="宋体"/>
          <w:b/>
          <w:bCs/>
        </w:rPr>
      </w:pPr>
      <w:r/>
      <w:bookmarkStart w:id="209" w:name="_Toc13302"/>
      <w:r/>
      <w:bookmarkStart w:id="210" w:name="_Toc6112"/>
      <w:r>
        <w:rPr>
          <w:rFonts w:hint="eastAsia" w:ascii="宋体" w:hAnsi="宋体" w:cs="宋体"/>
          <w:b/>
          <w:bCs/>
        </w:rPr>
        <w:t xml:space="preserve">扬州市政府采购合同（服务)（合同编号）</w:t>
      </w:r>
      <w:bookmarkEnd w:id="209"/>
      <w:r/>
      <w:bookmarkEnd w:id="210"/>
      <w:r/>
      <w:r/>
    </w:p>
    <w:p>
      <w:pPr>
        <w:pStyle w:val="821"/>
        <w:ind w:firstLine="420"/>
        <w:spacing w:before="120" w:after="120" w:line="360" w:lineRule="auto"/>
        <w:rPr>
          <w:rFonts w:hAnsi="宋体"/>
          <w:sz w:val="21"/>
        </w:rPr>
      </w:pPr>
      <w:r>
        <w:rPr>
          <w:rFonts w:hint="eastAsia" w:hAnsi="宋体"/>
          <w:sz w:val="21"/>
        </w:rPr>
        <w:t xml:space="preserve">项目名称：</w:t>
      </w:r>
      <w:r>
        <w:rPr>
          <w:rFonts w:hint="eastAsia" w:hAnsi="宋体"/>
          <w:sz w:val="21"/>
          <w:u w:val="single"/>
        </w:rPr>
        <w:t xml:space="preserve">2024年中央农业防灾减灾和水利救灾资金项目（防灾减灾第三批） </w:t>
      </w:r>
      <w:r/>
    </w:p>
    <w:p>
      <w:pPr>
        <w:pStyle w:val="821"/>
        <w:ind w:firstLine="420"/>
        <w:spacing w:before="120" w:after="120" w:line="360" w:lineRule="auto"/>
        <w:rPr>
          <w:rFonts w:hAnsi="宋体"/>
          <w:sz w:val="21"/>
        </w:rPr>
      </w:pPr>
      <w:r>
        <w:rPr>
          <w:rFonts w:hint="eastAsia" w:hAnsi="宋体"/>
          <w:sz w:val="21"/>
        </w:rPr>
        <w:t xml:space="preserve">项目编号： </w:t>
      </w:r>
      <w:r>
        <w:rPr>
          <w:rFonts w:hint="eastAsia" w:hAnsi="宋体"/>
          <w:sz w:val="21"/>
          <w:lang w:eastAsia="zh-CN"/>
        </w:rPr>
        <w:t xml:space="preserve">JSZC-321084-YZHZ-G2024-0012</w:t>
      </w:r>
      <w:r>
        <w:rPr>
          <w:rFonts w:hint="eastAsia" w:hAnsi="宋体"/>
          <w:sz w:val="21"/>
        </w:rPr>
        <w:t xml:space="preserve"> </w:t>
      </w:r>
      <w:r/>
    </w:p>
    <w:p>
      <w:pPr>
        <w:pStyle w:val="821"/>
        <w:ind w:firstLine="420"/>
        <w:spacing w:before="120" w:after="120" w:line="360" w:lineRule="auto"/>
        <w:rPr>
          <w:rFonts w:hAnsi="宋体"/>
          <w:sz w:val="21"/>
        </w:rPr>
      </w:pPr>
      <w:r>
        <w:rPr>
          <w:rFonts w:hint="eastAsia" w:hAnsi="宋体"/>
          <w:sz w:val="21"/>
        </w:rPr>
        <w:t xml:space="preserve">甲方：（买方）高邮市农业农村局</w:t>
      </w:r>
      <w:r/>
    </w:p>
    <w:p>
      <w:pPr>
        <w:pStyle w:val="821"/>
        <w:ind w:firstLine="420"/>
        <w:spacing w:before="120" w:after="120" w:line="360" w:lineRule="auto"/>
        <w:rPr>
          <w:rFonts w:hAnsi="宋体"/>
          <w:sz w:val="21"/>
        </w:rPr>
      </w:pPr>
      <w:r>
        <w:rPr>
          <w:rFonts w:hint="eastAsia" w:hAnsi="宋体"/>
          <w:sz w:val="21"/>
        </w:rPr>
        <w:t xml:space="preserve">乙方：（卖方） </w:t>
      </w:r>
      <w:r/>
    </w:p>
    <w:p>
      <w:pPr>
        <w:pStyle w:val="821"/>
        <w:ind w:firstLine="420"/>
        <w:spacing w:before="120" w:after="120" w:line="360" w:lineRule="auto"/>
        <w:rPr>
          <w:rFonts w:hAnsi="宋体"/>
          <w:sz w:val="21"/>
        </w:rPr>
      </w:pPr>
      <w:r>
        <w:rPr>
          <w:rFonts w:hint="eastAsia" w:hAnsi="宋体" w:cs="宋体"/>
          <w:sz w:val="24"/>
          <w:szCs w:val="24"/>
        </w:rPr>
        <w:t xml:space="preserve">见证方：</w:t>
      </w:r>
      <w:r>
        <w:rPr>
          <w:rFonts w:hint="eastAsia" w:hAnsi="宋体"/>
          <w:sz w:val="21"/>
        </w:rPr>
        <w:t xml:space="preserve">扬州华泽工程项目管理咨询有限公司</w:t>
      </w:r>
      <w:r/>
    </w:p>
    <w:p>
      <w:pPr>
        <w:pStyle w:val="821"/>
        <w:ind w:firstLine="420"/>
        <w:spacing w:before="120" w:after="120" w:line="360" w:lineRule="auto"/>
        <w:rPr>
          <w:rFonts w:hAnsi="宋体"/>
          <w:sz w:val="21"/>
        </w:rPr>
      </w:pPr>
      <w:r>
        <w:rPr>
          <w:rFonts w:hint="eastAsia" w:hAnsi="宋体"/>
          <w:sz w:val="21"/>
        </w:rPr>
        <w:t xml:space="preserve">甲、乙双方根据（代理公司）</w:t>
      </w:r>
      <w:r>
        <w:rPr>
          <w:rFonts w:hint="eastAsia" w:hAnsi="宋体"/>
          <w:sz w:val="21"/>
          <w:u w:val="single"/>
        </w:rPr>
        <w:t xml:space="preserve">          </w:t>
      </w:r>
      <w:r>
        <w:rPr>
          <w:rFonts w:hint="eastAsia" w:hAnsi="宋体"/>
          <w:sz w:val="21"/>
        </w:rPr>
        <w:t xml:space="preserve">项目公开招标的结果，签署本合同。</w:t>
      </w:r>
      <w:r/>
    </w:p>
    <w:p>
      <w:pPr>
        <w:pStyle w:val="821"/>
        <w:ind w:firstLine="422"/>
        <w:spacing w:before="120" w:after="120" w:line="360" w:lineRule="auto"/>
        <w:rPr>
          <w:rFonts w:hAnsi="宋体"/>
          <w:b/>
          <w:bCs/>
          <w:sz w:val="21"/>
        </w:rPr>
        <w:outlineLvl w:val="1"/>
      </w:pPr>
      <w:r/>
      <w:bookmarkStart w:id="211" w:name="_Toc27745"/>
      <w:r/>
      <w:bookmarkStart w:id="212" w:name="_Toc171"/>
      <w:r/>
      <w:bookmarkStart w:id="213" w:name="_Toc13095"/>
      <w:r>
        <w:rPr>
          <w:rFonts w:hint="eastAsia" w:hAnsi="宋体"/>
          <w:b/>
          <w:bCs/>
          <w:sz w:val="21"/>
        </w:rPr>
        <w:t xml:space="preserve">一、服务及货物</w:t>
      </w:r>
      <w:bookmarkEnd w:id="211"/>
      <w:r/>
      <w:bookmarkEnd w:id="212"/>
      <w:r/>
      <w:bookmarkEnd w:id="213"/>
      <w:r/>
      <w:r/>
    </w:p>
    <w:p>
      <w:pPr>
        <w:pStyle w:val="821"/>
        <w:ind w:firstLine="420"/>
        <w:spacing w:before="120" w:after="120" w:line="360" w:lineRule="auto"/>
        <w:rPr>
          <w:rFonts w:hAnsi="宋体"/>
          <w:sz w:val="21"/>
        </w:rPr>
      </w:pPr>
      <w:r>
        <w:rPr>
          <w:rFonts w:hint="eastAsia" w:hAnsi="宋体"/>
          <w:sz w:val="21"/>
        </w:rPr>
        <w:t xml:space="preserve">1.1 服务及货物名称：</w:t>
      </w:r>
      <w:r/>
    </w:p>
    <w:p>
      <w:pPr>
        <w:pStyle w:val="821"/>
        <w:ind w:firstLine="420"/>
        <w:spacing w:before="120" w:after="120" w:line="360" w:lineRule="auto"/>
        <w:rPr>
          <w:rFonts w:hAnsi="宋体"/>
          <w:sz w:val="21"/>
        </w:rPr>
      </w:pPr>
      <w:r>
        <w:rPr>
          <w:rFonts w:hAnsi="宋体"/>
          <w:sz w:val="21"/>
        </w:rPr>
        <w:t xml:space="preserve">1.2 型号规格：</w:t>
      </w:r>
      <w:r/>
    </w:p>
    <w:p>
      <w:pPr>
        <w:pStyle w:val="821"/>
        <w:ind w:firstLine="420"/>
        <w:spacing w:before="120" w:after="120" w:line="360" w:lineRule="auto"/>
        <w:rPr>
          <w:rFonts w:hAnsi="宋体"/>
          <w:sz w:val="21"/>
        </w:rPr>
      </w:pPr>
      <w:r>
        <w:rPr>
          <w:rFonts w:hAnsi="宋体"/>
          <w:sz w:val="21"/>
        </w:rPr>
        <w:t xml:space="preserve">1.3 数量（单位）</w:t>
      </w:r>
      <w:r/>
    </w:p>
    <w:p>
      <w:pPr>
        <w:pStyle w:val="821"/>
        <w:ind w:firstLine="422"/>
        <w:spacing w:before="120" w:after="120" w:line="360" w:lineRule="auto"/>
        <w:rPr>
          <w:rFonts w:hAnsi="宋体"/>
          <w:b/>
          <w:bCs/>
          <w:sz w:val="21"/>
        </w:rPr>
        <w:outlineLvl w:val="1"/>
      </w:pPr>
      <w:r/>
      <w:bookmarkStart w:id="214" w:name="_Toc17333"/>
      <w:r/>
      <w:bookmarkStart w:id="215" w:name="_Toc23605"/>
      <w:r/>
      <w:bookmarkStart w:id="216" w:name="_Toc24277"/>
      <w:r>
        <w:rPr>
          <w:rFonts w:hint="eastAsia" w:hAnsi="宋体"/>
          <w:b/>
          <w:bCs/>
          <w:sz w:val="21"/>
        </w:rPr>
        <w:t xml:space="preserve">二、合同金额</w:t>
      </w:r>
      <w:bookmarkEnd w:id="214"/>
      <w:r/>
      <w:bookmarkEnd w:id="215"/>
      <w:r/>
      <w:bookmarkEnd w:id="216"/>
      <w:r/>
      <w:r/>
    </w:p>
    <w:p>
      <w:pPr>
        <w:pStyle w:val="821"/>
        <w:ind w:firstLine="420"/>
        <w:spacing w:before="120" w:after="120" w:line="360" w:lineRule="auto"/>
        <w:rPr>
          <w:rFonts w:hAnsi="宋体"/>
          <w:sz w:val="21"/>
        </w:rPr>
      </w:pPr>
      <w:r>
        <w:rPr>
          <w:rFonts w:hint="eastAsia" w:hAnsi="宋体"/>
          <w:sz w:val="21"/>
        </w:rPr>
        <w:t xml:space="preserve">2.1 本合同金额为（大写）：_________________圆（__________元）人民币。</w:t>
      </w:r>
      <w:r/>
    </w:p>
    <w:p>
      <w:pPr>
        <w:pStyle w:val="821"/>
        <w:ind w:firstLine="422"/>
        <w:spacing w:before="120" w:after="120" w:line="360" w:lineRule="auto"/>
        <w:rPr>
          <w:rFonts w:hAnsi="宋体"/>
          <w:b/>
          <w:bCs/>
          <w:sz w:val="21"/>
        </w:rPr>
        <w:outlineLvl w:val="1"/>
      </w:pPr>
      <w:r/>
      <w:bookmarkStart w:id="217" w:name="_Toc12028"/>
      <w:r/>
      <w:bookmarkStart w:id="218" w:name="_Toc7086"/>
      <w:r/>
      <w:bookmarkStart w:id="219" w:name="_Toc20938"/>
      <w:r>
        <w:rPr>
          <w:rFonts w:hint="eastAsia" w:hAnsi="宋体"/>
          <w:b/>
          <w:bCs/>
          <w:sz w:val="21"/>
        </w:rPr>
        <w:t xml:space="preserve">三、技术资料</w:t>
      </w:r>
      <w:bookmarkEnd w:id="217"/>
      <w:r/>
      <w:bookmarkEnd w:id="218"/>
      <w:r/>
      <w:bookmarkEnd w:id="219"/>
      <w:r/>
      <w:r/>
    </w:p>
    <w:p>
      <w:pPr>
        <w:pStyle w:val="821"/>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821"/>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1"/>
        <w:ind w:firstLine="422"/>
        <w:spacing w:before="120" w:after="120" w:line="360" w:lineRule="auto"/>
        <w:rPr>
          <w:rFonts w:hAnsi="宋体"/>
          <w:b/>
          <w:bCs/>
          <w:sz w:val="21"/>
        </w:rPr>
        <w:outlineLvl w:val="1"/>
      </w:pPr>
      <w:r/>
      <w:bookmarkStart w:id="220" w:name="_Toc15011"/>
      <w:r/>
      <w:bookmarkStart w:id="221" w:name="_Toc6873"/>
      <w:r/>
      <w:bookmarkStart w:id="222" w:name="_Toc6629"/>
      <w:r>
        <w:rPr>
          <w:rFonts w:hint="eastAsia" w:hAnsi="宋体"/>
          <w:b/>
          <w:bCs/>
          <w:sz w:val="21"/>
        </w:rPr>
        <w:t xml:space="preserve">四、知识产权</w:t>
      </w:r>
      <w:bookmarkEnd w:id="220"/>
      <w:r/>
      <w:bookmarkEnd w:id="221"/>
      <w:r/>
      <w:bookmarkEnd w:id="222"/>
      <w:r/>
      <w:r/>
    </w:p>
    <w:p>
      <w:pPr>
        <w:pStyle w:val="821"/>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21"/>
        <w:ind w:firstLine="422"/>
        <w:spacing w:before="120" w:after="120" w:line="360" w:lineRule="auto"/>
        <w:rPr>
          <w:rFonts w:hAnsi="宋体"/>
          <w:b/>
          <w:bCs/>
          <w:sz w:val="21"/>
        </w:rPr>
        <w:outlineLvl w:val="1"/>
      </w:pPr>
      <w:r/>
      <w:bookmarkStart w:id="223" w:name="_Toc15553"/>
      <w:r/>
      <w:bookmarkStart w:id="224" w:name="_Toc25927"/>
      <w:r/>
      <w:bookmarkStart w:id="225" w:name="_Toc2111"/>
      <w:r>
        <w:rPr>
          <w:rFonts w:hint="eastAsia" w:hAnsi="宋体"/>
          <w:b/>
          <w:bCs/>
          <w:sz w:val="21"/>
        </w:rPr>
        <w:t xml:space="preserve">五、产权担保</w:t>
      </w:r>
      <w:bookmarkEnd w:id="223"/>
      <w:r/>
      <w:bookmarkEnd w:id="224"/>
      <w:r/>
      <w:bookmarkEnd w:id="225"/>
      <w:r/>
      <w:r/>
    </w:p>
    <w:p>
      <w:pPr>
        <w:pStyle w:val="821"/>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821"/>
        <w:ind w:firstLine="422"/>
        <w:spacing w:before="120" w:after="120" w:line="360" w:lineRule="auto"/>
        <w:rPr>
          <w:rFonts w:hAnsi="宋体"/>
          <w:b/>
          <w:bCs/>
          <w:sz w:val="21"/>
        </w:rPr>
        <w:outlineLvl w:val="1"/>
      </w:pPr>
      <w:r/>
      <w:bookmarkStart w:id="226" w:name="_Toc29722"/>
      <w:r/>
      <w:bookmarkStart w:id="227" w:name="_Toc22175"/>
      <w:r/>
      <w:bookmarkStart w:id="228" w:name="_Toc11363"/>
      <w:r>
        <w:rPr>
          <w:rFonts w:hint="eastAsia" w:hAnsi="宋体"/>
          <w:b/>
          <w:bCs/>
          <w:sz w:val="21"/>
        </w:rPr>
        <w:t xml:space="preserve">六、履约保证金</w:t>
      </w:r>
      <w:bookmarkEnd w:id="226"/>
      <w:r/>
      <w:bookmarkEnd w:id="227"/>
      <w:r/>
      <w:bookmarkEnd w:id="228"/>
      <w:r/>
      <w:r/>
    </w:p>
    <w:p>
      <w:pPr>
        <w:pStyle w:val="821"/>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821"/>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21"/>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21"/>
        <w:ind w:firstLine="420"/>
        <w:spacing w:before="120" w:after="120" w:line="360" w:lineRule="auto"/>
        <w:rPr>
          <w:rFonts w:hAnsi="宋体" w:cs="宋体"/>
          <w:sz w:val="21"/>
        </w:rPr>
      </w:pPr>
      <w:r/>
      <w:bookmarkStart w:id="229" w:name="_Toc31202"/>
      <w:r/>
      <w:bookmarkStart w:id="230" w:name="_Toc22369"/>
      <w:r>
        <w:rPr>
          <w:rFonts w:hint="eastAsia" w:hAnsi="宋体" w:cs="宋体"/>
          <w:sz w:val="21"/>
        </w:rPr>
        <w:t xml:space="preserve">6.4 履约保证金收取：</w:t>
      </w:r>
      <w:bookmarkEnd w:id="229"/>
      <w:r/>
      <w:bookmarkEnd w:id="230"/>
      <w:r>
        <w:rPr>
          <w:rFonts w:hint="eastAsia" w:hAnsi="宋体" w:cs="宋体"/>
          <w:sz w:val="21"/>
        </w:rPr>
        <w:t xml:space="preserve">本项目不收取履约保证金。</w:t>
      </w:r>
      <w:r/>
    </w:p>
    <w:p>
      <w:pPr>
        <w:pStyle w:val="821"/>
        <w:ind w:firstLine="422"/>
        <w:spacing w:before="120" w:after="120" w:line="360" w:lineRule="auto"/>
        <w:rPr>
          <w:rFonts w:hAnsi="宋体"/>
          <w:b/>
          <w:bCs/>
          <w:sz w:val="21"/>
        </w:rPr>
        <w:outlineLvl w:val="1"/>
      </w:pPr>
      <w:r/>
      <w:bookmarkStart w:id="231" w:name="_Toc30274"/>
      <w:r/>
      <w:bookmarkStart w:id="232" w:name="_Toc17067"/>
      <w:r/>
      <w:bookmarkStart w:id="233" w:name="_Toc15631"/>
      <w:r>
        <w:rPr>
          <w:rFonts w:hint="eastAsia" w:hAnsi="宋体"/>
          <w:b/>
          <w:bCs/>
          <w:sz w:val="21"/>
        </w:rPr>
        <w:t xml:space="preserve">七、转包或分包</w:t>
      </w:r>
      <w:bookmarkEnd w:id="231"/>
      <w:r/>
      <w:bookmarkEnd w:id="232"/>
      <w:r/>
      <w:bookmarkEnd w:id="233"/>
      <w:r/>
      <w:r/>
    </w:p>
    <w:p>
      <w:pPr>
        <w:pStyle w:val="821"/>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821"/>
        <w:ind w:firstLine="420"/>
        <w:spacing w:before="120" w:after="120" w:line="360" w:lineRule="auto"/>
        <w:rPr>
          <w:rFonts w:hAnsi="宋体" w:cs="宋体"/>
          <w:sz w:val="21"/>
        </w:rPr>
      </w:pPr>
      <w:r/>
      <w:bookmarkStart w:id="234" w:name="_Toc25704"/>
      <w:r/>
      <w:bookmarkStart w:id="235" w:name="_Toc13387"/>
      <w:r>
        <w:rPr>
          <w:rFonts w:hint="eastAsia" w:hAnsi="宋体" w:cs="宋体"/>
          <w:sz w:val="21"/>
        </w:rPr>
        <w:t xml:space="preserve">7.2 除非得到甲方的书面同意，乙方不得部分分包给他人供应。</w:t>
      </w:r>
      <w:bookmarkEnd w:id="234"/>
      <w:r/>
      <w:bookmarkEnd w:id="235"/>
      <w:r/>
      <w:r/>
    </w:p>
    <w:p>
      <w:pPr>
        <w:pStyle w:val="821"/>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821"/>
        <w:ind w:firstLine="422"/>
        <w:spacing w:before="120" w:after="120" w:line="360" w:lineRule="auto"/>
        <w:rPr>
          <w:rFonts w:hAnsi="宋体"/>
          <w:b/>
          <w:bCs/>
          <w:sz w:val="21"/>
        </w:rPr>
        <w:outlineLvl w:val="1"/>
      </w:pPr>
      <w:r/>
      <w:bookmarkStart w:id="236" w:name="_Toc2770"/>
      <w:r/>
      <w:bookmarkStart w:id="237" w:name="_Toc4197"/>
      <w:r/>
      <w:bookmarkStart w:id="238" w:name="_Toc29620"/>
      <w:r>
        <w:rPr>
          <w:rFonts w:hint="eastAsia" w:hAnsi="宋体"/>
          <w:b/>
          <w:bCs/>
          <w:sz w:val="21"/>
        </w:rPr>
        <w:t xml:space="preserve">八、质保期</w:t>
      </w:r>
      <w:bookmarkEnd w:id="236"/>
      <w:r/>
      <w:bookmarkEnd w:id="237"/>
      <w:r/>
      <w:bookmarkEnd w:id="238"/>
      <w:r/>
      <w:r/>
    </w:p>
    <w:p>
      <w:pPr>
        <w:pStyle w:val="821"/>
        <w:ind w:firstLine="420"/>
        <w:spacing w:before="120" w:after="120" w:line="360" w:lineRule="auto"/>
        <w:rPr>
          <w:rFonts w:hAnsi="宋体" w:cs="宋体"/>
          <w:sz w:val="21"/>
        </w:rPr>
      </w:pPr>
      <w:r/>
      <w:bookmarkStart w:id="239" w:name="_Toc13554"/>
      <w:r/>
      <w:bookmarkStart w:id="240" w:name="_Toc18134"/>
      <w:r>
        <w:rPr>
          <w:rFonts w:hint="eastAsia" w:hAnsi="宋体" w:cs="宋体"/>
          <w:sz w:val="21"/>
        </w:rPr>
        <w:t xml:space="preserve">8.1 质保期      年。（自交货验收合格之日起计）</w:t>
      </w:r>
      <w:bookmarkEnd w:id="239"/>
      <w:r/>
      <w:bookmarkEnd w:id="240"/>
      <w:r/>
      <w:r/>
    </w:p>
    <w:p>
      <w:pPr>
        <w:pStyle w:val="821"/>
        <w:ind w:firstLine="422"/>
        <w:spacing w:before="120" w:after="120" w:line="360" w:lineRule="auto"/>
        <w:rPr>
          <w:rFonts w:hAnsi="宋体"/>
          <w:b/>
          <w:bCs/>
          <w:sz w:val="21"/>
        </w:rPr>
        <w:outlineLvl w:val="1"/>
      </w:pPr>
      <w:r/>
      <w:bookmarkStart w:id="241" w:name="_Toc27195"/>
      <w:r/>
      <w:bookmarkStart w:id="242" w:name="_Toc13816"/>
      <w:r/>
      <w:bookmarkStart w:id="243" w:name="_Toc20137"/>
      <w:r>
        <w:rPr>
          <w:rFonts w:hint="eastAsia" w:hAnsi="宋体"/>
          <w:b/>
          <w:bCs/>
          <w:sz w:val="21"/>
        </w:rPr>
        <w:t xml:space="preserve">九、交付期、交付方式及交付地点</w:t>
      </w:r>
      <w:bookmarkEnd w:id="241"/>
      <w:r/>
      <w:bookmarkEnd w:id="242"/>
      <w:r/>
      <w:bookmarkEnd w:id="243"/>
      <w:r/>
      <w:r/>
    </w:p>
    <w:p>
      <w:pPr>
        <w:pStyle w:val="821"/>
        <w:ind w:firstLine="420"/>
        <w:spacing w:before="120" w:after="120" w:line="360" w:lineRule="auto"/>
        <w:rPr>
          <w:rFonts w:hAnsi="宋体"/>
          <w:sz w:val="21"/>
        </w:rPr>
      </w:pPr>
      <w:r>
        <w:rPr>
          <w:rFonts w:hint="eastAsia" w:hAnsi="宋体"/>
          <w:sz w:val="21"/>
        </w:rPr>
        <w:t xml:space="preserve">9.1 交付期：_________</w:t>
      </w:r>
      <w:r/>
    </w:p>
    <w:p>
      <w:pPr>
        <w:pStyle w:val="821"/>
        <w:ind w:firstLine="420"/>
        <w:spacing w:before="120" w:after="120" w:line="360" w:lineRule="auto"/>
        <w:rPr>
          <w:rFonts w:hAnsi="宋体"/>
          <w:sz w:val="21"/>
        </w:rPr>
      </w:pPr>
      <w:r>
        <w:rPr>
          <w:rFonts w:hint="eastAsia" w:hAnsi="宋体"/>
          <w:sz w:val="21"/>
        </w:rPr>
        <w:t xml:space="preserve">9.2 交付方式：_________</w:t>
      </w:r>
      <w:r/>
    </w:p>
    <w:p>
      <w:pPr>
        <w:pStyle w:val="821"/>
        <w:ind w:firstLine="420"/>
        <w:spacing w:before="120" w:after="120" w:line="360" w:lineRule="auto"/>
        <w:rPr>
          <w:rFonts w:hAnsi="宋体"/>
          <w:sz w:val="21"/>
        </w:rPr>
      </w:pPr>
      <w:r>
        <w:rPr>
          <w:rFonts w:hint="eastAsia" w:hAnsi="宋体"/>
          <w:sz w:val="21"/>
        </w:rPr>
        <w:t xml:space="preserve">9.3 交付地点：_________</w:t>
      </w:r>
      <w:r/>
    </w:p>
    <w:p>
      <w:pPr>
        <w:pStyle w:val="821"/>
        <w:ind w:firstLine="422"/>
        <w:spacing w:before="120" w:after="120" w:line="360" w:lineRule="auto"/>
        <w:rPr>
          <w:rFonts w:hAnsi="宋体"/>
          <w:b/>
          <w:bCs/>
          <w:sz w:val="21"/>
        </w:rPr>
        <w:outlineLvl w:val="1"/>
      </w:pPr>
      <w:r/>
      <w:bookmarkStart w:id="244" w:name="_Toc10421"/>
      <w:r/>
      <w:bookmarkStart w:id="245" w:name="_Toc30481"/>
      <w:r/>
      <w:bookmarkStart w:id="246" w:name="_Toc7176"/>
      <w:r>
        <w:rPr>
          <w:rFonts w:hint="eastAsia" w:hAnsi="宋体"/>
          <w:b/>
          <w:bCs/>
          <w:sz w:val="21"/>
        </w:rPr>
        <w:t xml:space="preserve">十、货款支付</w:t>
      </w:r>
      <w:bookmarkEnd w:id="244"/>
      <w:r/>
      <w:bookmarkEnd w:id="245"/>
      <w:r/>
      <w:bookmarkEnd w:id="246"/>
      <w:r/>
      <w:r/>
    </w:p>
    <w:p>
      <w:pPr>
        <w:pStyle w:val="821"/>
        <w:ind w:firstLine="420"/>
        <w:spacing w:before="120" w:after="120" w:line="360" w:lineRule="auto"/>
        <w:rPr>
          <w:rFonts w:hAnsi="宋体" w:cs="宋体"/>
          <w:sz w:val="21"/>
        </w:rPr>
      </w:pPr>
      <w:r/>
      <w:bookmarkStart w:id="247" w:name="_Toc5806"/>
      <w:r/>
      <w:bookmarkStart w:id="248" w:name="_Toc18928"/>
      <w:r>
        <w:rPr>
          <w:rFonts w:hint="eastAsia" w:hAnsi="宋体" w:cs="宋体"/>
          <w:sz w:val="21"/>
        </w:rPr>
        <w:t xml:space="preserve">10.1 本合同项下所有款项均以人民币支付。</w:t>
      </w:r>
      <w:bookmarkEnd w:id="247"/>
      <w:r/>
      <w:bookmarkEnd w:id="248"/>
      <w:r>
        <w:rPr>
          <w:rFonts w:hint="eastAsia" w:hAnsi="宋体" w:cs="宋体"/>
          <w:sz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835"/>
        <w:ind w:firstLine="420"/>
        <w:spacing w:line="360" w:lineRule="auto"/>
        <w:widowControl/>
        <w:rPr>
          <w:rFonts w:ascii="宋体" w:hAnsi="宋体" w:cs="宋体"/>
          <w:color w:val="ff0000"/>
          <w:sz w:val="21"/>
          <w:szCs w:val="21"/>
        </w:rPr>
      </w:pPr>
      <w:r>
        <w:rPr>
          <w:rFonts w:hint="eastAsia" w:hAnsi="宋体" w:cs="宋体"/>
          <w:sz w:val="21"/>
        </w:rPr>
        <w:t xml:space="preserve">10.3</w:t>
      </w:r>
      <w:r>
        <w:rPr>
          <w:rFonts w:hint="eastAsia" w:hAnsi="宋体" w:cs="宋体"/>
          <w:color w:val="000000"/>
          <w:sz w:val="21"/>
        </w:rPr>
        <w:t xml:space="preserve"> 甲方付款方式：</w:t>
      </w:r>
      <w:r>
        <w:rPr>
          <w:rFonts w:hint="eastAsia" w:ascii="宋体" w:hAnsi="宋体" w:cs="宋体"/>
          <w:color w:val="ff0000"/>
          <w:sz w:val="21"/>
          <w:szCs w:val="21"/>
        </w:rPr>
        <w:t xml:space="preserve">①合同签订后，甲方自收到乙方发票之日起15日之内支付合同价30%；</w:t>
      </w:r>
      <w:r/>
    </w:p>
    <w:p>
      <w:pPr>
        <w:pStyle w:val="835"/>
        <w:ind w:firstLine="420"/>
        <w:spacing w:line="360" w:lineRule="auto"/>
        <w:widowControl/>
        <w:rPr>
          <w:rFonts w:ascii="宋体" w:hAnsi="宋体" w:cs="宋体"/>
          <w:color w:val="ff0000"/>
          <w:sz w:val="21"/>
          <w:szCs w:val="21"/>
        </w:rPr>
      </w:pPr>
      <w:r>
        <w:rPr>
          <w:rFonts w:hint="eastAsia" w:ascii="宋体" w:hAnsi="宋体" w:cs="宋体"/>
          <w:color w:val="ff0000"/>
          <w:sz w:val="21"/>
          <w:szCs w:val="21"/>
        </w:rPr>
        <w:t xml:space="preserve">②货物送达采购人指定地点，经第三方检测机构抽样检测合格且发放到位后一次性付清剩余货款。</w:t>
      </w:r>
      <w:r/>
    </w:p>
    <w:p>
      <w:pPr>
        <w:pStyle w:val="821"/>
        <w:ind w:firstLine="422"/>
        <w:spacing w:before="120" w:after="120" w:line="360" w:lineRule="auto"/>
        <w:rPr>
          <w:rFonts w:hAnsi="宋体"/>
          <w:b/>
          <w:bCs/>
          <w:sz w:val="21"/>
        </w:rPr>
        <w:outlineLvl w:val="1"/>
      </w:pPr>
      <w:r/>
      <w:bookmarkStart w:id="249" w:name="_Toc1267"/>
      <w:r/>
      <w:bookmarkStart w:id="250" w:name="_Toc2527"/>
      <w:r/>
      <w:bookmarkStart w:id="251" w:name="_Toc17239"/>
      <w:r>
        <w:rPr>
          <w:rFonts w:hint="eastAsia" w:hAnsi="宋体"/>
          <w:b/>
          <w:bCs/>
          <w:sz w:val="21"/>
        </w:rPr>
        <w:t xml:space="preserve">十一、税费</w:t>
      </w:r>
      <w:bookmarkEnd w:id="249"/>
      <w:r/>
      <w:bookmarkEnd w:id="250"/>
      <w:r/>
      <w:bookmarkEnd w:id="251"/>
      <w:r/>
      <w:r/>
    </w:p>
    <w:p>
      <w:pPr>
        <w:pStyle w:val="821"/>
        <w:ind w:firstLine="420"/>
        <w:spacing w:before="120" w:after="120" w:line="360" w:lineRule="auto"/>
        <w:rPr>
          <w:rFonts w:hAnsi="宋体" w:cs="宋体"/>
          <w:sz w:val="21"/>
        </w:rPr>
      </w:pPr>
      <w:r/>
      <w:bookmarkStart w:id="252" w:name="_Toc22730"/>
      <w:r/>
      <w:bookmarkStart w:id="253" w:name="_Toc29278"/>
      <w:r>
        <w:rPr>
          <w:rFonts w:hint="eastAsia" w:hAnsi="宋体" w:cs="宋体"/>
          <w:sz w:val="21"/>
        </w:rPr>
        <w:t xml:space="preserve">11.1本合同执行中相关的一切税费均由乙方负担。</w:t>
      </w:r>
      <w:bookmarkEnd w:id="252"/>
      <w:r/>
      <w:bookmarkEnd w:id="253"/>
      <w:r/>
      <w:r/>
    </w:p>
    <w:p>
      <w:pPr>
        <w:pStyle w:val="821"/>
        <w:ind w:firstLine="422"/>
        <w:spacing w:before="120" w:after="120" w:line="360" w:lineRule="auto"/>
        <w:rPr>
          <w:rFonts w:hAnsi="宋体"/>
          <w:b/>
          <w:bCs/>
          <w:sz w:val="21"/>
        </w:rPr>
        <w:outlineLvl w:val="1"/>
      </w:pPr>
      <w:r/>
      <w:bookmarkStart w:id="254" w:name="_Toc2602"/>
      <w:r/>
      <w:bookmarkStart w:id="255" w:name="_Toc2199"/>
      <w:r/>
      <w:bookmarkStart w:id="256" w:name="_Toc21460"/>
      <w:r>
        <w:rPr>
          <w:rFonts w:hint="eastAsia" w:hAnsi="宋体"/>
          <w:b/>
          <w:bCs/>
          <w:sz w:val="21"/>
        </w:rPr>
        <w:t xml:space="preserve">十二、质量保证及售后服务</w:t>
      </w:r>
      <w:bookmarkEnd w:id="254"/>
      <w:r/>
      <w:bookmarkEnd w:id="255"/>
      <w:r/>
      <w:bookmarkEnd w:id="256"/>
      <w:r/>
      <w:r/>
    </w:p>
    <w:p>
      <w:pPr>
        <w:pStyle w:val="821"/>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821"/>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821"/>
        <w:ind w:firstLine="420"/>
        <w:spacing w:before="120" w:after="120" w:line="360" w:lineRule="auto"/>
        <w:rPr>
          <w:rFonts w:hAnsi="宋体"/>
          <w:sz w:val="21"/>
        </w:rPr>
      </w:pPr>
      <w:r>
        <w:rPr>
          <w:rFonts w:hint="eastAsia" w:hAnsi="宋体"/>
          <w:sz w:val="21"/>
        </w:rPr>
        <w:t xml:space="preserve">⑴更换：由乙方承担所发生的全部费用。</w:t>
      </w:r>
      <w:r/>
    </w:p>
    <w:p>
      <w:pPr>
        <w:pStyle w:val="821"/>
        <w:ind w:firstLine="420"/>
        <w:spacing w:before="120" w:after="120" w:line="360" w:lineRule="auto"/>
        <w:rPr>
          <w:rFonts w:hAnsi="宋体"/>
          <w:sz w:val="21"/>
        </w:rPr>
      </w:pPr>
      <w:r>
        <w:rPr>
          <w:rFonts w:hint="eastAsia" w:hAnsi="宋体"/>
          <w:sz w:val="21"/>
        </w:rPr>
        <w:t xml:space="preserve">⑵贬值处理：由甲乙双方合议定价。</w:t>
      </w:r>
      <w:r/>
    </w:p>
    <w:p>
      <w:pPr>
        <w:pStyle w:val="821"/>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821"/>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821"/>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821"/>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821"/>
        <w:ind w:firstLine="422"/>
        <w:spacing w:before="120" w:after="120" w:line="360" w:lineRule="auto"/>
        <w:rPr>
          <w:rFonts w:hAnsi="宋体"/>
          <w:b/>
          <w:bCs/>
          <w:sz w:val="21"/>
        </w:rPr>
        <w:outlineLvl w:val="1"/>
      </w:pPr>
      <w:r/>
      <w:bookmarkStart w:id="257" w:name="_Toc8557"/>
      <w:r/>
      <w:bookmarkStart w:id="258" w:name="_Toc12377"/>
      <w:r/>
      <w:bookmarkStart w:id="259" w:name="_Toc31099"/>
      <w:r>
        <w:rPr>
          <w:rFonts w:hint="eastAsia" w:hAnsi="宋体"/>
          <w:b/>
          <w:bCs/>
          <w:sz w:val="21"/>
        </w:rPr>
        <w:t xml:space="preserve">十三、调试和验收</w:t>
      </w:r>
      <w:bookmarkEnd w:id="257"/>
      <w:r/>
      <w:bookmarkEnd w:id="258"/>
      <w:r/>
      <w:bookmarkEnd w:id="259"/>
      <w:r/>
      <w:r/>
    </w:p>
    <w:p>
      <w:pPr>
        <w:pStyle w:val="821"/>
        <w:ind w:firstLine="422"/>
        <w:spacing w:before="120" w:after="120" w:line="360" w:lineRule="auto"/>
        <w:rPr>
          <w:rFonts w:hint="eastAsia" w:hAnsi="宋体"/>
          <w:b/>
          <w:bCs/>
          <w:color w:val="ff0000"/>
          <w:sz w:val="21"/>
        </w:rPr>
        <w:outlineLvl w:val="1"/>
      </w:pPr>
      <w:r/>
      <w:bookmarkStart w:id="260" w:name="_Toc4291"/>
      <w:r/>
      <w:bookmarkStart w:id="261" w:name="_Toc1048"/>
      <w:r/>
      <w:bookmarkStart w:id="262" w:name="_Toc13350"/>
      <w:r>
        <w:rPr>
          <w:rFonts w:hint="eastAsia" w:hAnsi="宋体"/>
          <w:b/>
          <w:bCs/>
          <w:color w:val="ff0000"/>
          <w:sz w:val="21"/>
        </w:rPr>
        <w:t xml:space="preserve">13.1 甲方对乙方提交的货物及服务依据采购文件上的技术规格要求和国家有关质量标准进行现场检查并抽样，抽样时乙方必须在现场；外观、说明书符合采购文件技术要求，发放数量与甲方分配表一致的，由送至指定地点的乡镇农业农村局负责同志给予签收，检查不合格的不予签收。交付后，甲方需在五个工作日内抽样。</w:t>
      </w:r>
      <w:r/>
    </w:p>
    <w:p>
      <w:pPr>
        <w:pStyle w:val="821"/>
        <w:ind w:firstLine="422"/>
        <w:spacing w:before="120" w:after="120" w:line="360" w:lineRule="auto"/>
        <w:rPr>
          <w:rFonts w:hint="eastAsia" w:hAnsi="宋体"/>
          <w:b/>
          <w:bCs/>
          <w:color w:val="ff0000"/>
          <w:sz w:val="21"/>
        </w:rPr>
        <w:outlineLvl w:val="1"/>
      </w:pPr>
      <w:r>
        <w:rPr>
          <w:rFonts w:hint="eastAsia" w:hAnsi="宋体"/>
          <w:b/>
          <w:bCs/>
          <w:color w:val="ff0000"/>
          <w:sz w:val="21"/>
        </w:rPr>
        <w:t xml:space="preserve">13.2 乙方交付前应对货物及服务作出全面检查，并列出清单交于甲方。</w:t>
      </w:r>
      <w:r/>
    </w:p>
    <w:p>
      <w:pPr>
        <w:pStyle w:val="821"/>
        <w:ind w:firstLine="422"/>
        <w:spacing w:before="120" w:after="120" w:line="360" w:lineRule="auto"/>
        <w:rPr>
          <w:rFonts w:hint="eastAsia" w:hAnsi="宋体"/>
          <w:b/>
          <w:bCs/>
          <w:color w:val="ff0000"/>
          <w:sz w:val="21"/>
        </w:rPr>
        <w:outlineLvl w:val="1"/>
      </w:pPr>
      <w:r>
        <w:rPr>
          <w:rFonts w:hint="eastAsia" w:hAnsi="宋体"/>
          <w:b/>
          <w:bCs/>
          <w:color w:val="ff0000"/>
          <w:sz w:val="21"/>
        </w:rPr>
        <w:t xml:space="preserve">13.3 甲方对乙方提供的货物及服务在使用前进行调试时，乙方需负责安装并培训甲方的使用操作人员，并协助甲方一起调试，直到符合技术要求。</w:t>
      </w:r>
      <w:r/>
    </w:p>
    <w:p>
      <w:pPr>
        <w:pStyle w:val="821"/>
        <w:ind w:firstLine="422"/>
        <w:spacing w:before="120" w:after="120" w:line="360" w:lineRule="auto"/>
        <w:rPr>
          <w:rFonts w:hAnsi="宋体"/>
          <w:b/>
          <w:bCs/>
          <w:color w:val="ff0000"/>
          <w:sz w:val="21"/>
        </w:rPr>
        <w:outlineLvl w:val="1"/>
      </w:pPr>
      <w:r>
        <w:rPr>
          <w:rFonts w:hint="eastAsia" w:hAnsi="宋体"/>
          <w:b/>
          <w:bCs/>
          <w:color w:val="ff0000"/>
          <w:sz w:val="21"/>
        </w:rPr>
        <w:t xml:space="preserve">13.4 对技术复杂的货物及服务，甲方可请国家认可的专业检测机构进行检测，并由其出具质量检测报告，检测费用由乙方支付。</w:t>
      </w:r>
      <w:r/>
    </w:p>
    <w:p>
      <w:pPr>
        <w:pStyle w:val="821"/>
        <w:ind w:firstLine="422"/>
        <w:spacing w:before="120" w:after="120" w:line="360" w:lineRule="auto"/>
        <w:rPr>
          <w:rFonts w:hAnsi="宋体"/>
          <w:b/>
          <w:bCs/>
          <w:sz w:val="21"/>
        </w:rPr>
        <w:outlineLvl w:val="1"/>
      </w:pPr>
      <w:r>
        <w:rPr>
          <w:rFonts w:hint="eastAsia" w:hAnsi="宋体"/>
          <w:b/>
          <w:bCs/>
          <w:sz w:val="21"/>
        </w:rPr>
        <w:t xml:space="preserve">十四、货物及服务包装、发运及运输</w:t>
      </w:r>
      <w:bookmarkEnd w:id="260"/>
      <w:r/>
      <w:bookmarkEnd w:id="261"/>
      <w:r/>
      <w:bookmarkEnd w:id="262"/>
      <w:r/>
      <w:r/>
    </w:p>
    <w:p>
      <w:pPr>
        <w:pStyle w:val="821"/>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821"/>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821"/>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821"/>
        <w:ind w:firstLine="420"/>
        <w:spacing w:before="120" w:after="120" w:line="360" w:lineRule="auto"/>
        <w:rPr>
          <w:rFonts w:hAnsi="宋体" w:cs="宋体"/>
          <w:sz w:val="21"/>
        </w:rPr>
      </w:pPr>
      <w:r/>
      <w:bookmarkStart w:id="263" w:name="_Toc25491"/>
      <w:r/>
      <w:bookmarkStart w:id="264" w:name="_Toc8829"/>
      <w:r>
        <w:rPr>
          <w:rFonts w:hint="eastAsia" w:hAnsi="宋体" w:cs="宋体"/>
          <w:sz w:val="21"/>
        </w:rPr>
        <w:t xml:space="preserve">14.4 货物在交付甲方前发生的风险均由乙方负责。</w:t>
      </w:r>
      <w:bookmarkEnd w:id="263"/>
      <w:r/>
      <w:bookmarkEnd w:id="264"/>
      <w:r/>
      <w:r/>
    </w:p>
    <w:p>
      <w:pPr>
        <w:pStyle w:val="821"/>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821"/>
        <w:ind w:firstLine="422"/>
        <w:spacing w:before="120" w:after="120" w:line="360" w:lineRule="auto"/>
        <w:rPr>
          <w:rFonts w:hAnsi="宋体"/>
          <w:b/>
          <w:bCs/>
          <w:sz w:val="21"/>
        </w:rPr>
        <w:outlineLvl w:val="1"/>
      </w:pPr>
      <w:r/>
      <w:bookmarkStart w:id="265" w:name="_Toc26976"/>
      <w:r/>
      <w:bookmarkStart w:id="266" w:name="_Toc6713"/>
      <w:r/>
      <w:bookmarkStart w:id="267" w:name="_Toc2094"/>
      <w:r>
        <w:rPr>
          <w:rFonts w:hint="eastAsia" w:hAnsi="宋体"/>
          <w:b/>
          <w:bCs/>
          <w:sz w:val="21"/>
        </w:rPr>
        <w:t xml:space="preserve">十五、违约责任</w:t>
      </w:r>
      <w:bookmarkEnd w:id="265"/>
      <w:r/>
      <w:bookmarkEnd w:id="266"/>
      <w:r/>
      <w:bookmarkEnd w:id="267"/>
      <w:r/>
      <w:r/>
    </w:p>
    <w:p>
      <w:pPr>
        <w:pStyle w:val="821"/>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821"/>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821"/>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21"/>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21"/>
        <w:ind w:firstLine="422"/>
        <w:spacing w:before="120" w:after="120" w:line="360" w:lineRule="auto"/>
        <w:rPr>
          <w:rFonts w:hAnsi="宋体"/>
          <w:b/>
          <w:bCs/>
          <w:sz w:val="21"/>
        </w:rPr>
        <w:outlineLvl w:val="1"/>
      </w:pPr>
      <w:r/>
      <w:bookmarkStart w:id="268" w:name="_Toc3759"/>
      <w:r/>
      <w:bookmarkStart w:id="269" w:name="_Toc31708"/>
      <w:r/>
      <w:bookmarkStart w:id="270" w:name="_Toc6061"/>
      <w:r>
        <w:rPr>
          <w:rFonts w:hint="eastAsia" w:hAnsi="宋体"/>
          <w:b/>
          <w:bCs/>
          <w:sz w:val="21"/>
        </w:rPr>
        <w:t xml:space="preserve">十六、不可抗力事件处理</w:t>
      </w:r>
      <w:bookmarkEnd w:id="268"/>
      <w:r/>
      <w:bookmarkEnd w:id="269"/>
      <w:r/>
      <w:bookmarkEnd w:id="270"/>
      <w:r/>
      <w:r/>
    </w:p>
    <w:p>
      <w:pPr>
        <w:pStyle w:val="821"/>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821"/>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821"/>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821"/>
        <w:ind w:firstLine="422"/>
        <w:spacing w:before="120" w:after="120" w:line="360" w:lineRule="auto"/>
        <w:rPr>
          <w:rFonts w:hAnsi="宋体"/>
          <w:b/>
          <w:bCs/>
          <w:sz w:val="21"/>
        </w:rPr>
        <w:outlineLvl w:val="1"/>
      </w:pPr>
      <w:r/>
      <w:bookmarkStart w:id="271" w:name="_Toc25035"/>
      <w:r/>
      <w:bookmarkStart w:id="272" w:name="_Toc13294"/>
      <w:r/>
      <w:bookmarkStart w:id="273" w:name="_Toc22801"/>
      <w:r>
        <w:rPr>
          <w:rFonts w:hint="eastAsia" w:hAnsi="宋体"/>
          <w:b/>
          <w:bCs/>
          <w:sz w:val="21"/>
        </w:rPr>
        <w:t xml:space="preserve">十七、诉讼</w:t>
      </w:r>
      <w:bookmarkEnd w:id="271"/>
      <w:r/>
      <w:bookmarkEnd w:id="272"/>
      <w:r/>
      <w:bookmarkEnd w:id="273"/>
      <w:r/>
      <w:r/>
    </w:p>
    <w:p>
      <w:pPr>
        <w:pStyle w:val="821"/>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双方在执行合同中所发生的一切争议，应通过协商解决。如协商不成，可向合同签订地法院起诉，合同签订地在此约定为高邮市。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21"/>
        <w:ind w:firstLine="422"/>
        <w:spacing w:before="120" w:after="120" w:line="360" w:lineRule="auto"/>
        <w:rPr>
          <w:rFonts w:hAnsi="宋体"/>
          <w:b/>
          <w:bCs/>
          <w:sz w:val="21"/>
        </w:rPr>
        <w:outlineLvl w:val="1"/>
      </w:pPr>
      <w:r/>
      <w:bookmarkStart w:id="274" w:name="_Toc12423"/>
      <w:r/>
      <w:bookmarkStart w:id="275" w:name="_Toc30435"/>
      <w:r/>
      <w:bookmarkStart w:id="276" w:name="_Toc19595"/>
      <w:r>
        <w:rPr>
          <w:rFonts w:hint="eastAsia" w:hAnsi="宋体"/>
          <w:b/>
          <w:bCs/>
          <w:sz w:val="21"/>
        </w:rPr>
        <w:t xml:space="preserve">十九、合同生效及其它</w:t>
      </w:r>
      <w:bookmarkEnd w:id="274"/>
      <w:r/>
      <w:bookmarkEnd w:id="275"/>
      <w:r/>
      <w:bookmarkEnd w:id="276"/>
      <w:r/>
      <w:bookmarkEnd w:id="208"/>
      <w:r/>
      <w:r/>
    </w:p>
    <w:p>
      <w:pPr>
        <w:pStyle w:val="821"/>
        <w:ind w:firstLine="420"/>
        <w:spacing w:before="120" w:after="120" w:line="360" w:lineRule="auto"/>
        <w:rPr>
          <w:rFonts w:hAnsi="宋体" w:cs="宋体"/>
          <w:sz w:val="24"/>
          <w:szCs w:val="24"/>
        </w:rPr>
      </w:pPr>
      <w:r/>
      <w:bookmarkStart w:id="277" w:name="_Toc9901"/>
      <w:r/>
      <w:bookmarkStart w:id="278" w:name="_Toc27373"/>
      <w:r/>
      <w:bookmarkStart w:id="279" w:name="_Toc15511"/>
      <w:r/>
      <w:bookmarkStart w:id="280" w:name="_Toc150173460"/>
      <w:r>
        <w:rPr>
          <w:rFonts w:hint="eastAsia" w:hAnsi="宋体" w:cs="宋体"/>
          <w:sz w:val="24"/>
          <w:szCs w:val="24"/>
        </w:rPr>
        <w:t xml:space="preserve">19.1 合同经双方法定代表人签章并加盖单位公章，并经扬州华泽工程项目管理咨询有限公司见证盖章后生效。</w:t>
      </w:r>
      <w:r/>
    </w:p>
    <w:p>
      <w:pPr>
        <w:pStyle w:val="821"/>
        <w:ind w:firstLine="420"/>
        <w:spacing w:before="120" w:after="120" w:line="360" w:lineRule="auto"/>
        <w:rPr>
          <w:rFonts w:hAnsi="宋体" w:cs="宋体"/>
          <w:sz w:val="24"/>
          <w:szCs w:val="24"/>
        </w:rPr>
      </w:pPr>
      <w:r>
        <w:rPr>
          <w:rFonts w:hint="eastAsia" w:hAnsi="宋体" w:cs="宋体"/>
          <w:sz w:val="24"/>
          <w:szCs w:val="24"/>
        </w:rPr>
        <w:t xml:space="preserve">19.2 本合同未尽事宜，遵照《民法典》有关条文执行。</w:t>
      </w:r>
      <w:r/>
    </w:p>
    <w:p>
      <w:pPr>
        <w:pStyle w:val="821"/>
        <w:ind w:firstLine="420"/>
        <w:spacing w:before="120" w:after="120" w:line="360" w:lineRule="auto"/>
        <w:rPr>
          <w:rFonts w:hAnsi="宋体" w:cs="宋体"/>
          <w:sz w:val="24"/>
          <w:szCs w:val="24"/>
        </w:rPr>
      </w:pPr>
      <w:r>
        <w:rPr>
          <w:rFonts w:hint="eastAsia" w:hAnsi="宋体" w:cs="宋体"/>
          <w:sz w:val="24"/>
          <w:szCs w:val="24"/>
        </w:rPr>
        <w:t xml:space="preserve">19.3 本合同正本一式四份，具有同等法律效力，甲方、乙方、见证方及财政监管部门各执一份。  </w:t>
      </w:r>
      <w:r/>
    </w:p>
    <w:tbl>
      <w:tblPr>
        <w:tblStyle w:val="813"/>
        <w:tblW w:w="9110" w:type="dxa"/>
        <w:tblInd w:w="27" w:type="dxa"/>
        <w:tblLayout w:type="fixed"/>
        <w:tblCellMar>
          <w:left w:w="108" w:type="dxa"/>
          <w:top w:w="0" w:type="dxa"/>
          <w:right w:w="108" w:type="dxa"/>
          <w:bottom w:w="0" w:type="dxa"/>
        </w:tblCellMar>
        <w:tblLook w:val="04A0" w:firstRow="1" w:lastRow="0" w:firstColumn="1" w:lastColumn="0" w:noHBand="0" w:noVBand="1"/>
      </w:tblPr>
      <w:tblGrid>
        <w:gridCol w:w="4927"/>
        <w:gridCol w:w="4183"/>
      </w:tblGrid>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21"/>
              <w:spacing w:before="120" w:after="120" w:line="360" w:lineRule="auto"/>
              <w:rPr>
                <w:rFonts w:hAnsi="宋体" w:cs="宋体"/>
                <w:sz w:val="24"/>
                <w:szCs w:val="24"/>
              </w:rPr>
            </w:pPr>
            <w:r>
              <w:rPr>
                <w:rFonts w:hint="eastAsia" w:hAnsi="宋体" w:cs="宋体"/>
                <w:sz w:val="24"/>
                <w:szCs w:val="24"/>
              </w:rPr>
              <w:t xml:space="preserve">甲方：高邮市农业农村局</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21"/>
              <w:spacing w:before="120" w:after="120" w:line="360" w:lineRule="auto"/>
              <w:rPr>
                <w:rFonts w:hAnsi="宋体" w:cs="宋体"/>
                <w:sz w:val="24"/>
                <w:szCs w:val="24"/>
              </w:rPr>
            </w:pPr>
            <w:r>
              <w:rPr>
                <w:rFonts w:hint="eastAsia" w:hAnsi="宋体" w:cs="宋体"/>
                <w:sz w:val="24"/>
                <w:szCs w:val="24"/>
              </w:rPr>
              <w:t xml:space="preserve">乙方：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21"/>
              <w:spacing w:before="120" w:after="120" w:line="360" w:lineRule="auto"/>
              <w:rPr>
                <w:rFonts w:hAnsi="宋体" w:cs="宋体"/>
                <w:sz w:val="24"/>
                <w:szCs w:val="24"/>
              </w:rPr>
            </w:pPr>
            <w:r>
              <w:rPr>
                <w:rFonts w:hint="eastAsia" w:hAnsi="宋体" w:cs="宋体"/>
                <w:sz w:val="24"/>
                <w:szCs w:val="24"/>
              </w:rPr>
              <w:t xml:space="preserve">地址：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21"/>
              <w:spacing w:before="120" w:after="120" w:line="360" w:lineRule="auto"/>
              <w:rPr>
                <w:rFonts w:hAnsi="宋体" w:cs="宋体"/>
                <w:sz w:val="24"/>
                <w:szCs w:val="24"/>
              </w:rPr>
            </w:pPr>
            <w:r>
              <w:rPr>
                <w:rFonts w:hint="eastAsia" w:hAnsi="宋体" w:cs="宋体"/>
                <w:sz w:val="24"/>
                <w:szCs w:val="24"/>
              </w:rPr>
              <w:t xml:space="preserve">地址：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21"/>
              <w:spacing w:before="120" w:after="120" w:line="360" w:lineRule="auto"/>
              <w:rPr>
                <w:rFonts w:hAnsi="宋体" w:cs="宋体"/>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21"/>
              <w:spacing w:before="120" w:after="120" w:line="360" w:lineRule="auto"/>
              <w:rPr>
                <w:rFonts w:hAnsi="宋体" w:cs="宋体"/>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21"/>
              <w:spacing w:before="120" w:after="120" w:line="360" w:lineRule="auto"/>
              <w:rPr>
                <w:rFonts w:hAnsi="宋体" w:cs="宋体"/>
                <w:sz w:val="24"/>
                <w:szCs w:val="24"/>
              </w:rPr>
            </w:pPr>
            <w:r>
              <w:rPr>
                <w:rFonts w:hint="eastAsia" w:hAnsi="宋体" w:cs="宋体"/>
                <w:sz w:val="24"/>
                <w:szCs w:val="24"/>
              </w:rPr>
              <w:t xml:space="preserve">日期：      年    月    日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21"/>
              <w:spacing w:before="120" w:after="120" w:line="360" w:lineRule="auto"/>
              <w:rPr>
                <w:rFonts w:hAnsi="宋体" w:cs="宋体"/>
                <w:sz w:val="24"/>
                <w:szCs w:val="24"/>
              </w:rPr>
            </w:pPr>
            <w:r>
              <w:rPr>
                <w:rFonts w:hint="eastAsia" w:hAnsi="宋体" w:cs="宋体"/>
                <w:sz w:val="24"/>
                <w:szCs w:val="24"/>
              </w:rPr>
              <w:t xml:space="preserve">日期：      年    月    日</w:t>
            </w:r>
            <w:r/>
          </w:p>
        </w:tc>
      </w:tr>
    </w:tbl>
    <w:p>
      <w:pPr>
        <w:pStyle w:val="821"/>
        <w:spacing w:before="120" w:after="120" w:line="360" w:lineRule="auto"/>
        <w:rPr>
          <w:rFonts w:hAnsi="宋体" w:cs="宋体"/>
          <w:sz w:val="24"/>
          <w:szCs w:val="24"/>
        </w:rPr>
      </w:pPr>
      <w:r>
        <w:rPr>
          <w:rFonts w:hint="eastAsia" w:hAnsi="宋体" w:cs="宋体"/>
          <w:sz w:val="24"/>
          <w:szCs w:val="24"/>
        </w:rPr>
        <w:t xml:space="preserve">见证方：扬州华泽工程项目管理咨询有限公司</w:t>
      </w:r>
      <w:r/>
    </w:p>
    <w:p>
      <w:pPr>
        <w:pStyle w:val="821"/>
        <w:spacing w:before="120" w:after="120" w:line="360" w:lineRule="auto"/>
        <w:rPr>
          <w:rFonts w:hAnsi="宋体" w:cs="宋体"/>
          <w:sz w:val="24"/>
          <w:szCs w:val="24"/>
        </w:rPr>
      </w:pPr>
      <w:r>
        <w:rPr>
          <w:rFonts w:hint="eastAsia" w:hAnsi="宋体" w:cs="宋体"/>
          <w:sz w:val="24"/>
          <w:szCs w:val="24"/>
        </w:rPr>
        <w:t xml:space="preserve">项目经办人： </w:t>
      </w:r>
      <w:r/>
    </w:p>
    <w:p>
      <w:pPr>
        <w:pStyle w:val="821"/>
        <w:spacing w:before="120" w:after="120" w:line="360" w:lineRule="auto"/>
        <w:rPr>
          <w:rFonts w:hAnsi="宋体" w:cs="宋体"/>
          <w:sz w:val="24"/>
          <w:szCs w:val="24"/>
        </w:rPr>
      </w:pPr>
      <w:r>
        <w:rPr>
          <w:rFonts w:hint="eastAsia" w:hAnsi="宋体" w:cs="宋体"/>
          <w:sz w:val="24"/>
          <w:szCs w:val="24"/>
        </w:rPr>
        <w:t xml:space="preserve">日期：     年   月    日</w:t>
      </w:r>
      <w:r/>
    </w:p>
    <w:p>
      <w:pPr>
        <w:pStyle w:val="809"/>
        <w:numPr>
          <w:ilvl w:val="0"/>
          <w:numId w:val="2"/>
        </w:numPr>
        <w:rPr>
          <w:sz w:val="32"/>
          <w:szCs w:val="32"/>
        </w:rPr>
      </w:pPr>
      <w:r>
        <w:rPr>
          <w:rFonts w:hint="eastAsia"/>
          <w:sz w:val="32"/>
          <w:szCs w:val="32"/>
        </w:rPr>
        <w:t xml:space="preserve">项目需求</w:t>
      </w:r>
      <w:bookmarkEnd w:id="277"/>
      <w:r/>
      <w:bookmarkEnd w:id="278"/>
      <w:r/>
      <w:bookmarkEnd w:id="279"/>
      <w:r/>
      <w:bookmarkEnd w:id="280"/>
      <w:r/>
      <w:r/>
    </w:p>
    <w:p>
      <w:pPr>
        <w:ind w:firstLine="310"/>
        <w:spacing w:line="360" w:lineRule="auto"/>
        <w:rPr>
          <w:rFonts w:ascii="宋体" w:hAnsi="宋体" w:cs="宋体"/>
          <w:b/>
          <w:bCs/>
          <w:szCs w:val="21"/>
        </w:rPr>
      </w:pPr>
      <w:r>
        <w:rPr>
          <w:rFonts w:hint="eastAsia" w:ascii="宋体" w:hAnsi="宋体" w:cs="宋体"/>
          <w:b/>
          <w:bCs/>
          <w:szCs w:val="21"/>
        </w:rPr>
        <w:t xml:space="preserve">一、项目概况</w:t>
      </w:r>
      <w:r/>
    </w:p>
    <w:p>
      <w:pPr>
        <w:ind w:firstLine="420"/>
        <w:spacing w:line="360" w:lineRule="auto"/>
        <w:rPr>
          <w:rFonts w:ascii="宋体" w:hAnsi="宋体" w:cs="宋体"/>
          <w:szCs w:val="21"/>
        </w:rPr>
      </w:pPr>
      <w:r>
        <w:rPr>
          <w:rFonts w:hint="eastAsia" w:ascii="宋体" w:hAnsi="宋体" w:cs="宋体"/>
          <w:b/>
          <w:szCs w:val="21"/>
        </w:rPr>
        <w:t xml:space="preserve">1、项目名称：</w:t>
      </w:r>
      <w:r>
        <w:rPr>
          <w:rFonts w:hint="eastAsia" w:ascii="宋体" w:hAnsi="宋体" w:cs="宋体"/>
          <w:szCs w:val="21"/>
        </w:rPr>
        <w:t xml:space="preserve">2024年中央农业防灾减灾和水利救灾资金（防灾减灾第三批）项目</w:t>
      </w:r>
      <w:r/>
    </w:p>
    <w:p>
      <w:pPr>
        <w:ind w:firstLine="420"/>
        <w:spacing w:line="360" w:lineRule="auto"/>
        <w:rPr>
          <w:rFonts w:ascii="宋体" w:hAnsi="宋体" w:cs="宋体"/>
          <w:szCs w:val="21"/>
        </w:rPr>
      </w:pPr>
      <w:r>
        <w:rPr>
          <w:rFonts w:hint="eastAsia" w:ascii="宋体" w:hAnsi="宋体" w:cs="宋体"/>
          <w:b/>
          <w:szCs w:val="21"/>
        </w:rPr>
        <w:t xml:space="preserve">2、供货期：</w:t>
      </w:r>
      <w:r>
        <w:rPr>
          <w:rFonts w:hint="eastAsia" w:ascii="宋体" w:hAnsi="宋体" w:cs="宋体"/>
          <w:szCs w:val="21"/>
        </w:rPr>
        <w:t xml:space="preserve">合同签订后7个工作日内供货至采购人指定地点</w:t>
      </w:r>
      <w:r/>
    </w:p>
    <w:p>
      <w:pPr>
        <w:ind w:firstLine="420"/>
        <w:spacing w:line="360" w:lineRule="auto"/>
        <w:rPr>
          <w:rFonts w:ascii="宋体" w:hAnsi="宋体" w:cs="宋体"/>
          <w:b/>
          <w:szCs w:val="21"/>
        </w:rPr>
      </w:pPr>
      <w:r>
        <w:rPr>
          <w:rFonts w:hint="eastAsia" w:ascii="宋体" w:hAnsi="宋体" w:cs="宋体"/>
          <w:b/>
          <w:szCs w:val="21"/>
        </w:rPr>
        <w:t xml:space="preserve">3、采购需求：</w:t>
      </w:r>
      <w:r/>
    </w:p>
    <w:p>
      <w:pPr>
        <w:ind w:firstLine="420"/>
        <w:spacing w:line="360" w:lineRule="auto"/>
        <w:rPr>
          <w:rFonts w:ascii="宋体" w:hAnsi="宋体" w:cs="宋体"/>
          <w:b/>
          <w:szCs w:val="21"/>
        </w:rPr>
      </w:pPr>
      <w:r>
        <w:rPr>
          <w:rFonts w:hint="eastAsia" w:ascii="宋体" w:hAnsi="宋体" w:cs="宋体"/>
          <w:b/>
          <w:szCs w:val="21"/>
        </w:rPr>
        <w:t xml:space="preserve">项目总预算371万元，分为6个采购包</w:t>
      </w:r>
      <w:r/>
    </w:p>
    <w:p>
      <w:pPr>
        <w:ind w:firstLine="420"/>
        <w:spacing w:line="360" w:lineRule="auto"/>
        <w:rPr>
          <w:rFonts w:ascii="宋体" w:hAnsi="宋体" w:cs="宋体"/>
          <w:szCs w:val="21"/>
        </w:rPr>
      </w:pPr>
      <w:r>
        <w:rPr>
          <w:rFonts w:hint="eastAsia" w:ascii="宋体" w:hAnsi="宋体" w:cs="宋体"/>
          <w:b/>
          <w:szCs w:val="21"/>
        </w:rPr>
      </w:r>
      <w:r>
        <w:rPr>
          <w:rFonts w:hint="eastAsia" w:ascii="宋体" w:hAnsi="宋体" w:cs="宋体"/>
          <w:b/>
          <w:szCs w:val="21"/>
        </w:rPr>
        <w:t xml:space="preserve">采购包1</w:t>
      </w:r>
      <w:r>
        <w:rPr>
          <w:rFonts w:hint="eastAsia" w:ascii="宋体" w:hAnsi="宋体" w:cs="宋体"/>
          <w:b/>
          <w:szCs w:val="21"/>
        </w:rPr>
        <w:t xml:space="preserve">：</w:t>
      </w:r>
      <w:r>
        <w:rPr>
          <w:rFonts w:hint="eastAsia" w:ascii="宋体" w:hAnsi="宋体" w:cs="宋体"/>
          <w:szCs w:val="21"/>
        </w:rPr>
        <w:t xml:space="preserve">40%氟环·稻瘟灵悬浮剂，三证齐全，登记水稻稻瘟病、纹枯病、稻曲病，规格80g/瓶和1000g/瓶，总预算56万元，最高限价10.4万元/吨。</w:t>
      </w:r>
      <w:r/>
    </w:p>
    <w:p>
      <w:pPr>
        <w:ind w:firstLine="420"/>
        <w:spacing w:line="360" w:lineRule="auto"/>
        <w:rPr>
          <w:rFonts w:ascii="宋体" w:hAnsi="宋体" w:cs="宋体"/>
          <w:szCs w:val="21"/>
        </w:rPr>
      </w:pPr>
      <w:r>
        <w:rPr>
          <w:rFonts w:hint="eastAsia" w:ascii="宋体" w:hAnsi="宋体" w:cs="宋体"/>
          <w:b/>
          <w:szCs w:val="21"/>
        </w:rPr>
      </w:r>
      <w:r>
        <w:rPr>
          <w:rFonts w:hint="eastAsia" w:ascii="宋体" w:hAnsi="宋体" w:cs="宋体"/>
          <w:b/>
          <w:szCs w:val="21"/>
        </w:rPr>
        <w:t xml:space="preserve">采购包2</w:t>
      </w:r>
      <w:r>
        <w:rPr>
          <w:rFonts w:hint="eastAsia" w:ascii="宋体" w:hAnsi="宋体" w:cs="宋体"/>
          <w:szCs w:val="21"/>
        </w:rPr>
        <w:t xml:space="preserve">：42%肟菌·戊唑醇悬浮剂，三证齐全，登记水稻稻瘟病、稻曲病，规格30g/瓶和1000g/瓶，总预算63万元，最高限价28.3万元/吨。</w:t>
      </w:r>
      <w:r/>
    </w:p>
    <w:p>
      <w:pPr>
        <w:ind w:firstLine="420"/>
        <w:spacing w:line="360" w:lineRule="auto"/>
        <w:rPr>
          <w:rFonts w:ascii="宋体" w:hAnsi="宋体" w:cs="宋体"/>
          <w:szCs w:val="21"/>
        </w:rPr>
      </w:pPr>
      <w:r>
        <w:rPr>
          <w:rFonts w:hint="eastAsia" w:ascii="宋体" w:hAnsi="宋体" w:cs="宋体"/>
          <w:b/>
          <w:szCs w:val="21"/>
        </w:rPr>
      </w:r>
      <w:r>
        <w:rPr>
          <w:rFonts w:hint="eastAsia" w:ascii="宋体" w:hAnsi="宋体" w:cs="宋体"/>
          <w:b/>
          <w:szCs w:val="21"/>
        </w:rPr>
        <w:t xml:space="preserve">采购包3</w:t>
      </w:r>
      <w:r>
        <w:rPr>
          <w:rFonts w:hint="eastAsia" w:ascii="宋体" w:hAnsi="宋体" w:cs="宋体"/>
          <w:b/>
          <w:szCs w:val="21"/>
        </w:rPr>
        <w:t xml:space="preserve">：</w:t>
      </w:r>
      <w:r>
        <w:rPr>
          <w:rFonts w:hint="eastAsia" w:ascii="宋体" w:hAnsi="宋体" w:cs="宋体"/>
          <w:szCs w:val="21"/>
        </w:rPr>
        <w:t xml:space="preserve">33.6%井冈·嘧菌酯悬浮剂，三证齐全，登记水稻稻瘟病、纹枯病，规格30克/瓶和1000克/瓶，总预算57万元，最高限价21万元/吨。</w:t>
      </w:r>
      <w:r/>
    </w:p>
    <w:p>
      <w:pPr>
        <w:ind w:firstLine="420"/>
        <w:spacing w:line="360" w:lineRule="auto"/>
        <w:rPr>
          <w:rFonts w:ascii="宋体" w:hAnsi="宋体" w:cs="宋体"/>
          <w:szCs w:val="21"/>
        </w:rPr>
      </w:pPr>
      <w:r>
        <w:rPr>
          <w:rFonts w:hint="eastAsia" w:ascii="宋体" w:hAnsi="宋体" w:cs="宋体"/>
          <w:b/>
          <w:szCs w:val="21"/>
        </w:rPr>
      </w:r>
      <w:r>
        <w:rPr>
          <w:rFonts w:hint="eastAsia" w:ascii="宋体" w:hAnsi="宋体" w:cs="宋体"/>
          <w:b/>
          <w:szCs w:val="21"/>
        </w:rPr>
        <w:t xml:space="preserve">采购包4</w:t>
      </w:r>
      <w:r>
        <w:rPr>
          <w:rFonts w:hint="eastAsia" w:ascii="宋体" w:hAnsi="宋体" w:cs="宋体"/>
          <w:b/>
          <w:szCs w:val="21"/>
        </w:rPr>
        <w:t xml:space="preserve">：</w:t>
      </w:r>
      <w:r>
        <w:rPr>
          <w:rFonts w:hint="eastAsia" w:ascii="宋体" w:hAnsi="宋体" w:cs="宋体"/>
          <w:szCs w:val="21"/>
        </w:rPr>
        <w:t xml:space="preserve">23%醚菌·氟环唑悬浮剂，三证齐全，登记水稻稻瘟病、纹枯病，规格40g/瓶和1000g/瓶，总预算56万元，最高限价22万元/吨。</w:t>
      </w:r>
      <w:r/>
    </w:p>
    <w:p>
      <w:pPr>
        <w:ind w:firstLine="420"/>
        <w:spacing w:line="360" w:lineRule="auto"/>
        <w:rPr>
          <w:rFonts w:ascii="宋体" w:hAnsi="宋体" w:cs="宋体"/>
          <w:szCs w:val="21"/>
        </w:rPr>
      </w:pPr>
      <w:r>
        <w:rPr>
          <w:rFonts w:hint="eastAsia" w:ascii="宋体" w:hAnsi="宋体" w:cs="宋体"/>
          <w:b/>
          <w:szCs w:val="21"/>
        </w:rPr>
      </w:r>
      <w:r>
        <w:rPr>
          <w:rFonts w:hint="eastAsia" w:ascii="宋体" w:hAnsi="宋体" w:cs="宋体"/>
          <w:b/>
          <w:szCs w:val="21"/>
        </w:rPr>
        <w:t xml:space="preserve">采购包5</w:t>
      </w:r>
      <w:r>
        <w:rPr>
          <w:rFonts w:hint="eastAsia" w:ascii="宋体" w:hAnsi="宋体" w:cs="宋体"/>
          <w:b/>
          <w:szCs w:val="21"/>
        </w:rPr>
        <w:t xml:space="preserve">：</w:t>
      </w:r>
      <w:r>
        <w:rPr>
          <w:rFonts w:hint="eastAsia" w:ascii="宋体" w:hAnsi="宋体" w:cs="宋体"/>
          <w:szCs w:val="21"/>
        </w:rPr>
        <w:t xml:space="preserve">28%井冈•嘧菌酯悬浮剂，三证齐全，登记水稻稻瘟病、纹枯病、稻曲病，规格40g/瓶和1000g/瓶，总预算88万元，最高限价22.63万元/吨。</w:t>
      </w:r>
      <w:r/>
    </w:p>
    <w:p>
      <w:pPr>
        <w:ind w:firstLine="420"/>
        <w:spacing w:line="360" w:lineRule="auto"/>
        <w:rPr>
          <w:rFonts w:ascii="宋体" w:hAnsi="宋体" w:cs="宋体"/>
          <w:szCs w:val="21"/>
        </w:rPr>
      </w:pPr>
      <w:r>
        <w:rPr>
          <w:rFonts w:hint="eastAsia" w:ascii="宋体" w:hAnsi="宋体" w:cs="宋体"/>
          <w:b/>
          <w:szCs w:val="21"/>
        </w:rPr>
      </w:r>
      <w:r>
        <w:rPr>
          <w:rFonts w:hint="eastAsia" w:ascii="宋体" w:hAnsi="宋体" w:cs="宋体"/>
          <w:b/>
          <w:szCs w:val="21"/>
        </w:rPr>
        <w:t xml:space="preserve">采购包6</w:t>
      </w:r>
      <w:r>
        <w:rPr>
          <w:rFonts w:hint="eastAsia" w:ascii="宋体" w:hAnsi="宋体" w:cs="宋体"/>
          <w:b/>
          <w:szCs w:val="21"/>
        </w:rPr>
        <w:t xml:space="preserve">：</w:t>
      </w:r>
      <w:r>
        <w:rPr>
          <w:rFonts w:hint="eastAsia" w:ascii="宋体" w:hAnsi="宋体" w:cs="宋体"/>
          <w:szCs w:val="21"/>
        </w:rPr>
        <w:t xml:space="preserve">35%氟唑·嘧菌酯微囊悬浮-悬浮剂，三证齐全，登记水稻稻瘟病、纹枯病、稻曲病，规格50ml/瓶和1000ml/瓶，总预算51万元，最高限价16万元/吨。</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根据乡镇统计农户实际种植面积确定大小包装数量，要求不同包装同单价。(须提供承诺书原件扫描上传)</w:t>
      </w:r>
      <w:r/>
    </w:p>
    <w:p>
      <w:pPr>
        <w:ind w:firstLine="420"/>
        <w:spacing w:line="360" w:lineRule="auto"/>
        <w:rPr>
          <w:rFonts w:ascii="宋体" w:hAnsi="宋体" w:cs="宋体"/>
          <w:b/>
          <w:szCs w:val="21"/>
        </w:rPr>
      </w:pPr>
      <w:r>
        <w:rPr>
          <w:rFonts w:hint="eastAsia" w:ascii="宋体" w:hAnsi="宋体" w:cs="宋体"/>
          <w:b/>
          <w:szCs w:val="21"/>
        </w:rPr>
        <w:t xml:space="preserve">4、投标报价说明</w:t>
      </w:r>
      <w:r/>
    </w:p>
    <w:p>
      <w:pPr>
        <w:ind w:firstLine="420"/>
        <w:spacing w:line="360" w:lineRule="auto"/>
        <w:rPr>
          <w:rFonts w:ascii="宋体" w:hAnsi="宋体" w:cs="宋体"/>
          <w:szCs w:val="21"/>
        </w:rPr>
      </w:pPr>
      <w:r>
        <w:rPr>
          <w:rFonts w:hint="eastAsia" w:ascii="宋体" w:hAnsi="宋体" w:cs="宋体"/>
          <w:szCs w:val="21"/>
        </w:rPr>
        <w:t xml:space="preserve">4.1、本项目开标一览表填报内容为所投产品投标单价。</w:t>
      </w:r>
      <w:r/>
    </w:p>
    <w:p>
      <w:pPr>
        <w:ind w:firstLine="420"/>
        <w:spacing w:line="360" w:lineRule="auto"/>
        <w:rPr>
          <w:rFonts w:ascii="宋体" w:hAnsi="宋体" w:cs="宋体"/>
          <w:szCs w:val="21"/>
        </w:rPr>
      </w:pPr>
      <w:r>
        <w:rPr>
          <w:rFonts w:hint="eastAsia" w:ascii="宋体" w:hAnsi="宋体" w:cs="宋体"/>
          <w:szCs w:val="21"/>
        </w:rPr>
        <w:t xml:space="preserve">4.2、报价超过最高限价的为无效报价，按照无效响应处理。数量：在不超过最高限单价及项目预算资金内所能提供的最多货物数量。</w:t>
      </w:r>
      <w:r/>
    </w:p>
    <w:p>
      <w:pPr>
        <w:ind w:firstLine="420"/>
        <w:spacing w:line="360" w:lineRule="auto"/>
        <w:rPr>
          <w:rFonts w:ascii="宋体" w:hAnsi="宋体" w:cs="宋体"/>
          <w:i/>
          <w:iCs/>
          <w:szCs w:val="21"/>
          <w:u w:val="single"/>
        </w:rPr>
      </w:pPr>
      <w:r>
        <w:rPr>
          <w:rFonts w:hint="eastAsia" w:ascii="宋体" w:hAnsi="宋体" w:cs="宋体"/>
          <w:szCs w:val="21"/>
        </w:rPr>
        <w:t xml:space="preserve">4.3、</w:t>
      </w:r>
      <w:r>
        <w:rPr>
          <w:rFonts w:hint="eastAsia" w:ascii="宋体" w:hAnsi="宋体" w:cs="宋体"/>
          <w:i/>
          <w:iCs/>
          <w:szCs w:val="21"/>
          <w:u w:val="single"/>
        </w:rPr>
        <w:t xml:space="preserve">投标人所投产品单价不得超过同期市场零售价，不得显著高于同期省内其他地方政府采购中标价(须提供承诺书原件扫描上传)</w:t>
      </w:r>
      <w:r/>
    </w:p>
    <w:p>
      <w:pPr>
        <w:ind w:firstLine="367"/>
        <w:spacing w:line="360" w:lineRule="auto"/>
        <w:rPr>
          <w:rFonts w:ascii="宋体" w:hAnsi="宋体" w:cs="宋体"/>
          <w:szCs w:val="21"/>
        </w:rPr>
      </w:pPr>
      <w:r>
        <w:rPr>
          <w:rFonts w:hint="eastAsia" w:ascii="宋体" w:hAnsi="宋体" w:cs="宋体"/>
          <w:szCs w:val="21"/>
        </w:rPr>
        <w:t xml:space="preserve">4.4、本项目分6个采购包，供应商可以投标其中的多个包，但只可按开包顺序中其中一个包（本项目按1-6顺序依次开包）。</w:t>
      </w:r>
      <w:r/>
    </w:p>
    <w:p>
      <w:pPr>
        <w:ind w:firstLine="310"/>
        <w:spacing w:line="360" w:lineRule="auto"/>
        <w:rPr>
          <w:rFonts w:ascii="宋体" w:hAnsi="宋体" w:cs="宋体"/>
          <w:b/>
          <w:bCs/>
          <w:szCs w:val="21"/>
        </w:rPr>
      </w:pPr>
      <w:r>
        <w:rPr>
          <w:rFonts w:hint="eastAsia" w:ascii="宋体" w:hAnsi="宋体" w:cs="宋体"/>
          <w:b/>
          <w:bCs/>
          <w:szCs w:val="21"/>
        </w:rPr>
        <w:t xml:space="preserve">二、其他要求：</w:t>
      </w:r>
      <w:r/>
    </w:p>
    <w:p>
      <w:pPr>
        <w:ind w:firstLine="420"/>
        <w:spacing w:line="360" w:lineRule="auto"/>
        <w:rPr>
          <w:rFonts w:ascii="宋体" w:hAnsi="宋体" w:cs="宋体"/>
          <w:szCs w:val="21"/>
        </w:rPr>
      </w:pPr>
      <w:r>
        <w:rPr>
          <w:rFonts w:hint="eastAsia" w:ascii="宋体" w:hAnsi="宋体" w:cs="宋体"/>
          <w:szCs w:val="21"/>
        </w:rPr>
        <w:t xml:space="preserve">1、投标供应商能按采购人要求将农药及时供应到指定乡镇，并完成卸货。供应商如提供假、冒、伪、劣商品，将按政府采购法的有关规定处罚。</w:t>
      </w:r>
      <w:r/>
    </w:p>
    <w:p>
      <w:pPr>
        <w:ind w:firstLine="420"/>
        <w:spacing w:line="360" w:lineRule="auto"/>
        <w:rPr>
          <w:rFonts w:ascii="宋体" w:hAnsi="宋体" w:cs="宋体"/>
          <w:szCs w:val="21"/>
        </w:rPr>
      </w:pPr>
      <w:r>
        <w:rPr>
          <w:rFonts w:hint="eastAsia" w:ascii="宋体" w:hAnsi="宋体" w:cs="宋体"/>
          <w:szCs w:val="21"/>
        </w:rPr>
        <w:t xml:space="preserve">2、本次采购中标后不允许转包、分包。</w:t>
      </w:r>
      <w:r/>
    </w:p>
    <w:p>
      <w:pPr>
        <w:ind w:firstLine="420"/>
        <w:spacing w:line="360" w:lineRule="auto"/>
        <w:rPr>
          <w:rFonts w:ascii="宋体" w:hAnsi="宋体" w:cs="宋体"/>
          <w:szCs w:val="21"/>
        </w:rPr>
      </w:pPr>
      <w:r>
        <w:rPr>
          <w:rFonts w:hint="eastAsia" w:ascii="宋体" w:hAnsi="宋体" w:cs="宋体"/>
          <w:szCs w:val="21"/>
        </w:rPr>
        <w:t xml:space="preserve">3、投标报价应为完成本次采购所需的全部费用，包括产品生产、运输、配送、卸货、售后服务、税金、抽样检测以及供货全部工作需支付的一切费用和拟获得的利润，并考虑应承担的风险。</w:t>
      </w:r>
      <w:r/>
    </w:p>
    <w:p>
      <w:pPr>
        <w:ind w:firstLine="420"/>
        <w:spacing w:line="360" w:lineRule="auto"/>
        <w:rPr>
          <w:rFonts w:ascii="宋体" w:hAnsi="宋体" w:cs="宋体"/>
          <w:szCs w:val="21"/>
        </w:rPr>
      </w:pPr>
      <w:r>
        <w:rPr>
          <w:rFonts w:hint="eastAsia" w:ascii="宋体" w:hAnsi="宋体" w:cs="宋体"/>
          <w:szCs w:val="21"/>
        </w:rPr>
        <w:t xml:space="preserve">4、采购方抽检中标方所供产品送第三方检测机构检测，质量以第三方检测报告为准。检测费用由中标方支付。如果检测不合格，货物不予退还，中标方须重新提供合格产品，并建议主管部门列入政府采购不诚信名单。</w:t>
      </w:r>
      <w:r/>
    </w:p>
    <w:p>
      <w:pPr>
        <w:pStyle w:val="827"/>
        <w:ind w:firstLine="422"/>
        <w:rPr>
          <w:rFonts w:ascii="宋体" w:hAnsi="宋体" w:cs="宋体"/>
          <w:b/>
          <w:bCs/>
          <w:szCs w:val="21"/>
        </w:rPr>
      </w:pPr>
      <w:r>
        <w:rPr>
          <w:rFonts w:hint="eastAsia" w:ascii="宋体" w:hAnsi="宋体" w:cs="宋体"/>
          <w:b/>
          <w:bCs/>
          <w:iCs/>
          <w:szCs w:val="21"/>
          <w:u w:val="single"/>
        </w:rPr>
        <w:t xml:space="preserve">5、货物生产日期：2024年1月1日以后。</w:t>
      </w:r>
      <w:r/>
    </w:p>
    <w:p>
      <w:pPr>
        <w:pStyle w:val="837"/>
        <w:ind w:firstLine="422"/>
        <w:spacing w:line="420" w:lineRule="exact"/>
        <w:rPr>
          <w:rFonts w:ascii="宋体" w:hAnsi="宋体" w:cs="宋体"/>
          <w:b/>
          <w:bCs/>
          <w:iCs/>
          <w:szCs w:val="21"/>
          <w:u w:val="single"/>
        </w:rPr>
      </w:pPr>
      <w:r>
        <w:rPr>
          <w:rFonts w:hint="eastAsia" w:ascii="宋体" w:hAnsi="宋体" w:cs="宋体"/>
          <w:b/>
          <w:bCs/>
          <w:iCs/>
          <w:szCs w:val="21"/>
          <w:u w:val="single"/>
        </w:rPr>
        <w:t xml:space="preserve">6、如为经销商投标，须提供农药经营许可证和营业执照，并承诺在中标后、合同签订前提供所投产品生产厂家授权证书。（承诺书格式自拟）</w:t>
      </w:r>
      <w:r/>
    </w:p>
    <w:p>
      <w:pPr>
        <w:pStyle w:val="837"/>
        <w:ind w:firstLine="422"/>
        <w:spacing w:line="420" w:lineRule="exact"/>
        <w:rPr>
          <w:rFonts w:ascii="宋体" w:hAnsi="宋体" w:cs="宋体"/>
          <w:b/>
          <w:bCs/>
          <w:iCs/>
          <w:szCs w:val="21"/>
          <w:u w:val="single"/>
        </w:rPr>
      </w:pPr>
      <w:r>
        <w:rPr>
          <w:rFonts w:hint="eastAsia" w:ascii="宋体" w:hAnsi="宋体" w:cs="宋体"/>
          <w:b/>
          <w:bCs/>
          <w:iCs/>
          <w:szCs w:val="21"/>
          <w:u w:val="single"/>
        </w:rPr>
        <w:t xml:space="preserve">7、投标人具有所投产品农药登记证、农药生产许可证、农药标准文号，投标供应产品的各项技术指标与登记的产品相同，且在有效期内（提供加盖生产企业公章的“三证”原件或扫描件）。</w:t>
      </w:r>
      <w:r/>
    </w:p>
    <w:p>
      <w:pPr>
        <w:pStyle w:val="837"/>
        <w:ind w:firstLine="422"/>
        <w:spacing w:line="420" w:lineRule="exact"/>
        <w:rPr>
          <w:rFonts w:ascii="宋体" w:hAnsi="宋体" w:cs="宋体"/>
          <w:b/>
          <w:bCs/>
          <w:iCs/>
          <w:szCs w:val="21"/>
          <w:u w:val="single"/>
        </w:rPr>
      </w:pPr>
      <w:r>
        <w:rPr>
          <w:rFonts w:hint="eastAsia" w:ascii="宋体" w:hAnsi="宋体" w:cs="宋体"/>
          <w:b/>
          <w:bCs/>
          <w:iCs/>
          <w:szCs w:val="21"/>
          <w:u w:val="single"/>
        </w:rPr>
        <w:t xml:space="preserve">8、所投产品质量符合相关标准，投标企业应提供具备法定检测资质的第三方省级或省级以上检测机构2022年以来出具的质量检测报告。（提供原件扫描上传）</w:t>
      </w:r>
      <w:r/>
    </w:p>
    <w:p>
      <w:r/>
      <w:r/>
    </w:p>
    <w:p>
      <w:pPr>
        <w:pStyle w:val="809"/>
      </w:pPr>
      <w:r/>
      <w:bookmarkStart w:id="281" w:name="_Toc150173461"/>
      <w:r/>
      <w:bookmarkStart w:id="282" w:name="_Toc55204181"/>
      <w:r/>
      <w:bookmarkStart w:id="283" w:name="_Toc5863"/>
      <w:r/>
      <w:bookmarkStart w:id="284" w:name="_Toc24514"/>
      <w:r/>
      <w:bookmarkStart w:id="285" w:name="_Toc32069"/>
      <w:r>
        <w:rPr>
          <w:rFonts w:hint="eastAsia"/>
        </w:rPr>
        <w:t xml:space="preserve">第五章 评标方法及评标标准</w:t>
      </w:r>
      <w:bookmarkEnd w:id="281"/>
      <w:r/>
      <w:bookmarkEnd w:id="282"/>
      <w:r/>
      <w:bookmarkEnd w:id="283"/>
      <w:r/>
      <w:bookmarkEnd w:id="284"/>
      <w:r/>
      <w:bookmarkEnd w:id="285"/>
      <w:r/>
      <w:r/>
    </w:p>
    <w:p>
      <w:pPr>
        <w:pStyle w:val="1011"/>
        <w:ind w:firstLine="422"/>
        <w:rPr>
          <w:rFonts w:ascii="宋体" w:hAnsi="宋体"/>
          <w:b/>
          <w:sz w:val="21"/>
          <w:szCs w:val="21"/>
        </w:rPr>
      </w:pPr>
      <w:r/>
      <w:bookmarkStart w:id="286" w:name="_Toc3797"/>
      <w:r/>
      <w:bookmarkStart w:id="287" w:name="_Toc4655"/>
      <w:r/>
      <w:bookmarkStart w:id="288" w:name="_Toc449017024"/>
      <w:r/>
      <w:bookmarkStart w:id="289" w:name="_Toc26045"/>
      <w:r/>
      <w:bookmarkStart w:id="290" w:name="_Toc449016388"/>
      <w:r>
        <w:rPr>
          <w:rFonts w:hint="eastAsia" w:ascii="宋体" w:hAnsi="宋体"/>
          <w:b/>
          <w:sz w:val="21"/>
          <w:szCs w:val="21"/>
        </w:rPr>
        <w:t xml:space="preserve">一、评标方法</w:t>
      </w:r>
      <w:r/>
    </w:p>
    <w:p>
      <w:pPr>
        <w:pStyle w:val="1011"/>
        <w:ind w:firstLine="420"/>
        <w:rPr>
          <w:rFonts w:ascii="宋体" w:hAnsi="宋体"/>
          <w:sz w:val="21"/>
          <w:szCs w:val="21"/>
        </w:rPr>
      </w:pPr>
      <w:r>
        <w:rPr>
          <w:rFonts w:hint="eastAsia" w:ascii="宋体" w:hAnsi="宋体"/>
          <w:sz w:val="21"/>
          <w:szCs w:val="21"/>
        </w:rPr>
        <w:t xml:space="preserve">本项目采用最低评标价法，投标文件满足招标文件全部实质性要求，且投标报价最低的投标人为中标候选人的评标方法。</w:t>
      </w:r>
      <w:r/>
    </w:p>
    <w:p>
      <w:pPr>
        <w:pStyle w:val="1011"/>
        <w:ind w:firstLine="420"/>
        <w:rPr>
          <w:rFonts w:ascii="宋体" w:hAnsi="宋体"/>
          <w:sz w:val="21"/>
          <w:szCs w:val="21"/>
        </w:rPr>
      </w:pPr>
      <w:r>
        <w:rPr>
          <w:rFonts w:hint="eastAsia" w:ascii="宋体" w:hAnsi="宋体"/>
          <w:sz w:val="21"/>
          <w:szCs w:val="21"/>
        </w:rPr>
        <w:t xml:space="preserve">采用最低评标价法评标时，除了算术修正和落实政府采购政策需进行的价格扣除外，不能对投标人的投标价格进行任何调整。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共分为采购包1、采购包2、采购包3、采购包4、采购包5、采购包6共六个包段，投标人可同时进行六个采购包的投标，但最多只能中一个采购包，评标时，依开标顺序（按采购包1到采购包6自然顺序开标），确定该采购包的中标供应商，供应商中标后其则不再具有其它采购包的中标资格。</w:t>
      </w:r>
      <w:r>
        <w:rPr>
          <w:sz w:val="22"/>
        </w:rPr>
      </w:r>
      <w:r/>
    </w:p>
    <w:p>
      <w:pPr>
        <w:ind w:firstLine="422"/>
        <w:spacing w:line="360" w:lineRule="auto"/>
        <w:rPr>
          <w:rFonts w:ascii="宋体" w:hAnsi="宋体"/>
          <w:b/>
          <w:szCs w:val="21"/>
        </w:rPr>
        <w:outlineLvl w:val="1"/>
      </w:pPr>
      <w:r>
        <w:rPr>
          <w:rFonts w:ascii="宋体" w:hAnsi="宋体"/>
          <w:b/>
          <w:szCs w:val="21"/>
        </w:rPr>
        <w:t xml:space="preserve">二、</w:t>
      </w:r>
      <w:r>
        <w:rPr>
          <w:rFonts w:hint="eastAsia" w:ascii="宋体" w:hAnsi="宋体"/>
          <w:b/>
          <w:szCs w:val="21"/>
        </w:rPr>
        <w:t xml:space="preserve">政府采购政策功能落实</w:t>
      </w:r>
      <w:bookmarkEnd w:id="286"/>
      <w:r/>
      <w:bookmarkEnd w:id="287"/>
      <w:r/>
      <w:bookmarkEnd w:id="288"/>
      <w:r/>
      <w:bookmarkEnd w:id="289"/>
      <w:r/>
      <w:bookmarkEnd w:id="290"/>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1"/>
        <w:ind w:firstLine="420"/>
        <w:rPr>
          <w:rFonts w:ascii="宋体" w:hAnsi="宋体"/>
          <w:sz w:val="21"/>
          <w:szCs w:val="21"/>
        </w:rPr>
      </w:pPr>
      <w:r/>
      <w:bookmarkStart w:id="291" w:name="_Toc11869"/>
      <w:r/>
      <w:bookmarkStart w:id="292" w:name="_Toc26152"/>
      <w:r>
        <w:rPr>
          <w:rFonts w:hint="eastAsia" w:ascii="宋体" w:hAnsi="宋体"/>
          <w:sz w:val="21"/>
          <w:szCs w:val="21"/>
        </w:rPr>
        <w:t xml:space="preserve">1、小微型企业价格扣除</w:t>
      </w:r>
      <w:bookmarkEnd w:id="291"/>
      <w:r/>
      <w:bookmarkEnd w:id="292"/>
      <w:r/>
      <w:r/>
    </w:p>
    <w:p>
      <w:pPr>
        <w:pStyle w:val="1011"/>
        <w:ind w:firstLine="420"/>
        <w:rPr>
          <w:rFonts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1011"/>
        <w:ind w:firstLine="420"/>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1011"/>
        <w:ind w:firstLine="420"/>
        <w:rPr>
          <w:rFonts w:ascii="宋体" w:hAnsi="宋体"/>
          <w:sz w:val="21"/>
          <w:szCs w:val="21"/>
        </w:rPr>
      </w:pPr>
      <w:r/>
      <w:bookmarkStart w:id="293" w:name="_Toc23434"/>
      <w:r/>
      <w:bookmarkStart w:id="294" w:name="_Toc32176"/>
      <w:r>
        <w:rPr>
          <w:rFonts w:hint="eastAsia" w:ascii="宋体" w:hAnsi="宋体"/>
          <w:sz w:val="21"/>
          <w:szCs w:val="21"/>
        </w:rPr>
        <w:t xml:space="preserve">2、残疾人福利单位价格扣除</w:t>
      </w:r>
      <w:bookmarkEnd w:id="293"/>
      <w:r/>
      <w:bookmarkEnd w:id="294"/>
      <w:r/>
      <w:r/>
    </w:p>
    <w:p>
      <w:pPr>
        <w:pStyle w:val="1011"/>
        <w:ind w:firstLine="420"/>
        <w:rPr>
          <w:rFonts w:ascii="宋体" w:hAnsi="宋体"/>
          <w:sz w:val="21"/>
          <w:szCs w:val="21"/>
        </w:rPr>
      </w:pPr>
      <w:r>
        <w:rPr>
          <w:rFonts w:hint="eastAsia" w:ascii="宋体" w:hAnsi="宋体"/>
          <w:sz w:val="21"/>
          <w:szCs w:val="21"/>
        </w:rPr>
        <w:t xml:space="preserve">（1）本项目对残疾人福利性单位视同小型、微型企业，给予20%的价格扣除，用扣除后的价格参与评审。</w:t>
      </w:r>
      <w:r/>
    </w:p>
    <w:p>
      <w:pPr>
        <w:pStyle w:val="1011"/>
        <w:ind w:firstLine="42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11"/>
        <w:ind w:firstLine="420"/>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1011"/>
        <w:ind w:firstLine="420"/>
        <w:rPr>
          <w:rFonts w:ascii="宋体" w:hAnsi="宋体"/>
          <w:sz w:val="21"/>
          <w:szCs w:val="21"/>
        </w:rPr>
      </w:pPr>
      <w:r/>
      <w:bookmarkStart w:id="295" w:name="_Toc31272"/>
      <w:r/>
      <w:bookmarkStart w:id="296" w:name="_Toc18929"/>
      <w:r>
        <w:rPr>
          <w:rFonts w:hint="eastAsia" w:ascii="宋体" w:hAnsi="宋体"/>
          <w:sz w:val="21"/>
          <w:szCs w:val="21"/>
        </w:rPr>
        <w:t xml:space="preserve">3、监狱和戒毒企业价格扣除</w:t>
      </w:r>
      <w:bookmarkEnd w:id="295"/>
      <w:r/>
      <w:bookmarkEnd w:id="296"/>
      <w:r/>
      <w:r/>
    </w:p>
    <w:p>
      <w:pPr>
        <w:pStyle w:val="1011"/>
        <w:ind w:firstLine="420"/>
        <w:rPr>
          <w:rFonts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p>
    <w:p>
      <w:pPr>
        <w:pStyle w:val="1011"/>
        <w:ind w:firstLine="42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1"/>
        <w:ind w:firstLine="42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011"/>
        <w:ind w:firstLine="42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011"/>
        <w:ind w:firstLine="420"/>
        <w:rPr>
          <w:rFonts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spacing w:line="480" w:lineRule="auto"/>
        <w:rPr>
          <w:rFonts w:ascii="宋体" w:hAnsi="宋体"/>
          <w:szCs w:val="21"/>
        </w:rPr>
      </w:pPr>
      <w:r>
        <w:rPr>
          <w:rFonts w:hint="eastAsia" w:ascii="宋体" w:hAnsi="宋体" w:cs="宋体"/>
          <w:b/>
          <w:szCs w:val="21"/>
        </w:rPr>
        <w:t xml:space="preserve">注：本项目专门面对中小企业采购，故对小微、残疾人和监狱戒毒企业不做价格扣除优惠。</w:t>
      </w:r>
      <w:r/>
    </w:p>
    <w:p>
      <w:pPr>
        <w:pStyle w:val="809"/>
      </w:pPr>
      <w:r/>
      <w:bookmarkStart w:id="297" w:name="_Toc10959"/>
      <w:r/>
      <w:bookmarkStart w:id="298" w:name="_Toc17490"/>
      <w:r/>
      <w:bookmarkStart w:id="299" w:name="_Toc4233"/>
      <w:r/>
      <w:bookmarkStart w:id="300" w:name="_Toc150173462"/>
      <w:r/>
      <w:r/>
    </w:p>
    <w:p>
      <w:r/>
      <w:r/>
    </w:p>
    <w:p>
      <w:r/>
      <w:r/>
    </w:p>
    <w:p>
      <w:r/>
      <w:r/>
    </w:p>
    <w:p>
      <w:pPr>
        <w:pStyle w:val="809"/>
      </w:pPr>
      <w:r/>
      <w:r/>
    </w:p>
    <w:p>
      <w:pPr>
        <w:pStyle w:val="809"/>
      </w:pPr>
      <w:r>
        <w:rPr>
          <w:rFonts w:hint="eastAsia"/>
        </w:rPr>
        <w:t xml:space="preserve">第六章 投标文件格式</w:t>
      </w:r>
      <w:bookmarkEnd w:id="297"/>
      <w:r/>
      <w:bookmarkEnd w:id="298"/>
      <w:r/>
      <w:bookmarkEnd w:id="299"/>
      <w:r/>
      <w:bookmarkEnd w:id="300"/>
      <w:r>
        <w:rPr>
          <w:rFonts w:hint="eastAsia"/>
        </w:rPr>
        <w:t xml:space="preserve"> </w:t>
      </w:r>
      <w:r/>
    </w:p>
    <w:p>
      <w:pPr>
        <w:rPr>
          <w:rFonts w:ascii="黑体" w:eastAsia="黑体"/>
          <w:bCs/>
          <w:sz w:val="44"/>
        </w:rPr>
      </w:pPr>
      <w:r>
        <w:rPr>
          <w:rFonts w:ascii="黑体" w:eastAsia="黑体"/>
          <w:bCs/>
          <w:sz w:val="44"/>
        </w:rPr>
      </w:r>
      <w:r/>
    </w:p>
    <w:p>
      <w:pPr>
        <w:pStyle w:val="811"/>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bookmarkStart w:id="301" w:name="_Toc19261"/>
      <w:r/>
      <w:bookmarkStart w:id="302" w:name="_Toc20534"/>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bookmarkEnd w:id="301"/>
      <w:r/>
      <w:bookmarkEnd w:id="302"/>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hint="eastAsia" w:ascii="宋体" w:hAnsi="宋体"/>
          <w:sz w:val="32"/>
          <w:szCs w:val="32"/>
        </w:rPr>
        <w:br w:type="page" w:clear="all"/>
      </w:r>
      <w:bookmarkStart w:id="303" w:name="_Toc138777689"/>
      <w:r>
        <w:rPr>
          <w:rFonts w:hint="eastAsia" w:ascii="宋体" w:hAnsi="宋体"/>
          <w:b/>
          <w:sz w:val="32"/>
          <w:szCs w:val="32"/>
        </w:rPr>
        <w:t xml:space="preserve">一、资格审查响应对照表</w:t>
      </w:r>
      <w:bookmarkEnd w:id="303"/>
      <w:r/>
      <w:r/>
    </w:p>
    <w:tbl>
      <w:tblPr>
        <w:tblStyle w:val="813"/>
        <w:tblW w:w="8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6460"/>
        <w:gridCol w:w="1241"/>
      </w:tblGrid>
      <w:tr>
        <w:trPr>
          <w:jc w:val="center"/>
          <w:trHeight w:val="1015"/>
        </w:trPr>
        <w:tc>
          <w:tcPr>
            <w:tcW w:w="63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6460"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1241"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jc w:val="center"/>
          <w:trHeight w:val="423"/>
        </w:trPr>
        <w:tc>
          <w:tcPr>
            <w:gridSpan w:val="3"/>
            <w:tcW w:w="8338"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jc w:val="center"/>
          <w:trHeight w:val="776"/>
        </w:trPr>
        <w:tc>
          <w:tcPr>
            <w:tcW w:w="637"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1241" w:type="dxa"/>
            <w:vAlign w:val="center"/>
            <w:textDirection w:val="lrTb"/>
            <w:noWrap w:val="false"/>
          </w:tcPr>
          <w:p>
            <w:pPr>
              <w:rPr>
                <w:rFonts w:ascii="宋体" w:hAnsi="宋体"/>
                <w:b/>
                <w:szCs w:val="21"/>
              </w:rPr>
            </w:pPr>
            <w:r>
              <w:rPr>
                <w:rFonts w:ascii="宋体" w:hAnsi="宋体"/>
                <w:b/>
                <w:szCs w:val="21"/>
              </w:rPr>
            </w:r>
            <w:r/>
          </w:p>
        </w:tc>
      </w:tr>
      <w:tr>
        <w:trPr>
          <w:jc w:val="center"/>
          <w:trHeight w:val="1015"/>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622"/>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6460" w:type="dxa"/>
            <w:vAlign w:val="center"/>
            <w:textDirection w:val="lrTb"/>
            <w:noWrap w:val="false"/>
          </w:tcPr>
          <w:p>
            <w:pPr>
              <w:rPr>
                <w:rFonts w:ascii="宋体" w:hAnsi="宋体"/>
                <w:b/>
                <w:bCs/>
                <w:iCs/>
                <w:szCs w:val="21"/>
              </w:rPr>
            </w:pPr>
            <w:r>
              <w:rPr>
                <w:rFonts w:hint="eastAsia" w:ascii="宋体" w:hAnsi="宋体" w:cs="宋体"/>
                <w:szCs w:val="21"/>
              </w:rPr>
            </w:r>
            <w:r>
              <w:rPr>
                <w:rFonts w:hint="eastAsia" w:ascii="宋体" w:hAnsi="宋体" w:cs="宋体"/>
                <w:szCs w:val="21"/>
              </w:rPr>
              <w:t xml:space="preserve">投标人近三个月内任意一份依法纳税的缴款凭证</w:t>
            </w:r>
            <w:r>
              <w:rPr>
                <w:rFonts w:hint="eastAsia" w:ascii="宋体" w:hAnsi="宋体" w:cs="宋体"/>
                <w:b/>
                <w:bCs/>
                <w:szCs w:val="21"/>
              </w:rPr>
              <w:t xml:space="preserve">（投标人依法享受缓缴、免缴的提供证明材料）</w:t>
            </w:r>
            <w:r>
              <w:rPr>
                <w:b/>
                <w:bCs/>
              </w:rPr>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24"/>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56"/>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具备履行合同所必需的设备和专业技术能力的证明材料</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844"/>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1245"/>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6460" w:type="dxa"/>
            <w:vAlign w:val="center"/>
            <w:textDirection w:val="lrTb"/>
            <w:noWrap w:val="false"/>
          </w:tcPr>
          <w:p>
            <w:pPr>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63"/>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6460"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供应商信用承诺函</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346"/>
        </w:trPr>
        <w:tc>
          <w:tcPr>
            <w:gridSpan w:val="3"/>
            <w:tcW w:w="8338"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1377"/>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6460" w:type="dxa"/>
            <w:vAlign w:val="center"/>
            <w:textDirection w:val="lrTb"/>
            <w:noWrap w:val="false"/>
          </w:tcPr>
          <w:p>
            <w:pPr>
              <w:jc w:val="left"/>
            </w:pPr>
            <w:r>
              <w:rPr>
                <w:rFonts w:hint="eastAsia" w:ascii="宋体" w:hAnsi="宋体" w:cs="宋体"/>
                <w:szCs w:val="21"/>
              </w:rPr>
              <w:t xml:space="preserve">本项目专门面向中小企业采购；本项目专门面向中小企业采购；投标人须提供《中小企业声明函》，企业类型为工业。《中小企业声明函》不符合要求或未提供的，投标文件无效。</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13"/>
        </w:trPr>
        <w:tc>
          <w:tcPr>
            <w:gridSpan w:val="3"/>
            <w:tcW w:w="8338"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jc w:val="center"/>
          <w:trHeight w:val="489"/>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6460" w:type="dxa"/>
            <w:vAlign w:val="center"/>
            <w:textDirection w:val="lrTb"/>
            <w:noWrap w:val="false"/>
          </w:tcPr>
          <w:p>
            <w:pPr>
              <w:jc w:val="left"/>
              <w:spacing w:line="0" w:lineRule="atLeast"/>
              <w:rPr>
                <w:rFonts w:ascii="宋体" w:hAnsi="宋体" w:cs="宋体"/>
                <w:szCs w:val="21"/>
              </w:rPr>
            </w:pPr>
            <w:r>
              <w:rPr>
                <w:rFonts w:hint="eastAsia" w:ascii="宋体" w:hAnsi="宋体"/>
                <w:iCs/>
                <w:szCs w:val="21"/>
              </w:rPr>
              <w:t xml:space="preserve">无</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03"/>
        </w:trPr>
        <w:tc>
          <w:tcPr>
            <w:gridSpan w:val="3"/>
            <w:tcW w:w="8338"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jc w:val="center"/>
          <w:trHeight w:val="503"/>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11</w:t>
            </w:r>
            <w:r/>
          </w:p>
        </w:tc>
        <w:tc>
          <w:tcPr>
            <w:tcW w:w="6460" w:type="dxa"/>
            <w:vAlign w:val="center"/>
            <w:textDirection w:val="lrTb"/>
            <w:noWrap w:val="false"/>
          </w:tcPr>
          <w:p>
            <w:pPr>
              <w:jc w:val="left"/>
              <w:rPr>
                <w:rFonts w:ascii="宋体" w:hAnsi="宋体"/>
                <w:iCs/>
                <w:szCs w:val="21"/>
              </w:rPr>
            </w:pPr>
            <w:r>
              <w:rPr>
                <w:rFonts w:hint="eastAsia" w:ascii="宋体" w:hAnsi="宋体"/>
                <w:iCs/>
                <w:szCs w:val="21"/>
              </w:rPr>
              <w:t xml:space="preserve">投标函</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15"/>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12</w:t>
            </w:r>
            <w:r/>
          </w:p>
        </w:tc>
        <w:tc>
          <w:tcPr>
            <w:tcW w:w="6460" w:type="dxa"/>
            <w:vAlign w:val="center"/>
            <w:textDirection w:val="lrTb"/>
            <w:noWrap w:val="false"/>
          </w:tcPr>
          <w:p>
            <w:pPr>
              <w:jc w:val="left"/>
              <w:rPr>
                <w:rFonts w:ascii="宋体" w:hAnsi="宋体"/>
                <w:iCs/>
                <w:szCs w:val="21"/>
              </w:rPr>
            </w:pPr>
            <w:r>
              <w:rPr>
                <w:rFonts w:hint="eastAsia" w:ascii="宋体" w:hAnsi="宋体"/>
                <w:iCs/>
                <w:szCs w:val="21"/>
              </w:rPr>
              <w:t xml:space="preserve">法人授权书</w:t>
            </w:r>
            <w:r/>
          </w:p>
        </w:tc>
        <w:tc>
          <w:tcPr>
            <w:tcW w:w="1241" w:type="dxa"/>
            <w:vAlign w:val="center"/>
            <w:textDirection w:val="lrTb"/>
            <w:noWrap w:val="false"/>
          </w:tcPr>
          <w:p>
            <w:pPr>
              <w:rPr>
                <w:rFonts w:ascii="宋体" w:hAnsi="宋体"/>
                <w:szCs w:val="21"/>
              </w:rPr>
            </w:pPr>
            <w:r>
              <w:rPr>
                <w:rFonts w:ascii="宋体" w:hAnsi="宋体"/>
                <w:szCs w:val="21"/>
              </w:rPr>
            </w:r>
            <w:r/>
          </w:p>
        </w:tc>
      </w:tr>
    </w:tbl>
    <w:p>
      <w:pPr>
        <w:ind w:firstLine="1476"/>
        <w:spacing w:before="120" w:after="120" w:line="360" w:lineRule="auto"/>
        <w:rPr>
          <w:rFonts w:ascii="宋体" w:hAnsi="宋体"/>
          <w:b/>
          <w:bCs/>
        </w:rPr>
      </w:pPr>
      <w:r>
        <w:rPr>
          <w:rFonts w:ascii="宋体" w:hAnsi="宋体"/>
          <w:b/>
          <w:bCs/>
        </w:rPr>
      </w:r>
      <w:r/>
    </w:p>
    <w:p>
      <w:pPr>
        <w:ind w:firstLine="1476"/>
        <w:spacing w:before="120" w:after="120" w:line="360" w:lineRule="auto"/>
        <w:rPr>
          <w:rFonts w:ascii="宋体" w:hAnsi="宋体"/>
          <w:b/>
          <w:bCs/>
        </w:rPr>
      </w:pPr>
      <w:r>
        <w:rPr>
          <w:rFonts w:ascii="宋体" w:hAnsi="宋体"/>
          <w:b/>
          <w:bCs/>
        </w:rPr>
      </w:r>
      <w:r/>
    </w:p>
    <w:p>
      <w:pPr>
        <w:pStyle w:val="845"/>
        <w:rPr>
          <w:rFonts w:hAnsi="宋体"/>
          <w:b/>
          <w:bCs/>
        </w:rPr>
      </w:pPr>
      <w:r>
        <w:rPr>
          <w:rFonts w:hAnsi="宋体"/>
          <w:b/>
          <w:bCs/>
        </w:rPr>
      </w:r>
      <w:r/>
    </w:p>
    <w:p>
      <w:pPr>
        <w:pStyle w:val="846"/>
      </w:pPr>
      <w:r/>
      <w:r/>
    </w:p>
    <w:p>
      <w:pPr>
        <w:jc w:val="center"/>
        <w:spacing w:before="120" w:after="120" w:line="360" w:lineRule="auto"/>
        <w:rPr>
          <w:rFonts w:ascii="宋体" w:hAnsi="宋体"/>
          <w:b/>
          <w:bCs/>
        </w:rPr>
      </w:pPr>
      <w:r>
        <w:rPr>
          <w:rFonts w:ascii="宋体" w:hAnsi="宋体"/>
          <w:b/>
          <w:bCs/>
        </w:rPr>
      </w:r>
      <w:r/>
    </w:p>
    <w:p>
      <w:pPr>
        <w:jc w:val="center"/>
        <w:spacing w:before="120" w:after="120"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240"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            </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bookmarkStart w:id="304" w:name="_Toc2091"/>
      <w:r/>
      <w:bookmarkStart w:id="305" w:name="_Toc7846"/>
      <w:r>
        <w:rPr>
          <w:rFonts w:hint="eastAsia" w:ascii="宋体" w:hAnsi="宋体"/>
          <w:szCs w:val="21"/>
        </w:rPr>
        <w:t xml:space="preserve">七、严格遵守信用信息公示相关规定，向社会公示信用信息；</w:t>
      </w:r>
      <w:bookmarkEnd w:id="304"/>
      <w:r/>
      <w:bookmarkEnd w:id="305"/>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bookmarkStart w:id="306" w:name="_Toc25411"/>
      <w:r/>
      <w:bookmarkStart w:id="307" w:name="_Toc9362"/>
      <w:r>
        <w:rPr>
          <w:rFonts w:hint="eastAsia" w:ascii="宋体" w:hAnsi="宋体"/>
          <w:szCs w:val="21"/>
        </w:rPr>
        <w:t xml:space="preserve">十、本承诺书自签订之日起生效。</w:t>
      </w:r>
      <w:bookmarkEnd w:id="306"/>
      <w:r/>
      <w:bookmarkEnd w:id="307"/>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480" w:lineRule="exact"/>
        <w:rPr>
          <w:rFonts w:ascii="宋体" w:hAnsi="宋体"/>
          <w:szCs w:val="21"/>
        </w:rPr>
      </w:pPr>
      <w:r>
        <w:rPr>
          <w:rFonts w:ascii="宋体" w:hAnsi="宋体"/>
          <w:szCs w:val="21"/>
        </w:rPr>
      </w:r>
      <w:r/>
    </w:p>
    <w:p>
      <w:pPr>
        <w:jc w:val="center"/>
        <w:spacing w:line="480" w:lineRule="exact"/>
        <w:rPr>
          <w:rFonts w:ascii="宋体" w:hAnsi="宋体"/>
          <w:szCs w:val="21"/>
        </w:rPr>
      </w:pPr>
      <w:r>
        <w:rPr>
          <w:rFonts w:hint="eastAsia" w:ascii="宋体" w:hAnsi="宋体"/>
          <w:szCs w:val="21"/>
        </w:rPr>
        <w:t xml:space="preserve">　　　　　　　　　　                     承诺单位（签章）：           </w:t>
      </w:r>
      <w:r/>
    </w:p>
    <w:p>
      <w:pPr>
        <w:jc w:val="center"/>
        <w:spacing w:line="480" w:lineRule="exact"/>
        <w:rPr>
          <w:rFonts w:ascii="宋体" w:hAnsi="宋体"/>
          <w:szCs w:val="21"/>
        </w:rPr>
      </w:pPr>
      <w:r>
        <w:rPr>
          <w:rFonts w:hint="eastAsia" w:ascii="宋体" w:hAnsi="宋体"/>
          <w:szCs w:val="21"/>
        </w:rPr>
        <w:t xml:space="preserve">　　　　　　　　　   　  法定代表人（负责人）：</w:t>
      </w:r>
      <w:r/>
    </w:p>
    <w:p>
      <w:pPr>
        <w:jc w:val="center"/>
        <w:spacing w:line="480" w:lineRule="exact"/>
        <w:rPr>
          <w:rFonts w:ascii="宋体" w:hAnsi="宋体" w:cs="宋体"/>
          <w:szCs w:val="21"/>
        </w:rPr>
      </w:pPr>
      <w:r>
        <w:rPr>
          <w:rFonts w:hint="eastAsia" w:ascii="宋体" w:hAnsi="宋体"/>
          <w:szCs w:val="21"/>
        </w:rPr>
        <w:t xml:space="preserve">　　　　　　　　　      　          年    月    日</w:t>
      </w:r>
      <w:r/>
    </w:p>
    <w:p>
      <w:pP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t xml:space="preserve">投标函格式</w:t>
      </w:r>
      <w:r/>
    </w:p>
    <w:p>
      <w:pPr>
        <w:pStyle w:val="1011"/>
        <w:ind w:firstLine="0"/>
        <w:spacing w:before="0" w:after="0"/>
        <w:rPr>
          <w:rFonts w:ascii="宋体" w:hAnsi="宋体"/>
          <w:sz w:val="21"/>
          <w:szCs w:val="21"/>
        </w:rPr>
      </w:pPr>
      <w:r>
        <w:rPr>
          <w:rFonts w:ascii="宋体" w:hAnsi="宋体"/>
          <w:sz w:val="21"/>
          <w:szCs w:val="21"/>
        </w:rPr>
      </w:r>
      <w:r/>
    </w:p>
    <w:p>
      <w:pPr>
        <w:pStyle w:val="1011"/>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扬州华泽工程项目管理咨询有限公司</w:t>
      </w:r>
      <w:r/>
    </w:p>
    <w:p>
      <w:pPr>
        <w:pStyle w:val="1011"/>
        <w:ind w:firstLine="420"/>
        <w:spacing w:before="0" w:after="0"/>
        <w:rPr>
          <w:rFonts w:ascii="宋体" w:hAnsi="宋体"/>
          <w:sz w:val="21"/>
          <w:szCs w:val="21"/>
        </w:rPr>
      </w:pPr>
      <w:r>
        <w:rPr>
          <w:rFonts w:hint="eastAsia" w:ascii="宋体" w:hAnsi="宋体"/>
          <w:sz w:val="21"/>
          <w:szCs w:val="21"/>
        </w:rPr>
        <w:t xml:space="preserve">根据贵方的（         ）</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1011"/>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011"/>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011"/>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011"/>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11"/>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11"/>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11"/>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011"/>
        <w:ind w:left="425" w:firstLine="105"/>
        <w:spacing w:before="0" w:after="0"/>
        <w:rPr>
          <w:rFonts w:ascii="宋体" w:hAnsi="宋体"/>
          <w:sz w:val="21"/>
          <w:szCs w:val="21"/>
        </w:rPr>
      </w:pPr>
      <w:r/>
      <w:bookmarkStart w:id="308" w:name="_Toc5827"/>
      <w:r/>
      <w:bookmarkStart w:id="309" w:name="_Toc12872"/>
      <w:r>
        <w:rPr>
          <w:rFonts w:hint="eastAsia" w:ascii="宋体" w:hAnsi="宋体"/>
          <w:sz w:val="21"/>
          <w:szCs w:val="21"/>
        </w:rPr>
        <w:t xml:space="preserve">7.与本投标有关的正式通讯地址为：</w:t>
      </w:r>
      <w:bookmarkEnd w:id="308"/>
      <w:r/>
      <w:bookmarkEnd w:id="309"/>
      <w:r/>
      <w:r/>
    </w:p>
    <w:p>
      <w:pPr>
        <w:pStyle w:val="1011"/>
        <w:ind w:firstLine="478"/>
        <w:spacing w:before="0" w:after="0"/>
        <w:rPr>
          <w:rFonts w:ascii="宋体" w:hAnsi="宋体"/>
          <w:sz w:val="21"/>
          <w:szCs w:val="21"/>
        </w:rPr>
      </w:pPr>
      <w:r>
        <w:rPr>
          <w:rFonts w:hint="eastAsia" w:ascii="宋体" w:hAnsi="宋体"/>
          <w:sz w:val="21"/>
          <w:szCs w:val="21"/>
        </w:rPr>
        <w:t xml:space="preserve">地 址：</w:t>
      </w:r>
      <w:r/>
    </w:p>
    <w:p>
      <w:pPr>
        <w:pStyle w:val="1011"/>
        <w:ind w:firstLine="478"/>
        <w:spacing w:before="0" w:after="0"/>
        <w:rPr>
          <w:rFonts w:ascii="宋体" w:hAnsi="宋体"/>
          <w:sz w:val="21"/>
          <w:szCs w:val="21"/>
        </w:rPr>
      </w:pPr>
      <w:r>
        <w:rPr>
          <w:rFonts w:hint="eastAsia" w:ascii="宋体" w:hAnsi="宋体"/>
          <w:sz w:val="21"/>
          <w:szCs w:val="21"/>
        </w:rPr>
        <w:t xml:space="preserve">邮 编：</w:t>
      </w:r>
      <w:r/>
    </w:p>
    <w:p>
      <w:pPr>
        <w:pStyle w:val="1011"/>
        <w:ind w:firstLine="478"/>
        <w:spacing w:before="0" w:after="0"/>
        <w:rPr>
          <w:rFonts w:ascii="宋体" w:hAnsi="宋体"/>
          <w:sz w:val="21"/>
          <w:szCs w:val="21"/>
        </w:rPr>
      </w:pPr>
      <w:r>
        <w:rPr>
          <w:rFonts w:hint="eastAsia" w:ascii="宋体" w:hAnsi="宋体"/>
          <w:sz w:val="21"/>
          <w:szCs w:val="21"/>
        </w:rPr>
        <w:t xml:space="preserve">电 话： </w:t>
      </w:r>
      <w:r/>
    </w:p>
    <w:p>
      <w:pPr>
        <w:pStyle w:val="1011"/>
        <w:ind w:firstLine="478"/>
        <w:spacing w:before="0" w:after="0"/>
        <w:rPr>
          <w:rFonts w:ascii="宋体" w:hAnsi="宋体"/>
          <w:sz w:val="21"/>
          <w:szCs w:val="21"/>
        </w:rPr>
      </w:pPr>
      <w:r>
        <w:rPr>
          <w:rFonts w:hint="eastAsia" w:ascii="宋体" w:hAnsi="宋体"/>
          <w:sz w:val="21"/>
          <w:szCs w:val="21"/>
        </w:rPr>
        <w:t xml:space="preserve">传 真： </w:t>
      </w:r>
      <w:r/>
    </w:p>
    <w:p>
      <w:pPr>
        <w:pStyle w:val="1011"/>
        <w:ind w:firstLine="478"/>
        <w:spacing w:before="0" w:after="0"/>
        <w:rPr>
          <w:rFonts w:ascii="宋体" w:hAnsi="宋体"/>
          <w:sz w:val="21"/>
          <w:szCs w:val="21"/>
        </w:rPr>
      </w:pPr>
      <w:r>
        <w:rPr>
          <w:rFonts w:hint="eastAsia" w:ascii="宋体" w:hAnsi="宋体"/>
          <w:sz w:val="21"/>
          <w:szCs w:val="21"/>
        </w:rPr>
        <w:t xml:space="preserve">投标人开户行：</w:t>
      </w:r>
      <w:r/>
    </w:p>
    <w:p>
      <w:pPr>
        <w:pStyle w:val="1011"/>
        <w:ind w:firstLine="478"/>
        <w:spacing w:before="0" w:after="0"/>
        <w:rPr>
          <w:rFonts w:ascii="宋体" w:hAnsi="宋体"/>
          <w:sz w:val="21"/>
          <w:szCs w:val="21"/>
        </w:rPr>
      </w:pPr>
      <w:r>
        <w:rPr>
          <w:rFonts w:hint="eastAsia" w:ascii="宋体" w:hAnsi="宋体"/>
          <w:sz w:val="21"/>
          <w:szCs w:val="21"/>
        </w:rPr>
        <w:t xml:space="preserve">账 户： </w:t>
      </w:r>
      <w:r/>
    </w:p>
    <w:p>
      <w:pPr>
        <w:pStyle w:val="1011"/>
        <w:ind w:firstLine="478"/>
        <w:spacing w:before="0" w:after="0"/>
        <w:rPr>
          <w:rFonts w:ascii="宋体" w:hAnsi="宋体"/>
          <w:sz w:val="21"/>
          <w:szCs w:val="21"/>
        </w:rPr>
      </w:pPr>
      <w:r>
        <w:rPr>
          <w:rFonts w:hint="eastAsia" w:ascii="宋体" w:hAnsi="宋体"/>
          <w:sz w:val="21"/>
          <w:szCs w:val="21"/>
        </w:rPr>
        <w:t xml:space="preserve">行 号：</w:t>
      </w:r>
      <w:r/>
    </w:p>
    <w:p>
      <w:pPr>
        <w:pStyle w:val="1011"/>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1012"/>
        <w:ind w:firstLine="422"/>
        <w:jc w:val="center"/>
        <w:spacing w:after="240" w:line="360" w:lineRule="auto"/>
        <w:rPr>
          <w:rFonts w:ascii="宋体" w:hAnsi="宋体"/>
          <w:b/>
          <w:sz w:val="21"/>
          <w:szCs w:val="21"/>
        </w:rPr>
      </w:pPr>
      <w:r/>
      <w:bookmarkStart w:id="310" w:name="_Toc2791"/>
      <w:r/>
      <w:bookmarkStart w:id="311" w:name="_Toc1240"/>
      <w:r>
        <w:rPr>
          <w:rFonts w:hint="eastAsia" w:ascii="宋体" w:hAnsi="宋体"/>
          <w:b/>
          <w:sz w:val="21"/>
          <w:szCs w:val="21"/>
        </w:rPr>
        <w:t xml:space="preserve">法人授权书</w:t>
      </w:r>
      <w:bookmarkEnd w:id="310"/>
      <w:r/>
      <w:bookmarkEnd w:id="311"/>
      <w:r/>
      <w:r/>
    </w:p>
    <w:p>
      <w:pPr>
        <w:pStyle w:val="1012"/>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  </w:t>
      </w:r>
      <w:r>
        <w:rPr>
          <w:rFonts w:hint="eastAsia" w:ascii="宋体" w:hAnsi="宋体"/>
          <w:sz w:val="21"/>
          <w:szCs w:val="21"/>
        </w:rPr>
        <w:t xml:space="preserve">号（项目名称）项目采购活动的合法代理人，以本公司名义全权处理一切与该项目采购有关的事务。</w:t>
      </w:r>
      <w:r/>
    </w:p>
    <w:p>
      <w:pPr>
        <w:pStyle w:val="1012"/>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12"/>
        <w:ind w:firstLine="0"/>
        <w:spacing w:line="360" w:lineRule="auto"/>
        <w:rPr>
          <w:rFonts w:ascii="宋体" w:hAnsi="宋体"/>
          <w:sz w:val="21"/>
          <w:szCs w:val="21"/>
        </w:rPr>
      </w:pPr>
      <w:r>
        <w:rPr>
          <w:rFonts w:ascii="宋体" w:hAnsi="宋体"/>
          <w:sz w:val="21"/>
          <w:szCs w:val="21"/>
        </w:rPr>
        <w:t xml:space="preserve">    </w:t>
      </w:r>
      <w:r/>
    </w:p>
    <w:p>
      <w:pPr>
        <w:pStyle w:val="1012"/>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012"/>
        <w:ind w:firstLine="420"/>
        <w:spacing w:line="360" w:lineRule="auto"/>
        <w:rPr>
          <w:rFonts w:ascii="宋体" w:hAnsi="宋体"/>
          <w:sz w:val="21"/>
          <w:szCs w:val="21"/>
        </w:rPr>
      </w:pPr>
      <w:r>
        <w:rPr>
          <w:rFonts w:hint="eastAsia" w:ascii="宋体" w:hAnsi="宋体"/>
          <w:sz w:val="21"/>
          <w:szCs w:val="21"/>
        </w:rPr>
        <w:t xml:space="preserve">  </w:t>
      </w:r>
      <w:r/>
    </w:p>
    <w:p>
      <w:pPr>
        <w:pStyle w:val="1012"/>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12"/>
        <w:ind w:firstLine="420"/>
        <w:spacing w:line="360" w:lineRule="auto"/>
        <w:rPr>
          <w:rFonts w:ascii="宋体" w:hAnsi="宋体"/>
          <w:sz w:val="21"/>
          <w:szCs w:val="21"/>
          <w:u w:val="single"/>
        </w:rPr>
      </w:pPr>
      <w:r>
        <w:rPr>
          <w:rFonts w:ascii="宋体" w:hAnsi="宋体"/>
          <w:sz w:val="21"/>
          <w:szCs w:val="21"/>
          <w:u w:val="single"/>
        </w:rPr>
      </w:r>
      <w:r/>
    </w:p>
    <w:p>
      <w:pPr>
        <w:pStyle w:val="1012"/>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p>
    <w:p>
      <w:pPr>
        <w:pStyle w:val="1012"/>
        <w:ind w:firstLine="420"/>
        <w:spacing w:line="360" w:lineRule="auto"/>
        <w:rPr>
          <w:rFonts w:ascii="宋体" w:hAnsi="宋体"/>
          <w:sz w:val="21"/>
          <w:szCs w:val="21"/>
        </w:rPr>
      </w:pPr>
      <w:r>
        <w:rPr>
          <w:rFonts w:ascii="宋体" w:hAnsi="宋体"/>
          <w:sz w:val="21"/>
          <w:szCs w:val="21"/>
        </w:rPr>
      </w:r>
      <w:r/>
    </w:p>
    <w:p>
      <w:pPr>
        <w:pStyle w:val="1012"/>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rPr>
          <w:rFonts w:hint="eastAsia"/>
          <w:sz w:val="21"/>
          <w:szCs w:val="21"/>
          <w:u w:val="single"/>
        </w:rPr>
        <w:t xml:space="preserve"> </w:t>
      </w:r>
      <w:r>
        <w:rPr>
          <w:sz w:val="21"/>
          <w:szCs w:val="21"/>
          <w:u w:val="single"/>
        </w:rPr>
        <w:t xml:space="preserve">    </w:t>
      </w:r>
      <w:r/>
    </w:p>
    <w:p>
      <w:pPr>
        <w:pStyle w:val="1012"/>
        <w:ind w:firstLine="420"/>
        <w:spacing w:line="360" w:lineRule="auto"/>
        <w:rPr>
          <w:sz w:val="21"/>
          <w:szCs w:val="21"/>
          <w:u w:val="single"/>
        </w:rPr>
      </w:pPr>
      <w:r>
        <w:rPr>
          <w:sz w:val="21"/>
          <w:szCs w:val="21"/>
          <w:u w:val="single"/>
        </w:rPr>
      </w:r>
      <w:r/>
    </w:p>
    <w:p>
      <w:pPr>
        <w:pStyle w:val="1012"/>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pPr>
      <w:r>
        <w:rPr>
          <w:rFonts w:hint="eastAsia" w:ascii="宋体" w:hAnsi="宋体"/>
          <w:bCs/>
        </w:rPr>
        <w:t xml:space="preserve">被授权人身份证复印件</w:t>
      </w:r>
      <w:r/>
    </w:p>
    <w:p>
      <w:pPr>
        <w:pStyle w:val="811"/>
        <w:rPr>
          <w:rFonts w:ascii="宋体" w:hAnsi="宋体"/>
        </w:rPr>
      </w:pPr>
      <w:r>
        <w:rPr>
          <w:rFonts w:ascii="宋体" w:hAnsi="宋体"/>
        </w:rPr>
      </w:r>
      <w:r/>
    </w:p>
    <w:p>
      <w:pPr>
        <w:rPr>
          <w:rFonts w:ascii="宋体" w:hAnsi="宋体"/>
          <w:bCs/>
        </w:rPr>
      </w:pPr>
      <w:r>
        <w:rPr>
          <w:rFonts w:ascii="宋体" w:hAnsi="宋体"/>
          <w:bCs/>
        </w:rPr>
      </w:r>
      <w:r/>
    </w:p>
    <w:p>
      <w:pPr>
        <w:pStyle w:val="811"/>
        <w:rPr>
          <w:rFonts w:ascii="宋体" w:hAnsi="宋体"/>
        </w:rPr>
      </w:pPr>
      <w:r>
        <w:rPr>
          <w:rFonts w:ascii="宋体" w:hAnsi="宋体"/>
        </w:rPr>
      </w:r>
      <w:r/>
    </w:p>
    <w:p>
      <w:pPr>
        <w:rPr>
          <w:rFonts w:ascii="宋体" w:hAnsi="宋体"/>
          <w:bCs/>
        </w:rPr>
      </w:pPr>
      <w:r>
        <w:rPr>
          <w:rFonts w:ascii="宋体" w:hAnsi="宋体"/>
          <w:bCs/>
        </w:rPr>
      </w:r>
      <w:r/>
    </w:p>
    <w:p>
      <w:pPr>
        <w:pStyle w:val="811"/>
        <w:rPr>
          <w:rFonts w:ascii="宋体" w:hAnsi="宋体"/>
        </w:rPr>
      </w:pPr>
      <w:r>
        <w:rPr>
          <w:rFonts w:ascii="宋体" w:hAnsi="宋体"/>
        </w:rPr>
      </w:r>
      <w:r/>
    </w:p>
    <w:p>
      <w:pPr>
        <w:rPr>
          <w:rFonts w:ascii="宋体" w:hAnsi="宋体"/>
          <w:bCs/>
        </w:rPr>
      </w:pPr>
      <w:r>
        <w:rPr>
          <w:rFonts w:ascii="宋体" w:hAnsi="宋体"/>
          <w:bCs/>
        </w:rPr>
      </w:r>
      <w:r/>
    </w:p>
    <w:p>
      <w:r/>
      <w:r/>
    </w:p>
    <w:p>
      <w:pPr>
        <w:rPr>
          <w:rFonts w:ascii="宋体" w:hAnsi="宋体"/>
          <w:bCs/>
        </w:rPr>
      </w:pPr>
      <w:r>
        <w:rPr>
          <w:rFonts w:ascii="宋体" w:hAnsi="宋体"/>
          <w:bCs/>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left"/>
        <w:tabs>
          <w:tab w:val="left" w:pos="1213" w:leader="none"/>
        </w:tabs>
        <w:sectPr>
          <w:footerReference w:type="default" r:id="rId15"/>
          <w:footnotePr/>
          <w:endnotePr/>
          <w:type w:val="nextPage"/>
          <w:pgSz w:w="11906" w:h="16838" w:orient="portrait"/>
          <w:pgMar w:top="1440" w:right="1440" w:bottom="1440" w:left="1440" w:header="851" w:footer="850" w:gutter="0"/>
          <w:pgNumType w:start="1"/>
          <w:cols w:num="1" w:sep="0" w:space="1701" w:equalWidth="1"/>
          <w:docGrid w:linePitch="360"/>
        </w:sectPr>
      </w:pPr>
      <w:r/>
      <w:r/>
    </w:p>
    <w:p>
      <w:pPr>
        <w:jc w:val="center"/>
        <w:spacing w:before="240" w:line="360" w:lineRule="auto"/>
        <w:rPr>
          <w:rFonts w:ascii="宋体" w:hAnsi="宋体"/>
          <w:b/>
          <w:sz w:val="32"/>
          <w:szCs w:val="32"/>
        </w:rPr>
      </w:pPr>
      <w:r/>
      <w:bookmarkStart w:id="312" w:name="_Toc138777691"/>
      <w:r>
        <w:rPr>
          <w:rFonts w:hint="eastAsia" w:ascii="宋体" w:hAnsi="宋体"/>
          <w:b/>
          <w:sz w:val="32"/>
          <w:szCs w:val="32"/>
        </w:rPr>
        <w:t xml:space="preserve">二、符合性审查响应对照表</w:t>
      </w:r>
      <w:bookmarkEnd w:id="312"/>
      <w:r/>
      <w:r/>
    </w:p>
    <w:tbl>
      <w:tblPr>
        <w:tblStyle w:val="813"/>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21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747"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54"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216"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747" w:type="dxa"/>
            <w:vAlign w:val="center"/>
            <w:textDirection w:val="lrTb"/>
            <w:noWrap w:val="false"/>
          </w:tcPr>
          <w:p>
            <w:pPr>
              <w:rPr>
                <w:rFonts w:ascii="宋体" w:hAnsi="宋体"/>
                <w:b/>
                <w:szCs w:val="21"/>
              </w:rPr>
            </w:pPr>
            <w:r>
              <w:rPr>
                <w:rFonts w:ascii="宋体" w:hAnsi="宋体"/>
                <w:b/>
                <w:szCs w:val="21"/>
              </w:rPr>
            </w:r>
            <w:r/>
          </w:p>
        </w:tc>
        <w:tc>
          <w:tcPr>
            <w:tcW w:w="1154"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jc w:val="center"/>
        <w:spacing w:before="240" w:line="360" w:lineRule="auto"/>
        <w:rPr>
          <w:rFonts w:ascii="宋体" w:hAnsi="宋体"/>
          <w:b/>
          <w:sz w:val="32"/>
          <w:szCs w:val="32"/>
        </w:rPr>
      </w:pPr>
      <w:r/>
      <w:bookmarkStart w:id="313" w:name="_Toc138777692"/>
      <w:r/>
      <w:r/>
    </w:p>
    <w:p>
      <w:pPr>
        <w:jc w:val="center"/>
        <w:spacing w:before="240" w:line="360" w:lineRule="auto"/>
        <w:rPr>
          <w:rFonts w:ascii="宋体" w:hAnsi="宋体"/>
          <w:b/>
          <w:sz w:val="32"/>
          <w:szCs w:val="32"/>
        </w:rPr>
      </w:pPr>
      <w:r>
        <w:rPr>
          <w:rFonts w:hint="eastAsia" w:ascii="宋体" w:hAnsi="宋体"/>
          <w:b/>
          <w:sz w:val="32"/>
          <w:szCs w:val="32"/>
        </w:rPr>
        <w:t xml:space="preserve">三、非实质性响应对照表</w:t>
      </w:r>
      <w:bookmarkEnd w:id="313"/>
      <w:r/>
      <w:r/>
    </w:p>
    <w:tbl>
      <w:tblPr>
        <w:tblStyle w:val="813"/>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jc w:val="center"/>
              <w:spacing w:line="0" w:lineRule="atLeast"/>
              <w:rPr>
                <w:rFonts w:ascii="宋体" w:hAnsi="宋体"/>
                <w:iCs/>
                <w:szCs w:val="21"/>
              </w:rPr>
            </w:pPr>
            <w:r>
              <w:rPr>
                <w:rFonts w:hint="eastAsia" w:ascii="宋体" w:hAnsi="宋体"/>
                <w:b/>
                <w:iCs/>
                <w:szCs w:val="21"/>
              </w:rPr>
              <w:t xml:space="preserve">中小企业声明函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jc w:val="center"/>
              <w:spacing w:line="0" w:lineRule="atLeast"/>
              <w:rPr>
                <w:rFonts w:ascii="宋体" w:hAnsi="宋体"/>
                <w:iCs/>
                <w:szCs w:val="21"/>
              </w:rPr>
            </w:pPr>
            <w:r>
              <w:rPr>
                <w:rFonts w:hint="eastAsia" w:ascii="宋体" w:hAnsi="宋体"/>
                <w:b/>
                <w:bCs/>
              </w:rPr>
              <w:t xml:space="preserve">残疾人福利性单位声明函</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rPr>
      </w:pPr>
      <w:r>
        <w:rPr>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42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 （采购文件中明确的所属行业）</w:t>
      </w:r>
      <w:r>
        <w:rPr>
          <w:rFonts w:hint="eastAsia" w:ascii="宋体" w:hAnsi="宋体"/>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 （采购文件中明确的所属行业）（不得对行业类别修改）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ind w:firstLine="420"/>
        <w:jc w:val="left"/>
        <w:spacing w:line="420" w:lineRule="exact"/>
      </w:pPr>
      <w:r/>
      <w:r/>
    </w:p>
    <w:p>
      <w:pPr>
        <w:spacing w:line="420" w:lineRule="exact"/>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420" w:lineRule="exact"/>
        <w:rPr>
          <w:rFonts w:ascii="宋体" w:hAnsi="宋体"/>
        </w:rPr>
      </w:pPr>
      <w:r>
        <w:rPr>
          <w:rFonts w:hint="eastAsia" w:ascii="宋体" w:hAnsi="宋体"/>
        </w:rPr>
        <w:t xml:space="preserve">2、供应商如不提供此声明函，价格将不做相应扣除。</w:t>
      </w:r>
      <w:r/>
    </w:p>
    <w:p>
      <w:pPr>
        <w:spacing w:line="420" w:lineRule="exact"/>
        <w:rPr>
          <w:rFonts w:ascii="宋体" w:hAnsi="宋体"/>
        </w:rPr>
      </w:pPr>
      <w:r>
        <w:rPr>
          <w:rFonts w:hint="eastAsia" w:ascii="宋体" w:hAnsi="宋体"/>
        </w:rPr>
        <w:t xml:space="preserve">    3、企业声明函请完整填写，中标后将公示。</w:t>
      </w:r>
      <w:r/>
    </w:p>
    <w:p>
      <w:pPr>
        <w:ind w:firstLine="420"/>
        <w:jc w:val="left"/>
        <w:spacing w:line="420" w:lineRule="exact"/>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pPr>
      <w:r>
        <w:rPr>
          <w:rFonts w:hint="eastAsia"/>
        </w:rPr>
        <w:t xml:space="preserve">5、中小企业不得属于大企业的分支机构，不得存在控股股东为大企业的情形，不得存在与大企业的负责人为同一人的情形。</w:t>
      </w:r>
      <w:r/>
    </w:p>
    <w:p>
      <w:pPr>
        <w:ind w:firstLine="420"/>
        <w:jc w:val="left"/>
        <w:spacing w:line="42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20" w:lineRule="exact"/>
      </w:pPr>
      <w:r>
        <w:rPr>
          <w:rFonts w:hint="eastAsia"/>
        </w:rPr>
        <w:t xml:space="preserve">企业名称（盖章）：</w:t>
      </w:r>
      <w:r/>
    </w:p>
    <w:p>
      <w:pPr>
        <w:ind w:firstLine="4620"/>
        <w:jc w:val="left"/>
        <w:spacing w:line="420" w:lineRule="exact"/>
        <w:rPr>
          <w:rFonts w:ascii="宋体" w:hAnsi="宋体" w:cs="微软雅黑"/>
          <w:bCs/>
          <w:color w:val="333333"/>
          <w:szCs w:val="21"/>
        </w:rPr>
      </w:pPr>
      <w:r>
        <w:rPr>
          <w:rFonts w:hint="eastAsia"/>
        </w:rPr>
        <w:t xml:space="preserve">日 期：</w:t>
      </w:r>
      <w:r/>
    </w:p>
    <w:p>
      <w:pPr>
        <w:jc w:val="center"/>
        <w:rPr>
          <w:rFonts w:ascii="宋体" w:hAnsi="宋体"/>
          <w:b/>
          <w:bCs/>
          <w:sz w:val="24"/>
          <w:szCs w:val="24"/>
        </w:rPr>
      </w:pPr>
      <w:r/>
      <w:bookmarkStart w:id="314" w:name="_Toc138777693"/>
      <w:r>
        <w:rPr>
          <w:rFonts w:hint="eastAsia" w:ascii="宋体" w:hAnsi="宋体"/>
          <w:b/>
          <w:bCs/>
          <w:sz w:val="24"/>
          <w:szCs w:val="24"/>
        </w:rPr>
        <w:t xml:space="preserve">中小微企业划型标准</w:t>
      </w:r>
      <w:bookmarkEnd w:id="314"/>
      <w:r/>
      <w:r/>
    </w:p>
    <w:p>
      <w:pPr>
        <w:pStyle w:val="835"/>
        <w:ind w:firstLine="420"/>
        <w:spacing w:line="360" w:lineRule="auto"/>
        <w:widowControl/>
        <w:rPr>
          <w:rFonts w:ascii="宋体" w:hAnsi="宋体" w:cs="仿宋"/>
          <w:color w:val="666666"/>
          <w:sz w:val="21"/>
          <w:szCs w:val="21"/>
        </w:rPr>
      </w:pPr>
      <w:r>
        <w:rPr>
          <w:rFonts w:ascii="宋体" w:hAnsi="宋体" w:cs="仿宋"/>
          <w:color w:val="666666"/>
          <w:sz w:val="21"/>
          <w:szCs w:val="21"/>
        </w:rPr>
      </w:r>
      <w:r/>
    </w:p>
    <w:p>
      <w:pPr>
        <w:pStyle w:val="835"/>
        <w:ind w:firstLine="420"/>
        <w:spacing w:line="360" w:lineRule="auto"/>
        <w:widowControl/>
        <w:rPr>
          <w:rStyle w:val="839"/>
          <w:rFonts w:ascii="宋体" w:hAnsi="宋体" w:cs="仿宋"/>
          <w:color w:val="666666"/>
          <w:sz w:val="21"/>
          <w:szCs w:val="21"/>
        </w:rPr>
      </w:pPr>
      <w:r>
        <w:rPr>
          <w:rStyle w:val="839"/>
          <w:rFonts w:hint="eastAsia" w:ascii="宋体" w:hAnsi="宋体" w:cs="仿宋"/>
          <w:color w:val="666666"/>
          <w:sz w:val="21"/>
          <w:szCs w:val="21"/>
        </w:rPr>
        <w:t xml:space="preserve">中小微企业划型标准如下：</w:t>
      </w:r>
      <w:r/>
    </w:p>
    <w:tbl>
      <w:tblPr>
        <w:tblStyle w:val="813"/>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35"/>
              <w:jc w:val="center"/>
              <w:rPr>
                <w:rFonts w:ascii="宋体" w:hAnsi="宋体"/>
                <w:sz w:val="21"/>
              </w:rPr>
            </w:pPr>
            <w:r>
              <w:rPr>
                <w:rStyle w:val="839"/>
                <w:rFonts w:hint="eastAsia" w:ascii="宋体" w:hAnsi="宋体" w:cs="宋体"/>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jc w:val="center"/>
              <w:rPr>
                <w:rFonts w:ascii="宋体" w:hAnsi="宋体"/>
                <w:sz w:val="21"/>
              </w:rPr>
            </w:pPr>
            <w:r>
              <w:rPr>
                <w:rStyle w:val="839"/>
                <w:rFonts w:hint="eastAsia" w:ascii="宋体" w:hAnsi="宋体" w:cs="宋体"/>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jc w:val="center"/>
              <w:rPr>
                <w:rFonts w:ascii="宋体" w:hAnsi="宋体"/>
                <w:sz w:val="21"/>
              </w:rPr>
            </w:pPr>
            <w:r>
              <w:rPr>
                <w:rStyle w:val="839"/>
                <w:rFonts w:hint="eastAsia" w:ascii="宋体" w:hAnsi="宋体" w:cs="宋体"/>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宋体"/>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宋体"/>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35"/>
              <w:jc w:val="center"/>
              <w:rPr>
                <w:rFonts w:ascii="宋体" w:hAnsi="宋体"/>
                <w:sz w:val="21"/>
              </w:rPr>
            </w:pPr>
            <w:r>
              <w:rPr>
                <w:rStyle w:val="839"/>
                <w:rFonts w:hint="eastAsia" w:ascii="宋体" w:hAnsi="宋体" w:cs="宋体"/>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500≤Y</w:t>
            </w:r>
            <w:r>
              <w:rPr>
                <w:rStyle w:val="839"/>
                <w:rFonts w:hint="eastAsia" w:ascii="宋体" w:hAnsi="宋体" w:cs="宋体"/>
                <w:sz w:val="21"/>
              </w:rPr>
              <w:t xml:space="preserve">＜</w:t>
            </w:r>
            <w:r>
              <w:rPr>
                <w:rStyle w:val="839"/>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50≤Y</w:t>
            </w:r>
            <w:r>
              <w:rPr>
                <w:rStyle w:val="839"/>
                <w:rFonts w:hint="eastAsia" w:ascii="宋体" w:hAnsi="宋体" w:cs="宋体"/>
                <w:sz w:val="21"/>
              </w:rPr>
              <w:t xml:space="preserve">＜</w:t>
            </w:r>
            <w:r>
              <w:rPr>
                <w:rStyle w:val="839"/>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300≤X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300≤Y</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6000≤Y</w:t>
            </w:r>
            <w:r>
              <w:rPr>
                <w:rStyle w:val="839"/>
                <w:rFonts w:hint="eastAsia" w:ascii="宋体" w:hAnsi="宋体" w:cs="宋体"/>
                <w:sz w:val="21"/>
              </w:rPr>
              <w:t xml:space="preserve">＜</w:t>
            </w:r>
            <w:r>
              <w:rPr>
                <w:rStyle w:val="839"/>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300≤Y</w:t>
            </w:r>
            <w:r>
              <w:rPr>
                <w:rStyle w:val="839"/>
                <w:rFonts w:hint="eastAsia" w:ascii="宋体" w:hAnsi="宋体" w:cs="宋体"/>
                <w:sz w:val="21"/>
              </w:rPr>
              <w:t xml:space="preserve">＜</w:t>
            </w:r>
            <w:r>
              <w:rPr>
                <w:rStyle w:val="839"/>
                <w:rFonts w:hint="eastAsia" w:ascii="宋体" w:hAnsi="宋体" w:cs="仿宋"/>
                <w:sz w:val="21"/>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资产总额（</w:t>
            </w:r>
            <w:r>
              <w:rPr>
                <w:rStyle w:val="839"/>
                <w:rFonts w:hint="eastAsia" w:ascii="宋体" w:hAnsi="宋体" w:cs="仿宋"/>
                <w:sz w:val="21"/>
              </w:rPr>
              <w:t xml:space="preserve">Z</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5000≤Z</w:t>
            </w:r>
            <w:r>
              <w:rPr>
                <w:rStyle w:val="839"/>
                <w:rFonts w:hint="eastAsia" w:ascii="宋体" w:hAnsi="宋体" w:cs="宋体"/>
                <w:sz w:val="21"/>
              </w:rPr>
              <w:t xml:space="preserve">＜</w:t>
            </w:r>
            <w:r>
              <w:rPr>
                <w:rStyle w:val="839"/>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300≤Z</w:t>
            </w:r>
            <w:r>
              <w:rPr>
                <w:rStyle w:val="839"/>
                <w:rFonts w:hint="eastAsia" w:ascii="宋体" w:hAnsi="宋体" w:cs="宋体"/>
                <w:sz w:val="21"/>
              </w:rPr>
              <w:t xml:space="preserve">＜</w:t>
            </w:r>
            <w:r>
              <w:rPr>
                <w:rStyle w:val="83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Z</w:t>
            </w:r>
            <w:r>
              <w:rPr>
                <w:rStyle w:val="839"/>
                <w:rFonts w:hint="eastAsia" w:ascii="宋体" w:hAnsi="宋体" w:cs="宋体"/>
                <w:sz w:val="21"/>
              </w:rPr>
              <w:t xml:space="preserve">＜</w:t>
            </w:r>
            <w:r>
              <w:rPr>
                <w:rStyle w:val="839"/>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5≤X</w:t>
            </w:r>
            <w:r>
              <w:rPr>
                <w:rStyle w:val="839"/>
                <w:rFonts w:hint="eastAsia" w:ascii="宋体" w:hAnsi="宋体" w:cs="宋体"/>
                <w:sz w:val="21"/>
              </w:rPr>
              <w:t xml:space="preserve">＜</w:t>
            </w:r>
            <w:r>
              <w:rPr>
                <w:rStyle w:val="839"/>
                <w:rFonts w:hint="eastAsia" w:ascii="宋体" w:hAnsi="宋体" w:cs="仿宋"/>
                <w:sz w:val="21"/>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5000≤Y</w:t>
            </w:r>
            <w:r>
              <w:rPr>
                <w:rStyle w:val="839"/>
                <w:rFonts w:hint="eastAsia" w:ascii="宋体" w:hAnsi="宋体" w:cs="宋体"/>
                <w:sz w:val="21"/>
              </w:rPr>
              <w:t xml:space="preserve">＜</w:t>
            </w:r>
            <w:r>
              <w:rPr>
                <w:rStyle w:val="839"/>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50≤X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500≤Y</w:t>
            </w:r>
            <w:r>
              <w:rPr>
                <w:rStyle w:val="839"/>
                <w:rFonts w:hint="eastAsia" w:ascii="宋体" w:hAnsi="宋体" w:cs="宋体"/>
                <w:sz w:val="21"/>
              </w:rPr>
              <w:t xml:space="preserve">＜</w:t>
            </w:r>
            <w:r>
              <w:rPr>
                <w:rStyle w:val="839"/>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300≤X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3000≤Y</w:t>
            </w:r>
            <w:r>
              <w:rPr>
                <w:rStyle w:val="839"/>
                <w:rFonts w:hint="eastAsia" w:ascii="宋体" w:hAnsi="宋体" w:cs="宋体"/>
                <w:sz w:val="21"/>
              </w:rPr>
              <w:t xml:space="preserve">＜</w:t>
            </w:r>
            <w:r>
              <w:rPr>
                <w:rStyle w:val="839"/>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200≤Y</w:t>
            </w:r>
            <w:r>
              <w:rPr>
                <w:rStyle w:val="839"/>
                <w:rFonts w:hint="eastAsia" w:ascii="宋体" w:hAnsi="宋体" w:cs="宋体"/>
                <w:sz w:val="21"/>
              </w:rPr>
              <w:t xml:space="preserve">＜</w:t>
            </w:r>
            <w:r>
              <w:rPr>
                <w:rStyle w:val="839"/>
                <w:rFonts w:hint="eastAsia" w:ascii="宋体" w:hAnsi="宋体" w:cs="仿宋"/>
                <w:sz w:val="21"/>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300≤X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50≤Y</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资产总额（</w:t>
            </w:r>
            <w:r>
              <w:rPr>
                <w:rStyle w:val="839"/>
                <w:rFonts w:hint="eastAsia" w:ascii="宋体" w:hAnsi="宋体" w:cs="仿宋"/>
                <w:sz w:val="21"/>
              </w:rPr>
              <w:t xml:space="preserve">Z</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5000≤Z</w:t>
            </w:r>
            <w:r>
              <w:rPr>
                <w:rStyle w:val="839"/>
                <w:rFonts w:hint="eastAsia" w:ascii="宋体" w:hAnsi="宋体" w:cs="宋体"/>
                <w:sz w:val="21"/>
              </w:rPr>
              <w:t xml:space="preserve">＜</w:t>
            </w:r>
            <w:r>
              <w:rPr>
                <w:rStyle w:val="83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300≤X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500≤Y</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5"/>
              <w:jc w:val="center"/>
              <w:rPr>
                <w:rFonts w:ascii="宋体" w:hAnsi="宋体"/>
                <w:sz w:val="21"/>
              </w:rPr>
            </w:pPr>
            <w:r>
              <w:rPr>
                <w:rStyle w:val="839"/>
                <w:rFonts w:hint="eastAsia" w:ascii="宋体" w:hAnsi="宋体" w:cs="宋体"/>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资产总额（</w:t>
            </w:r>
            <w:r>
              <w:rPr>
                <w:rStyle w:val="839"/>
                <w:rFonts w:hint="eastAsia" w:ascii="宋体" w:hAnsi="宋体" w:cs="仿宋"/>
                <w:sz w:val="21"/>
              </w:rPr>
              <w:t xml:space="preserve">Z</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8000≤Z</w:t>
            </w:r>
            <w:r>
              <w:rPr>
                <w:rStyle w:val="839"/>
                <w:rFonts w:hint="eastAsia" w:ascii="宋体" w:hAnsi="宋体" w:cs="宋体"/>
                <w:sz w:val="21"/>
              </w:rPr>
              <w:t xml:space="preserve">＜</w:t>
            </w:r>
            <w:r>
              <w:rPr>
                <w:rStyle w:val="839"/>
                <w:rFonts w:hint="eastAsia" w:ascii="宋体" w:hAnsi="宋体" w:cs="仿宋"/>
                <w:sz w:val="21"/>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100≤Z</w:t>
            </w:r>
            <w:r>
              <w:rPr>
                <w:rStyle w:val="839"/>
                <w:rFonts w:hint="eastAsia" w:ascii="宋体" w:hAnsi="宋体" w:cs="宋体"/>
                <w:sz w:val="21"/>
              </w:rPr>
              <w:t xml:space="preserve">＜</w:t>
            </w:r>
            <w:r>
              <w:rPr>
                <w:rStyle w:val="839"/>
                <w:rFonts w:hint="eastAsia" w:ascii="宋体" w:hAnsi="宋体" w:cs="仿宋"/>
                <w:sz w:val="21"/>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35"/>
              <w:jc w:val="center"/>
              <w:rPr>
                <w:rFonts w:ascii="宋体" w:hAnsi="宋体"/>
                <w:sz w:val="21"/>
              </w:rPr>
            </w:pPr>
            <w:r>
              <w:rPr>
                <w:rStyle w:val="839"/>
                <w:rFonts w:hint="eastAsia" w:ascii="宋体" w:hAnsi="宋体" w:cs="宋体"/>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5"/>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5"/>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5"/>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5"/>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5"/>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bl>
    <w:p>
      <w:pPr>
        <w:pStyle w:val="835"/>
        <w:ind w:firstLine="422"/>
        <w:spacing w:before="300" w:after="452" w:line="360" w:lineRule="auto"/>
        <w:widowControl/>
        <w:rPr>
          <w:rStyle w:val="839"/>
          <w:rFonts w:ascii="宋体" w:hAnsi="宋体" w:cs="仿宋"/>
          <w:color w:val="666666"/>
          <w:sz w:val="21"/>
          <w:szCs w:val="21"/>
        </w:rPr>
      </w:pPr>
      <w:r>
        <w:rPr>
          <w:rStyle w:val="839"/>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35"/>
        <w:ind w:firstLine="422"/>
        <w:spacing w:before="300" w:after="452" w:line="360" w:lineRule="auto"/>
        <w:widowControl/>
        <w:rPr>
          <w:rStyle w:val="839"/>
          <w:rFonts w:cs="仿宋"/>
          <w:color w:val="666666"/>
          <w:sz w:val="21"/>
          <w:szCs w:val="21"/>
        </w:rPr>
      </w:pPr>
      <w:r>
        <w:rPr>
          <w:rStyle w:val="839"/>
          <w:rFonts w:ascii="宋体" w:hAnsi="宋体" w:cs="仿宋"/>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sz w:val="32"/>
          <w:szCs w:val="32"/>
        </w:rPr>
      </w:pPr>
      <w:r>
        <w:rPr>
          <w:rFonts w:ascii="宋体" w:hAnsi="宋体"/>
          <w:sz w:val="32"/>
          <w:szCs w:val="32"/>
        </w:rPr>
      </w:r>
      <w:r/>
    </w:p>
    <w:p>
      <w:pPr>
        <w:jc w:val="center"/>
        <w:spacing w:before="240" w:line="360" w:lineRule="auto"/>
        <w:rPr>
          <w:rFonts w:ascii="宋体" w:hAnsi="宋体"/>
          <w:b/>
          <w:sz w:val="32"/>
          <w:szCs w:val="32"/>
        </w:rPr>
      </w:pPr>
      <w:r/>
      <w:bookmarkStart w:id="315" w:name="_Toc138777694"/>
      <w:r/>
      <w:r/>
    </w:p>
    <w:p>
      <w:pPr>
        <w:jc w:val="center"/>
        <w:spacing w:before="240" w:line="360" w:lineRule="auto"/>
        <w:rPr>
          <w:rFonts w:ascii="宋体" w:hAnsi="宋体"/>
          <w:b/>
          <w:sz w:val="32"/>
          <w:szCs w:val="32"/>
        </w:rPr>
      </w:pPr>
      <w:r>
        <w:rPr>
          <w:rFonts w:ascii="宋体" w:hAnsi="宋体"/>
          <w:b/>
          <w:sz w:val="32"/>
          <w:szCs w:val="32"/>
        </w:rPr>
      </w:r>
      <w:bookmarkEnd w:id="315"/>
      <w:r/>
      <w:r/>
    </w:p>
    <w:p>
      <w:pPr>
        <w:jc w:val="center"/>
        <w:rPr>
          <w:rFonts w:ascii="宋体" w:hAnsi="宋体"/>
          <w:b/>
          <w:bCs/>
          <w:sz w:val="32"/>
          <w:szCs w:val="32"/>
        </w:rPr>
      </w:pPr>
      <w:r/>
      <w:bookmarkStart w:id="316" w:name="_Toc138777695"/>
      <w:r>
        <w:rPr>
          <w:rFonts w:hint="eastAsia" w:ascii="宋体" w:hAnsi="宋体"/>
          <w:b/>
          <w:sz w:val="32"/>
          <w:szCs w:val="32"/>
        </w:rPr>
        <w:t xml:space="preserve">四、开标一览表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ascii="宋体" w:hAnsi="宋体"/>
          <w:szCs w:val="21"/>
        </w:rPr>
      </w:r>
      <w:r/>
    </w:p>
    <w:tbl>
      <w:tblPr>
        <w:tblStyle w:val="8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17"/>
              <w:spacing w:line="30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rPr>
                <w:rFonts w:ascii="宋体" w:hAnsi="宋体"/>
                <w:szCs w:val="21"/>
              </w:rPr>
            </w:pPr>
            <w:r>
              <w:rPr>
                <w:rFonts w:hint="eastAsia" w:ascii="宋体" w:hAnsi="宋体"/>
                <w:szCs w:val="21"/>
              </w:rPr>
              <w:t xml:space="preserve">投标单价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17"/>
              <w:spacing w:line="30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1011"/>
              <w:ind w:firstLine="0"/>
              <w:spacing w:before="0" w:after="0" w:line="500" w:lineRule="exact"/>
              <w:rPr>
                <w:rFonts w:ascii="宋体" w:hAnsi="宋体"/>
                <w:sz w:val="21"/>
                <w:szCs w:val="21"/>
              </w:rPr>
            </w:pPr>
            <w:r>
              <w:rPr>
                <w:rFonts w:hint="eastAsia" w:ascii="宋体" w:hAnsi="宋体" w:cs="宋体"/>
                <w:sz w:val="21"/>
                <w:szCs w:val="21"/>
              </w:rPr>
              <w:t xml:space="preserve">小写：                             （人民币：元）</w:t>
            </w:r>
            <w:r/>
          </w:p>
        </w:tc>
      </w:tr>
    </w:tbl>
    <w:p>
      <w:pPr>
        <w:rPr>
          <w:rFonts w:ascii="宋体" w:hAnsi="宋体"/>
          <w:szCs w:val="21"/>
        </w:rPr>
      </w:pPr>
      <w:r>
        <w:rPr>
          <w:rFonts w:ascii="宋体" w:hAnsi="宋体"/>
          <w:szCs w:val="21"/>
        </w:rPr>
      </w:r>
      <w:r/>
    </w:p>
    <w:p>
      <w:pPr>
        <w:ind w:firstLine="480"/>
        <w:rPr>
          <w:rFonts w:ascii="宋体" w:hAnsi="宋体"/>
          <w:sz w:val="32"/>
          <w:szCs w:val="32"/>
        </w:rPr>
      </w:pPr>
      <w:r>
        <w:rPr>
          <w:rFonts w:hint="eastAsia" w:ascii="宋体" w:hAnsi="宋体"/>
          <w:szCs w:val="21"/>
        </w:rPr>
        <w:t xml:space="preserve">                                              日期：   年 月 日</w:t>
      </w:r>
      <w:r/>
    </w:p>
    <w:p>
      <w:pPr>
        <w:pStyle w:val="811"/>
      </w:p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11"/>
        <w:rPr>
          <w:rFonts w:ascii="宋体" w:hAnsi="宋体"/>
          <w:color w:val="000000"/>
        </w:rPr>
      </w:pPr>
      <w:r>
        <w:rPr>
          <w:rFonts w:hint="eastAsia" w:ascii="宋体" w:hAnsi="宋体"/>
          <w:color w:val="000000"/>
        </w:rPr>
        <w:t xml:space="preserve">注：开标一览表报价方式为按单价报价，即</w:t>
      </w:r>
      <w:r>
        <w:rPr>
          <w:rFonts w:hint="eastAsia" w:ascii="宋体" w:hAnsi="宋体"/>
        </w:rPr>
        <w:t xml:space="preserve">所投产品</w:t>
      </w:r>
      <w:r>
        <w:rPr>
          <w:rFonts w:hint="eastAsia" w:ascii="宋体" w:hAnsi="宋体" w:cs="宋体"/>
          <w:szCs w:val="21"/>
        </w:rPr>
        <w:t xml:space="preserve">每吨价格。</w:t>
      </w:r>
      <w:r/>
    </w:p>
    <w:p>
      <w:pPr>
        <w:rPr>
          <w:rFonts w:ascii="宋体" w:hAnsi="宋体"/>
          <w:b/>
          <w:bCs/>
          <w:color w:val="000000"/>
          <w:sz w:val="32"/>
          <w:szCs w:val="32"/>
        </w:rPr>
      </w:pPr>
      <w:r>
        <w:rPr>
          <w:rFonts w:ascii="宋体" w:hAnsi="宋体"/>
          <w:b/>
          <w:bCs/>
          <w:color w:val="000000"/>
          <w:sz w:val="32"/>
          <w:szCs w:val="32"/>
        </w:rPr>
      </w:r>
      <w:r/>
    </w:p>
    <w:p>
      <w:pPr>
        <w:pStyle w:val="811"/>
        <w:rPr>
          <w:rFonts w:ascii="宋体" w:hAnsi="宋体"/>
          <w:color w:val="000000"/>
        </w:rPr>
      </w:pPr>
      <w:r>
        <w:rPr>
          <w:rFonts w:ascii="宋体" w:hAnsi="宋体"/>
          <w:color w:val="000000"/>
        </w:rPr>
      </w:r>
      <w:r/>
    </w:p>
    <w:p>
      <w:pPr>
        <w:rPr>
          <w:rFonts w:ascii="宋体" w:hAnsi="宋体"/>
          <w:b/>
          <w:bCs/>
          <w:color w:val="000000"/>
          <w:sz w:val="32"/>
          <w:szCs w:val="32"/>
        </w:rPr>
      </w:pPr>
      <w:r>
        <w:rPr>
          <w:rFonts w:ascii="宋体" w:hAnsi="宋体"/>
          <w:b/>
          <w:bCs/>
          <w:color w:val="000000"/>
          <w:sz w:val="32"/>
          <w:szCs w:val="32"/>
        </w:rPr>
      </w:r>
      <w:r/>
    </w:p>
    <w:p>
      <w:pPr>
        <w:pStyle w:val="811"/>
        <w:rPr>
          <w:rFonts w:ascii="宋体" w:hAnsi="宋体"/>
          <w:color w:val="000000"/>
        </w:rPr>
      </w:pPr>
      <w:r>
        <w:rPr>
          <w:rFonts w:ascii="宋体" w:hAnsi="宋体"/>
          <w:color w:val="000000"/>
        </w:rPr>
      </w:r>
      <w:r/>
    </w:p>
    <w:p>
      <w:pPr>
        <w:rPr>
          <w:rFonts w:ascii="宋体" w:hAnsi="宋体"/>
          <w:b/>
          <w:bCs/>
          <w:color w:val="000000"/>
          <w:sz w:val="32"/>
          <w:szCs w:val="32"/>
        </w:rPr>
      </w:pPr>
      <w:r>
        <w:rPr>
          <w:rFonts w:ascii="宋体" w:hAnsi="宋体"/>
          <w:b/>
          <w:bCs/>
          <w:color w:val="000000"/>
          <w:sz w:val="32"/>
          <w:szCs w:val="32"/>
        </w:rPr>
      </w:r>
      <w:r/>
    </w:p>
    <w:p>
      <w:pPr>
        <w:ind w:firstLine="422"/>
        <w:jc w:val="center"/>
        <w:rPr>
          <w:rFonts w:ascii="宋体" w:hAnsi="宋体"/>
          <w:b/>
          <w:sz w:val="32"/>
          <w:szCs w:val="32"/>
        </w:rPr>
      </w:pPr>
      <w:r>
        <w:rPr>
          <w:rFonts w:ascii="宋体" w:hAnsi="宋体"/>
          <w:b/>
          <w:sz w:val="32"/>
          <w:szCs w:val="32"/>
        </w:rPr>
      </w:r>
      <w:r/>
    </w:p>
    <w:p>
      <w:pPr>
        <w:ind w:firstLine="422"/>
        <w:jc w:val="center"/>
        <w:rPr>
          <w:rFonts w:ascii="宋体" w:hAnsi="宋体"/>
          <w:b/>
          <w:bCs/>
          <w:sz w:val="32"/>
          <w:szCs w:val="32"/>
        </w:rPr>
      </w:pPr>
      <w:r>
        <w:rPr>
          <w:rFonts w:ascii="宋体" w:hAnsi="宋体"/>
          <w:b/>
          <w:bCs/>
          <w:sz w:val="32"/>
          <w:szCs w:val="32"/>
        </w:rPr>
      </w:r>
      <w:r/>
    </w:p>
    <w:p>
      <w:pPr>
        <w:ind w:firstLine="422"/>
        <w:jc w:val="center"/>
        <w:rPr>
          <w:rFonts w:ascii="宋体" w:hAnsi="宋体"/>
          <w:b/>
          <w:bCs/>
          <w:sz w:val="32"/>
          <w:szCs w:val="32"/>
        </w:rPr>
      </w:pPr>
      <w:r>
        <w:rPr>
          <w:rFonts w:hint="eastAsia" w:ascii="宋体" w:hAnsi="宋体"/>
          <w:b/>
          <w:sz w:val="32"/>
          <w:szCs w:val="32"/>
        </w:rPr>
        <w:t xml:space="preserve">五、投标分项报价表</w:t>
      </w:r>
      <w:r/>
    </w:p>
    <w:p>
      <w:pPr>
        <w:ind w:firstLine="420"/>
        <w:rPr>
          <w:rFonts w:ascii="宋体" w:hAnsi="宋体"/>
          <w:u w:val="single"/>
        </w:rPr>
      </w:pPr>
      <w:r>
        <w:rPr>
          <w:rFonts w:ascii="宋体" w:hAnsi="宋体"/>
          <w:u w:val="single"/>
        </w:rPr>
      </w:r>
      <w:r/>
    </w:p>
    <w:p>
      <w:pPr>
        <w:ind w:firstLine="420"/>
        <w:rPr>
          <w:rFonts w:ascii="宋体" w:hAnsi="宋体"/>
        </w:rPr>
      </w:pPr>
      <w:r>
        <w:rPr>
          <w:rFonts w:hint="eastAsia" w:ascii="宋体" w:hAnsi="宋体"/>
          <w:szCs w:val="21"/>
        </w:rPr>
        <w:t xml:space="preserve">投标人名称（公章）：                                      项目编号：</w:t>
      </w:r>
      <w:r/>
    </w:p>
    <w:p>
      <w:pPr>
        <w:pStyle w:val="1020"/>
        <w:ind w:firstLine="420"/>
      </w:pPr>
      <w:r>
        <w:rPr>
          <w:rFonts w:hint="eastAsia"/>
        </w:rPr>
        <w:t xml:space="preserve">分包号：（如有）</w:t>
      </w:r>
      <w:r/>
    </w:p>
    <w:tbl>
      <w:tblPr>
        <w:tblStyle w:val="813"/>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1"/>
        <w:gridCol w:w="1017"/>
        <w:gridCol w:w="983"/>
        <w:gridCol w:w="1117"/>
        <w:gridCol w:w="1833"/>
        <w:gridCol w:w="1283"/>
      </w:tblGrid>
      <w:tr>
        <w:trPr>
          <w:cantSplit/>
          <w:trHeight w:val="544"/>
        </w:trPr>
        <w:tc>
          <w:tcPr>
            <w:tcW w:w="26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0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9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83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2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cantSplit/>
          <w:trHeight w:val="732"/>
        </w:trPr>
        <w:tc>
          <w:tcPr>
            <w:tcW w:w="26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产品名称及规格、型号</w:t>
            </w:r>
            <w:r/>
          </w:p>
        </w:tc>
        <w:tc>
          <w:tcPr>
            <w:tcW w:w="10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9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产地</w:t>
            </w:r>
            <w:r/>
          </w:p>
        </w:tc>
        <w:tc>
          <w:tcPr>
            <w:tcW w:w="111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交付期</w:t>
            </w:r>
            <w:r/>
          </w:p>
        </w:tc>
        <w:tc>
          <w:tcPr>
            <w:tcW w:w="183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单价（元/吨）</w:t>
            </w:r>
            <w:r/>
          </w:p>
        </w:tc>
        <w:tc>
          <w:tcPr>
            <w:tcW w:w="12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总价（元）</w:t>
            </w:r>
            <w:r/>
          </w:p>
        </w:tc>
      </w:tr>
      <w:tr>
        <w:trPr>
          <w:cantSplit/>
          <w:trHeight w:val="924"/>
        </w:trPr>
        <w:tc>
          <w:tcPr>
            <w:tcW w:w="2641" w:type="dxa"/>
            <w:vAlign w:val="center"/>
            <w:textDirection w:val="lrTb"/>
            <w:noWrap w:val="false"/>
          </w:tcPr>
          <w:p>
            <w:pPr>
              <w:spacing w:line="360" w:lineRule="auto"/>
              <w:rPr>
                <w:rFonts w:ascii="宋体" w:hAnsi="宋体"/>
                <w:szCs w:val="21"/>
              </w:rPr>
            </w:pPr>
            <w:r>
              <w:rPr>
                <w:rFonts w:ascii="宋体" w:hAnsi="宋体"/>
                <w:szCs w:val="21"/>
              </w:rPr>
            </w:r>
            <w:r/>
          </w:p>
        </w:tc>
        <w:tc>
          <w:tcPr>
            <w:tcW w:w="1017" w:type="dxa"/>
            <w:vAlign w:val="center"/>
            <w:textDirection w:val="lrTb"/>
            <w:noWrap w:val="false"/>
          </w:tcPr>
          <w:p>
            <w:pPr>
              <w:spacing w:line="360" w:lineRule="auto"/>
              <w:rPr>
                <w:rFonts w:ascii="宋体" w:hAnsi="宋体"/>
                <w:szCs w:val="21"/>
              </w:rPr>
            </w:pPr>
            <w:r>
              <w:rPr>
                <w:rFonts w:ascii="宋体" w:hAnsi="宋体"/>
                <w:szCs w:val="21"/>
              </w:rPr>
            </w:r>
            <w:r/>
          </w:p>
        </w:tc>
        <w:tc>
          <w:tcPr>
            <w:tcW w:w="983" w:type="dxa"/>
            <w:vAlign w:val="center"/>
            <w:textDirection w:val="lrTb"/>
            <w:noWrap w:val="false"/>
          </w:tcPr>
          <w:p>
            <w:pPr>
              <w:spacing w:line="360" w:lineRule="auto"/>
              <w:rPr>
                <w:rFonts w:ascii="宋体" w:hAnsi="宋体"/>
                <w:szCs w:val="21"/>
              </w:rPr>
            </w:pPr>
            <w:r>
              <w:rPr>
                <w:rFonts w:ascii="宋体" w:hAnsi="宋体"/>
                <w:szCs w:val="21"/>
              </w:rPr>
            </w:r>
            <w:r/>
          </w:p>
        </w:tc>
        <w:tc>
          <w:tcPr>
            <w:tcW w:w="1117" w:type="dxa"/>
            <w:vAlign w:val="center"/>
            <w:textDirection w:val="lrTb"/>
            <w:noWrap w:val="false"/>
          </w:tcPr>
          <w:p>
            <w:pPr>
              <w:spacing w:line="360" w:lineRule="auto"/>
              <w:rPr>
                <w:rFonts w:ascii="宋体" w:hAnsi="宋体"/>
                <w:szCs w:val="21"/>
              </w:rPr>
            </w:pPr>
            <w:r>
              <w:rPr>
                <w:rFonts w:ascii="宋体" w:hAnsi="宋体"/>
                <w:szCs w:val="21"/>
              </w:rPr>
            </w:r>
            <w:r/>
          </w:p>
        </w:tc>
        <w:tc>
          <w:tcPr>
            <w:tcW w:w="1833" w:type="dxa"/>
            <w:vAlign w:val="center"/>
            <w:textDirection w:val="lrTb"/>
            <w:noWrap w:val="false"/>
          </w:tcPr>
          <w:p>
            <w:pPr>
              <w:spacing w:line="360" w:lineRule="auto"/>
              <w:rPr>
                <w:rFonts w:ascii="宋体" w:hAnsi="宋体"/>
                <w:szCs w:val="21"/>
              </w:rPr>
            </w:pPr>
            <w:r>
              <w:rPr>
                <w:rFonts w:ascii="宋体" w:hAnsi="宋体"/>
                <w:szCs w:val="21"/>
              </w:rPr>
            </w:r>
            <w:r/>
          </w:p>
        </w:tc>
        <w:tc>
          <w:tcPr>
            <w:tcW w:w="1283"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641" w:type="dxa"/>
            <w:vAlign w:val="center"/>
            <w:textDirection w:val="lrTb"/>
            <w:noWrap w:val="false"/>
          </w:tcPr>
          <w:p>
            <w:pPr>
              <w:spacing w:line="360" w:lineRule="auto"/>
              <w:rPr>
                <w:rFonts w:ascii="宋体" w:hAnsi="宋体"/>
                <w:szCs w:val="21"/>
              </w:rPr>
            </w:pPr>
            <w:r>
              <w:rPr>
                <w:rFonts w:ascii="宋体" w:hAnsi="宋体"/>
                <w:szCs w:val="21"/>
              </w:rPr>
            </w:r>
            <w:r/>
          </w:p>
        </w:tc>
        <w:tc>
          <w:tcPr>
            <w:tcW w:w="1017" w:type="dxa"/>
            <w:vAlign w:val="center"/>
            <w:textDirection w:val="lrTb"/>
            <w:noWrap w:val="false"/>
          </w:tcPr>
          <w:p>
            <w:pPr>
              <w:spacing w:line="360" w:lineRule="auto"/>
              <w:rPr>
                <w:rFonts w:ascii="宋体" w:hAnsi="宋体"/>
                <w:szCs w:val="21"/>
              </w:rPr>
            </w:pPr>
            <w:r>
              <w:rPr>
                <w:rFonts w:ascii="宋体" w:hAnsi="宋体"/>
                <w:szCs w:val="21"/>
              </w:rPr>
            </w:r>
            <w:r/>
          </w:p>
        </w:tc>
        <w:tc>
          <w:tcPr>
            <w:tcW w:w="983" w:type="dxa"/>
            <w:vAlign w:val="center"/>
            <w:textDirection w:val="lrTb"/>
            <w:noWrap w:val="false"/>
          </w:tcPr>
          <w:p>
            <w:pPr>
              <w:spacing w:line="360" w:lineRule="auto"/>
              <w:rPr>
                <w:rFonts w:ascii="宋体" w:hAnsi="宋体"/>
                <w:szCs w:val="21"/>
              </w:rPr>
            </w:pPr>
            <w:r>
              <w:rPr>
                <w:rFonts w:ascii="宋体" w:hAnsi="宋体"/>
                <w:szCs w:val="21"/>
              </w:rPr>
            </w:r>
            <w:r/>
          </w:p>
        </w:tc>
        <w:tc>
          <w:tcPr>
            <w:tcW w:w="1117" w:type="dxa"/>
            <w:vAlign w:val="center"/>
            <w:textDirection w:val="lrTb"/>
            <w:noWrap w:val="false"/>
          </w:tcPr>
          <w:p>
            <w:pPr>
              <w:spacing w:line="360" w:lineRule="auto"/>
              <w:rPr>
                <w:rFonts w:ascii="宋体" w:hAnsi="宋体"/>
                <w:szCs w:val="21"/>
              </w:rPr>
            </w:pPr>
            <w:r>
              <w:rPr>
                <w:rFonts w:ascii="宋体" w:hAnsi="宋体"/>
                <w:szCs w:val="21"/>
              </w:rPr>
            </w:r>
            <w:r/>
          </w:p>
        </w:tc>
        <w:tc>
          <w:tcPr>
            <w:tcW w:w="1833" w:type="dxa"/>
            <w:vAlign w:val="center"/>
            <w:textDirection w:val="lrTb"/>
            <w:noWrap w:val="false"/>
          </w:tcPr>
          <w:p>
            <w:pPr>
              <w:spacing w:line="360" w:lineRule="auto"/>
              <w:rPr>
                <w:rFonts w:ascii="宋体" w:hAnsi="宋体"/>
                <w:szCs w:val="21"/>
              </w:rPr>
            </w:pPr>
            <w:r>
              <w:rPr>
                <w:rFonts w:ascii="宋体" w:hAnsi="宋体"/>
                <w:szCs w:val="21"/>
              </w:rPr>
            </w:r>
            <w:r/>
          </w:p>
        </w:tc>
        <w:tc>
          <w:tcPr>
            <w:tcW w:w="1283"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641" w:type="dxa"/>
            <w:vAlign w:val="center"/>
            <w:textDirection w:val="lrTb"/>
            <w:noWrap w:val="false"/>
          </w:tcPr>
          <w:p>
            <w:pPr>
              <w:spacing w:line="360" w:lineRule="auto"/>
              <w:rPr>
                <w:rFonts w:ascii="宋体" w:hAnsi="宋体"/>
                <w:szCs w:val="21"/>
              </w:rPr>
            </w:pPr>
            <w:r>
              <w:rPr>
                <w:rFonts w:ascii="宋体" w:hAnsi="宋体"/>
                <w:szCs w:val="21"/>
              </w:rPr>
            </w:r>
            <w:r/>
          </w:p>
        </w:tc>
        <w:tc>
          <w:tcPr>
            <w:tcW w:w="1017" w:type="dxa"/>
            <w:vAlign w:val="center"/>
            <w:textDirection w:val="lrTb"/>
            <w:noWrap w:val="false"/>
          </w:tcPr>
          <w:p>
            <w:pPr>
              <w:spacing w:line="360" w:lineRule="auto"/>
              <w:rPr>
                <w:rFonts w:ascii="宋体" w:hAnsi="宋体"/>
                <w:szCs w:val="21"/>
              </w:rPr>
            </w:pPr>
            <w:r>
              <w:rPr>
                <w:rFonts w:ascii="宋体" w:hAnsi="宋体"/>
                <w:szCs w:val="21"/>
              </w:rPr>
            </w:r>
            <w:r/>
          </w:p>
        </w:tc>
        <w:tc>
          <w:tcPr>
            <w:tcW w:w="983" w:type="dxa"/>
            <w:vAlign w:val="center"/>
            <w:textDirection w:val="lrTb"/>
            <w:noWrap w:val="false"/>
          </w:tcPr>
          <w:p>
            <w:pPr>
              <w:spacing w:line="360" w:lineRule="auto"/>
              <w:rPr>
                <w:rFonts w:ascii="宋体" w:hAnsi="宋体"/>
                <w:szCs w:val="21"/>
              </w:rPr>
            </w:pPr>
            <w:r>
              <w:rPr>
                <w:rFonts w:ascii="宋体" w:hAnsi="宋体"/>
                <w:szCs w:val="21"/>
              </w:rPr>
            </w:r>
            <w:r/>
          </w:p>
        </w:tc>
        <w:tc>
          <w:tcPr>
            <w:tcW w:w="1117" w:type="dxa"/>
            <w:vAlign w:val="center"/>
            <w:textDirection w:val="lrTb"/>
            <w:noWrap w:val="false"/>
          </w:tcPr>
          <w:p>
            <w:pPr>
              <w:spacing w:line="360" w:lineRule="auto"/>
              <w:rPr>
                <w:rFonts w:ascii="宋体" w:hAnsi="宋体"/>
                <w:szCs w:val="21"/>
              </w:rPr>
            </w:pPr>
            <w:r>
              <w:rPr>
                <w:rFonts w:ascii="宋体" w:hAnsi="宋体"/>
                <w:szCs w:val="21"/>
              </w:rPr>
            </w:r>
            <w:r/>
          </w:p>
        </w:tc>
        <w:tc>
          <w:tcPr>
            <w:tcW w:w="1833" w:type="dxa"/>
            <w:vAlign w:val="center"/>
            <w:textDirection w:val="lrTb"/>
            <w:noWrap w:val="false"/>
          </w:tcPr>
          <w:p>
            <w:pPr>
              <w:spacing w:line="360" w:lineRule="auto"/>
              <w:rPr>
                <w:rFonts w:ascii="宋体" w:hAnsi="宋体"/>
                <w:szCs w:val="21"/>
              </w:rPr>
            </w:pPr>
            <w:r>
              <w:rPr>
                <w:rFonts w:ascii="宋体" w:hAnsi="宋体"/>
                <w:szCs w:val="21"/>
              </w:rPr>
            </w:r>
            <w:r/>
          </w:p>
        </w:tc>
        <w:tc>
          <w:tcPr>
            <w:tcW w:w="1283"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580"/>
        </w:trPr>
        <w:tc>
          <w:tcPr>
            <w:tcW w:w="2641" w:type="dxa"/>
            <w:vAlign w:val="center"/>
            <w:textDirection w:val="lrTb"/>
            <w:noWrap w:val="false"/>
          </w:tcPr>
          <w:p>
            <w:pPr>
              <w:spacing w:line="360" w:lineRule="auto"/>
              <w:rPr>
                <w:rFonts w:ascii="宋体" w:hAnsi="宋体"/>
                <w:szCs w:val="21"/>
              </w:rPr>
            </w:pPr>
            <w:r>
              <w:rPr>
                <w:rFonts w:ascii="宋体" w:hAnsi="宋体"/>
                <w:szCs w:val="21"/>
              </w:rPr>
            </w:r>
            <w:r/>
          </w:p>
        </w:tc>
        <w:tc>
          <w:tcPr>
            <w:tcW w:w="1017" w:type="dxa"/>
            <w:vAlign w:val="center"/>
            <w:textDirection w:val="lrTb"/>
            <w:noWrap w:val="false"/>
          </w:tcPr>
          <w:p>
            <w:pPr>
              <w:spacing w:line="360" w:lineRule="auto"/>
              <w:rPr>
                <w:rFonts w:ascii="宋体" w:hAnsi="宋体"/>
                <w:szCs w:val="21"/>
              </w:rPr>
            </w:pPr>
            <w:r>
              <w:rPr>
                <w:rFonts w:ascii="宋体" w:hAnsi="宋体"/>
                <w:szCs w:val="21"/>
              </w:rPr>
            </w:r>
            <w:r/>
          </w:p>
        </w:tc>
        <w:tc>
          <w:tcPr>
            <w:tcW w:w="983" w:type="dxa"/>
            <w:vAlign w:val="center"/>
            <w:textDirection w:val="lrTb"/>
            <w:noWrap w:val="false"/>
          </w:tcPr>
          <w:p>
            <w:pPr>
              <w:spacing w:line="360" w:lineRule="auto"/>
              <w:rPr>
                <w:rFonts w:ascii="宋体" w:hAnsi="宋体"/>
                <w:szCs w:val="21"/>
              </w:rPr>
            </w:pPr>
            <w:r>
              <w:rPr>
                <w:rFonts w:ascii="宋体" w:hAnsi="宋体"/>
                <w:szCs w:val="21"/>
              </w:rPr>
            </w:r>
            <w:r/>
          </w:p>
        </w:tc>
        <w:tc>
          <w:tcPr>
            <w:tcW w:w="1117" w:type="dxa"/>
            <w:vAlign w:val="center"/>
            <w:textDirection w:val="lrTb"/>
            <w:noWrap w:val="false"/>
          </w:tcPr>
          <w:p>
            <w:pPr>
              <w:spacing w:line="360" w:lineRule="auto"/>
              <w:rPr>
                <w:rFonts w:ascii="宋体" w:hAnsi="宋体"/>
                <w:szCs w:val="21"/>
              </w:rPr>
            </w:pPr>
            <w:r>
              <w:rPr>
                <w:rFonts w:ascii="宋体" w:hAnsi="宋体"/>
                <w:szCs w:val="21"/>
              </w:rPr>
            </w:r>
            <w:r/>
          </w:p>
        </w:tc>
        <w:tc>
          <w:tcPr>
            <w:tcW w:w="1833" w:type="dxa"/>
            <w:vAlign w:val="center"/>
            <w:textDirection w:val="lrTb"/>
            <w:noWrap w:val="false"/>
          </w:tcPr>
          <w:p>
            <w:pPr>
              <w:spacing w:line="360" w:lineRule="auto"/>
              <w:rPr>
                <w:rFonts w:ascii="宋体" w:hAnsi="宋体"/>
                <w:szCs w:val="21"/>
              </w:rPr>
            </w:pPr>
            <w:r>
              <w:rPr>
                <w:rFonts w:ascii="宋体" w:hAnsi="宋体"/>
                <w:szCs w:val="21"/>
              </w:rPr>
            </w:r>
            <w:r/>
          </w:p>
        </w:tc>
        <w:tc>
          <w:tcPr>
            <w:tcW w:w="1283"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1030"/>
        </w:trPr>
        <w:tc>
          <w:tcPr>
            <w:tcW w:w="264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gridSpan w:val="5"/>
            <w:tcW w:w="6233" w:type="dxa"/>
            <w:textDirection w:val="lrTb"/>
            <w:noWrap w:val="false"/>
          </w:tcPr>
          <w:p>
            <w:pPr>
              <w:spacing w:line="360" w:lineRule="auto"/>
              <w:rPr>
                <w:rFonts w:ascii="宋体" w:hAnsi="宋体"/>
                <w:szCs w:val="21"/>
              </w:rPr>
            </w:pPr>
            <w:r>
              <w:rPr>
                <w:rFonts w:hint="eastAsia" w:ascii="宋体" w:hAnsi="宋体"/>
                <w:szCs w:val="21"/>
              </w:rPr>
              <w:t xml:space="preserve"> </w:t>
            </w:r>
            <w:r/>
          </w:p>
        </w:tc>
      </w:tr>
    </w:tbl>
    <w:p>
      <w:pPr>
        <w:jc w:val="center"/>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ind w:firstLine="420"/>
        <w:spacing w:line="360" w:lineRule="auto"/>
        <w:rPr>
          <w:rFonts w:ascii="宋体" w:hAnsi="宋体" w:cs="Arial"/>
          <w:b/>
          <w:bCs/>
        </w:rPr>
      </w:pPr>
      <w:r>
        <w:rPr>
          <w:rFonts w:hint="eastAsia" w:ascii="宋体" w:hAnsi="宋体" w:cs="Calibri"/>
          <w:szCs w:val="21"/>
        </w:rPr>
        <w:t xml:space="preserve">注：行数不够，可自行添加。</w:t>
      </w:r>
      <w:r/>
    </w:p>
    <w:p>
      <w:r/>
      <w:r/>
    </w:p>
    <w:p>
      <w:pPr>
        <w:jc w:val="left"/>
        <w:widowControl/>
        <w:rPr>
          <w:rFonts w:ascii="宋体" w:hAnsi="宋体" w:cs="Arial"/>
          <w:b/>
          <w:bCs/>
          <w:color w:val="000000"/>
        </w:rPr>
      </w:pPr>
      <w:r>
        <w:rPr>
          <w:rFonts w:ascii="宋体" w:hAnsi="宋体" w:cs="Arial"/>
          <w:b/>
          <w:bCs/>
          <w:color w:val="000000"/>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bookmarkStart w:id="317" w:name="_Toc10587"/>
      <w:r/>
      <w:bookmarkStart w:id="318" w:name="_Toc14378"/>
      <w:r>
        <w:rPr>
          <w:rFonts w:hint="eastAsia" w:ascii="宋体" w:hAnsi="宋体"/>
          <w:b/>
          <w:sz w:val="32"/>
          <w:szCs w:val="32"/>
        </w:rPr>
        <w:t xml:space="preserve">六、技术参数响应及偏离表</w:t>
      </w:r>
      <w:bookmarkEnd w:id="316"/>
      <w:r/>
      <w:bookmarkEnd w:id="317"/>
      <w:r/>
      <w:bookmarkEnd w:id="318"/>
      <w:r/>
      <w:r/>
    </w:p>
    <w:tbl>
      <w:tblPr>
        <w:tblStyle w:val="81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bookmarkStart w:id="319" w:name="_Toc28127"/>
      <w:r/>
      <w:bookmarkStart w:id="320" w:name="_Toc21219"/>
      <w:r>
        <w:rPr>
          <w:rFonts w:hint="eastAsia" w:ascii="宋体" w:hAnsi="宋体"/>
          <w:sz w:val="24"/>
          <w:szCs w:val="24"/>
        </w:rPr>
        <w:t xml:space="preserve">2、行数不够，可自行添加。</w:t>
      </w:r>
      <w:bookmarkEnd w:id="319"/>
      <w:r/>
      <w:bookmarkEnd w:id="320"/>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ind w:firstLine="2570"/>
        <w:spacing w:before="240" w:line="360" w:lineRule="auto"/>
      </w:pPr>
      <w:r/>
      <w:bookmarkStart w:id="321" w:name="_Hlt26955054"/>
      <w:r/>
      <w:bookmarkEnd w:id="321"/>
      <w:r/>
      <w:bookmarkStart w:id="322" w:name="_Toc633"/>
      <w:r/>
      <w:bookmarkStart w:id="323" w:name="_Toc113352363"/>
      <w:r/>
      <w:bookmarkStart w:id="324" w:name="_Toc10013"/>
      <w:r/>
      <w:bookmarkStart w:id="325" w:name="_Toc138777696"/>
      <w:r>
        <w:rPr>
          <w:rFonts w:hint="eastAsia" w:ascii="宋体" w:hAnsi="宋体"/>
          <w:b/>
          <w:sz w:val="32"/>
          <w:szCs w:val="32"/>
        </w:rPr>
        <w:t xml:space="preserve">七、商务条款响应及偏离表</w:t>
      </w:r>
      <w:bookmarkEnd w:id="322"/>
      <w:r/>
      <w:bookmarkEnd w:id="323"/>
      <w:r/>
      <w:bookmarkEnd w:id="324"/>
      <w:r/>
      <w:bookmarkEnd w:id="325"/>
      <w:r/>
      <w:r/>
    </w:p>
    <w:tbl>
      <w:tblPr>
        <w:tblStyle w:val="813"/>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bookmarkStart w:id="326" w:name="_Hlt26609389"/>
            <w:r/>
            <w:bookmarkEnd w:id="326"/>
            <w:r/>
            <w:bookmarkStart w:id="327" w:name="_Hlt26955066"/>
            <w:r/>
            <w:bookmarkEnd w:id="327"/>
            <w:r/>
            <w:bookmarkStart w:id="328" w:name="_Hlt26671374"/>
            <w:r/>
            <w:bookmarkEnd w:id="328"/>
            <w:r/>
            <w:bookmarkStart w:id="329" w:name="_Toc462564146"/>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投标人的承诺或说明</w:t>
            </w:r>
            <w:r/>
          </w:p>
        </w:tc>
      </w:tr>
      <w:tr>
        <w:trPr>
          <w:trHeight w:val="564"/>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r>
    </w:tbl>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hint="eastAsia" w:ascii="宋体" w:hAnsi="宋体"/>
          <w:sz w:val="24"/>
        </w:rPr>
        <w:t xml:space="preserve">.</w:t>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r/>
    </w:p>
    <w:p>
      <w:pPr>
        <w:pStyle w:val="814"/>
        <w:ind w:firstLine="480"/>
        <w:rPr>
          <w:rFonts w:ascii="宋体" w:hAnsi="宋体"/>
          <w:sz w:val="24"/>
        </w:rPr>
      </w:pPr>
      <w:r>
        <w:rPr>
          <w:rFonts w:ascii="宋体" w:hAnsi="宋体"/>
          <w:sz w:val="24"/>
        </w:rPr>
      </w:r>
      <w:bookmarkEnd w:id="329"/>
      <w:r/>
      <w:r/>
    </w:p>
    <w:p>
      <w:pPr>
        <w:jc w:val="left"/>
        <w:widowControl/>
      </w:pPr>
      <w:r/>
      <w:bookmarkStart w:id="330" w:name="_格式2__法定代表人授权书"/>
      <w:r/>
      <w:bookmarkEnd w:id="330"/>
      <w:r>
        <w:rPr>
          <w:rFonts w:ascii="宋体" w:hAnsi="宋体"/>
          <w:b/>
        </w:rPr>
        <w:br w:type="page" w:clear="all"/>
      </w:r>
      <w:r/>
    </w:p>
    <w:p>
      <w:pPr>
        <w:jc w:val="center"/>
        <w:spacing w:before="240" w:line="360" w:lineRule="auto"/>
        <w:rPr>
          <w:rFonts w:ascii="宋体" w:hAnsi="宋体"/>
          <w:sz w:val="24"/>
          <w:szCs w:val="24"/>
        </w:rPr>
      </w:pPr>
      <w:r/>
      <w:bookmarkStart w:id="331" w:name="_Toc18141"/>
      <w:r/>
      <w:bookmarkStart w:id="332" w:name="_Toc10300"/>
      <w:r>
        <w:rPr>
          <w:rFonts w:hint="eastAsia" w:ascii="宋体" w:hAnsi="宋体"/>
          <w:b/>
          <w:sz w:val="32"/>
          <w:szCs w:val="32"/>
        </w:rPr>
        <w:t xml:space="preserve">主要标的信息（中标后将公示）</w:t>
      </w:r>
      <w:bookmarkEnd w:id="331"/>
      <w:r/>
      <w:bookmarkEnd w:id="332"/>
      <w:r/>
      <w:r/>
    </w:p>
    <w:p>
      <w:pPr>
        <w:spacing w:after="312" w:line="360" w:lineRule="auto"/>
        <w:rPr>
          <w:rFonts w:ascii="宋体" w:hAnsi="宋体"/>
          <w:b/>
        </w:rPr>
      </w:pPr>
      <w:r>
        <w:rPr>
          <w:rFonts w:hint="eastAsia" w:ascii="宋体" w:hAnsi="宋体"/>
        </w:rPr>
        <w:t xml:space="preserve">投标人全称：</w:t>
      </w:r>
      <w:r/>
    </w:p>
    <w:tbl>
      <w:tblPr>
        <w:tblStyle w:val="81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pPr>
      <w:r/>
      <w:r/>
    </w:p>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ascii="宋体" w:hAnsi="宋体"/>
        <w:sz w:val="21"/>
      </w:rPr>
    </w:pPr>
    <w:r>
      <w:rPr>
        <w:rFonts w:ascii="宋体" w:hAnsi="宋体"/>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ascii="宋体" w:hAnsi="宋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pPr>
                          <w:r>
                            <w:fldChar w:fldCharType="begin"/>
                          </w:r>
                          <w:r>
                            <w:instrText xml:space="preserve"> PAGE  \* MERGEFORMAT </w:instrText>
                          </w:r>
                          <w:r>
                            <w:fldChar w:fldCharType="separate"/>
                          </w:r>
                          <w:r>
                            <w:t xml:space="preserve">28</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pPr>
                          <w:r>
                            <w:fldChar w:fldCharType="begin"/>
                          </w:r>
                          <w:r>
                            <w:instrText xml:space="preserve"> PAGE  \* MERGEFORMAT </w:instrText>
                          </w:r>
                          <w:r>
                            <w:fldChar w:fldCharType="separate"/>
                          </w:r>
                          <w:r>
                            <w:t xml:space="preserve">96</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rPr>
        <w:sz w:val="10"/>
        <w:szCs w:val="10"/>
      </w:rPr>
    </w:pPr>
    <w:r>
      <w:rPr>
        <w:rFonts w:hint="eastAsia" w:ascii="宋体" w:hAnsi="宋体" w:cs="宋体"/>
        <w:color w:val="000000"/>
        <w:sz w:val="16"/>
        <w:szCs w:val="10"/>
        <w:lang w:eastAsia="zh-CN"/>
      </w:rPr>
      <w:t xml:space="preserve">JSZC-321084-YZHZ-G2024-0012</w:t>
    </w:r>
    <w:r>
      <w:rPr>
        <w:rFonts w:hint="eastAsia" w:ascii="宋体" w:hAnsi="宋体" w:cs="宋体"/>
        <w:color w:val="000000"/>
        <w:sz w:val="16"/>
        <w:szCs w:val="10"/>
      </w:rPr>
      <w:t xml:space="preserve">                                            扬州华泽工程项目管理咨询有限公司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4"/>
    <w:basedOn w:val="808"/>
    <w:next w:val="808"/>
    <w:link w:val="857"/>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808"/>
    <w:next w:val="808"/>
    <w:link w:val="859"/>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808"/>
    <w:next w:val="808"/>
    <w:link w:val="861"/>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808"/>
    <w:next w:val="808"/>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808"/>
    <w:next w:val="808"/>
    <w:link w:val="865"/>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808"/>
    <w:next w:val="808"/>
    <w:link w:val="867"/>
    <w:uiPriority w:val="9"/>
    <w:unhideWhenUsed/>
    <w:qFormat/>
    <w:pPr>
      <w:keepLines/>
      <w:keepNext/>
      <w:spacing w:before="320" w:after="200"/>
      <w:outlineLvl w:val="8"/>
    </w:pPr>
    <w:rPr>
      <w:rFonts w:ascii="Arial" w:hAnsi="Arial" w:eastAsia="Arial" w:cs="Arial"/>
      <w:i/>
      <w:iCs/>
      <w:sz w:val="21"/>
      <w:szCs w:val="21"/>
    </w:rPr>
  </w:style>
  <w:style w:type="character" w:styleId="781">
    <w:name w:val="Title Char"/>
    <w:basedOn w:val="812"/>
    <w:link w:val="836"/>
    <w:uiPriority w:val="10"/>
    <w:rPr>
      <w:sz w:val="48"/>
      <w:szCs w:val="48"/>
    </w:rPr>
  </w:style>
  <w:style w:type="character" w:styleId="782">
    <w:name w:val="Subtitle Char"/>
    <w:basedOn w:val="812"/>
    <w:link w:val="829"/>
    <w:uiPriority w:val="11"/>
    <w:rPr>
      <w:sz w:val="24"/>
      <w:szCs w:val="24"/>
    </w:rPr>
  </w:style>
  <w:style w:type="character" w:styleId="783">
    <w:name w:val="Quote Char"/>
    <w:link w:val="872"/>
    <w:uiPriority w:val="29"/>
    <w:rPr>
      <w:i/>
    </w:rPr>
  </w:style>
  <w:style w:type="character" w:styleId="784">
    <w:name w:val="Intense Quote Char"/>
    <w:link w:val="874"/>
    <w:uiPriority w:val="30"/>
    <w:rPr>
      <w:i/>
    </w:rPr>
  </w:style>
  <w:style w:type="paragraph" w:styleId="785">
    <w:name w:val="Caption"/>
    <w:basedOn w:val="808"/>
    <w:next w:val="808"/>
    <w:uiPriority w:val="35"/>
    <w:semiHidden/>
    <w:unhideWhenUsed/>
    <w:qFormat/>
    <w:pPr>
      <w:spacing w:line="276" w:lineRule="auto"/>
    </w:pPr>
    <w:rPr>
      <w:b/>
      <w:bCs/>
      <w:color w:val="4f81bd" w:themeColor="accent1"/>
      <w:sz w:val="18"/>
      <w:szCs w:val="18"/>
    </w:rPr>
  </w:style>
  <w:style w:type="table" w:styleId="786">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5">
    <w:name w:val="Footnote Text Char"/>
    <w:link w:val="830"/>
    <w:uiPriority w:val="99"/>
    <w:rPr>
      <w:sz w:val="18"/>
    </w:rPr>
  </w:style>
  <w:style w:type="character" w:styleId="806">
    <w:name w:val="Endnote Text Char"/>
    <w:link w:val="823"/>
    <w:uiPriority w:val="99"/>
    <w:rPr>
      <w:sz w:val="20"/>
    </w:rPr>
  </w:style>
  <w:style w:type="paragraph" w:styleId="807">
    <w:name w:val="TOC Heading"/>
    <w:uiPriority w:val="39"/>
    <w:unhideWhenUsed/>
  </w:style>
  <w:style w:type="paragraph" w:styleId="80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09">
    <w:name w:val="Heading 1"/>
    <w:basedOn w:val="808"/>
    <w:next w:val="808"/>
    <w:uiPriority w:val="9"/>
    <w:qFormat/>
    <w:pPr>
      <w:jc w:val="center"/>
      <w:keepLines/>
      <w:keepNext/>
      <w:spacing w:before="340" w:after="330" w:line="360" w:lineRule="auto"/>
      <w:outlineLvl w:val="0"/>
    </w:pPr>
    <w:rPr>
      <w:rFonts w:ascii="宋体" w:hAnsi="宋体"/>
      <w:b/>
      <w:bCs/>
      <w:color w:val="000000"/>
      <w:sz w:val="34"/>
      <w:szCs w:val="34"/>
    </w:rPr>
  </w:style>
  <w:style w:type="paragraph" w:styleId="810">
    <w:name w:val="Heading 2"/>
    <w:basedOn w:val="808"/>
    <w:next w:val="8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1">
    <w:name w:val="Heading 3"/>
    <w:basedOn w:val="808"/>
    <w:next w:val="808"/>
    <w:uiPriority w:val="0"/>
    <w:qFormat/>
    <w:pPr>
      <w:keepLines/>
      <w:keepNext/>
      <w:spacing w:before="260" w:after="260" w:line="416" w:lineRule="auto"/>
      <w:outlineLvl w:val="2"/>
    </w:pPr>
    <w:rPr>
      <w:b/>
      <w:bCs/>
      <w:sz w:val="32"/>
      <w:szCs w:val="32"/>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Normal Indent"/>
    <w:basedOn w:val="808"/>
    <w:uiPriority w:val="0"/>
    <w:unhideWhenUsed/>
    <w:qFormat/>
    <w:pPr>
      <w:ind w:firstLine="420"/>
    </w:pPr>
  </w:style>
  <w:style w:type="paragraph" w:styleId="815">
    <w:name w:val="toc 7"/>
    <w:basedOn w:val="808"/>
    <w:next w:val="808"/>
    <w:uiPriority w:val="39"/>
    <w:unhideWhenUsed/>
    <w:qFormat/>
    <w:pPr>
      <w:ind w:left="1701"/>
      <w:spacing w:after="57"/>
    </w:pPr>
  </w:style>
  <w:style w:type="paragraph" w:styleId="816">
    <w:name w:val="annotation text"/>
    <w:basedOn w:val="808"/>
    <w:uiPriority w:val="0"/>
    <w:qFormat/>
    <w:pPr>
      <w:jc w:val="left"/>
    </w:pPr>
  </w:style>
  <w:style w:type="paragraph" w:styleId="817">
    <w:name w:val="Body Text"/>
    <w:basedOn w:val="808"/>
    <w:link w:val="1027"/>
    <w:uiPriority w:val="0"/>
    <w:qFormat/>
    <w:rPr>
      <w:rFonts w:ascii="楷体_GB2312" w:hAnsi="Arial" w:eastAsia="楷体_GB2312"/>
      <w:sz w:val="28"/>
      <w:szCs w:val="28"/>
    </w:rPr>
  </w:style>
  <w:style w:type="paragraph" w:styleId="818">
    <w:name w:val="Body Text Indent"/>
    <w:basedOn w:val="808"/>
    <w:uiPriority w:val="99"/>
    <w:unhideWhenUsed/>
    <w:qFormat/>
    <w:pPr>
      <w:ind w:left="420"/>
      <w:spacing w:after="120"/>
    </w:pPr>
  </w:style>
  <w:style w:type="paragraph" w:styleId="819">
    <w:name w:val="toc 5"/>
    <w:basedOn w:val="808"/>
    <w:next w:val="808"/>
    <w:uiPriority w:val="39"/>
    <w:unhideWhenUsed/>
    <w:qFormat/>
    <w:pPr>
      <w:ind w:left="1134"/>
      <w:spacing w:after="57"/>
    </w:pPr>
  </w:style>
  <w:style w:type="paragraph" w:styleId="820">
    <w:name w:val="toc 3"/>
    <w:basedOn w:val="808"/>
    <w:next w:val="808"/>
    <w:uiPriority w:val="39"/>
    <w:qFormat/>
    <w:pPr>
      <w:ind w:left="840"/>
    </w:pPr>
  </w:style>
  <w:style w:type="paragraph" w:styleId="821">
    <w:name w:val="Plain Text"/>
    <w:basedOn w:val="808"/>
    <w:uiPriority w:val="99"/>
    <w:qFormat/>
    <w:rPr>
      <w:rFonts w:ascii="宋体" w:hAnsi="Courier New"/>
      <w:sz w:val="20"/>
      <w:szCs w:val="21"/>
    </w:rPr>
  </w:style>
  <w:style w:type="paragraph" w:styleId="822">
    <w:name w:val="toc 8"/>
    <w:basedOn w:val="808"/>
    <w:next w:val="808"/>
    <w:uiPriority w:val="39"/>
    <w:unhideWhenUsed/>
    <w:qFormat/>
    <w:pPr>
      <w:ind w:left="1984"/>
      <w:spacing w:after="57"/>
    </w:pPr>
  </w:style>
  <w:style w:type="paragraph" w:styleId="823">
    <w:name w:val="endnote text"/>
    <w:basedOn w:val="808"/>
    <w:link w:val="1008"/>
    <w:uiPriority w:val="99"/>
    <w:semiHidden/>
    <w:unhideWhenUsed/>
    <w:qFormat/>
    <w:rPr>
      <w:rFonts w:ascii="Times New Roman" w:hAnsi="Times New Roman"/>
      <w:sz w:val="20"/>
      <w:szCs w:val="20"/>
    </w:rPr>
  </w:style>
  <w:style w:type="paragraph" w:styleId="824">
    <w:name w:val="Balloon Text"/>
    <w:basedOn w:val="808"/>
    <w:link w:val="1010"/>
    <w:uiPriority w:val="0"/>
    <w:qFormat/>
    <w:rPr>
      <w:rFonts w:ascii="Times New Roman" w:hAnsi="Times New Roman"/>
      <w:sz w:val="18"/>
      <w:szCs w:val="18"/>
    </w:rPr>
  </w:style>
  <w:style w:type="paragraph" w:styleId="825">
    <w:name w:val="Footer"/>
    <w:basedOn w:val="808"/>
    <w:link w:val="1022"/>
    <w:uiPriority w:val="99"/>
    <w:unhideWhenUsed/>
    <w:qFormat/>
    <w:pPr>
      <w:jc w:val="left"/>
      <w:tabs>
        <w:tab w:val="center" w:pos="4153" w:leader="none"/>
        <w:tab w:val="right" w:pos="8306" w:leader="none"/>
      </w:tabs>
    </w:pPr>
    <w:rPr>
      <w:sz w:val="18"/>
      <w:szCs w:val="18"/>
    </w:rPr>
  </w:style>
  <w:style w:type="paragraph" w:styleId="826">
    <w:name w:val="Header"/>
    <w:basedOn w:val="808"/>
    <w:link w:val="102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27">
    <w:name w:val="toc 1"/>
    <w:basedOn w:val="808"/>
    <w:next w:val="808"/>
    <w:uiPriority w:val="39"/>
    <w:unhideWhenUsed/>
    <w:qFormat/>
  </w:style>
  <w:style w:type="paragraph" w:styleId="828">
    <w:name w:val="toc 4"/>
    <w:basedOn w:val="808"/>
    <w:next w:val="808"/>
    <w:uiPriority w:val="39"/>
    <w:unhideWhenUsed/>
    <w:qFormat/>
    <w:pPr>
      <w:ind w:left="850"/>
      <w:spacing w:after="57"/>
    </w:pPr>
  </w:style>
  <w:style w:type="paragraph" w:styleId="829">
    <w:name w:val="Subtitle"/>
    <w:basedOn w:val="808"/>
    <w:next w:val="808"/>
    <w:link w:val="871"/>
    <w:uiPriority w:val="11"/>
    <w:qFormat/>
    <w:pPr>
      <w:spacing w:before="200" w:after="200"/>
    </w:pPr>
    <w:rPr>
      <w:rFonts w:ascii="Times New Roman" w:hAnsi="Times New Roman"/>
      <w:sz w:val="24"/>
      <w:szCs w:val="24"/>
    </w:rPr>
  </w:style>
  <w:style w:type="paragraph" w:styleId="830">
    <w:name w:val="footnote text"/>
    <w:basedOn w:val="808"/>
    <w:link w:val="1007"/>
    <w:uiPriority w:val="99"/>
    <w:semiHidden/>
    <w:unhideWhenUsed/>
    <w:qFormat/>
    <w:pPr>
      <w:spacing w:after="40"/>
    </w:pPr>
    <w:rPr>
      <w:rFonts w:ascii="Times New Roman" w:hAnsi="Times New Roman"/>
      <w:sz w:val="18"/>
      <w:szCs w:val="20"/>
    </w:rPr>
  </w:style>
  <w:style w:type="paragraph" w:styleId="831">
    <w:name w:val="toc 6"/>
    <w:basedOn w:val="808"/>
    <w:next w:val="808"/>
    <w:uiPriority w:val="39"/>
    <w:unhideWhenUsed/>
    <w:qFormat/>
    <w:pPr>
      <w:ind w:left="1417"/>
      <w:spacing w:after="57"/>
    </w:pPr>
  </w:style>
  <w:style w:type="paragraph" w:styleId="832">
    <w:name w:val="table of figures"/>
    <w:basedOn w:val="808"/>
    <w:next w:val="808"/>
    <w:uiPriority w:val="99"/>
    <w:unhideWhenUsed/>
    <w:qFormat/>
  </w:style>
  <w:style w:type="paragraph" w:styleId="833">
    <w:name w:val="toc 2"/>
    <w:basedOn w:val="808"/>
    <w:next w:val="808"/>
    <w:uiPriority w:val="39"/>
    <w:qFormat/>
    <w:pPr>
      <w:ind w:left="420"/>
    </w:pPr>
  </w:style>
  <w:style w:type="paragraph" w:styleId="834">
    <w:name w:val="toc 9"/>
    <w:basedOn w:val="808"/>
    <w:next w:val="808"/>
    <w:uiPriority w:val="99"/>
    <w:qFormat/>
    <w:pPr>
      <w:ind w:left="3360"/>
    </w:pPr>
  </w:style>
  <w:style w:type="paragraph" w:styleId="835">
    <w:name w:val="Normal (Web)"/>
    <w:basedOn w:val="808"/>
    <w:uiPriority w:val="0"/>
    <w:qFormat/>
    <w:rPr>
      <w:rFonts w:ascii="Times New Roman" w:hAnsi="Times New Roman"/>
      <w:sz w:val="24"/>
    </w:rPr>
  </w:style>
  <w:style w:type="paragraph" w:styleId="836">
    <w:name w:val="Title"/>
    <w:basedOn w:val="808"/>
    <w:next w:val="808"/>
    <w:link w:val="870"/>
    <w:uiPriority w:val="10"/>
    <w:qFormat/>
    <w:pPr>
      <w:contextualSpacing/>
      <w:spacing w:before="300" w:after="200"/>
    </w:pPr>
    <w:rPr>
      <w:rFonts w:ascii="Times New Roman" w:hAnsi="Times New Roman"/>
      <w:sz w:val="48"/>
      <w:szCs w:val="48"/>
    </w:rPr>
  </w:style>
  <w:style w:type="paragraph" w:styleId="837">
    <w:name w:val="Body Text First Indent 2"/>
    <w:basedOn w:val="818"/>
    <w:uiPriority w:val="0"/>
    <w:qFormat/>
    <w:pPr>
      <w:ind w:left="0" w:firstLine="420"/>
    </w:pPr>
  </w:style>
  <w:style w:type="table" w:styleId="838">
    <w:name w:val="Table Grid"/>
    <w:basedOn w:val="8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uiPriority w:val="0"/>
    <w:qFormat/>
    <w:rPr>
      <w:b/>
    </w:rPr>
  </w:style>
  <w:style w:type="character" w:styleId="840">
    <w:name w:val="endnote reference"/>
    <w:uiPriority w:val="99"/>
    <w:semiHidden/>
    <w:unhideWhenUsed/>
    <w:qFormat/>
    <w:rPr>
      <w:vertAlign w:val="superscript"/>
    </w:rPr>
  </w:style>
  <w:style w:type="character" w:styleId="841">
    <w:name w:val="Hyperlink"/>
    <w:uiPriority w:val="0"/>
    <w:qFormat/>
    <w:rPr>
      <w:color w:val="0000ff"/>
      <w:u w:val="single"/>
    </w:rPr>
  </w:style>
  <w:style w:type="character" w:styleId="842">
    <w:name w:val="annotation reference"/>
    <w:uiPriority w:val="0"/>
    <w:qFormat/>
    <w:rPr>
      <w:sz w:val="21"/>
      <w:szCs w:val="21"/>
    </w:rPr>
  </w:style>
  <w:style w:type="character" w:styleId="843">
    <w:name w:val="footnote reference"/>
    <w:uiPriority w:val="99"/>
    <w:unhideWhenUsed/>
    <w:qFormat/>
    <w:rPr>
      <w:vertAlign w:val="superscript"/>
    </w:rPr>
  </w:style>
  <w:style w:type="paragraph" w:styleId="844" w:customStyle="1">
    <w:name w:val="标题 31"/>
    <w:basedOn w:val="808"/>
    <w:next w:val="808"/>
    <w:uiPriority w:val="0"/>
    <w:qFormat/>
    <w:pPr>
      <w:keepLines/>
      <w:keepNext/>
      <w:spacing w:before="260" w:after="260" w:line="416" w:lineRule="auto"/>
      <w:outlineLvl w:val="2"/>
    </w:pPr>
    <w:rPr>
      <w:b/>
      <w:bCs/>
      <w:sz w:val="32"/>
      <w:szCs w:val="32"/>
    </w:rPr>
  </w:style>
  <w:style w:type="paragraph" w:styleId="845" w:customStyle="1">
    <w:name w:val="正文1"/>
    <w:basedOn w:val="808"/>
    <w:next w:val="846"/>
    <w:uiPriority w:val="0"/>
    <w:qFormat/>
    <w:pPr>
      <w:jc w:val="left"/>
      <w:spacing w:line="360" w:lineRule="atLeast"/>
    </w:pPr>
    <w:rPr>
      <w:rFonts w:ascii="宋体"/>
      <w:sz w:val="24"/>
      <w:szCs w:val="20"/>
    </w:rPr>
  </w:style>
  <w:style w:type="paragraph" w:styleId="846" w:customStyle="1">
    <w:name w:val="正文文本1"/>
    <w:basedOn w:val="845"/>
    <w:next w:val="847"/>
    <w:uiPriority w:val="0"/>
    <w:qFormat/>
    <w:pPr>
      <w:spacing w:after="120"/>
    </w:pPr>
    <w:rPr>
      <w:lang w:eastAsia="en-US"/>
    </w:rPr>
  </w:style>
  <w:style w:type="paragraph" w:styleId="847" w:customStyle="1">
    <w:name w:val="一级条标题"/>
    <w:basedOn w:val="848"/>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8" w:customStyle="1">
    <w:name w:val="章标题"/>
    <w:next w:val="80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9" w:customStyle="1">
    <w:name w:val="段"/>
    <w:basedOn w:val="845"/>
    <w:next w:val="808"/>
    <w:uiPriority w:val="0"/>
    <w:qFormat/>
    <w:pPr>
      <w:ind w:firstLine="200"/>
      <w:widowControl/>
    </w:pPr>
    <w:rPr>
      <w:sz w:val="20"/>
    </w:rPr>
  </w:style>
  <w:style w:type="paragraph" w:styleId="850" w:customStyle="1">
    <w:name w:val="标题 11"/>
    <w:basedOn w:val="808"/>
    <w:next w:val="808"/>
    <w:link w:val="851"/>
    <w:uiPriority w:val="9"/>
    <w:qFormat/>
    <w:pPr>
      <w:keepLines/>
      <w:keepNext/>
      <w:spacing w:before="480" w:after="200"/>
      <w:outlineLvl w:val="0"/>
    </w:pPr>
    <w:rPr>
      <w:rFonts w:ascii="Arial" w:hAnsi="Arial" w:eastAsia="Arial"/>
      <w:sz w:val="40"/>
      <w:szCs w:val="40"/>
    </w:rPr>
  </w:style>
  <w:style w:type="character" w:styleId="851" w:customStyle="1">
    <w:name w:val="Heading 1 Char"/>
    <w:link w:val="850"/>
    <w:uiPriority w:val="9"/>
    <w:qFormat/>
    <w:rPr>
      <w:rFonts w:ascii="Arial" w:hAnsi="Arial" w:eastAsia="Arial" w:cs="Arial"/>
      <w:sz w:val="40"/>
      <w:szCs w:val="40"/>
    </w:rPr>
  </w:style>
  <w:style w:type="paragraph" w:styleId="852" w:customStyle="1">
    <w:name w:val="标题 21"/>
    <w:basedOn w:val="808"/>
    <w:next w:val="808"/>
    <w:link w:val="853"/>
    <w:uiPriority w:val="9"/>
    <w:unhideWhenUsed/>
    <w:qFormat/>
    <w:pPr>
      <w:keepLines/>
      <w:keepNext/>
      <w:spacing w:before="360" w:after="200"/>
      <w:outlineLvl w:val="1"/>
    </w:pPr>
    <w:rPr>
      <w:rFonts w:ascii="Arial" w:hAnsi="Arial" w:eastAsia="Arial"/>
      <w:sz w:val="34"/>
      <w:szCs w:val="20"/>
    </w:rPr>
  </w:style>
  <w:style w:type="character" w:styleId="853" w:customStyle="1">
    <w:name w:val="Heading 2 Char"/>
    <w:link w:val="852"/>
    <w:uiPriority w:val="9"/>
    <w:qFormat/>
    <w:rPr>
      <w:rFonts w:ascii="Arial" w:hAnsi="Arial" w:eastAsia="Arial" w:cs="Arial"/>
      <w:sz w:val="34"/>
    </w:rPr>
  </w:style>
  <w:style w:type="paragraph" w:styleId="854" w:customStyle="1">
    <w:name w:val="标题 32"/>
    <w:basedOn w:val="808"/>
    <w:next w:val="808"/>
    <w:link w:val="855"/>
    <w:uiPriority w:val="9"/>
    <w:unhideWhenUsed/>
    <w:qFormat/>
    <w:pPr>
      <w:keepLines/>
      <w:keepNext/>
      <w:spacing w:before="320" w:after="200"/>
      <w:outlineLvl w:val="2"/>
    </w:pPr>
    <w:rPr>
      <w:rFonts w:ascii="Arial" w:hAnsi="Arial" w:eastAsia="Arial"/>
      <w:sz w:val="30"/>
      <w:szCs w:val="30"/>
    </w:rPr>
  </w:style>
  <w:style w:type="character" w:styleId="855" w:customStyle="1">
    <w:name w:val="Heading 3 Char"/>
    <w:link w:val="854"/>
    <w:uiPriority w:val="9"/>
    <w:qFormat/>
    <w:rPr>
      <w:rFonts w:ascii="Arial" w:hAnsi="Arial" w:eastAsia="Arial" w:cs="Arial"/>
      <w:sz w:val="30"/>
      <w:szCs w:val="30"/>
    </w:rPr>
  </w:style>
  <w:style w:type="paragraph" w:styleId="856" w:customStyle="1">
    <w:name w:val="标题 41"/>
    <w:basedOn w:val="808"/>
    <w:next w:val="808"/>
    <w:link w:val="857"/>
    <w:uiPriority w:val="9"/>
    <w:unhideWhenUsed/>
    <w:qFormat/>
    <w:pPr>
      <w:keepLines/>
      <w:keepNext/>
      <w:spacing w:before="320" w:after="200"/>
      <w:outlineLvl w:val="3"/>
    </w:pPr>
    <w:rPr>
      <w:rFonts w:ascii="Arial" w:hAnsi="Arial" w:eastAsia="Arial"/>
      <w:b/>
      <w:bCs/>
      <w:sz w:val="26"/>
      <w:szCs w:val="26"/>
    </w:rPr>
  </w:style>
  <w:style w:type="character" w:styleId="857" w:customStyle="1">
    <w:name w:val="Heading 4 Char"/>
    <w:link w:val="856"/>
    <w:uiPriority w:val="9"/>
    <w:qFormat/>
    <w:rPr>
      <w:rFonts w:ascii="Arial" w:hAnsi="Arial" w:eastAsia="Arial" w:cs="Arial"/>
      <w:b/>
      <w:bCs/>
      <w:sz w:val="26"/>
      <w:szCs w:val="26"/>
    </w:rPr>
  </w:style>
  <w:style w:type="paragraph" w:styleId="858" w:customStyle="1">
    <w:name w:val="标题 51"/>
    <w:basedOn w:val="808"/>
    <w:next w:val="808"/>
    <w:link w:val="859"/>
    <w:uiPriority w:val="9"/>
    <w:unhideWhenUsed/>
    <w:qFormat/>
    <w:pPr>
      <w:keepLines/>
      <w:keepNext/>
      <w:spacing w:before="320" w:after="200"/>
      <w:outlineLvl w:val="4"/>
    </w:pPr>
    <w:rPr>
      <w:rFonts w:ascii="Arial" w:hAnsi="Arial" w:eastAsia="Arial"/>
      <w:b/>
      <w:bCs/>
      <w:sz w:val="24"/>
      <w:szCs w:val="24"/>
    </w:rPr>
  </w:style>
  <w:style w:type="character" w:styleId="859" w:customStyle="1">
    <w:name w:val="Heading 5 Char"/>
    <w:link w:val="858"/>
    <w:uiPriority w:val="9"/>
    <w:qFormat/>
    <w:rPr>
      <w:rFonts w:ascii="Arial" w:hAnsi="Arial" w:eastAsia="Arial" w:cs="Arial"/>
      <w:b/>
      <w:bCs/>
      <w:sz w:val="24"/>
      <w:szCs w:val="24"/>
    </w:rPr>
  </w:style>
  <w:style w:type="paragraph" w:styleId="860" w:customStyle="1">
    <w:name w:val="标题 61"/>
    <w:basedOn w:val="808"/>
    <w:next w:val="808"/>
    <w:link w:val="861"/>
    <w:uiPriority w:val="9"/>
    <w:unhideWhenUsed/>
    <w:qFormat/>
    <w:pPr>
      <w:keepLines/>
      <w:keepNext/>
      <w:spacing w:before="320" w:after="200"/>
      <w:outlineLvl w:val="5"/>
    </w:pPr>
    <w:rPr>
      <w:rFonts w:ascii="Arial" w:hAnsi="Arial" w:eastAsia="Arial"/>
      <w:b/>
      <w:bCs/>
      <w:sz w:val="22"/>
    </w:rPr>
  </w:style>
  <w:style w:type="character" w:styleId="861" w:customStyle="1">
    <w:name w:val="Heading 6 Char"/>
    <w:link w:val="860"/>
    <w:uiPriority w:val="9"/>
    <w:qFormat/>
    <w:rPr>
      <w:rFonts w:ascii="Arial" w:hAnsi="Arial" w:eastAsia="Arial" w:cs="Arial"/>
      <w:b/>
      <w:bCs/>
      <w:sz w:val="22"/>
      <w:szCs w:val="22"/>
    </w:rPr>
  </w:style>
  <w:style w:type="paragraph" w:styleId="862" w:customStyle="1">
    <w:name w:val="标题 71"/>
    <w:basedOn w:val="808"/>
    <w:next w:val="808"/>
    <w:link w:val="863"/>
    <w:uiPriority w:val="9"/>
    <w:unhideWhenUsed/>
    <w:qFormat/>
    <w:pPr>
      <w:keepLines/>
      <w:keepNext/>
      <w:spacing w:before="320" w:after="200"/>
      <w:outlineLvl w:val="6"/>
    </w:pPr>
    <w:rPr>
      <w:rFonts w:ascii="Arial" w:hAnsi="Arial" w:eastAsia="Arial"/>
      <w:b/>
      <w:bCs/>
      <w:i/>
      <w:iCs/>
      <w:sz w:val="22"/>
    </w:rPr>
  </w:style>
  <w:style w:type="character" w:styleId="863" w:customStyle="1">
    <w:name w:val="Heading 7 Char"/>
    <w:link w:val="862"/>
    <w:uiPriority w:val="9"/>
    <w:qFormat/>
    <w:rPr>
      <w:rFonts w:ascii="Arial" w:hAnsi="Arial" w:eastAsia="Arial" w:cs="Arial"/>
      <w:b/>
      <w:bCs/>
      <w:i/>
      <w:iCs/>
      <w:sz w:val="22"/>
      <w:szCs w:val="22"/>
    </w:rPr>
  </w:style>
  <w:style w:type="paragraph" w:styleId="864" w:customStyle="1">
    <w:name w:val="标题 81"/>
    <w:basedOn w:val="808"/>
    <w:next w:val="808"/>
    <w:link w:val="865"/>
    <w:uiPriority w:val="9"/>
    <w:unhideWhenUsed/>
    <w:qFormat/>
    <w:pPr>
      <w:keepLines/>
      <w:keepNext/>
      <w:spacing w:before="320" w:after="200"/>
      <w:outlineLvl w:val="7"/>
    </w:pPr>
    <w:rPr>
      <w:rFonts w:ascii="Arial" w:hAnsi="Arial" w:eastAsia="Arial"/>
      <w:i/>
      <w:iCs/>
      <w:sz w:val="22"/>
    </w:rPr>
  </w:style>
  <w:style w:type="character" w:styleId="865" w:customStyle="1">
    <w:name w:val="Heading 8 Char"/>
    <w:link w:val="864"/>
    <w:uiPriority w:val="9"/>
    <w:qFormat/>
    <w:rPr>
      <w:rFonts w:ascii="Arial" w:hAnsi="Arial" w:eastAsia="Arial" w:cs="Arial"/>
      <w:i/>
      <w:iCs/>
      <w:sz w:val="22"/>
      <w:szCs w:val="22"/>
    </w:rPr>
  </w:style>
  <w:style w:type="paragraph" w:styleId="866" w:customStyle="1">
    <w:name w:val="标题 91"/>
    <w:basedOn w:val="808"/>
    <w:next w:val="808"/>
    <w:link w:val="867"/>
    <w:uiPriority w:val="9"/>
    <w:unhideWhenUsed/>
    <w:qFormat/>
    <w:pPr>
      <w:keepLines/>
      <w:keepNext/>
      <w:spacing w:before="320" w:after="200"/>
      <w:outlineLvl w:val="8"/>
    </w:pPr>
    <w:rPr>
      <w:rFonts w:ascii="Arial" w:hAnsi="Arial" w:eastAsia="Arial"/>
      <w:i/>
      <w:iCs/>
      <w:szCs w:val="21"/>
    </w:rPr>
  </w:style>
  <w:style w:type="character" w:styleId="867" w:customStyle="1">
    <w:name w:val="Heading 9 Char"/>
    <w:link w:val="866"/>
    <w:uiPriority w:val="9"/>
    <w:qFormat/>
    <w:rPr>
      <w:rFonts w:ascii="Arial" w:hAnsi="Arial" w:eastAsia="Arial" w:cs="Arial"/>
      <w:i/>
      <w:iCs/>
      <w:sz w:val="21"/>
      <w:szCs w:val="21"/>
    </w:rPr>
  </w:style>
  <w:style w:type="paragraph" w:styleId="868">
    <w:name w:val="List Paragraph"/>
    <w:basedOn w:val="808"/>
    <w:uiPriority w:val="34"/>
    <w:qFormat/>
    <w:pPr>
      <w:contextualSpacing/>
      <w:ind w:left="720"/>
    </w:pPr>
  </w:style>
  <w:style w:type="paragraph" w:styleId="869">
    <w:name w:val="No Spacing"/>
    <w:uiPriority w:val="1"/>
    <w:qFormat/>
    <w:rPr>
      <w:rFonts w:ascii="Times New Roman" w:hAnsi="Times New Roman" w:eastAsia="宋体" w:cs="Times New Roman"/>
      <w:lang w:val="en-US" w:eastAsia="zh-CN" w:bidi="ar-SA"/>
    </w:rPr>
  </w:style>
  <w:style w:type="character" w:styleId="870" w:customStyle="1">
    <w:name w:val="标题 字符"/>
    <w:link w:val="836"/>
    <w:uiPriority w:val="10"/>
    <w:qFormat/>
    <w:rPr>
      <w:sz w:val="48"/>
      <w:szCs w:val="48"/>
    </w:rPr>
  </w:style>
  <w:style w:type="character" w:styleId="871" w:customStyle="1">
    <w:name w:val="副标题 字符"/>
    <w:link w:val="829"/>
    <w:uiPriority w:val="11"/>
    <w:qFormat/>
    <w:rPr>
      <w:sz w:val="24"/>
      <w:szCs w:val="24"/>
    </w:rPr>
  </w:style>
  <w:style w:type="paragraph" w:styleId="872">
    <w:name w:val="Quote"/>
    <w:basedOn w:val="808"/>
    <w:next w:val="808"/>
    <w:link w:val="873"/>
    <w:uiPriority w:val="29"/>
    <w:qFormat/>
    <w:pPr>
      <w:ind w:left="720" w:right="720"/>
    </w:pPr>
    <w:rPr>
      <w:rFonts w:ascii="Times New Roman" w:hAnsi="Times New Roman"/>
      <w:i/>
      <w:sz w:val="20"/>
      <w:szCs w:val="20"/>
    </w:rPr>
  </w:style>
  <w:style w:type="character" w:styleId="873" w:customStyle="1">
    <w:name w:val="引用 字符"/>
    <w:link w:val="872"/>
    <w:uiPriority w:val="29"/>
    <w:qFormat/>
    <w:rPr>
      <w:i/>
    </w:rPr>
  </w:style>
  <w:style w:type="paragraph" w:styleId="874">
    <w:name w:val="Intense Quote"/>
    <w:basedOn w:val="808"/>
    <w:next w:val="808"/>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75" w:customStyle="1">
    <w:name w:val="明显引用 字符"/>
    <w:link w:val="874"/>
    <w:uiPriority w:val="30"/>
    <w:qFormat/>
    <w:rPr>
      <w:i/>
    </w:rPr>
  </w:style>
  <w:style w:type="paragraph" w:styleId="876" w:customStyle="1">
    <w:name w:val="页眉1"/>
    <w:basedOn w:val="808"/>
    <w:link w:val="877"/>
    <w:uiPriority w:val="99"/>
    <w:unhideWhenUsed/>
    <w:qFormat/>
    <w:pPr>
      <w:tabs>
        <w:tab w:val="center" w:pos="7143" w:leader="none"/>
        <w:tab w:val="right" w:pos="14287" w:leader="none"/>
      </w:tabs>
    </w:pPr>
  </w:style>
  <w:style w:type="character" w:styleId="877" w:customStyle="1">
    <w:name w:val="Header Char"/>
    <w:link w:val="876"/>
    <w:uiPriority w:val="99"/>
    <w:qFormat/>
  </w:style>
  <w:style w:type="paragraph" w:styleId="878" w:customStyle="1">
    <w:name w:val="页脚1"/>
    <w:basedOn w:val="808"/>
    <w:link w:val="881"/>
    <w:uiPriority w:val="99"/>
    <w:unhideWhenUsed/>
    <w:qFormat/>
    <w:pPr>
      <w:tabs>
        <w:tab w:val="center" w:pos="7143" w:leader="none"/>
        <w:tab w:val="right" w:pos="14287" w:leader="none"/>
      </w:tabs>
    </w:pPr>
  </w:style>
  <w:style w:type="character" w:styleId="879" w:customStyle="1">
    <w:name w:val="Footer Char"/>
    <w:uiPriority w:val="99"/>
    <w:qFormat/>
  </w:style>
  <w:style w:type="paragraph" w:styleId="880" w:customStyle="1">
    <w:name w:val="题注1"/>
    <w:basedOn w:val="808"/>
    <w:next w:val="808"/>
    <w:uiPriority w:val="35"/>
    <w:semiHidden/>
    <w:unhideWhenUsed/>
    <w:qFormat/>
    <w:pPr>
      <w:spacing w:line="276" w:lineRule="auto"/>
    </w:pPr>
    <w:rPr>
      <w:b/>
      <w:bCs/>
      <w:color w:val="4f81bd"/>
      <w:sz w:val="18"/>
      <w:szCs w:val="18"/>
    </w:rPr>
  </w:style>
  <w:style w:type="character" w:styleId="881" w:customStyle="1">
    <w:name w:val="Caption Char"/>
    <w:link w:val="878"/>
    <w:uiPriority w:val="99"/>
    <w:qFormat/>
  </w:style>
  <w:style w:type="table" w:styleId="8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5" w:customStyle="1">
    <w:name w:val="无格式表格 31"/>
    <w:uiPriority w:val="99"/>
    <w:qFormat/>
    <w:tblPr>
      <w:tblCellMar>
        <w:left w:w="0" w:type="dxa"/>
        <w:top w:w="0" w:type="dxa"/>
        <w:right w:w="0" w:type="dxa"/>
        <w:bottom w:w="0" w:type="dxa"/>
      </w:tblCellMar>
    </w:tblPr>
  </w:style>
  <w:style w:type="table" w:styleId="886" w:customStyle="1">
    <w:name w:val="无格式表格 41"/>
    <w:uiPriority w:val="99"/>
    <w:qFormat/>
    <w:tblPr>
      <w:tblCellMar>
        <w:left w:w="0" w:type="dxa"/>
        <w:top w:w="0" w:type="dxa"/>
        <w:right w:w="0" w:type="dxa"/>
        <w:bottom w:w="0" w:type="dxa"/>
      </w:tblCellMar>
    </w:tblPr>
  </w:style>
  <w:style w:type="table" w:styleId="887" w:customStyle="1">
    <w:name w:val="无格式表格 51"/>
    <w:uiPriority w:val="99"/>
    <w:qFormat/>
    <w:tblPr>
      <w:tblCellMar>
        <w:left w:w="0" w:type="dxa"/>
        <w:top w:w="0" w:type="dxa"/>
        <w:right w:w="0" w:type="dxa"/>
        <w:bottom w:w="0" w:type="dxa"/>
      </w:tblCellMar>
    </w:tblPr>
  </w:style>
  <w:style w:type="table" w:styleId="8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7" w:customStyle="1">
    <w:name w:val="清单表 1 浅色1"/>
    <w:uiPriority w:val="99"/>
    <w:qFormat/>
    <w:tblPr>
      <w:tblCellMar>
        <w:left w:w="0" w:type="dxa"/>
        <w:top w:w="0" w:type="dxa"/>
        <w:right w:w="0" w:type="dxa"/>
        <w:bottom w:w="0" w:type="dxa"/>
      </w:tblCellMar>
    </w:tblPr>
  </w:style>
  <w:style w:type="table" w:styleId="938" w:customStyle="1">
    <w:name w:val="List Table 1 Light - Accent 1"/>
    <w:uiPriority w:val="99"/>
    <w:qFormat/>
    <w:tblPr>
      <w:tblCellMar>
        <w:left w:w="0" w:type="dxa"/>
        <w:top w:w="0" w:type="dxa"/>
        <w:right w:w="0" w:type="dxa"/>
        <w:bottom w:w="0" w:type="dxa"/>
      </w:tblCellMar>
    </w:tblPr>
  </w:style>
  <w:style w:type="table" w:styleId="939" w:customStyle="1">
    <w:name w:val="List Table 1 Light - Accent 2"/>
    <w:uiPriority w:val="99"/>
    <w:qFormat/>
    <w:tblPr>
      <w:tblCellMar>
        <w:left w:w="0" w:type="dxa"/>
        <w:top w:w="0" w:type="dxa"/>
        <w:right w:w="0" w:type="dxa"/>
        <w:bottom w:w="0" w:type="dxa"/>
      </w:tblCellMar>
    </w:tblPr>
  </w:style>
  <w:style w:type="table" w:styleId="940" w:customStyle="1">
    <w:name w:val="List Table 1 Light - Accent 3"/>
    <w:uiPriority w:val="99"/>
    <w:qFormat/>
    <w:tblPr>
      <w:tblCellMar>
        <w:left w:w="0" w:type="dxa"/>
        <w:top w:w="0" w:type="dxa"/>
        <w:right w:w="0" w:type="dxa"/>
        <w:bottom w:w="0" w:type="dxa"/>
      </w:tblCellMar>
    </w:tblPr>
  </w:style>
  <w:style w:type="table" w:styleId="941" w:customStyle="1">
    <w:name w:val="List Table 1 Light - Accent 4"/>
    <w:uiPriority w:val="99"/>
    <w:qFormat/>
    <w:tblPr>
      <w:tblCellMar>
        <w:left w:w="0" w:type="dxa"/>
        <w:top w:w="0" w:type="dxa"/>
        <w:right w:w="0" w:type="dxa"/>
        <w:bottom w:w="0" w:type="dxa"/>
      </w:tblCellMar>
    </w:tblPr>
  </w:style>
  <w:style w:type="table" w:styleId="942" w:customStyle="1">
    <w:name w:val="List Table 1 Light - Accent 5"/>
    <w:uiPriority w:val="99"/>
    <w:qFormat/>
    <w:tblPr>
      <w:tblCellMar>
        <w:left w:w="0" w:type="dxa"/>
        <w:top w:w="0" w:type="dxa"/>
        <w:right w:w="0" w:type="dxa"/>
        <w:bottom w:w="0" w:type="dxa"/>
      </w:tblCellMar>
    </w:tblPr>
  </w:style>
  <w:style w:type="table" w:styleId="943" w:customStyle="1">
    <w:name w:val="List Table 1 Light - Accent 6"/>
    <w:uiPriority w:val="99"/>
    <w:qFormat/>
    <w:tblPr>
      <w:tblCellMar>
        <w:left w:w="0" w:type="dxa"/>
        <w:top w:w="0" w:type="dxa"/>
        <w:right w:w="0" w:type="dxa"/>
        <w:bottom w:w="0" w:type="dxa"/>
      </w:tblCellMar>
    </w:tblPr>
  </w:style>
  <w:style w:type="table" w:styleId="94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6" w:customStyle="1">
    <w:name w:val="Lined - Accent"/>
    <w:uiPriority w:val="99"/>
    <w:qFormat/>
    <w:rPr>
      <w:color w:val="404040"/>
    </w:rPr>
    <w:tblPr>
      <w:tblCellMar>
        <w:left w:w="0" w:type="dxa"/>
        <w:top w:w="0" w:type="dxa"/>
        <w:right w:w="0" w:type="dxa"/>
        <w:bottom w:w="0" w:type="dxa"/>
      </w:tblCellMar>
    </w:tblPr>
  </w:style>
  <w:style w:type="table" w:styleId="987" w:customStyle="1">
    <w:name w:val="Lined - Accent 1"/>
    <w:uiPriority w:val="99"/>
    <w:qFormat/>
    <w:rPr>
      <w:color w:val="404040"/>
    </w:rPr>
    <w:tblPr>
      <w:tblCellMar>
        <w:left w:w="0" w:type="dxa"/>
        <w:top w:w="0" w:type="dxa"/>
        <w:right w:w="0" w:type="dxa"/>
        <w:bottom w:w="0" w:type="dxa"/>
      </w:tblCellMar>
    </w:tblPr>
  </w:style>
  <w:style w:type="table" w:styleId="988" w:customStyle="1">
    <w:name w:val="Lined - Accent 2"/>
    <w:uiPriority w:val="99"/>
    <w:qFormat/>
    <w:rPr>
      <w:color w:val="404040"/>
    </w:rPr>
    <w:tblPr>
      <w:tblCellMar>
        <w:left w:w="0" w:type="dxa"/>
        <w:top w:w="0" w:type="dxa"/>
        <w:right w:w="0" w:type="dxa"/>
        <w:bottom w:w="0" w:type="dxa"/>
      </w:tblCellMar>
    </w:tblPr>
  </w:style>
  <w:style w:type="table" w:styleId="989" w:customStyle="1">
    <w:name w:val="Lined - Accent 3"/>
    <w:uiPriority w:val="99"/>
    <w:qFormat/>
    <w:rPr>
      <w:color w:val="404040"/>
    </w:rPr>
    <w:tblPr>
      <w:tblCellMar>
        <w:left w:w="0" w:type="dxa"/>
        <w:top w:w="0" w:type="dxa"/>
        <w:right w:w="0" w:type="dxa"/>
        <w:bottom w:w="0" w:type="dxa"/>
      </w:tblCellMar>
    </w:tblPr>
  </w:style>
  <w:style w:type="table" w:styleId="990" w:customStyle="1">
    <w:name w:val="Lined - Accent 4"/>
    <w:uiPriority w:val="99"/>
    <w:qFormat/>
    <w:rPr>
      <w:color w:val="404040"/>
    </w:rPr>
    <w:tblPr>
      <w:tblCellMar>
        <w:left w:w="0" w:type="dxa"/>
        <w:top w:w="0" w:type="dxa"/>
        <w:right w:w="0" w:type="dxa"/>
        <w:bottom w:w="0" w:type="dxa"/>
      </w:tblCellMar>
    </w:tblPr>
  </w:style>
  <w:style w:type="table" w:styleId="991" w:customStyle="1">
    <w:name w:val="Lined - Accent 5"/>
    <w:uiPriority w:val="99"/>
    <w:qFormat/>
    <w:rPr>
      <w:color w:val="404040"/>
    </w:rPr>
    <w:tblPr>
      <w:tblCellMar>
        <w:left w:w="0" w:type="dxa"/>
        <w:top w:w="0" w:type="dxa"/>
        <w:right w:w="0" w:type="dxa"/>
        <w:bottom w:w="0" w:type="dxa"/>
      </w:tblCellMar>
    </w:tblPr>
  </w:style>
  <w:style w:type="table" w:styleId="992" w:customStyle="1">
    <w:name w:val="Lined - Accent 6"/>
    <w:uiPriority w:val="99"/>
    <w:qFormat/>
    <w:rPr>
      <w:color w:val="404040"/>
    </w:rPr>
    <w:tblPr>
      <w:tblCellMar>
        <w:left w:w="0" w:type="dxa"/>
        <w:top w:w="0" w:type="dxa"/>
        <w:right w:w="0" w:type="dxa"/>
        <w:bottom w:w="0" w:type="dxa"/>
      </w:tblCellMar>
    </w:tblPr>
  </w:style>
  <w:style w:type="table" w:styleId="9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7" w:customStyle="1">
    <w:name w:val="脚注文本 字符"/>
    <w:link w:val="830"/>
    <w:uiPriority w:val="99"/>
    <w:qFormat/>
    <w:rPr>
      <w:sz w:val="18"/>
    </w:rPr>
  </w:style>
  <w:style w:type="character" w:styleId="1008" w:customStyle="1">
    <w:name w:val="尾注文本 字符"/>
    <w:link w:val="823"/>
    <w:uiPriority w:val="99"/>
    <w:qFormat/>
    <w:rPr>
      <w:sz w:val="20"/>
    </w:rPr>
  </w:style>
  <w:style w:type="paragraph" w:styleId="1009" w:customStyle="1">
    <w:name w:val="TOC 标题1"/>
    <w:uiPriority w:val="39"/>
    <w:unhideWhenUsed/>
    <w:qFormat/>
    <w:rPr>
      <w:rFonts w:ascii="Times New Roman" w:hAnsi="Times New Roman" w:eastAsia="宋体" w:cs="Times New Roman"/>
      <w:lang w:val="en-US" w:eastAsia="zh-CN" w:bidi="ar-SA"/>
    </w:rPr>
  </w:style>
  <w:style w:type="character" w:styleId="1010" w:customStyle="1">
    <w:name w:val="批注框文本 字符"/>
    <w:link w:val="824"/>
    <w:uiPriority w:val="0"/>
    <w:qFormat/>
    <w:rPr>
      <w:sz w:val="18"/>
      <w:szCs w:val="18"/>
    </w:rPr>
  </w:style>
  <w:style w:type="paragraph" w:styleId="1011" w:customStyle="1">
    <w:name w:val="普通正文"/>
    <w:basedOn w:val="808"/>
    <w:uiPriority w:val="0"/>
    <w:qFormat/>
    <w:pPr>
      <w:ind w:firstLine="480"/>
      <w:jc w:val="left"/>
      <w:spacing w:before="120" w:after="120" w:line="360" w:lineRule="auto"/>
    </w:pPr>
    <w:rPr>
      <w:rFonts w:ascii="Arial" w:hAnsi="Arial"/>
      <w:sz w:val="24"/>
      <w:szCs w:val="24"/>
    </w:rPr>
  </w:style>
  <w:style w:type="paragraph" w:styleId="1012" w:customStyle="1">
    <w:name w:val="Char"/>
    <w:basedOn w:val="808"/>
    <w:uiPriority w:val="0"/>
    <w:qFormat/>
    <w:pPr>
      <w:ind w:firstLine="200"/>
      <w:tabs>
        <w:tab w:val="left" w:pos="360" w:leader="none"/>
      </w:tabs>
    </w:pPr>
    <w:rPr>
      <w:rFonts w:ascii="Times New Roman" w:hAnsi="Times New Roman"/>
      <w:sz w:val="28"/>
      <w:szCs w:val="30"/>
    </w:rPr>
  </w:style>
  <w:style w:type="table" w:styleId="1013" w:customStyle="1">
    <w:name w:val="Table Normal"/>
    <w:uiPriority w:val="0"/>
    <w:unhideWhenUsed/>
    <w:qFormat/>
    <w:tblPr>
      <w:tblCellMar>
        <w:left w:w="0" w:type="dxa"/>
        <w:top w:w="0" w:type="dxa"/>
        <w:right w:w="0" w:type="dxa"/>
        <w:bottom w:w="0" w:type="dxa"/>
      </w:tblCellMar>
    </w:tblPr>
  </w:style>
  <w:style w:type="paragraph" w:styleId="1014" w:customStyle="1">
    <w:name w:val="样式 段后: 0.25 行"/>
    <w:basedOn w:val="808"/>
    <w:next w:val="1015"/>
    <w:uiPriority w:val="99"/>
    <w:qFormat/>
    <w:pPr>
      <w:ind w:left="420" w:firstLine="5796"/>
      <w:spacing w:line="300" w:lineRule="auto"/>
      <w:widowControl/>
    </w:pPr>
  </w:style>
  <w:style w:type="paragraph" w:styleId="1015" w:customStyle="1">
    <w:name w:val="正文 New New New New New New New New New New New New New New"/>
    <w:next w:val="834"/>
    <w:uiPriority w:val="99"/>
    <w:qFormat/>
    <w:pPr>
      <w:ind w:firstLine="2048"/>
      <w:jc w:val="both"/>
      <w:widowControl w:val="off"/>
    </w:pPr>
    <w:rPr>
      <w:rFonts w:ascii="Calibri" w:hAnsi="Calibri" w:eastAsia="宋体" w:cs="Times New Roman"/>
      <w:lang w:val="en-US" w:eastAsia="zh-CN" w:bidi="ar-SA"/>
    </w:rPr>
  </w:style>
  <w:style w:type="paragraph" w:styleId="1016" w:customStyle="1">
    <w:name w:val="样式 首行缩进:  2 字符"/>
    <w:basedOn w:val="808"/>
    <w:next w:val="1014"/>
    <w:uiPriority w:val="99"/>
    <w:qFormat/>
    <w:pPr>
      <w:ind w:left="480" w:firstLine="5856"/>
      <w:spacing w:line="360" w:lineRule="auto"/>
    </w:pPr>
  </w:style>
  <w:style w:type="paragraph" w:styleId="1017" w:customStyle="1">
    <w:name w:val="Char Char Char Char Char Char Char Char Char"/>
    <w:basedOn w:val="808"/>
    <w:next w:val="1018"/>
    <w:uiPriority w:val="99"/>
    <w:qFormat/>
    <w:pPr>
      <w:ind w:left="360" w:firstLine="5784"/>
    </w:pPr>
  </w:style>
  <w:style w:type="paragraph" w:styleId="1018" w:customStyle="1">
    <w:name w:val="正文文本 21"/>
    <w:basedOn w:val="808"/>
    <w:next w:val="1019"/>
    <w:uiPriority w:val="99"/>
    <w:qFormat/>
    <w:pPr>
      <w:ind w:left="720" w:firstLine="5680"/>
      <w:widowControl/>
    </w:pPr>
  </w:style>
  <w:style w:type="paragraph" w:styleId="1019" w:customStyle="1">
    <w:name w:val="默认段落字体 Para Char Char Char Char Char Char Char"/>
    <w:basedOn w:val="808"/>
    <w:next w:val="1016"/>
    <w:uiPriority w:val="99"/>
    <w:qFormat/>
    <w:pPr>
      <w:ind w:firstLine="200"/>
    </w:pPr>
    <w:rPr>
      <w:rFonts w:cs="Arial"/>
    </w:rPr>
  </w:style>
  <w:style w:type="paragraph" w:styleId="1020" w:customStyle="1">
    <w:name w:val="正文（缩进）"/>
    <w:basedOn w:val="808"/>
    <w:uiPriority w:val="0"/>
    <w:qFormat/>
    <w:pPr>
      <w:ind w:firstLine="480"/>
    </w:pPr>
  </w:style>
  <w:style w:type="character" w:styleId="1021" w:customStyle="1">
    <w:name w:val="页眉 字符"/>
    <w:basedOn w:val="812"/>
    <w:link w:val="826"/>
    <w:uiPriority w:val="99"/>
    <w:qFormat/>
    <w:rPr>
      <w:rFonts w:ascii="Calibri" w:hAnsi="Calibri"/>
      <w:sz w:val="18"/>
      <w:szCs w:val="18"/>
    </w:rPr>
  </w:style>
  <w:style w:type="character" w:styleId="1022" w:customStyle="1">
    <w:name w:val="页脚 字符"/>
    <w:basedOn w:val="812"/>
    <w:link w:val="825"/>
    <w:uiPriority w:val="99"/>
    <w:qFormat/>
    <w:rPr>
      <w:rFonts w:ascii="Calibri" w:hAnsi="Calibri"/>
      <w:sz w:val="18"/>
      <w:szCs w:val="18"/>
    </w:rPr>
  </w:style>
  <w:style w:type="paragraph" w:styleId="1023" w:customStyle="1">
    <w:name w:val="标题 211"/>
    <w:basedOn w:val="808"/>
    <w:next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4" w:customStyle="1">
    <w:name w:val="正文缩进1"/>
    <w:basedOn w:val="808"/>
    <w:uiPriority w:val="0"/>
    <w:unhideWhenUsed/>
    <w:qFormat/>
    <w:pPr>
      <w:ind w:firstLine="420"/>
    </w:pPr>
  </w:style>
  <w:style w:type="paragraph" w:styleId="1025" w:customStyle="1">
    <w:name w:val="WPSOffice手动目录 1"/>
    <w:uiPriority w:val="0"/>
    <w:qFormat/>
    <w:rPr>
      <w:rFonts w:ascii="Times New Roman" w:hAnsi="Times New Roman" w:eastAsia="宋体" w:cs="Times New Roman"/>
      <w:lang w:val="en-US" w:eastAsia="zh-CN" w:bidi="ar-SA"/>
    </w:rPr>
  </w:style>
  <w:style w:type="paragraph" w:styleId="1026" w:customStyle="1">
    <w:name w:val="WPSOffice手动目录 2"/>
    <w:uiPriority w:val="0"/>
    <w:qFormat/>
    <w:pPr>
      <w:ind w:left="200"/>
    </w:pPr>
    <w:rPr>
      <w:rFonts w:ascii="Times New Roman" w:hAnsi="Times New Roman" w:eastAsia="宋体" w:cs="Times New Roman"/>
      <w:lang w:val="en-US" w:eastAsia="zh-CN" w:bidi="ar-SA"/>
    </w:rPr>
  </w:style>
  <w:style w:type="character" w:styleId="1027" w:customStyle="1">
    <w:name w:val="正文文本 字符"/>
    <w:basedOn w:val="812"/>
    <w:link w:val="817"/>
    <w:uiPriority w:val="0"/>
    <w:qFormat/>
    <w:rPr>
      <w:rFonts w:ascii="楷体_GB2312" w:hAnsi="Arial" w:eastAsia="楷体_GB2312"/>
      <w:sz w:val="28"/>
      <w:szCs w:val="28"/>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65ADDB6-2BB4-4749-BDB4-4A0E630DD4B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尹政</cp:lastModifiedBy>
  <cp:revision>413</cp:revision>
  <dcterms:created xsi:type="dcterms:W3CDTF">2014-10-29T12:08:00Z</dcterms:created>
  <dcterms:modified xsi:type="dcterms:W3CDTF">2024-07-16T09:39:05Z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958AF80C1F56416F8D8BD3E7F68F4C36_13</vt:lpwstr>
  </property>
</Properties>
</file>