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85"/>
        <w:jc w:val="center"/>
        <w:spacing w:before="120" w:beforeAutospacing="0" w:after="120" w:afterAutospacing="0" w:line="360" w:lineRule="auto"/>
        <w:rPr>
          <w:rFonts w:hint="eastAsia" w:asciiTheme="minorEastAsia" w:hAnsiTheme="minorEastAsia" w:eastAsiaTheme="minorEastAsia" w:cstheme="minorEastAsia"/>
          <w:b/>
          <w:color w:val="auto"/>
          <w:sz w:val="84"/>
          <w:szCs w:val="84"/>
          <w:highlight w:val="none"/>
        </w:rPr>
      </w:pPr>
      <w:r>
        <w:rPr>
          <w:rFonts w:hint="eastAsia" w:asciiTheme="minorEastAsia" w:hAnsiTheme="minorEastAsia" w:eastAsiaTheme="minorEastAsia" w:cstheme="minorEastAsia"/>
          <w:b/>
          <w:color w:val="auto"/>
          <w:sz w:val="84"/>
          <w:szCs w:val="84"/>
          <w:highlight w:val="none"/>
        </w:rPr>
      </w:r>
      <w:r/>
    </w:p>
    <w:p>
      <w:pPr>
        <w:pStyle w:val="885"/>
        <w:jc w:val="center"/>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sz w:val="84"/>
          <w:szCs w:val="84"/>
          <w:highlight w:val="none"/>
        </w:rPr>
        <w:t xml:space="preserve">招 标 文 件</w:t>
      </w:r>
      <w:r/>
    </w:p>
    <w:p>
      <w:pPr>
        <w:pStyle w:val="885"/>
        <w:ind w:firstLine="2249"/>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885"/>
        <w:ind w:firstLine="2249"/>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pStyle w:val="885"/>
        <w:ind w:firstLine="2458"/>
        <w:spacing w:before="120" w:beforeAutospacing="0" w:after="120" w:afterAutospacing="0" w:line="360" w:lineRule="auto"/>
        <w:rPr>
          <w:rFonts w:hint="eastAsia" w:asciiTheme="minorEastAsia" w:hAnsiTheme="minorEastAsia" w:eastAsiaTheme="minorEastAsia" w:cstheme="minorEastAsia"/>
          <w:b/>
          <w:color w:val="auto"/>
          <w:sz w:val="32"/>
          <w:szCs w:val="32"/>
          <w:highlight w:val="none"/>
        </w:rPr>
      </w:pPr>
      <w:r>
        <w:rPr>
          <w:rFonts w:hint="eastAsia" w:asciiTheme="minorEastAsia" w:hAnsiTheme="minorEastAsia" w:eastAsiaTheme="minorEastAsia" w:cstheme="minorEastAsia"/>
          <w:b/>
          <w:color w:val="auto"/>
          <w:sz w:val="32"/>
          <w:szCs w:val="32"/>
          <w:highlight w:val="none"/>
        </w:rPr>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t xml:space="preserve">项目编号：JSZC-320992-YCJX-G2025-0006</w:t>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r>
      <w:r/>
    </w:p>
    <w:p>
      <w:pPr>
        <w:rPr>
          <w:rFonts w:hint="eastAsia" w:asciiTheme="minorEastAsia" w:hAnsiTheme="minorEastAsia" w:eastAsiaTheme="minorEastAsia" w:cstheme="minorEastAsia"/>
          <w:b/>
          <w:color w:val="auto"/>
          <w:sz w:val="36"/>
          <w:szCs w:val="24"/>
          <w:highlight w:val="none"/>
          <w:lang w:eastAsia="zh-CN"/>
        </w:rPr>
      </w:pPr>
      <w:r>
        <w:rPr>
          <w:rFonts w:hint="eastAsia" w:asciiTheme="minorEastAsia" w:hAnsiTheme="minorEastAsia" w:eastAsiaTheme="minorEastAsia" w:cstheme="minorEastAsia"/>
          <w:b/>
          <w:color w:val="auto"/>
          <w:sz w:val="36"/>
          <w:szCs w:val="24"/>
          <w:highlight w:val="none"/>
        </w:rPr>
        <w:t xml:space="preserve">项目名称：</w:t>
      </w:r>
      <w:r>
        <w:rPr>
          <w:rFonts w:hint="eastAsia" w:asciiTheme="minorEastAsia" w:hAnsiTheme="minorEastAsia" w:cstheme="minorEastAsia"/>
          <w:b/>
          <w:color w:val="auto"/>
          <w:sz w:val="36"/>
          <w:szCs w:val="24"/>
          <w:highlight w:val="none"/>
          <w:lang w:eastAsia="zh-CN"/>
        </w:rPr>
        <w:t xml:space="preserve">伍佑街道2025年秸秆离田项目</w:t>
      </w:r>
      <w:r/>
    </w:p>
    <w:p>
      <w:pPr>
        <w:rPr>
          <w:rFonts w:hint="eastAsia" w:asciiTheme="minorEastAsia" w:hAnsiTheme="minorEastAsia" w:eastAsiaTheme="minorEastAsia" w:cstheme="minorEastAsia"/>
          <w:b/>
          <w:color w:val="auto"/>
          <w:sz w:val="36"/>
          <w:szCs w:val="24"/>
          <w:highlight w:val="none"/>
        </w:rPr>
      </w:pPr>
      <w:r>
        <w:rPr>
          <w:rFonts w:hint="eastAsia" w:asciiTheme="minorEastAsia" w:hAnsiTheme="minorEastAsia" w:eastAsiaTheme="minorEastAsia" w:cstheme="minorEastAsia"/>
          <w:b/>
          <w:color w:val="auto"/>
          <w:sz w:val="36"/>
          <w:szCs w:val="24"/>
          <w:highlight w:val="none"/>
        </w:rPr>
        <w:t xml:space="preserve"> </w:t>
      </w:r>
      <w:r/>
    </w:p>
    <w:p>
      <w:pPr>
        <w:pStyle w:val="88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spacing w:beforeAutospacing="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jc w:val="center"/>
        <w:spacing w:line="500" w:lineRule="exact"/>
        <w:rPr>
          <w:rFonts w:hint="eastAsia" w:asciiTheme="minorEastAsia" w:hAnsiTheme="minorEastAsia" w:eastAsiaTheme="minorEastAsia" w:cstheme="minorEastAsia"/>
          <w:b/>
          <w:color w:val="auto"/>
          <w:sz w:val="32"/>
          <w:szCs w:val="32"/>
          <w:highlight w:val="none"/>
          <w:lang w:eastAsia="zh-CN"/>
        </w:rPr>
        <w:outlineLvl w:val="9"/>
      </w:pPr>
      <w:r>
        <w:rPr>
          <w:rFonts w:hint="eastAsia" w:asciiTheme="minorEastAsia" w:hAnsiTheme="minorEastAsia" w:cstheme="minorEastAsia"/>
          <w:b/>
          <w:color w:val="auto"/>
          <w:sz w:val="32"/>
          <w:szCs w:val="32"/>
          <w:highlight w:val="none"/>
          <w:lang w:eastAsia="zh-CN"/>
        </w:rPr>
        <w:t xml:space="preserve">江苏省盐南高新技术产业开发区伍佑街道办事处</w:t>
      </w:r>
      <w:r/>
    </w:p>
    <w:p>
      <w:pPr>
        <w:pStyle w:val="878"/>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rPr>
        <w:outlineLvl w:val="9"/>
      </w:pPr>
      <w:r>
        <w:rPr>
          <w:rFonts w:hint="eastAsia" w:asciiTheme="minorEastAsia" w:hAnsiTheme="minorEastAsia" w:eastAsiaTheme="minorEastAsia" w:cstheme="minorEastAsia"/>
          <w:b/>
          <w:color w:val="auto"/>
          <w:sz w:val="32"/>
          <w:szCs w:val="32"/>
          <w:highlight w:val="none"/>
        </w:rPr>
        <w:t xml:space="preserve">盐城建信造价工程师事务所有限公司</w:t>
      </w:r>
      <w:r/>
    </w:p>
    <w:p>
      <w:pPr>
        <w:pStyle w:val="879"/>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79"/>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879"/>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jc w:val="center"/>
        <w:spacing w:line="500" w:lineRule="exact"/>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rPr>
        <w:t xml:space="preserve">202</w:t>
      </w:r>
      <w:r>
        <w:rPr>
          <w:rFonts w:hint="eastAsia" w:asciiTheme="minorEastAsia" w:hAnsiTheme="minorEastAsia" w:cstheme="minorEastAsia"/>
          <w:b/>
          <w:color w:val="auto"/>
          <w:sz w:val="32"/>
          <w:szCs w:val="32"/>
          <w:highlight w:val="none"/>
          <w:lang w:val="en-US" w:eastAsia="zh-CN"/>
        </w:rPr>
        <w:t xml:space="preserve">5</w:t>
      </w:r>
      <w:r>
        <w:rPr>
          <w:rFonts w:hint="eastAsia" w:asciiTheme="minorEastAsia" w:hAnsiTheme="minorEastAsia" w:eastAsiaTheme="minorEastAsia" w:cstheme="minorEastAsia"/>
          <w:b/>
          <w:color w:val="auto"/>
          <w:sz w:val="32"/>
          <w:szCs w:val="32"/>
          <w:highlight w:val="none"/>
        </w:rPr>
        <w:t xml:space="preserve">年</w:t>
      </w:r>
      <w:r>
        <w:rPr>
          <w:rFonts w:hint="eastAsia" w:asciiTheme="minorEastAsia" w:hAnsiTheme="minorEastAsia" w:cstheme="minorEastAsia"/>
          <w:b/>
          <w:color w:val="auto"/>
          <w:sz w:val="32"/>
          <w:szCs w:val="32"/>
          <w:highlight w:val="none"/>
          <w:lang w:val="en-US" w:eastAsia="zh-CN"/>
        </w:rPr>
        <w:t xml:space="preserve">5</w:t>
      </w:r>
      <w:r>
        <w:rPr>
          <w:rFonts w:hint="eastAsia" w:asciiTheme="minorEastAsia" w:hAnsiTheme="minorEastAsia" w:eastAsiaTheme="minorEastAsia" w:cstheme="minorEastAsia"/>
          <w:b/>
          <w:color w:val="auto"/>
          <w:sz w:val="32"/>
          <w:szCs w:val="32"/>
          <w:highlight w:val="none"/>
        </w:rPr>
        <w:t xml:space="preserve">月</w:t>
      </w:r>
      <w:r/>
    </w:p>
    <w:p>
      <w:pPr>
        <w:pStyle w:val="885"/>
        <w:spacing w:before="120" w:beforeAutospacing="0" w:after="120" w:afterAutospacing="0"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spacing w:before="120" w:beforeAutospacing="0" w:after="120" w:afterAutospacing="0" w:line="360" w:lineRule="auto"/>
        <w:rPr>
          <w:color w:val="auto"/>
          <w:highlight w:val="none"/>
        </w:rPr>
      </w:pPr>
      <w:r>
        <w:rPr>
          <w:rFonts w:hint="eastAsia" w:asciiTheme="minorEastAsia" w:hAnsiTheme="minorEastAsia" w:eastAsiaTheme="minorEastAsia" w:cstheme="minorEastAsia"/>
          <w:color w:val="auto"/>
          <w:highlight w:val="none"/>
        </w:rPr>
      </w:r>
      <w:r>
        <w:rPr>
          <w:rFonts w:hint="eastAsia" w:asciiTheme="minorEastAsia" w:hAnsiTheme="minorEastAsia" w:eastAsiaTheme="minorEastAsia" w:cstheme="minorEastAsia"/>
          <w:color w:val="auto"/>
          <w:highlight w:val="none"/>
        </w:rPr>
      </w:r>
      <w:r/>
    </w:p>
    <w:sdt>
      <w:sdtPr>
        <w15:appearance w15:val="boundingBox"/>
        <w15:color w:val="dbdbdb"/>
        <w:id w:val="147467214"/>
        <w:docPartObj>
          <w:docPartGallery w:val="Table of Contents"/>
          <w:docPartUnique w:val="true"/>
        </w:docPartObj>
        <w:rPr>
          <w:rFonts w:ascii="宋体" w:hAnsi="宋体" w:eastAsia="宋体" w:cstheme="minorBidi"/>
          <w:color w:val="auto"/>
          <w:sz w:val="21"/>
          <w:szCs w:val="24"/>
          <w:highlight w:val="none"/>
          <w:lang w:val="en-US" w:eastAsia="zh-CN" w:bidi="ar-SA"/>
        </w:rPr>
      </w:sdtPr>
      <w:sdtContent>
        <w:p>
          <w:pPr>
            <w:ind w:left="0" w:right="0" w:firstLine="0"/>
            <w:jc w:val="center"/>
            <w:spacing w:before="0" w:after="0" w:line="240" w:lineRule="auto"/>
            <w:rPr>
              <w:rFonts w:ascii="宋体" w:hAnsi="宋体" w:eastAsia="宋体" w:cstheme="minorBidi"/>
              <w:color w:val="auto"/>
              <w:sz w:val="21"/>
              <w:szCs w:val="24"/>
              <w:highlight w:val="none"/>
              <w:lang w:val="en-US" w:eastAsia="zh-CN" w:bidi="ar-SA"/>
            </w:rPr>
          </w:pPr>
          <w:r>
            <w:rPr>
              <w:rFonts w:ascii="宋体" w:hAnsi="宋体" w:eastAsia="宋体" w:cstheme="minorBidi"/>
              <w:color w:val="auto"/>
              <w:sz w:val="21"/>
              <w:szCs w:val="24"/>
              <w:highlight w:val="none"/>
              <w:lang w:val="en-US" w:eastAsia="zh-CN" w:bidi="ar-SA"/>
            </w:rPr>
          </w:r>
          <w:r/>
        </w:p>
        <w:p>
          <w:pPr>
            <w:ind w:left="0" w:right="0" w:firstLine="0"/>
            <w:jc w:val="center"/>
            <w:spacing w:before="0" w:after="0" w:line="240" w:lineRule="auto"/>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44"/>
              <w:highlight w:val="none"/>
            </w:rPr>
            <w:t xml:space="preserve">目录</w:t>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TOC \o "1-1" \h \u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_Toc1134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第一章 </w:t>
          </w:r>
          <w:r>
            <w:rPr>
              <w:rFonts w:hint="eastAsia" w:asciiTheme="minorEastAsia" w:hAnsiTheme="minorEastAsia" w:cstheme="minorEastAsia"/>
              <w:color w:val="auto"/>
              <w:sz w:val="36"/>
              <w:szCs w:val="72"/>
              <w:highlight w:val="none"/>
              <w:lang w:val="en-US" w:eastAsia="zh-CN"/>
            </w:rPr>
            <w:t xml:space="preserve"> </w:t>
          </w:r>
          <w:r>
            <w:rPr>
              <w:rFonts w:hint="eastAsia" w:asciiTheme="minorEastAsia" w:hAnsiTheme="minorEastAsia" w:eastAsiaTheme="minorEastAsia" w:cstheme="minorEastAsia"/>
              <w:color w:val="auto"/>
              <w:sz w:val="36"/>
              <w:szCs w:val="72"/>
              <w:highlight w:val="none"/>
              <w:lang w:val="en-US" w:eastAsia="zh-CN"/>
            </w:rPr>
            <w:t xml:space="preserve">招标公告</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_Toc1134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3</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_Toc12855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第二章  投标人须知</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_Toc12855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7</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_Toc24191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第三章  合同文本</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_Toc24191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20</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_Toc20593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第四章 </w:t>
          </w:r>
          <w:r>
            <w:rPr>
              <w:rFonts w:hint="eastAsia" w:asciiTheme="minorEastAsia" w:hAnsiTheme="minorEastAsia" w:eastAsiaTheme="minorEastAsia" w:cstheme="minorEastAsia"/>
              <w:color w:val="auto"/>
              <w:sz w:val="36"/>
              <w:szCs w:val="72"/>
              <w:highlight w:val="none"/>
            </w:rPr>
            <w:t xml:space="preserve"> 采购需求</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_Toc20593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21</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_Toc3886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第五章  评标方法与评标标准</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_Toc3886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35</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4"/>
            <w:tabs>
              <w:tab w:val="right" w:pos="9746" w:leader="dot"/>
            </w:tabs>
            <w:rPr>
              <w:rFonts w:hint="eastAsia" w:asciiTheme="minorEastAsia" w:hAnsiTheme="minorEastAsia" w:eastAsiaTheme="minorEastAsia" w:cstheme="minorEastAsia"/>
              <w:color w:val="auto"/>
              <w:sz w:val="36"/>
              <w:szCs w:val="44"/>
              <w:highlight w:val="none"/>
            </w:rPr>
          </w:pPr>
          <w:r>
            <w:rPr>
              <w:rFonts w:hint="eastAsia" w:asciiTheme="minorEastAsia" w:hAnsiTheme="minorEastAsia" w:eastAsiaTheme="minorEastAsia" w:cstheme="minorEastAsia"/>
              <w:color w:val="auto"/>
              <w:sz w:val="36"/>
              <w:szCs w:val="36"/>
              <w:highlight w:val="none"/>
            </w:rPr>
            <w:fldChar w:fldCharType="begin"/>
          </w:r>
          <w:r>
            <w:rPr>
              <w:rFonts w:hint="eastAsia" w:asciiTheme="minorEastAsia" w:hAnsiTheme="minorEastAsia" w:eastAsiaTheme="minorEastAsia" w:cstheme="minorEastAsia"/>
              <w:color w:val="auto"/>
              <w:sz w:val="36"/>
              <w:szCs w:val="36"/>
              <w:highlight w:val="none"/>
            </w:rPr>
            <w:instrText xml:space="preserve"> HYPERLINK \l _Toc27244 </w:instrText>
          </w:r>
          <w:r>
            <w:rPr>
              <w:rFonts w:hint="eastAsia" w:asciiTheme="minorEastAsia" w:hAnsiTheme="minorEastAsia" w:eastAsiaTheme="minorEastAsia" w:cstheme="minorEastAsia"/>
              <w:color w:val="auto"/>
              <w:sz w:val="36"/>
              <w:szCs w:val="36"/>
              <w:highlight w:val="none"/>
            </w:rPr>
            <w:fldChar w:fldCharType="separate"/>
          </w:r>
          <w:r>
            <w:rPr>
              <w:rFonts w:hint="eastAsia" w:asciiTheme="minorEastAsia" w:hAnsiTheme="minorEastAsia" w:eastAsiaTheme="minorEastAsia" w:cstheme="minorEastAsia"/>
              <w:color w:val="auto"/>
              <w:sz w:val="36"/>
              <w:szCs w:val="72"/>
              <w:highlight w:val="none"/>
            </w:rPr>
            <w:t xml:space="preserve">第六章  投标文件格式</w:t>
          </w:r>
          <w:r>
            <w:rPr>
              <w:rFonts w:hint="eastAsia" w:asciiTheme="minorEastAsia" w:hAnsiTheme="minorEastAsia" w:eastAsiaTheme="minorEastAsia" w:cstheme="minorEastAsia"/>
              <w:color w:val="auto"/>
              <w:sz w:val="36"/>
              <w:szCs w:val="44"/>
              <w:highlight w:val="none"/>
            </w:rPr>
            <w:tab/>
          </w:r>
          <w:r>
            <w:rPr>
              <w:rFonts w:hint="eastAsia" w:asciiTheme="minorEastAsia" w:hAnsiTheme="minorEastAsia" w:eastAsiaTheme="minorEastAsia" w:cstheme="minorEastAsia"/>
              <w:color w:val="auto"/>
              <w:sz w:val="36"/>
              <w:szCs w:val="44"/>
              <w:highlight w:val="none"/>
            </w:rPr>
            <w:fldChar w:fldCharType="begin"/>
          </w:r>
          <w:r>
            <w:rPr>
              <w:rFonts w:hint="eastAsia" w:asciiTheme="minorEastAsia" w:hAnsiTheme="minorEastAsia" w:eastAsiaTheme="minorEastAsia" w:cstheme="minorEastAsia"/>
              <w:color w:val="auto"/>
              <w:sz w:val="36"/>
              <w:szCs w:val="44"/>
              <w:highlight w:val="none"/>
            </w:rPr>
            <w:instrText xml:space="preserve"> PAGEREF _Toc27244 \h </w:instrText>
          </w:r>
          <w:r>
            <w:rPr>
              <w:rFonts w:hint="eastAsia" w:asciiTheme="minorEastAsia" w:hAnsiTheme="minorEastAsia" w:eastAsiaTheme="minorEastAsia" w:cstheme="minorEastAsia"/>
              <w:color w:val="auto"/>
              <w:sz w:val="36"/>
              <w:szCs w:val="44"/>
              <w:highlight w:val="none"/>
            </w:rPr>
            <w:fldChar w:fldCharType="separate"/>
          </w:r>
          <w:r>
            <w:rPr>
              <w:rFonts w:hint="eastAsia" w:asciiTheme="minorEastAsia" w:hAnsiTheme="minorEastAsia" w:eastAsiaTheme="minorEastAsia" w:cstheme="minorEastAsia"/>
              <w:color w:val="auto"/>
              <w:sz w:val="36"/>
              <w:szCs w:val="44"/>
              <w:highlight w:val="none"/>
            </w:rPr>
            <w:t xml:space="preserve">38</w:t>
          </w:r>
          <w:r>
            <w:rPr>
              <w:rFonts w:hint="eastAsia" w:asciiTheme="minorEastAsia" w:hAnsiTheme="minorEastAsia" w:eastAsiaTheme="minorEastAsia" w:cstheme="minorEastAsia"/>
              <w:color w:val="auto"/>
              <w:sz w:val="36"/>
              <w:szCs w:val="44"/>
              <w:highlight w:val="none"/>
            </w:rPr>
            <w:fldChar w:fldCharType="end"/>
          </w:r>
          <w:r>
            <w:rPr>
              <w:rFonts w:hint="eastAsia" w:asciiTheme="minorEastAsia" w:hAnsiTheme="minorEastAsia" w:eastAsiaTheme="minorEastAsia" w:cstheme="minorEastAsia"/>
              <w:color w:val="auto"/>
              <w:sz w:val="36"/>
              <w:szCs w:val="36"/>
              <w:highlight w:val="none"/>
            </w:rPr>
            <w:fldChar w:fldCharType="end"/>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44"/>
              <w:szCs w:val="36"/>
              <w:highlight w:val="none"/>
            </w:rPr>
            <w:fldChar w:fldCharType="end"/>
          </w:r>
          <w:r/>
        </w:p>
      </w:sdtContent>
    </w:sdt>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bookmarkStart w:id="0" w:name="_Toc1134"/>
      <w:r>
        <w:rPr>
          <w:rFonts w:hint="eastAsia" w:asciiTheme="minorEastAsia" w:hAnsiTheme="minorEastAsia" w:eastAsiaTheme="minorEastAsia" w:cstheme="minorEastAsia"/>
          <w:color w:val="auto"/>
          <w:sz w:val="44"/>
          <w:szCs w:val="44"/>
          <w:highlight w:val="none"/>
        </w:rPr>
        <w:br w:type="page" w:clear="all"/>
      </w:r>
      <w:r/>
    </w:p>
    <w:p>
      <w:pPr>
        <w:pStyle w:val="885"/>
        <w:jc w:val="center"/>
        <w:keepNext/>
        <w:spacing w:beforeAutospacing="0" w:afterAutospacing="0"/>
        <w:rPr>
          <w:rFonts w:hint="eastAsia" w:asciiTheme="minorEastAsia" w:hAnsiTheme="minorEastAsia" w:eastAsiaTheme="minorEastAsia" w:cstheme="minorEastAsia"/>
          <w:color w:val="auto"/>
          <w:highlight w:val="none"/>
          <w:lang w:val="en-US" w:eastAsia="zh-CN"/>
        </w:rPr>
        <w:outlineLvl w:val="0"/>
      </w:pPr>
      <w:r>
        <w:rPr>
          <w:rFonts w:hint="eastAsia" w:asciiTheme="minorEastAsia" w:hAnsiTheme="minorEastAsia" w:eastAsiaTheme="minorEastAsia" w:cstheme="minorEastAsia"/>
          <w:color w:val="auto"/>
          <w:sz w:val="44"/>
          <w:szCs w:val="44"/>
          <w:highlight w:val="none"/>
        </w:rPr>
        <w:t xml:space="preserve">第一章 </w:t>
      </w:r>
      <w:r>
        <w:rPr>
          <w:rFonts w:hint="eastAsia" w:asciiTheme="minorEastAsia" w:hAnsiTheme="minorEastAsia" w:eastAsiaTheme="minorEastAsia" w:cstheme="minorEastAsia"/>
          <w:color w:val="auto"/>
          <w:sz w:val="44"/>
          <w:szCs w:val="44"/>
          <w:highlight w:val="none"/>
          <w:lang w:val="en-US" w:eastAsia="zh-CN"/>
        </w:rPr>
        <w:t xml:space="preserve">招标公告</w:t>
      </w:r>
      <w:bookmarkEnd w:id="0"/>
      <w:r/>
      <w:r/>
    </w:p>
    <w:p>
      <w:pPr>
        <w:pStyle w:val="885"/>
        <w:ind w:firstLine="480"/>
        <w:jc w:val="both"/>
        <w:spacing w:beforeAutospacing="0" w:afterAutospacing="0"/>
        <w:rPr>
          <w:rFonts w:hint="eastAsia" w:asciiTheme="minorEastAsia" w:hAnsiTheme="minorEastAsia" w:eastAsiaTheme="minorEastAsia" w:cstheme="minorEastAsia"/>
          <w:color w:val="auto"/>
          <w:sz w:val="24"/>
          <w:szCs w:val="24"/>
          <w:highlight w:val="none"/>
        </w:rPr>
        <w:pBdr>
          <w:top w:val="single" w:color="000000" w:sz="4" w:space="0"/>
          <w:left w:val="single" w:color="000000" w:sz="4" w:space="0"/>
          <w:bottom w:val="single" w:color="000000" w:sz="4" w:space="0"/>
          <w:right w:val="single" w:color="000000" w:sz="4" w:space="0"/>
        </w:pBdr>
      </w:pPr>
      <w:r/>
      <w:bookmarkStart w:id="1" w:name="_Toc35393621"/>
      <w:r/>
      <w:bookmarkStart w:id="2" w:name="_Toc35393790"/>
      <w:r/>
      <w:bookmarkStart w:id="3" w:name="_Toc28359002"/>
      <w:r/>
      <w:bookmarkStart w:id="4" w:name="_Hlk24379207"/>
      <w:r/>
      <w:bookmarkStart w:id="5" w:name="_Toc28359079"/>
      <w:r/>
      <w:bookmarkStart w:id="6" w:name="_Toc38985263"/>
      <w:r>
        <w:rPr>
          <w:rFonts w:hint="eastAsia" w:asciiTheme="minorEastAsia" w:hAnsiTheme="minorEastAsia" w:eastAsiaTheme="minorEastAsia" w:cstheme="minorEastAsia"/>
          <w:color w:val="auto"/>
          <w:sz w:val="24"/>
          <w:szCs w:val="24"/>
          <w:highlight w:val="none"/>
        </w:rPr>
        <w:t xml:space="preserve">项目概况</w:t>
      </w:r>
      <w:r/>
    </w:p>
    <w:p>
      <w:pPr>
        <w:pStyle w:val="885"/>
        <w:ind w:firstLine="480"/>
        <w:jc w:val="both"/>
        <w:spacing w:beforeAutospacing="0" w:afterAutospacing="0"/>
        <w:rPr>
          <w:rFonts w:hint="eastAsia" w:asciiTheme="minorEastAsia" w:hAnsiTheme="minorEastAsia" w:eastAsiaTheme="minorEastAsia" w:cstheme="minorEastAsia"/>
          <w:color w:val="auto"/>
          <w:sz w:val="24"/>
          <w:szCs w:val="24"/>
          <w:highlight w:val="none"/>
        </w:rPr>
        <w:pBdr>
          <w:top w:val="single" w:color="000000" w:sz="4" w:space="0"/>
          <w:left w:val="single" w:color="000000" w:sz="4" w:space="0"/>
          <w:bottom w:val="single" w:color="000000" w:sz="4" w:space="0"/>
          <w:right w:val="single" w:color="000000" w:sz="4" w:space="0"/>
        </w:pBdr>
      </w:pPr>
      <w:r>
        <w:rPr>
          <w:rFonts w:hint="eastAsia" w:asciiTheme="minorEastAsia" w:hAnsiTheme="minorEastAsia" w:cstheme="minorEastAsia"/>
          <w:color w:val="auto"/>
          <w:sz w:val="24"/>
          <w:szCs w:val="24"/>
          <w:highlight w:val="none"/>
          <w:u w:val="single"/>
          <w:lang w:eastAsia="zh-CN"/>
        </w:rPr>
        <w:t xml:space="preserve">伍佑街道2025年秸秆离田项目</w:t>
      </w:r>
      <w:r>
        <w:rPr>
          <w:rFonts w:hint="eastAsia" w:asciiTheme="minorEastAsia" w:hAnsiTheme="minorEastAsia" w:eastAsiaTheme="minorEastAsia" w:cstheme="minorEastAsia"/>
          <w:color w:val="auto"/>
          <w:sz w:val="24"/>
          <w:szCs w:val="24"/>
          <w:highlight w:val="none"/>
        </w:rPr>
        <w:t xml:space="preserve">招标项目的潜在投标人可在</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lang w:val="en-US" w:eastAsia="zh-CN" w:bidi="ar-SA"/>
        </w:rPr>
        <w:t xml:space="preserve">中国政府采购网</w:t>
      </w:r>
      <w:r>
        <w:rPr>
          <w:rFonts w:hint="eastAsia" w:asciiTheme="minorEastAsia" w:hAnsiTheme="minorEastAsia" w:eastAsiaTheme="minorEastAsia" w:cstheme="minorEastAsia"/>
          <w:color w:val="auto"/>
          <w:sz w:val="24"/>
          <w:szCs w:val="24"/>
          <w:highlight w:val="none"/>
          <w:u w:val="single"/>
        </w:rPr>
        <w:t xml:space="preserve">”</w:t>
      </w:r>
      <w:r>
        <w:rPr>
          <w:rFonts w:hint="eastAsia" w:asciiTheme="minorEastAsia" w:hAnsiTheme="minorEastAsia" w:eastAsiaTheme="minorEastAsia" w:cstheme="minorEastAsia"/>
          <w:color w:val="auto"/>
          <w:sz w:val="24"/>
          <w:szCs w:val="24"/>
          <w:highlight w:val="none"/>
          <w:u w:val="single"/>
          <w:lang w:eastAsia="zh-CN"/>
        </w:rPr>
        <w:t xml:space="preserve">、</w:t>
      </w:r>
      <w:r>
        <w:rPr>
          <w:rFonts w:hint="eastAsia" w:asciiTheme="minorEastAsia" w:hAnsiTheme="minorEastAsia" w:eastAsiaTheme="minorEastAsia" w:cstheme="minorEastAsia"/>
          <w:color w:val="auto"/>
          <w:sz w:val="24"/>
          <w:szCs w:val="24"/>
          <w:highlight w:val="none"/>
          <w:u w:val="single"/>
        </w:rPr>
        <w:t xml:space="preserve">“江苏政府采购网、盐城市政府采购网”</w:t>
      </w:r>
      <w:r>
        <w:rPr>
          <w:rFonts w:hint="eastAsia" w:asciiTheme="minorEastAsia" w:hAnsiTheme="minorEastAsia" w:eastAsiaTheme="minorEastAsia" w:cstheme="minorEastAsia"/>
          <w:color w:val="auto"/>
          <w:sz w:val="24"/>
          <w:szCs w:val="24"/>
          <w:highlight w:val="none"/>
          <w:lang w:val="en-US" w:eastAsia="zh-CN"/>
        </w:rPr>
        <w:t xml:space="preserve">获取</w:t>
      </w:r>
      <w:r>
        <w:rPr>
          <w:rFonts w:hint="eastAsia" w:asciiTheme="minorEastAsia" w:hAnsiTheme="minorEastAsia" w:eastAsiaTheme="minorEastAsia" w:cstheme="minorEastAsia"/>
          <w:color w:val="auto"/>
          <w:sz w:val="24"/>
          <w:szCs w:val="24"/>
          <w:highlight w:val="none"/>
        </w:rPr>
        <w:t xml:space="preserve">招标文件，并于</w:t>
      </w:r>
      <w:r>
        <w:rPr>
          <w:rFonts w:hint="eastAsia" w:asciiTheme="minorEastAsia" w:hAnsiTheme="minorEastAsia" w:eastAsiaTheme="minorEastAsia" w:cstheme="minorEastAsia"/>
          <w:color w:val="auto"/>
          <w:sz w:val="24"/>
          <w:szCs w:val="24"/>
          <w:highlight w:val="none"/>
          <w:u w:val="single"/>
          <w:lang w:val="en-US" w:eastAsia="zh-CN"/>
        </w:rPr>
        <w:t xml:space="preserve">202</w:t>
      </w:r>
      <w:r>
        <w:rPr>
          <w:rFonts w:hint="eastAsia" w:asciiTheme="minorEastAsia" w:hAnsiTheme="minorEastAsia" w:cstheme="minorEastAsia"/>
          <w:color w:val="auto"/>
          <w:sz w:val="24"/>
          <w:szCs w:val="24"/>
          <w:highlight w:val="none"/>
          <w:u w:val="single"/>
          <w:lang w:val="en-US" w:eastAsia="zh-CN"/>
        </w:rPr>
        <w:t xml:space="preserve">5</w:t>
      </w:r>
      <w:r>
        <w:rPr>
          <w:rFonts w:hint="eastAsia" w:asciiTheme="minorEastAsia" w:hAnsiTheme="minorEastAsia" w:eastAsiaTheme="minorEastAsia" w:cstheme="minorEastAsia"/>
          <w:color w:val="auto"/>
          <w:sz w:val="24"/>
          <w:szCs w:val="24"/>
          <w:highlight w:val="none"/>
          <w:u w:val="single"/>
        </w:rPr>
        <w:t xml:space="preserve">年</w:t>
      </w:r>
      <w:r>
        <w:rPr>
          <w:rFonts w:hint="eastAsia" w:asciiTheme="minorEastAsia" w:hAnsiTheme="minorEastAsia" w:cstheme="minorEastAsia"/>
          <w:color w:val="auto"/>
          <w:sz w:val="24"/>
          <w:szCs w:val="24"/>
          <w:highlight w:val="none"/>
          <w:u w:val="single"/>
          <w:lang w:val="en-US" w:eastAsia="zh-CN"/>
        </w:rPr>
        <w:t xml:space="preserve">6</w:t>
      </w:r>
      <w:r>
        <w:rPr>
          <w:rFonts w:hint="eastAsia" w:asciiTheme="minorEastAsia" w:hAnsiTheme="minorEastAsia" w:eastAsiaTheme="minorEastAsia" w:cstheme="minorEastAsia"/>
          <w:color w:val="auto"/>
          <w:sz w:val="24"/>
          <w:szCs w:val="24"/>
          <w:highlight w:val="none"/>
          <w:u w:val="single"/>
        </w:rPr>
        <w:t xml:space="preserve">月</w:t>
      </w:r>
      <w:r>
        <w:rPr>
          <w:rFonts w:hint="eastAsia" w:asciiTheme="minorEastAsia" w:hAnsiTheme="minorEastAsia" w:cstheme="minorEastAsia"/>
          <w:color w:val="auto"/>
          <w:sz w:val="24"/>
          <w:szCs w:val="24"/>
          <w:highlight w:val="none"/>
          <w:u w:val="single"/>
          <w:lang w:val="en-US" w:eastAsia="zh-CN"/>
        </w:rPr>
        <w:t xml:space="preserve">9</w:t>
      </w:r>
      <w:r>
        <w:rPr>
          <w:rFonts w:hint="eastAsia" w:asciiTheme="minorEastAsia" w:hAnsiTheme="minorEastAsia" w:eastAsiaTheme="minorEastAsia" w:cstheme="minorEastAsia"/>
          <w:color w:val="auto"/>
          <w:sz w:val="24"/>
          <w:szCs w:val="24"/>
          <w:highlight w:val="none"/>
          <w:u w:val="single"/>
        </w:rPr>
        <w:t xml:space="preserve">日</w:t>
      </w:r>
      <w:r>
        <w:rPr>
          <w:rFonts w:hint="eastAsia" w:asciiTheme="minorEastAsia" w:hAnsiTheme="minorEastAsia" w:cstheme="minorEastAsia"/>
          <w:color w:val="auto"/>
          <w:sz w:val="24"/>
          <w:szCs w:val="24"/>
          <w:highlight w:val="none"/>
          <w:u w:val="single"/>
          <w:lang w:val="en-US" w:eastAsia="zh-CN"/>
        </w:rPr>
        <w:t xml:space="preserve">9</w:t>
      </w:r>
      <w:r>
        <w:rPr>
          <w:rFonts w:hint="eastAsia" w:asciiTheme="minorEastAsia" w:hAnsiTheme="minorEastAsia" w:eastAsiaTheme="minorEastAsia" w:cstheme="minorEastAsia"/>
          <w:color w:val="auto"/>
          <w:sz w:val="24"/>
          <w:szCs w:val="24"/>
          <w:highlight w:val="none"/>
          <w:u w:val="single"/>
        </w:rPr>
        <w:t xml:space="preserve">点</w:t>
      </w:r>
      <w:r>
        <w:rPr>
          <w:rFonts w:hint="eastAsia" w:asciiTheme="minorEastAsia" w:hAnsiTheme="minorEastAsia" w:eastAsiaTheme="minorEastAsia" w:cstheme="minorEastAsia"/>
          <w:color w:val="auto"/>
          <w:sz w:val="24"/>
          <w:szCs w:val="24"/>
          <w:highlight w:val="none"/>
          <w:u w:val="single"/>
          <w:lang w:val="en-US" w:eastAsia="zh-CN"/>
        </w:rPr>
        <w:t xml:space="preserve">00</w:t>
      </w:r>
      <w:r>
        <w:rPr>
          <w:rFonts w:hint="eastAsia" w:asciiTheme="minorEastAsia" w:hAnsiTheme="minorEastAsia" w:eastAsiaTheme="minorEastAsia" w:cstheme="minorEastAsia"/>
          <w:color w:val="auto"/>
          <w:sz w:val="24"/>
          <w:szCs w:val="24"/>
          <w:highlight w:val="none"/>
          <w:u w:val="single"/>
        </w:rPr>
        <w:t xml:space="preserve">分（</w:t>
      </w:r>
      <w:r>
        <w:rPr>
          <w:rFonts w:hint="eastAsia" w:asciiTheme="minorEastAsia" w:hAnsiTheme="minorEastAsia" w:eastAsiaTheme="minorEastAsia" w:cstheme="minorEastAsia"/>
          <w:color w:val="auto"/>
          <w:sz w:val="24"/>
          <w:szCs w:val="24"/>
          <w:highlight w:val="none"/>
        </w:rPr>
        <w:t xml:space="preserve">北京时间）前递交投标文件。</w:t>
      </w:r>
      <w:r/>
    </w:p>
    <w:p>
      <w:pPr>
        <w:pStyle w:val="88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一、项目基本情况</w:t>
      </w:r>
      <w:bookmarkEnd w:id="1"/>
      <w:r/>
      <w:bookmarkEnd w:id="2"/>
      <w:r/>
      <w:bookmarkEnd w:id="3"/>
      <w:r/>
      <w:bookmarkEnd w:id="4"/>
      <w:r/>
      <w:bookmarkEnd w:id="5"/>
      <w:r/>
      <w:bookmarkEnd w:id="6"/>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1.项目编号：JSZC-320992-YCJX-G2025-0006</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2.项目名称：</w:t>
      </w:r>
      <w:r>
        <w:rPr>
          <w:rFonts w:hint="eastAsia" w:asciiTheme="minorEastAsia" w:hAnsiTheme="minorEastAsia" w:cstheme="minorEastAsia"/>
          <w:color w:val="auto"/>
          <w:sz w:val="24"/>
          <w:szCs w:val="24"/>
          <w:highlight w:val="none"/>
          <w:lang w:val="en-US" w:eastAsia="zh-CN"/>
        </w:rPr>
        <w:t xml:space="preserve">伍佑街道2025年秸秆离田项目</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3.采购方式：公开招标</w:t>
      </w:r>
      <w:r/>
    </w:p>
    <w:p>
      <w:pPr>
        <w:pStyle w:val="885"/>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4.预算金额：</w:t>
      </w:r>
      <w:r>
        <w:rPr>
          <w:rFonts w:hint="eastAsia" w:asciiTheme="minorEastAsia" w:hAnsiTheme="minorEastAsia" w:cstheme="minorEastAsia"/>
          <w:color w:val="auto"/>
          <w:sz w:val="24"/>
          <w:szCs w:val="24"/>
          <w:highlight w:val="none"/>
          <w:lang w:val="en-US" w:eastAsia="zh-CN"/>
        </w:rPr>
        <w:t xml:space="preserve">135</w:t>
      </w:r>
      <w:r>
        <w:rPr>
          <w:rFonts w:hint="eastAsia" w:asciiTheme="minorEastAsia" w:hAnsiTheme="minorEastAsia" w:eastAsiaTheme="minorEastAsia" w:cstheme="minorEastAsia"/>
          <w:color w:val="auto"/>
          <w:sz w:val="24"/>
          <w:szCs w:val="24"/>
          <w:highlight w:val="none"/>
          <w:lang w:val="en-US" w:eastAsia="zh-CN"/>
        </w:rPr>
        <w:t xml:space="preserve">万元</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5.最高限价：</w:t>
      </w:r>
      <w:r>
        <w:rPr>
          <w:rFonts w:hint="eastAsia" w:asciiTheme="minorEastAsia" w:hAnsiTheme="minorEastAsia" w:cstheme="minorEastAsia"/>
          <w:color w:val="auto"/>
          <w:sz w:val="24"/>
          <w:szCs w:val="24"/>
          <w:highlight w:val="none"/>
          <w:lang w:val="en-US" w:eastAsia="zh-CN"/>
        </w:rPr>
        <w:t xml:space="preserve">117</w:t>
      </w:r>
      <w:r>
        <w:rPr>
          <w:rFonts w:hint="eastAsia" w:asciiTheme="minorEastAsia" w:hAnsiTheme="minorEastAsia" w:eastAsiaTheme="minorEastAsia" w:cstheme="minorEastAsia"/>
          <w:color w:val="auto"/>
          <w:sz w:val="24"/>
          <w:szCs w:val="24"/>
          <w:highlight w:val="none"/>
          <w:lang w:val="en-US" w:eastAsia="zh-CN"/>
        </w:rPr>
        <w:t xml:space="preserve">万元</w:t>
      </w:r>
      <w:r/>
    </w:p>
    <w:p>
      <w:pPr>
        <w:pStyle w:val="885"/>
        <w:ind w:firstLine="480"/>
        <w:jc w:val="both"/>
        <w:pageBreakBefore w:val="0"/>
        <w:spacing w:beforeAutospacing="0" w:afterAutospacing="0" w:line="420" w:lineRule="exact"/>
        <w:rPr>
          <w:rFonts w:hint="eastAsia" w:ascii="宋体" w:hAnsi="宋体" w:cs="宋体"/>
          <w:color w:val="auto"/>
          <w:sz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6.采购需求：</w:t>
      </w:r>
      <w:bookmarkStart w:id="7" w:name="_Toc35393791"/>
      <w:r/>
      <w:bookmarkStart w:id="8" w:name="_Toc28359003"/>
      <w:r/>
      <w:bookmarkStart w:id="9" w:name="_Toc38985264"/>
      <w:r/>
      <w:bookmarkStart w:id="10" w:name="_Toc35393622"/>
      <w:r/>
      <w:bookmarkStart w:id="11" w:name="_Toc28359080"/>
      <w:r>
        <w:rPr>
          <w:rFonts w:hint="eastAsia" w:ascii="宋体" w:hAnsi="宋体" w:cs="宋体"/>
          <w:color w:val="auto"/>
          <w:sz w:val="24"/>
          <w:highlight w:val="none"/>
          <w:lang w:eastAsia="zh-CN"/>
        </w:rPr>
        <w:t xml:space="preserve">伍佑街道2025年秸秆离田项目</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单季约0.9万亩，两季共约1.8万亩，</w:t>
      </w:r>
      <w:r>
        <w:rPr>
          <w:rFonts w:hint="eastAsia" w:ascii="宋体" w:hAnsi="宋体" w:cs="宋体"/>
          <w:color w:val="auto"/>
          <w:sz w:val="24"/>
          <w:highlight w:val="none"/>
        </w:rPr>
        <w:t xml:space="preserve">具体详见项目需求</w:t>
      </w:r>
      <w:r>
        <w:rPr>
          <w:rFonts w:hint="eastAsia" w:ascii="宋体" w:hAnsi="宋体" w:cs="宋体"/>
          <w:color w:val="auto"/>
          <w:sz w:val="24"/>
          <w:highlight w:val="none"/>
          <w:lang w:eastAsia="zh-CN"/>
        </w:rPr>
        <w:t xml:space="preserve">。</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7.质量标准：合格。</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8.合同履行期限</w:t>
      </w:r>
      <w:r>
        <w:rPr>
          <w:rFonts w:hint="eastAsia" w:asciiTheme="minorEastAsia" w:hAnsiTheme="minorEastAsia" w:cstheme="minorEastAsia"/>
          <w:color w:val="auto"/>
          <w:sz w:val="24"/>
          <w:szCs w:val="24"/>
          <w:highlight w:val="none"/>
          <w:lang w:val="en-US" w:eastAsia="zh-CN"/>
        </w:rPr>
        <w:t xml:space="preserve">：单年度服务期约45日历天</w:t>
      </w:r>
      <w:r>
        <w:rPr>
          <w:rFonts w:hint="eastAsia" w:ascii="宋体" w:hAnsi="宋体" w:cs="宋体"/>
          <w:color w:val="auto"/>
          <w:sz w:val="24"/>
          <w:highlight w:val="none"/>
          <w:shd w:val="clear" w:color="auto" w:fill="ffffff"/>
          <w:lang w:bidi="ar"/>
        </w:rPr>
        <w:t xml:space="preserve">（</w:t>
      </w:r>
      <w:r>
        <w:rPr>
          <w:rFonts w:hint="eastAsia" w:ascii="宋体" w:hAnsi="宋体" w:cs="宋体"/>
          <w:color w:val="auto"/>
          <w:sz w:val="24"/>
          <w:highlight w:val="none"/>
        </w:rPr>
        <w:t xml:space="preserve">夏季15日历天，秋季</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日历天</w:t>
      </w:r>
      <w:r>
        <w:rPr>
          <w:rFonts w:hint="eastAsia" w:ascii="宋体" w:hAnsi="宋体" w:cs="宋体"/>
          <w:color w:val="auto"/>
          <w:sz w:val="24"/>
          <w:highlight w:val="none"/>
          <w:shd w:val="clear" w:color="auto" w:fill="ffffff"/>
          <w:lang w:bidi="ar"/>
        </w:rPr>
        <w:t xml:space="preserve">）</w:t>
      </w:r>
      <w:r>
        <w:rPr>
          <w:rFonts w:hint="eastAsia" w:ascii="宋体" w:hAnsi="宋体" w:cs="宋体"/>
          <w:color w:val="auto"/>
          <w:sz w:val="24"/>
          <w:highlight w:val="none"/>
          <w:shd w:val="clear" w:color="auto" w:fill="ffffff"/>
          <w:lang w:eastAsia="zh-CN" w:bidi="ar"/>
        </w:rPr>
        <w:t xml:space="preserve">，</w:t>
      </w:r>
      <w:r>
        <w:rPr>
          <w:rFonts w:hint="eastAsia" w:ascii="宋体" w:hAnsi="宋体" w:cs="宋体"/>
          <w:color w:val="auto"/>
          <w:sz w:val="24"/>
          <w:highlight w:val="none"/>
          <w:shd w:val="clear" w:color="auto" w:fill="ffffff"/>
          <w:lang w:val="en-US" w:eastAsia="zh-CN" w:bidi="ar"/>
        </w:rPr>
        <w:t xml:space="preserve">具体服务期服从采购人要求，当年两季作业考核分均达到90分以上，在</w:t>
      </w:r>
      <w:r>
        <w:rPr>
          <w:rFonts w:hint="eastAsia" w:asciiTheme="minorEastAsia" w:hAnsiTheme="minorEastAsia" w:eastAsiaTheme="minorEastAsia" w:cstheme="minorEastAsia"/>
          <w:color w:val="auto"/>
          <w:sz w:val="24"/>
          <w:szCs w:val="24"/>
          <w:highlight w:val="none"/>
          <w:lang w:val="en-US" w:eastAsia="zh-CN"/>
        </w:rPr>
        <w:t xml:space="preserve">服务合同期满后经</w:t>
      </w:r>
      <w:r>
        <w:rPr>
          <w:rFonts w:hint="eastAsia" w:asciiTheme="minorEastAsia" w:hAnsiTheme="minorEastAsia" w:cstheme="minorEastAsia"/>
          <w:color w:val="auto"/>
          <w:sz w:val="24"/>
          <w:szCs w:val="24"/>
          <w:highlight w:val="none"/>
          <w:lang w:val="en-US" w:eastAsia="zh-CN"/>
        </w:rPr>
        <w:t xml:space="preserve">双方协商一致</w:t>
      </w:r>
      <w:r>
        <w:rPr>
          <w:rFonts w:hint="eastAsia" w:asciiTheme="minorEastAsia" w:hAnsiTheme="minorEastAsia" w:eastAsiaTheme="minorEastAsia" w:cstheme="minorEastAsia"/>
          <w:color w:val="auto"/>
          <w:sz w:val="24"/>
          <w:szCs w:val="24"/>
          <w:highlight w:val="none"/>
          <w:lang w:val="en-US" w:eastAsia="zh-CN"/>
        </w:rPr>
        <w:t xml:space="preserve">可续签合同，</w:t>
      </w:r>
      <w:r>
        <w:rPr>
          <w:rFonts w:hint="eastAsia" w:asciiTheme="minorEastAsia" w:hAnsiTheme="minorEastAsia" w:cstheme="minorEastAsia"/>
          <w:color w:val="auto"/>
          <w:sz w:val="24"/>
          <w:szCs w:val="24"/>
          <w:highlight w:val="none"/>
          <w:lang w:val="en-US" w:eastAsia="zh-CN"/>
        </w:rPr>
        <w:t xml:space="preserve">最多续签两次。</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9.本项目不接受联合体参与招标。</w:t>
      </w:r>
      <w:r/>
    </w:p>
    <w:p>
      <w:pPr>
        <w:pStyle w:val="88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二、申请人的资格要求：</w:t>
      </w:r>
      <w:bookmarkEnd w:id="7"/>
      <w:r/>
      <w:bookmarkEnd w:id="8"/>
      <w:r/>
      <w:bookmarkEnd w:id="9"/>
      <w:r/>
      <w:bookmarkEnd w:id="10"/>
      <w:r/>
      <w:bookmarkEnd w:id="11"/>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1.满足《中华人民共和国政府采购法》第二十二条规定，并提供下列材料：</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1.1法人或者其他组织的营业执照等证明文件，自然人的身份证明；</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1.2上一年度的财务状况报表（成立不满一年无需提供）；</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1.3</w:t>
      </w:r>
      <w:r>
        <w:rPr>
          <w:rFonts w:hint="eastAsia" w:asciiTheme="minorEastAsia" w:hAnsiTheme="minorEastAsia" w:eastAsiaTheme="minorEastAsia" w:cstheme="minorEastAsia"/>
          <w:color w:val="auto"/>
          <w:sz w:val="24"/>
          <w:szCs w:val="24"/>
          <w:highlight w:val="none"/>
        </w:rPr>
        <w:t xml:space="preserve">具备履行合同所必需的设备和专业技术能力的书面声明；</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rPr>
          <w:rFonts w:hint="eastAsia" w:asciiTheme="minorEastAsia" w:hAnsiTheme="minorEastAsia" w:eastAsiaTheme="minorEastAsia" w:cstheme="minorEastAsia"/>
          <w:color w:val="auto"/>
          <w:sz w:val="24"/>
          <w:szCs w:val="24"/>
          <w:highlight w:val="none"/>
          <w:lang w:val="en-US" w:eastAsia="zh-CN"/>
        </w:rPr>
        <w:t xml:space="preserve">4</w:t>
      </w:r>
      <w:r>
        <w:rPr>
          <w:rFonts w:hint="eastAsia" w:asciiTheme="minorEastAsia" w:hAnsiTheme="minorEastAsia" w:eastAsiaTheme="minorEastAsia" w:cstheme="minorEastAsia"/>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w:t>
      </w:r>
      <w:r>
        <w:rPr>
          <w:rFonts w:hint="eastAsia" w:asciiTheme="minorEastAsia" w:hAnsiTheme="minorEastAsia" w:eastAsiaTheme="minorEastAsia" w:cstheme="minorEastAsia"/>
          <w:color w:val="auto"/>
          <w:sz w:val="24"/>
          <w:szCs w:val="24"/>
          <w:highlight w:val="none"/>
        </w:rPr>
        <w:t xml:space="preserve">.5参加政府采购活动前3年内在经营活动中没有重大违法记录的书面声明。</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1.6法律、行政法规规定的其他条件。</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1.7</w:t>
      </w:r>
      <w:r>
        <w:rPr>
          <w:rFonts w:hint="eastAsia" w:asciiTheme="minorEastAsia" w:hAnsiTheme="minorEastAsia" w:eastAsiaTheme="minorEastAsia" w:cstheme="minorEastAsia"/>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 xml:space="preserve">1.8</w:t>
      </w:r>
      <w:r>
        <w:rPr>
          <w:rFonts w:hint="eastAsia" w:asciiTheme="minorEastAsia" w:hAnsiTheme="minorEastAsia" w:eastAsiaTheme="minorEastAsia" w:cstheme="minorEastAsia"/>
          <w:color w:val="auto"/>
          <w:sz w:val="24"/>
          <w:szCs w:val="24"/>
          <w:highlight w:val="none"/>
        </w:rPr>
        <w:t xml:space="preserve">单位负责人为同一人或者存在直接控股、管理关系的不同供应商，不得参加同一合同项下的政府采购活动。</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2</w:t>
      </w:r>
      <w:r>
        <w:rPr>
          <w:rFonts w:hint="eastAsia" w:asciiTheme="minorEastAsia" w:hAnsiTheme="minorEastAsia" w:eastAsiaTheme="minorEastAsia" w:cstheme="minorEastAsia"/>
          <w:color w:val="auto"/>
          <w:sz w:val="24"/>
          <w:szCs w:val="24"/>
          <w:highlight w:val="none"/>
          <w:lang w:val="en-US" w:eastAsia="zh-CN"/>
        </w:rPr>
        <w:t xml:space="preserve">.</w:t>
      </w:r>
      <w:r>
        <w:rPr>
          <w:rFonts w:hint="eastAsia" w:asciiTheme="minorEastAsia" w:hAnsiTheme="minorEastAsia" w:eastAsiaTheme="minorEastAsia" w:cstheme="minorEastAsia"/>
          <w:color w:val="auto"/>
          <w:sz w:val="24"/>
          <w:szCs w:val="24"/>
          <w:highlight w:val="none"/>
        </w:rPr>
        <w:t xml:space="preserve">落实政府采购政策需满足的资格要求：本项目为专门面向中小企业采购的项目,供应商必须为中小微企业，提供中小微企业声明函，不接受非中小型企业参与本项目投标</w:t>
      </w:r>
      <w:r>
        <w:rPr>
          <w:rFonts w:hint="eastAsia" w:asciiTheme="minorEastAsia" w:hAnsiTheme="minorEastAsia" w:cstheme="minorEastAsia"/>
          <w:color w:val="auto"/>
          <w:sz w:val="24"/>
          <w:szCs w:val="24"/>
          <w:highlight w:val="none"/>
          <w:lang w:eastAsia="zh-CN"/>
        </w:rPr>
        <w:t xml:space="preserve">。</w:t>
      </w:r>
      <w:r/>
    </w:p>
    <w:p>
      <w:pPr>
        <w:pStyle w:val="885"/>
        <w:ind w:firstLine="480"/>
        <w:jc w:val="both"/>
        <w:pageBreakBefore w:val="0"/>
        <w:spacing w:beforeAutospacing="0" w:afterAutospacing="0" w:line="42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3.</w:t>
      </w:r>
      <w:r>
        <w:rPr>
          <w:rFonts w:hint="eastAsia" w:asciiTheme="minorEastAsia" w:hAnsiTheme="minorEastAsia" w:eastAsiaTheme="minorEastAsia" w:cstheme="minorEastAsia"/>
          <w:color w:val="auto"/>
          <w:sz w:val="24"/>
          <w:szCs w:val="24"/>
          <w:highlight w:val="none"/>
        </w:rPr>
        <w:t xml:space="preserve">本项目的特定资格要求</w:t>
      </w:r>
      <w:r>
        <w:rPr>
          <w:rFonts w:hint="eastAsia" w:asciiTheme="minorEastAsia" w:hAnsiTheme="minorEastAsia" w:eastAsiaTheme="minorEastAsia" w:cstheme="minorEastAsia"/>
          <w:color w:val="auto"/>
          <w:sz w:val="24"/>
          <w:szCs w:val="24"/>
          <w:highlight w:val="none"/>
          <w:lang w:eastAsia="zh-CN"/>
        </w:rPr>
        <w:t xml:space="preserve">：</w:t>
      </w:r>
      <w:r>
        <w:rPr>
          <w:rFonts w:hint="eastAsia" w:asciiTheme="minorEastAsia" w:hAnsiTheme="minorEastAsia" w:cstheme="minorEastAsia"/>
          <w:color w:val="auto"/>
          <w:sz w:val="24"/>
          <w:szCs w:val="24"/>
          <w:highlight w:val="none"/>
          <w:lang w:val="en-US" w:eastAsia="zh-CN"/>
        </w:rPr>
        <w:t xml:space="preserve">无。</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三、获取招标文件</w:t>
      </w:r>
      <w:r/>
    </w:p>
    <w:p>
      <w:pPr>
        <w:pStyle w:val="885"/>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lang w:val="en-US" w:eastAsia="zh-CN"/>
        </w:rPr>
      </w:pPr>
      <w:r/>
      <w:bookmarkStart w:id="12" w:name="_Toc38985266"/>
      <w:r/>
      <w:bookmarkStart w:id="13" w:name="_Toc35393793"/>
      <w:r/>
      <w:bookmarkStart w:id="14" w:name="_Toc35393624"/>
      <w:r/>
      <w:bookmarkStart w:id="15" w:name="_Toc28359005"/>
      <w:r/>
      <w:bookmarkStart w:id="16" w:name="_Toc28359082"/>
      <w:r/>
      <w:bookmarkStart w:id="17" w:name="_Toc28359007"/>
      <w:r/>
      <w:bookmarkStart w:id="18" w:name="_Toc28359084"/>
      <w:r/>
      <w:bookmarkStart w:id="19" w:name="_Toc38985267"/>
      <w:r/>
      <w:bookmarkStart w:id="20" w:name="_Toc35393794"/>
      <w:r/>
      <w:bookmarkStart w:id="21" w:name="_Toc35393625"/>
      <w:r>
        <w:rPr>
          <w:rFonts w:hint="eastAsia" w:ascii="宋体" w:hAnsi="宋体" w:eastAsia="宋体" w:cs="宋体"/>
          <w:color w:val="auto"/>
          <w:sz w:val="24"/>
          <w:szCs w:val="24"/>
          <w:highlight w:val="none"/>
          <w:lang w:val="en-US" w:eastAsia="zh-CN"/>
        </w:rPr>
        <w:t xml:space="preserve">1.时间：</w:t>
      </w:r>
      <w:bookmarkEnd w:id="12"/>
      <w:r/>
      <w:bookmarkEnd w:id="13"/>
      <w:r/>
      <w:bookmarkEnd w:id="14"/>
      <w:r/>
      <w:bookmarkEnd w:id="15"/>
      <w:r/>
      <w:bookmarkEnd w:id="16"/>
      <w:r>
        <w:rPr>
          <w:rFonts w:hint="eastAsia" w:ascii="宋体" w:hAnsi="宋体" w:eastAsia="宋体" w:cs="宋体"/>
          <w:color w:val="auto"/>
          <w:sz w:val="24"/>
          <w:szCs w:val="24"/>
          <w:highlight w:val="none"/>
          <w:lang w:val="en-US" w:eastAsia="zh-CN"/>
        </w:rPr>
        <w:t xml:space="preserve">自招标文件公告发布之日起5个工作日。</w:t>
      </w:r>
      <w:r/>
    </w:p>
    <w:p>
      <w:pPr>
        <w:pStyle w:val="885"/>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2.地点：“苏采云”系统内免费下载（投标人必须在苏采云系统中获取采购文件，方能参与政府采购项目）；</w:t>
      </w:r>
      <w:r/>
    </w:p>
    <w:p>
      <w:pPr>
        <w:pStyle w:val="885"/>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3.方式：本项目采用网上注册登记方式。 </w:t>
      </w:r>
      <w:r/>
    </w:p>
    <w:p>
      <w:pPr>
        <w:pStyle w:val="885"/>
        <w:ind w:firstLine="498"/>
        <w:jc w:val="both"/>
        <w:keepLines/>
        <w:keepNext/>
        <w:pageBreakBefore w:val="0"/>
        <w:spacing w:before="145" w:beforeAutospacing="0" w:after="145" w:afterAutospacing="0"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4.售价：0元</w:t>
      </w:r>
      <w:r/>
    </w:p>
    <w:p>
      <w:pPr>
        <w:ind w:firstLine="480"/>
        <w:spacing w:line="560" w:lineRule="exact"/>
        <w:widowControl/>
        <w:rPr>
          <w:b/>
          <w:bCs/>
          <w:sz w:val="24"/>
          <w:szCs w:val="20"/>
        </w:rPr>
      </w:pPr>
      <w:r>
        <w:rPr>
          <w:rFonts w:hint="eastAsia" w:asciiTheme="minorEastAsia" w:hAnsiTheme="minorEastAsia" w:eastAsiaTheme="minorEastAsia" w:cstheme="minorEastAsia"/>
          <w:b/>
          <w:color w:val="auto"/>
          <w:sz w:val="24"/>
          <w:szCs w:val="24"/>
          <w:highlight w:val="none"/>
          <w:lang w:val="en-US" w:eastAsia="zh-CN"/>
        </w:rPr>
        <w:t xml:space="preserve">四、</w:t>
      </w:r>
      <w:r>
        <w:rPr>
          <w:rFonts w:hint="eastAsia" w:ascii="宋体" w:hAnsi="宋体" w:eastAsia="宋体" w:cs="宋体"/>
          <w:b/>
          <w:bCs/>
          <w:sz w:val="24"/>
          <w:szCs w:val="20"/>
        </w:rPr>
        <w:t xml:space="preserve">提交投标文件截止时间、开标时间和地点</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1.时间：2025年6月9日9点00分（北京时间）</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color w:val="auto"/>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2.地点：苏采云“不见面”开标大厅 。</w:t>
      </w:r>
      <w:r/>
    </w:p>
    <w:p>
      <w:pPr>
        <w:pStyle w:val="88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五、公告期限</w:t>
      </w:r>
      <w:bookmarkEnd w:id="17"/>
      <w:r/>
      <w:bookmarkEnd w:id="18"/>
      <w:r/>
      <w:bookmarkEnd w:id="19"/>
      <w:r/>
      <w:bookmarkEnd w:id="20"/>
      <w:r/>
      <w:bookmarkEnd w:id="21"/>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2" w:name="_Toc35393626"/>
      <w:r/>
      <w:bookmarkStart w:id="23" w:name="_Toc35393795"/>
      <w:r/>
      <w:bookmarkStart w:id="24" w:name="_Toc38985268"/>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自本公告发布之日起5个工作日。</w:t>
      </w:r>
      <w:bookmarkEnd w:id="22"/>
      <w:r/>
      <w:bookmarkEnd w:id="23"/>
      <w:r/>
      <w:bookmarkEnd w:id="24"/>
      <w:r/>
      <w:r/>
    </w:p>
    <w:p>
      <w:pPr>
        <w:pStyle w:val="885"/>
        <w:ind w:firstLine="498"/>
        <w:jc w:val="both"/>
        <w:keepLines/>
        <w:keepNext/>
        <w:pageBreakBefore w:val="0"/>
        <w:spacing w:before="145" w:beforeAutospacing="0" w:after="145" w:afterAutospacing="0" w:line="42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六、其他补充事宜</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5" w:name="_Toc28359018"/>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 潜在供应商访问电子招标响应交易平台的网络地址和方法：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2.2 潜在投标人访问“苏采云”系统方法：江苏省政府采购网首页-“苏采云”链接。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2.3 采购文件（后缀名为“.kedt”）、供应商操作手册及政府采购客户端 工具可通过“苏采云”系统相应链接进行下载。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2.4 采购代理机构将数据电文形式的采购文件加载至“苏采云”系统，供潜在供应商下载或者查阅。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2.5 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如潜在投标人未按上述要求操作，将自行承担所产生的风险。</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3.有关本次招标的事项若存在变动或修改，敬请及时关注盐城市政府采购中心在“中国政府采购网”、“江苏政府采购网”、“盐城市政府采购网”发布的更正公告。</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4.本次招标不收取投标保证金，不收取质量保证金。</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5.监督举报电话信息</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联系人：盐南高新区纪检监察工委信访室</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联系方式：0515-66661555</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6.政府采购投诉电话信息</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联系人：盐南高新区财政金融局政府采购科</w:t>
      </w:r>
      <w:r/>
    </w:p>
    <w:p>
      <w:pPr>
        <w:pStyle w:val="885"/>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rPr>
        <w:t xml:space="preserve">联系方式：0515-69938599</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 xml:space="preserve">七、对本次招标提出询问，请按以下方式联系。</w:t>
      </w:r>
      <w:bookmarkEnd w:id="25"/>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bookmarkStart w:id="26" w:name="_Toc28359009"/>
      <w:r>
        <w:rPr>
          <w:rFonts w:hint="eastAsia" w:asciiTheme="minorEastAsia" w:hAnsiTheme="minorEastAsia" w:eastAsiaTheme="minorEastAsia" w:cstheme="minorEastAsia"/>
          <w:color w:val="auto"/>
          <w:sz w:val="24"/>
          <w:szCs w:val="24"/>
          <w:highlight w:val="none"/>
          <w:lang w:val="en-US" w:eastAsia="zh-CN"/>
        </w:rPr>
        <w:t xml:space="preserve">1.采购人信息</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江苏省盐南高新技术产业开发区伍佑街道办事处</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址：江苏省盐南高新技术产业开发区伍佑街道伍佑东路20号</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7" w:name="_Toc28359020"/>
      <w:r/>
      <w:bookmarkStart w:id="28" w:name="_Toc28359097"/>
      <w:r/>
      <w:bookmarkStart w:id="29" w:name="_Toc35393638"/>
      <w:r/>
      <w:bookmarkStart w:id="30" w:name="_Toc35393807"/>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蔡主任</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w:t>
      </w:r>
      <w:r>
        <w:rPr>
          <w:rFonts w:hint="eastAsia" w:ascii="宋体" w:hAnsi="宋体" w:cs="宋体"/>
          <w:color w:val="auto"/>
          <w:sz w:val="24"/>
          <w:highlight w:val="none"/>
        </w:rPr>
        <w:t xml:space="preserve">17605253385</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2.采购代理机构信息</w:t>
      </w:r>
      <w:bookmarkEnd w:id="27"/>
      <w:r/>
      <w:bookmarkEnd w:id="28"/>
      <w:r/>
      <w:bookmarkEnd w:id="29"/>
      <w:r/>
      <w:bookmarkEnd w:id="30"/>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名    称：盐城建信造价工程师事务所有限公司</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地　　址：盐城市人民中路5号鹿鸣广场商办楼9F</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人：陆</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先生</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联系电话：19962361001</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3.项目联系方式</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 系 人：</w:t>
      </w:r>
      <w:r>
        <w:rPr>
          <w:rFonts w:hint="eastAsia" w:asciiTheme="minorEastAsia" w:hAnsiTheme="minorEastAsia" w:cstheme="minorEastAsia"/>
          <w:i w:val="0"/>
          <w:iCs w:val="0"/>
          <w:caps w:val="0"/>
          <w:color w:val="auto"/>
          <w:spacing w:val="0"/>
          <w:sz w:val="24"/>
          <w:szCs w:val="24"/>
          <w:highlight w:val="none"/>
          <w:shd w:val="clear" w:color="auto" w:fill="ffffff"/>
          <w:lang w:val="en-US" w:eastAsia="zh-CN"/>
        </w:rPr>
        <w:t xml:space="preserve">蔡主任</w:t>
      </w:r>
      <w:r/>
    </w:p>
    <w:p>
      <w:pPr>
        <w:pStyle w:val="885"/>
        <w:ind w:left="0" w:right="0" w:firstLine="560"/>
        <w:jc w:val="both"/>
        <w:keepLines w:val="0"/>
        <w:keepNext w:val="0"/>
        <w:pageBreakBefore w:val="0"/>
        <w:spacing w:before="0" w:beforeAutospacing="0" w:after="0" w:afterAutospacing="0" w:line="420" w:lineRule="exact"/>
        <w:shd w:val="clear" w:color="auto" w:fill="ffffff"/>
        <w:widowControl/>
        <w:rPr>
          <w:rFonts w:hint="default"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i w:val="0"/>
          <w:iCs w:val="0"/>
          <w:caps w:val="0"/>
          <w:color w:val="auto"/>
          <w:spacing w:val="0"/>
          <w:sz w:val="24"/>
          <w:szCs w:val="24"/>
          <w:highlight w:val="none"/>
          <w:shd w:val="clear" w:color="auto" w:fill="ffffff"/>
          <w:lang w:val="en-US" w:eastAsia="zh-CN"/>
        </w:rPr>
        <w:t xml:space="preserve">联系电话：</w:t>
      </w:r>
      <w:r>
        <w:rPr>
          <w:rFonts w:hint="eastAsia" w:ascii="宋体" w:hAnsi="宋体" w:cs="宋体"/>
          <w:color w:val="auto"/>
          <w:sz w:val="24"/>
          <w:highlight w:val="none"/>
        </w:rPr>
        <w:t xml:space="preserve">17605253385</w:t>
      </w:r>
      <w:r/>
    </w:p>
    <w:p>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p>
    <w:p>
      <w:pPr>
        <w:pStyle w:val="885"/>
        <w:ind w:right="840"/>
        <w:jc w:val="both"/>
        <w:spacing w:beforeAutospacing="0" w:afterAutospacing="0"/>
        <w:rPr>
          <w:rFonts w:hint="eastAsia" w:asciiTheme="minorEastAsia" w:hAnsiTheme="minorEastAsia" w:eastAsiaTheme="minorEastAsia" w:cstheme="minorEastAsia"/>
          <w:b/>
          <w:color w:val="auto"/>
          <w:sz w:val="44"/>
          <w:szCs w:val="44"/>
          <w:highlight w:val="none"/>
        </w:rPr>
        <w:outlineLvl w:val="0"/>
      </w:pPr>
      <w:r/>
      <w:bookmarkStart w:id="31" w:name="_Toc120614211"/>
      <w:r/>
      <w:bookmarkStart w:id="32" w:name="_Toc12855"/>
      <w:r/>
      <w:r/>
    </w:p>
    <w:p>
      <w:pPr>
        <w:rPr>
          <w:rFonts w:hint="eastAsia" w:asciiTheme="minorEastAsia" w:hAnsiTheme="minorEastAsia" w:eastAsiaTheme="minorEastAsia" w:cstheme="minorEastAsia"/>
          <w:b/>
          <w:color w:val="auto"/>
          <w:sz w:val="44"/>
          <w:szCs w:val="44"/>
          <w:highlight w:val="none"/>
        </w:rPr>
      </w:pPr>
      <w:r>
        <w:rPr>
          <w:rFonts w:hint="eastAsia" w:asciiTheme="minorEastAsia" w:hAnsiTheme="minorEastAsia" w:eastAsiaTheme="minorEastAsia" w:cstheme="minorEastAsia"/>
          <w:b/>
          <w:color w:val="auto"/>
          <w:sz w:val="44"/>
          <w:szCs w:val="44"/>
          <w:highlight w:val="none"/>
        </w:rPr>
        <w:br w:type="page" w:clear="all"/>
      </w:r>
      <w:r/>
    </w:p>
    <w:p>
      <w:pPr>
        <w:pStyle w:val="885"/>
        <w:ind w:right="840"/>
        <w:jc w:val="center"/>
        <w:spacing w:beforeAutospacing="0" w:afterAutospacing="0"/>
        <w:rPr>
          <w:rFonts w:hint="eastAsia"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b/>
          <w:color w:val="auto"/>
          <w:sz w:val="44"/>
          <w:szCs w:val="44"/>
          <w:highlight w:val="none"/>
        </w:rPr>
        <w:t xml:space="preserve">第二章  </w:t>
      </w:r>
      <w:bookmarkEnd w:id="31"/>
      <w:r/>
      <w:bookmarkStart w:id="33" w:name="_Toc120614213"/>
      <w:r/>
      <w:bookmarkStart w:id="34" w:name="_Toc16938518"/>
      <w:r/>
      <w:bookmarkStart w:id="35" w:name="_Toc20823274"/>
      <w:r/>
      <w:bookmarkStart w:id="36" w:name="_Toc513029202"/>
      <w:r>
        <w:rPr>
          <w:rFonts w:hint="eastAsia" w:asciiTheme="minorEastAsia" w:hAnsiTheme="minorEastAsia" w:eastAsiaTheme="minorEastAsia" w:cstheme="minorEastAsia"/>
          <w:b/>
          <w:color w:val="auto"/>
          <w:sz w:val="44"/>
          <w:szCs w:val="44"/>
          <w:highlight w:val="none"/>
        </w:rPr>
        <w:t xml:space="preserve">投标人须知</w:t>
      </w:r>
      <w:bookmarkEnd w:id="32"/>
      <w:r/>
      <w:bookmarkEnd w:id="33"/>
      <w:r/>
      <w:bookmarkEnd w:id="34"/>
      <w:r/>
      <w:bookmarkEnd w:id="35"/>
      <w:r/>
      <w:bookmarkEnd w:id="36"/>
      <w:r/>
      <w:r/>
    </w:p>
    <w:p>
      <w:pPr>
        <w:pStyle w:val="885"/>
        <w:ind w:firstLine="498"/>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37" w:name="_Toc16938519"/>
      <w:r/>
      <w:bookmarkStart w:id="38" w:name="_Toc20823275"/>
      <w:r/>
      <w:bookmarkStart w:id="39" w:name="_Toc513029203"/>
      <w:r/>
      <w:bookmarkStart w:id="40" w:name="_Toc120614214"/>
      <w:r>
        <w:rPr>
          <w:rFonts w:hint="eastAsia" w:asciiTheme="minorEastAsia" w:hAnsiTheme="minorEastAsia" w:eastAsiaTheme="minorEastAsia" w:cstheme="minorEastAsia"/>
          <w:b/>
          <w:color w:val="auto"/>
          <w:sz w:val="32"/>
          <w:szCs w:val="32"/>
          <w:highlight w:val="none"/>
        </w:rPr>
        <w:t xml:space="preserve">一、总则</w:t>
      </w:r>
      <w:bookmarkEnd w:id="37"/>
      <w:r/>
      <w:bookmarkEnd w:id="38"/>
      <w:r/>
      <w:bookmarkEnd w:id="39"/>
      <w:r/>
      <w:bookmarkEnd w:id="40"/>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41" w:name="_Toc16938520"/>
      <w:r/>
      <w:bookmarkStart w:id="42" w:name="_Toc513029204"/>
      <w:r/>
      <w:bookmarkStart w:id="43" w:name="_Toc20823276"/>
      <w:r/>
      <w:bookmarkStart w:id="44" w:name="_Toc458694821"/>
      <w:r/>
      <w:bookmarkStart w:id="45" w:name="_Hlt16619475"/>
      <w:r>
        <w:rPr>
          <w:rFonts w:hint="eastAsia" w:asciiTheme="minorEastAsia" w:hAnsiTheme="minorEastAsia" w:eastAsiaTheme="minorEastAsia" w:cstheme="minorEastAsia"/>
          <w:color w:val="auto"/>
          <w:sz w:val="28"/>
          <w:szCs w:val="28"/>
          <w:highlight w:val="none"/>
        </w:rPr>
        <w:t xml:space="preserve">1</w:t>
      </w:r>
      <w:bookmarkEnd w:id="41"/>
      <w:r>
        <w:rPr>
          <w:rFonts w:hint="eastAsia" w:asciiTheme="minorEastAsia" w:hAnsiTheme="minorEastAsia" w:eastAsiaTheme="minorEastAsia" w:cstheme="minorEastAsia"/>
          <w:color w:val="auto"/>
          <w:sz w:val="28"/>
          <w:szCs w:val="28"/>
          <w:highlight w:val="none"/>
        </w:rPr>
        <w:t xml:space="preserve">、招标方式</w:t>
      </w:r>
      <w:bookmarkEnd w:id="42"/>
      <w:r/>
      <w:bookmarkEnd w:id="43"/>
      <w:r/>
      <w:bookmarkEnd w:id="44"/>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1.1本次招标采取公开招标方式，本招标文件仅适用于招标公告中所述项目。</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46" w:name="_Toc20823277"/>
      <w:r/>
      <w:bookmarkStart w:id="47" w:name="_Toc16938521"/>
      <w:r/>
      <w:bookmarkStart w:id="48" w:name="_Toc513029205"/>
      <w:r>
        <w:rPr>
          <w:rFonts w:hint="eastAsia" w:asciiTheme="minorEastAsia" w:hAnsiTheme="minorEastAsia" w:eastAsiaTheme="minorEastAsia" w:cstheme="minorEastAsia"/>
          <w:color w:val="auto"/>
          <w:sz w:val="28"/>
          <w:szCs w:val="28"/>
          <w:highlight w:val="none"/>
        </w:rPr>
        <w:t xml:space="preserve">2、合格的投标人</w:t>
      </w:r>
      <w:bookmarkEnd w:id="46"/>
      <w:r/>
      <w:bookmarkEnd w:id="47"/>
      <w:r/>
      <w:bookmarkEnd w:id="48"/>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2.1满足招标公告中供应商的资格要求的规定。</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2.2满足本文件实质性要求和条件的规定。</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49" w:name="_Toc20823278"/>
      <w:r/>
      <w:bookmarkStart w:id="50" w:name="_Toc16938522"/>
      <w:r/>
      <w:bookmarkStart w:id="51" w:name="_Toc513029206"/>
      <w:r>
        <w:rPr>
          <w:rFonts w:hint="eastAsia" w:asciiTheme="minorEastAsia" w:hAnsiTheme="minorEastAsia" w:eastAsiaTheme="minorEastAsia" w:cstheme="minorEastAsia"/>
          <w:color w:val="auto"/>
          <w:sz w:val="28"/>
          <w:szCs w:val="28"/>
          <w:highlight w:val="none"/>
        </w:rPr>
        <w:t xml:space="preserve">3、适用法律</w:t>
      </w:r>
      <w:bookmarkEnd w:id="49"/>
      <w:r/>
      <w:bookmarkEnd w:id="50"/>
      <w:r/>
      <w:bookmarkEnd w:id="51"/>
      <w:r/>
      <w:r/>
    </w:p>
    <w:p>
      <w:pPr>
        <w:pStyle w:val="885"/>
        <w:ind w:firstLine="42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3.1本次招标及由此产生的合同受中华人民共和国有关的法律法规制约和保护。</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52" w:name="_Toc20823279"/>
      <w:r/>
      <w:bookmarkStart w:id="53" w:name="_Toc16938523"/>
      <w:r/>
      <w:bookmarkStart w:id="54" w:name="_Toc513029207"/>
      <w:r/>
      <w:bookmarkStart w:id="55" w:name="_Toc462564067"/>
      <w:r>
        <w:rPr>
          <w:rFonts w:hint="eastAsia" w:asciiTheme="minorEastAsia" w:hAnsiTheme="minorEastAsia" w:eastAsiaTheme="minorEastAsia" w:cstheme="minorEastAsia"/>
          <w:color w:val="auto"/>
          <w:sz w:val="28"/>
          <w:szCs w:val="28"/>
          <w:highlight w:val="none"/>
        </w:rPr>
        <w:t xml:space="preserve">4、投标费用</w:t>
      </w:r>
      <w:bookmarkEnd w:id="52"/>
      <w:r/>
      <w:bookmarkEnd w:id="53"/>
      <w:r/>
      <w:bookmarkEnd w:id="54"/>
      <w:r/>
      <w:bookmarkEnd w:id="55"/>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highlight w:val="none"/>
        </w:rPr>
        <w:t xml:space="preserve">4.1</w:t>
      </w:r>
      <w:r>
        <w:rPr>
          <w:rFonts w:hint="eastAsia" w:asciiTheme="minorEastAsia" w:hAnsiTheme="minorEastAsia" w:eastAsiaTheme="minorEastAsia" w:cstheme="minorEastAsia"/>
          <w:color w:val="auto"/>
          <w:sz w:val="24"/>
          <w:szCs w:val="24"/>
          <w:highlight w:val="none"/>
        </w:rPr>
        <w:t xml:space="preserve">投标人应自行承担所有与参加投标有关的费用，无论投标过程中的做法和结果如何，采购人在任何情况下均无义务和责任承担这些费用。</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5、招标文件的约束力</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5.1投标人一旦参加本项目采购活动，即被认为接受了本招标文件的规定和约束。</w:t>
      </w:r>
      <w:r/>
    </w:p>
    <w:p>
      <w:pPr>
        <w:pStyle w:val="885"/>
        <w:ind w:firstLine="321"/>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56" w:name="_Toc20823281"/>
      <w:r/>
      <w:bookmarkStart w:id="57" w:name="_Toc513029209"/>
      <w:r/>
      <w:bookmarkStart w:id="58" w:name="_Toc120614215"/>
      <w:r/>
      <w:bookmarkStart w:id="59" w:name="_Toc16938525"/>
      <w:r>
        <w:rPr>
          <w:rFonts w:hint="eastAsia" w:asciiTheme="minorEastAsia" w:hAnsiTheme="minorEastAsia" w:eastAsiaTheme="minorEastAsia" w:cstheme="minorEastAsia"/>
          <w:b/>
          <w:color w:val="auto"/>
          <w:sz w:val="32"/>
          <w:szCs w:val="32"/>
          <w:highlight w:val="none"/>
        </w:rPr>
        <w:t xml:space="preserve">二、招标文件</w:t>
      </w:r>
      <w:bookmarkEnd w:id="56"/>
      <w:r/>
      <w:bookmarkEnd w:id="57"/>
      <w:r/>
      <w:bookmarkEnd w:id="58"/>
      <w:r/>
      <w:bookmarkEnd w:id="59"/>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0" w:name="_Toc20823282"/>
      <w:r/>
      <w:bookmarkStart w:id="61" w:name="_Toc16938526"/>
      <w:r/>
      <w:bookmarkStart w:id="62" w:name="_Toc513029210"/>
      <w:r>
        <w:rPr>
          <w:rFonts w:hint="eastAsia" w:asciiTheme="minorEastAsia" w:hAnsiTheme="minorEastAsia" w:eastAsiaTheme="minorEastAsia" w:cstheme="minorEastAsia"/>
          <w:color w:val="auto"/>
          <w:sz w:val="28"/>
          <w:szCs w:val="28"/>
          <w:highlight w:val="none"/>
        </w:rPr>
        <w:t xml:space="preserve">6、招标文件构成</w:t>
      </w:r>
      <w:bookmarkEnd w:id="60"/>
      <w:r/>
      <w:bookmarkEnd w:id="61"/>
      <w:r/>
      <w:bookmarkEnd w:id="62"/>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6.1 招标文件由以下部分组成：</w:t>
      </w:r>
      <w:r/>
    </w:p>
    <w:p>
      <w:pPr>
        <w:pStyle w:val="88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rPr>
        <w:t xml:space="preserve">（1）</w:t>
      </w:r>
      <w:r>
        <w:rPr>
          <w:rFonts w:hint="eastAsia" w:asciiTheme="minorEastAsia" w:hAnsiTheme="minorEastAsia" w:eastAsiaTheme="minorEastAsia" w:cstheme="minorEastAsia"/>
          <w:color w:val="auto"/>
          <w:highlight w:val="none"/>
          <w:lang w:val="en-US" w:eastAsia="zh-CN"/>
        </w:rPr>
        <w:t xml:space="preserve">招标公告</w:t>
      </w:r>
      <w:r/>
    </w:p>
    <w:p>
      <w:pPr>
        <w:pStyle w:val="88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（2）投标人须知</w:t>
      </w:r>
      <w:r/>
    </w:p>
    <w:p>
      <w:pPr>
        <w:pStyle w:val="88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（3）合同文本</w:t>
      </w:r>
      <w:r/>
    </w:p>
    <w:p>
      <w:pPr>
        <w:pStyle w:val="88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（4）采购需求</w:t>
      </w:r>
      <w:r/>
    </w:p>
    <w:p>
      <w:pPr>
        <w:pStyle w:val="88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（5）评标方法与评标标准</w:t>
      </w:r>
      <w:r/>
    </w:p>
    <w:p>
      <w:pPr>
        <w:pStyle w:val="88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（6）投标文件格式</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请仔细检查招标文件是否齐全，如有缺漏请立即与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联系解决。</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8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3" w:name="_Toc20823283"/>
      <w:r/>
      <w:bookmarkStart w:id="64" w:name="_Toc462564070"/>
      <w:r/>
      <w:bookmarkStart w:id="65" w:name="_Toc513029211"/>
      <w:r/>
      <w:bookmarkStart w:id="66" w:name="_Toc16938527"/>
      <w:r>
        <w:rPr>
          <w:rFonts w:hint="eastAsia" w:asciiTheme="minorEastAsia" w:hAnsiTheme="minorEastAsia" w:eastAsiaTheme="minorEastAsia" w:cstheme="minorEastAsia"/>
          <w:color w:val="auto"/>
          <w:sz w:val="28"/>
          <w:szCs w:val="28"/>
          <w:highlight w:val="none"/>
        </w:rPr>
        <w:t xml:space="preserve">7、招标文件的澄清</w:t>
      </w:r>
      <w:bookmarkEnd w:id="63"/>
      <w:r/>
      <w:bookmarkEnd w:id="64"/>
      <w:r/>
      <w:bookmarkEnd w:id="65"/>
      <w:r/>
      <w:bookmarkEnd w:id="66"/>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7.1任何要求对招标文件进行澄清的投标人，应在投标截止期</w:t>
      </w:r>
      <w:r>
        <w:rPr>
          <w:rFonts w:hint="eastAsia" w:asciiTheme="minorEastAsia" w:hAnsiTheme="minorEastAsia" w:eastAsiaTheme="minorEastAsia" w:cstheme="minorEastAsia"/>
          <w:b/>
          <w:color w:val="auto"/>
          <w:highlight w:val="none"/>
        </w:rPr>
        <w:t xml:space="preserve">十日</w:t>
      </w:r>
      <w:r>
        <w:rPr>
          <w:rFonts w:hint="eastAsia" w:asciiTheme="minorEastAsia" w:hAnsiTheme="minorEastAsia" w:eastAsiaTheme="minorEastAsia" w:cstheme="minorEastAsia"/>
          <w:color w:val="auto"/>
          <w:highlight w:val="none"/>
        </w:rPr>
        <w:t xml:space="preserve">前按招标公告中的通讯地址，以书面形式通知</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w:t>
      </w:r>
      <w:r/>
    </w:p>
    <w:p>
      <w:pPr>
        <w:pStyle w:val="88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67" w:name="_Toc20823284"/>
      <w:r/>
      <w:bookmarkStart w:id="68" w:name="_Toc16938528"/>
      <w:r/>
      <w:bookmarkStart w:id="69" w:name="_Toc462564071"/>
      <w:r/>
      <w:bookmarkStart w:id="70" w:name="_Toc513029212"/>
      <w:r>
        <w:rPr>
          <w:rFonts w:hint="eastAsia" w:asciiTheme="minorEastAsia" w:hAnsiTheme="minorEastAsia" w:eastAsiaTheme="minorEastAsia" w:cstheme="minorEastAsia"/>
          <w:color w:val="auto"/>
          <w:sz w:val="28"/>
          <w:szCs w:val="28"/>
          <w:highlight w:val="none"/>
        </w:rPr>
        <w:t xml:space="preserve">8、招标文件的修改</w:t>
      </w:r>
      <w:bookmarkEnd w:id="67"/>
      <w:r/>
      <w:bookmarkEnd w:id="68"/>
      <w:r/>
      <w:bookmarkEnd w:id="69"/>
      <w:r/>
      <w:bookmarkEnd w:id="70"/>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8.1在投标截止时间前，</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可以对招标文件进行修改。</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有权按照法定的要求推迟投标截止日期和开标日期。</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8.3招标文件的修改将在</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rPr>
        <w:t xml:space="preserve">盐城市政府采购网公布，补充文件将作为招标文件的组成部分，并对投标人具有约束力。</w:t>
      </w:r>
      <w:r/>
    </w:p>
    <w:p>
      <w:pPr>
        <w:pStyle w:val="88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71" w:name="_Toc16938529"/>
      <w:r/>
      <w:bookmarkStart w:id="72" w:name="_Toc120614216"/>
      <w:r/>
      <w:bookmarkStart w:id="73" w:name="_Toc462564072"/>
      <w:r/>
      <w:bookmarkStart w:id="74" w:name="_Toc20823285"/>
      <w:r/>
      <w:bookmarkStart w:id="75" w:name="_Toc513029213"/>
      <w:r>
        <w:rPr>
          <w:rFonts w:hint="eastAsia" w:asciiTheme="minorEastAsia" w:hAnsiTheme="minorEastAsia" w:eastAsiaTheme="minorEastAsia" w:cstheme="minorEastAsia"/>
          <w:b/>
          <w:color w:val="auto"/>
          <w:sz w:val="32"/>
          <w:szCs w:val="32"/>
          <w:highlight w:val="none"/>
        </w:rPr>
        <w:t xml:space="preserve">三、投标文件的编制</w:t>
      </w:r>
      <w:bookmarkEnd w:id="71"/>
      <w:r/>
      <w:bookmarkEnd w:id="72"/>
      <w:r/>
      <w:bookmarkEnd w:id="73"/>
      <w:r/>
      <w:bookmarkEnd w:id="74"/>
      <w:r/>
      <w:bookmarkEnd w:id="75"/>
      <w:r/>
      <w:r/>
    </w:p>
    <w:p>
      <w:pPr>
        <w:pStyle w:val="88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76" w:name="_Toc513029214"/>
      <w:r/>
      <w:bookmarkStart w:id="77" w:name="_Toc20823286"/>
      <w:r/>
      <w:bookmarkStart w:id="78" w:name="_Toc16938530"/>
      <w:r/>
      <w:bookmarkStart w:id="79" w:name="_Toc462564073"/>
      <w:r>
        <w:rPr>
          <w:rFonts w:hint="eastAsia" w:asciiTheme="minorEastAsia" w:hAnsiTheme="minorEastAsia" w:eastAsiaTheme="minorEastAsia" w:cstheme="minorEastAsia"/>
          <w:color w:val="auto"/>
          <w:sz w:val="28"/>
          <w:szCs w:val="28"/>
          <w:highlight w:val="none"/>
        </w:rPr>
        <w:t xml:space="preserve">9、投标文件的语言及度量衡单位</w:t>
      </w:r>
      <w:bookmarkEnd w:id="76"/>
      <w:r/>
      <w:bookmarkEnd w:id="77"/>
      <w:r/>
      <w:bookmarkEnd w:id="78"/>
      <w:r/>
      <w:bookmarkEnd w:id="79"/>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9.1投标人提交的投标文件以及投标人与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就有关投标的所有来往通知、函件和文件均应使用</w:t>
      </w:r>
      <w:r>
        <w:rPr>
          <w:rFonts w:hint="eastAsia" w:asciiTheme="minorEastAsia" w:hAnsiTheme="minorEastAsia" w:eastAsiaTheme="minorEastAsia" w:cstheme="minorEastAsia"/>
          <w:b/>
          <w:color w:val="auto"/>
          <w:highlight w:val="none"/>
        </w:rPr>
        <w:t xml:space="preserve">简体中文</w:t>
      </w:r>
      <w:r>
        <w:rPr>
          <w:rFonts w:hint="eastAsia" w:asciiTheme="minorEastAsia" w:hAnsiTheme="minorEastAsia" w:eastAsiaTheme="minorEastAsia" w:cstheme="minorEastAsia"/>
          <w:color w:val="auto"/>
          <w:highlight w:val="none"/>
        </w:rPr>
        <w:t xml:space="preserve">。</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9.2除技术性能另有规定外，投标文件所使用的度量衡单位，均须采用国家法定计量单位。</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0" w:name="_Toc462564074"/>
      <w:r/>
      <w:bookmarkStart w:id="81" w:name="_Toc16938531"/>
      <w:r/>
      <w:bookmarkStart w:id="82" w:name="_Toc20823287"/>
      <w:r/>
      <w:bookmarkStart w:id="83" w:name="_Toc513029215"/>
      <w:r>
        <w:rPr>
          <w:rFonts w:hint="eastAsia" w:asciiTheme="minorEastAsia" w:hAnsiTheme="minorEastAsia" w:eastAsiaTheme="minorEastAsia" w:cstheme="minorEastAsia"/>
          <w:color w:val="auto"/>
          <w:sz w:val="28"/>
          <w:szCs w:val="28"/>
          <w:highlight w:val="none"/>
        </w:rPr>
        <w:t xml:space="preserve">10、投标文件构成</w:t>
      </w:r>
      <w:bookmarkEnd w:id="80"/>
      <w:r/>
      <w:bookmarkEnd w:id="81"/>
      <w:r/>
      <w:bookmarkEnd w:id="82"/>
      <w:r/>
      <w:bookmarkEnd w:id="83"/>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10.1投标人编写的投标文件应包括资格证明文件、符合性证明文件、投标分项报价表、技术要求响应及偏离表、商务要求响应及偏离表、其他证明文件、投标函、开标一览表等部分。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10.2如标书制作工具中格式和内容与</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“江苏政府采购网”、“盐城市政府采购网”发布的招标文件不一致，请以</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“江苏政府采购网”、“盐城市政府采购网”发布的招标文件为准。</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84" w:name="_Toc14577357"/>
      <w:r/>
      <w:bookmarkStart w:id="85" w:name="_Toc49090507"/>
      <w:r/>
      <w:bookmarkStart w:id="86" w:name="_Toc14577354"/>
      <w:r/>
      <w:bookmarkStart w:id="87" w:name="_Toc49090509"/>
      <w:r/>
      <w:bookmarkStart w:id="88" w:name="_Toc513029219"/>
      <w:r/>
      <w:bookmarkStart w:id="89" w:name="_Toc513029216"/>
      <w:r/>
      <w:bookmarkStart w:id="90" w:name="_Hlt26668975"/>
      <w:r/>
      <w:bookmarkStart w:id="91" w:name="_Hlt26954838"/>
      <w:r/>
      <w:bookmarkStart w:id="92" w:name="_Hlt26670360"/>
      <w:r>
        <w:rPr>
          <w:rFonts w:hint="eastAsia" w:asciiTheme="minorEastAsia" w:hAnsiTheme="minorEastAsia" w:eastAsiaTheme="minorEastAsia" w:cstheme="minorEastAsia"/>
          <w:color w:val="auto"/>
          <w:sz w:val="28"/>
          <w:szCs w:val="28"/>
          <w:highlight w:val="none"/>
        </w:rPr>
        <w:t xml:space="preserve">11、证明投标人及投标标的符合招标文件规定的文件</w:t>
      </w:r>
      <w:bookmarkEnd w:id="84"/>
      <w:r/>
      <w:bookmarkEnd w:id="85"/>
      <w:r/>
      <w:bookmarkEnd w:id="86"/>
      <w:r/>
      <w:bookmarkEnd w:id="87"/>
      <w:r/>
      <w:bookmarkEnd w:id="88"/>
      <w:r/>
      <w:bookmarkEnd w:id="89"/>
      <w:r/>
      <w:r/>
    </w:p>
    <w:p>
      <w:pPr>
        <w:pStyle w:val="88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3" w:name="_Toc14577355"/>
      <w:r/>
      <w:bookmarkStart w:id="94" w:name="_Toc49090508"/>
      <w:r>
        <w:rPr>
          <w:rFonts w:hint="eastAsia" w:asciiTheme="minorEastAsia" w:hAnsiTheme="minorEastAsia" w:eastAsiaTheme="minorEastAsia" w:cstheme="minorEastAsia"/>
          <w:color w:val="auto"/>
          <w:highlight w:val="none"/>
        </w:rPr>
        <w:t xml:space="preserve">  11.1投标人应按照法律、法规、规章和规范性文件以及招标文件要求提交证明文件，证明其及投标标的符合招标文件规定。</w:t>
      </w:r>
      <w:bookmarkEnd w:id="93"/>
      <w:r/>
      <w:bookmarkEnd w:id="94"/>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11.2招标文件对证明文件无明确形式要求的，证明文件可以以文字资料、图纸和数据等形式提交。</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12、投标分项报价</w:t>
      </w:r>
      <w:bookmarkStart w:id="95" w:name="_Hlt26670373"/>
      <w:r>
        <w:rPr>
          <w:rFonts w:hint="eastAsia" w:asciiTheme="minorEastAsia" w:hAnsiTheme="minorEastAsia" w:eastAsiaTheme="minorEastAsia" w:cstheme="minorEastAsia"/>
          <w:color w:val="auto"/>
          <w:sz w:val="28"/>
          <w:szCs w:val="28"/>
          <w:highlight w:val="none"/>
        </w:rPr>
        <w:t xml:space="preserve">表</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12.1投</w:t>
      </w:r>
      <w:bookmarkStart w:id="96" w:name="_Hlt26954840"/>
      <w:r>
        <w:rPr>
          <w:rFonts w:hint="eastAsia" w:asciiTheme="minorEastAsia" w:hAnsiTheme="minorEastAsia" w:eastAsiaTheme="minorEastAsia" w:cstheme="minorEastAsia"/>
          <w:color w:val="auto"/>
          <w:highlight w:val="none"/>
        </w:rPr>
        <w:t xml:space="preserve">标人应按照招标文件规定格式填报投标分项报价表</w:t>
      </w:r>
      <w:bookmarkStart w:id="97" w:name="_Hlt26670399"/>
      <w:r>
        <w:rPr>
          <w:rFonts w:hint="eastAsia" w:asciiTheme="minorEastAsia" w:hAnsiTheme="minorEastAsia" w:eastAsiaTheme="minorEastAsia" w:cstheme="minorEastAsia"/>
          <w:color w:val="auto"/>
          <w:highlight w:val="none"/>
        </w:rPr>
        <w:t xml:space="preserve">。</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12.2投标货币。投标文件中的单价和总价无特殊规定的采用人民币报价，以元为单位标注。招标文件中另有规定的按规定执行。</w:t>
      </w:r>
      <w:r/>
    </w:p>
    <w:p>
      <w:pPr>
        <w:ind w:firstLine="480"/>
        <w:spacing w:line="440" w:lineRule="exact"/>
        <w:rPr>
          <w:rFonts w:hint="eastAsia" w:ascii="宋体" w:hAnsi="宋体"/>
          <w:color w:val="000000"/>
          <w:sz w:val="24"/>
          <w:highlight w:val="none"/>
        </w:rPr>
      </w:pPr>
      <w:r>
        <w:rPr>
          <w:rFonts w:hint="eastAsia" w:asciiTheme="minorEastAsia" w:hAnsiTheme="minorEastAsia" w:cstheme="minorEastAsia"/>
          <w:color w:val="auto"/>
          <w:highlight w:val="none"/>
          <w:lang w:val="en-US" w:eastAsia="zh-CN"/>
        </w:rPr>
        <w:t xml:space="preserve">12.3</w:t>
      </w:r>
      <w:r>
        <w:rPr>
          <w:rFonts w:hint="eastAsia" w:ascii="宋体" w:hAnsi="宋体"/>
          <w:color w:val="000000"/>
          <w:sz w:val="24"/>
          <w:highlight w:val="none"/>
        </w:rPr>
        <w:t xml:space="preserve">本项目报价为固定全费用综合单价（即将所有费用均摊销至各综合单价中），报综合单价和总价。投标人应根据本项目的特点和工程量，结合市场行情、自身综合实力、管理水平、充分考虑到项目实施期间各类市场风险等各项因素自主确定不低于成本价进行投标报价，招标文件中另有规定的除外。</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12.4</w:t>
      </w:r>
      <w:r>
        <w:rPr>
          <w:rFonts w:hint="eastAsia" w:ascii="宋体" w:hAnsi="宋体"/>
          <w:color w:val="000000"/>
          <w:sz w:val="24"/>
          <w:highlight w:val="none"/>
        </w:rPr>
        <w:t xml:space="preserve">投标报价是指提供招标项目实施过程中发生的所有费用，其投标报价包含但不限于：包括并不限于为完成</w:t>
      </w:r>
      <w:r>
        <w:rPr>
          <w:rFonts w:hint="eastAsia" w:ascii="宋体" w:hAnsi="宋体"/>
          <w:color w:val="000000"/>
          <w:sz w:val="24"/>
          <w:highlight w:val="none"/>
          <w:lang w:val="en-US" w:eastAsia="zh-CN"/>
        </w:rPr>
        <w:t xml:space="preserve">本项目所必须的</w:t>
      </w:r>
      <w:r>
        <w:rPr>
          <w:rFonts w:hint="eastAsia" w:ascii="宋体" w:hAnsi="宋体"/>
          <w:color w:val="000000"/>
          <w:sz w:val="24"/>
          <w:highlight w:val="none"/>
        </w:rPr>
        <w:t xml:space="preserve">秸秆离田、秸秆处理、其他费用及管理费、利润、规费、税金、地方矛盾协调等全部费用，凡漏项或少计均视为优惠，采购人不另行增加费用。投标总价为考虑上述各项费用后的投标总价。甲方在上述合同价款之外不再向乙方支付其他任何费用。</w:t>
      </w:r>
      <w:r/>
    </w:p>
    <w:p>
      <w:pPr>
        <w:ind w:firstLine="480"/>
        <w:spacing w:line="440" w:lineRule="exact"/>
        <w:rPr>
          <w:rFonts w:ascii="宋体" w:hAnsi="宋体" w:cs="宋体"/>
          <w:bCs/>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5</w:t>
      </w:r>
      <w:r>
        <w:rPr>
          <w:rFonts w:hint="eastAsia" w:ascii="宋体" w:hAnsi="宋体" w:cs="宋体"/>
          <w:bCs/>
          <w:color w:val="000000"/>
          <w:sz w:val="24"/>
          <w:highlight w:val="none"/>
        </w:rPr>
        <w:t xml:space="preserve">其它费用处理</w:t>
      </w:r>
      <w:r/>
    </w:p>
    <w:p>
      <w:pPr>
        <w:pStyle w:val="909"/>
        <w:ind w:firstLine="480"/>
        <w:jc w:val="both"/>
        <w:pageBreakBefore w:val="0"/>
        <w:spacing w:beforeAutospacing="0" w:afterAutospacing="0" w:line="480" w:lineRule="exact"/>
        <w:widowControl w:val="off"/>
        <w:rPr>
          <w:rFonts w:hint="eastAsia" w:ascii="宋体" w:hAnsi="宋体" w:eastAsia="宋体" w:cs="宋体"/>
          <w:b/>
          <w:color w:val="000000"/>
          <w:sz w:val="24"/>
          <w:highlight w:val="none"/>
        </w:rPr>
      </w:pPr>
      <w:r>
        <w:rPr>
          <w:rFonts w:hint="eastAsia" w:ascii="宋体" w:hAnsi="宋体" w:cs="宋体"/>
          <w:bCs/>
          <w:color w:val="000000"/>
          <w:sz w:val="24"/>
          <w:highlight w:val="none"/>
        </w:rPr>
        <w:t xml:space="preserve">招标文件未列明，而投标人认为必需的费用也需列入报价。</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highlight w:val="none"/>
          <w:lang w:val="en-US" w:eastAsia="zh-CN"/>
        </w:rPr>
        <w:t xml:space="preserve">12.</w:t>
      </w:r>
      <w:r>
        <w:rPr>
          <w:rFonts w:hint="eastAsia" w:asciiTheme="minorEastAsia" w:hAnsiTheme="minorEastAsia" w:cstheme="minorEastAsia"/>
          <w:color w:val="auto"/>
          <w:highlight w:val="none"/>
          <w:lang w:val="en-US" w:eastAsia="zh-CN"/>
        </w:rPr>
        <w:t xml:space="preserve">6</w:t>
      </w:r>
      <w:r>
        <w:rPr>
          <w:rFonts w:hint="eastAsia" w:asciiTheme="minorEastAsia" w:hAnsiTheme="minorEastAsia" w:eastAsiaTheme="minorEastAsia" w:cstheme="minorEastAsia"/>
          <w:color w:val="auto"/>
          <w:highlight w:val="none"/>
          <w:lang w:val="en-US" w:eastAsia="zh-CN"/>
        </w:rPr>
        <w:t xml:space="preserve">投标人根据招标内容的要求准确报价，一经报出，不得更改。</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98" w:name="_Hlt26670482"/>
      <w:r/>
      <w:bookmarkStart w:id="99" w:name="_Hlt26954844"/>
      <w:r/>
      <w:bookmarkStart w:id="100" w:name="_Hlt26670403"/>
      <w:r/>
      <w:bookmarkStart w:id="101" w:name="_Hlt26954846"/>
      <w:r/>
      <w:bookmarkStart w:id="102" w:name="_Hlt26670425"/>
      <w:r/>
      <w:bookmarkStart w:id="103" w:name="_Hlt26668983"/>
      <w:r/>
      <w:bookmarkStart w:id="104" w:name="_Hlt26954731"/>
      <w:r/>
      <w:bookmarkStart w:id="105" w:name="_Hlt26954842"/>
      <w:r/>
      <w:bookmarkStart w:id="106" w:name="_Hlt26954848"/>
      <w:r/>
      <w:bookmarkStart w:id="107" w:name="_Hlt26670486"/>
      <w:r>
        <w:rPr>
          <w:rFonts w:hint="eastAsia" w:asciiTheme="minorEastAsia" w:hAnsiTheme="minorEastAsia" w:eastAsiaTheme="minorEastAsia" w:cstheme="minorEastAsia"/>
          <w:color w:val="auto"/>
          <w:sz w:val="28"/>
          <w:szCs w:val="28"/>
          <w:highlight w:val="none"/>
        </w:rPr>
        <w:t xml:space="preserve">13、技术要求响应及偏离表、商务要求响应及偏离表</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13.1投标人需对招标文件中的技术要求与商务要求逐项作出响应或偏离，并说明原因。</w:t>
      </w:r>
      <w:r/>
    </w:p>
    <w:p>
      <w:pPr>
        <w:pStyle w:val="885"/>
        <w:ind w:firstLine="480"/>
        <w:jc w:val="both"/>
        <w:pageBreakBefore w:val="0"/>
        <w:spacing w:beforeAutospacing="0" w:afterAutospacing="0" w:line="480" w:lineRule="exact"/>
        <w:widowControl w:val="off"/>
        <w:tabs>
          <w:tab w:val="left" w:pos="1036" w:leader="none"/>
        </w:tabs>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13.2投标人可在投标文件中提供认为需要的其他技术文件或说明。</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08" w:name="_Toc14577359"/>
      <w:r/>
      <w:bookmarkStart w:id="109" w:name="_Toc49090510"/>
      <w:r>
        <w:rPr>
          <w:rFonts w:hint="eastAsia" w:asciiTheme="minorEastAsia" w:hAnsiTheme="minorEastAsia" w:eastAsiaTheme="minorEastAsia" w:cstheme="minorEastAsia"/>
          <w:color w:val="auto"/>
          <w:sz w:val="28"/>
          <w:szCs w:val="28"/>
          <w:highlight w:val="none"/>
        </w:rPr>
        <w:t xml:space="preserve">14、投标函和开标一览表</w:t>
      </w:r>
      <w:bookmarkEnd w:id="108"/>
      <w:r/>
      <w:bookmarkEnd w:id="109"/>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14.1投标人应按照招标文件中提供的格式完整、正确填写投标函、开标一览表。</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14.2对于采用货币报价的项目，开标一览表中的投标总报价应与投标分项报价表中的投标总报价一致，如不一致，不作为无效投标处理，但评标时按开标一览表中价格为准</w:t>
      </w:r>
      <w:r>
        <w:rPr>
          <w:rFonts w:hint="eastAsia" w:asciiTheme="minorEastAsia" w:hAnsiTheme="minorEastAsia" w:eastAsiaTheme="minorEastAsia" w:cstheme="minorEastAsia"/>
          <w:b/>
          <w:color w:val="auto"/>
          <w:highlight w:val="none"/>
        </w:rPr>
        <w:t xml:space="preserve">。</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10" w:name="_Toc49090511"/>
      <w:r/>
      <w:bookmarkStart w:id="111" w:name="_Toc14577360"/>
      <w:r/>
      <w:bookmarkStart w:id="112" w:name="_Hlt26954734"/>
      <w:r/>
      <w:bookmarkStart w:id="113" w:name="_Hlt26670489"/>
      <w:r/>
      <w:bookmarkStart w:id="114" w:name="_Hlt26954850"/>
      <w:r>
        <w:rPr>
          <w:rFonts w:hint="eastAsia" w:asciiTheme="minorEastAsia" w:hAnsiTheme="minorEastAsia" w:eastAsiaTheme="minorEastAsia" w:cstheme="minorEastAsia"/>
          <w:color w:val="auto"/>
          <w:sz w:val="28"/>
          <w:szCs w:val="28"/>
          <w:highlight w:val="none"/>
        </w:rPr>
        <w:t xml:space="preserve">15、投标有效期</w:t>
      </w:r>
      <w:bookmarkEnd w:id="110"/>
      <w:r/>
      <w:bookmarkEnd w:id="111"/>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15.1投标有效期为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规定的开标之日后</w:t>
      </w:r>
      <w:r>
        <w:rPr>
          <w:rFonts w:hint="eastAsia" w:asciiTheme="minorEastAsia" w:hAnsiTheme="minorEastAsia" w:eastAsiaTheme="minorEastAsia" w:cstheme="minorEastAsia"/>
          <w:b/>
          <w:color w:val="auto"/>
          <w:highlight w:val="none"/>
          <w:u w:val="single"/>
        </w:rPr>
        <w:t xml:space="preserve">六十（60）天</w:t>
      </w:r>
      <w:r>
        <w:rPr>
          <w:rFonts w:hint="eastAsia" w:asciiTheme="minorEastAsia" w:hAnsiTheme="minorEastAsia" w:eastAsiaTheme="minorEastAsia" w:cstheme="minorEastAsia"/>
          <w:color w:val="auto"/>
          <w:highlight w:val="none"/>
        </w:rPr>
        <w:t xml:space="preserve">。投标有效期比规定短的将被视为未实质性响应招标文件而予以拒绝。</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16、投标有效期的延长</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16.1在特殊情况下，</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于原投标有效期满之前，可向投标人提出延长投标有效期的要求。这种要求与答复均应采用书面形式。投标人可以拒绝</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的这一要求而放弃投标。同意延长投标有效期的投标人既不能要求也不允许修改其投标文件，同时受投标有效期约束的所有权利与义务均延长至新的有效期。</w:t>
      </w:r>
      <w:r/>
    </w:p>
    <w:p>
      <w:pPr>
        <w:pStyle w:val="88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15" w:name="_Toc20823296"/>
      <w:r/>
      <w:bookmarkStart w:id="116" w:name="_Toc16938540"/>
      <w:r/>
      <w:bookmarkStart w:id="117" w:name="_Toc513029224"/>
      <w:r/>
      <w:bookmarkStart w:id="118" w:name="_Toc120614217"/>
      <w:r/>
      <w:bookmarkStart w:id="119" w:name="_Hlt26954739"/>
      <w:r/>
      <w:bookmarkStart w:id="120" w:name="_Hlt26954852"/>
      <w:r>
        <w:rPr>
          <w:rFonts w:hint="eastAsia" w:asciiTheme="minorEastAsia" w:hAnsiTheme="minorEastAsia" w:eastAsiaTheme="minorEastAsia" w:cstheme="minorEastAsia"/>
          <w:b/>
          <w:color w:val="auto"/>
          <w:sz w:val="32"/>
          <w:szCs w:val="32"/>
          <w:highlight w:val="none"/>
        </w:rPr>
        <w:t xml:space="preserve">四、投标文件的递交</w:t>
      </w:r>
      <w:bookmarkEnd w:id="115"/>
      <w:r/>
      <w:bookmarkEnd w:id="116"/>
      <w:r/>
      <w:bookmarkEnd w:id="117"/>
      <w:r/>
      <w:bookmarkEnd w:id="118"/>
      <w:r/>
      <w:r/>
    </w:p>
    <w:p>
      <w:pPr>
        <w:pStyle w:val="88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1" w:name="_Toc462564084"/>
      <w:r/>
      <w:bookmarkStart w:id="122" w:name="_Toc16938541"/>
      <w:r/>
      <w:bookmarkStart w:id="123" w:name="_Toc513029225"/>
      <w:r/>
      <w:bookmarkStart w:id="124" w:name="_Toc20823297"/>
      <w:r>
        <w:rPr>
          <w:rFonts w:hint="eastAsia" w:asciiTheme="minorEastAsia" w:hAnsiTheme="minorEastAsia" w:eastAsiaTheme="minorEastAsia" w:cstheme="minorEastAsia"/>
          <w:color w:val="auto"/>
          <w:sz w:val="28"/>
          <w:szCs w:val="28"/>
          <w:highlight w:val="none"/>
        </w:rPr>
        <w:t xml:space="preserve">17、投标文件</w:t>
      </w:r>
      <w:bookmarkEnd w:id="121"/>
      <w:r/>
      <w:bookmarkEnd w:id="122"/>
      <w:r/>
      <w:bookmarkEnd w:id="123"/>
      <w:r/>
      <w:bookmarkEnd w:id="124"/>
      <w:r>
        <w:rPr>
          <w:rFonts w:hint="eastAsia" w:asciiTheme="minorEastAsia" w:hAnsiTheme="minorEastAsia" w:eastAsiaTheme="minorEastAsia" w:cstheme="minorEastAsia"/>
          <w:color w:val="auto"/>
          <w:sz w:val="28"/>
          <w:szCs w:val="28"/>
          <w:highlight w:val="none"/>
        </w:rPr>
        <w:t xml:space="preserve">的递交</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17.1 电子投标文件的递交</w:t>
      </w:r>
      <w:r/>
    </w:p>
    <w:p>
      <w:pPr>
        <w:pStyle w:val="885"/>
        <w:ind w:left="52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投标人应当按照《操作手册》规定，在投标截止时间前制作并上传电子投标文件。</w:t>
      </w:r>
      <w:bookmarkStart w:id="125" w:name="_Toc20823298"/>
      <w:r/>
      <w:bookmarkEnd w:id="125"/>
      <w:r/>
      <w:bookmarkStart w:id="126" w:name="_Toc16938542"/>
      <w:r/>
      <w:bookmarkEnd w:id="126"/>
      <w:r/>
      <w:bookmarkStart w:id="127" w:name="_Toc513029226"/>
      <w:r/>
      <w:r/>
    </w:p>
    <w:p>
      <w:pPr>
        <w:pStyle w:val="885"/>
        <w:ind w:firstLine="56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18、投标截止时间</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i/>
          <w:color w:val="auto"/>
          <w:highlight w:val="none"/>
          <w:u w:val="single"/>
        </w:rPr>
        <w:t xml:space="preserve">18.1投标人上传电子投标文件的时间不得迟于招标公告中规定的投标截止时间。</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投标人应充分考虑到网络环境、网络带宽等风险因素，如因投标人自身原因造成的电子投标文件上传不成功的按照本招标文件第二章第26.1.2条 规定做无效投标处理。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18.2</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可以按照规定，通过修改招标文件酌情延长投标截止时间，在此情况下，投标人的所有权利和义务以及投标人受制的截止时间均应以延长后新的截止时间为准。</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28" w:name="_Toc20823299"/>
      <w:r/>
      <w:bookmarkStart w:id="129" w:name="_Toc16938543"/>
      <w:r/>
      <w:bookmarkStart w:id="130" w:name="_Toc513029227"/>
      <w:r>
        <w:rPr>
          <w:rFonts w:hint="eastAsia" w:asciiTheme="minorEastAsia" w:hAnsiTheme="minorEastAsia" w:eastAsiaTheme="minorEastAsia" w:cstheme="minorEastAsia"/>
          <w:color w:val="auto"/>
          <w:sz w:val="28"/>
          <w:szCs w:val="28"/>
          <w:highlight w:val="none"/>
        </w:rPr>
        <w:t xml:space="preserve">19、投标文件</w:t>
      </w:r>
      <w:bookmarkEnd w:id="128"/>
      <w:r/>
      <w:bookmarkEnd w:id="129"/>
      <w:r/>
      <w:bookmarkEnd w:id="130"/>
      <w:r>
        <w:rPr>
          <w:rFonts w:hint="eastAsia" w:asciiTheme="minorEastAsia" w:hAnsiTheme="minorEastAsia" w:eastAsiaTheme="minorEastAsia" w:cstheme="minorEastAsia"/>
          <w:color w:val="auto"/>
          <w:sz w:val="28"/>
          <w:szCs w:val="28"/>
          <w:highlight w:val="none"/>
        </w:rPr>
        <w:t xml:space="preserve">的拒收</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19.1</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拒绝接收在其规定的投标截止时间后上传的任何投标文件。</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31" w:name="_Toc20823300"/>
      <w:r/>
      <w:bookmarkStart w:id="132" w:name="_Toc513029228"/>
      <w:r/>
      <w:bookmarkStart w:id="133" w:name="_Toc16938544"/>
      <w:r>
        <w:rPr>
          <w:rFonts w:hint="eastAsia" w:asciiTheme="minorEastAsia" w:hAnsiTheme="minorEastAsia" w:eastAsiaTheme="minorEastAsia" w:cstheme="minorEastAsia"/>
          <w:color w:val="auto"/>
          <w:sz w:val="28"/>
          <w:szCs w:val="28"/>
          <w:highlight w:val="none"/>
        </w:rPr>
        <w:t xml:space="preserve">20、投标文件的撤回和修改</w:t>
      </w:r>
      <w:bookmarkEnd w:id="131"/>
      <w:r/>
      <w:bookmarkEnd w:id="132"/>
      <w:r/>
      <w:bookmarkEnd w:id="133"/>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20.1投标文件的撤回</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21.1.1电子投标文件的撤回</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投标人可在投标截止时间前，撤回其电子投标文件，具体操作方法见《操作手册》。</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21.1.2投标人撤回电子投标文件，则认为其不再参与本项目投标活动。</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 投标文件的修改</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20.2.1投标人可在投标截止时间前，对其电子投标文件进行修改，具体操作方法见《操作手册》。</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20.2.2在投标截止时间之后，投标人不得对其电子投标文件作任何修改。</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20.3在投标截止时间至招标文件中规定的投标有效期满之间的这段时间内，投标人不得撤回其投标。</w:t>
      </w:r>
      <w:r/>
    </w:p>
    <w:p>
      <w:pPr>
        <w:pStyle w:val="88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34" w:name="_Toc120614218"/>
      <w:r/>
      <w:bookmarkStart w:id="135" w:name="_Toc16938545"/>
      <w:r/>
      <w:bookmarkStart w:id="136" w:name="_Toc513029229"/>
      <w:r/>
      <w:bookmarkStart w:id="137" w:name="_Toc20823301"/>
      <w:r>
        <w:rPr>
          <w:rFonts w:hint="eastAsia" w:asciiTheme="minorEastAsia" w:hAnsiTheme="minorEastAsia" w:eastAsiaTheme="minorEastAsia" w:cstheme="minorEastAsia"/>
          <w:b/>
          <w:color w:val="auto"/>
          <w:sz w:val="32"/>
          <w:szCs w:val="32"/>
          <w:highlight w:val="none"/>
        </w:rPr>
        <w:t xml:space="preserve">五、开标与评标</w:t>
      </w:r>
      <w:bookmarkEnd w:id="134"/>
      <w:r/>
      <w:bookmarkEnd w:id="135"/>
      <w:r/>
      <w:bookmarkEnd w:id="136"/>
      <w:r/>
      <w:bookmarkEnd w:id="137"/>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38" w:name="_Toc20823302"/>
      <w:r/>
      <w:bookmarkStart w:id="139" w:name="_Toc16938546"/>
      <w:r/>
      <w:bookmarkStart w:id="140" w:name="_Toc513029230"/>
      <w:r>
        <w:rPr>
          <w:rFonts w:hint="eastAsia" w:asciiTheme="minorEastAsia" w:hAnsiTheme="minorEastAsia" w:eastAsiaTheme="minorEastAsia" w:cstheme="minorEastAsia"/>
          <w:color w:val="auto"/>
          <w:sz w:val="28"/>
          <w:szCs w:val="28"/>
          <w:highlight w:val="none"/>
        </w:rPr>
        <w:t xml:space="preserve">21、开标</w:t>
      </w:r>
      <w:bookmarkEnd w:id="138"/>
      <w:r/>
      <w:bookmarkEnd w:id="139"/>
      <w:r/>
      <w:bookmarkEnd w:id="140"/>
      <w:r/>
      <w:r/>
    </w:p>
    <w:p>
      <w:pPr>
        <w:pStyle w:val="88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21.1</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将在招标公告中规定的时间和地点组织公开开标。投标人应当按照《操作手册》规定，参加开标活动和在苏采云系统规定的时间内对投标文件进行解密。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21.2开标仪式由</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组织。苏采云系统将自动对项目进行开标，并宣布各投标人名称和投标价格。</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21.3投标人在开标过程中涉及到的投标文件解密、开标结果确认等工作，应按照《操作手册》规定执行。</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21.4投标人如果对开标过程和开标记录有疑义，应当根据《操作手册》规定提出，如苏采云系统中《开标记录表》宣布后5分钟内未提出的，视同认可开标结果。</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1" w:name="_Toc20823303"/>
      <w:r/>
      <w:bookmarkStart w:id="142" w:name="_Toc513029231"/>
      <w:r/>
      <w:bookmarkStart w:id="143" w:name="_Toc16938547"/>
      <w:r>
        <w:rPr>
          <w:rFonts w:hint="eastAsia" w:asciiTheme="minorEastAsia" w:hAnsiTheme="minorEastAsia" w:eastAsiaTheme="minorEastAsia" w:cstheme="minorEastAsia"/>
          <w:color w:val="auto"/>
          <w:sz w:val="28"/>
          <w:szCs w:val="28"/>
          <w:highlight w:val="none"/>
        </w:rPr>
        <w:t xml:space="preserve">22、评标委员会</w:t>
      </w:r>
      <w:bookmarkEnd w:id="141"/>
      <w:r/>
      <w:bookmarkEnd w:id="142"/>
      <w:r/>
      <w:bookmarkEnd w:id="143"/>
      <w:r/>
      <w:r/>
    </w:p>
    <w:p>
      <w:pPr>
        <w:pStyle w:val="88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22.1开标后，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将立即组织评标委员会（以下简称评委会）进行评标。</w:t>
      </w:r>
      <w:r/>
    </w:p>
    <w:p>
      <w:pPr>
        <w:pStyle w:val="88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22.2评委会由采购人代表和有关技术、经济等方面的专家组成，且人员构成符合政府采购有关规定。</w:t>
      </w:r>
      <w:r/>
    </w:p>
    <w:p>
      <w:pPr>
        <w:pStyle w:val="88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22.3评委会独立工作，负责评审所有投标文件并确定中标侯选人。</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23、评标过程的保密与公正</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23.1凡是与审查、澄清、评价和比较投标的有关资料以及授标建议等，采购人、评委、</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均不得向投标人或与评标无关的其他人员透露。</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23.2在评标过程中，投标人不得以任何行为影响评标过程，否则其投标文件将被作为无效投标文件。</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和评标委员会不向未中标的投标人解释未中标原因，也不公布评标过程中的相关细节。</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23.4采用综合评分法的项目，未中标的投标人可于中标结果公告期限届满之日起通过苏采云系统查看自己的评审得分及排序情况。</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4" w:name="_Toc513029232"/>
      <w:r/>
      <w:bookmarkStart w:id="145" w:name="_Toc16938548"/>
      <w:r/>
      <w:bookmarkStart w:id="146" w:name="_Toc20823304"/>
      <w:r>
        <w:rPr>
          <w:rFonts w:hint="eastAsia" w:asciiTheme="minorEastAsia" w:hAnsiTheme="minorEastAsia" w:eastAsiaTheme="minorEastAsia" w:cstheme="minorEastAsia"/>
          <w:color w:val="auto"/>
          <w:sz w:val="28"/>
          <w:szCs w:val="28"/>
          <w:highlight w:val="none"/>
        </w:rPr>
        <w:t xml:space="preserve">24、投标文件的澄清</w:t>
      </w:r>
      <w:bookmarkEnd w:id="144"/>
      <w:r/>
      <w:bookmarkEnd w:id="145"/>
      <w:r/>
      <w:bookmarkEnd w:id="146"/>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24.1评标期间，评委会对投标文件中含义不明确、同类问题表述不一致或者有明显文字和计算错误的内容 ，有权要求投标人作出必要的澄清、说明或者补正。</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投标人的澄清、说明或者补正不得超出投标文件的范围或者改变投标文件的实质性内容。</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评标委员会并非对每个投标人都做澄清要求。</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85"/>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rPr>
          <w:rFonts w:hint="eastAsia" w:asciiTheme="minorEastAsia" w:hAnsiTheme="minorEastAsia" w:cstheme="minorEastAsia"/>
          <w:color w:val="auto"/>
          <w:highlight w:val="none"/>
          <w:lang w:val="en-US" w:eastAsia="zh-CN"/>
        </w:rPr>
        <w:t xml:space="preserve"> </w:t>
      </w:r>
      <w:r>
        <w:rPr>
          <w:rFonts w:hint="eastAsia" w:asciiTheme="minorEastAsia" w:hAnsiTheme="minorEastAsia" w:eastAsiaTheme="minorEastAsia" w:cstheme="minorEastAsia"/>
          <w:color w:val="auto"/>
          <w:highlight w:val="none"/>
        </w:rPr>
        <w:t xml:space="preserve">24.3接到评委会澄清、说明和补正要求的投标人如未按规定做出澄清、说明和补正，其风险由投标人自行承担。</w:t>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47" w:name="_Toc16938549"/>
      <w:r/>
      <w:bookmarkStart w:id="148" w:name="_Toc513029233"/>
      <w:r/>
      <w:bookmarkStart w:id="149" w:name="_Toc20823305"/>
      <w:r>
        <w:rPr>
          <w:rFonts w:hint="eastAsia" w:asciiTheme="minorEastAsia" w:hAnsiTheme="minorEastAsia" w:eastAsiaTheme="minorEastAsia" w:cstheme="minorEastAsia"/>
          <w:color w:val="auto"/>
          <w:sz w:val="28"/>
          <w:szCs w:val="28"/>
          <w:highlight w:val="none"/>
        </w:rPr>
        <w:t xml:space="preserve">25、对投标文件的初审</w:t>
      </w:r>
      <w:bookmarkEnd w:id="147"/>
      <w:r/>
      <w:bookmarkEnd w:id="148"/>
      <w:r/>
      <w:bookmarkEnd w:id="149"/>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25.1投标文件初审分为资格审查和符合性审查。</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25.1.1资格审查：依据法律法规和招标文件的规定，由采购人对投标文件中的资格证明文件进行审查。资格审查的结论，采购人以书面形式向评委会进行反馈。</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采购人在进行资格性审查的同时，将在“信用中国”网站（www.creditchina.gov.cn）查询投标人的信用记录，以确定投标人是否具备投标资格,查询结果留存并归档。</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25.1.2符合性审查：依据招标文件的规定，由评委会从投标文件的有效性、完整性和对招标文件的响应程度进行审查，以确定是否对招标文件的实质性要求作出响应。</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25.1.3未通过资格审查或符合性审查的投标人，</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将在苏采云系统中告知未通过资格审查或符合性审查的原因，评标结束后，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将不再告知未通过资格审查和符合性审查的原因。</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所谓重大偏离或保留是指与招标文件规定的实质性要求存在负偏离，或者在实质上与招标文件不一致，而且限制了合同中买方和</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25.3如果投标文件实质上没有响应招标文件的要求，评委会将予以拒绝，投标人不得通过修改或撤销不合要求的偏离或保留而使其投标成为实质性响应的投标。</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25.4评委会将对确定为实质性响应的投标进行进一步审核，确定其是否有计算上或累加上的算术错误，修正错误的原则如下：</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（1）投标文件中开标一览表内容与投标文件中相应内容不一致的，以开标一览表为准。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（2）大写金额和小写金额不一致的，以大写金额为准。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（3）单价金额小数点或者百分比有明显错位的，以开标一览表的总价为准，并修改单价。</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（4）总价金额与按单价汇总金额不一致的，以单价金额计算结果为准。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同时出现两种以上错误的，按照前款规定的顺序修正。</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85"/>
        <w:ind w:firstLine="42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0" w:name="_Toc16938550"/>
      <w:r/>
      <w:bookmarkStart w:id="151" w:name="_Toc513029234"/>
      <w:r/>
      <w:bookmarkStart w:id="152" w:name="_Toc20823306"/>
      <w:r>
        <w:rPr>
          <w:rFonts w:hint="eastAsia" w:asciiTheme="minorEastAsia" w:hAnsiTheme="minorEastAsia" w:eastAsiaTheme="minorEastAsia" w:cstheme="minorEastAsia"/>
          <w:color w:val="auto"/>
          <w:highlight w:val="none"/>
        </w:rPr>
        <w:t xml:space="preserve">25.6投标人在开、评标全过程中应保持通讯畅通，及时登录苏采云系统查阅、答复相关信息，并安排专人与</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及评标委员会联系。</w:t>
      </w:r>
      <w:bookmarkEnd w:id="150"/>
      <w:r/>
      <w:bookmarkEnd w:id="151"/>
      <w:r/>
      <w:bookmarkEnd w:id="152"/>
      <w:r/>
      <w:r/>
    </w:p>
    <w:p>
      <w:pPr>
        <w:pStyle w:val="885"/>
        <w:ind w:firstLine="42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8"/>
          <w:szCs w:val="28"/>
          <w:highlight w:val="none"/>
        </w:rPr>
        <w:t xml:space="preserve">26、无效投标条款和废标条款</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3" w:name="_Toc513029235"/>
      <w:r/>
      <w:bookmarkStart w:id="154" w:name="_Toc20823307"/>
      <w:r/>
      <w:bookmarkStart w:id="155" w:name="_Toc16938551"/>
      <w:r>
        <w:rPr>
          <w:rFonts w:hint="eastAsia" w:asciiTheme="minorEastAsia" w:hAnsiTheme="minorEastAsia" w:eastAsiaTheme="minorEastAsia" w:cstheme="minorEastAsia"/>
          <w:color w:val="auto"/>
          <w:highlight w:val="none"/>
        </w:rPr>
        <w:t xml:space="preserve">26.1无效投标条款</w:t>
      </w:r>
      <w:bookmarkEnd w:id="153"/>
      <w:r/>
      <w:bookmarkEnd w:id="154"/>
      <w:r/>
      <w:bookmarkEnd w:id="155"/>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26.1.1投标人在苏采云系统规定的时间内未成功解密电子投标文件的。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26.1.2投标人未按照招标文件要求上传电子投标文件的。</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26.1.3同一投标人提交两个（含两个）以上不同的投标报价的。</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26.1.4投标人不具备招标文件中规定资格要求的。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26.1.5投标人的报价超过了采购预算或最高限价的。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26.1.6未通过符合性审查的。</w:t>
      </w:r>
      <w:r/>
    </w:p>
    <w:p>
      <w:pPr>
        <w:pStyle w:val="885"/>
        <w:ind w:firstLine="36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26.1.7不符合招标文件中规定的实质性要求和条件的（</w:t>
      </w:r>
      <w:r>
        <w:rPr>
          <w:rFonts w:hint="eastAsia" w:asciiTheme="minorEastAsia" w:hAnsiTheme="minorEastAsia" w:eastAsiaTheme="minorEastAsia" w:cstheme="minorEastAsia"/>
          <w:i/>
          <w:color w:val="auto"/>
          <w:highlight w:val="none"/>
          <w:u w:val="single"/>
        </w:rPr>
        <w:t xml:space="preserve">本招标文件中斜体且有下划线部分为实质性要求和条件）。</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26.1.9投标文件含有采购人不能接受的附加条件的。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26.1.11投标文件未按照招标文件要求加盖CA电子公章的。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26.1.12其他法律、法规及本招标文件规定的属无效投标的情形。</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26.2废标条款</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26.2.1符合专业条件的供应商或者对招标文件作实质响应的供应商不足三家的。</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26.2.2出现影响采购公正的违法、违规行为的。</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26.2.3因重大变故，采购任务取消的。</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26.2.4评标委员会认定招标文件存在歧义、重大缺陷导致评审工作无法进行。</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26.2.5因苏采云系统系统故障原因造成开标不成功的。</w:t>
      </w:r>
      <w:r/>
    </w:p>
    <w:p>
      <w:pPr>
        <w:pStyle w:val="885"/>
        <w:ind w:left="479"/>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 投标截止时间结束后参加投标的供应商不足三家的处理：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26.3.1如出现投标截止时间结束后参加投标的供应商或者在评标期间对招标文件做出实质响应的供应商不足三家情况，按政府采购相关规定执行。</w:t>
      </w:r>
      <w:r/>
    </w:p>
    <w:p>
      <w:pPr>
        <w:pStyle w:val="885"/>
        <w:ind w:firstLine="482"/>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56" w:name="_Toc120614219"/>
      <w:r>
        <w:rPr>
          <w:rFonts w:hint="eastAsia" w:asciiTheme="minorEastAsia" w:hAnsiTheme="minorEastAsia" w:eastAsiaTheme="minorEastAsia" w:cstheme="minorEastAsia"/>
          <w:b/>
          <w:color w:val="auto"/>
          <w:sz w:val="32"/>
          <w:szCs w:val="32"/>
          <w:highlight w:val="none"/>
        </w:rPr>
        <w:t xml:space="preserve">六、定标</w:t>
      </w:r>
      <w:bookmarkEnd w:id="156"/>
      <w:r/>
      <w:r/>
    </w:p>
    <w:p>
      <w:pPr>
        <w:pStyle w:val="88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57" w:name="_Toc20823310"/>
      <w:r/>
      <w:bookmarkStart w:id="158" w:name="_Toc16938554"/>
      <w:r/>
      <w:bookmarkStart w:id="159" w:name="_Toc513029238"/>
      <w:r>
        <w:rPr>
          <w:rFonts w:hint="eastAsia" w:asciiTheme="minorEastAsia" w:hAnsiTheme="minorEastAsia" w:eastAsiaTheme="minorEastAsia" w:cstheme="minorEastAsia"/>
          <w:color w:val="auto"/>
          <w:sz w:val="30"/>
          <w:szCs w:val="30"/>
          <w:highlight w:val="none"/>
        </w:rPr>
        <w:t xml:space="preserve">27、</w:t>
      </w:r>
      <w:bookmarkEnd w:id="157"/>
      <w:r>
        <w:rPr>
          <w:rFonts w:hint="eastAsia" w:asciiTheme="minorEastAsia" w:hAnsiTheme="minorEastAsia" w:eastAsiaTheme="minorEastAsia" w:cstheme="minorEastAsia"/>
          <w:color w:val="auto"/>
          <w:sz w:val="30"/>
          <w:szCs w:val="30"/>
          <w:highlight w:val="none"/>
        </w:rPr>
        <w:t xml:space="preserve">确定</w:t>
      </w:r>
      <w:bookmarkEnd w:id="158"/>
      <w:r/>
      <w:bookmarkEnd w:id="159"/>
      <w:r>
        <w:rPr>
          <w:rFonts w:hint="eastAsia" w:asciiTheme="minorEastAsia" w:hAnsiTheme="minorEastAsia" w:eastAsiaTheme="minorEastAsia" w:cstheme="minorEastAsia"/>
          <w:color w:val="auto"/>
          <w:sz w:val="30"/>
          <w:szCs w:val="30"/>
          <w:highlight w:val="none"/>
        </w:rPr>
        <w:t xml:space="preserve">中标单位</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27.1中标候选人的选取原则和数量见招标文件第五章规定。 </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27.2采购人应根据评委会推荐的中标候选人确定中标人。</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27.3</w:t>
      </w:r>
      <w:r>
        <w:rPr>
          <w:rFonts w:hint="eastAsia" w:asciiTheme="minorEastAsia" w:hAnsiTheme="minorEastAsia" w:cstheme="minorEastAsia"/>
          <w:color w:val="auto"/>
          <w:highlight w:val="none"/>
          <w:lang w:val="en-US" w:eastAsia="zh-CN"/>
        </w:rPr>
        <w:t xml:space="preserve">采购人或采购代理机构</w:t>
      </w:r>
      <w:r>
        <w:rPr>
          <w:rFonts w:hint="eastAsia" w:asciiTheme="minorEastAsia" w:hAnsiTheme="minorEastAsia" w:eastAsiaTheme="minorEastAsia" w:cstheme="minorEastAsia"/>
          <w:color w:val="auto"/>
          <w:highlight w:val="none"/>
        </w:rPr>
        <w:t xml:space="preserve">将在</w:t>
      </w:r>
      <w:r>
        <w:rPr>
          <w:rFonts w:hint="eastAsia" w:asciiTheme="minorEastAsia" w:hAnsiTheme="minorEastAsia" w:eastAsiaTheme="minorEastAsia" w:cstheme="minorEastAsia"/>
          <w:color w:val="auto"/>
          <w:highlight w:val="none"/>
          <w:lang w:eastAsia="zh-CN"/>
        </w:rPr>
        <w:t xml:space="preserve">“</w:t>
      </w:r>
      <w:r>
        <w:rPr>
          <w:rFonts w:hint="eastAsia" w:asciiTheme="minorEastAsia" w:hAnsiTheme="minorEastAsia" w:eastAsiaTheme="minorEastAsia" w:cstheme="minorEastAsia"/>
          <w:color w:val="auto"/>
          <w:highlight w:val="none"/>
          <w:lang w:val="en-US" w:eastAsia="zh-CN"/>
        </w:rPr>
        <w:t xml:space="preserve">中国政府采购网”、</w:t>
      </w:r>
      <w:r>
        <w:rPr>
          <w:rFonts w:hint="eastAsia" w:asciiTheme="minorEastAsia" w:hAnsiTheme="minorEastAsia" w:eastAsiaTheme="minorEastAsia" w:cstheme="minorEastAsia"/>
          <w:color w:val="auto"/>
          <w:highlight w:val="none"/>
        </w:rPr>
        <w:t xml:space="preserve">“江苏政府采购网”、“盐城市政府采购网”发布中标公告，公告期限为1个工作日。</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27.4若有充分证据证明，中标人出现下列情况之一的，一经查实，将被取消中标资格：</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27.4.1提供虚假材料谋取中标的。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27.4.2向采购人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行贿或者提供其他不正当利益的。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27.4.3属于本文件规定的无效条件，但在评标过程中又未被评委会发现的。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27.4.4与采购人或者其他供应商恶意串通的。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27.4.5采取不正当手段诋毁、排挤其他供应商的。</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0" w:name="_Toc200451960"/>
      <w:r>
        <w:rPr>
          <w:rFonts w:hint="eastAsia" w:asciiTheme="minorEastAsia" w:hAnsiTheme="minorEastAsia" w:eastAsiaTheme="minorEastAsia" w:cstheme="minorEastAsia"/>
          <w:color w:val="auto"/>
          <w:highlight w:val="none"/>
        </w:rPr>
        <w:t xml:space="preserve">27.5 有下列情形之一的，视为投标人串通投标，投标无效：</w:t>
      </w:r>
      <w:bookmarkEnd w:id="160"/>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27.5.1不同投标人的投标文件由同一单位或者个人编制。</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27.5.2不同投标人委托同一单位或者个人办理投标事宜。</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27.5.3不同投标人的投标文件载明的项目管理成员或者联系人员为同一人。</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27.5.4不同投标人的投标文件异常一致或者投标报价呈规律性差异。</w:t>
      </w:r>
      <w:r/>
    </w:p>
    <w:p>
      <w:pPr>
        <w:pStyle w:val="88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28、质疑处理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28.1提出质疑的供应商应当是参与所质疑项目采购活动的供应商。潜在供应商依法获取其可质疑的采购文件的，可以对采购文件提出质疑。</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28.2供应商认为采购文件、采购过程和采购结果使自己的权益受到损害的，可以在知道或应知其权益受到损害之日起七个工作日内，以书面形式根据下述28.4条款的规定向</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或采购人提出质疑。上述应知其权益受到损害之日，是指：</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28.2.1对可以质疑的采购文件提出质疑的，为收到采购文件之日或者采购文件公告期限届满之日；</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28.2.2对采购过程提出质疑的，为各采购程序环节结束之日；</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28.2.3对中标或者成交结果提出质疑的，为中标或者成交结果公告期限届满之日。</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供应商应当在法定质疑期内一次性提出针对同一采购程序环节的质疑。供应商如在法定期限内对同一采购程序环节提出多次质疑的，</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、采购人将只对供应商第一次质疑作出答复。</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28.4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采购人及采购代理机构只接收以纸质原件形式送达的质疑,采购人和采购代理机构不接受未填写快递运单的快件。质疑接收部门联系地址:（</w:t>
      </w:r>
      <w:r>
        <w:rPr>
          <w:rFonts w:hint="eastAsia" w:ascii="宋体" w:hAnsi="宋体" w:eastAsia="宋体" w:cs="宋体"/>
          <w:color w:val="auto"/>
          <w:highlight w:val="none"/>
          <w:lang w:val="en-US" w:eastAsia="zh-CN"/>
        </w:rPr>
        <w:t xml:space="preserve">江苏省盐南高新技术产业开发区伍佑街道伍佑东路20号</w:t>
      </w: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lang w:val="en-US" w:eastAsia="zh-CN"/>
        </w:rPr>
        <w:t xml:space="preserve">19962361001</w:t>
      </w:r>
      <w:r>
        <w:rPr>
          <w:rFonts w:hint="eastAsia" w:ascii="宋体" w:hAnsi="宋体" w:eastAsia="宋体" w:cs="宋体"/>
          <w:color w:val="auto"/>
          <w:highlight w:val="none"/>
        </w:rPr>
        <w:t xml:space="preserve">；</w:t>
      </w:r>
      <w:r>
        <w:rPr>
          <w:rFonts w:hint="eastAsia" w:ascii="宋体" w:hAnsi="宋体" w:cs="宋体"/>
          <w:color w:val="auto"/>
          <w:sz w:val="24"/>
          <w:highlight w:val="none"/>
        </w:rPr>
        <w:t xml:space="preserve">17605253385</w:t>
      </w:r>
      <w:r>
        <w:rPr>
          <w:rFonts w:hint="eastAsia" w:ascii="宋体" w:hAnsi="宋体" w:eastAsia="宋体" w:cs="宋体"/>
          <w:color w:val="auto"/>
          <w:highlight w:val="none"/>
        </w:rPr>
        <w:t xml:space="preserve">）。</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 以下情形的质疑不予受理</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28.5.1内容不符合《政府采购质疑和投诉办法》第十二条规定的质疑。</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28.5.2超出政府采购法定期限的质疑。</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28.5.3以传真、电子邮件等方式递交的非原件形式的质疑。</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28.5.4未参加投标活动的供应商或在投标活动中自身权益未受到损害的供应商所提出的质疑。</w:t>
      </w:r>
      <w:r/>
    </w:p>
    <w:p>
      <w:pPr>
        <w:pStyle w:val="885"/>
        <w:ind w:firstLine="48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28.5.5供应商组成联合体参加投标，联合体中任何一方或多方未按要求签字、盖章、加盖公章的质疑。</w:t>
      </w:r>
      <w:r/>
    </w:p>
    <w:p>
      <w:pPr>
        <w:pStyle w:val="885"/>
        <w:ind w:firstLine="468"/>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28.6供应商提出书面质疑必须有理、有据，不得捏造事实、提供虚假材料进行恶意质疑。否则，一经查实，采购人</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有权依据政府采购的有关规定，报请政府采购监管部门对该供应商进行相应的行政处罚和记录该供应商的失信信息。</w:t>
      </w:r>
      <w:r/>
    </w:p>
    <w:p>
      <w:pPr>
        <w:pStyle w:val="88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30"/>
          <w:szCs w:val="30"/>
          <w:highlight w:val="none"/>
        </w:rPr>
        <w:t xml:space="preserve">29、中标通知书</w:t>
      </w:r>
      <w:r/>
    </w:p>
    <w:p>
      <w:pPr>
        <w:pStyle w:val="88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29.l中标结果确定后，</w:t>
      </w:r>
      <w:r>
        <w:rPr>
          <w:rFonts w:hint="eastAsia" w:asciiTheme="minorEastAsia" w:hAnsiTheme="minorEastAsia" w:cstheme="minorEastAsia"/>
          <w:color w:val="auto"/>
          <w:highlight w:val="none"/>
          <w:lang w:val="en-US" w:eastAsia="zh-CN"/>
        </w:rPr>
        <w:t xml:space="preserve">采购代理机构</w:t>
      </w:r>
      <w:r>
        <w:rPr>
          <w:rFonts w:hint="eastAsia" w:asciiTheme="minorEastAsia" w:hAnsiTheme="minorEastAsia" w:eastAsiaTheme="minorEastAsia" w:cstheme="minorEastAsia"/>
          <w:color w:val="auto"/>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8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85"/>
        <w:jc w:val="both"/>
        <w:keepLines/>
        <w:keepNext/>
        <w:pageBreakBefore w:val="0"/>
        <w:spacing w:before="145" w:beforeAutospacing="0" w:after="145" w:afterAutospacing="0" w:line="480" w:lineRule="exact"/>
        <w:widowControl w:val="off"/>
        <w:rPr>
          <w:rFonts w:hint="eastAsia" w:asciiTheme="minorEastAsia" w:hAnsiTheme="minorEastAsia" w:eastAsiaTheme="minorEastAsia" w:cstheme="minorEastAsia"/>
          <w:color w:val="auto"/>
          <w:highlight w:val="none"/>
        </w:rPr>
      </w:pPr>
      <w:r/>
      <w:bookmarkStart w:id="161" w:name="_Toc16938552"/>
      <w:r/>
      <w:bookmarkStart w:id="162" w:name="_Toc120614220"/>
      <w:r/>
      <w:bookmarkStart w:id="163" w:name="_Toc20823308"/>
      <w:r/>
      <w:bookmarkStart w:id="164" w:name="_Toc513029236"/>
      <w:r>
        <w:rPr>
          <w:rFonts w:hint="eastAsia" w:asciiTheme="minorEastAsia" w:hAnsiTheme="minorEastAsia" w:eastAsiaTheme="minorEastAsia" w:cstheme="minorEastAsia"/>
          <w:b/>
          <w:color w:val="auto"/>
          <w:sz w:val="32"/>
          <w:szCs w:val="32"/>
          <w:highlight w:val="none"/>
        </w:rPr>
        <w:t xml:space="preserve">七、授予合同</w:t>
      </w:r>
      <w:bookmarkEnd w:id="161"/>
      <w:r/>
      <w:bookmarkEnd w:id="162"/>
      <w:r/>
      <w:bookmarkEnd w:id="163"/>
      <w:r/>
      <w:bookmarkEnd w:id="164"/>
      <w:r/>
      <w:r/>
    </w:p>
    <w:p>
      <w:pPr>
        <w:pStyle w:val="885"/>
        <w:ind w:firstLine="600"/>
        <w:jc w:val="both"/>
        <w:keepLines/>
        <w:keepNext/>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bookmarkStart w:id="165" w:name="_Toc16938553"/>
      <w:r/>
      <w:bookmarkStart w:id="166" w:name="_Toc20823309"/>
      <w:r/>
      <w:bookmarkStart w:id="167" w:name="_Toc513029237"/>
      <w:r>
        <w:rPr>
          <w:rFonts w:hint="eastAsia" w:asciiTheme="minorEastAsia" w:hAnsiTheme="minorEastAsia" w:eastAsiaTheme="minorEastAsia" w:cstheme="minorEastAsia"/>
          <w:color w:val="auto"/>
          <w:sz w:val="30"/>
          <w:szCs w:val="30"/>
          <w:highlight w:val="none"/>
        </w:rPr>
        <w:t xml:space="preserve">30.签订合同</w:t>
      </w:r>
      <w:bookmarkEnd w:id="165"/>
      <w:r/>
      <w:bookmarkEnd w:id="166"/>
      <w:r/>
      <w:bookmarkEnd w:id="167"/>
      <w:r/>
      <w:r/>
    </w:p>
    <w:p>
      <w:pPr>
        <w:pStyle w:val="88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30.l中标人应当在中标通知书发出之日起三十日内，按照招标文件确定的事项与采购人签订政府采购合同。</w:t>
      </w:r>
      <w:r/>
    </w:p>
    <w:p>
      <w:pPr>
        <w:pStyle w:val="88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30.2招标文件、中标人的投标文件及招标过程中有关澄清、承诺文件均应作为合同附件。</w:t>
      </w:r>
      <w:r/>
    </w:p>
    <w:p>
      <w:pPr>
        <w:pStyle w:val="885"/>
        <w:ind w:firstLine="600"/>
        <w:jc w:val="both"/>
        <w:pageBreakBefore w:val="0"/>
        <w:spacing w:beforeAutospacing="0" w:afterAutospacing="0" w:line="480" w:lineRule="exact"/>
        <w:widowControl w:val="off"/>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30.3签订合同后，</w:t>
      </w:r>
      <w:r>
        <w:rPr>
          <w:rFonts w:hint="eastAsia" w:asciiTheme="minorEastAsia" w:hAnsiTheme="minorEastAsia" w:eastAsiaTheme="minorEastAsia" w:cstheme="minorEastAsia"/>
          <w:i/>
          <w:color w:val="auto"/>
          <w:highlight w:val="none"/>
          <w:u w:val="single"/>
        </w:rPr>
        <w:t xml:space="preserve">中标人不得将合同标的进行转包</w:t>
      </w:r>
      <w:r>
        <w:rPr>
          <w:rFonts w:hint="eastAsia" w:asciiTheme="minorEastAsia" w:hAnsiTheme="minorEastAsia" w:eastAsiaTheme="minorEastAsia" w:cstheme="minorEastAsia"/>
          <w:color w:val="auto"/>
          <w:highlight w:val="none"/>
        </w:rPr>
        <w:t xml:space="preserve">。未经采购人同意，中标人也不得采用分包的形式履行合同，否则采购人有权终止合同。转包或分包造成采购人损失的，中标人应承担相应赔偿责任。</w:t>
      </w:r>
      <w:r/>
    </w:p>
    <w:p>
      <w:pPr>
        <w:pStyle w:val="885"/>
        <w:ind w:firstLine="600"/>
        <w:jc w:val="both"/>
        <w:keepLines/>
        <w:keepNext/>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sz w:val="30"/>
          <w:szCs w:val="30"/>
          <w:highlight w:val="none"/>
        </w:rPr>
        <w:t xml:space="preserve">31、服务（包含与服务相关的货物）的追加</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85"/>
        <w:ind w:firstLine="600"/>
        <w:jc w:val="both"/>
        <w:keepLines/>
        <w:keepNext/>
        <w:pageBreakBefore w:val="0"/>
        <w:spacing w:beforeAutospacing="0" w:afterAutospacing="0" w:line="480" w:lineRule="exact"/>
        <w:widowControl w:val="off"/>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 xml:space="preserve">32.政府采购政策功能落实</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32.1</w:t>
      </w:r>
      <w:r>
        <w:rPr>
          <w:rFonts w:hint="eastAsia" w:ascii="宋体" w:hAnsi="宋体" w:eastAsia="宋体" w:cs="宋体"/>
          <w:color w:val="auto"/>
          <w:highlight w:val="none"/>
        </w:rPr>
        <w:t xml:space="preserve">政府采购</w:t>
      </w:r>
      <w:r>
        <w:rPr>
          <w:rFonts w:hint="eastAsia" w:ascii="宋体" w:hAnsi="宋体" w:eastAsia="宋体" w:cs="宋体"/>
          <w:color w:val="auto"/>
          <w:highlight w:val="none"/>
          <w:lang w:eastAsia="zh-CN"/>
        </w:rPr>
        <w:t xml:space="preserve">线上合同信用融资</w:t>
      </w:r>
      <w:r>
        <w:rPr>
          <w:rFonts w:hint="eastAsia" w:ascii="宋体" w:hAnsi="宋体" w:eastAsia="宋体" w:cs="宋体"/>
          <w:color w:val="auto"/>
          <w:highlight w:val="none"/>
        </w:rPr>
        <w:t xml:space="preserve">政策</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highlight w:val="none"/>
          <w:lang w:val="en-US" w:eastAsia="zh-CN"/>
        </w:rPr>
        <w:t xml:space="preserve">江苏</w:t>
      </w:r>
      <w:r>
        <w:rPr>
          <w:rFonts w:hint="eastAsia" w:ascii="宋体" w:hAnsi="宋体" w:eastAsia="宋体" w:cs="宋体"/>
          <w:color w:val="auto"/>
          <w:highlight w:val="none"/>
        </w:rPr>
        <w:t xml:space="preserve">政府采购网“政采贷”栏目）申请贷款，相关金融机构按照双方自愿的原则提供便捷、优惠的贷款服务；具体操作流程请参考苏采云系统中操作手册。</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32.2进口产品</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进口产品</w:t>
      </w:r>
      <w:r>
        <w:rPr>
          <w:rFonts w:hint="eastAsia" w:ascii="宋体" w:hAnsi="宋体" w:eastAsia="宋体" w:cs="宋体"/>
          <w:color w:val="auto"/>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32.3中小企业、监狱企业及残疾人福利性单位</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32.3.1中小企业定义：</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中小企业是</w:t>
      </w:r>
      <w:r>
        <w:rPr>
          <w:rFonts w:hint="eastAsia" w:ascii="宋体" w:hAnsi="宋体" w:eastAsia="宋体" w:cs="宋体"/>
          <w:color w:val="auto"/>
          <w:highlight w:val="none"/>
          <w:lang w:val="en-US" w:eastAsia="zh-CN"/>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32.3.2供应商提供的货物、工程或者服务符合下列情形的，享受中小企业扶持政策：</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32.3.2.1在货物采购项目中，货物由中小企业制造，即货物由中小企业生产且使用该中小企业商号或者注册商标；</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32.3.2.2在工程采购项目中，工程由中小企业承建，即工程施工单位为中小企业；</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32.3.2.3在服务采购项目中，服务由中小企业承接，即提供服务的人员为中小企业依照《中华人民共和国劳动合同法》订立劳动合同的从业人员。</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32.3.3在货物采购项目中，供应商提供的货物既有中小企业制造货物，也有大型企业制造货物的，不享受中小企业扶持政策。</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32.3.4以联合体形式参加政府采购活动，联合体各方均为中小企业的，联合体视同中小企业。其中，联合体各方均为小微企业的，联合体视同小微企业。</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32.3.6残疾人福利单位定义：享受政府采购支持政策的残疾人福利性单位应当同时满足以下条件：</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32.3.6.1安置的残疾人占本单位在职职工人数的比例不低于25%（含25%），并且安置的残疾人人数不少于10 人（含10 人）；</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32.3.6.2依法与安置的每位残疾人签订了一年以上（含一年）的劳动合同或服务协议；</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32.3.6.3为安置的每位残疾人按月足额缴纳了基本养老保险、基本医疗保险、失业保险、工伤保险和生育保险等社会保险费；</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32.3.6.4通过银行等金融机构向安置的每位残疾人，按月支付了不低于单位所在区县适用的经省级人民政府批准的月最低工资标准的工资；</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32.3.6.5提供本单位制造的货物、承担的工程或者服务（以下简称产品），或者提供其他残疾人福利性单位制造的货物（不包括使用非残疾人福利性单位注册商标的货物）；</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32.3.7本项目是否专门面向中小企业预留采购份额见第一章《招标公告》。</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32.3.8采购标的对应的中小企业划分标准所属行业见第四章《采购需求》。</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32.3.9小微企业价格评审优惠的政策：见第五章《评标方法和评标标准》。</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32.4政府采购节能产品、环境标志产品</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32.4.1严格执行政府采购关于支持</w:t>
      </w:r>
      <w:r>
        <w:rPr>
          <w:rFonts w:hint="eastAsia" w:ascii="宋体" w:hAnsi="宋体" w:eastAsia="宋体" w:cs="宋体"/>
          <w:color w:val="auto"/>
          <w:highlight w:val="none"/>
          <w:lang w:val="en-US" w:eastAsia="zh-CN"/>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32.5绿色包装</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32.6政府采购创新产品</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采购人优先采购各级政府部门公开发布的有效期内的创新产品、创新服务、首台套、首购首用等《目录》的创新产品。</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32.7绿色数据中心政策 </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本文件中若涉及到数据中心采购，采购人应依据《绿色数据中心政府采购需求标准（试行）》（财办库〔2023〕7号）文件精神</w:t>
      </w:r>
      <w:r>
        <w:rPr>
          <w:rFonts w:hint="eastAsia" w:ascii="宋体" w:hAnsi="宋体" w:eastAsia="宋体" w:cs="宋体"/>
          <w:color w:val="auto"/>
          <w:highlight w:val="none"/>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32.8履约保证金政策</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确需收取履约保证金的，履约保证金的缴纳形式：</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 如以履约保函（保险）形式缴纳履约保证金，供应商可通过政府采购电子履约保函（保险）平台（www.jsdzbh.com）在线申请履约保函（保险）。</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履约保证金金额为合同金额的10%，采购人对第三方信用服务机构依据标准规范评定为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部门备案的第三方信用报告，且信用报告通过“信用盐城网”可查实），免收履约保证金或降低履约保证金缴纳比例，本项目约定为降低履约保证金至合同价的5%。</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33. 预付款制度</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本项目落实预付款制度，预付款比例为30%。在签订合同时，中标、成交供应商明确书面表示无需预付款或者主动要求降低预付款比例的，采购人可就预付款比例作相应调整。</w:t>
      </w:r>
      <w:r/>
    </w:p>
    <w:p>
      <w:pPr>
        <w:pStyle w:val="885"/>
        <w:ind w:firstLine="480"/>
        <w:jc w:val="both"/>
        <w:pageBreakBefore w:val="0"/>
        <w:spacing w:beforeAutospacing="0" w:afterAutospacing="0" w:line="480" w:lineRule="exact"/>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p>
      <w:pPr>
        <w:rPr>
          <w:rFonts w:hint="eastAsia" w:asciiTheme="minorEastAsia" w:hAnsiTheme="minorEastAsia" w:eastAsiaTheme="minorEastAsia" w:cstheme="minorEastAsia"/>
          <w:color w:val="auto"/>
          <w:sz w:val="44"/>
          <w:szCs w:val="44"/>
          <w:highlight w:val="none"/>
        </w:rPr>
      </w:pPr>
      <w:r>
        <w:rPr>
          <w:rFonts w:hint="eastAsia" w:ascii="宋体" w:hAnsi="宋体" w:eastAsia="宋体" w:cs="宋体"/>
          <w:color w:val="auto"/>
          <w:highlight w:val="none"/>
          <w:lang w:val="en-US" w:eastAsia="zh-CN"/>
        </w:rPr>
        <w:t xml:space="preserve"> </w:t>
      </w:r>
      <w:bookmarkStart w:id="168" w:name="_Toc24191"/>
      <w:r/>
      <w:r/>
    </w:p>
    <w:p>
      <w:pPr>
        <w:shd w:val="nil"/>
        <w:rPr>
          <w:rFonts w:hint="eastAsia" w:asciiTheme="minorEastAsia" w:hAnsiTheme="minorEastAsia" w:eastAsiaTheme="minorEastAsia" w:cstheme="minorEastAsia"/>
          <w:color w:val="auto"/>
          <w:sz w:val="44"/>
          <w:szCs w:val="44"/>
          <w:highlight w:val="none"/>
        </w:rPr>
        <w:outlineLvl w:val="0"/>
      </w:pPr>
      <w:r>
        <w:rPr>
          <w:highlight w:val="none"/>
        </w:rPr>
        <w:br w:type="page" w:clear="all"/>
      </w:r>
      <w:r>
        <w:rPr>
          <w:highlight w:val="none"/>
        </w:rPr>
      </w:r>
    </w:p>
    <w:p>
      <w:pPr>
        <w:pStyle w:val="885"/>
        <w:jc w:val="center"/>
        <w:keepNext/>
        <w:spacing w:beforeAutospacing="0" w:afterAutospacing="0"/>
        <w:rPr>
          <w:rFonts w:asciiTheme="minorEastAsia" w:hAnsiTheme="minorEastAsia" w:eastAsiaTheme="minorEastAsia" w:cstheme="minorEastAsia"/>
          <w:highlight w:val="none"/>
        </w:rPr>
        <w:outlineLvl w:val="0"/>
      </w:pPr>
      <w:r>
        <w:rPr>
          <w:rFonts w:hint="eastAsia" w:asciiTheme="minorEastAsia" w:hAnsiTheme="minorEastAsia" w:eastAsiaTheme="minorEastAsia" w:cstheme="minorEastAsia"/>
          <w:color w:val="auto"/>
          <w:sz w:val="44"/>
          <w:szCs w:val="44"/>
          <w:highlight w:val="none"/>
        </w:rPr>
        <w:t xml:space="preserve">第三章 合同文本</w:t>
      </w:r>
      <w:bookmarkEnd w:id="168"/>
      <w:r/>
      <w:r/>
    </w:p>
    <w:p>
      <w:pPr>
        <w:pStyle w:val="885"/>
        <w:jc w:val="center"/>
        <w:keepNext/>
        <w:spacing w:beforeAutospacing="0" w:afterAutospacing="0"/>
        <w:rPr>
          <w:rFonts w:hint="eastAsia" w:asciiTheme="minorEastAsia" w:hAnsiTheme="minorEastAsia" w:eastAsiaTheme="minorEastAsia" w:cstheme="minorEastAsia"/>
          <w:color w:val="auto"/>
          <w:sz w:val="44"/>
          <w:szCs w:val="44"/>
          <w:highlight w:val="none"/>
        </w:rPr>
        <w:outlineLvl w:val="0"/>
      </w:pPr>
      <w:r>
        <w:rPr>
          <w:rFonts w:hint="eastAsia" w:asciiTheme="minorEastAsia" w:hAnsiTheme="minorEastAsia" w:eastAsiaTheme="minorEastAsia" w:cstheme="minorEastAsia"/>
          <w:color w:val="auto"/>
          <w:sz w:val="44"/>
          <w:szCs w:val="44"/>
          <w:highlight w:val="none"/>
        </w:rPr>
      </w:r>
      <w:r/>
    </w:p>
    <w:p>
      <w:pPr>
        <w:jc w:val="center"/>
        <w:spacing w:line="360" w:lineRule="auto"/>
        <w:rPr>
          <w:rFonts w:ascii="宋体" w:hAnsi="宋体" w:cs="宋体"/>
          <w:b/>
          <w:color w:val="000000"/>
          <w:spacing w:val="15"/>
          <w:sz w:val="44"/>
          <w:szCs w:val="44"/>
          <w:highlight w:val="none"/>
          <w:shd w:val="clear" w:color="auto" w:fill="ffffff"/>
        </w:rPr>
      </w:pPr>
      <w:r/>
      <w:bookmarkStart w:id="169" w:name="_Toc479757211"/>
      <w:r/>
      <w:bookmarkStart w:id="170" w:name="_Toc120614244"/>
      <w:r/>
      <w:bookmarkStart w:id="171" w:name="_Hlt16619350"/>
      <w:r/>
      <w:bookmarkStart w:id="172" w:name="_Toc16938590"/>
      <w:r/>
      <w:bookmarkStart w:id="173" w:name="_Toc462564139"/>
      <w:r/>
      <w:bookmarkStart w:id="174" w:name="_Toc20823346"/>
      <w:r/>
      <w:bookmarkStart w:id="175" w:name="_Hlt16619369"/>
      <w:r>
        <w:rPr>
          <w:rFonts w:hint="eastAsia" w:ascii="宋体" w:hAnsi="宋体" w:cs="宋体"/>
          <w:b/>
          <w:color w:val="000000"/>
          <w:spacing w:val="15"/>
          <w:sz w:val="44"/>
          <w:szCs w:val="44"/>
          <w:highlight w:val="none"/>
          <w:shd w:val="clear" w:color="auto" w:fill="ffffff"/>
          <w:lang w:eastAsia="zh-CN"/>
        </w:rPr>
        <w:t xml:space="preserve">伍佑街道2025年秸秆离田项目</w:t>
      </w:r>
      <w:r/>
    </w:p>
    <w:p>
      <w:pPr>
        <w:jc w:val="center"/>
        <w:spacing w:line="360" w:lineRule="auto"/>
        <w:rPr>
          <w:rFonts w:ascii="宋体" w:hAnsi="宋体" w:cs="宋体"/>
          <w:color w:val="000000"/>
          <w:sz w:val="56"/>
          <w:szCs w:val="56"/>
          <w:highlight w:val="none"/>
        </w:rPr>
      </w:pPr>
      <w:r>
        <w:rPr>
          <w:rFonts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hint="eastAsia" w:ascii="宋体" w:hAnsi="宋体" w:cs="宋体"/>
          <w:color w:val="000000"/>
          <w:sz w:val="56"/>
          <w:szCs w:val="56"/>
          <w:highlight w:val="none"/>
        </w:rPr>
        <w:t xml:space="preserve">合</w:t>
      </w:r>
      <w:r/>
    </w:p>
    <w:p>
      <w:pPr>
        <w:jc w:val="center"/>
        <w:spacing w:line="360" w:lineRule="auto"/>
        <w:rPr>
          <w:rFonts w:ascii="宋体" w:hAnsi="宋体" w:cs="宋体"/>
          <w:color w:val="000000"/>
          <w:sz w:val="56"/>
          <w:szCs w:val="56"/>
          <w:highlight w:val="none"/>
        </w:rPr>
      </w:pPr>
      <w:r>
        <w:rPr>
          <w:rFonts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hint="eastAsia" w:ascii="宋体" w:hAnsi="宋体" w:cs="宋体"/>
          <w:color w:val="000000"/>
          <w:sz w:val="56"/>
          <w:szCs w:val="56"/>
          <w:highlight w:val="none"/>
        </w:rPr>
        <w:t xml:space="preserve">同</w:t>
      </w:r>
      <w:r/>
    </w:p>
    <w:p>
      <w:pPr>
        <w:jc w:val="center"/>
        <w:spacing w:line="360" w:lineRule="auto"/>
        <w:rPr>
          <w:rFonts w:ascii="宋体" w:hAnsi="宋体" w:cs="宋体"/>
          <w:color w:val="000000"/>
          <w:sz w:val="56"/>
          <w:szCs w:val="56"/>
          <w:highlight w:val="none"/>
        </w:rPr>
      </w:pPr>
      <w:r>
        <w:rPr>
          <w:rFonts w:ascii="宋体" w:hAnsi="宋体" w:cs="宋体"/>
          <w:color w:val="000000"/>
          <w:sz w:val="56"/>
          <w:szCs w:val="56"/>
          <w:highlight w:val="none"/>
        </w:rPr>
      </w:r>
      <w:r/>
    </w:p>
    <w:p>
      <w:pPr>
        <w:jc w:val="center"/>
        <w:spacing w:line="360" w:lineRule="auto"/>
        <w:rPr>
          <w:rFonts w:ascii="宋体" w:hAnsi="宋体" w:cs="宋体"/>
          <w:color w:val="000000"/>
          <w:sz w:val="56"/>
          <w:szCs w:val="56"/>
          <w:highlight w:val="none"/>
        </w:rPr>
      </w:pPr>
      <w:r>
        <w:rPr>
          <w:rFonts w:hint="eastAsia" w:ascii="宋体" w:hAnsi="宋体" w:cs="宋体"/>
          <w:color w:val="000000"/>
          <w:sz w:val="56"/>
          <w:szCs w:val="56"/>
          <w:highlight w:val="none"/>
        </w:rPr>
        <w:t xml:space="preserve">书</w:t>
      </w:r>
      <w:r/>
    </w:p>
    <w:p>
      <w:pPr>
        <w:pStyle w:val="910"/>
        <w:ind w:firstLine="560"/>
        <w:rPr>
          <w:rFonts w:cs="宋体"/>
          <w:color w:val="000000"/>
          <w:sz w:val="28"/>
          <w:szCs w:val="28"/>
          <w:highlight w:val="none"/>
        </w:rPr>
      </w:pPr>
      <w:r>
        <w:rPr>
          <w:rFonts w:cs="宋体"/>
          <w:color w:val="000000"/>
          <w:sz w:val="28"/>
          <w:szCs w:val="28"/>
          <w:highlight w:val="none"/>
        </w:rPr>
      </w:r>
      <w:r/>
    </w:p>
    <w:p>
      <w:pPr>
        <w:rPr>
          <w:rFonts w:ascii="宋体" w:hAnsi="宋体" w:cs="宋体"/>
          <w:color w:val="000000"/>
          <w:sz w:val="28"/>
          <w:szCs w:val="28"/>
          <w:highlight w:val="none"/>
        </w:rPr>
      </w:pPr>
      <w:r>
        <w:rPr>
          <w:rFonts w:ascii="宋体" w:hAnsi="宋体" w:cs="宋体"/>
          <w:color w:val="000000"/>
          <w:sz w:val="28"/>
          <w:szCs w:val="28"/>
          <w:highlight w:val="none"/>
        </w:rPr>
      </w:r>
      <w:r/>
    </w:p>
    <w:p>
      <w:pPr>
        <w:pStyle w:val="910"/>
        <w:rPr>
          <w:rFonts w:cs="宋体"/>
          <w:color w:val="000000"/>
          <w:highlight w:val="none"/>
        </w:rPr>
      </w:pPr>
      <w:r>
        <w:rPr>
          <w:rFonts w:cs="宋体"/>
          <w:color w:val="000000"/>
          <w:highlight w:val="none"/>
        </w:rPr>
      </w:r>
      <w:r/>
    </w:p>
    <w:p>
      <w:pPr>
        <w:rPr>
          <w:rFonts w:ascii="宋体" w:hAnsi="宋体" w:cs="宋体"/>
          <w:color w:val="000000"/>
          <w:highlight w:val="none"/>
        </w:rPr>
      </w:pPr>
      <w:r>
        <w:rPr>
          <w:rFonts w:ascii="宋体" w:hAnsi="宋体" w:cs="宋体"/>
          <w:color w:val="000000"/>
          <w:highlight w:val="none"/>
        </w:rPr>
      </w:r>
      <w:r/>
    </w:p>
    <w:p>
      <w:pPr>
        <w:ind w:firstLine="560"/>
        <w:spacing w:line="480" w:lineRule="exact"/>
        <w:rPr>
          <w:rFonts w:hint="default" w:ascii="宋体" w:hAnsi="宋体" w:cs="宋体" w:eastAsiaTheme="minorEastAsia"/>
          <w:color w:val="000000"/>
          <w:highlight w:val="none"/>
          <w:lang w:val="en-US" w:eastAsia="zh-CN"/>
        </w:rPr>
      </w:pPr>
      <w:r>
        <w:rPr>
          <w:rFonts w:hint="eastAsia" w:ascii="宋体" w:hAnsi="宋体" w:cs="宋体"/>
          <w:bCs/>
          <w:color w:val="000000"/>
          <w:sz w:val="28"/>
          <w:szCs w:val="28"/>
          <w:highlight w:val="none"/>
          <w:lang w:val="en-US" w:eastAsia="zh-CN"/>
        </w:rPr>
        <w:t xml:space="preserve">甲方</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u w:val="single"/>
        </w:rPr>
        <w:t xml:space="preserve"> 江苏省盐南高新技术产业开发区</w:t>
      </w:r>
      <w:r>
        <w:rPr>
          <w:rFonts w:hint="eastAsia" w:ascii="宋体" w:hAnsi="宋体" w:cs="宋体"/>
          <w:bCs/>
          <w:color w:val="000000"/>
          <w:sz w:val="28"/>
          <w:szCs w:val="28"/>
          <w:highlight w:val="none"/>
          <w:u w:val="single"/>
          <w:lang w:val="en-US" w:eastAsia="zh-CN"/>
        </w:rPr>
        <w:t xml:space="preserve">伍佑街道办事处</w:t>
      </w:r>
      <w:r/>
    </w:p>
    <w:p>
      <w:pPr>
        <w:pStyle w:val="910"/>
        <w:ind w:firstLine="560"/>
        <w:rPr>
          <w:rFonts w:cs="宋体"/>
          <w:color w:val="000000"/>
          <w:sz w:val="28"/>
          <w:szCs w:val="28"/>
          <w:highlight w:val="none"/>
        </w:rPr>
      </w:pPr>
      <w:r>
        <w:rPr>
          <w:rFonts w:hint="eastAsia" w:cs="宋体"/>
          <w:color w:val="000000"/>
          <w:sz w:val="28"/>
          <w:szCs w:val="28"/>
          <w:highlight w:val="none"/>
          <w:lang w:val="en-US" w:eastAsia="zh-CN"/>
        </w:rPr>
        <w:t xml:space="preserve">乙方</w:t>
      </w:r>
      <w:r>
        <w:rPr>
          <w:rFonts w:hint="eastAsia" w:cs="宋体"/>
          <w:color w:val="000000"/>
          <w:sz w:val="28"/>
          <w:szCs w:val="28"/>
          <w:highlight w:val="none"/>
        </w:rPr>
        <w:t xml:space="preserve">：</w:t>
      </w:r>
      <w:r>
        <w:rPr>
          <w:rFonts w:hint="eastAsia" w:cs="宋体"/>
          <w:color w:val="000000"/>
          <w:sz w:val="28"/>
          <w:szCs w:val="28"/>
          <w:highlight w:val="none"/>
          <w:u w:val="single"/>
        </w:rPr>
        <w:t xml:space="preserve">                                          </w:t>
      </w:r>
      <w:r>
        <w:rPr>
          <w:rFonts w:hint="eastAsia" w:cs="宋体"/>
          <w:color w:val="000000"/>
          <w:sz w:val="28"/>
          <w:szCs w:val="28"/>
          <w:highlight w:val="none"/>
          <w:u w:val="single"/>
          <w:lang w:val="en-US" w:eastAsia="zh-CN"/>
        </w:rPr>
        <w:t xml:space="preserve"> </w:t>
      </w:r>
      <w:r>
        <w:rPr>
          <w:rFonts w:hint="eastAsia" w:cs="宋体"/>
          <w:color w:val="000000"/>
          <w:sz w:val="28"/>
          <w:szCs w:val="28"/>
          <w:highlight w:val="none"/>
        </w:rPr>
        <w:t xml:space="preserve">         </w:t>
      </w:r>
      <w:r/>
    </w:p>
    <w:p>
      <w:pPr>
        <w:rPr>
          <w:rFonts w:ascii="宋体" w:hAnsi="宋体" w:cs="宋体"/>
          <w:color w:val="000000"/>
          <w:sz w:val="28"/>
          <w:szCs w:val="28"/>
          <w:highlight w:val="none"/>
          <w:u w:val="single"/>
        </w:rPr>
      </w:pPr>
      <w:r>
        <w:rPr>
          <w:rFonts w:ascii="宋体" w:hAnsi="宋体" w:cs="宋体"/>
          <w:color w:val="000000"/>
          <w:sz w:val="28"/>
          <w:szCs w:val="28"/>
          <w:highlight w:val="none"/>
          <w:u w:val="single"/>
        </w:rPr>
      </w:r>
      <w:r/>
    </w:p>
    <w:p>
      <w:pPr>
        <w:pStyle w:val="910"/>
        <w:rPr>
          <w:rFonts w:cs="宋体"/>
          <w:color w:val="000000"/>
          <w:highlight w:val="none"/>
        </w:rPr>
      </w:pPr>
      <w:r>
        <w:rPr>
          <w:rFonts w:cs="宋体"/>
          <w:color w:val="000000"/>
          <w:highlight w:val="none"/>
        </w:rPr>
      </w:r>
      <w:r/>
    </w:p>
    <w:p>
      <w:pPr>
        <w:rPr>
          <w:color w:val="000000"/>
          <w:highlight w:val="none"/>
        </w:rPr>
      </w:pPr>
      <w:r>
        <w:rPr>
          <w:color w:val="000000"/>
          <w:highlight w:val="none"/>
        </w:rPr>
      </w:r>
      <w:r/>
    </w:p>
    <w:p>
      <w:pPr>
        <w:pStyle w:val="913"/>
        <w:ind w:firstLine="364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202</w:t>
      </w:r>
      <w:r>
        <w:rPr>
          <w:rFonts w:hint="eastAsia" w:ascii="宋体" w:hAnsi="宋体" w:eastAsia="宋体" w:cs="宋体"/>
          <w:color w:val="000000"/>
          <w:sz w:val="28"/>
          <w:szCs w:val="28"/>
          <w:highlight w:val="none"/>
          <w:lang w:val="en-US" w:eastAsia="zh-CN"/>
        </w:rPr>
        <w:t xml:space="preserve">5</w:t>
      </w:r>
      <w:r>
        <w:rPr>
          <w:rFonts w:hint="eastAsia" w:ascii="宋体" w:hAnsi="宋体" w:eastAsia="宋体" w:cs="宋体"/>
          <w:color w:val="000000"/>
          <w:sz w:val="28"/>
          <w:szCs w:val="28"/>
          <w:highlight w:val="none"/>
        </w:rPr>
        <w:t xml:space="preserve">年</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月  日</w:t>
      </w:r>
      <w:r/>
    </w:p>
    <w:p>
      <w:pPr>
        <w:shd w:val="nil"/>
        <w:rPr>
          <w:rFonts w:ascii="宋体" w:hAnsi="宋体" w:cs="宋体"/>
          <w:color w:val="auto"/>
          <w:sz w:val="24"/>
          <w:szCs w:val="24"/>
          <w:highlight w:val="none"/>
        </w:rPr>
      </w:pPr>
      <w:r>
        <w:rPr>
          <w:highlight w:val="none"/>
        </w:rPr>
        <w:br w:type="page" w:clear="all"/>
      </w:r>
      <w:r>
        <w:rPr>
          <w:highlight w:val="none"/>
        </w:rPr>
      </w:r>
    </w:p>
    <w:p>
      <w:pPr>
        <w:ind w:firstLine="480"/>
        <w:spacing w:line="500" w:lineRule="exact"/>
        <w:rPr>
          <w:highlight w:val="none"/>
        </w:rPr>
      </w:pPr>
      <w:r/>
      <w:bookmarkStart w:id="176" w:name="_Toc513029243"/>
      <w:r/>
      <w:bookmarkStart w:id="177" w:name="_Toc20823315"/>
      <w:r/>
      <w:bookmarkStart w:id="178" w:name="_Toc16938559"/>
      <w:r/>
      <w:bookmarkStart w:id="179" w:name="_Toc20593"/>
      <w:r>
        <w:rPr>
          <w:rFonts w:hint="eastAsia" w:ascii="宋体" w:hAnsi="宋体" w:cs="宋体"/>
          <w:bCs/>
          <w:color w:val="auto"/>
          <w:sz w:val="24"/>
          <w:highlight w:val="none"/>
        </w:rPr>
        <w:t xml:space="preserve">以下为中标后签定本项目合同的通用条款，中标人不得提出实质性的修改，关于专用条款将由采购人与中标人结合本项目具体情况协商后签订。</w:t>
      </w:r>
      <w:bookmarkEnd w:id="176"/>
      <w:r/>
      <w:bookmarkEnd w:id="177"/>
      <w:r/>
      <w:bookmarkEnd w:id="178"/>
      <w:r/>
      <w:r/>
    </w:p>
    <w:p>
      <w:pPr>
        <w:jc w:val="center"/>
        <w:keepLines w:val="0"/>
        <w:keepNext w:val="0"/>
        <w:pageBreakBefore w:val="0"/>
        <w:spacing w:before="143" w:after="143" w:line="440" w:lineRule="exact"/>
        <w:widowControl w:val="off"/>
        <w:rPr>
          <w:rFonts w:ascii="宋体" w:hAnsi="宋体"/>
          <w:b/>
          <w:bCs/>
          <w:color w:val="auto"/>
          <w:sz w:val="30"/>
          <w:szCs w:val="20"/>
          <w:highlight w:val="none"/>
        </w:rPr>
        <w:outlineLvl w:val="0"/>
      </w:pPr>
      <w:r>
        <w:rPr>
          <w:rFonts w:hint="eastAsia" w:ascii="宋体" w:hAnsi="宋体"/>
          <w:b/>
          <w:color w:val="auto"/>
          <w:sz w:val="30"/>
          <w:highlight w:val="none"/>
        </w:rPr>
        <w:t xml:space="preserve">政府采购合同</w:t>
      </w:r>
      <w:r/>
    </w:p>
    <w:p>
      <w:pPr>
        <w:ind w:firstLine="480"/>
        <w:keepLines w:val="0"/>
        <w:keepNext w:val="0"/>
        <w:pageBreakBefore w:val="0"/>
        <w:spacing w:line="440" w:lineRule="exact"/>
        <w:widowControl w:val="off"/>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伍佑街道2025年秸秆离田项目</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甲方：（买方）</w:t>
      </w:r>
      <w:r>
        <w:rPr>
          <w:rFonts w:hint="eastAsia" w:ascii="宋体" w:hAnsi="宋体" w:cs="宋体"/>
          <w:color w:val="auto"/>
          <w:sz w:val="24"/>
          <w:highlight w:val="none"/>
          <w:u w:val="single"/>
        </w:rPr>
        <w:t xml:space="preserve">江苏省盐南高新技术产业开发区伍佑街道办事处</w:t>
      </w:r>
      <w:r/>
    </w:p>
    <w:p>
      <w:pPr>
        <w:ind w:firstLine="480"/>
        <w:keepLines w:val="0"/>
        <w:keepNext w:val="0"/>
        <w:pageBreakBefore w:val="0"/>
        <w:spacing w:line="440" w:lineRule="exact"/>
        <w:widowControl w:val="off"/>
        <w:rPr>
          <w:rFonts w:ascii="宋体" w:hAnsi="宋体" w:cs="宋体"/>
          <w:bCs/>
          <w:color w:val="auto"/>
          <w:sz w:val="24"/>
          <w:highlight w:val="none"/>
          <w:u w:val="single"/>
        </w:rPr>
      </w:pPr>
      <w:r>
        <w:rPr>
          <w:rFonts w:hint="eastAsia" w:ascii="宋体" w:hAnsi="宋体" w:cs="宋体"/>
          <w:color w:val="auto"/>
          <w:sz w:val="24"/>
          <w:highlight w:val="none"/>
        </w:rPr>
        <w:t xml:space="preserve">乙方：（卖方）</w:t>
      </w:r>
      <w:r>
        <w:rPr>
          <w:rFonts w:hint="eastAsia" w:ascii="宋体" w:hAnsi="宋体" w:cs="宋体"/>
          <w:color w:val="auto"/>
          <w:sz w:val="24"/>
          <w:highlight w:val="none"/>
          <w:u w:val="single"/>
        </w:rPr>
        <w:t xml:space="preserve">                             </w:t>
      </w:r>
      <w:r/>
    </w:p>
    <w:p>
      <w:pPr>
        <w:pStyle w:val="880"/>
        <w:ind w:firstLine="480"/>
        <w:keepLines w:val="0"/>
        <w:keepNext w:val="0"/>
        <w:pageBreakBefore w:val="0"/>
        <w:spacing w:before="120" w:after="120" w:line="440" w:lineRule="exact"/>
        <w:widowControl w:val="off"/>
        <w:rPr>
          <w:rFonts w:hAnsi="宋体" w:cs="宋体"/>
          <w:color w:val="auto"/>
          <w:sz w:val="24"/>
          <w:szCs w:val="24"/>
          <w:highlight w:val="none"/>
        </w:rPr>
      </w:pPr>
      <w:r>
        <w:rPr>
          <w:rFonts w:hint="eastAsia" w:hAnsi="宋体" w:cs="宋体"/>
          <w:color w:val="auto"/>
          <w:sz w:val="24"/>
          <w:szCs w:val="24"/>
          <w:highlight w:val="none"/>
        </w:rPr>
        <w:t xml:space="preserve">甲、乙双方根据</w:t>
      </w:r>
      <w:r>
        <w:rPr>
          <w:rFonts w:hint="eastAsia" w:hAnsi="宋体" w:cs="宋体"/>
          <w:color w:val="auto"/>
          <w:sz w:val="24"/>
          <w:szCs w:val="24"/>
          <w:highlight w:val="none"/>
          <w:u w:val="single"/>
        </w:rPr>
        <w:t xml:space="preserve"> </w:t>
      </w:r>
      <w:r>
        <w:rPr>
          <w:rFonts w:hint="eastAsia" w:hAnsi="宋体" w:cs="宋体"/>
          <w:color w:val="auto"/>
          <w:sz w:val="24"/>
          <w:highlight w:val="none"/>
          <w:u w:val="single"/>
          <w:lang w:eastAsia="zh-CN"/>
        </w:rPr>
        <w:t xml:space="preserve">伍佑街道2025年秸秆离田项目</w:t>
      </w:r>
      <w:r>
        <w:rPr>
          <w:rFonts w:hint="eastAsia" w:hAnsi="宋体" w:cs="宋体"/>
          <w:color w:val="auto"/>
          <w:sz w:val="24"/>
          <w:highlight w:val="none"/>
          <w:u w:val="single"/>
        </w:rPr>
        <w:t xml:space="preserve"> </w:t>
      </w:r>
      <w:r>
        <w:rPr>
          <w:rFonts w:hint="eastAsia" w:hAnsi="宋体" w:cs="宋体"/>
          <w:color w:val="auto"/>
          <w:sz w:val="24"/>
          <w:szCs w:val="24"/>
          <w:highlight w:val="none"/>
          <w:lang w:val="en-US" w:eastAsia="zh-CN"/>
        </w:rPr>
        <w:t xml:space="preserve">公开招标</w:t>
      </w:r>
      <w:r>
        <w:rPr>
          <w:rFonts w:hint="eastAsia" w:hAnsi="宋体" w:cs="宋体"/>
          <w:color w:val="auto"/>
          <w:sz w:val="24"/>
          <w:szCs w:val="24"/>
          <w:highlight w:val="none"/>
        </w:rPr>
        <w:t xml:space="preserve">的结果，签署本合同。</w:t>
      </w:r>
      <w:r/>
    </w:p>
    <w:p>
      <w:pPr>
        <w:pStyle w:val="880"/>
        <w:ind w:firstLine="482"/>
        <w:keepLines w:val="0"/>
        <w:keepNext w:val="0"/>
        <w:pageBreakBefore w:val="0"/>
        <w:spacing w:before="120" w:after="120" w:line="440" w:lineRule="exact"/>
        <w:widowControl w:val="off"/>
        <w:rPr>
          <w:rFonts w:hAnsi="宋体" w:cs="宋体"/>
          <w:b/>
          <w:color w:val="auto"/>
          <w:sz w:val="24"/>
          <w:szCs w:val="24"/>
          <w:highlight w:val="none"/>
        </w:rPr>
      </w:pPr>
      <w:r>
        <w:rPr>
          <w:rFonts w:hint="eastAsia" w:hAnsi="宋体" w:cs="宋体"/>
          <w:b/>
          <w:color w:val="auto"/>
          <w:sz w:val="24"/>
          <w:szCs w:val="24"/>
          <w:highlight w:val="none"/>
        </w:rPr>
        <w:t xml:space="preserve">一、项目内容</w:t>
      </w:r>
      <w:r/>
    </w:p>
    <w:p>
      <w:pPr>
        <w:pStyle w:val="880"/>
        <w:ind w:firstLine="480"/>
        <w:keepLines w:val="0"/>
        <w:keepNext w:val="0"/>
        <w:pageBreakBefore w:val="0"/>
        <w:spacing w:before="120" w:after="120" w:line="440" w:lineRule="exact"/>
        <w:widowControl w:val="off"/>
        <w:rPr>
          <w:rFonts w:hint="eastAsia" w:hAnsi="宋体" w:cs="宋体"/>
          <w:b/>
          <w:color w:val="auto"/>
          <w:sz w:val="24"/>
          <w:szCs w:val="24"/>
          <w:highlight w:val="none"/>
        </w:rPr>
      </w:pPr>
      <w:r>
        <w:rPr>
          <w:rFonts w:hint="eastAsia" w:hAnsi="宋体" w:cs="宋体"/>
          <w:color w:val="auto"/>
          <w:sz w:val="24"/>
          <w:szCs w:val="24"/>
          <w:highlight w:val="none"/>
        </w:rPr>
        <w:t xml:space="preserve">1.1 项目编号： </w:t>
      </w:r>
      <w:r/>
    </w:p>
    <w:p>
      <w:pPr>
        <w:pStyle w:val="880"/>
        <w:ind w:firstLine="480"/>
        <w:keepLines w:val="0"/>
        <w:keepNext w:val="0"/>
        <w:pageBreakBefore w:val="0"/>
        <w:spacing w:before="120" w:after="120" w:line="440" w:lineRule="exact"/>
        <w:widowControl w:val="off"/>
        <w:rPr>
          <w:rFonts w:hAnsi="宋体" w:cs="宋体"/>
          <w:b/>
          <w:color w:val="auto"/>
          <w:sz w:val="24"/>
          <w:szCs w:val="24"/>
          <w:highlight w:val="none"/>
        </w:rPr>
      </w:pPr>
      <w:r>
        <w:rPr>
          <w:rFonts w:hint="eastAsia" w:hAnsi="宋体" w:cs="宋体"/>
          <w:color w:val="auto"/>
          <w:sz w:val="24"/>
          <w:szCs w:val="24"/>
          <w:highlight w:val="none"/>
        </w:rPr>
        <w:t xml:space="preserve">1.2 项目名称：</w:t>
      </w:r>
      <w:r>
        <w:rPr>
          <w:rFonts w:hint="eastAsia" w:hAnsi="宋体" w:cs="宋体"/>
          <w:color w:val="auto"/>
          <w:sz w:val="24"/>
          <w:highlight w:val="none"/>
          <w:lang w:eastAsia="zh-CN"/>
        </w:rPr>
        <w:t xml:space="preserve">伍佑街道2025年秸秆离田项目</w:t>
      </w:r>
      <w:r>
        <w:rPr>
          <w:rFonts w:hint="eastAsia" w:hAnsi="宋体" w:cs="宋体"/>
          <w:color w:val="auto"/>
          <w:sz w:val="24"/>
          <w:szCs w:val="24"/>
          <w:highlight w:val="none"/>
        </w:rPr>
        <w:t xml:space="preserve"> </w:t>
      </w:r>
      <w:r/>
    </w:p>
    <w:p>
      <w:pPr>
        <w:pStyle w:val="880"/>
        <w:ind w:firstLine="482"/>
        <w:keepLines w:val="0"/>
        <w:keepNext w:val="0"/>
        <w:pageBreakBefore w:val="0"/>
        <w:spacing w:before="120" w:after="120" w:line="440" w:lineRule="exact"/>
        <w:widowControl w:val="off"/>
        <w:rPr>
          <w:rFonts w:hAnsi="宋体" w:cs="宋体"/>
          <w:b/>
          <w:color w:val="auto"/>
          <w:sz w:val="24"/>
          <w:szCs w:val="24"/>
          <w:highlight w:val="none"/>
        </w:rPr>
      </w:pPr>
      <w:r>
        <w:rPr>
          <w:rFonts w:hint="eastAsia" w:hAnsi="宋体" w:cs="宋体"/>
          <w:b/>
          <w:color w:val="auto"/>
          <w:sz w:val="24"/>
          <w:szCs w:val="24"/>
          <w:highlight w:val="none"/>
        </w:rPr>
        <w:t xml:space="preserve">二、合同金额</w:t>
      </w:r>
      <w:r/>
    </w:p>
    <w:p>
      <w:pPr>
        <w:pStyle w:val="880"/>
        <w:ind w:firstLine="480"/>
        <w:keepLines w:val="0"/>
        <w:keepNext w:val="0"/>
        <w:pageBreakBefore w:val="0"/>
        <w:spacing w:before="120" w:after="120" w:line="440" w:lineRule="exact"/>
        <w:widowControl w:val="off"/>
        <w:rPr>
          <w:rFonts w:hAnsi="宋体" w:cs="宋体"/>
          <w:color w:val="auto"/>
          <w:sz w:val="24"/>
          <w:szCs w:val="24"/>
          <w:highlight w:val="none"/>
        </w:rPr>
      </w:pPr>
      <w:r>
        <w:rPr>
          <w:rFonts w:hint="eastAsia" w:hAnsi="宋体" w:cs="宋体"/>
          <w:color w:val="auto"/>
          <w:sz w:val="24"/>
          <w:szCs w:val="24"/>
          <w:highlight w:val="none"/>
        </w:rPr>
        <w:t xml:space="preserve">2.1 本合同金额为（大写）：</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元整（</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元）人民币。本合同价款包含但不限于为完成本项目发生的所有费用，包括并不限于</w:t>
      </w:r>
      <w:r>
        <w:rPr>
          <w:rFonts w:hint="eastAsia" w:hAnsi="宋体"/>
          <w:color w:val="auto"/>
          <w:sz w:val="24"/>
          <w:szCs w:val="22"/>
          <w:highlight w:val="none"/>
        </w:rPr>
        <w:t xml:space="preserve">为完成上述内容所必须秸秆离田、秸秆处理、其他费用及管理费、利润、规费、税金、地方矛盾协调等全部费用，凡漏项或少计均视为优惠，采购人不另行增加费用。投标总价为考虑上述各项费用后的投标总价</w:t>
      </w:r>
      <w:r>
        <w:rPr>
          <w:rFonts w:hint="eastAsia" w:hAnsi="宋体" w:cs="宋体"/>
          <w:color w:val="auto"/>
          <w:sz w:val="24"/>
          <w:szCs w:val="24"/>
          <w:highlight w:val="none"/>
        </w:rPr>
        <w:t xml:space="preserve">。甲方在上述合同价款之外不再向乙方支付其他任何费用。</w:t>
      </w:r>
      <w:r/>
    </w:p>
    <w:p>
      <w:pPr>
        <w:pStyle w:val="880"/>
        <w:ind w:firstLine="482"/>
        <w:keepLines w:val="0"/>
        <w:keepNext w:val="0"/>
        <w:pageBreakBefore w:val="0"/>
        <w:spacing w:before="120" w:after="120" w:line="440" w:lineRule="exact"/>
        <w:widowControl w:val="off"/>
        <w:rPr>
          <w:rFonts w:hint="eastAsia" w:hAnsi="宋体" w:cs="宋体"/>
          <w:b/>
          <w:color w:val="auto"/>
          <w:sz w:val="24"/>
          <w:szCs w:val="24"/>
          <w:highlight w:val="none"/>
        </w:rPr>
      </w:pPr>
      <w:r>
        <w:rPr>
          <w:rFonts w:hint="eastAsia" w:hAnsi="宋体" w:cs="宋体"/>
          <w:b/>
          <w:color w:val="auto"/>
          <w:sz w:val="24"/>
          <w:szCs w:val="24"/>
          <w:highlight w:val="none"/>
        </w:rPr>
        <w:t xml:space="preserve">三、工作范围</w:t>
      </w:r>
      <w:r/>
    </w:p>
    <w:p>
      <w:pPr>
        <w:pStyle w:val="880"/>
        <w:ind w:firstLine="480"/>
        <w:keepLines w:val="0"/>
        <w:keepNext w:val="0"/>
        <w:pageBreakBefore w:val="0"/>
        <w:spacing w:before="120" w:after="120" w:line="44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3.1工作范围：</w:t>
      </w:r>
      <w:r>
        <w:rPr>
          <w:rFonts w:hint="eastAsia" w:hAnsi="宋体" w:cs="宋体"/>
          <w:color w:val="auto"/>
          <w:sz w:val="24"/>
          <w:szCs w:val="24"/>
          <w:highlight w:val="none"/>
          <w:lang w:val="en-US" w:eastAsia="zh-CN"/>
        </w:rPr>
        <w:t xml:space="preserve">包含但不限于</w:t>
      </w:r>
      <w:r>
        <w:rPr>
          <w:rFonts w:hint="eastAsia" w:ascii="宋体" w:hAnsi="宋体" w:cs="宋体"/>
          <w:color w:val="auto"/>
          <w:sz w:val="24"/>
          <w:highlight w:val="none"/>
        </w:rPr>
        <w:t xml:space="preserve">伍佑街道黄巷村（示范区）、福兴（严家）村、福兴（公荡）</w:t>
      </w:r>
      <w:r>
        <w:rPr>
          <w:rFonts w:hint="eastAsia" w:hAnsi="宋体" w:cs="宋体"/>
          <w:color w:val="auto"/>
          <w:sz w:val="24"/>
          <w:highlight w:val="none"/>
          <w:lang w:val="en-US" w:eastAsia="zh-CN"/>
        </w:rPr>
        <w:t xml:space="preserve">村等其他村居</w:t>
      </w:r>
      <w:r>
        <w:rPr>
          <w:rFonts w:hint="eastAsia" w:ascii="宋体" w:hAnsi="宋体" w:cs="宋体"/>
          <w:color w:val="auto"/>
          <w:sz w:val="24"/>
          <w:highlight w:val="none"/>
        </w:rPr>
        <w:t xml:space="preserve">境内千亩及以上的种植主体。</w:t>
      </w:r>
      <w:r/>
    </w:p>
    <w:p>
      <w:pPr>
        <w:pStyle w:val="880"/>
        <w:ind w:firstLine="480"/>
        <w:keepLines w:val="0"/>
        <w:keepNext w:val="0"/>
        <w:pageBreakBefore w:val="0"/>
        <w:spacing w:before="120" w:after="120" w:line="44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3.2工作内容：                                          </w:t>
      </w:r>
      <w:r/>
    </w:p>
    <w:p>
      <w:pPr>
        <w:pStyle w:val="880"/>
        <w:ind w:firstLine="480"/>
        <w:keepLines w:val="0"/>
        <w:keepNext w:val="0"/>
        <w:pageBreakBefore w:val="0"/>
        <w:spacing w:before="120" w:after="120" w:line="440" w:lineRule="exact"/>
        <w:widowControl w:val="off"/>
        <w:rPr>
          <w:rFonts w:hint="eastAsia" w:hAnsi="宋体" w:cs="宋体"/>
          <w:b w:val="0"/>
          <w:bCs/>
          <w:color w:val="auto"/>
          <w:sz w:val="24"/>
          <w:szCs w:val="24"/>
          <w:highlight w:val="none"/>
        </w:rPr>
      </w:pPr>
      <w:r>
        <w:rPr>
          <w:rFonts w:hint="eastAsia" w:hAnsi="宋体" w:cs="宋体"/>
          <w:b w:val="0"/>
          <w:bCs/>
          <w:color w:val="auto"/>
          <w:sz w:val="24"/>
          <w:szCs w:val="24"/>
          <w:highlight w:val="none"/>
        </w:rPr>
        <w:t xml:space="preserve">1）根据《盐城市人民政府办公室关于推进全市农作物秸秆离田综合利用工作的通知》、《盐南高新区202</w:t>
      </w:r>
      <w:r>
        <w:rPr>
          <w:rFonts w:hint="eastAsia" w:hAnsi="宋体" w:cs="宋体"/>
          <w:b w:val="0"/>
          <w:bCs/>
          <w:color w:val="auto"/>
          <w:sz w:val="24"/>
          <w:szCs w:val="24"/>
          <w:highlight w:val="none"/>
          <w:lang w:val="en-US" w:eastAsia="zh-CN"/>
        </w:rPr>
        <w:t xml:space="preserve">4</w:t>
      </w:r>
      <w:r>
        <w:rPr>
          <w:rFonts w:hint="eastAsia" w:hAnsi="宋体" w:cs="宋体"/>
          <w:b w:val="0"/>
          <w:bCs/>
          <w:color w:val="auto"/>
          <w:sz w:val="24"/>
          <w:szCs w:val="24"/>
          <w:highlight w:val="none"/>
        </w:rPr>
        <w:t xml:space="preserve">年农作物秸秆离田综合利用工作实施方案》及《伍佑街道202</w:t>
      </w:r>
      <w:r>
        <w:rPr>
          <w:rFonts w:hint="eastAsia" w:hAnsi="宋体" w:cs="宋体"/>
          <w:b w:val="0"/>
          <w:bCs/>
          <w:color w:val="auto"/>
          <w:sz w:val="24"/>
          <w:szCs w:val="24"/>
          <w:highlight w:val="none"/>
          <w:lang w:val="en-US" w:eastAsia="zh-CN"/>
        </w:rPr>
        <w:t xml:space="preserve">4</w:t>
      </w:r>
      <w:r>
        <w:rPr>
          <w:rFonts w:hint="eastAsia" w:hAnsi="宋体" w:cs="宋体"/>
          <w:b w:val="0"/>
          <w:bCs/>
          <w:color w:val="auto"/>
          <w:sz w:val="24"/>
          <w:szCs w:val="24"/>
          <w:highlight w:val="none"/>
        </w:rPr>
        <w:t xml:space="preserve">年度秸秆综合利用和禁烧工作实施方案》等文件精神，全市以千亩及以上稻麦规模种植点和国省考断面、重点河道沿线需100%离田，我街道辖区内单季约有0.</w:t>
      </w:r>
      <w:r>
        <w:rPr>
          <w:rFonts w:hint="eastAsia" w:hAnsi="宋体" w:cs="宋体"/>
          <w:b w:val="0"/>
          <w:bCs/>
          <w:color w:val="auto"/>
          <w:sz w:val="24"/>
          <w:szCs w:val="24"/>
          <w:highlight w:val="none"/>
          <w:lang w:val="en-US" w:eastAsia="zh-CN"/>
        </w:rPr>
        <w:t xml:space="preserve">9</w:t>
      </w:r>
      <w:r>
        <w:rPr>
          <w:rFonts w:hint="eastAsia" w:hAnsi="宋体" w:cs="宋体"/>
          <w:b w:val="0"/>
          <w:bCs/>
          <w:color w:val="auto"/>
          <w:sz w:val="24"/>
          <w:szCs w:val="24"/>
          <w:highlight w:val="none"/>
        </w:rPr>
        <w:t xml:space="preserve">万亩农作物秸秆需打包离田（包括但不限于秸秆收割离田及后期秸秆处理等一切事项），并在规定时间内运离伍佑辖区。</w:t>
      </w:r>
      <w:r/>
    </w:p>
    <w:p>
      <w:pPr>
        <w:pStyle w:val="880"/>
        <w:ind w:firstLine="480"/>
        <w:keepLines w:val="0"/>
        <w:keepNext w:val="0"/>
        <w:pageBreakBefore w:val="0"/>
        <w:spacing w:before="120" w:after="120" w:line="440" w:lineRule="exact"/>
        <w:widowControl w:val="off"/>
        <w:rPr>
          <w:rFonts w:hint="eastAsia" w:hAnsi="宋体" w:cs="宋体"/>
          <w:color w:val="auto"/>
          <w:sz w:val="24"/>
          <w:szCs w:val="24"/>
          <w:highlight w:val="none"/>
        </w:rPr>
      </w:pPr>
      <w:r>
        <w:rPr>
          <w:rFonts w:hint="eastAsia" w:hAnsi="宋体" w:cs="宋体"/>
          <w:b w:val="0"/>
          <w:bCs/>
          <w:color w:val="auto"/>
          <w:sz w:val="24"/>
          <w:szCs w:val="24"/>
          <w:highlight w:val="none"/>
        </w:rPr>
        <w:t xml:space="preserve">2)乙方中标后需配备满足本项目要求所必备的秸秆离田利用</w:t>
      </w:r>
      <w:r>
        <w:rPr>
          <w:rFonts w:hint="eastAsia" w:hAnsi="宋体" w:cs="宋体"/>
          <w:color w:val="auto"/>
          <w:sz w:val="24"/>
          <w:szCs w:val="24"/>
          <w:highlight w:val="none"/>
        </w:rPr>
        <w:t xml:space="preserve">相应的机械设备：</w:t>
      </w:r>
      <w:r>
        <w:rPr>
          <w:rFonts w:hint="eastAsia" w:hAnsi="宋体" w:cs="宋体"/>
          <w:b/>
          <w:bCs/>
          <w:color w:val="auto"/>
          <w:sz w:val="24"/>
          <w:szCs w:val="24"/>
          <w:highlight w:val="none"/>
        </w:rPr>
        <w:t xml:space="preserve">搂草机4台，打包机8台以及相应转运设备</w:t>
      </w:r>
      <w:r>
        <w:rPr>
          <w:rFonts w:hint="eastAsia" w:hAnsi="宋体" w:cs="宋体"/>
          <w:color w:val="auto"/>
          <w:sz w:val="24"/>
          <w:szCs w:val="24"/>
          <w:highlight w:val="none"/>
        </w:rPr>
        <w:t xml:space="preserve">（保证相关辖区收割时能及时跟进作业及运离的作业机具、运输机具，具体作业时间以村居书面通知为准）。</w:t>
      </w:r>
      <w:r/>
    </w:p>
    <w:p>
      <w:pPr>
        <w:pStyle w:val="880"/>
        <w:ind w:firstLine="480"/>
        <w:keepLines w:val="0"/>
        <w:keepNext w:val="0"/>
        <w:pageBreakBefore w:val="0"/>
        <w:spacing w:before="120" w:after="120" w:line="440" w:lineRule="exact"/>
        <w:widowControl w:val="off"/>
        <w:rPr>
          <w:rFonts w:hint="eastAsia" w:hAnsi="宋体" w:cs="宋体"/>
          <w:color w:val="auto"/>
          <w:sz w:val="24"/>
          <w:szCs w:val="24"/>
          <w:highlight w:val="none"/>
        </w:rPr>
      </w:pPr>
      <w:r>
        <w:rPr>
          <w:rFonts w:hint="eastAsia" w:hAnsi="宋体" w:cs="宋体"/>
          <w:color w:val="auto"/>
          <w:sz w:val="24"/>
          <w:szCs w:val="24"/>
          <w:highlight w:val="none"/>
        </w:rPr>
        <w:t xml:space="preserve">3）在本项目区内作业时，确保至少</w:t>
      </w:r>
      <w:r>
        <w:rPr>
          <w:rFonts w:hint="eastAsia" w:hAnsi="宋体" w:cs="宋体"/>
          <w:b/>
          <w:bCs/>
          <w:color w:val="auto"/>
          <w:sz w:val="24"/>
          <w:szCs w:val="24"/>
          <w:highlight w:val="none"/>
        </w:rPr>
        <w:t xml:space="preserve">4台机械（至少包含搂草机2台，打包机2台）</w:t>
      </w:r>
      <w:r>
        <w:rPr>
          <w:rFonts w:hint="eastAsia" w:hAnsi="宋体" w:cs="宋体"/>
          <w:color w:val="auto"/>
          <w:sz w:val="24"/>
          <w:szCs w:val="24"/>
          <w:highlight w:val="none"/>
        </w:rPr>
        <w:t xml:space="preserve">不离开本街道，以备临时作业，直至当季作业结束。</w:t>
      </w:r>
      <w:r/>
    </w:p>
    <w:p>
      <w:pPr>
        <w:ind w:firstLine="482"/>
        <w:keepLines w:val="0"/>
        <w:keepNext w:val="0"/>
        <w:pageBreakBefore w:val="0"/>
        <w:spacing w:line="440" w:lineRule="exact"/>
        <w:widowControl w:val="off"/>
        <w:rPr>
          <w:rFonts w:hint="eastAsia" w:ascii="宋体" w:hAnsi="宋体" w:cs="宋体" w:eastAsiaTheme="minorEastAsia"/>
          <w:b/>
          <w:bCs w:val="0"/>
          <w:color w:val="auto"/>
          <w:sz w:val="24"/>
          <w:highlight w:val="none"/>
          <w:lang w:val="en-US" w:eastAsia="zh-CN"/>
        </w:rPr>
      </w:pPr>
      <w:r>
        <w:rPr>
          <w:rFonts w:hint="eastAsia" w:ascii="宋体" w:hAnsi="宋体" w:cs="宋体"/>
          <w:b/>
          <w:bCs w:val="0"/>
          <w:color w:val="auto"/>
          <w:sz w:val="24"/>
          <w:highlight w:val="none"/>
        </w:rPr>
        <w:t xml:space="preserve">四、</w:t>
      </w:r>
      <w:r>
        <w:rPr>
          <w:rFonts w:hint="eastAsia" w:ascii="宋体" w:hAnsi="宋体" w:cs="宋体"/>
          <w:b/>
          <w:bCs w:val="0"/>
          <w:color w:val="auto"/>
          <w:sz w:val="24"/>
          <w:highlight w:val="none"/>
          <w:lang w:val="en-US" w:eastAsia="zh-CN"/>
        </w:rPr>
        <w:t xml:space="preserve">服务期限</w:t>
      </w:r>
      <w:r/>
    </w:p>
    <w:p>
      <w:pPr>
        <w:ind w:firstLine="480"/>
        <w:keepLines w:val="0"/>
        <w:keepNext w:val="0"/>
        <w:pageBreakBefore w:val="0"/>
        <w:spacing w:line="440" w:lineRule="exact"/>
        <w:widowControl w:val="off"/>
        <w:rPr>
          <w:rFonts w:hint="eastAsia"/>
          <w:color w:val="auto"/>
          <w:highlight w:val="none"/>
        </w:rPr>
      </w:pPr>
      <w:r>
        <w:rPr>
          <w:rFonts w:hint="eastAsia" w:ascii="宋体" w:hAnsi="宋体" w:cs="宋体"/>
          <w:bCs/>
          <w:color w:val="auto"/>
          <w:sz w:val="24"/>
          <w:highlight w:val="none"/>
        </w:rPr>
        <w:t xml:space="preserve">工期：</w:t>
      </w:r>
      <w:r>
        <w:rPr>
          <w:rFonts w:hint="eastAsia" w:ascii="宋体" w:hAnsi="宋体" w:cs="宋体"/>
          <w:bCs/>
          <w:color w:val="auto"/>
          <w:sz w:val="24"/>
          <w:highlight w:val="none"/>
          <w:lang w:val="en-US" w:eastAsia="zh-CN"/>
        </w:rPr>
        <w:t xml:space="preserve">45</w:t>
      </w:r>
      <w:r>
        <w:rPr>
          <w:rFonts w:hint="eastAsia" w:ascii="宋体" w:hAnsi="宋体" w:cs="宋体"/>
          <w:color w:val="auto"/>
          <w:sz w:val="24"/>
          <w:highlight w:val="none"/>
          <w:shd w:val="clear" w:color="auto" w:fill="ffffff"/>
          <w:lang w:bidi="ar"/>
        </w:rPr>
        <w:t xml:space="preserve">日历天（</w:t>
      </w:r>
      <w:r>
        <w:rPr>
          <w:rFonts w:hint="eastAsia" w:ascii="宋体" w:hAnsi="宋体" w:cs="宋体"/>
          <w:color w:val="auto"/>
          <w:sz w:val="24"/>
          <w:highlight w:val="none"/>
        </w:rPr>
        <w:t xml:space="preserve">夏季15日历天，暂定从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月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日止；秋季</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日历天，暂定从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月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rPr>
          <w:rFonts w:hint="eastAsia" w:ascii="宋体" w:hAnsi="宋体" w:cs="宋体"/>
          <w:color w:val="auto"/>
          <w:sz w:val="24"/>
          <w:highlight w:val="none"/>
          <w:shd w:val="clear" w:color="auto" w:fill="ffffff"/>
          <w:lang w:bidi="ar"/>
        </w:rPr>
        <w:t xml:space="preserve">）</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shd w:val="clear" w:color="auto" w:fill="ffffff"/>
          <w:lang w:val="en-US" w:eastAsia="zh-CN" w:bidi="ar"/>
        </w:rPr>
        <w:t xml:space="preserve">具体服务期服从采购人要求，当年两季作业考核分均达到90分以上，在</w:t>
      </w:r>
      <w:r>
        <w:rPr>
          <w:rFonts w:hint="eastAsia" w:asciiTheme="minorEastAsia" w:hAnsiTheme="minorEastAsia" w:eastAsiaTheme="minorEastAsia" w:cstheme="minorEastAsia"/>
          <w:color w:val="auto"/>
          <w:sz w:val="24"/>
          <w:szCs w:val="24"/>
          <w:highlight w:val="none"/>
          <w:lang w:val="en-US" w:eastAsia="zh-CN"/>
        </w:rPr>
        <w:t xml:space="preserve">服务合同期满后经</w:t>
      </w:r>
      <w:r>
        <w:rPr>
          <w:rFonts w:hint="eastAsia" w:asciiTheme="minorEastAsia" w:hAnsiTheme="minorEastAsia" w:cstheme="minorEastAsia"/>
          <w:color w:val="auto"/>
          <w:sz w:val="24"/>
          <w:szCs w:val="24"/>
          <w:highlight w:val="none"/>
          <w:lang w:val="en-US" w:eastAsia="zh-CN"/>
        </w:rPr>
        <w:t xml:space="preserve">双方协商一致</w:t>
      </w:r>
      <w:r>
        <w:rPr>
          <w:rFonts w:hint="eastAsia" w:asciiTheme="minorEastAsia" w:hAnsiTheme="minorEastAsia" w:eastAsiaTheme="minorEastAsia" w:cstheme="minorEastAsia"/>
          <w:color w:val="auto"/>
          <w:sz w:val="24"/>
          <w:szCs w:val="24"/>
          <w:highlight w:val="none"/>
          <w:lang w:val="en-US" w:eastAsia="zh-CN"/>
        </w:rPr>
        <w:t xml:space="preserve">可续签合同，</w:t>
      </w:r>
      <w:r>
        <w:rPr>
          <w:rFonts w:hint="eastAsia" w:asciiTheme="minorEastAsia" w:hAnsiTheme="minorEastAsia" w:cstheme="minorEastAsia"/>
          <w:color w:val="auto"/>
          <w:sz w:val="24"/>
          <w:szCs w:val="24"/>
          <w:highlight w:val="none"/>
          <w:lang w:val="en-US" w:eastAsia="zh-CN"/>
        </w:rPr>
        <w:t xml:space="preserve">最多续签两次。</w:t>
      </w:r>
      <w:r/>
    </w:p>
    <w:p>
      <w:pPr>
        <w:ind w:firstLine="482"/>
        <w:keepLines w:val="0"/>
        <w:keepNext w:val="0"/>
        <w:pageBreakBefore w:val="0"/>
        <w:spacing w:line="44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五、安全责任</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5.1中标人在服务过程中必须确保安全，如造成各种人身伤害、财产损失或其它事故，均由中标人自行负责处理和经济赔偿，甲方不承担任何责任。</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5.2公司必须与职工签定安全责任书。如出现安全事故，责任由乙方（承担）处理，与甲方无关。</w:t>
      </w:r>
      <w:r/>
    </w:p>
    <w:p>
      <w:pPr>
        <w:ind w:firstLine="482"/>
        <w:keepLines w:val="0"/>
        <w:keepNext w:val="0"/>
        <w:pageBreakBefore w:val="0"/>
        <w:spacing w:line="440" w:lineRule="exact"/>
        <w:widowControl w:val="off"/>
        <w:rPr>
          <w:rFonts w:ascii="宋体" w:hAnsi="宋体" w:cs="宋体"/>
          <w:b/>
          <w:color w:val="auto"/>
          <w:sz w:val="24"/>
          <w:highlight w:val="none"/>
        </w:rPr>
      </w:pPr>
      <w:r>
        <w:rPr>
          <w:rFonts w:hint="eastAsia" w:ascii="宋体" w:hAnsi="宋体" w:cs="宋体"/>
          <w:b/>
          <w:color w:val="auto"/>
          <w:sz w:val="24"/>
          <w:highlight w:val="none"/>
        </w:rPr>
        <w:t xml:space="preserve">六、履约保证金</w:t>
      </w:r>
      <w:r/>
    </w:p>
    <w:p>
      <w:pPr>
        <w:pStyle w:val="885"/>
        <w:ind w:firstLine="480"/>
        <w:jc w:val="both"/>
        <w:keepLines w:val="0"/>
        <w:keepNext w:val="0"/>
        <w:pageBreakBefore w:val="0"/>
        <w:spacing w:before="120" w:beforeAutospacing="0" w:after="120" w:afterAutospacing="0" w:line="44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6.1乙方交纳人民币_________元作为本合同的履约保证金。</w:t>
      </w:r>
      <w:r/>
    </w:p>
    <w:p>
      <w:pPr>
        <w:pStyle w:val="885"/>
        <w:ind w:firstLine="480"/>
        <w:jc w:val="both"/>
        <w:keepLines w:val="0"/>
        <w:keepNext w:val="0"/>
        <w:pageBreakBefore w:val="0"/>
        <w:spacing w:beforeAutospacing="0" w:afterAutospacing="0"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备注：履约保证金为合同价的10%，采购人应当对AA评级及以上政府采购供应商（需提供信用管理部门备案的第三方信用报告）免收履约保证金或降低履约保证金缴纳比例，本项目约定为降低履约保证金缴纳比例，为合同价的5%。）</w:t>
      </w:r>
      <w:r/>
    </w:p>
    <w:p>
      <w:pPr>
        <w:pStyle w:val="885"/>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2确需收取履约保证金的，</w:t>
      </w:r>
      <w:r>
        <w:rPr>
          <w:rFonts w:hint="eastAsia" w:ascii="宋体" w:hAnsi="宋体" w:eastAsia="宋体" w:cs="宋体"/>
          <w:color w:val="auto"/>
          <w:sz w:val="24"/>
          <w:szCs w:val="24"/>
          <w:highlight w:val="none"/>
          <w:lang w:eastAsia="zh-CN"/>
        </w:rPr>
        <w:t xml:space="preserve">履约保证金的缴纳形式：</w:t>
      </w:r>
      <w:r/>
    </w:p>
    <w:p>
      <w:pPr>
        <w:pStyle w:val="885"/>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6.2.1</w:t>
      </w:r>
      <w:r>
        <w:rPr>
          <w:rFonts w:hint="eastAsia" w:ascii="宋体" w:hAnsi="宋体" w:eastAsia="宋体" w:cs="宋体"/>
          <w:color w:val="auto"/>
          <w:sz w:val="24"/>
          <w:szCs w:val="24"/>
          <w:highlight w:val="none"/>
        </w:rPr>
        <w:t xml:space="preserve">供应商应当以支票、汇票、本票或者金融机构、担保机构出具的保函等非现金形式提交</w:t>
      </w:r>
      <w:r>
        <w:rPr>
          <w:rFonts w:hint="eastAsia" w:ascii="宋体" w:hAnsi="宋体" w:eastAsia="宋体" w:cs="宋体"/>
          <w:color w:val="auto"/>
          <w:sz w:val="24"/>
          <w:szCs w:val="24"/>
          <w:highlight w:val="none"/>
          <w:lang w:eastAsia="zh-CN"/>
        </w:rPr>
        <w:t xml:space="preserve">履约保证金</w:t>
      </w:r>
      <w:r>
        <w:rPr>
          <w:rFonts w:hint="eastAsia" w:ascii="宋体" w:hAnsi="宋体" w:eastAsia="宋体" w:cs="宋体"/>
          <w:color w:val="auto"/>
          <w:sz w:val="24"/>
          <w:szCs w:val="24"/>
          <w:highlight w:val="none"/>
        </w:rPr>
        <w:t xml:space="preserve">。依据《关于在全省政府采购领域推行电子履约保函（保险）的通知》，鼓励供应商自愿使用</w:t>
      </w:r>
      <w:r>
        <w:rPr>
          <w:rFonts w:hint="eastAsia" w:ascii="宋体" w:hAnsi="宋体" w:eastAsia="宋体" w:cs="宋体"/>
          <w:color w:val="auto"/>
          <w:sz w:val="24"/>
          <w:szCs w:val="24"/>
          <w:highlight w:val="none"/>
          <w:lang w:eastAsia="zh-CN"/>
        </w:rPr>
        <w:t xml:space="preserve">电子</w:t>
      </w:r>
      <w:r>
        <w:rPr>
          <w:rFonts w:hint="eastAsia" w:ascii="宋体" w:hAnsi="宋体" w:eastAsia="宋体" w:cs="宋体"/>
          <w:color w:val="auto"/>
          <w:sz w:val="24"/>
          <w:szCs w:val="24"/>
          <w:highlight w:val="none"/>
        </w:rPr>
        <w:t xml:space="preserve">履约保函（保险）代替缴纳履约保证金</w:t>
      </w:r>
      <w:r>
        <w:rPr>
          <w:rFonts w:hint="eastAsia" w:ascii="宋体" w:hAnsi="宋体" w:eastAsia="宋体" w:cs="宋体"/>
          <w:color w:val="auto"/>
          <w:sz w:val="24"/>
          <w:szCs w:val="24"/>
          <w:highlight w:val="none"/>
          <w:lang w:eastAsia="zh-CN"/>
        </w:rPr>
        <w:t xml:space="preserve">。</w:t>
      </w:r>
      <w:r/>
    </w:p>
    <w:p>
      <w:pPr>
        <w:pStyle w:val="885"/>
        <w:ind w:firstLine="480"/>
        <w:jc w:val="both"/>
        <w:keepLines w:val="0"/>
        <w:keepNext w:val="0"/>
        <w:pageBreakBefore w:val="0"/>
        <w:spacing w:before="120" w:beforeAutospacing="0" w:after="12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6.2.2 如以履约保函（保险）形式缴纳履约保证金，供应商可通过政府采购电子履约保函（保险）平台（www.jsdzbh.com）在线申请履约保函（保险）。</w:t>
      </w:r>
      <w:r/>
    </w:p>
    <w:p>
      <w:pPr>
        <w:pStyle w:val="885"/>
        <w:ind w:left="408" w:firstLine="480"/>
        <w:jc w:val="both"/>
        <w:keepLines w:val="0"/>
        <w:keepNext w:val="0"/>
        <w:pageBreakBefore w:val="0"/>
        <w:spacing w:before="120" w:beforeAutospacing="0" w:after="120" w:afterAutospacing="0" w:line="440" w:lineRule="exact"/>
        <w:widowControl w:val="off"/>
        <w:rPr>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合同履行结束后，甲方应及时退还交纳的履约保证金。</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履约保证金的退还：</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.1方式：退还至投标人缴纳履约保证金的账户。如为保函，在到期时自行失效。</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.2时间：验收合格且采购人收到发票后30日内。</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.3条件：按合同要求全部履约完成并经采购人验收合格，且采购人收到中标人出具的发票。</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.4不予退还情形：</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除不可抗力情况外，投标人出现下列情形之一的，其履约保证金，招标人将视情节决定不予退还或部分不予退还。</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（2）中标人不履行与采购人订立的合同的；</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（3）中标人所供货物或服务不符合招标文件规定要求的；</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（4）中标人采取欺骗、弄虚作假方式投标的或与其它投标人串通投标的；</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（5）中标人将合同内容转包、违法分包的；</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（6）中标人故意捏造事实或伪造证明材料，进行虚假恶意投诉或反映的。</w:t>
      </w:r>
      <w:r/>
    </w:p>
    <w:p>
      <w:pPr>
        <w:ind w:firstLine="480"/>
        <w:keepLines w:val="0"/>
        <w:keepNext w:val="0"/>
        <w:pageBreakBefore w:val="0"/>
        <w:spacing w:line="440" w:lineRule="exact"/>
        <w:widowControl w:val="off"/>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.5逾期退还的违约责任：采购人逾期无故未退还履约保证金的，按中国人民银行同期贷款基准利率上浮20%后的利率支付超期资金占用费，但因供应商自身原因导致无法及时退还的除外。</w:t>
      </w:r>
      <w:r/>
    </w:p>
    <w:p>
      <w:pPr>
        <w:pStyle w:val="885"/>
        <w:ind w:firstLine="482"/>
        <w:jc w:val="both"/>
        <w:keepLines w:val="0"/>
        <w:keepNext w:val="0"/>
        <w:pageBreakBefore w:val="0"/>
        <w:spacing w:before="145" w:beforeAutospacing="0" w:after="145" w:afterAutospacing="0" w:line="440" w:lineRule="exact"/>
        <w:widowControl w:val="off"/>
        <w:rPr>
          <w:sz w:val="24"/>
          <w:szCs w:val="24"/>
          <w:highlight w:val="none"/>
        </w:rPr>
      </w:pPr>
      <w:r>
        <w:rPr>
          <w:rFonts w:hint="eastAsia" w:ascii="宋体" w:hAnsi="宋体" w:cs="宋体"/>
          <w:b/>
          <w:color w:val="auto"/>
          <w:sz w:val="24"/>
          <w:highlight w:val="none"/>
        </w:rPr>
        <w:t xml:space="preserve">七、</w:t>
      </w:r>
      <w:r>
        <w:rPr>
          <w:rFonts w:hint="eastAsia" w:ascii="宋体" w:hAnsi="宋体" w:eastAsia="宋体" w:cs="宋体"/>
          <w:b/>
          <w:color w:val="000000"/>
          <w:sz w:val="24"/>
          <w:szCs w:val="24"/>
          <w:highlight w:val="none"/>
        </w:rPr>
        <w:t xml:space="preserve">合同转包或分包</w:t>
      </w:r>
      <w:r/>
    </w:p>
    <w:p>
      <w:pPr>
        <w:pStyle w:val="885"/>
        <w:ind w:firstLine="480"/>
        <w:jc w:val="both"/>
        <w:keepLines w:val="0"/>
        <w:keepNext w:val="0"/>
        <w:pageBreakBefore w:val="0"/>
        <w:spacing w:before="145" w:beforeAutospacing="0" w:after="145" w:afterAutospacing="0" w:line="440" w:lineRule="exact"/>
        <w:widowControl w:val="off"/>
        <w:rPr>
          <w:sz w:val="24"/>
          <w:szCs w:val="24"/>
          <w:highlight w:val="none"/>
        </w:rPr>
      </w:pPr>
      <w:r>
        <w:rPr>
          <w:rFonts w:hint="eastAsia" w:ascii="宋体" w:hAnsi="宋体" w:eastAsia="宋体" w:cs="宋体"/>
          <w:color w:val="000000"/>
          <w:sz w:val="24"/>
          <w:szCs w:val="24"/>
          <w:highlight w:val="none"/>
        </w:rPr>
        <w:t xml:space="preserve">7.1乙方不得将合同标的转包给他人履行。</w:t>
      </w:r>
      <w:r/>
    </w:p>
    <w:p>
      <w:pPr>
        <w:pStyle w:val="885"/>
        <w:ind w:firstLine="480"/>
        <w:jc w:val="both"/>
        <w:keepLines w:val="0"/>
        <w:keepNext w:val="0"/>
        <w:pageBreakBefore w:val="0"/>
        <w:spacing w:before="145" w:beforeAutospacing="0" w:after="145" w:afterAutospacing="0" w:line="440" w:lineRule="exact"/>
        <w:widowControl w:val="off"/>
        <w:rPr>
          <w:sz w:val="24"/>
          <w:szCs w:val="24"/>
          <w:highlight w:val="none"/>
        </w:rPr>
      </w:pPr>
      <w:r>
        <w:rPr>
          <w:rFonts w:hint="eastAsia" w:ascii="宋体" w:hAnsi="宋体" w:eastAsia="宋体" w:cs="宋体"/>
          <w:color w:val="000000"/>
          <w:sz w:val="24"/>
          <w:szCs w:val="24"/>
          <w:highlight w:val="none"/>
        </w:rPr>
        <w:t xml:space="preserve">7.2乙方不得将合同标的分包给他人履行。</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b/>
          <w:bCs/>
          <w:color w:val="auto"/>
          <w:sz w:val="24"/>
          <w:highlight w:val="none"/>
          <w:lang w:val="en-US" w:eastAsia="zh-CN"/>
        </w:rPr>
        <w:t xml:space="preserve">八、</w:t>
      </w:r>
      <w:r>
        <w:rPr>
          <w:rFonts w:hint="eastAsia" w:ascii="宋体" w:hAnsi="宋体" w:cs="宋体"/>
          <w:b/>
          <w:bCs/>
          <w:color w:val="auto"/>
          <w:sz w:val="24"/>
          <w:highlight w:val="none"/>
        </w:rPr>
        <w:t xml:space="preserve">考核与管理</w:t>
      </w:r>
      <w:r/>
    </w:p>
    <w:p>
      <w:pPr>
        <w:ind w:firstLine="480"/>
        <w:keepLines w:val="0"/>
        <w:keepNext w:val="0"/>
        <w:pageBreakBefore w:val="0"/>
        <w:spacing w:line="440" w:lineRule="exact"/>
        <w:widowControl w:val="off"/>
        <w:rPr>
          <w:rFonts w:hint="eastAsia" w:ascii="宋体" w:hAnsi="宋体" w:cs="宋体"/>
          <w:color w:val="auto"/>
          <w:sz w:val="24"/>
          <w:highlight w:val="none"/>
          <w:lang w:eastAsia="zh-CN"/>
        </w:rPr>
      </w:pPr>
      <w:r>
        <w:rPr>
          <w:rFonts w:hint="eastAsia" w:ascii="宋体" w:hAnsi="宋体" w:cs="宋体"/>
          <w:color w:val="auto"/>
          <w:sz w:val="24"/>
          <w:highlight w:val="none"/>
        </w:rPr>
        <w:t xml:space="preserve">服务工作由</w:t>
      </w:r>
      <w:r>
        <w:rPr>
          <w:rFonts w:hint="eastAsia" w:ascii="宋体" w:hAnsi="宋体" w:cs="宋体"/>
          <w:color w:val="auto"/>
          <w:sz w:val="24"/>
          <w:highlight w:val="none"/>
          <w:lang w:eastAsia="zh-CN"/>
        </w:rPr>
        <w:t xml:space="preserve">伍佑街道农村工作办公室</w:t>
      </w:r>
      <w:r>
        <w:rPr>
          <w:rFonts w:hint="eastAsia" w:ascii="宋体" w:hAnsi="宋体" w:cs="宋体"/>
          <w:color w:val="auto"/>
          <w:sz w:val="24"/>
          <w:highlight w:val="none"/>
        </w:rPr>
        <w:t xml:space="preserve">负责督查、考核，每</w:t>
      </w:r>
      <w:r>
        <w:rPr>
          <w:rFonts w:hint="eastAsia" w:ascii="宋体" w:hAnsi="宋体" w:cs="宋体"/>
          <w:color w:val="auto"/>
          <w:sz w:val="24"/>
          <w:highlight w:val="none"/>
          <w:lang w:val="en-US" w:eastAsia="zh-CN"/>
        </w:rPr>
        <w:t xml:space="preserve">季度作业</w:t>
      </w:r>
      <w:r>
        <w:rPr>
          <w:rFonts w:hint="eastAsia" w:ascii="宋体" w:hAnsi="宋体" w:cs="宋体"/>
          <w:color w:val="auto"/>
          <w:sz w:val="24"/>
          <w:highlight w:val="none"/>
        </w:rPr>
        <w:t xml:space="preserve">实行百分制考核。</w:t>
      </w:r>
      <w:r>
        <w:rPr>
          <w:rFonts w:hint="eastAsia" w:ascii="宋体" w:hAnsi="宋体" w:cs="宋体"/>
          <w:color w:val="auto"/>
          <w:sz w:val="24"/>
          <w:highlight w:val="none"/>
          <w:lang w:val="en-US" w:eastAsia="zh-CN"/>
        </w:rPr>
        <w:t xml:space="preserve">季度</w:t>
      </w:r>
      <w:r>
        <w:rPr>
          <w:rFonts w:hint="eastAsia" w:ascii="宋体" w:hAnsi="宋体" w:cs="宋体"/>
          <w:color w:val="auto"/>
          <w:sz w:val="24"/>
          <w:highlight w:val="none"/>
        </w:rPr>
        <w:t xml:space="preserve">考核得分在95分以上（含95分）按全额结算；低于95分，每</w:t>
      </w:r>
      <w:r>
        <w:rPr>
          <w:rFonts w:hint="eastAsia" w:ascii="宋体" w:hAnsi="宋体" w:cs="宋体"/>
          <w:color w:val="auto"/>
          <w:sz w:val="24"/>
          <w:highlight w:val="none"/>
          <w:lang w:val="en-US" w:eastAsia="zh-CN"/>
        </w:rPr>
        <w:t xml:space="preserve">一分</w:t>
      </w:r>
      <w:r>
        <w:rPr>
          <w:rFonts w:hint="eastAsia" w:ascii="宋体" w:hAnsi="宋体" w:cs="宋体"/>
          <w:color w:val="auto"/>
          <w:sz w:val="24"/>
          <w:highlight w:val="none"/>
        </w:rPr>
        <w:t xml:space="preserve">扣减</w:t>
      </w:r>
      <w:r>
        <w:rPr>
          <w:rFonts w:hint="eastAsia" w:ascii="宋体" w:hAnsi="宋体" w:cs="宋体"/>
          <w:color w:val="auto"/>
          <w:sz w:val="24"/>
          <w:highlight w:val="none"/>
          <w:lang w:eastAsia="zh-CN"/>
        </w:rPr>
        <w:t xml:space="preserve">实际</w:t>
      </w:r>
      <w:r>
        <w:rPr>
          <w:rFonts w:hint="eastAsia" w:ascii="宋体" w:hAnsi="宋体" w:cs="宋体"/>
          <w:color w:val="auto"/>
          <w:sz w:val="24"/>
          <w:highlight w:val="none"/>
          <w:lang w:val="en-US" w:eastAsia="zh-CN"/>
        </w:rPr>
        <w:t xml:space="preserve">中标综合</w:t>
      </w:r>
      <w:r>
        <w:rPr>
          <w:rFonts w:hint="eastAsia" w:ascii="宋体" w:hAnsi="宋体" w:cs="宋体"/>
          <w:color w:val="auto"/>
          <w:sz w:val="24"/>
          <w:highlight w:val="none"/>
        </w:rPr>
        <w:t xml:space="preserve">单价</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元</w:t>
      </w:r>
      <w:r>
        <w:rPr>
          <w:rFonts w:hint="eastAsia" w:ascii="宋体" w:hAnsi="宋体" w:cs="宋体"/>
          <w:color w:val="auto"/>
          <w:sz w:val="24"/>
          <w:highlight w:val="none"/>
          <w:lang w:val="en-US" w:eastAsia="zh-CN"/>
        </w:rPr>
        <w:t xml:space="preserve">/亩</w:t>
      </w:r>
      <w:r>
        <w:rPr>
          <w:rFonts w:hint="eastAsia" w:ascii="宋体" w:hAnsi="宋体" w:cs="宋体"/>
          <w:color w:val="auto"/>
          <w:sz w:val="24"/>
          <w:highlight w:val="none"/>
        </w:rPr>
        <w:t xml:space="preserve">，相应费用从服务费中扣减。低于85分</w:t>
      </w:r>
      <w:r>
        <w:rPr>
          <w:rFonts w:hint="eastAsia" w:ascii="宋体" w:hAnsi="宋体" w:cs="宋体"/>
          <w:color w:val="auto"/>
          <w:sz w:val="24"/>
          <w:highlight w:val="none"/>
          <w:lang w:val="en-US" w:eastAsia="zh-CN"/>
        </w:rPr>
        <w:t xml:space="preserve">的</w:t>
      </w:r>
      <w:r>
        <w:rPr>
          <w:rFonts w:hint="default" w:ascii="宋体" w:hAnsi="宋体" w:cs="宋体"/>
          <w:color w:val="auto"/>
          <w:sz w:val="24"/>
          <w:highlight w:val="none"/>
        </w:rPr>
        <w:t xml:space="preserve">扣减</w:t>
      </w:r>
      <w:r>
        <w:rPr>
          <w:rFonts w:hint="eastAsia" w:ascii="宋体" w:hAnsi="宋体" w:cs="宋体"/>
          <w:color w:val="auto"/>
          <w:sz w:val="24"/>
          <w:highlight w:val="none"/>
          <w:lang w:eastAsia="zh-CN"/>
        </w:rPr>
        <w:t xml:space="preserve">相关服务费</w:t>
      </w:r>
      <w:r>
        <w:rPr>
          <w:rFonts w:hint="default" w:ascii="宋体" w:hAnsi="宋体" w:cs="宋体"/>
          <w:color w:val="auto"/>
          <w:sz w:val="24"/>
          <w:highlight w:val="none"/>
        </w:rPr>
        <w:t xml:space="preserve">，并</w:t>
      </w:r>
      <w:r>
        <w:rPr>
          <w:rFonts w:hint="eastAsia" w:ascii="宋体" w:hAnsi="宋体" w:cs="宋体"/>
          <w:color w:val="auto"/>
          <w:sz w:val="24"/>
          <w:highlight w:val="none"/>
          <w:lang w:eastAsia="zh-CN"/>
        </w:rPr>
        <w:t xml:space="preserve">由街道农村办</w:t>
      </w:r>
      <w:r>
        <w:rPr>
          <w:rFonts w:hint="default" w:ascii="宋体" w:hAnsi="宋体" w:cs="宋体"/>
          <w:color w:val="auto"/>
          <w:sz w:val="24"/>
          <w:highlight w:val="none"/>
        </w:rPr>
        <w:t xml:space="preserve">约谈</w:t>
      </w:r>
      <w:r>
        <w:rPr>
          <w:rFonts w:hint="eastAsia" w:ascii="宋体" w:hAnsi="宋体" w:cs="宋体"/>
          <w:color w:val="auto"/>
          <w:sz w:val="24"/>
          <w:highlight w:val="none"/>
          <w:lang w:eastAsia="zh-CN"/>
        </w:rPr>
        <w:t xml:space="preserve">作业主体</w:t>
      </w:r>
      <w:r>
        <w:rPr>
          <w:rFonts w:hint="default" w:ascii="宋体" w:hAnsi="宋体" w:cs="宋体"/>
          <w:color w:val="auto"/>
          <w:sz w:val="24"/>
          <w:highlight w:val="none"/>
        </w:rPr>
        <w:t xml:space="preserve">整改</w:t>
      </w:r>
      <w:r>
        <w:rPr>
          <w:rFonts w:hint="eastAsia" w:ascii="宋体" w:hAnsi="宋体" w:cs="宋体"/>
          <w:color w:val="auto"/>
          <w:sz w:val="24"/>
          <w:highlight w:val="none"/>
          <w:lang w:eastAsia="zh-CN"/>
        </w:rPr>
        <w:t xml:space="preserve">；连续两季度低于80分：甲方有权终止合同，履约保证金不予退还。</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权利和义务</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9.1</w:t>
      </w:r>
      <w:r>
        <w:rPr>
          <w:rFonts w:hint="eastAsia" w:ascii="宋体" w:hAnsi="宋体" w:cs="宋体"/>
          <w:color w:val="auto"/>
          <w:sz w:val="24"/>
          <w:highlight w:val="none"/>
        </w:rPr>
        <w:t xml:space="preserve">甲方权利与义务</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9.1.1</w:t>
      </w:r>
      <w:r>
        <w:rPr>
          <w:rFonts w:hint="eastAsia" w:ascii="宋体" w:hAnsi="宋体" w:cs="宋体"/>
          <w:color w:val="auto"/>
          <w:sz w:val="24"/>
          <w:highlight w:val="none"/>
        </w:rPr>
        <w:t xml:space="preserve">甲方有权随时对乙方范围内的工作情况进行考核；</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9.1.2</w:t>
      </w:r>
      <w:r>
        <w:rPr>
          <w:rFonts w:hint="eastAsia" w:ascii="宋体" w:hAnsi="宋体" w:cs="宋体"/>
          <w:color w:val="auto"/>
          <w:sz w:val="24"/>
          <w:highlight w:val="none"/>
        </w:rPr>
        <w:t xml:space="preserve">严禁转包，如发现乙方转包承包项目，甲方有权单方终止本合同。所交履约保证金作为违约金不予退还；</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9.1.3</w:t>
      </w:r>
      <w:r>
        <w:rPr>
          <w:rFonts w:hint="eastAsia" w:ascii="宋体" w:hAnsi="宋体" w:cs="宋体"/>
          <w:color w:val="auto"/>
          <w:sz w:val="24"/>
          <w:highlight w:val="none"/>
        </w:rPr>
        <w:t xml:space="preserve">甲方有权安排乙方临时突击的巡查任务。</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9.2</w:t>
      </w:r>
      <w:r>
        <w:rPr>
          <w:rFonts w:hint="eastAsia" w:ascii="宋体" w:hAnsi="宋体" w:cs="宋体"/>
          <w:color w:val="auto"/>
          <w:sz w:val="24"/>
          <w:highlight w:val="none"/>
        </w:rPr>
        <w:t xml:space="preserve">乙方权利和义务</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9.2.1</w:t>
      </w:r>
      <w:r>
        <w:rPr>
          <w:rFonts w:hint="eastAsia" w:ascii="宋体" w:hAnsi="宋体" w:cs="宋体"/>
          <w:color w:val="auto"/>
          <w:sz w:val="24"/>
          <w:highlight w:val="none"/>
        </w:rPr>
        <w:t xml:space="preserve">乙方应遵守《劳动法》及相关法律法规的规定，若有违反，责任由乙方自行承担；</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9.2.2</w:t>
      </w:r>
      <w:r>
        <w:rPr>
          <w:rFonts w:hint="eastAsia" w:ascii="宋体" w:hAnsi="宋体" w:cs="宋体"/>
          <w:color w:val="auto"/>
          <w:sz w:val="24"/>
          <w:highlight w:val="none"/>
        </w:rPr>
        <w:t xml:space="preserve">全面负责人员的劳动安全教育、培训和管理，人员在上班时间内发生交通、工伤等意外事故，一切问题由乙方处理；</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9.2.3</w:t>
      </w:r>
      <w:r>
        <w:rPr>
          <w:rFonts w:hint="eastAsia" w:ascii="宋体" w:hAnsi="宋体" w:cs="宋体"/>
          <w:color w:val="auto"/>
          <w:sz w:val="24"/>
          <w:highlight w:val="none"/>
        </w:rPr>
        <w:t xml:space="preserve">乙方不得转包，如乙方违反，甲方有权终止承包合同；</w:t>
      </w:r>
      <w:r/>
    </w:p>
    <w:p>
      <w:pPr>
        <w:ind w:firstLine="480"/>
        <w:keepLines w:val="0"/>
        <w:keepNext w:val="0"/>
        <w:pageBreakBefore w:val="0"/>
        <w:spacing w:line="440" w:lineRule="exact"/>
        <w:widowControl w:val="off"/>
        <w:rPr>
          <w:rFonts w:hint="eastAsia" w:ascii="宋体" w:hAnsi="宋体" w:cs="宋体" w:eastAsiaTheme="minorEastAsia"/>
          <w:color w:val="auto"/>
          <w:sz w:val="24"/>
          <w:highlight w:val="none"/>
          <w:lang w:eastAsia="zh-CN"/>
        </w:rPr>
      </w:pPr>
      <w:r>
        <w:rPr>
          <w:rFonts w:hint="eastAsia" w:ascii="宋体" w:hAnsi="宋体" w:cs="宋体"/>
          <w:color w:val="auto"/>
          <w:sz w:val="24"/>
          <w:highlight w:val="none"/>
          <w:lang w:val="en-US" w:eastAsia="zh-CN"/>
        </w:rPr>
        <w:t xml:space="preserve">9.2.4</w:t>
      </w:r>
      <w:r>
        <w:rPr>
          <w:rFonts w:hint="eastAsia" w:ascii="宋体" w:hAnsi="宋体" w:cs="宋体"/>
          <w:color w:val="auto"/>
          <w:sz w:val="24"/>
          <w:highlight w:val="none"/>
        </w:rPr>
        <w:t xml:space="preserve">乙方按照要求添置相关的设备。设备添置、使用、维护所产生的费用、安全问题等由乙方负责</w:t>
      </w:r>
      <w:r>
        <w:rPr>
          <w:rFonts w:hint="eastAsia" w:ascii="宋体" w:hAnsi="宋体" w:cs="宋体"/>
          <w:color w:val="auto"/>
          <w:sz w:val="24"/>
          <w:highlight w:val="none"/>
          <w:lang w:eastAsia="zh-CN"/>
        </w:rPr>
        <w:t xml:space="preserve">。</w:t>
      </w:r>
      <w:r/>
    </w:p>
    <w:p>
      <w:pPr>
        <w:numPr>
          <w:ilvl w:val="0"/>
          <w:numId w:val="1"/>
        </w:numPr>
        <w:ind w:firstLine="482"/>
        <w:keepLines w:val="0"/>
        <w:keepNext w:val="0"/>
        <w:pageBreakBefore w:val="0"/>
        <w:spacing w:line="440" w:lineRule="exact"/>
        <w:widowControl w:val="off"/>
        <w:rPr>
          <w:rFonts w:hint="eastAsia" w:ascii="宋体" w:hAnsi="宋体" w:cs="宋体"/>
          <w:b/>
          <w:color w:val="auto"/>
          <w:sz w:val="24"/>
          <w:highlight w:val="none"/>
        </w:rPr>
      </w:pPr>
      <w:r>
        <w:rPr>
          <w:rFonts w:hint="eastAsia" w:ascii="宋体" w:hAnsi="宋体" w:cs="宋体"/>
          <w:b/>
          <w:color w:val="auto"/>
          <w:sz w:val="24"/>
          <w:highlight w:val="none"/>
        </w:rPr>
        <w:t xml:space="preserve">付款方式</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.1合同款项的支付方式及进度安排</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.1.1 预付款支付时间：合同签订后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采购人收到</w:t>
      </w:r>
      <w:r>
        <w:rPr>
          <w:rFonts w:hint="eastAsia" w:ascii="宋体" w:hAnsi="宋体" w:cs="宋体"/>
          <w:color w:val="auto"/>
          <w:sz w:val="24"/>
          <w:highlight w:val="none"/>
          <w:lang w:eastAsia="zh-CN"/>
        </w:rPr>
        <w:t xml:space="preserve">预付款</w:t>
      </w:r>
      <w:r>
        <w:rPr>
          <w:rFonts w:hint="eastAsia" w:ascii="宋体" w:hAnsi="宋体" w:cs="宋体"/>
          <w:color w:val="auto"/>
          <w:sz w:val="24"/>
          <w:highlight w:val="none"/>
        </w:rPr>
        <w:t xml:space="preserve">发票后10个工作日内，预付款支付比例：合同金额的</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.1.2 尾款支付时间：服务结束并验收合格,采购人收到发票后10个工作日内，尾款支付比例：该项目具有时限性，付款分为夏秋两季，当季工作结束并通过甲方验收合格后，可按实际完成工程量一次性付款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如有考核扣款及预付款，一并扣除后付款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注：以上付款均不计任何利息和相关费用。</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GB3 \* MERGEFORMAT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①</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承包人必须按甲方要求的方式足额纳税。</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2 \* GB3 \* MERGEFORMAT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②</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合同签订前双方约定开票方式，付款前提供符合甲方要求的发票，税率按国家规定。</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③建立资金预付制度， 合同签订后中标人可向甲方申请预付款。</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④投标人按合同约定支付人员工资、福利、加班费、工具用具费等费用，如因投标人未按规定发放相关费用，引起投诉上访等不安定因素，招标人有权在服务费中直接代为相关支付，并扣罚代为支出费用的1.5倍，在总服务费中扣除。 </w:t>
      </w:r>
      <w:r/>
    </w:p>
    <w:p>
      <w:pPr>
        <w:ind w:firstLine="482"/>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、税费</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本合同执行中相关的一切税费均由乙方负担。</w:t>
      </w:r>
      <w:r/>
    </w:p>
    <w:p>
      <w:pPr>
        <w:ind w:firstLine="482"/>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w:t>
      </w:r>
      <w:r>
        <w:rPr>
          <w:rFonts w:hint="eastAsia" w:ascii="宋体" w:hAnsi="宋体" w:cs="宋体"/>
          <w:color w:val="auto"/>
          <w:sz w:val="24"/>
          <w:highlight w:val="none"/>
        </w:rPr>
        <w:t xml:space="preserve">违约责任</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12.1</w:t>
      </w:r>
      <w:r>
        <w:rPr>
          <w:rFonts w:hint="eastAsia" w:ascii="宋体" w:hAnsi="宋体" w:cs="宋体"/>
          <w:color w:val="auto"/>
          <w:sz w:val="24"/>
          <w:highlight w:val="none"/>
        </w:rPr>
        <w:t xml:space="preserve">乙方不服从甲方管理，甲方有权终止合同，乙方所交的履约保证金作违约金不予退还；</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12.2</w:t>
      </w:r>
      <w:r>
        <w:rPr>
          <w:rFonts w:hint="eastAsia" w:ascii="宋体" w:hAnsi="宋体" w:cs="宋体"/>
          <w:color w:val="auto"/>
          <w:sz w:val="24"/>
          <w:highlight w:val="none"/>
        </w:rPr>
        <w:t xml:space="preserve">乙方擅自转包的，甲方有权终止合同。同时乙方交的履约保证金作合同违约金不予退还；</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12.3</w:t>
      </w:r>
      <w:r>
        <w:rPr>
          <w:rFonts w:hint="eastAsia" w:ascii="宋体" w:hAnsi="宋体" w:cs="宋体"/>
          <w:color w:val="auto"/>
          <w:sz w:val="24"/>
          <w:highlight w:val="none"/>
        </w:rPr>
        <w:t xml:space="preserve">乙方在用工等方面如违反《劳动法》及相关规定，甲方终止本合同。同时视乙方为违约，所交履约保证金作违约金不予退回。</w:t>
      </w:r>
      <w:r/>
    </w:p>
    <w:p>
      <w:pPr>
        <w:ind w:firstLine="480"/>
        <w:keepLines w:val="0"/>
        <w:keepNext w:val="0"/>
        <w:pageBreakBefore w:val="0"/>
        <w:spacing w:line="440" w:lineRule="exact"/>
        <w:widowControl w:val="off"/>
        <w:rPr>
          <w:rFonts w:hint="eastAsia"/>
          <w:color w:val="auto"/>
          <w:highlight w:val="none"/>
        </w:rPr>
      </w:pPr>
      <w:r>
        <w:rPr>
          <w:rFonts w:hint="eastAsia" w:ascii="宋体" w:hAnsi="宋体" w:cs="宋体"/>
          <w:color w:val="auto"/>
          <w:sz w:val="24"/>
          <w:highlight w:val="none"/>
          <w:lang w:val="en-US" w:eastAsia="zh-CN"/>
        </w:rPr>
        <w:t xml:space="preserve">12.4</w:t>
      </w:r>
      <w:r>
        <w:rPr>
          <w:rFonts w:hint="eastAsia" w:ascii="宋体" w:hAnsi="宋体" w:cs="宋体"/>
          <w:b/>
          <w:bCs/>
          <w:color w:val="auto"/>
          <w:sz w:val="24"/>
          <w:highlight w:val="none"/>
        </w:rPr>
        <w:t xml:space="preserve">因本项目秸秆离田对时间要求高，乙方需在秸秆打包好后3个日历天内全量离田。本项目</w:t>
      </w:r>
      <w:r>
        <w:rPr>
          <w:rFonts w:hint="eastAsia" w:ascii="宋体" w:hAnsi="宋体" w:cs="宋体"/>
          <w:b/>
          <w:bCs/>
          <w:color w:val="auto"/>
          <w:sz w:val="24"/>
          <w:highlight w:val="none"/>
          <w:lang w:val="en-US" w:eastAsia="zh-CN"/>
        </w:rPr>
        <w:t xml:space="preserve">夏季</w:t>
      </w:r>
      <w:r>
        <w:rPr>
          <w:rFonts w:hint="eastAsia" w:ascii="宋体" w:hAnsi="宋体" w:cs="宋体"/>
          <w:b/>
          <w:bCs/>
          <w:color w:val="auto"/>
          <w:sz w:val="24"/>
          <w:highlight w:val="none"/>
        </w:rPr>
        <w:t xml:space="preserve">需在</w:t>
      </w:r>
      <w:r>
        <w:rPr>
          <w:rFonts w:hint="eastAsia" w:ascii="宋体" w:hAnsi="宋体" w:cs="宋体"/>
          <w:b/>
          <w:bCs/>
          <w:color w:val="auto"/>
          <w:sz w:val="24"/>
          <w:highlight w:val="none"/>
          <w:lang w:val="en-US" w:eastAsia="zh-CN"/>
        </w:rPr>
        <w:t xml:space="preserve">15</w:t>
      </w:r>
      <w:r>
        <w:rPr>
          <w:rFonts w:hint="eastAsia" w:ascii="宋体" w:hAnsi="宋体" w:cs="宋体"/>
          <w:b/>
          <w:bCs/>
          <w:color w:val="auto"/>
          <w:sz w:val="24"/>
          <w:highlight w:val="none"/>
        </w:rPr>
        <w:t xml:space="preserve">个日历天</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秋季30个日历天</w:t>
      </w:r>
      <w:r>
        <w:rPr>
          <w:rFonts w:hint="eastAsia" w:ascii="宋体" w:hAnsi="宋体" w:cs="宋体"/>
          <w:b/>
          <w:bCs/>
          <w:color w:val="auto"/>
          <w:sz w:val="24"/>
          <w:highlight w:val="none"/>
        </w:rPr>
        <w:t xml:space="preserve">内全部清运出盐南高新区，不能影响夏季种稻、秋季种麦，乙方未能在甲方规定时间内及时将秸秆全量离田或者全部清运出盐南高新区的，甲方将处以50000元/天的罚金（具体开工时间以甲方书面通知为准）。</w:t>
      </w:r>
      <w:r/>
    </w:p>
    <w:p>
      <w:pPr>
        <w:ind w:firstLine="482"/>
        <w:keepLines w:val="0"/>
        <w:keepNext w:val="0"/>
        <w:pageBreakBefore w:val="0"/>
        <w:spacing w:line="440" w:lineRule="exact"/>
        <w:widowControl w:val="off"/>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、不可抗力事件处理</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 在合同有效期内，任何一方因不可抗力事件导致不能履行合同，则合同履行期可延长，其延长期与不可抗力影响期相同。</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.2 不可抗力事件发生后，应立即通知对方，并寄送有关权威机构出具的证明。</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.3 不可抗力事件延续120天以上，双方应通过友好协商，确定是否继续履行合同。</w:t>
      </w:r>
      <w:r/>
    </w:p>
    <w:p>
      <w:pPr>
        <w:ind w:firstLine="482"/>
        <w:keepLines w:val="0"/>
        <w:keepNext w:val="0"/>
        <w:pageBreakBefore w:val="0"/>
        <w:spacing w:line="440" w:lineRule="exact"/>
        <w:widowControl w:val="off"/>
        <w:rPr>
          <w:rFonts w:ascii="宋体" w:hAnsi="宋体" w:cs="宋体"/>
          <w:b/>
          <w:color w:val="auto"/>
          <w:sz w:val="24"/>
          <w:highlight w:val="none"/>
        </w:rPr>
      </w:pPr>
      <w:r>
        <w:rPr>
          <w:rFonts w:hint="eastAsia" w:ascii="宋体" w:hAnsi="宋体" w:cs="宋体"/>
          <w:b/>
          <w:color w:val="auto"/>
          <w:sz w:val="24"/>
          <w:highlight w:val="none"/>
          <w:lang w:val="en-US" w:eastAsia="zh-CN"/>
        </w:rPr>
        <w:t xml:space="preserve">十四</w:t>
      </w:r>
      <w:r>
        <w:rPr>
          <w:rFonts w:hint="eastAsia" w:ascii="宋体" w:hAnsi="宋体" w:cs="宋体"/>
          <w:b/>
          <w:color w:val="auto"/>
          <w:sz w:val="24"/>
          <w:highlight w:val="none"/>
        </w:rPr>
        <w:t xml:space="preserve">、诉讼</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 1</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 双方在执行合同中所发生的一切争议，应通过协商解决。如协商不成，可向合同签订地法院起诉，合同签订地在此约定为盐城市。</w:t>
      </w:r>
      <w:r/>
    </w:p>
    <w:p>
      <w:pPr>
        <w:ind w:firstLine="482"/>
        <w:keepLines w:val="0"/>
        <w:keepNext w:val="0"/>
        <w:pageBreakBefore w:val="0"/>
        <w:spacing w:line="440" w:lineRule="exact"/>
        <w:widowControl w:val="off"/>
        <w:rPr>
          <w:rFonts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五</w:t>
      </w:r>
      <w:r>
        <w:rPr>
          <w:rFonts w:hint="eastAsia" w:ascii="宋体" w:hAnsi="宋体" w:cs="宋体"/>
          <w:b/>
          <w:color w:val="auto"/>
          <w:sz w:val="24"/>
          <w:highlight w:val="none"/>
        </w:rPr>
        <w:t xml:space="preserve">、合同生效及其它</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 合同经双方法定代表人或授权委托代表人签字并加盖单位公章。</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.2本合同未尽事宜，遵照《中华人民共和国民法典》有关条文执行。</w:t>
      </w:r>
      <w:r/>
    </w:p>
    <w:p>
      <w:pPr>
        <w:ind w:firstLine="480"/>
        <w:keepLines w:val="0"/>
        <w:keepNext w:val="0"/>
        <w:pageBreakBefore w:val="0"/>
        <w:spacing w:line="44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.3本合同正本一式捌份，具有同等法律效力，甲方、乙方各执肆份。</w:t>
      </w:r>
      <w:r/>
    </w:p>
    <w:p>
      <w:pPr>
        <w:pStyle w:val="880"/>
        <w:spacing w:before="120" w:after="120" w:line="360" w:lineRule="auto"/>
        <w:rPr>
          <w:rFonts w:hAnsi="宋体" w:cs="宋体"/>
          <w:color w:val="auto"/>
          <w:highlight w:val="none"/>
        </w:rPr>
      </w:pPr>
      <w:r>
        <w:rPr>
          <w:rFonts w:hAnsi="宋体" w:cs="宋体"/>
          <w:color w:val="auto"/>
          <w:highlight w:val="none"/>
        </w:rPr>
      </w:r>
      <w:r/>
    </w:p>
    <w:p>
      <w:pPr>
        <w:ind w:left="0" w:righ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甲方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公章</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地址：</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地址：</w:t>
      </w:r>
      <w:r/>
    </w:p>
    <w:p>
      <w:pPr>
        <w:ind w:right="0" w:firstLine="120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 </w:t>
      </w:r>
      <w:r/>
    </w:p>
    <w:p>
      <w:pPr>
        <w:ind w:left="0" w:righ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法定代表人或授权代表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法定代表人或授权代表</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签字</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联系电话：</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联系电话：</w:t>
      </w:r>
      <w:r/>
    </w:p>
    <w:p>
      <w:pPr>
        <w:ind w:left="0" w:right="0" w:firstLine="480"/>
        <w:keepLines w:val="0"/>
        <w:keepNext w:val="0"/>
        <w:pageBreakBefore w:val="0"/>
        <w:spacing w:line="360" w:lineRule="auto"/>
        <w:rPr>
          <w:rFonts w:hint="eastAsia"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日期：</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日</w:t>
      </w:r>
      <w:r/>
    </w:p>
    <w:p>
      <w:pPr>
        <w:rPr>
          <w:color w:val="auto"/>
          <w:highlight w:val="none"/>
        </w:rPr>
      </w:pPr>
      <w:r>
        <w:rPr>
          <w:color w:val="auto"/>
          <w:highlight w:val="none"/>
        </w:rPr>
      </w:r>
      <w:r/>
    </w:p>
    <w:p>
      <w:pPr>
        <w:jc w:val="center"/>
        <w:spacing w:line="400" w:lineRule="exact"/>
        <w:rPr>
          <w:rFonts w:hint="eastAsia" w:hAnsi="宋体" w:cs="宋体"/>
          <w:color w:val="auto"/>
          <w:sz w:val="24"/>
          <w:highlight w:val="none"/>
        </w:rPr>
      </w:pPr>
      <w:r>
        <w:rPr>
          <w:rFonts w:hint="eastAsia" w:hAnsi="宋体" w:cs="宋体"/>
          <w:color w:val="auto"/>
          <w:sz w:val="24"/>
          <w:highlight w:val="none"/>
        </w:rPr>
        <w:br w:type="page" w:clear="all"/>
      </w:r>
      <w:r/>
    </w:p>
    <w:p>
      <w:pPr>
        <w:jc w:val="both"/>
        <w:spacing w:line="400" w:lineRule="exact"/>
        <w:rPr>
          <w:rFonts w:hint="eastAsia" w:hAnsi="宋体" w:cs="宋体"/>
          <w:color w:val="auto"/>
          <w:sz w:val="24"/>
          <w:highlight w:val="none"/>
          <w:lang w:val="en-US" w:eastAsia="zh-CN"/>
        </w:rPr>
      </w:pPr>
      <w:r>
        <w:rPr>
          <w:rFonts w:hint="eastAsia" w:hAnsi="宋体" w:cs="宋体"/>
          <w:color w:val="auto"/>
          <w:sz w:val="24"/>
          <w:highlight w:val="none"/>
          <w:lang w:val="en-US" w:eastAsia="zh-CN"/>
        </w:rPr>
        <w:t xml:space="preserve">附件1：</w:t>
      </w:r>
      <w:r/>
    </w:p>
    <w:p>
      <w:pPr>
        <w:jc w:val="center"/>
        <w:spacing w:line="400" w:lineRule="exact"/>
        <w:rPr>
          <w:rFonts w:ascii="宋体" w:hAnsi="宋体" w:cs="宋体"/>
          <w:color w:val="auto"/>
          <w:sz w:val="36"/>
          <w:szCs w:val="36"/>
          <w:highlight w:val="none"/>
        </w:rPr>
      </w:pPr>
      <w:r>
        <w:rPr>
          <w:rFonts w:hint="eastAsia" w:ascii="宋体" w:hAnsi="宋体" w:cs="宋体"/>
          <w:b/>
          <w:bCs/>
          <w:color w:val="auto"/>
          <w:sz w:val="36"/>
          <w:szCs w:val="36"/>
          <w:highlight w:val="none"/>
        </w:rPr>
        <w:t xml:space="preserve">廉政合同</w:t>
      </w:r>
      <w:r/>
    </w:p>
    <w:p>
      <w:pPr>
        <w:spacing w:line="520" w:lineRule="exact"/>
        <w:rPr>
          <w:rFonts w:ascii="宋体" w:hAnsi="宋体" w:cs="宋体"/>
          <w:color w:val="auto"/>
          <w:highlight w:val="none"/>
        </w:rPr>
      </w:pPr>
      <w:r>
        <w:rPr>
          <w:rFonts w:ascii="宋体" w:hAnsi="宋体" w:cs="宋体"/>
          <w:color w:val="auto"/>
          <w:highlight w:val="none"/>
        </w:rPr>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根据相关工程建设、廉政建设的规定，为做好工程建设中的党风廉政建设，保证工程建设高效优质，保证建设资金的安全和有效使用以及投资效益</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(以下简称“甲方”)与</w:t>
      </w:r>
      <w:r>
        <w:rPr>
          <w:rFonts w:hint="eastAsia" w:ascii="宋体" w:hAnsi="宋体" w:cs="宋体"/>
          <w:b/>
          <w:color w:val="auto"/>
          <w:sz w:val="24"/>
          <w:highlight w:val="none"/>
          <w:u w:val="single"/>
        </w:rPr>
        <w:t xml:space="preserve">                  </w:t>
      </w:r>
      <w:r>
        <w:rPr>
          <w:rFonts w:hint="eastAsia" w:ascii="宋体" w:hAnsi="宋体" w:cs="宋体"/>
          <w:color w:val="auto"/>
          <w:highlight w:val="none"/>
        </w:rPr>
        <w:t xml:space="preserve">(</w:t>
      </w:r>
      <w:r>
        <w:rPr>
          <w:rFonts w:hint="eastAsia" w:ascii="宋体" w:hAnsi="宋体" w:cs="宋体"/>
          <w:color w:val="auto"/>
          <w:sz w:val="24"/>
          <w:highlight w:val="none"/>
        </w:rPr>
        <w:t xml:space="preserve">以下称“乙方”），特订立如下合同。</w:t>
      </w:r>
      <w:r/>
    </w:p>
    <w:p>
      <w:pPr>
        <w:numPr>
          <w:ilvl w:val="0"/>
          <w:numId w:val="2"/>
        </w:numPr>
        <w:ind w:left="0" w:firstLine="480"/>
        <w:spacing w:line="520" w:lineRule="exact"/>
        <w:tabs>
          <w:tab w:val="left" w:pos="0" w:leader="none"/>
          <w:tab w:val="clear" w:pos="1685" w:leader="none"/>
        </w:tabs>
        <w:rPr>
          <w:rFonts w:ascii="宋体" w:hAnsi="宋体" w:cs="宋体"/>
          <w:color w:val="auto"/>
          <w:sz w:val="24"/>
          <w:highlight w:val="none"/>
        </w:rPr>
      </w:pPr>
      <w:r>
        <w:rPr>
          <w:rFonts w:hint="eastAsia" w:ascii="宋体" w:hAnsi="宋体" w:cs="宋体"/>
          <w:color w:val="auto"/>
          <w:sz w:val="24"/>
          <w:highlight w:val="none"/>
        </w:rPr>
        <w:t xml:space="preserve">  甲乙双方的权利和义务</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（一）严格遵守党和国家有关法律法规的有关规定。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（二）严格执行合同文件，自觉按合同办事。</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（三）双方的业务活动坚持公开、公正、诚信、透明的原则（除法律认定的商业秘密和合同文件另有规定之外），不得损害国家和集体的利益，违反工程建设管理规章制度。</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（四）建立健全廉政制度，开展廉政教育，设立廉政告示牌，公布举报电话，监督并认真查处违法违纪行为。</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（五）发现对方在业务活动中有违反廉政规定的行为，有及时提醒对方纠正的权利和义务。</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（六）发现对方严重违反本合同义务条款的行为，有向其上级有关部门举报，建议给予处理并要求告知处理结果的权利。</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七）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一至三年内进入盐城市工程建设市场，涉嫌犯罪的，移送司法机关依法处理。</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八）本项目建设过程中，如发现甲方及其工作人员和受甲方委托从事招标代理、监理、跟踪审计等单位的人员存在“吃拿卡要”等违法违纪违规行为，有权在第一时间向盐南高新区纪工委口头或书面反映并要求告知处理结果。</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甲方的义务</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一）甲方及其工作人员和受甲方委托从事本项目招标代理、监理、跟踪审计等单位的人员不得索要或接受乙方的礼金、礼品、有价证券及回扣、好处费、感谢费等，不得在乙方报销任何应由甲方或其相关工作人员应当个人支付的费用等。</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（二）甲方工作人员不得参加乙方安排的宴请、健身、旅游及娱乐活动，不得接受乙方提供的通讯工具、交通工具和高档办公用品以及通信充值卡、加油卡等。</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（三）甲方工作人员不得要求或者接受乙方为其汽车或住房装修、婚丧嫁娶活动、配偶子女的工作安排以及出国出境、旅游等提供方便等。</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（四）甲方工作人员的配偶、子女不得从事与甲方工程有关的材料设备供应，工程分包、劳务等经济活动等。</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（五）甲方及其工作人员不得以任何理由向乙方推荐分包单位，不得要求乙方购买合同规定外的材料和设备。</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乙方义务</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一）乙方不得以任何理由向甲方及其工作人员和受甲方委托从事招标代理、监理、跟踪审计等单位的人员行贿、馈赠礼金、礼品、有价证券及给予回扣、好处费、感谢费等，不得以任何名义为上述人员报销应由其单位或个人支付的任何费用。</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（二）乙方不得以任何理由安排上述人员参加宴请、健身、旅游及娱乐等活动。</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（三）乙方不得为甲方单位和个人购置或提供通讯工具、交通工具和高档办公用品以及通信充值卡、加油卡等。</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（四）乙方不得为上述人员提供汽车或住房等装修；不得为上述人员的婚丧嫁娶、配偶子女的工作安排以及出国出境、旅游等提供方便。</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（五）乙方愿意以工程合同总工作量的1%作为廉政保证金。</w:t>
      </w:r>
      <w:r/>
    </w:p>
    <w:p>
      <w:pPr>
        <w:numPr>
          <w:ilvl w:val="0"/>
          <w:numId w:val="2"/>
        </w:numPr>
        <w:ind w:left="0" w:firstLine="480"/>
        <w:spacing w:line="520" w:lineRule="exact"/>
        <w:tabs>
          <w:tab w:val="left" w:pos="0" w:leader="none"/>
          <w:tab w:val="clear" w:pos="1685" w:leader="none"/>
        </w:tabs>
        <w:rPr>
          <w:rFonts w:ascii="宋体" w:hAnsi="宋体" w:cs="宋体"/>
          <w:color w:val="auto"/>
          <w:sz w:val="24"/>
          <w:highlight w:val="none"/>
        </w:rPr>
      </w:pPr>
      <w:r>
        <w:rPr>
          <w:rFonts w:hint="eastAsia" w:ascii="宋体" w:hAnsi="宋体" w:cs="宋体"/>
          <w:color w:val="auto"/>
          <w:sz w:val="24"/>
          <w:highlight w:val="none"/>
        </w:rPr>
        <w:t xml:space="preserve">  违约责任</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（一）甲方及其工作人员违反本合同第一、二条，按管理权限，依据有关规定给予党纪、政纪或组织处理，涉嫌犯罪的，移交司法机关追究刑事责任；给乙方单位造成经济损失的，应予以赔偿。</w:t>
      </w:r>
      <w:r/>
    </w:p>
    <w:p>
      <w:pPr>
        <w:pStyle w:val="881"/>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二）乙方及其工作人员违反本合同第一、三条，给甲方造成经济损失的，应予以赔偿；导致甲方人员受到党纪、政纪或组织处理的，甲方给予乙方至少二年内不得参与其公司内部分包工程建设并没收廉政保证金（甲方在质保金中直接扣除）的处罚。</w:t>
      </w:r>
      <w:r/>
    </w:p>
    <w:p>
      <w:pPr>
        <w:pStyle w:val="881"/>
        <w:numPr>
          <w:ilvl w:val="0"/>
          <w:numId w:val="2"/>
        </w:numPr>
        <w:ind w:left="0" w:firstLine="480"/>
        <w:spacing w:line="520" w:lineRule="exact"/>
        <w:tabs>
          <w:tab w:val="left" w:pos="0" w:leader="none"/>
          <w:tab w:val="clear" w:pos="1685" w:leader="none"/>
        </w:tabs>
        <w:rPr>
          <w:rFonts w:ascii="宋体" w:hAnsi="宋体" w:eastAsia="宋体" w:cs="宋体"/>
          <w:color w:val="auto"/>
          <w:highlight w:val="none"/>
        </w:rPr>
      </w:pPr>
      <w:r>
        <w:rPr>
          <w:rFonts w:hint="eastAsia" w:ascii="宋体" w:hAnsi="宋体" w:eastAsia="宋体" w:cs="宋体"/>
          <w:color w:val="auto"/>
          <w:highlight w:val="none"/>
        </w:rPr>
        <w:t xml:space="preserve">  双方约定：本合同由双方或双方上级单位的纪检检查机关负责监督。甲方或甲方上级单位的纪检监察机关约请乙方或乙方上级单位纪检监察机关对本合同履行情况进行检查，提出在本合同规定范围内的裁定意见。</w:t>
      </w:r>
      <w:r/>
    </w:p>
    <w:p>
      <w:pPr>
        <w:pStyle w:val="881"/>
        <w:numPr>
          <w:ilvl w:val="0"/>
          <w:numId w:val="2"/>
        </w:numPr>
        <w:ind w:left="0" w:firstLine="480"/>
        <w:spacing w:line="520" w:lineRule="exact"/>
        <w:tabs>
          <w:tab w:val="left" w:pos="0" w:leader="none"/>
          <w:tab w:val="clear" w:pos="1685" w:leader="none"/>
        </w:tabs>
        <w:rPr>
          <w:rFonts w:ascii="宋体" w:hAnsi="宋体" w:eastAsia="宋体" w:cs="宋体"/>
          <w:color w:val="auto"/>
          <w:highlight w:val="none"/>
        </w:rPr>
      </w:pPr>
      <w:r>
        <w:rPr>
          <w:rFonts w:hint="eastAsia" w:ascii="宋体" w:hAnsi="宋体" w:eastAsia="宋体" w:cs="宋体"/>
          <w:color w:val="auto"/>
          <w:highlight w:val="none"/>
        </w:rPr>
        <w:t xml:space="preserve">  本合同有效期为甲乙双方签署之日起至该工程项目竣工验收后为止。</w:t>
      </w:r>
      <w:r/>
    </w:p>
    <w:p>
      <w:pPr>
        <w:pStyle w:val="881"/>
        <w:numPr>
          <w:ilvl w:val="0"/>
          <w:numId w:val="2"/>
        </w:numPr>
        <w:ind w:left="0" w:firstLine="480"/>
        <w:spacing w:line="520" w:lineRule="exact"/>
        <w:tabs>
          <w:tab w:val="left" w:pos="0" w:leader="none"/>
          <w:tab w:val="clear" w:pos="1685" w:leader="none"/>
        </w:tabs>
        <w:rPr>
          <w:rFonts w:ascii="宋体" w:hAnsi="宋体" w:eastAsia="宋体" w:cs="宋体"/>
          <w:color w:val="auto"/>
          <w:highlight w:val="none"/>
        </w:rPr>
      </w:pPr>
      <w:r>
        <w:rPr>
          <w:rFonts w:hint="eastAsia" w:ascii="宋体" w:hAnsi="宋体" w:eastAsia="宋体" w:cs="宋体"/>
          <w:color w:val="auto"/>
          <w:highlight w:val="none"/>
        </w:rPr>
        <w:t xml:space="preserve">  本合同作为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eastAsia="zh-CN"/>
        </w:rPr>
        <w:t xml:space="preserve">伍佑街道2025年秸秆离田项目</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合同的附件，合同份数与本主合同的约定相同，与施工合同具有同等的法律效力，由双方法定代表人或其授权的代理人签署与加盖公章后生效，全部工程竣工验收后失效。</w:t>
      </w:r>
      <w:r/>
    </w:p>
    <w:p>
      <w:pPr>
        <w:pStyle w:val="881"/>
        <w:ind w:left="560"/>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881"/>
        <w:ind w:left="357"/>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甲方单位：（盖章）                    乙方单位：（盖章）</w:t>
      </w:r>
      <w:r/>
    </w:p>
    <w:p>
      <w:pPr>
        <w:pStyle w:val="881"/>
        <w:ind w:left="836" w:firstLine="0"/>
        <w:spacing w:line="520" w:lineRule="exact"/>
        <w:rPr>
          <w:rFonts w:ascii="宋体" w:hAnsi="宋体" w:eastAsia="宋体" w:cs="宋体"/>
          <w:color w:val="auto"/>
          <w:highlight w:val="none"/>
        </w:rPr>
      </w:pPr>
      <w:r>
        <w:rPr>
          <w:rFonts w:hint="eastAsia" w:ascii="宋体" w:hAnsi="宋体" w:eastAsia="宋体" w:cs="宋体"/>
          <w:color w:val="auto"/>
          <w:highlight w:val="none"/>
        </w:rPr>
        <w:br/>
      </w:r>
      <w:r>
        <w:rPr>
          <w:rFonts w:hint="eastAsia" w:ascii="宋体" w:hAnsi="宋体" w:eastAsia="宋体" w:cs="宋体"/>
          <w:color w:val="auto"/>
          <w:highlight w:val="none"/>
        </w:rPr>
        <w:t xml:space="preserve">法定代表人：（签名）                  法定代表人：（签名）</w:t>
      </w:r>
      <w:r/>
    </w:p>
    <w:p>
      <w:pPr>
        <w:pStyle w:val="881"/>
        <w:ind w:left="357"/>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881"/>
        <w:ind w:left="560"/>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或委托代理人：(签名)               或委托代理人：(签名)</w:t>
      </w:r>
      <w:r/>
    </w:p>
    <w:p>
      <w:pPr>
        <w:spacing w:line="520" w:lineRule="exact"/>
        <w:rPr>
          <w:rFonts w:ascii="宋体" w:hAnsi="宋体" w:cs="宋体"/>
          <w:color w:val="auto"/>
          <w:sz w:val="44"/>
          <w:szCs w:val="44"/>
          <w:highlight w:val="none"/>
        </w:rPr>
      </w:pPr>
      <w:r>
        <w:rPr>
          <w:rFonts w:ascii="宋体" w:hAnsi="宋体" w:cs="宋体"/>
          <w:color w:val="auto"/>
          <w:sz w:val="44"/>
          <w:szCs w:val="44"/>
          <w:highlight w:val="none"/>
        </w:rPr>
      </w:r>
      <w:r/>
    </w:p>
    <w:p>
      <w:pPr>
        <w:spacing w:line="52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887"/>
        <w:ind w:firstLine="480"/>
        <w:rPr>
          <w:rFonts w:hint="eastAsia" w:cs="宋体"/>
          <w:color w:val="auto"/>
          <w:sz w:val="24"/>
          <w:highlight w:val="none"/>
          <w:u w:val="single"/>
        </w:rPr>
      </w:pPr>
      <w:r>
        <w:rPr>
          <w:rFonts w:hint="eastAsia" w:cs="宋体"/>
          <w:color w:val="auto"/>
          <w:sz w:val="24"/>
          <w:highlight w:val="none"/>
          <w:u w:val="singl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center"/>
        <w:spacing w:line="520" w:lineRule="exact"/>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both"/>
        <w:spacing w:line="520" w:lineRule="exact"/>
        <w:rPr>
          <w:rFonts w:hint="default" w:ascii="宋体" w:hAnsi="宋体" w:cs="宋体" w:eastAsiaTheme="minorEastAsia"/>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附件2：</w:t>
      </w:r>
      <w:r/>
    </w:p>
    <w:p>
      <w:pPr>
        <w:jc w:val="center"/>
        <w:spacing w:line="520" w:lineRule="exact"/>
        <w:rPr>
          <w:rFonts w:ascii="宋体" w:hAnsi="宋体" w:cs="宋体"/>
          <w:b/>
          <w:bCs/>
          <w:color w:val="auto"/>
          <w:sz w:val="36"/>
          <w:szCs w:val="36"/>
          <w:highlight w:val="none"/>
        </w:rPr>
      </w:pPr>
      <w:r>
        <w:rPr>
          <w:rFonts w:hint="eastAsia" w:ascii="宋体" w:hAnsi="宋体" w:cs="宋体"/>
          <w:b/>
          <w:bCs/>
          <w:color w:val="auto"/>
          <w:sz w:val="36"/>
          <w:szCs w:val="36"/>
          <w:highlight w:val="none"/>
        </w:rPr>
        <w:t xml:space="preserve">安全生产合同</w:t>
      </w:r>
      <w:r/>
    </w:p>
    <w:p>
      <w:pPr>
        <w:jc w:val="center"/>
        <w:spacing w:line="520" w:lineRule="exact"/>
        <w:rPr>
          <w:rFonts w:ascii="宋体" w:hAnsi="宋体" w:cs="宋体"/>
          <w:b/>
          <w:bCs/>
          <w:color w:val="auto"/>
          <w:sz w:val="36"/>
          <w:szCs w:val="36"/>
          <w:highlight w:val="none"/>
        </w:rPr>
      </w:pPr>
      <w:r>
        <w:rPr>
          <w:rFonts w:ascii="宋体" w:hAnsi="宋体" w:cs="宋体"/>
          <w:b/>
          <w:bCs/>
          <w:color w:val="auto"/>
          <w:sz w:val="36"/>
          <w:szCs w:val="36"/>
          <w:highlight w:val="none"/>
        </w:rPr>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为在</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CN"/>
        </w:rPr>
        <w:t xml:space="preserve">伍佑街道2025年秸秆离田项目</w:t>
      </w:r>
      <w:r>
        <w:rPr>
          <w:rFonts w:hint="eastAsia" w:ascii="宋体" w:hAnsi="宋体" w:cs="宋体"/>
          <w:color w:val="auto"/>
          <w:sz w:val="24"/>
          <w:highlight w:val="none"/>
        </w:rPr>
        <w:t xml:space="preserve">施工合同的实施过程中创造安全、高效的施工环境，切实搞好本项目的安全管理工作，</w:t>
      </w:r>
      <w:r>
        <w:rPr>
          <w:rFonts w:hint="eastAsia" w:ascii="宋体" w:hAnsi="宋体" w:cs="宋体"/>
          <w:color w:val="auto"/>
          <w:sz w:val="24"/>
          <w:highlight w:val="none"/>
          <w:u w:val="single"/>
        </w:rPr>
        <w:t xml:space="preserve">  江苏省盐南高新技术产业开发区伍佑街道办事处   </w:t>
      </w:r>
      <w:r>
        <w:rPr>
          <w:rFonts w:hint="eastAsia" w:ascii="宋体" w:hAnsi="宋体" w:cs="宋体"/>
          <w:color w:val="auto"/>
          <w:sz w:val="24"/>
          <w:highlight w:val="none"/>
        </w:rPr>
        <w:t xml:space="preserve">（以下简称“甲方”）与承包人</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（以下简称“乙方”）特此签订安全生产合同：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一、甲方职责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1、严格遵守国家有关安全生产的法律法规，认真执行工程承包合同中的有关安全要求。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2、按照“安全第一、预防为主”和坚持“管生产必须管安全”的原则进行安全生产管理，做到生产与安全工作同时计划、布置、检查、总结和评比。</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3、重要的安全设施必须坚持与主体工程“三同时”的原则，即：同时设计，审批，同时施工，同时验收，投入使用。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4、定期召开安全生产调度会，及时传达中央及地方有关安全生产的精神。</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5、组织对乙方施工现场安全生产检查，监督乙方及时处理发现的各种安全隐患。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二、乙方职责</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1、严格遵守国家有关安全生产的法律法规有关安全生产的规定，认真执行工程承包合同中的有关安全要求。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4、乙方在任何时候都应采取各种合理的预防措施，防止其员工发生任何违法、违禁、暴力或妨碍治安的行为。</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7、操作人员上岗，必须按规定穿戴防护用品。施工负责人和安全检查员应随时检查劳动防护用品的穿戴情况，不按规定穿戴防护用品的人员不得上岗。</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8、所有施工机具设备和高空作业的设备均应定期检查，并有安全员的签字记录，保证其经常处于完好状态；不合格的机具、设备和劳动保护用品严禁使用。</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9、施工中采用新技术、新工艺、新设备、新材料时，必须制定相应的安全技术措施，施工现场必须具有相关的安全标志牌。</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三、违约责任</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如因甲方或乙方违约造成安全事故，将依法追究责任。</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本合同作为主合同附件，合同份数与本主合同的约定相同，与施工合同具有同等的法律效力，由双方法定代表人或其授权的代理人签署与加盖公章后生效，全部工程竣工验收后失效。</w:t>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pStyle w:val="881"/>
        <w:ind w:left="357"/>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甲方单位：（盖章）                    乙方单位：（盖章）</w:t>
      </w:r>
      <w:r/>
    </w:p>
    <w:p>
      <w:pPr>
        <w:pStyle w:val="881"/>
        <w:ind w:left="357"/>
        <w:spacing w:line="520" w:lineRule="exact"/>
        <w:rPr>
          <w:rFonts w:ascii="宋体" w:hAnsi="宋体" w:eastAsia="宋体" w:cs="宋体"/>
          <w:color w:val="auto"/>
          <w:highlight w:val="none"/>
        </w:rPr>
      </w:pPr>
      <w:r>
        <w:rPr>
          <w:rFonts w:hint="eastAsia" w:ascii="宋体" w:hAnsi="宋体" w:eastAsia="宋体" w:cs="宋体"/>
          <w:color w:val="auto"/>
          <w:highlight w:val="none"/>
        </w:rPr>
        <w:br/>
      </w:r>
      <w:r>
        <w:rPr>
          <w:rFonts w:hint="eastAsia" w:ascii="宋体" w:hAnsi="宋体" w:eastAsia="宋体" w:cs="宋体"/>
          <w:color w:val="auto"/>
          <w:highlight w:val="none"/>
        </w:rPr>
        <w:t xml:space="preserve">法定代表人：（签名）                  法定代表人：（签名）</w:t>
      </w:r>
      <w:r/>
    </w:p>
    <w:p>
      <w:pPr>
        <w:pStyle w:val="881"/>
        <w:ind w:left="357"/>
        <w:spacing w:line="520" w:lineRule="exact"/>
        <w:rPr>
          <w:rFonts w:ascii="宋体" w:hAnsi="宋体" w:eastAsia="宋体" w:cs="宋体"/>
          <w:color w:val="auto"/>
          <w:highlight w:val="none"/>
        </w:rPr>
      </w:pPr>
      <w:r>
        <w:rPr>
          <w:rFonts w:ascii="宋体" w:hAnsi="宋体" w:eastAsia="宋体" w:cs="宋体"/>
          <w:color w:val="auto"/>
          <w:highlight w:val="none"/>
        </w:rPr>
      </w:r>
      <w:r/>
    </w:p>
    <w:p>
      <w:pPr>
        <w:pStyle w:val="881"/>
        <w:ind w:left="560"/>
        <w:spacing w:line="520" w:lineRule="exact"/>
        <w:rPr>
          <w:rFonts w:ascii="宋体" w:hAnsi="宋体" w:eastAsia="宋体" w:cs="宋体"/>
          <w:color w:val="auto"/>
          <w:highlight w:val="none"/>
        </w:rPr>
      </w:pPr>
      <w:r>
        <w:rPr>
          <w:rFonts w:hint="eastAsia" w:ascii="宋体" w:hAnsi="宋体" w:eastAsia="宋体" w:cs="宋体"/>
          <w:color w:val="auto"/>
          <w:highlight w:val="none"/>
        </w:rPr>
        <w:t xml:space="preserve">或委托代理人：(签名)              或委托代理人：(签名)</w:t>
      </w:r>
      <w:r/>
    </w:p>
    <w:p>
      <w:pPr>
        <w:ind w:firstLine="4680"/>
        <w:spacing w:line="520" w:lineRule="exact"/>
        <w:rPr>
          <w:rFonts w:ascii="宋体" w:hAnsi="宋体" w:cs="宋体"/>
          <w:color w:val="auto"/>
          <w:sz w:val="24"/>
          <w:highlight w:val="none"/>
        </w:rPr>
      </w:pPr>
      <w:r>
        <w:rPr>
          <w:rFonts w:ascii="宋体" w:hAnsi="宋体" w:cs="宋体"/>
          <w:color w:val="auto"/>
          <w:sz w:val="24"/>
          <w:highlight w:val="none"/>
        </w:rPr>
      </w:r>
      <w:r/>
    </w:p>
    <w:p>
      <w:pPr>
        <w:ind w:firstLine="5040"/>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tbl>
      <w:tblPr>
        <w:tblStyle w:val="875"/>
        <w:tblW w:w="978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16"/>
        <w:gridCol w:w="1176"/>
        <w:gridCol w:w="4343"/>
        <w:gridCol w:w="876"/>
        <w:gridCol w:w="470"/>
        <w:gridCol w:w="470"/>
        <w:gridCol w:w="1129"/>
      </w:tblGrid>
      <w:tr>
        <w:trPr>
          <w:trHeight w:val="90"/>
        </w:trPr>
        <w:tc>
          <w:tcPr>
            <w:gridSpan w:val="7"/>
            <w:shd w:val="clear" w:color="auto" w:fill="auto"/>
            <w:tcBorders>
              <w:top w:val="none" w:color="000000" w:sz="4" w:space="0"/>
              <w:left w:val="none" w:color="000000" w:sz="4" w:space="0"/>
              <w:bottom w:val="none" w:color="000000" w:sz="4" w:space="0"/>
              <w:right w:val="none" w:color="000000" w:sz="4" w:space="0"/>
            </w:tcBorders>
            <w:tcW w:w="9780" w:type="dxa"/>
            <w:vAlign w:val="center"/>
            <w:textDirection w:val="lrTb"/>
            <w:noWrap/>
          </w:tcPr>
          <w:p>
            <w:pPr>
              <w:jc w:val="both"/>
              <w:spacing w:line="520" w:lineRule="exact"/>
              <w:rPr>
                <w:rFonts w:hint="default" w:ascii="宋体" w:hAnsi="宋体" w:cs="宋体"/>
                <w:b/>
                <w:bCs/>
                <w:color w:val="auto"/>
                <w:sz w:val="22"/>
                <w:szCs w:val="22"/>
                <w:highlight w:val="none"/>
                <w:lang w:val="en-US" w:eastAsia="zh-CN"/>
              </w:rPr>
            </w:pPr>
            <w:r>
              <w:rPr>
                <w:rFonts w:hint="eastAsia" w:ascii="宋体" w:hAnsi="宋体" w:cs="宋体"/>
                <w:b/>
                <w:bCs/>
                <w:color w:val="auto"/>
                <w:sz w:val="22"/>
                <w:szCs w:val="22"/>
                <w:highlight w:val="none"/>
                <w:lang w:val="en-US" w:eastAsia="zh-CN"/>
              </w:rPr>
              <w:t xml:space="preserve">附件3：</w:t>
            </w:r>
            <w:r/>
          </w:p>
          <w:p>
            <w:pPr>
              <w:jc w:val="center"/>
              <w:keepLines w:val="0"/>
              <w:keepNext w:val="0"/>
              <w:widowControl/>
              <w:rPr>
                <w:rFonts w:ascii="方正小标宋简体" w:hAnsi="方正小标宋简体" w:eastAsia="方正小标宋简体" w:cs="方正小标宋简体"/>
                <w:i w:val="0"/>
                <w:iCs w:val="0"/>
                <w:color w:val="000000"/>
                <w:sz w:val="44"/>
                <w:szCs w:val="44"/>
                <w:u w:val="none"/>
              </w:rPr>
              <w:suppressLineNumbers w:val="0"/>
            </w:pPr>
            <w:r>
              <w:rPr>
                <w:rFonts w:hint="default" w:ascii="方正小标宋简体" w:hAnsi="方正小标宋简体" w:eastAsia="方正小标宋简体" w:cs="方正小标宋简体"/>
                <w:i w:val="0"/>
                <w:iCs w:val="0"/>
                <w:color w:val="000000"/>
                <w:sz w:val="44"/>
                <w:szCs w:val="44"/>
                <w:u w:val="none"/>
                <w:lang w:val="en-US" w:eastAsia="zh-CN" w:bidi="ar"/>
              </w:rPr>
              <w:t xml:space="preserve">秸秆离田作业主体考核表</w:t>
            </w:r>
            <w:r/>
          </w:p>
        </w:tc>
      </w:tr>
      <w:tr>
        <w:trPr>
          <w:trHeight w:val="90"/>
        </w:trPr>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作业单位：</w:t>
            </w:r>
            <w:r/>
          </w:p>
        </w:tc>
        <w:tc>
          <w:tcPr>
            <w:shd w:val="clear" w:color="auto" w:fill="auto"/>
            <w:tcBorders>
              <w:top w:val="none" w:color="000000" w:sz="4" w:space="0"/>
              <w:left w:val="none" w:color="000000" w:sz="4" w:space="0"/>
              <w:bottom w:val="none" w:color="000000" w:sz="4" w:space="0"/>
              <w:right w:val="none" w:color="000000" w:sz="4" w:space="0"/>
            </w:tcBorders>
            <w:tcW w:w="940" w:type="dxa"/>
            <w:vAlign w:val="center"/>
            <w:textDirection w:val="lrTb"/>
            <w:noWrap w:val="false"/>
          </w:tcPr>
          <w:p>
            <w:pPr>
              <w:jc w:val="left"/>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none" w:color="000000" w:sz="4" w:space="0"/>
              <w:left w:val="none" w:color="000000" w:sz="4" w:space="0"/>
              <w:bottom w:val="none" w:color="000000" w:sz="4" w:space="0"/>
              <w:right w:val="non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负责人：                                             </w:t>
            </w:r>
            <w:r/>
          </w:p>
        </w:tc>
        <w:tc>
          <w:tcPr>
            <w:shd w:val="clear" w:color="auto" w:fill="auto"/>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日期：</w:t>
            </w:r>
            <w:r/>
          </w:p>
        </w:tc>
        <w:tc>
          <w:tcPr>
            <w:shd w:val="clear" w:color="auto" w:fill="auto"/>
            <w:tcBorders>
              <w:top w:val="none" w:color="000000" w:sz="4" w:space="0"/>
              <w:left w:val="none" w:color="000000" w:sz="4" w:space="0"/>
              <w:bottom w:val="none" w:color="000000" w:sz="4" w:space="0"/>
              <w:right w:val="none" w:color="000000" w:sz="4" w:space="0"/>
            </w:tcBorders>
            <w:tcW w:w="47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Borders>
              <w:top w:val="none" w:color="000000" w:sz="4" w:space="0"/>
              <w:left w:val="none" w:color="000000" w:sz="4" w:space="0"/>
              <w:bottom w:val="none" w:color="000000" w:sz="4" w:space="0"/>
              <w:right w:val="none" w:color="000000" w:sz="4" w:space="0"/>
            </w:tcBorders>
            <w:tcW w:w="470" w:type="dxa"/>
            <w:vAlign w:val="center"/>
            <w:textDirection w:val="lrTb"/>
            <w:noWrap w:val="false"/>
          </w:tcPr>
          <w:p>
            <w:pPr>
              <w:jc w:val="righ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月</w:t>
            </w:r>
            <w:r/>
          </w:p>
        </w:tc>
        <w:tc>
          <w:tcPr>
            <w:shd w:val="clear" w:color="auto" w:fill="auto"/>
            <w:tcBorders>
              <w:top w:val="none" w:color="000000" w:sz="4" w:space="0"/>
              <w:left w:val="none" w:color="000000" w:sz="4" w:space="0"/>
              <w:bottom w:val="none" w:color="000000" w:sz="4" w:space="0"/>
              <w:right w:val="none" w:color="000000" w:sz="4" w:space="0"/>
            </w:tcBorders>
            <w:tcW w:w="112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日</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基准指标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考核项目</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评分标准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扣分</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keepLines w:val="0"/>
              <w:keepNext w:val="0"/>
              <w:widowControl/>
              <w:rPr>
                <w:rFonts w:hint="eastAsia" w:ascii="黑体" w:hAnsi="宋体" w:eastAsia="黑体" w:cs="黑体"/>
                <w:i w:val="0"/>
                <w:iCs w:val="0"/>
                <w:color w:val="000000"/>
                <w:sz w:val="24"/>
                <w:szCs w:val="24"/>
                <w:u w:val="none"/>
              </w:rPr>
              <w:suppressLineNumbers w:val="0"/>
            </w:pPr>
            <w:r>
              <w:rPr>
                <w:rFonts w:hint="eastAsia" w:ascii="黑体" w:hAnsi="宋体" w:eastAsia="黑体" w:cs="黑体"/>
                <w:i w:val="0"/>
                <w:iCs w:val="0"/>
                <w:color w:val="000000"/>
                <w:sz w:val="24"/>
                <w:szCs w:val="24"/>
                <w:u w:val="none"/>
                <w:lang w:val="en-US" w:eastAsia="zh-CN" w:bidi="ar"/>
              </w:rPr>
              <w:t xml:space="preserve">备注</w:t>
            </w:r>
            <w:r>
              <w:rPr>
                <w:rFonts w:hint="eastAsia" w:ascii="黑体" w:hAnsi="宋体" w:eastAsia="黑体" w:cs="黑体"/>
                <w:i w:val="0"/>
                <w:iCs w:val="0"/>
                <w:color w:val="000000"/>
                <w:sz w:val="24"/>
                <w:szCs w:val="24"/>
                <w:u w:val="none"/>
                <w:lang w:val="en-US" w:eastAsia="zh-CN" w:bidi="ar"/>
              </w:rPr>
              <w:br/>
            </w:r>
            <w:r>
              <w:rPr>
                <w:rFonts w:hint="eastAsia" w:ascii="黑体" w:hAnsi="宋体" w:eastAsia="黑体" w:cs="黑体"/>
                <w:i w:val="0"/>
                <w:iCs w:val="0"/>
                <w:color w:val="000000"/>
                <w:sz w:val="24"/>
                <w:szCs w:val="24"/>
                <w:u w:val="none"/>
                <w:lang w:val="en-US" w:eastAsia="zh-CN" w:bidi="ar"/>
              </w:rPr>
              <w:t xml:space="preserve">（核查记录）</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作业准备</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履约保证</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合同签定及时、履约保证金缴纳及时，每耽误</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天扣</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作业计划</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作业田亩、计划与作业机器配备数量，配备是否合理，每发现</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处不合理扣</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作业报备</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与种植户及所在村居沟通报备作业计划，计划是否合理，每发现1处不合理扣1分。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黑体" w:hAnsi="宋体" w:eastAsia="黑体" w:cs="黑体"/>
                <w:i w:val="0"/>
                <w:iCs w:val="0"/>
                <w:color w:val="000000"/>
                <w:sz w:val="20"/>
                <w:szCs w:val="20"/>
                <w:u w:val="none"/>
              </w:rPr>
            </w:pPr>
            <w:r>
              <w:rPr>
                <w:rFonts w:hint="eastAsia" w:ascii="黑体" w:hAnsi="宋体" w:eastAsia="黑体" w:cs="黑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作业质量</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秸秆离田率</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单季离田率达</w:t>
            </w:r>
            <w:r>
              <w:rPr>
                <w:rStyle w:val="925"/>
                <w:rFonts w:eastAsia="宋体"/>
                <w:lang w:val="en-US" w:eastAsia="zh-CN" w:bidi="ar"/>
              </w:rPr>
              <w:t xml:space="preserve">100%</w:t>
            </w:r>
            <w:r>
              <w:rPr>
                <w:rFonts w:hint="eastAsia" w:ascii="宋体" w:hAnsi="宋体" w:eastAsia="宋体" w:cs="宋体"/>
                <w:i w:val="0"/>
                <w:iCs w:val="0"/>
                <w:color w:val="000000"/>
                <w:sz w:val="20"/>
                <w:szCs w:val="20"/>
                <w:u w:val="none"/>
                <w:lang w:val="en-US" w:eastAsia="zh-CN" w:bidi="ar"/>
              </w:rPr>
              <w:t xml:space="preserve">，得</w:t>
            </w:r>
            <w:r>
              <w:rPr>
                <w:rStyle w:val="925"/>
                <w:rFonts w:eastAsia="宋体"/>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分；每降低</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扣</w:t>
            </w:r>
            <w:r>
              <w:rPr>
                <w:rStyle w:val="925"/>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分，低于</w:t>
            </w:r>
            <w:r>
              <w:rPr>
                <w:rStyle w:val="925"/>
                <w:rFonts w:eastAsia="宋体"/>
                <w:lang w:val="en-US" w:eastAsia="zh-CN" w:bidi="ar"/>
              </w:rPr>
              <w:t xml:space="preserve">95%</w:t>
            </w:r>
            <w:r>
              <w:rPr>
                <w:rFonts w:hint="eastAsia" w:ascii="宋体" w:hAnsi="宋体" w:eastAsia="宋体" w:cs="宋体"/>
                <w:i w:val="0"/>
                <w:iCs w:val="0"/>
                <w:color w:val="000000"/>
                <w:sz w:val="20"/>
                <w:szCs w:val="20"/>
                <w:u w:val="none"/>
                <w:lang w:val="en-US" w:eastAsia="zh-CN" w:bidi="ar"/>
              </w:rPr>
              <w:t xml:space="preserve">不得分。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秸秆打包规范</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打包密度达标（无散落、无遗漏），得</w:t>
            </w:r>
            <w:r>
              <w:rPr>
                <w:rStyle w:val="925"/>
                <w:rFonts w:eastAsia="宋体"/>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分；每发现</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处不合格扣</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场地清理</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作业后田间无残留秸秆、无杂物，得</w:t>
            </w:r>
            <w:r>
              <w:rPr>
                <w:rStyle w:val="925"/>
                <w:rFonts w:eastAsia="宋体"/>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分；每发现</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处未清理扣</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404040"/>
                <w:sz w:val="20"/>
                <w:szCs w:val="20"/>
                <w:u w:val="none"/>
              </w:rPr>
              <w:suppressLineNumbers w:val="0"/>
            </w:pPr>
            <w:r>
              <w:rPr>
                <w:rFonts w:hint="eastAsia" w:ascii="宋体" w:hAnsi="宋体" w:eastAsia="宋体" w:cs="宋体"/>
                <w:i w:val="0"/>
                <w:iCs w:val="0"/>
                <w:color w:val="404040"/>
                <w:sz w:val="20"/>
                <w:szCs w:val="20"/>
                <w:u w:val="none"/>
                <w:lang w:val="en-US" w:eastAsia="zh-CN" w:bidi="ar"/>
              </w:rPr>
              <w:t xml:space="preserve">作业进度</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按时完成率</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夏季</w:t>
            </w:r>
            <w:r>
              <w:rPr>
                <w:rStyle w:val="925"/>
                <w:rFonts w:eastAsia="宋体"/>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天、秋季</w:t>
            </w:r>
            <w:r>
              <w:rPr>
                <w:rStyle w:val="925"/>
                <w:rFonts w:eastAsia="宋体"/>
                <w:lang w:val="en-US" w:eastAsia="zh-CN" w:bidi="ar"/>
              </w:rPr>
              <w:t xml:space="preserve">30</w:t>
            </w:r>
            <w:r>
              <w:rPr>
                <w:rFonts w:hint="eastAsia" w:ascii="宋体" w:hAnsi="宋体" w:eastAsia="宋体" w:cs="宋体"/>
                <w:i w:val="0"/>
                <w:iCs w:val="0"/>
                <w:color w:val="000000"/>
                <w:sz w:val="20"/>
                <w:szCs w:val="20"/>
                <w:u w:val="none"/>
                <w:lang w:val="en-US" w:eastAsia="zh-CN" w:bidi="ar"/>
              </w:rPr>
              <w:t xml:space="preserve">天内完成离田及清运，得</w:t>
            </w:r>
            <w:r>
              <w:rPr>
                <w:rStyle w:val="925"/>
                <w:rFonts w:eastAsia="宋体"/>
                <w:lang w:val="en-US" w:eastAsia="zh-CN" w:bidi="ar"/>
              </w:rPr>
              <w:t xml:space="preserve">15</w:t>
            </w:r>
            <w:r>
              <w:rPr>
                <w:rFonts w:hint="eastAsia" w:ascii="宋体" w:hAnsi="宋体" w:eastAsia="宋体" w:cs="宋体"/>
                <w:i w:val="0"/>
                <w:iCs w:val="0"/>
                <w:color w:val="000000"/>
                <w:sz w:val="20"/>
                <w:szCs w:val="20"/>
                <w:u w:val="none"/>
                <w:lang w:val="en-US" w:eastAsia="zh-CN" w:bidi="ar"/>
              </w:rPr>
              <w:t xml:space="preserve">分；每延迟</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天扣</w:t>
            </w:r>
            <w:r>
              <w:rPr>
                <w:rStyle w:val="925"/>
                <w:rFonts w:eastAsia="宋体"/>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分，超</w:t>
            </w:r>
            <w:r>
              <w:rPr>
                <w:rStyle w:val="925"/>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天不得分。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404040"/>
                <w:sz w:val="20"/>
                <w:szCs w:val="20"/>
                <w:u w:val="none"/>
              </w:rPr>
            </w:pPr>
            <w:r>
              <w:rPr>
                <w:rFonts w:hint="eastAsia" w:ascii="宋体" w:hAnsi="宋体" w:eastAsia="宋体" w:cs="宋体"/>
                <w:i w:val="0"/>
                <w:iCs w:val="0"/>
                <w:color w:val="40404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应急响应</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接到临时任务后</w:t>
            </w:r>
            <w:r>
              <w:rPr>
                <w:rStyle w:val="925"/>
                <w:rFonts w:eastAsia="宋体"/>
                <w:lang w:val="en-US" w:eastAsia="zh-CN" w:bidi="ar"/>
              </w:rPr>
              <w:t xml:space="preserve">6</w:t>
            </w:r>
            <w:r>
              <w:rPr>
                <w:rFonts w:hint="eastAsia" w:ascii="宋体" w:hAnsi="宋体" w:eastAsia="宋体" w:cs="宋体"/>
                <w:i w:val="0"/>
                <w:iCs w:val="0"/>
                <w:color w:val="000000"/>
                <w:sz w:val="20"/>
                <w:szCs w:val="20"/>
                <w:u w:val="none"/>
                <w:lang w:val="en-US" w:eastAsia="zh-CN" w:bidi="ar"/>
              </w:rPr>
              <w:t xml:space="preserve">小时内到位并作业，得</w:t>
            </w:r>
            <w:r>
              <w:rPr>
                <w:rStyle w:val="925"/>
                <w:rFonts w:eastAsia="宋体"/>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分；每延迟</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小时扣</w:t>
            </w:r>
            <w:r>
              <w:rPr>
                <w:rStyle w:val="925"/>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安全生产</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安全措施</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作业人员佩戴安全装备、机械操作规范，得</w:t>
            </w:r>
            <w:r>
              <w:rPr>
                <w:rStyle w:val="925"/>
                <w:rFonts w:eastAsia="宋体"/>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分；每发现</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项违规扣</w:t>
            </w:r>
            <w:r>
              <w:rPr>
                <w:rStyle w:val="925"/>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事故记录</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无安全事故得</w:t>
            </w:r>
            <w:r>
              <w:rPr>
                <w:rStyle w:val="925"/>
                <w:rFonts w:eastAsia="宋体"/>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分；轻微事故（无伤亡）每次扣</w:t>
            </w:r>
            <w:r>
              <w:rPr>
                <w:rStyle w:val="925"/>
                <w:rFonts w:eastAsia="宋体"/>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分；重大事故（含伤亡）本项</w:t>
            </w:r>
            <w:r>
              <w:rPr>
                <w:rStyle w:val="925"/>
                <w:rFonts w:eastAsia="宋体"/>
                <w:lang w:val="en-US" w:eastAsia="zh-CN" w:bidi="ar"/>
              </w:rPr>
              <w:t xml:space="preserve">0</w:t>
            </w:r>
            <w:r>
              <w:rPr>
                <w:rFonts w:hint="eastAsia" w:ascii="宋体" w:hAnsi="宋体" w:eastAsia="宋体" w:cs="宋体"/>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restart"/>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环保合规</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扬尘控制</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配备雾炮降尘设备并全程使用，得</w:t>
            </w:r>
            <w:r>
              <w:rPr>
                <w:rStyle w:val="925"/>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分；未使用或效果不达标不得分。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秸秆处理</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全量运离盐南高新区，得</w:t>
            </w:r>
            <w:r>
              <w:rPr>
                <w:rStyle w:val="925"/>
                <w:rFonts w:eastAsia="宋体"/>
                <w:lang w:val="en-US" w:eastAsia="zh-CN" w:bidi="ar"/>
              </w:rPr>
              <w:t xml:space="preserve">10</w:t>
            </w:r>
            <w:r>
              <w:rPr>
                <w:rFonts w:hint="eastAsia" w:ascii="宋体" w:hAnsi="宋体" w:eastAsia="宋体" w:cs="宋体"/>
                <w:i w:val="0"/>
                <w:iCs w:val="0"/>
                <w:color w:val="000000"/>
                <w:sz w:val="20"/>
                <w:szCs w:val="20"/>
                <w:u w:val="none"/>
                <w:lang w:val="en-US" w:eastAsia="zh-CN" w:bidi="ar"/>
              </w:rPr>
              <w:t xml:space="preserve">分；每发现</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处违规扣</w:t>
            </w:r>
            <w:r>
              <w:rPr>
                <w:rStyle w:val="925"/>
                <w:rFonts w:eastAsia="宋体"/>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基础设施保护</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作业过程未损坏街道范围内的道路、桥梁、线缆等集体资产和基础设施，每损坏</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处扣2分。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restart"/>
            <w:textDirection w:val="lrTb"/>
            <w:noWrap w:val="false"/>
          </w:tcPr>
          <w:p>
            <w:pPr>
              <w:jc w:val="center"/>
              <w:keepLines w:val="0"/>
              <w:keepNext w:val="0"/>
              <w:widowControl/>
              <w:rPr>
                <w:rFonts w:hint="eastAsia" w:ascii="宋体" w:hAnsi="宋体" w:eastAsia="宋体" w:cs="宋体"/>
                <w:i w:val="0"/>
                <w:iCs w:val="0"/>
                <w:color w:val="404040"/>
                <w:sz w:val="20"/>
                <w:szCs w:val="20"/>
                <w:u w:val="none"/>
              </w:rPr>
              <w:suppressLineNumbers w:val="0"/>
            </w:pPr>
            <w:r>
              <w:rPr>
                <w:rFonts w:hint="eastAsia" w:ascii="宋体" w:hAnsi="宋体" w:eastAsia="宋体" w:cs="宋体"/>
                <w:i w:val="0"/>
                <w:iCs w:val="0"/>
                <w:color w:val="404040"/>
                <w:sz w:val="20"/>
                <w:szCs w:val="20"/>
                <w:u w:val="none"/>
                <w:lang w:val="en-US" w:eastAsia="zh-CN" w:bidi="ar"/>
              </w:rPr>
              <w:t xml:space="preserve">设备与人员管理</w:t>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设备配置</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确保</w:t>
            </w:r>
            <w:r>
              <w:rPr>
                <w:rStyle w:val="925"/>
                <w:rFonts w:eastAsia="宋体"/>
                <w:lang w:val="en-US" w:eastAsia="zh-CN" w:bidi="ar"/>
              </w:rPr>
              <w:t xml:space="preserve">4</w:t>
            </w:r>
            <w:r>
              <w:rPr>
                <w:rFonts w:hint="eastAsia" w:ascii="宋体" w:hAnsi="宋体" w:eastAsia="宋体" w:cs="宋体"/>
                <w:i w:val="0"/>
                <w:iCs w:val="0"/>
                <w:color w:val="000000"/>
                <w:sz w:val="20"/>
                <w:szCs w:val="20"/>
                <w:u w:val="none"/>
                <w:lang w:val="en-US" w:eastAsia="zh-CN" w:bidi="ar"/>
              </w:rPr>
              <w:t xml:space="preserve">台机械（含</w:t>
            </w:r>
            <w:r>
              <w:rPr>
                <w:rStyle w:val="925"/>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台搂草机、</w:t>
            </w:r>
            <w:r>
              <w:rPr>
                <w:rStyle w:val="925"/>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台打包机）常驻街道，得</w:t>
            </w:r>
            <w:r>
              <w:rPr>
                <w:rStyle w:val="925"/>
                <w:rFonts w:eastAsia="宋体"/>
                <w:lang w:val="en-US" w:eastAsia="zh-CN" w:bidi="ar"/>
              </w:rPr>
              <w:t xml:space="preserve">5</w:t>
            </w:r>
            <w:r>
              <w:rPr>
                <w:rFonts w:hint="eastAsia" w:ascii="宋体" w:hAnsi="宋体" w:eastAsia="宋体" w:cs="宋体"/>
                <w:i w:val="0"/>
                <w:iCs w:val="0"/>
                <w:color w:val="000000"/>
                <w:sz w:val="20"/>
                <w:szCs w:val="20"/>
                <w:u w:val="none"/>
                <w:lang w:val="en-US" w:eastAsia="zh-CN" w:bidi="ar"/>
              </w:rPr>
              <w:t xml:space="preserve">分；每缺</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台扣</w:t>
            </w:r>
            <w:r>
              <w:rPr>
                <w:rStyle w:val="925"/>
                <w:rFonts w:eastAsia="宋体"/>
                <w:lang w:val="en-US" w:eastAsia="zh-CN" w:bidi="ar"/>
              </w:rPr>
              <w:t xml:space="preserve">2</w:t>
            </w:r>
            <w:r>
              <w:rPr>
                <w:rFonts w:hint="eastAsia" w:ascii="宋体" w:hAnsi="宋体" w:eastAsia="宋体" w:cs="宋体"/>
                <w:i w:val="0"/>
                <w:iCs w:val="0"/>
                <w:color w:val="000000"/>
                <w:sz w:val="20"/>
                <w:szCs w:val="20"/>
                <w:u w:val="none"/>
                <w:lang w:val="en-US" w:eastAsia="zh-CN"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9"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899" w:type="dxa"/>
            <w:vAlign w:val="center"/>
            <w:vMerge w:val="continue"/>
            <w:textDirection w:val="lrTb"/>
            <w:noWrap w:val="false"/>
          </w:tcPr>
          <w:p>
            <w:pPr>
              <w:jc w:val="center"/>
              <w:rPr>
                <w:rFonts w:hint="eastAsia" w:ascii="宋体" w:hAnsi="宋体" w:eastAsia="宋体" w:cs="宋体"/>
                <w:i w:val="0"/>
                <w:iCs w:val="0"/>
                <w:color w:val="404040"/>
                <w:sz w:val="20"/>
                <w:szCs w:val="20"/>
                <w:u w:val="none"/>
              </w:rPr>
            </w:pPr>
            <w:r>
              <w:rPr>
                <w:rFonts w:hint="eastAsia" w:ascii="宋体" w:hAnsi="宋体" w:eastAsia="宋体" w:cs="宋体"/>
                <w:i w:val="0"/>
                <w:iCs w:val="0"/>
                <w:color w:val="40404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0"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人员培训</w:t>
            </w:r>
            <w:r/>
          </w:p>
        </w:tc>
        <w:tc>
          <w:tcPr>
            <w:shd w:val="clear" w:color="auto" w:fill="auto"/>
            <w:tcBorders>
              <w:top w:val="single" w:color="000000" w:sz="4" w:space="0"/>
              <w:left w:val="single" w:color="000000" w:sz="4" w:space="0"/>
              <w:bottom w:val="single" w:color="000000" w:sz="4" w:space="0"/>
              <w:right w:val="single" w:color="000000" w:sz="4" w:space="0"/>
            </w:tcBorders>
            <w:tcW w:w="5274" w:type="dxa"/>
            <w:vAlign w:val="center"/>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提供作业人员培训记录及上岗资格证明，得</w:t>
            </w:r>
            <w:r>
              <w:rPr>
                <w:rStyle w:val="925"/>
                <w:rFonts w:eastAsia="宋体"/>
                <w:lang w:val="en-US" w:eastAsia="zh-CN" w:bidi="ar"/>
              </w:rPr>
              <w:t xml:space="preserve">3</w:t>
            </w:r>
            <w:r>
              <w:rPr>
                <w:rFonts w:hint="eastAsia" w:ascii="宋体" w:hAnsi="宋体" w:eastAsia="宋体" w:cs="宋体"/>
                <w:i w:val="0"/>
                <w:iCs w:val="0"/>
                <w:color w:val="000000"/>
                <w:sz w:val="20"/>
                <w:szCs w:val="20"/>
                <w:u w:val="none"/>
                <w:lang w:val="en-US" w:eastAsia="zh-CN" w:bidi="ar"/>
              </w:rPr>
              <w:t xml:space="preserve">分；未提供或不全扣</w:t>
            </w:r>
            <w:r>
              <w:rPr>
                <w:rStyle w:val="925"/>
                <w:rFonts w:eastAsia="宋体"/>
                <w:lang w:val="en-US" w:eastAsia="zh-CN" w:bidi="ar"/>
              </w:rPr>
              <w:t xml:space="preserve">1</w:t>
            </w:r>
            <w:r>
              <w:rPr>
                <w:rFonts w:hint="eastAsia" w:ascii="宋体" w:hAnsi="宋体" w:eastAsia="宋体" w:cs="宋体"/>
                <w:i w:val="0"/>
                <w:iCs w:val="0"/>
                <w:color w:val="000000"/>
                <w:sz w:val="20"/>
                <w:szCs w:val="20"/>
                <w:u w:val="none"/>
                <w:lang w:val="en-US" w:eastAsia="zh-CN" w:bidi="ar"/>
              </w:rPr>
              <w:t xml:space="preserve">分</w:t>
            </w:r>
            <w:r>
              <w:rPr>
                <w:rStyle w:val="925"/>
                <w:rFonts w:eastAsia="宋体"/>
                <w:lang w:val="en-US" w:eastAsia="zh-CN" w:bidi="ar"/>
              </w:rPr>
              <w:t xml:space="preserve">/</w:t>
            </w:r>
            <w:r>
              <w:rPr>
                <w:rFonts w:hint="eastAsia" w:ascii="宋体" w:hAnsi="宋体" w:eastAsia="宋体" w:cs="宋体"/>
                <w:i w:val="0"/>
                <w:iCs w:val="0"/>
                <w:color w:val="000000"/>
                <w:sz w:val="20"/>
                <w:szCs w:val="20"/>
                <w:u w:val="none"/>
                <w:lang w:val="en-US" w:eastAsia="zh-CN"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59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考核成绩</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bl>
    <w:p>
      <w:pPr>
        <w:rPr>
          <w:rFonts w:hint="eastAsia" w:asciiTheme="minorEastAsia" w:hAnsiTheme="minorEastAsia" w:eastAsiaTheme="minorEastAsia" w:cstheme="minorEastAsia"/>
          <w:color w:val="auto"/>
          <w:sz w:val="44"/>
          <w:szCs w:val="44"/>
          <w:highlight w:val="yellow"/>
        </w:rPr>
      </w:pPr>
      <w:r>
        <w:rPr>
          <w:rFonts w:hint="eastAsia" w:asciiTheme="minorEastAsia" w:hAnsiTheme="minorEastAsia" w:eastAsiaTheme="minorEastAsia" w:cstheme="minorEastAsia"/>
          <w:color w:val="auto"/>
          <w:sz w:val="44"/>
          <w:szCs w:val="44"/>
          <w:highlight w:val="yellow"/>
        </w:rPr>
        <w:br w:type="page" w:clear="all"/>
      </w:r>
      <w:r/>
    </w:p>
    <w:p>
      <w:pPr>
        <w:pStyle w:val="885"/>
        <w:jc w:val="center"/>
        <w:spacing w:before="120" w:beforeAutospacing="0" w:after="120" w:afterAutospacing="0" w:line="0" w:lineRule="atLeast"/>
        <w:rPr>
          <w:rFonts w:hint="eastAsia" w:asciiTheme="minorEastAsia" w:hAnsiTheme="minorEastAsia" w:eastAsiaTheme="minorEastAsia" w:cstheme="minorEastAsia"/>
          <w:color w:val="auto"/>
          <w:highlight w:val="none"/>
        </w:rPr>
        <w:outlineLvl w:val="0"/>
      </w:pPr>
      <w:r>
        <w:rPr>
          <w:rFonts w:hint="eastAsia" w:asciiTheme="minorEastAsia" w:hAnsiTheme="minorEastAsia" w:eastAsiaTheme="minorEastAsia" w:cstheme="minorEastAsia"/>
          <w:color w:val="auto"/>
          <w:sz w:val="44"/>
          <w:szCs w:val="44"/>
          <w:highlight w:val="none"/>
        </w:rPr>
        <w:t xml:space="preserve">第</w:t>
      </w:r>
      <w:bookmarkEnd w:id="169"/>
      <w:r>
        <w:rPr>
          <w:rFonts w:hint="eastAsia" w:asciiTheme="minorEastAsia" w:hAnsiTheme="minorEastAsia" w:eastAsiaTheme="minorEastAsia" w:cstheme="minorEastAsia"/>
          <w:color w:val="auto"/>
          <w:sz w:val="44"/>
          <w:szCs w:val="44"/>
          <w:highlight w:val="none"/>
        </w:rPr>
        <w:t xml:space="preserve">四章 采购需求</w:t>
      </w:r>
      <w:bookmarkEnd w:id="170"/>
      <w:r/>
      <w:bookmarkEnd w:id="171"/>
      <w:r/>
      <w:bookmarkEnd w:id="172"/>
      <w:r/>
      <w:bookmarkEnd w:id="173"/>
      <w:r/>
      <w:bookmarkEnd w:id="174"/>
      <w:r/>
      <w:bookmarkEnd w:id="179"/>
      <w:r/>
      <w:r/>
    </w:p>
    <w:p>
      <w:pPr>
        <w:pStyle w:val="885"/>
        <w:jc w:val="both"/>
        <w:keepLines w:val="0"/>
        <w:keepNext w:val="0"/>
        <w:pageBreakBefore w:val="0"/>
        <w:spacing w:beforeAutospacing="0" w:afterAutospacing="0" w:line="460" w:lineRule="exact"/>
        <w:rPr>
          <w:rFonts w:hint="eastAsia" w:asciiTheme="minorEastAsia" w:hAnsiTheme="minorEastAsia" w:eastAsiaTheme="minorEastAsia" w:cstheme="minorEastAsia"/>
          <w:color w:val="auto"/>
          <w:sz w:val="24"/>
          <w:szCs w:val="24"/>
          <w:highlight w:val="none"/>
        </w:rPr>
      </w:pPr>
      <w:r/>
      <w:bookmarkStart w:id="180" w:name="_Toc49090575"/>
      <w:r/>
      <w:bookmarkStart w:id="181" w:name="_Toc26554093"/>
      <w:r>
        <w:rPr>
          <w:rFonts w:hint="eastAsia" w:asciiTheme="minorEastAsia" w:hAnsiTheme="minorEastAsia" w:eastAsiaTheme="minorEastAsia" w:cstheme="minorEastAsia"/>
          <w:color w:val="auto"/>
          <w:sz w:val="24"/>
          <w:szCs w:val="24"/>
          <w:highlight w:val="none"/>
        </w:rPr>
        <w:t xml:space="preserve">项目属性:服务类项目。</w:t>
      </w:r>
      <w:bookmarkEnd w:id="180"/>
      <w:r/>
      <w:bookmarkEnd w:id="181"/>
      <w:r/>
      <w:r/>
    </w:p>
    <w:p>
      <w:pPr>
        <w:ind w:firstLine="482"/>
        <w:spacing w:line="5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一、项目概况</w:t>
      </w:r>
      <w:r/>
    </w:p>
    <w:p>
      <w:pPr>
        <w:ind w:firstLine="480"/>
        <w:spacing w:line="500" w:lineRule="exact"/>
        <w:rPr>
          <w:rStyle w:val="915"/>
          <w:rFonts w:ascii="宋体" w:hAnsi="宋体" w:eastAsia="宋体" w:cs="宋体"/>
          <w:bCs/>
          <w:color w:val="000000"/>
          <w:sz w:val="24"/>
          <w:szCs w:val="24"/>
          <w:highlight w:val="none"/>
        </w:rPr>
      </w:pPr>
      <w:r>
        <w:rPr>
          <w:rStyle w:val="915"/>
          <w:rFonts w:ascii="宋体" w:hAnsi="宋体" w:eastAsia="宋体" w:cs="宋体"/>
          <w:bCs/>
          <w:color w:val="000000"/>
          <w:sz w:val="24"/>
          <w:szCs w:val="24"/>
          <w:highlight w:val="none"/>
        </w:rPr>
        <w:t xml:space="preserve">1.1项目名称：</w:t>
      </w:r>
      <w:r>
        <w:rPr>
          <w:rStyle w:val="915"/>
          <w:rFonts w:hint="eastAsia" w:ascii="宋体" w:hAnsi="宋体" w:eastAsia="宋体" w:cs="宋体"/>
          <w:bCs/>
          <w:color w:val="000000"/>
          <w:sz w:val="24"/>
          <w:szCs w:val="24"/>
          <w:highlight w:val="none"/>
        </w:rPr>
        <w:t xml:space="preserve">伍佑街道2025年秸秆离田项目</w:t>
      </w:r>
      <w:r/>
    </w:p>
    <w:p>
      <w:pPr>
        <w:ind w:firstLine="480"/>
        <w:spacing w:line="500" w:lineRule="exact"/>
        <w:rPr>
          <w:rStyle w:val="915"/>
          <w:rFonts w:ascii="宋体" w:hAnsi="宋体" w:eastAsia="宋体" w:cs="宋体"/>
          <w:bCs/>
          <w:color w:val="000000"/>
          <w:sz w:val="24"/>
          <w:szCs w:val="24"/>
          <w:highlight w:val="none"/>
        </w:rPr>
      </w:pPr>
      <w:r>
        <w:rPr>
          <w:rStyle w:val="915"/>
          <w:rFonts w:ascii="宋体" w:hAnsi="宋体" w:eastAsia="宋体" w:cs="宋体"/>
          <w:bCs/>
          <w:color w:val="000000"/>
          <w:sz w:val="24"/>
          <w:szCs w:val="24"/>
          <w:highlight w:val="none"/>
        </w:rPr>
        <w:t xml:space="preserve">1.2项目</w:t>
      </w:r>
      <w:r>
        <w:rPr>
          <w:rStyle w:val="915"/>
          <w:rFonts w:hint="eastAsia" w:ascii="宋体" w:hAnsi="宋体" w:eastAsia="宋体" w:cs="宋体"/>
          <w:bCs/>
          <w:color w:val="000000"/>
          <w:sz w:val="24"/>
          <w:szCs w:val="24"/>
          <w:highlight w:val="none"/>
          <w:lang w:val="en-US"/>
        </w:rPr>
        <w:t xml:space="preserve">范围</w:t>
      </w:r>
      <w:r>
        <w:rPr>
          <w:rStyle w:val="915"/>
          <w:rFonts w:ascii="宋体" w:hAnsi="宋体" w:eastAsia="宋体" w:cs="宋体"/>
          <w:bCs/>
          <w:color w:val="000000"/>
          <w:sz w:val="24"/>
          <w:szCs w:val="24"/>
          <w:highlight w:val="none"/>
        </w:rPr>
        <w:t xml:space="preserve">：</w:t>
      </w:r>
      <w:r>
        <w:rPr>
          <w:rFonts w:hint="eastAsia" w:hAnsi="宋体" w:cs="宋体"/>
          <w:color w:val="auto"/>
          <w:sz w:val="24"/>
          <w:szCs w:val="24"/>
          <w:highlight w:val="none"/>
          <w:lang w:val="en-US" w:eastAsia="zh-CN"/>
        </w:rPr>
        <w:t xml:space="preserve">包含但不限于</w:t>
      </w:r>
      <w:r>
        <w:rPr>
          <w:rFonts w:hint="eastAsia" w:ascii="宋体" w:hAnsi="宋体" w:cs="宋体"/>
          <w:color w:val="auto"/>
          <w:sz w:val="24"/>
          <w:highlight w:val="none"/>
        </w:rPr>
        <w:t xml:space="preserve">伍佑街道黄巷村（示范区）、福兴（严家）村、福兴（公荡）</w:t>
      </w:r>
      <w:r>
        <w:rPr>
          <w:rFonts w:hint="eastAsia" w:hAnsi="宋体" w:cs="宋体"/>
          <w:color w:val="auto"/>
          <w:sz w:val="24"/>
          <w:highlight w:val="none"/>
          <w:lang w:val="en-US" w:eastAsia="zh-CN"/>
        </w:rPr>
        <w:t xml:space="preserve">村等其他村居</w:t>
      </w:r>
      <w:r>
        <w:rPr>
          <w:rFonts w:hint="eastAsia" w:ascii="宋体" w:hAnsi="宋体" w:cs="宋体"/>
          <w:color w:val="auto"/>
          <w:sz w:val="24"/>
          <w:highlight w:val="none"/>
        </w:rPr>
        <w:t xml:space="preserve">境内千亩及以上的种植主体。</w:t>
      </w:r>
      <w:r/>
    </w:p>
    <w:p>
      <w:pPr>
        <w:pStyle w:val="885"/>
        <w:ind w:firstLine="480"/>
        <w:jc w:val="both"/>
        <w:pageBreakBefore w:val="0"/>
        <w:spacing w:beforeAutospacing="0" w:afterAutospacing="0" w:line="420" w:lineRule="exact"/>
        <w:rPr>
          <w:rFonts w:hint="eastAsia" w:asciiTheme="minorEastAsia" w:hAnsiTheme="minorEastAsia" w:eastAsiaTheme="minorEastAsia" w:cstheme="minorEastAsia"/>
          <w:color w:val="auto"/>
          <w:sz w:val="24"/>
          <w:szCs w:val="24"/>
          <w:highlight w:val="none"/>
          <w:lang w:val="en-US" w:eastAsia="zh-CN"/>
        </w:rPr>
      </w:pPr>
      <w:r>
        <w:rPr>
          <w:rStyle w:val="915"/>
          <w:rFonts w:ascii="宋体" w:hAnsi="宋体" w:eastAsia="宋体" w:cs="宋体"/>
          <w:bCs/>
          <w:color w:val="000000"/>
          <w:sz w:val="24"/>
          <w:szCs w:val="24"/>
          <w:highlight w:val="none"/>
        </w:rPr>
        <w:t xml:space="preserve">1.3</w:t>
      </w:r>
      <w:r>
        <w:rPr>
          <w:rFonts w:hint="eastAsia" w:asciiTheme="minorEastAsia" w:hAnsiTheme="minorEastAsia" w:eastAsiaTheme="minorEastAsia" w:cstheme="minorEastAsia"/>
          <w:color w:val="auto"/>
          <w:sz w:val="24"/>
          <w:szCs w:val="24"/>
          <w:highlight w:val="none"/>
          <w:lang w:val="en-US" w:eastAsia="zh-CN"/>
        </w:rPr>
        <w:t xml:space="preserve">质量标准：合格。</w:t>
      </w:r>
      <w:r/>
    </w:p>
    <w:p>
      <w:pPr>
        <w:pStyle w:val="885"/>
        <w:ind w:firstLine="480"/>
        <w:jc w:val="both"/>
        <w:pageBreakBefore w:val="0"/>
        <w:spacing w:beforeAutospacing="0" w:afterAutospacing="0" w:line="420" w:lineRule="exact"/>
        <w:rPr>
          <w:color w:val="000000"/>
          <w:highlight w:val="none"/>
        </w:rPr>
      </w:pPr>
      <w:r>
        <w:rPr>
          <w:rFonts w:hint="eastAsia" w:asciiTheme="minorEastAsia" w:hAnsiTheme="minorEastAsia" w:cstheme="minorEastAsia"/>
          <w:color w:val="auto"/>
          <w:sz w:val="24"/>
          <w:szCs w:val="24"/>
          <w:highlight w:val="none"/>
          <w:lang w:val="en-US" w:eastAsia="zh-CN"/>
        </w:rPr>
        <w:t xml:space="preserve">1.4</w:t>
      </w:r>
      <w:r>
        <w:rPr>
          <w:rFonts w:hint="eastAsia" w:asciiTheme="minorEastAsia" w:hAnsiTheme="minorEastAsia" w:eastAsiaTheme="minorEastAsia" w:cstheme="minorEastAsia"/>
          <w:color w:val="auto"/>
          <w:sz w:val="24"/>
          <w:szCs w:val="24"/>
          <w:highlight w:val="none"/>
          <w:lang w:val="en-US" w:eastAsia="zh-CN"/>
        </w:rPr>
        <w:t xml:space="preserve">合同履行期限</w:t>
      </w:r>
      <w:r>
        <w:rPr>
          <w:rFonts w:hint="eastAsia" w:asciiTheme="minorEastAsia" w:hAnsiTheme="minorEastAsia" w:cstheme="minorEastAsia"/>
          <w:color w:val="auto"/>
          <w:sz w:val="24"/>
          <w:szCs w:val="24"/>
          <w:highlight w:val="none"/>
          <w:lang w:val="en-US" w:eastAsia="zh-CN"/>
        </w:rPr>
        <w:t xml:space="preserve">：单年度服务期约45日历天</w:t>
      </w:r>
      <w:r>
        <w:rPr>
          <w:rFonts w:hint="eastAsia" w:ascii="宋体" w:hAnsi="宋体" w:cs="宋体"/>
          <w:color w:val="auto"/>
          <w:sz w:val="24"/>
          <w:highlight w:val="none"/>
          <w:shd w:val="clear" w:color="auto" w:fill="ffffff"/>
          <w:lang w:bidi="ar"/>
        </w:rPr>
        <w:t xml:space="preserve">（</w:t>
      </w:r>
      <w:r>
        <w:rPr>
          <w:rFonts w:hint="eastAsia" w:ascii="宋体" w:hAnsi="宋体" w:cs="宋体"/>
          <w:color w:val="auto"/>
          <w:sz w:val="24"/>
          <w:highlight w:val="none"/>
        </w:rPr>
        <w:t xml:space="preserve">夏季15日历天，秋季</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日历天</w:t>
      </w:r>
      <w:r>
        <w:rPr>
          <w:rFonts w:hint="eastAsia" w:ascii="宋体" w:hAnsi="宋体" w:cs="宋体"/>
          <w:color w:val="auto"/>
          <w:sz w:val="24"/>
          <w:highlight w:val="none"/>
          <w:shd w:val="clear" w:color="auto" w:fill="ffffff"/>
          <w:lang w:bidi="ar"/>
        </w:rPr>
        <w:t xml:space="preserve">）</w:t>
      </w:r>
      <w:r>
        <w:rPr>
          <w:rFonts w:hint="eastAsia" w:ascii="宋体" w:hAnsi="宋体" w:cs="宋体"/>
          <w:color w:val="auto"/>
          <w:sz w:val="24"/>
          <w:highlight w:val="none"/>
          <w:shd w:val="clear" w:color="auto" w:fill="ffffff"/>
          <w:lang w:eastAsia="zh-CN" w:bidi="ar"/>
        </w:rPr>
        <w:t xml:space="preserve">，</w:t>
      </w:r>
      <w:r>
        <w:rPr>
          <w:rFonts w:hint="eastAsia" w:ascii="宋体" w:hAnsi="宋体" w:cs="宋体"/>
          <w:color w:val="auto"/>
          <w:sz w:val="24"/>
          <w:highlight w:val="none"/>
          <w:shd w:val="clear" w:color="auto" w:fill="ffffff"/>
          <w:lang w:val="en-US" w:eastAsia="zh-CN" w:bidi="ar"/>
        </w:rPr>
        <w:t xml:space="preserve">具体服务期服从采购人要求，当年两季作业考核分均达到90分以上，在</w:t>
      </w:r>
      <w:r>
        <w:rPr>
          <w:rFonts w:hint="eastAsia" w:asciiTheme="minorEastAsia" w:hAnsiTheme="minorEastAsia" w:eastAsiaTheme="minorEastAsia" w:cstheme="minorEastAsia"/>
          <w:color w:val="auto"/>
          <w:sz w:val="24"/>
          <w:szCs w:val="24"/>
          <w:highlight w:val="none"/>
          <w:lang w:val="en-US" w:eastAsia="zh-CN"/>
        </w:rPr>
        <w:t xml:space="preserve">服务合同期满后经</w:t>
      </w:r>
      <w:r>
        <w:rPr>
          <w:rFonts w:hint="eastAsia" w:asciiTheme="minorEastAsia" w:hAnsiTheme="minorEastAsia" w:cstheme="minorEastAsia"/>
          <w:color w:val="auto"/>
          <w:sz w:val="24"/>
          <w:szCs w:val="24"/>
          <w:highlight w:val="none"/>
          <w:lang w:val="en-US" w:eastAsia="zh-CN"/>
        </w:rPr>
        <w:t xml:space="preserve">双方协商一致</w:t>
      </w:r>
      <w:r>
        <w:rPr>
          <w:rFonts w:hint="eastAsia" w:asciiTheme="minorEastAsia" w:hAnsiTheme="minorEastAsia" w:eastAsiaTheme="minorEastAsia" w:cstheme="minorEastAsia"/>
          <w:color w:val="auto"/>
          <w:sz w:val="24"/>
          <w:szCs w:val="24"/>
          <w:highlight w:val="none"/>
          <w:lang w:val="en-US" w:eastAsia="zh-CN"/>
        </w:rPr>
        <w:t xml:space="preserve">可续签合同，</w:t>
      </w:r>
      <w:r>
        <w:rPr>
          <w:rFonts w:hint="eastAsia" w:asciiTheme="minorEastAsia" w:hAnsiTheme="minorEastAsia" w:cstheme="minorEastAsia"/>
          <w:color w:val="auto"/>
          <w:sz w:val="24"/>
          <w:szCs w:val="24"/>
          <w:highlight w:val="none"/>
          <w:lang w:val="en-US" w:eastAsia="zh-CN"/>
        </w:rPr>
        <w:t xml:space="preserve">最多续签两次。</w:t>
      </w:r>
      <w:r/>
    </w:p>
    <w:p>
      <w:pPr>
        <w:ind w:firstLine="480"/>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b/>
          <w:color w:val="000000"/>
          <w:sz w:val="24"/>
          <w:highlight w:val="none"/>
          <w:lang w:val="en-US" w:eastAsia="zh-CN"/>
        </w:rPr>
        <w:t xml:space="preserve">二</w:t>
      </w:r>
      <w:r>
        <w:rPr>
          <w:rFonts w:hint="eastAsia" w:ascii="宋体" w:hAnsi="宋体" w:eastAsia="宋体" w:cs="宋体"/>
          <w:b/>
          <w:color w:val="000000"/>
          <w:sz w:val="24"/>
          <w:highlight w:val="none"/>
        </w:rPr>
        <w:t xml:space="preserve">、</w:t>
      </w:r>
      <w:r>
        <w:rPr>
          <w:rFonts w:hint="eastAsia" w:ascii="宋体" w:hAnsi="宋体" w:eastAsia="宋体" w:cs="宋体"/>
          <w:b/>
          <w:color w:val="000000"/>
          <w:sz w:val="24"/>
          <w:highlight w:val="none"/>
          <w:lang w:val="en-US" w:eastAsia="zh-CN"/>
        </w:rPr>
        <w:t xml:space="preserve">服务内容</w:t>
      </w:r>
      <w:r/>
    </w:p>
    <w:p>
      <w:pPr>
        <w:ind w:firstLine="480"/>
        <w:spacing w:line="500" w:lineRule="exact"/>
        <w:rPr>
          <w:rFonts w:hint="eastAsia" w:hAnsi="宋体" w:cs="宋体"/>
          <w:color w:val="auto"/>
          <w:sz w:val="24"/>
          <w:highlight w:val="none"/>
          <w:lang w:val="en-US" w:eastAsia="zh-CN"/>
        </w:rPr>
      </w:pPr>
      <w:r>
        <w:rPr>
          <w:rFonts w:hint="eastAsia" w:ascii="宋体" w:hAnsi="宋体" w:cs="宋体"/>
          <w:color w:val="auto"/>
          <w:sz w:val="24"/>
          <w:highlight w:val="none"/>
          <w:lang w:val="en-US" w:eastAsia="zh-CN"/>
        </w:rPr>
        <w:t xml:space="preserve">2.1</w:t>
      </w:r>
      <w:r>
        <w:rPr>
          <w:rFonts w:hint="eastAsia" w:ascii="宋体" w:hAnsi="宋体" w:cs="宋体"/>
          <w:color w:val="auto"/>
          <w:sz w:val="24"/>
          <w:highlight w:val="none"/>
        </w:rPr>
        <w:t xml:space="preserve">根据《盐城市人民政府办公室关于推进全市农作物秸秆离田综合利用工作的通知》、《盐南高新区202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年农作物秸秆离田综合利用工作实施方案》及《伍佑街道202</w:t>
      </w: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年度秸秆综</w:t>
      </w:r>
      <w:r>
        <w:rPr>
          <w:rFonts w:hint="eastAsia" w:hAnsi="宋体" w:cs="宋体"/>
          <w:color w:val="auto"/>
          <w:sz w:val="24"/>
          <w:highlight w:val="none"/>
          <w:lang w:val="en-US" w:eastAsia="zh-CN"/>
        </w:rPr>
        <w:t xml:space="preserve">合利用和禁烧工作实施方案》等文件精神，全市以千亩及以上稻麦规模种植点和国省考断面、重点河道沿线需100%离田，我街道辖区内单季约有0.9万亩农作物秸秆需打包离田（包括但不限于秸秆收割离田及后期秸秆处理等一切事项），并在规定时间内运离伍佑辖区。</w:t>
      </w:r>
      <w:r/>
    </w:p>
    <w:p>
      <w:pPr>
        <w:ind w:firstLine="480"/>
        <w:spacing w:line="500" w:lineRule="exact"/>
        <w:rPr>
          <w:rFonts w:hint="eastAsia" w:ascii="宋体" w:hAnsi="宋体" w:cs="宋体"/>
          <w:color w:val="auto"/>
          <w:sz w:val="24"/>
          <w:highlight w:val="none"/>
        </w:rPr>
      </w:pPr>
      <w:r>
        <w:rPr>
          <w:rFonts w:hint="eastAsia" w:hAnsi="宋体" w:cs="宋体"/>
          <w:b w:val="0"/>
          <w:bCs w:val="0"/>
          <w:color w:val="auto"/>
          <w:sz w:val="24"/>
          <w:highlight w:val="none"/>
          <w:lang w:val="en-US" w:eastAsia="zh-CN"/>
        </w:rPr>
        <w:t xml:space="preserve">2.2</w:t>
      </w:r>
      <w:r>
        <w:rPr>
          <w:rFonts w:hint="eastAsia" w:ascii="宋体" w:hAnsi="宋体" w:cs="宋体"/>
          <w:color w:val="auto"/>
          <w:sz w:val="24"/>
          <w:szCs w:val="24"/>
          <w:highlight w:val="none"/>
          <w:lang w:val="en-US" w:eastAsia="zh-CN" w:bidi="ar-SA"/>
        </w:rPr>
        <w:t xml:space="preserve">投标人</w:t>
      </w:r>
      <w:r>
        <w:rPr>
          <w:rFonts w:hint="eastAsia" w:ascii="宋体" w:hAnsi="宋体" w:cs="宋体" w:eastAsiaTheme="minorEastAsia"/>
          <w:color w:val="auto"/>
          <w:sz w:val="24"/>
          <w:szCs w:val="24"/>
          <w:highlight w:val="none"/>
          <w:lang w:val="en-US" w:eastAsia="zh-CN" w:bidi="ar-SA"/>
        </w:rPr>
        <w:t xml:space="preserve">中标后</w:t>
      </w:r>
      <w:r>
        <w:rPr>
          <w:rFonts w:hint="eastAsia" w:ascii="宋体" w:hAnsi="宋体" w:cs="宋体"/>
          <w:color w:val="auto"/>
          <w:sz w:val="24"/>
          <w:highlight w:val="none"/>
        </w:rPr>
        <w:t xml:space="preserve">需配备满足本项目要求所必备的秸秆离田利用相应的机械设备：搂草机4台，打包机8台以及相应转运设备（保证相关辖区收割时能及时跟进作业及运离的作业机具、运输机具，具体作业时间以村居书面通知为准）。</w:t>
      </w:r>
      <w:r/>
    </w:p>
    <w:p>
      <w:pPr>
        <w:ind w:firstLine="480"/>
        <w:spacing w:line="50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2.3</w:t>
      </w:r>
      <w:r>
        <w:rPr>
          <w:rFonts w:hint="eastAsia" w:ascii="宋体" w:hAnsi="宋体" w:cs="宋体"/>
          <w:color w:val="auto"/>
          <w:sz w:val="24"/>
          <w:highlight w:val="none"/>
        </w:rPr>
        <w:t xml:space="preserve">在本项目区内作业时，确保至少4台机械（至少包含搂草机2台，打包机2台）不离开本街道，以备临时作业，直至当季作业结束。</w:t>
      </w:r>
      <w:r/>
    </w:p>
    <w:p>
      <w:pPr>
        <w:ind w:firstLine="482"/>
        <w:keepLines w:val="0"/>
        <w:keepNext w:val="0"/>
        <w:pageBreakBefore w:val="0"/>
        <w:spacing w:line="440" w:lineRule="exact"/>
        <w:widowControl w:val="off"/>
        <w:rPr>
          <w:rFonts w:hint="eastAsia"/>
          <w:color w:val="auto"/>
          <w:highlight w:val="none"/>
        </w:rPr>
      </w:pPr>
      <w:r>
        <w:rPr>
          <w:rFonts w:hint="eastAsia" w:ascii="宋体" w:hAnsi="宋体" w:cs="宋体"/>
          <w:b/>
          <w:bCs/>
          <w:color w:val="auto"/>
          <w:sz w:val="24"/>
          <w:highlight w:val="none"/>
        </w:rPr>
        <w:t xml:space="preserve">因本项目秸秆离田对时间要求高，</w:t>
      </w:r>
      <w:r>
        <w:rPr>
          <w:rFonts w:hint="eastAsia" w:ascii="宋体" w:hAnsi="宋体" w:cs="宋体"/>
          <w:color w:val="auto"/>
          <w:sz w:val="24"/>
          <w:szCs w:val="24"/>
          <w:highlight w:val="none"/>
          <w:lang w:val="en-US" w:eastAsia="zh-CN" w:bidi="ar-SA"/>
        </w:rPr>
        <w:t xml:space="preserve">投标人</w:t>
      </w:r>
      <w:r>
        <w:rPr>
          <w:rFonts w:hint="eastAsia" w:ascii="宋体" w:hAnsi="宋体" w:cs="宋体"/>
          <w:b/>
          <w:bCs/>
          <w:color w:val="auto"/>
          <w:sz w:val="24"/>
          <w:highlight w:val="none"/>
        </w:rPr>
        <w:t xml:space="preserve">需在秸秆打包好后3个日历天内全量离田。本项目</w:t>
      </w:r>
      <w:r>
        <w:rPr>
          <w:rFonts w:hint="eastAsia" w:ascii="宋体" w:hAnsi="宋体" w:cs="宋体"/>
          <w:b/>
          <w:bCs/>
          <w:color w:val="auto"/>
          <w:sz w:val="24"/>
          <w:highlight w:val="none"/>
          <w:lang w:val="en-US" w:eastAsia="zh-CN"/>
        </w:rPr>
        <w:t xml:space="preserve">夏季</w:t>
      </w:r>
      <w:r>
        <w:rPr>
          <w:rFonts w:hint="eastAsia" w:ascii="宋体" w:hAnsi="宋体" w:cs="宋体"/>
          <w:b/>
          <w:bCs/>
          <w:color w:val="auto"/>
          <w:sz w:val="24"/>
          <w:highlight w:val="none"/>
        </w:rPr>
        <w:t xml:space="preserve">需在</w:t>
      </w:r>
      <w:r>
        <w:rPr>
          <w:rFonts w:hint="eastAsia" w:ascii="宋体" w:hAnsi="宋体" w:cs="宋体"/>
          <w:b/>
          <w:bCs/>
          <w:color w:val="auto"/>
          <w:sz w:val="24"/>
          <w:highlight w:val="none"/>
          <w:lang w:val="en-US" w:eastAsia="zh-CN"/>
        </w:rPr>
        <w:t xml:space="preserve">15</w:t>
      </w:r>
      <w:r>
        <w:rPr>
          <w:rFonts w:hint="eastAsia" w:ascii="宋体" w:hAnsi="宋体" w:cs="宋体"/>
          <w:b/>
          <w:bCs/>
          <w:color w:val="auto"/>
          <w:sz w:val="24"/>
          <w:highlight w:val="none"/>
        </w:rPr>
        <w:t xml:space="preserve">个日历天</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秋季30个日历天</w:t>
      </w:r>
      <w:r>
        <w:rPr>
          <w:rFonts w:hint="eastAsia" w:ascii="宋体" w:hAnsi="宋体" w:cs="宋体"/>
          <w:b/>
          <w:bCs/>
          <w:color w:val="auto"/>
          <w:sz w:val="24"/>
          <w:highlight w:val="none"/>
        </w:rPr>
        <w:t xml:space="preserve">内全部清运出盐南高新区，不能影响夏季种稻、秋季种麦，</w:t>
      </w:r>
      <w:r>
        <w:rPr>
          <w:rFonts w:hint="eastAsia" w:ascii="宋体" w:hAnsi="宋体" w:cs="宋体"/>
          <w:b/>
          <w:bCs/>
          <w:color w:val="auto"/>
          <w:sz w:val="24"/>
          <w:szCs w:val="24"/>
          <w:highlight w:val="none"/>
          <w:lang w:val="en-US" w:eastAsia="zh-CN" w:bidi="ar-SA"/>
        </w:rPr>
        <w:t xml:space="preserve">投标人</w:t>
      </w:r>
      <w:r>
        <w:rPr>
          <w:rFonts w:hint="eastAsia" w:ascii="宋体" w:hAnsi="宋体" w:cs="宋体"/>
          <w:b/>
          <w:bCs/>
          <w:color w:val="auto"/>
          <w:sz w:val="24"/>
          <w:highlight w:val="none"/>
        </w:rPr>
        <w:t xml:space="preserve">未能在</w:t>
      </w:r>
      <w:r>
        <w:rPr>
          <w:rFonts w:hint="eastAsia" w:ascii="宋体" w:hAnsi="宋体" w:cs="宋体"/>
          <w:b/>
          <w:bCs/>
          <w:color w:val="auto"/>
          <w:sz w:val="24"/>
          <w:highlight w:val="none"/>
          <w:lang w:val="en-US" w:eastAsia="zh-CN"/>
        </w:rPr>
        <w:t xml:space="preserve">采购人</w:t>
      </w:r>
      <w:r>
        <w:rPr>
          <w:rFonts w:hint="eastAsia" w:ascii="宋体" w:hAnsi="宋体" w:cs="宋体"/>
          <w:b/>
          <w:bCs/>
          <w:color w:val="auto"/>
          <w:sz w:val="24"/>
          <w:highlight w:val="none"/>
        </w:rPr>
        <w:t xml:space="preserve">规定时间内及时将秸秆全量离田或者全部清运出盐南高新区的，</w:t>
      </w:r>
      <w:r>
        <w:rPr>
          <w:rFonts w:hint="eastAsia" w:ascii="宋体" w:hAnsi="宋体" w:cs="宋体"/>
          <w:b/>
          <w:bCs/>
          <w:color w:val="auto"/>
          <w:sz w:val="24"/>
          <w:highlight w:val="none"/>
          <w:lang w:val="en-US" w:eastAsia="zh-CN"/>
        </w:rPr>
        <w:t xml:space="preserve">采购人</w:t>
      </w:r>
      <w:r>
        <w:rPr>
          <w:rFonts w:hint="eastAsia" w:ascii="宋体" w:hAnsi="宋体" w:cs="宋体"/>
          <w:b/>
          <w:bCs/>
          <w:color w:val="auto"/>
          <w:sz w:val="24"/>
          <w:highlight w:val="none"/>
        </w:rPr>
        <w:t xml:space="preserve">将处以50000元/天的罚金（具体开工时间以甲方书面通知为准）。</w:t>
      </w:r>
      <w:r/>
    </w:p>
    <w:p>
      <w:pPr>
        <w:ind w:firstLine="480"/>
        <w:spacing w:line="520" w:lineRule="exact"/>
        <w:rPr>
          <w:rFonts w:hint="eastAsia" w:ascii="宋体" w:hAnsi="宋体" w:cs="宋体"/>
          <w:color w:val="auto"/>
          <w:sz w:val="24"/>
          <w:highlight w:val="none"/>
        </w:rPr>
      </w:pPr>
      <w:r>
        <w:rPr>
          <w:rFonts w:hint="eastAsia" w:ascii="宋体" w:hAnsi="宋体" w:cs="宋体"/>
          <w:color w:val="auto"/>
          <w:sz w:val="24"/>
          <w:highlight w:val="none"/>
        </w:rPr>
        <w:t xml:space="preserve">三、付款方式</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3.1</w:t>
      </w:r>
      <w:r>
        <w:rPr>
          <w:rFonts w:hint="eastAsia" w:ascii="宋体" w:hAnsi="宋体" w:cs="宋体"/>
          <w:color w:val="auto"/>
          <w:sz w:val="24"/>
          <w:highlight w:val="none"/>
        </w:rPr>
        <w:t xml:space="preserve">合同款项的支付方式及进度安排</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.1.1 预付款支付时间：合同签订后</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采购人收到</w:t>
      </w:r>
      <w:r>
        <w:rPr>
          <w:rFonts w:hint="eastAsia" w:ascii="宋体" w:hAnsi="宋体" w:cs="宋体"/>
          <w:color w:val="auto"/>
          <w:sz w:val="24"/>
          <w:highlight w:val="none"/>
          <w:lang w:eastAsia="zh-CN"/>
        </w:rPr>
        <w:t xml:space="preserve">预付款</w:t>
      </w:r>
      <w:r>
        <w:rPr>
          <w:rFonts w:hint="eastAsia" w:ascii="宋体" w:hAnsi="宋体" w:cs="宋体"/>
          <w:color w:val="auto"/>
          <w:sz w:val="24"/>
          <w:highlight w:val="none"/>
        </w:rPr>
        <w:t xml:space="preserve">发票后10个工作日内，预付款支付比例：合同金额的</w:t>
      </w:r>
      <w:r>
        <w:rPr>
          <w:rFonts w:hint="eastAsia" w:ascii="宋体" w:hAnsi="宋体" w:cs="宋体"/>
          <w:color w:val="auto"/>
          <w:sz w:val="24"/>
          <w:highlight w:val="none"/>
          <w:lang w:val="en-US" w:eastAsia="zh-CN"/>
        </w:rPr>
        <w:t xml:space="preserve">30</w:t>
      </w:r>
      <w:r>
        <w:rPr>
          <w:rFonts w:hint="eastAsia" w:ascii="宋体" w:hAnsi="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.1.2 尾款支付时间：服务结束并验收合格,采购人收到发票后10个工作日内，尾款支付比例：该项目具有时限性，付款分为夏秋两季，当季工作结束并通过甲方验收合格后，可按实际完成工程量一次性付款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如有考核扣款及预付款，一并扣除后付款</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注：以上付款均不计任何利息和相关费用。</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1 \* GB3 \* MERGEFORMAT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①</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承包人必须按甲方要求的方式足额纳税。</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 = 2 \* GB3 \* MERGEFORMAT </w:instrText>
      </w:r>
      <w:r>
        <w:rPr>
          <w:rFonts w:hint="eastAsia" w:ascii="宋体" w:hAnsi="宋体" w:cs="宋体"/>
          <w:color w:val="auto"/>
          <w:sz w:val="24"/>
          <w:highlight w:val="none"/>
        </w:rPr>
        <w:fldChar w:fldCharType="separate"/>
      </w:r>
      <w:r>
        <w:rPr>
          <w:rFonts w:hint="eastAsia" w:ascii="宋体" w:hAnsi="宋体" w:cs="宋体"/>
          <w:color w:val="auto"/>
          <w:sz w:val="24"/>
          <w:highlight w:val="none"/>
        </w:rPr>
        <w:t xml:space="preserve">②</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合同签订前双方约定开票方式，付款前提供符合甲方要求的发票，税率按国家规定。</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③建立资金预付制度， 合同签订后中标人可向甲方申请预付款。</w:t>
      </w:r>
      <w:r/>
    </w:p>
    <w:p>
      <w:pPr>
        <w:ind w:firstLine="480"/>
        <w:keepLines w:val="0"/>
        <w:keepNext w:val="0"/>
        <w:pageBreakBefore w:val="0"/>
        <w:spacing w:line="440" w:lineRule="exact"/>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④投标人按合同约定支付人员工资、福利、加班费、工具用具费等费用，如因投标人未按规定发放相关费用，引起投诉上访等不安定因素，招标人有权在服务费中直接代为相关支付，并扣罚代为支出费用的1.5倍，在总服务费中扣除。 </w:t>
      </w:r>
      <w:bookmarkStart w:id="204" w:name="_GoBack"/>
      <w:r/>
      <w:bookmarkEnd w:id="204"/>
      <w:r/>
      <w:r/>
    </w:p>
    <w:p>
      <w:pPr>
        <w:ind w:firstLine="482"/>
        <w:spacing w:line="440" w:lineRule="exact"/>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三、采购标的对应的中小企业划分标准所属行业一览表</w:t>
      </w:r>
      <w:r/>
    </w:p>
    <w:tbl>
      <w:tblPr>
        <w:tblStyle w:val="875"/>
        <w:tblW w:w="1045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454"/>
        <w:gridCol w:w="5138"/>
        <w:gridCol w:w="3867"/>
      </w:tblGrid>
      <w:tr>
        <w:trPr>
          <w:jc w:val="center"/>
          <w:tblCellSpacing w:w="0" w:type="dxa"/>
          <w:trHeight w:val="784"/>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8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8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采购标的</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88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对应中小企业划分标准所属行业</w:t>
            </w:r>
            <w:r/>
          </w:p>
        </w:tc>
      </w:tr>
      <w:tr>
        <w:trPr>
          <w:jc w:val="center"/>
          <w:tblCellSpacing w:w="0" w:type="dxa"/>
          <w:trHeight w:val="582"/>
        </w:trPr>
        <w:tc>
          <w:tcPr>
            <w:shd w:val="clear" w:color="auto" w:fill="auto"/>
            <w:tcBorders>
              <w:top w:val="single" w:color="000000" w:sz="4" w:space="0"/>
              <w:left w:val="single" w:color="000000" w:sz="4" w:space="0"/>
              <w:bottom w:val="single" w:color="000000" w:sz="4" w:space="0"/>
              <w:right w:val="single" w:color="000000" w:sz="4" w:space="0"/>
            </w:tcBorders>
            <w:tcW w:w="1454" w:type="dxa"/>
            <w:vAlign w:val="center"/>
            <w:textDirection w:val="lrTb"/>
            <w:noWrap w:val="false"/>
          </w:tcPr>
          <w:p>
            <w:pPr>
              <w:pStyle w:val="88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38" w:type="dxa"/>
            <w:vAlign w:val="center"/>
            <w:textDirection w:val="lrTb"/>
            <w:noWrap w:val="false"/>
          </w:tcPr>
          <w:p>
            <w:pPr>
              <w:pStyle w:val="885"/>
              <w:jc w:val="center"/>
              <w:spacing w:beforeAutospacing="0" w:afterAutospacing="0" w:line="0" w:lineRule="atLeas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伍佑街道2025年秸秆离田项目</w:t>
            </w:r>
            <w:r/>
          </w:p>
        </w:tc>
        <w:tc>
          <w:tcPr>
            <w:shd w:val="clear" w:color="auto" w:fill="auto"/>
            <w:tcBorders>
              <w:top w:val="single" w:color="000000" w:sz="4" w:space="0"/>
              <w:left w:val="single" w:color="000000" w:sz="4" w:space="0"/>
              <w:bottom w:val="single" w:color="000000" w:sz="4" w:space="0"/>
              <w:right w:val="single" w:color="000000" w:sz="4" w:space="0"/>
            </w:tcBorders>
            <w:tcW w:w="3867" w:type="dxa"/>
            <w:vAlign w:val="center"/>
            <w:textDirection w:val="lrTb"/>
            <w:noWrap w:val="false"/>
          </w:tcPr>
          <w:p>
            <w:pPr>
              <w:pStyle w:val="885"/>
              <w:jc w:val="center"/>
              <w:spacing w:beforeAutospacing="0" w:afterAutospacing="0" w:line="0" w:lineRule="atLeast"/>
              <w:rPr>
                <w:rFonts w:hint="default" w:asciiTheme="minorEastAsia" w:hAnsiTheme="minorEastAsia" w:cstheme="minorEastAsia"/>
                <w:b w:val="0"/>
                <w:bCs w:val="0"/>
                <w:i/>
                <w:iCs/>
                <w:color w:val="auto"/>
                <w:sz w:val="24"/>
                <w:szCs w:val="24"/>
                <w:highlight w:val="none"/>
                <w:u w:val="single"/>
                <w:shd w:val="clear" w:color="auto" w:fill="ffffff"/>
                <w:lang w:val="en-US" w:eastAsia="zh-CN"/>
              </w:rPr>
            </w:pPr>
            <w:r>
              <w:rPr>
                <w:rFonts w:hint="eastAsia" w:asciiTheme="minorEastAsia" w:hAnsiTheme="minorEastAsia" w:cstheme="minorEastAsia"/>
                <w:b w:val="0"/>
                <w:bCs w:val="0"/>
                <w:i/>
                <w:iCs/>
                <w:color w:val="auto"/>
                <w:sz w:val="24"/>
                <w:szCs w:val="24"/>
                <w:highlight w:val="none"/>
                <w:u w:val="single"/>
                <w:shd w:val="clear" w:color="auto" w:fill="ffffff"/>
                <w:lang w:val="en-US" w:eastAsia="zh-CN"/>
              </w:rPr>
              <w:t xml:space="preserve">农、林、牧、渔业</w:t>
            </w:r>
            <w:r/>
          </w:p>
        </w:tc>
      </w:tr>
    </w:tbl>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bookmarkStart w:id="182" w:name="_Toc120614281"/>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br w:type="page" w:clear="all"/>
      </w:r>
      <w:r/>
    </w:p>
    <w:p>
      <w:pPr>
        <w:pStyle w:val="885"/>
        <w:jc w:val="center"/>
        <w:keepNext/>
        <w:spacing w:beforeAutospacing="0" w:afterAutospacing="0"/>
        <w:rPr>
          <w:rFonts w:hint="eastAsia" w:asciiTheme="minorEastAsia" w:hAnsiTheme="minorEastAsia" w:eastAsiaTheme="minorEastAsia" w:cstheme="minorEastAsia"/>
          <w:color w:val="auto"/>
          <w:highlight w:val="none"/>
        </w:rPr>
        <w:outlineLvl w:val="0"/>
      </w:pPr>
      <w:r/>
      <w:bookmarkStart w:id="183" w:name="_Toc3886"/>
      <w:r>
        <w:rPr>
          <w:rFonts w:hint="eastAsia" w:asciiTheme="minorEastAsia" w:hAnsiTheme="minorEastAsia" w:eastAsiaTheme="minorEastAsia" w:cstheme="minorEastAsia"/>
          <w:color w:val="auto"/>
          <w:sz w:val="44"/>
          <w:szCs w:val="44"/>
          <w:highlight w:val="none"/>
        </w:rPr>
        <w:t xml:space="preserve">第五章  </w:t>
      </w:r>
      <w:r>
        <w:rPr>
          <w:rFonts w:hint="eastAsia" w:asciiTheme="minorEastAsia" w:hAnsiTheme="minorEastAsia" w:eastAsiaTheme="minorEastAsia" w:cstheme="minorEastAsia"/>
          <w:b/>
          <w:color w:val="auto"/>
          <w:sz w:val="44"/>
          <w:szCs w:val="44"/>
          <w:highlight w:val="none"/>
        </w:rPr>
        <w:t xml:space="preserve">评标方法与评标标准</w:t>
      </w:r>
      <w:bookmarkEnd w:id="183"/>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本项目采用</w:t>
      </w:r>
      <w:r>
        <w:rPr>
          <w:rFonts w:hint="eastAsia" w:ascii="宋体" w:hAnsi="宋体" w:eastAsia="宋体" w:cs="宋体"/>
          <w:bCs/>
          <w:color w:val="auto"/>
          <w:sz w:val="24"/>
          <w:szCs w:val="24"/>
          <w:highlight w:val="none"/>
          <w:u w:val="single"/>
        </w:rPr>
        <w:t xml:space="preserve"> 综合评分 </w:t>
      </w:r>
      <w:r>
        <w:rPr>
          <w:rFonts w:hint="eastAsia" w:ascii="宋体" w:hAnsi="宋体" w:eastAsia="宋体" w:cs="宋体"/>
          <w:bCs/>
          <w:color w:val="auto"/>
          <w:sz w:val="24"/>
          <w:szCs w:val="24"/>
          <w:highlight w:val="none"/>
        </w:rPr>
        <w:t xml:space="preserve">法。</w:t>
      </w:r>
      <w:r>
        <w:rPr>
          <w:rFonts w:hint="eastAsia" w:ascii="宋体" w:hAnsi="宋体" w:eastAsia="宋体" w:cs="宋体"/>
          <w:color w:val="auto"/>
          <w:sz w:val="24"/>
          <w:szCs w:val="24"/>
          <w:highlight w:val="none"/>
        </w:rPr>
        <w:t xml:space="preserve">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pStyle w:val="885"/>
        <w:ind w:firstLine="441"/>
        <w:spacing w:before="120" w:beforeAutospacing="0" w:after="120" w:afterAutospacing="0"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政府采购政策功能落实</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1、小微型企业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（1）本项目专门面向中小企业采购，不再对小型和微型企业服务给予价格扣除。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（2）供应商需按照采购文件的要求提供相应的《</w:t>
      </w:r>
      <w:r>
        <w:rPr>
          <w:rFonts w:hint="eastAsia" w:ascii="宋体" w:hAnsi="宋体" w:eastAsia="宋体" w:cs="宋体"/>
          <w:color w:val="auto"/>
          <w:sz w:val="24"/>
          <w:szCs w:val="24"/>
          <w:highlight w:val="none"/>
          <w:lang w:val="en-US" w:eastAsia="zh-CN"/>
        </w:rPr>
        <w:t xml:space="preserve">中小</w:t>
      </w:r>
      <w:r>
        <w:rPr>
          <w:rFonts w:hint="eastAsia" w:ascii="宋体" w:hAnsi="宋体" w:eastAsia="宋体" w:cs="宋体"/>
          <w:color w:val="auto"/>
          <w:sz w:val="24"/>
          <w:szCs w:val="24"/>
          <w:highlight w:val="none"/>
        </w:rPr>
        <w:t xml:space="preserve">企业声明函》。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（3）企业标准请参照《关于印发中小企业划型标准规定的通知》（工信部联企业[2011]300号）文件规定自行填写。</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2、残疾人福利单位</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（1）本项目对残疾人福利性单位视同小型、微型企业。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（2）残疾人福利单位需按照采购文件的要求提供《残疾人福利性单位声明函》。</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（3）残疾人福利单位标准请参照《关于促进残疾人就业政府采购政策的通知》（财库〔2017〕141号）。</w:t>
      </w:r>
      <w:r/>
    </w:p>
    <w:p>
      <w:pPr>
        <w:ind w:firstLine="480"/>
        <w:jc w:val="left"/>
        <w:spacing w:line="5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3、监狱和戒毒企业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（1）本项目对监狱和戒毒企业（简称监狱企业）视同小型、微型企业。</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（3）监狱企业标准请参照《关于政府采购支持监狱企业发展有关问题的通知》（财库[2014]68号）。</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4、残疾人福利单位、监狱企业属于小型、微型企业的，不重复享受政策。</w:t>
      </w:r>
      <w:r/>
    </w:p>
    <w:p>
      <w:pPr>
        <w:ind w:firstLine="480"/>
        <w:jc w:val="left"/>
        <w:spacing w:line="56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本项目专门面向中小企业采购，不再对联合体给予价格扣除。</w:t>
      </w:r>
      <w:r>
        <w:rPr>
          <w:rFonts w:hint="eastAsia" w:ascii="宋体" w:hAnsi="宋体" w:eastAsia="宋体" w:cs="宋体"/>
          <w:color w:val="auto"/>
          <w:sz w:val="24"/>
          <w:szCs w:val="24"/>
          <w:highlight w:val="none"/>
          <w:lang w:eastAsia="zh-CN"/>
        </w:rPr>
        <w:t xml:space="preserve">）</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6、本项目专门面向中小企业采购，不再对联合体各方均为小型、微型企业（残疾人福利单位、监狱企业）</w:t>
      </w:r>
      <w:r>
        <w:rPr>
          <w:rFonts w:hint="eastAsia" w:ascii="宋体" w:hAnsi="宋体" w:eastAsia="宋体" w:cs="宋体"/>
          <w:color w:val="auto"/>
          <w:sz w:val="24"/>
          <w:szCs w:val="24"/>
          <w:highlight w:val="none"/>
          <w:lang w:val="en-US" w:eastAsia="zh-CN"/>
        </w:rPr>
        <w:t xml:space="preserve">服务</w:t>
      </w:r>
      <w:r>
        <w:rPr>
          <w:rFonts w:hint="eastAsia" w:ascii="宋体" w:hAnsi="宋体" w:eastAsia="宋体" w:cs="宋体"/>
          <w:color w:val="auto"/>
          <w:sz w:val="24"/>
          <w:szCs w:val="24"/>
          <w:highlight w:val="none"/>
        </w:rPr>
        <w:t xml:space="preserve">给予价格扣除。</w:t>
      </w:r>
      <w:r/>
    </w:p>
    <w:p>
      <w:pPr>
        <w:ind w:firstLine="480"/>
        <w:jc w:val="left"/>
        <w:spacing w:line="5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7、严格执行政府采购关于支持</w:t>
      </w:r>
      <w:r>
        <w:rPr>
          <w:rFonts w:hint="eastAsia" w:ascii="宋体" w:hAnsi="宋体" w:eastAsia="宋体" w:cs="宋体"/>
          <w:color w:val="auto"/>
          <w:sz w:val="24"/>
          <w:szCs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85"/>
        <w:ind w:firstLine="482"/>
        <w:spacing w:before="120" w:beforeAutospacing="0" w:after="120" w:afterAutospacing="0" w:line="0" w:lineRule="atLeas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 xml:space="preserve">评标方法与评标标准</w:t>
      </w:r>
      <w:r/>
    </w:p>
    <w:p>
      <w:pPr>
        <w:ind w:firstLine="480"/>
        <w:jc w:val="left"/>
        <w:spacing w:line="560" w:lineRule="exact"/>
        <w:widowControl/>
        <w:rPr>
          <w:rFonts w:hint="eastAsia" w:asciiTheme="minorEastAsia" w:hAnsiTheme="minorEastAsia" w:eastAsiaTheme="minorEastAsia" w:cstheme="minorEastAsia"/>
          <w:color w:val="auto"/>
          <w:sz w:val="24"/>
          <w:szCs w:val="20"/>
          <w:highlight w:val="none"/>
        </w:rPr>
      </w:pPr>
      <w:r>
        <w:rPr>
          <w:rFonts w:hint="eastAsia" w:asciiTheme="minorEastAsia" w:hAnsiTheme="minorEastAsia" w:eastAsiaTheme="minorEastAsia" w:cstheme="minorEastAsia"/>
          <w:color w:val="auto"/>
          <w:sz w:val="24"/>
          <w:szCs w:val="20"/>
          <w:highlight w:val="none"/>
        </w:rPr>
        <w:t xml:space="preserve">本项目评分总分值为100分。</w:t>
      </w:r>
      <w:r/>
    </w:p>
    <w:tbl>
      <w:tblPr>
        <w:tblStyle w:val="875"/>
        <w:tblW w:w="52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902"/>
        <w:gridCol w:w="1279"/>
        <w:gridCol w:w="765"/>
        <w:gridCol w:w="6884"/>
      </w:tblGrid>
      <w:tr>
        <w:trPr>
          <w:jc w:val="center"/>
          <w:trHeight w:val="462"/>
        </w:trPr>
        <w:tc>
          <w:tcPr>
            <w:tcW w:w="335"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序号</w:t>
            </w:r>
            <w:r/>
          </w:p>
        </w:tc>
        <w:tc>
          <w:tcPr>
            <w:gridSpan w:val="2"/>
            <w:tcW w:w="1035"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评审项目</w:t>
            </w:r>
            <w:r/>
          </w:p>
        </w:tc>
        <w:tc>
          <w:tcPr>
            <w:tcW w:w="363"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分值</w:t>
            </w:r>
            <w:r/>
          </w:p>
        </w:tc>
        <w:tc>
          <w:tcPr>
            <w:tcW w:w="3266"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b/>
                <w:bCs/>
                <w:color w:val="auto"/>
                <w:szCs w:val="21"/>
                <w:highlight w:val="none"/>
              </w:rPr>
            </w:pPr>
            <w:r>
              <w:rPr>
                <w:rFonts w:hint="eastAsia" w:asciiTheme="minorEastAsia" w:hAnsiTheme="minorEastAsia" w:eastAsiaTheme="minorEastAsia" w:cstheme="minorEastAsia"/>
                <w:b/>
                <w:bCs/>
                <w:color w:val="auto"/>
                <w:szCs w:val="21"/>
                <w:highlight w:val="none"/>
              </w:rPr>
              <w:t xml:space="preserve">评 分 细 则</w:t>
            </w:r>
            <w:r/>
          </w:p>
        </w:tc>
      </w:tr>
      <w:tr>
        <w:trPr>
          <w:jc w:val="center"/>
          <w:trHeight w:val="1312"/>
        </w:trPr>
        <w:tc>
          <w:tcPr>
            <w:tcW w:w="335"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 xml:space="preserve">1</w:t>
            </w:r>
            <w:r/>
          </w:p>
        </w:tc>
        <w:tc>
          <w:tcPr>
            <w:gridSpan w:val="2"/>
            <w:tcW w:w="1035"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rPr>
              <w:t xml:space="preserve">投标报价</w:t>
            </w:r>
            <w:r/>
          </w:p>
        </w:tc>
        <w:tc>
          <w:tcPr>
            <w:tcW w:w="363" w:type="pct"/>
            <w:vAlign w:val="center"/>
            <w:textDirection w:val="lrTb"/>
            <w:noWrap w:val="false"/>
          </w:tcPr>
          <w:p>
            <w:pPr>
              <w:jc w:val="center"/>
              <w:spacing w:before="78" w:after="78" w:line="360" w:lineRule="exact"/>
              <w:rPr>
                <w:rFonts w:hint="default" w:asciiTheme="minorEastAsia" w:hAnsiTheme="minorEastAsia" w:eastAsiaTheme="minorEastAsia" w:cstheme="minorEastAsia"/>
                <w:b w:val="0"/>
                <w:bCs w:val="0"/>
                <w:color w:val="auto"/>
                <w:szCs w:val="21"/>
                <w:highlight w:val="none"/>
                <w:lang w:val="en-US" w:eastAsia="zh-CN"/>
              </w:rPr>
            </w:pPr>
            <w:r>
              <w:rPr>
                <w:rFonts w:hint="eastAsia" w:asciiTheme="minorEastAsia" w:hAnsiTheme="minorEastAsia" w:cstheme="minorEastAsia"/>
                <w:b w:val="0"/>
                <w:bCs w:val="0"/>
                <w:color w:val="auto"/>
                <w:szCs w:val="21"/>
                <w:highlight w:val="none"/>
                <w:lang w:val="en-US" w:eastAsia="zh-CN"/>
              </w:rPr>
              <w:t xml:space="preserve">30</w:t>
            </w:r>
            <w:r/>
          </w:p>
        </w:tc>
        <w:tc>
          <w:tcPr>
            <w:tcW w:w="3266" w:type="pct"/>
            <w:vAlign w:val="center"/>
            <w:textDirection w:val="lrTb"/>
            <w:noWrap w:val="false"/>
          </w:tcPr>
          <w:p>
            <w:pPr>
              <w:ind w:firstLine="0"/>
              <w:widowControl/>
              <w:rPr>
                <w:rStyle w:val="908"/>
                <w:rFonts w:hint="eastAsia" w:ascii="宋体" w:hAnsi="宋体" w:eastAsia="宋体" w:cs="宋体"/>
                <w:b w:val="0"/>
                <w:bCs w:val="0"/>
                <w:color w:val="000000"/>
                <w:sz w:val="21"/>
                <w:szCs w:val="21"/>
                <w:highlight w:val="none"/>
                <w:lang w:eastAsia="zh-CN" w:bidi="ar"/>
              </w:rPr>
              <w:pBdr>
                <w:top w:val="none" w:color="000000" w:sz="0" w:space="0"/>
                <w:left w:val="none" w:color="000000" w:sz="0" w:space="0"/>
                <w:bottom w:val="none" w:color="000000" w:sz="0" w:space="0"/>
                <w:right w:val="none" w:color="000000" w:sz="0" w:space="0"/>
              </w:pBdr>
            </w:pPr>
            <w:r>
              <w:rPr>
                <w:rStyle w:val="908"/>
                <w:rFonts w:hint="eastAsia" w:ascii="宋体" w:hAnsi="宋体" w:eastAsia="宋体" w:cs="宋体"/>
                <w:b w:val="0"/>
                <w:bCs w:val="0"/>
                <w:color w:val="000000"/>
                <w:sz w:val="21"/>
                <w:szCs w:val="21"/>
                <w:highlight w:val="none"/>
                <w:lang w:bidi="ar"/>
              </w:rPr>
              <w:t xml:space="preserve">评标基准价：满足招标文件要求且投标价格最低的投标报价为评标基准价，其价格分为</w:t>
            </w:r>
            <w:r>
              <w:rPr>
                <w:rStyle w:val="908"/>
                <w:rFonts w:hint="eastAsia" w:ascii="宋体" w:hAnsi="宋体" w:eastAsia="宋体" w:cs="宋体"/>
                <w:b w:val="0"/>
                <w:bCs w:val="0"/>
                <w:color w:val="000000"/>
                <w:sz w:val="21"/>
                <w:szCs w:val="21"/>
                <w:highlight w:val="none"/>
                <w:lang w:val="en-US" w:eastAsia="zh-CN" w:bidi="ar"/>
              </w:rPr>
              <w:t xml:space="preserve">30</w:t>
            </w:r>
            <w:r>
              <w:rPr>
                <w:rStyle w:val="908"/>
                <w:rFonts w:hint="eastAsia" w:ascii="宋体" w:hAnsi="宋体" w:eastAsia="宋体" w:cs="宋体"/>
                <w:b w:val="0"/>
                <w:bCs w:val="0"/>
                <w:color w:val="000000"/>
                <w:sz w:val="21"/>
                <w:szCs w:val="21"/>
                <w:highlight w:val="none"/>
                <w:lang w:bidi="ar"/>
              </w:rPr>
              <w:t xml:space="preserve">分</w:t>
            </w:r>
            <w:r>
              <w:rPr>
                <w:rStyle w:val="908"/>
                <w:rFonts w:hint="eastAsia" w:ascii="宋体" w:hAnsi="宋体" w:eastAsia="宋体" w:cs="宋体"/>
                <w:b w:val="0"/>
                <w:bCs w:val="0"/>
                <w:color w:val="000000"/>
                <w:sz w:val="21"/>
                <w:szCs w:val="21"/>
                <w:highlight w:val="none"/>
                <w:lang w:eastAsia="zh-CN" w:bidi="ar"/>
              </w:rPr>
              <w:t xml:space="preserve">。</w:t>
            </w:r>
            <w:r/>
          </w:p>
          <w:p>
            <w:pPr>
              <w:spacing w:before="78" w:after="78" w:line="360" w:lineRule="exact"/>
              <w:rPr>
                <w:rFonts w:hint="eastAsia" w:asciiTheme="minorEastAsia" w:hAnsiTheme="minorEastAsia" w:eastAsiaTheme="minorEastAsia" w:cstheme="minorEastAsia"/>
                <w:b w:val="0"/>
                <w:bCs w:val="0"/>
                <w:color w:val="auto"/>
                <w:highlight w:val="none"/>
              </w:rPr>
            </w:pPr>
            <w:r>
              <w:rPr>
                <w:rStyle w:val="908"/>
                <w:rFonts w:hint="eastAsia" w:ascii="宋体" w:hAnsi="宋体" w:eastAsia="宋体" w:cs="宋体"/>
                <w:b w:val="0"/>
                <w:bCs w:val="0"/>
                <w:color w:val="000000"/>
                <w:sz w:val="21"/>
                <w:szCs w:val="21"/>
                <w:highlight w:val="none"/>
                <w:lang w:bidi="ar"/>
              </w:rPr>
              <w:t xml:space="preserve">其他投标人的价格分统一按照下列公式计算（小数点后保留两位）：投标报价得分=评标基准价/投标报价×</w:t>
            </w:r>
            <w:r>
              <w:rPr>
                <w:rStyle w:val="908"/>
                <w:rFonts w:hint="eastAsia" w:ascii="宋体" w:hAnsi="宋体" w:eastAsia="宋体" w:cs="宋体"/>
                <w:b w:val="0"/>
                <w:bCs w:val="0"/>
                <w:color w:val="000000"/>
                <w:sz w:val="21"/>
                <w:szCs w:val="21"/>
                <w:highlight w:val="none"/>
                <w:lang w:val="en-US" w:eastAsia="zh-CN" w:bidi="ar"/>
              </w:rPr>
              <w:t xml:space="preserve">30</w:t>
            </w:r>
            <w:r>
              <w:rPr>
                <w:rStyle w:val="908"/>
                <w:rFonts w:hint="eastAsia" w:ascii="宋体" w:hAnsi="宋体" w:eastAsia="宋体" w:cs="宋体"/>
                <w:b w:val="0"/>
                <w:bCs w:val="0"/>
                <w:color w:val="000000"/>
                <w:sz w:val="21"/>
                <w:szCs w:val="21"/>
                <w:highlight w:val="none"/>
                <w:lang w:bidi="ar"/>
              </w:rPr>
              <w:t xml:space="preserve">。</w:t>
            </w:r>
            <w:r/>
          </w:p>
        </w:tc>
      </w:tr>
      <w:tr>
        <w:trPr>
          <w:jc w:val="center"/>
          <w:trHeight w:val="334"/>
        </w:trPr>
        <w:tc>
          <w:tcPr>
            <w:tcW w:w="335" w:type="pct"/>
            <w:vAlign w:val="center"/>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2</w:t>
            </w:r>
            <w:r/>
          </w:p>
        </w:tc>
        <w:tc>
          <w:tcPr>
            <w:gridSpan w:val="2"/>
            <w:tcW w:w="1035"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企业实力</w:t>
            </w:r>
            <w:r/>
          </w:p>
        </w:tc>
        <w:tc>
          <w:tcPr>
            <w:tcW w:w="363" w:type="pct"/>
            <w:vAlign w:val="center"/>
            <w:textDirection w:val="lrTb"/>
            <w:noWrap w:val="false"/>
          </w:tcPr>
          <w:p>
            <w:pPr>
              <w:jc w:val="center"/>
              <w:spacing w:line="360" w:lineRule="auto"/>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cstheme="minorEastAsia"/>
                <w:color w:val="auto"/>
                <w:highlight w:val="none"/>
                <w:lang w:val="en-US" w:eastAsia="zh-CN"/>
              </w:rPr>
              <w:t xml:space="preserve">9</w:t>
            </w:r>
            <w:r/>
          </w:p>
        </w:tc>
        <w:tc>
          <w:tcPr>
            <w:tcW w:w="3266" w:type="pct"/>
            <w:vAlign w:val="center"/>
            <w:textDirection w:val="lrTb"/>
            <w:noWrap w:val="false"/>
          </w:tcPr>
          <w:p>
            <w:pPr>
              <w:ind w:firstLine="0"/>
              <w:widowControl/>
              <w:rPr>
                <w:rStyle w:val="908"/>
                <w:rFonts w:hint="eastAsia"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Style w:val="908"/>
                <w:rFonts w:hint="eastAsia" w:ascii="宋体" w:hAnsi="宋体" w:eastAsia="宋体" w:cs="宋体"/>
                <w:b w:val="0"/>
                <w:bCs w:val="0"/>
                <w:color w:val="000000"/>
                <w:sz w:val="21"/>
                <w:szCs w:val="21"/>
                <w:highlight w:val="none"/>
                <w:lang w:val="en-US" w:eastAsia="zh-CN" w:bidi="ar"/>
              </w:rPr>
              <w:t xml:space="preserve">1、投标人自2022年1月1日（以合同签订时间为准）以来承接过类似业绩，提供1个得2分，最高得6分。</w:t>
            </w:r>
            <w:r/>
          </w:p>
          <w:p>
            <w:pPr>
              <w:ind w:firstLine="0"/>
              <w:widowControl/>
              <w:rPr>
                <w:rStyle w:val="908"/>
                <w:rFonts w:hint="eastAsia" w:ascii="宋体" w:hAnsi="宋体" w:eastAsia="宋体" w:cs="宋体"/>
                <w:b/>
                <w:bCs/>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Style w:val="908"/>
                <w:rFonts w:hint="eastAsia" w:ascii="宋体" w:hAnsi="宋体" w:eastAsia="宋体" w:cs="宋体"/>
                <w:b/>
                <w:bCs/>
                <w:color w:val="000000"/>
                <w:sz w:val="21"/>
                <w:szCs w:val="21"/>
                <w:highlight w:val="none"/>
                <w:lang w:val="en-US" w:eastAsia="zh-CN" w:bidi="ar"/>
              </w:rPr>
              <w:t xml:space="preserve">注：</w:t>
            </w:r>
            <w:r>
              <w:rPr>
                <w:rStyle w:val="908"/>
                <w:rFonts w:hint="eastAsia" w:ascii="宋体" w:hAnsi="宋体" w:eastAsia="宋体" w:cs="宋体"/>
                <w:b/>
                <w:bCs/>
                <w:color w:val="000000"/>
                <w:sz w:val="21"/>
                <w:szCs w:val="21"/>
                <w:highlight w:val="none"/>
                <w:lang w:bidi="ar"/>
              </w:rPr>
              <w:t xml:space="preserve">投标时以提供的合同原件</w:t>
            </w:r>
            <w:r>
              <w:rPr>
                <w:rStyle w:val="908"/>
                <w:rFonts w:hint="eastAsia" w:ascii="宋体" w:hAnsi="宋体" w:eastAsia="宋体" w:cs="宋体"/>
                <w:b/>
                <w:bCs/>
                <w:color w:val="000000"/>
                <w:sz w:val="21"/>
                <w:szCs w:val="21"/>
                <w:highlight w:val="none"/>
                <w:lang w:val="en-US" w:eastAsia="zh-CN" w:bidi="ar"/>
              </w:rPr>
              <w:t xml:space="preserve">的彩色</w:t>
            </w:r>
            <w:r>
              <w:rPr>
                <w:rStyle w:val="908"/>
                <w:rFonts w:hint="eastAsia" w:ascii="宋体" w:hAnsi="宋体" w:eastAsia="宋体" w:cs="宋体"/>
                <w:b/>
                <w:bCs/>
                <w:color w:val="000000"/>
                <w:sz w:val="21"/>
                <w:szCs w:val="21"/>
                <w:highlight w:val="none"/>
                <w:lang w:bidi="ar"/>
              </w:rPr>
              <w:t xml:space="preserve">扫描件进行计分</w:t>
            </w:r>
            <w:r>
              <w:rPr>
                <w:rStyle w:val="908"/>
                <w:rFonts w:hint="eastAsia" w:ascii="宋体" w:hAnsi="宋体" w:eastAsia="宋体" w:cs="宋体"/>
                <w:b/>
                <w:bCs/>
                <w:color w:val="000000"/>
                <w:sz w:val="21"/>
                <w:szCs w:val="21"/>
                <w:highlight w:val="none"/>
                <w:lang w:val="en-US" w:eastAsia="zh-CN" w:bidi="ar"/>
              </w:rPr>
              <w:t xml:space="preserve">，未提供不得分。（中标后，采购人有权对业绩真实性进行核查，</w:t>
            </w:r>
            <w:r>
              <w:rPr>
                <w:rFonts w:hint="eastAsia"/>
                <w:b/>
                <w:bCs/>
                <w:lang w:val="en-US" w:eastAsia="zh-CN"/>
              </w:rPr>
              <w:t xml:space="preserve">如提供虚假证明材料谋取中标，</w:t>
            </w:r>
            <w:r>
              <w:rPr>
                <w:rFonts w:hint="eastAsia"/>
                <w:b/>
                <w:bCs/>
              </w:rPr>
              <w:t xml:space="preserve">将取消中标资格，并提请监督机构按照政府采购相关法规处理</w:t>
            </w:r>
            <w:r>
              <w:rPr>
                <w:rFonts w:hint="eastAsia"/>
                <w:b/>
                <w:bCs/>
                <w:lang w:eastAsia="zh-CN"/>
              </w:rPr>
              <w:t xml:space="preserve">。</w:t>
            </w:r>
            <w:r>
              <w:rPr>
                <w:rStyle w:val="908"/>
                <w:rFonts w:hint="eastAsia" w:ascii="宋体" w:hAnsi="宋体" w:eastAsia="宋体" w:cs="宋体"/>
                <w:b/>
                <w:bCs/>
                <w:color w:val="000000"/>
                <w:sz w:val="21"/>
                <w:szCs w:val="21"/>
                <w:highlight w:val="none"/>
                <w:lang w:val="en-US" w:eastAsia="zh-CN" w:bidi="ar"/>
              </w:rPr>
              <w:t xml:space="preserve">）</w:t>
            </w:r>
            <w:r/>
          </w:p>
          <w:p>
            <w:pPr>
              <w:numPr>
                <w:ilvl w:val="0"/>
                <w:numId w:val="0"/>
              </w:numPr>
              <w:ind w:firstLine="0"/>
              <w:widowControl/>
              <w:rPr>
                <w:rStyle w:val="908"/>
                <w:rFonts w:hint="eastAsia"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
              </w:rPr>
              <w:t xml:space="preserve">2、</w:t>
            </w:r>
            <w:r>
              <w:rPr>
                <w:rStyle w:val="908"/>
                <w:rFonts w:hint="eastAsia" w:ascii="宋体" w:hAnsi="宋体" w:eastAsia="宋体" w:cs="宋体"/>
                <w:b w:val="0"/>
                <w:bCs w:val="0"/>
                <w:color w:val="000000"/>
                <w:sz w:val="21"/>
                <w:szCs w:val="21"/>
                <w:highlight w:val="none"/>
                <w:lang w:val="en-US" w:eastAsia="zh-CN" w:bidi="ar"/>
              </w:rPr>
              <w:t xml:space="preserve">投标人具有（自有或租赁）秸秆收储场地，面积达到1000平方米的得1分，面积达到3000平方米的得2分，面积达到5000平方米的得3分，本项最高得3分。</w:t>
            </w:r>
            <w:r/>
          </w:p>
          <w:p>
            <w:pPr>
              <w:numPr>
                <w:ilvl w:val="0"/>
                <w:numId w:val="0"/>
              </w:numPr>
              <w:widowControl/>
              <w:rPr>
                <w:rStyle w:val="908"/>
                <w:rFonts w:hint="default"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Style w:val="908"/>
                <w:rFonts w:hint="eastAsia" w:ascii="宋体" w:hAnsi="宋体" w:eastAsia="宋体" w:cs="宋体"/>
                <w:b/>
                <w:bCs/>
                <w:color w:val="000000"/>
                <w:sz w:val="21"/>
                <w:szCs w:val="21"/>
                <w:highlight w:val="none"/>
                <w:lang w:val="en-US" w:eastAsia="zh-CN" w:bidi="ar"/>
              </w:rPr>
              <w:t xml:space="preserve">注：自有场地投标时需提供场地产权证明材料扫描件，租赁的场地需同时提供租赁合同及场地产权证明材料扫描件，未提供或提供不全不得分。（产权证明材料如无法体现面积的，需提供其他佐证材料，如：标注面积的卫星定位图、航拍图片等）</w:t>
            </w:r>
            <w:r/>
          </w:p>
        </w:tc>
      </w:tr>
      <w:tr>
        <w:trPr>
          <w:jc w:val="center"/>
          <w:trHeight w:val="779"/>
        </w:trPr>
        <w:tc>
          <w:tcPr>
            <w:tcW w:w="335" w:type="pct"/>
            <w:vAlign w:val="center"/>
            <w:textDirection w:val="lrTb"/>
            <w:noWrap w:val="false"/>
          </w:tcPr>
          <w:p>
            <w:pPr>
              <w:jc w:val="center"/>
              <w:spacing w:before="78" w:after="78" w:line="360" w:lineRule="exact"/>
              <w:rPr>
                <w:rFonts w:hint="default"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3</w:t>
            </w:r>
            <w:r/>
          </w:p>
        </w:tc>
        <w:tc>
          <w:tcPr>
            <w:gridSpan w:val="2"/>
            <w:shd w:val="clear" w:color="auto" w:fill="auto"/>
            <w:tcW w:w="1035" w:type="pct"/>
            <w:vAlign w:val="center"/>
            <w:textDirection w:val="lrTb"/>
            <w:noWrap w:val="false"/>
          </w:tcPr>
          <w:p>
            <w:pPr>
              <w:jc w:val="center"/>
              <w:spacing w:before="78" w:after="78" w:line="360" w:lineRule="exact"/>
              <w:rPr>
                <w:rFonts w:hint="eastAsia"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服务承诺</w:t>
            </w:r>
            <w:r/>
          </w:p>
        </w:tc>
        <w:tc>
          <w:tcPr>
            <w:shd w:val="clear" w:color="auto" w:fill="auto"/>
            <w:tcW w:w="363" w:type="pct"/>
            <w:vAlign w:val="center"/>
            <w:textDirection w:val="lrTb"/>
            <w:noWrap w:val="false"/>
          </w:tcPr>
          <w:p>
            <w:pPr>
              <w:ind w:firstLine="0"/>
              <w:jc w:val="center"/>
              <w:widowControl/>
              <w:rPr>
                <w:rStyle w:val="908"/>
                <w:rFonts w:hint="default"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Style w:val="908"/>
                <w:rFonts w:hint="eastAsia" w:ascii="宋体" w:hAnsi="宋体" w:eastAsia="宋体" w:cs="宋体"/>
                <w:b w:val="0"/>
                <w:bCs w:val="0"/>
                <w:color w:val="000000"/>
                <w:sz w:val="21"/>
                <w:szCs w:val="21"/>
                <w:highlight w:val="none"/>
                <w:lang w:val="en-US" w:eastAsia="zh-CN" w:bidi="ar"/>
              </w:rPr>
              <w:t xml:space="preserve">6</w:t>
            </w:r>
            <w:r/>
          </w:p>
        </w:tc>
        <w:tc>
          <w:tcPr>
            <w:shd w:val="clear" w:color="auto" w:fill="auto"/>
            <w:tcW w:w="3266" w:type="pct"/>
            <w:vAlign w:val="center"/>
            <w:textDirection w:val="lrTb"/>
            <w:noWrap w:val="false"/>
          </w:tcPr>
          <w:p>
            <w:pPr>
              <w:numPr>
                <w:ilvl w:val="0"/>
                <w:numId w:val="0"/>
              </w:numPr>
              <w:widowControl/>
              <w:rPr>
                <w:rStyle w:val="908"/>
                <w:rFonts w:hint="eastAsia" w:ascii="宋体" w:hAnsi="宋体" w:eastAsia="宋体" w:cs="宋体"/>
                <w:b w:val="0"/>
                <w:bCs w:val="0"/>
                <w:color w:val="000000"/>
                <w:sz w:val="21"/>
                <w:szCs w:val="21"/>
                <w:highlight w:val="none"/>
                <w:lang w:val="en-US" w:eastAsia="zh-CN" w:bidi="ar"/>
              </w:rPr>
              <w:pBdr>
                <w:top w:val="none" w:color="000000" w:sz="0" w:space="0"/>
                <w:left w:val="none" w:color="000000" w:sz="0" w:space="0"/>
                <w:bottom w:val="none" w:color="000000" w:sz="0" w:space="0"/>
                <w:right w:val="none" w:color="000000" w:sz="0" w:space="0"/>
              </w:pBdr>
            </w:pPr>
            <w:r>
              <w:rPr>
                <w:rStyle w:val="908"/>
                <w:rFonts w:hint="eastAsia" w:ascii="宋体" w:hAnsi="宋体" w:eastAsia="宋体" w:cs="宋体"/>
                <w:b w:val="0"/>
                <w:bCs w:val="0"/>
                <w:color w:val="000000"/>
                <w:sz w:val="21"/>
                <w:szCs w:val="21"/>
                <w:highlight w:val="none"/>
                <w:lang w:val="en-US" w:eastAsia="zh-CN" w:bidi="ar"/>
              </w:rPr>
              <w:t xml:space="preserve">投标人承诺在合同签订后，为本项目免费提供雾炮降尘服务的得6分，未承诺或承诺不全不得分。（承诺函格式自拟）</w:t>
            </w:r>
            <w:r/>
          </w:p>
        </w:tc>
      </w:tr>
      <w:tr>
        <w:trPr>
          <w:jc w:val="center"/>
          <w:trHeight w:val="2155"/>
        </w:trPr>
        <w:tc>
          <w:tcPr>
            <w:tcW w:w="335" w:type="pct"/>
            <w:vAlign w:val="center"/>
            <w:vMerge w:val="restart"/>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4</w:t>
            </w:r>
            <w:r/>
          </w:p>
        </w:tc>
        <w:tc>
          <w:tcPr>
            <w:tcW w:w="428" w:type="pct"/>
            <w:vAlign w:val="center"/>
            <w:vMerge w:val="restart"/>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服务</w:t>
            </w:r>
            <w:r/>
          </w:p>
          <w:p>
            <w:pPr>
              <w:jc w:val="center"/>
              <w:spacing w:before="78" w:after="78" w:line="360" w:lineRule="exact"/>
              <w:rPr>
                <w:rFonts w:hint="eastAsia" w:asciiTheme="minorEastAsia" w:hAnsiTheme="minorEastAsia" w:eastAsiaTheme="minorEastAsia" w:cstheme="minorEastAsia"/>
                <w:color w:val="auto"/>
                <w:szCs w:val="21"/>
                <w:highlight w:val="none"/>
                <w:lang w:val="en-US"/>
              </w:rPr>
            </w:pPr>
            <w:r>
              <w:rPr>
                <w:rFonts w:hint="eastAsia" w:asciiTheme="minorEastAsia" w:hAnsiTheme="minorEastAsia" w:eastAsiaTheme="minorEastAsia" w:cstheme="minorEastAsia"/>
                <w:color w:val="auto"/>
                <w:szCs w:val="21"/>
                <w:highlight w:val="none"/>
                <w:lang w:val="en-US" w:eastAsia="zh-CN"/>
              </w:rPr>
              <w:t xml:space="preserve">方案</w:t>
            </w:r>
            <w:r/>
          </w:p>
        </w:tc>
        <w:tc>
          <w:tcPr>
            <w:tcW w:w="606"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宋体" w:hAnsi="宋体" w:eastAsia="宋体" w:cs="Times New Roman"/>
                <w:szCs w:val="21"/>
                <w:highlight w:val="none"/>
              </w:rPr>
              <w:t xml:space="preserve">秸秆收集</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lang w:val="en-US" w:eastAsia="zh-CN"/>
              </w:rPr>
              <w:t xml:space="preserve">清运</w:t>
            </w:r>
            <w:r>
              <w:rPr>
                <w:rFonts w:hint="eastAsia" w:ascii="宋体" w:hAnsi="宋体" w:eastAsia="宋体" w:cs="Times New Roman"/>
                <w:szCs w:val="21"/>
                <w:highlight w:val="none"/>
              </w:rPr>
              <w:t xml:space="preserve">方案</w:t>
            </w:r>
            <w:r/>
          </w:p>
        </w:tc>
        <w:tc>
          <w:tcPr>
            <w:tcW w:w="363"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11</w:t>
            </w:r>
            <w:r/>
          </w:p>
        </w:tc>
        <w:tc>
          <w:tcPr>
            <w:tcW w:w="3266" w:type="pct"/>
            <w:vAlign w:val="center"/>
            <w:textDirection w:val="lrTb"/>
            <w:noWrap w:val="false"/>
          </w:tcPr>
          <w:p>
            <w:pPr>
              <w:jc w:val="both"/>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评标委员会根据投标人提供的服务方案中</w:t>
            </w:r>
            <w:r>
              <w:rPr>
                <w:rFonts w:hint="eastAsia" w:asciiTheme="minorEastAsia" w:hAnsiTheme="minorEastAsia" w:cstheme="minorEastAsia"/>
                <w:b/>
                <w:bCs/>
                <w:color w:val="auto"/>
                <w:szCs w:val="21"/>
                <w:highlight w:val="none"/>
                <w:lang w:val="en-US" w:eastAsia="zh-CN"/>
              </w:rPr>
              <w:t xml:space="preserve">秸秆收集、清运方案</w:t>
            </w:r>
            <w:r>
              <w:rPr>
                <w:rFonts w:hint="eastAsia" w:asciiTheme="minorEastAsia" w:hAnsiTheme="minorEastAsia" w:eastAsiaTheme="minorEastAsia" w:cstheme="minorEastAsia"/>
                <w:color w:val="auto"/>
                <w:szCs w:val="21"/>
                <w:highlight w:val="none"/>
                <w:lang w:val="en-US" w:eastAsia="zh-CN"/>
              </w:rPr>
              <w:t xml:space="preserve">进行独立打分，①描述的条理清楚，重点突出、逻辑清楚；采用的技术方法科学合理，可操作性强，有利于提高成果的准确性和工作效率的得</w:t>
            </w:r>
            <w:r>
              <w:rPr>
                <w:rFonts w:hint="eastAsia" w:asciiTheme="minorEastAsia" w:hAnsiTheme="minorEastAsia" w:cstheme="minorEastAsia"/>
                <w:color w:val="auto"/>
                <w:szCs w:val="21"/>
                <w:highlight w:val="none"/>
                <w:lang w:val="en-US" w:eastAsia="zh-CN"/>
              </w:rPr>
              <w:t xml:space="preserve">11</w:t>
            </w:r>
            <w:r>
              <w:rPr>
                <w:rFonts w:hint="eastAsia" w:asciiTheme="minorEastAsia" w:hAnsiTheme="minorEastAsia" w:eastAsiaTheme="minorEastAsia" w:cstheme="minorEastAsia"/>
                <w:color w:val="auto"/>
                <w:szCs w:val="21"/>
                <w:highlight w:val="none"/>
                <w:lang w:val="en-US" w:eastAsia="zh-CN"/>
              </w:rPr>
              <w:t xml:space="preserve">分，②描述的条理较清楚，重点较突出、逻辑较清楚；采用的技术方法较科学合理，较可操作性强，较有利于提高成果的准确性和工作效率的得</w:t>
            </w:r>
            <w:r>
              <w:rPr>
                <w:rFonts w:hint="eastAsia" w:asciiTheme="minorEastAsia" w:hAnsi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lang w:val="en-US" w:eastAsia="zh-CN"/>
              </w:rPr>
              <w:t xml:space="preserve">分，③描述的条理不够清楚，重点不够突出、逻辑不够清楚；采用的技术方法不够科学合理，不够可操作性强，不够有利于提高成果的准确性和工作效率的得</w:t>
            </w:r>
            <w:r>
              <w:rPr>
                <w:rFonts w:hint="eastAsia" w:asciiTheme="minorEastAsia" w:hAnsiTheme="minorEastAsia" w:cstheme="minorEastAsia"/>
                <w:color w:val="auto"/>
                <w:szCs w:val="21"/>
                <w:highlight w:val="none"/>
                <w:lang w:val="en-US" w:eastAsia="zh-CN"/>
              </w:rPr>
              <w:t xml:space="preserve">7</w:t>
            </w:r>
            <w:r>
              <w:rPr>
                <w:rFonts w:hint="eastAsia" w:asciiTheme="minorEastAsia" w:hAnsiTheme="minorEastAsia" w:eastAsiaTheme="minorEastAsia" w:cstheme="minorEastAsia"/>
                <w:color w:val="auto"/>
                <w:szCs w:val="21"/>
                <w:highlight w:val="none"/>
                <w:lang w:val="en-US" w:eastAsia="zh-CN"/>
              </w:rPr>
              <w:t xml:space="preserve">分，未提供的不得分。</w:t>
            </w:r>
            <w:r/>
          </w:p>
        </w:tc>
      </w:tr>
      <w:tr>
        <w:trPr>
          <w:jc w:val="center"/>
          <w:trHeight w:val="2327"/>
        </w:trPr>
        <w:tc>
          <w:tcPr>
            <w:tcW w:w="335" w:type="pct"/>
            <w:vAlign w:val="center"/>
            <w:vMerge w:val="continue"/>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tc>
        <w:tc>
          <w:tcPr>
            <w:tcW w:w="428" w:type="pct"/>
            <w:vAlign w:val="center"/>
            <w:vMerge w:val="continue"/>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tc>
        <w:tc>
          <w:tcPr>
            <w:shd w:val="clear" w:color="auto" w:fill="auto"/>
            <w:tcW w:w="606" w:type="pct"/>
            <w:vAlign w:val="center"/>
            <w:textDirection w:val="lrTb"/>
            <w:noWrap w:val="false"/>
          </w:tcPr>
          <w:p>
            <w:pPr>
              <w:jc w:val="center"/>
              <w:spacing w:before="78" w:after="78" w:line="360" w:lineRule="exact"/>
              <w:rPr>
                <w:rFonts w:hint="eastAsia" w:asciiTheme="minorEastAsia" w:hAnsiTheme="minorEastAsia" w:cstheme="minorEastAsia"/>
                <w:color w:val="auto"/>
                <w:szCs w:val="21"/>
                <w:highlight w:val="none"/>
                <w:lang w:val="en-US" w:eastAsia="zh-CN"/>
              </w:rPr>
            </w:pPr>
            <w:r>
              <w:rPr>
                <w:rFonts w:hint="eastAsia" w:asciiTheme="minorEastAsia" w:hAnsiTheme="minorEastAsia" w:cstheme="minorEastAsia"/>
                <w:color w:val="auto"/>
                <w:szCs w:val="21"/>
                <w:highlight w:val="none"/>
                <w:lang w:val="en-US" w:eastAsia="zh-CN"/>
              </w:rPr>
              <w:t xml:space="preserve">进度保障措施</w:t>
            </w:r>
            <w:r/>
          </w:p>
        </w:tc>
        <w:tc>
          <w:tcPr>
            <w:shd w:val="clear" w:color="auto" w:fill="auto"/>
            <w:tcW w:w="363"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cstheme="minorEastAsia"/>
                <w:color w:val="auto"/>
                <w:szCs w:val="21"/>
                <w:highlight w:val="none"/>
                <w:lang w:val="en-US" w:eastAsia="zh-CN"/>
              </w:rPr>
              <w:t xml:space="preserve">11</w:t>
            </w:r>
            <w:r/>
          </w:p>
        </w:tc>
        <w:tc>
          <w:tcPr>
            <w:shd w:val="clear" w:color="auto" w:fill="auto"/>
            <w:tcW w:w="3266" w:type="pct"/>
            <w:vAlign w:val="center"/>
            <w:textDirection w:val="lrTb"/>
            <w:noWrap w:val="false"/>
          </w:tcPr>
          <w:p>
            <w:pPr>
              <w:jc w:val="both"/>
              <w:spacing w:before="78" w:after="78" w:line="360" w:lineRule="exact"/>
              <w:rPr>
                <w:rFonts w:hint="eastAsia"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评标委员会根据投标人提供的服务方案中</w:t>
            </w:r>
            <w:r>
              <w:rPr>
                <w:rFonts w:hint="eastAsia" w:asciiTheme="minorEastAsia" w:hAnsiTheme="minorEastAsia" w:cstheme="minorEastAsia"/>
                <w:b/>
                <w:bCs/>
                <w:color w:val="auto"/>
                <w:szCs w:val="21"/>
                <w:highlight w:val="none"/>
                <w:lang w:val="en-US" w:eastAsia="zh-CN"/>
              </w:rPr>
              <w:t xml:space="preserve">进度保障措施</w:t>
            </w:r>
            <w:r>
              <w:rPr>
                <w:rFonts w:hint="eastAsia" w:asciiTheme="minorEastAsia" w:hAnsiTheme="minorEastAsia" w:eastAsiaTheme="minorEastAsia" w:cstheme="minorEastAsia"/>
                <w:color w:val="auto"/>
                <w:szCs w:val="21"/>
                <w:highlight w:val="none"/>
                <w:lang w:val="en-US" w:eastAsia="zh-CN"/>
              </w:rPr>
              <w:t xml:space="preserve">进行独立打分，①描述的条理清楚，重点突出、逻辑清楚；采用的技术方法科学合理，可操作性强，有利于提高成果的准确性和工作效率的得</w:t>
            </w:r>
            <w:r>
              <w:rPr>
                <w:rFonts w:hint="eastAsia" w:asciiTheme="minorEastAsia" w:hAnsiTheme="minorEastAsia" w:cstheme="minorEastAsia"/>
                <w:color w:val="auto"/>
                <w:szCs w:val="21"/>
                <w:highlight w:val="none"/>
                <w:lang w:val="en-US" w:eastAsia="zh-CN"/>
              </w:rPr>
              <w:t xml:space="preserve">11</w:t>
            </w:r>
            <w:r>
              <w:rPr>
                <w:rFonts w:hint="eastAsia" w:asciiTheme="minorEastAsia" w:hAnsiTheme="minorEastAsia" w:eastAsiaTheme="minorEastAsia" w:cstheme="minorEastAsia"/>
                <w:color w:val="auto"/>
                <w:szCs w:val="21"/>
                <w:highlight w:val="none"/>
                <w:lang w:val="en-US" w:eastAsia="zh-CN"/>
              </w:rPr>
              <w:t xml:space="preserve">分，②描述的条理较清楚，重点较突出、逻辑较清楚；采用的技术方法较科学合理，较可操作性强，较有利于提高成果的准确性和工作效率的得</w:t>
            </w:r>
            <w:r>
              <w:rPr>
                <w:rFonts w:hint="eastAsia" w:asciiTheme="minorEastAsia" w:hAnsi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lang w:val="en-US" w:eastAsia="zh-CN"/>
              </w:rPr>
              <w:t xml:space="preserve">分，③描述的条理不够清楚，重点不够突出、逻辑不够清楚；采用的技术方法不够科学合理，不够可操作性强，不够有利于提高成果的准确性和工作效率的得</w:t>
            </w:r>
            <w:r>
              <w:rPr>
                <w:rFonts w:hint="eastAsia" w:asciiTheme="minorEastAsia" w:hAnsi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lang w:val="en-US" w:eastAsia="zh-CN"/>
              </w:rPr>
              <w:t xml:space="preserve">分，未提供的不得分。</w:t>
            </w:r>
            <w:r/>
          </w:p>
        </w:tc>
      </w:tr>
      <w:tr>
        <w:trPr>
          <w:jc w:val="center"/>
          <w:trHeight w:val="2327"/>
        </w:trPr>
        <w:tc>
          <w:tcPr>
            <w:tcW w:w="335" w:type="pct"/>
            <w:vAlign w:val="center"/>
            <w:vMerge w:val="continue"/>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tc>
        <w:tc>
          <w:tcPr>
            <w:tcW w:w="428" w:type="pct"/>
            <w:vAlign w:val="center"/>
            <w:vMerge w:val="continue"/>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tc>
        <w:tc>
          <w:tcPr>
            <w:shd w:val="clear" w:color="auto" w:fill="auto"/>
            <w:tcW w:w="606"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 w:val="21"/>
                <w:szCs w:val="21"/>
                <w:highlight w:val="none"/>
                <w:lang w:val="en-US" w:eastAsia="zh-CN" w:bidi="ar-SA"/>
              </w:rPr>
              <w:t xml:space="preserve">安全文明施工方案</w:t>
            </w:r>
            <w:r/>
          </w:p>
        </w:tc>
        <w:tc>
          <w:tcPr>
            <w:shd w:val="clear" w:color="auto" w:fill="auto"/>
            <w:tcW w:w="363"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Cs w:val="21"/>
                <w:highlight w:val="none"/>
                <w:lang w:val="en-US" w:eastAsia="zh-CN"/>
              </w:rPr>
            </w:pPr>
            <w:r>
              <w:rPr>
                <w:rFonts w:hint="eastAsia" w:asciiTheme="minorEastAsia" w:hAnsiTheme="minorEastAsia" w:cstheme="minorEastAsia"/>
                <w:color w:val="auto"/>
                <w:sz w:val="21"/>
                <w:szCs w:val="21"/>
                <w:highlight w:val="none"/>
                <w:lang w:val="en-US" w:eastAsia="zh-CN" w:bidi="ar-SA"/>
              </w:rPr>
              <w:t xml:space="preserve">11</w:t>
            </w:r>
            <w:r/>
          </w:p>
        </w:tc>
        <w:tc>
          <w:tcPr>
            <w:shd w:val="clear" w:color="auto" w:fill="auto"/>
            <w:tcW w:w="3266" w:type="pct"/>
            <w:vAlign w:val="center"/>
            <w:textDirection w:val="lrTb"/>
            <w:noWrap w:val="false"/>
          </w:tcPr>
          <w:p>
            <w:pPr>
              <w:jc w:val="both"/>
              <w:spacing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t xml:space="preserve">评标委员会根据投标人提供的服务方案中</w:t>
            </w:r>
            <w:r>
              <w:rPr>
                <w:rFonts w:hint="eastAsia" w:asciiTheme="minorEastAsia" w:hAnsiTheme="minorEastAsia" w:cstheme="minorEastAsia"/>
                <w:b/>
                <w:bCs/>
                <w:color w:val="auto"/>
                <w:sz w:val="21"/>
                <w:szCs w:val="21"/>
                <w:highlight w:val="none"/>
                <w:lang w:val="en-US" w:eastAsia="zh-CN" w:bidi="ar-SA"/>
              </w:rPr>
              <w:t xml:space="preserve">安全文明施工方案</w:t>
            </w:r>
            <w:r>
              <w:rPr>
                <w:rFonts w:hint="eastAsia" w:asciiTheme="minorEastAsia" w:hAnsiTheme="minorEastAsia" w:eastAsiaTheme="minorEastAsia" w:cstheme="minorEastAsia"/>
                <w:color w:val="auto"/>
                <w:szCs w:val="21"/>
                <w:highlight w:val="none"/>
                <w:lang w:val="en-US" w:eastAsia="zh-CN"/>
              </w:rPr>
              <w:t xml:space="preserve">进行独立打分，①描述的条理清楚，重点突出、逻辑清楚；采用的技术方法科学合理，可操作性强，有利于提高成果的准确性和工作效率的得</w:t>
            </w:r>
            <w:r>
              <w:rPr>
                <w:rFonts w:hint="eastAsia" w:asciiTheme="minorEastAsia" w:hAnsiTheme="minorEastAsia" w:cstheme="minorEastAsia"/>
                <w:color w:val="auto"/>
                <w:szCs w:val="21"/>
                <w:highlight w:val="none"/>
                <w:lang w:val="en-US" w:eastAsia="zh-CN"/>
              </w:rPr>
              <w:t xml:space="preserve">11</w:t>
            </w:r>
            <w:r>
              <w:rPr>
                <w:rFonts w:hint="eastAsia" w:asciiTheme="minorEastAsia" w:hAnsiTheme="minorEastAsia" w:eastAsiaTheme="minorEastAsia" w:cstheme="minorEastAsia"/>
                <w:color w:val="auto"/>
                <w:szCs w:val="21"/>
                <w:highlight w:val="none"/>
                <w:lang w:val="en-US" w:eastAsia="zh-CN"/>
              </w:rPr>
              <w:t xml:space="preserve">分，②描述的条理较清楚，重点较突出、逻辑较清楚；采用的技术方法较科学合理，较可操作性强，较有利于提高成果的准确性和工作效率的得</w:t>
            </w:r>
            <w:r>
              <w:rPr>
                <w:rFonts w:hint="eastAsia" w:asciiTheme="minorEastAsia" w:hAnsi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lang w:val="en-US" w:eastAsia="zh-CN"/>
              </w:rPr>
              <w:t xml:space="preserve">分，③描述的条理不够清楚，重点不够突出、逻辑不够清楚；采用的技术方法不够科学合理，不够可操作性强，不够有利于提高成果的准确性和工作效率的得</w:t>
            </w:r>
            <w:r>
              <w:rPr>
                <w:rFonts w:hint="eastAsia" w:asciiTheme="minorEastAsia" w:hAnsi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lang w:val="en-US" w:eastAsia="zh-CN"/>
              </w:rPr>
              <w:t xml:space="preserve">分，未提供的不得分。</w:t>
            </w:r>
            <w:r/>
          </w:p>
        </w:tc>
      </w:tr>
      <w:tr>
        <w:trPr>
          <w:jc w:val="center"/>
          <w:trHeight w:val="2327"/>
        </w:trPr>
        <w:tc>
          <w:tcPr>
            <w:tcW w:w="335" w:type="pct"/>
            <w:vAlign w:val="center"/>
            <w:vMerge w:val="continue"/>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tc>
        <w:tc>
          <w:tcPr>
            <w:tcW w:w="428" w:type="pct"/>
            <w:vAlign w:val="center"/>
            <w:vMerge w:val="continue"/>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tc>
        <w:tc>
          <w:tcPr>
            <w:shd w:val="clear" w:color="auto" w:fill="auto"/>
            <w:tcW w:w="606"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bidi="ar-SA"/>
              </w:rPr>
            </w:pPr>
            <w:r>
              <w:rPr>
                <w:rFonts w:hint="eastAsia" w:ascii="宋体" w:hAnsi="宋体" w:cs="宋体"/>
                <w:b w:val="0"/>
                <w:bCs/>
                <w:color w:val="000000"/>
                <w:szCs w:val="21"/>
                <w:highlight w:val="none"/>
                <w:lang w:val="en-US" w:eastAsia="zh-CN" w:bidi="ar"/>
              </w:rPr>
              <w:t xml:space="preserve">劳动力、</w:t>
            </w:r>
            <w:r>
              <w:rPr>
                <w:rFonts w:hint="eastAsia" w:ascii="宋体" w:hAnsi="宋体" w:cs="宋体"/>
                <w:b w:val="0"/>
                <w:bCs/>
                <w:color w:val="000000"/>
                <w:szCs w:val="21"/>
                <w:highlight w:val="none"/>
                <w:lang w:bidi="ar"/>
              </w:rPr>
              <w:t xml:space="preserve">机械</w:t>
            </w:r>
            <w:r>
              <w:rPr>
                <w:rFonts w:hint="eastAsia" w:ascii="宋体" w:hAnsi="宋体" w:cs="宋体"/>
                <w:b w:val="0"/>
                <w:bCs/>
                <w:color w:val="000000"/>
                <w:szCs w:val="21"/>
                <w:highlight w:val="none"/>
                <w:lang w:val="en-US" w:eastAsia="zh-CN" w:bidi="ar"/>
              </w:rPr>
              <w:t xml:space="preserve">投入方案</w:t>
            </w:r>
            <w:r/>
          </w:p>
        </w:tc>
        <w:tc>
          <w:tcPr>
            <w:shd w:val="clear" w:color="auto" w:fill="auto"/>
            <w:tcW w:w="363"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bidi="ar-SA"/>
              </w:rPr>
            </w:pPr>
            <w:r>
              <w:rPr>
                <w:rFonts w:hint="eastAsia" w:asciiTheme="minorEastAsia" w:hAnsiTheme="minorEastAsia" w:cstheme="minorEastAsia"/>
                <w:color w:val="auto"/>
                <w:sz w:val="21"/>
                <w:szCs w:val="21"/>
                <w:highlight w:val="none"/>
                <w:lang w:val="en-US" w:eastAsia="zh-CN" w:bidi="ar-SA"/>
              </w:rPr>
              <w:t xml:space="preserve">11</w:t>
            </w:r>
            <w:r/>
          </w:p>
        </w:tc>
        <w:tc>
          <w:tcPr>
            <w:shd w:val="clear" w:color="auto" w:fill="auto"/>
            <w:tcW w:w="3266" w:type="pct"/>
            <w:vAlign w:val="center"/>
            <w:textDirection w:val="lrTb"/>
            <w:noWrap w:val="false"/>
          </w:tcPr>
          <w:p>
            <w:pPr>
              <w:jc w:val="both"/>
              <w:spacing w:line="360" w:lineRule="exact"/>
              <w:rPr>
                <w:rFonts w:hint="eastAsia" w:asciiTheme="minorEastAsia" w:hAnsiTheme="minorEastAsia" w:eastAsiaTheme="minorEastAsia" w:cstheme="minorEastAsia"/>
                <w:color w:val="auto"/>
                <w:sz w:val="24"/>
                <w:szCs w:val="30"/>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评标委员会根据投标人提供的服务方案中</w:t>
            </w:r>
            <w:r>
              <w:rPr>
                <w:rFonts w:hint="eastAsia" w:ascii="宋体" w:hAnsi="宋体" w:eastAsia="宋体" w:cs="宋体"/>
                <w:b/>
                <w:bCs w:val="0"/>
                <w:i w:val="0"/>
                <w:iCs w:val="0"/>
                <w:color w:val="000000"/>
                <w:sz w:val="21"/>
                <w:szCs w:val="21"/>
                <w:highlight w:val="none"/>
                <w:u w:val="none"/>
                <w:lang w:val="en-US" w:eastAsia="zh-CN" w:bidi="ar"/>
              </w:rPr>
              <w:t xml:space="preserve">劳动力、机械投入方案</w:t>
            </w:r>
            <w:r>
              <w:rPr>
                <w:rFonts w:hint="eastAsia" w:asciiTheme="minorEastAsia" w:hAnsiTheme="minorEastAsia" w:eastAsiaTheme="minorEastAsia" w:cstheme="minorEastAsia"/>
                <w:color w:val="auto"/>
                <w:szCs w:val="21"/>
                <w:highlight w:val="none"/>
                <w:lang w:val="en-US" w:eastAsia="zh-CN"/>
              </w:rPr>
              <w:t xml:space="preserve">进行独立打分，①描述的条理清楚，重点突出、逻辑清楚；采用的技术方法科学合理，可操作性强，有利于提高成果的准确性和工作效率的得</w:t>
            </w:r>
            <w:r>
              <w:rPr>
                <w:rFonts w:hint="eastAsia" w:asciiTheme="minorEastAsia" w:hAnsiTheme="minorEastAsia" w:cstheme="minorEastAsia"/>
                <w:color w:val="auto"/>
                <w:szCs w:val="21"/>
                <w:highlight w:val="none"/>
                <w:lang w:val="en-US" w:eastAsia="zh-CN"/>
              </w:rPr>
              <w:t xml:space="preserve">11</w:t>
            </w:r>
            <w:r>
              <w:rPr>
                <w:rFonts w:hint="eastAsia" w:asciiTheme="minorEastAsia" w:hAnsiTheme="minorEastAsia" w:eastAsiaTheme="minorEastAsia" w:cstheme="minorEastAsia"/>
                <w:color w:val="auto"/>
                <w:szCs w:val="21"/>
                <w:highlight w:val="none"/>
                <w:lang w:val="en-US" w:eastAsia="zh-CN"/>
              </w:rPr>
              <w:t xml:space="preserve">分，②描述的条理较清楚，重点较突出、逻辑较清楚；采用的技术方法较科学合理，较可操作性强，较有利于提高成果的准确性和工作效率的得</w:t>
            </w:r>
            <w:r>
              <w:rPr>
                <w:rFonts w:hint="eastAsia" w:asciiTheme="minorEastAsia" w:hAnsi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lang w:val="en-US" w:eastAsia="zh-CN"/>
              </w:rPr>
              <w:t xml:space="preserve">分，③描述的条理不够清楚，重点不够突出、逻辑不够清楚；采用的技术方法不够科学合理，不够可操作性强，不够有利于提高成果的准确性和工作效率的得</w:t>
            </w:r>
            <w:r>
              <w:rPr>
                <w:rFonts w:hint="eastAsia" w:asciiTheme="minorEastAsia" w:hAnsi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lang w:val="en-US" w:eastAsia="zh-CN"/>
              </w:rPr>
              <w:t xml:space="preserve">分，未提供的不得分。</w:t>
            </w:r>
            <w:r/>
          </w:p>
        </w:tc>
      </w:tr>
      <w:tr>
        <w:trPr>
          <w:jc w:val="center"/>
          <w:trHeight w:val="2638"/>
        </w:trPr>
        <w:tc>
          <w:tcPr>
            <w:tcW w:w="335" w:type="pct"/>
            <w:vAlign w:val="center"/>
            <w:vMerge w:val="continue"/>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tc>
        <w:tc>
          <w:tcPr>
            <w:tcW w:w="428" w:type="pct"/>
            <w:vAlign w:val="center"/>
            <w:vMerge w:val="continue"/>
            <w:textDirection w:val="lrTb"/>
            <w:noWrap w:val="false"/>
          </w:tcPr>
          <w:p>
            <w:pPr>
              <w:jc w:val="center"/>
              <w:spacing w:before="78" w:after="78" w:line="360" w:lineRule="exact"/>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Cs w:val="21"/>
                <w:highlight w:val="none"/>
                <w:lang w:val="en-US" w:eastAsia="zh-CN"/>
              </w:rPr>
            </w:r>
            <w:r/>
          </w:p>
        </w:tc>
        <w:tc>
          <w:tcPr>
            <w:shd w:val="clear" w:color="auto" w:fill="auto"/>
            <w:tcW w:w="606"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bidi="ar-SA"/>
              </w:rPr>
            </w:pPr>
            <w:r>
              <w:rPr>
                <w:rFonts w:hint="eastAsia" w:ascii="宋体" w:hAnsi="宋体" w:cs="宋体"/>
                <w:b w:val="0"/>
                <w:bCs/>
                <w:color w:val="000000"/>
                <w:szCs w:val="21"/>
                <w:highlight w:val="none"/>
                <w:lang w:bidi="ar"/>
              </w:rPr>
              <w:t xml:space="preserve">应急措施及预案</w:t>
            </w:r>
            <w:r/>
          </w:p>
        </w:tc>
        <w:tc>
          <w:tcPr>
            <w:shd w:val="clear" w:color="auto" w:fill="auto"/>
            <w:tcW w:w="363" w:type="pct"/>
            <w:vAlign w:val="center"/>
            <w:textDirection w:val="lrTb"/>
            <w:noWrap w:val="false"/>
          </w:tcPr>
          <w:p>
            <w:pPr>
              <w:jc w:val="center"/>
              <w:spacing w:before="78" w:after="78" w:line="360" w:lineRule="exact"/>
              <w:rPr>
                <w:rFonts w:hint="default" w:asciiTheme="minorEastAsia" w:hAnsiTheme="minorEastAsia" w:eastAsiaTheme="minorEastAsia" w:cstheme="minorEastAsia"/>
                <w:color w:val="auto"/>
                <w:sz w:val="21"/>
                <w:szCs w:val="21"/>
                <w:highlight w:val="none"/>
                <w:lang w:val="en-US" w:eastAsia="zh-CN" w:bidi="ar-SA"/>
              </w:rPr>
            </w:pPr>
            <w:r>
              <w:rPr>
                <w:rFonts w:hint="eastAsia" w:ascii="宋体" w:hAnsi="宋体" w:cs="宋体"/>
                <w:b w:val="0"/>
                <w:bCs/>
                <w:color w:val="000000"/>
                <w:szCs w:val="21"/>
                <w:highlight w:val="none"/>
                <w:lang w:val="en-US" w:eastAsia="zh-CN" w:bidi="ar"/>
              </w:rPr>
              <w:t xml:space="preserve">11</w:t>
            </w:r>
            <w:r/>
          </w:p>
        </w:tc>
        <w:tc>
          <w:tcPr>
            <w:shd w:val="clear" w:color="auto" w:fill="auto"/>
            <w:tcW w:w="3266" w:type="pct"/>
            <w:vAlign w:val="center"/>
            <w:textDirection w:val="lrTb"/>
            <w:noWrap w:val="false"/>
          </w:tcPr>
          <w:p>
            <w:pPr>
              <w:jc w:val="both"/>
              <w:spacing w:line="360" w:lineRule="exact"/>
              <w:rPr>
                <w:rFonts w:hint="eastAsia" w:asciiTheme="minorEastAsia" w:hAnsiTheme="minorEastAsia" w:eastAsiaTheme="minorEastAsia" w:cstheme="minorEastAsia"/>
                <w:b/>
                <w:bCs/>
                <w:color w:val="auto"/>
                <w:sz w:val="21"/>
                <w:szCs w:val="21"/>
                <w:highlight w:val="none"/>
                <w:lang w:val="en-US" w:eastAsia="zh-CN" w:bidi="ar-SA"/>
              </w:rPr>
            </w:pPr>
            <w:r>
              <w:rPr>
                <w:rFonts w:hint="eastAsia" w:asciiTheme="minorEastAsia" w:hAnsiTheme="minorEastAsia" w:eastAsiaTheme="minorEastAsia" w:cstheme="minorEastAsia"/>
                <w:color w:val="auto"/>
                <w:szCs w:val="21"/>
                <w:highlight w:val="none"/>
                <w:lang w:val="en-US" w:eastAsia="zh-CN"/>
              </w:rPr>
              <w:t xml:space="preserve">评标委员会根据投标人提供的服务方案中</w:t>
            </w:r>
            <w:r>
              <w:rPr>
                <w:rFonts w:hint="eastAsia" w:asciiTheme="minorEastAsia" w:hAnsiTheme="minorEastAsia" w:cstheme="minorEastAsia"/>
                <w:b/>
                <w:bCs/>
                <w:color w:val="auto"/>
                <w:szCs w:val="21"/>
                <w:highlight w:val="none"/>
                <w:lang w:val="en-US" w:eastAsia="zh-CN"/>
              </w:rPr>
              <w:t xml:space="preserve">应急措施及预案</w:t>
            </w:r>
            <w:r>
              <w:rPr>
                <w:rFonts w:hint="eastAsia" w:asciiTheme="minorEastAsia" w:hAnsiTheme="minorEastAsia" w:eastAsiaTheme="minorEastAsia" w:cstheme="minorEastAsia"/>
                <w:color w:val="auto"/>
                <w:szCs w:val="21"/>
                <w:highlight w:val="none"/>
                <w:lang w:val="en-US" w:eastAsia="zh-CN"/>
              </w:rPr>
              <w:t xml:space="preserve">进行独立打分，①描述的条理清楚，重点突出、逻辑清楚；采用的技术方法科学合理，可操作性强，有利于提高成果的准确性和工作效率的得</w:t>
            </w:r>
            <w:r>
              <w:rPr>
                <w:rFonts w:hint="eastAsia" w:asciiTheme="minorEastAsia" w:hAnsiTheme="minorEastAsia" w:cstheme="minorEastAsia"/>
                <w:color w:val="auto"/>
                <w:szCs w:val="21"/>
                <w:highlight w:val="none"/>
                <w:lang w:val="en-US" w:eastAsia="zh-CN"/>
              </w:rPr>
              <w:t xml:space="preserve">11</w:t>
            </w:r>
            <w:r>
              <w:rPr>
                <w:rFonts w:hint="eastAsia" w:asciiTheme="minorEastAsia" w:hAnsiTheme="minorEastAsia" w:eastAsiaTheme="minorEastAsia" w:cstheme="minorEastAsia"/>
                <w:color w:val="auto"/>
                <w:szCs w:val="21"/>
                <w:highlight w:val="none"/>
                <w:lang w:val="en-US" w:eastAsia="zh-CN"/>
              </w:rPr>
              <w:t xml:space="preserve">分，②描述的条理较清楚，重点较突出、逻辑较清楚；采用的技术方法较科学合理，较可操作性强，较有利于提高成果的准确性和工作效率的得</w:t>
            </w:r>
            <w:r>
              <w:rPr>
                <w:rFonts w:hint="eastAsia" w:asciiTheme="minorEastAsia" w:hAnsiTheme="minorEastAsia" w:cstheme="minorEastAsia"/>
                <w:color w:val="auto"/>
                <w:szCs w:val="21"/>
                <w:highlight w:val="none"/>
                <w:lang w:val="en-US" w:eastAsia="zh-CN"/>
              </w:rPr>
              <w:t xml:space="preserve">10</w:t>
            </w:r>
            <w:r>
              <w:rPr>
                <w:rFonts w:hint="eastAsia" w:asciiTheme="minorEastAsia" w:hAnsiTheme="minorEastAsia" w:eastAsiaTheme="minorEastAsia" w:cstheme="minorEastAsia"/>
                <w:color w:val="auto"/>
                <w:szCs w:val="21"/>
                <w:highlight w:val="none"/>
                <w:lang w:val="en-US" w:eastAsia="zh-CN"/>
              </w:rPr>
              <w:t xml:space="preserve">分，③描述的条理不够清楚，重点不够突出、逻辑不够清楚；采用的技术方法不够科学合理，不够可操作性强，不够有利于提高成果的准确性和工作效率的得</w:t>
            </w:r>
            <w:r>
              <w:rPr>
                <w:rFonts w:hint="eastAsia" w:asciiTheme="minorEastAsia" w:hAnsiTheme="minorEastAsia" w:cstheme="minorEastAsia"/>
                <w:color w:val="auto"/>
                <w:szCs w:val="21"/>
                <w:highlight w:val="none"/>
                <w:lang w:val="en-US" w:eastAsia="zh-CN"/>
              </w:rPr>
              <w:t xml:space="preserve">9</w:t>
            </w:r>
            <w:r>
              <w:rPr>
                <w:rFonts w:hint="eastAsia" w:asciiTheme="minorEastAsia" w:hAnsiTheme="minorEastAsia" w:eastAsiaTheme="minorEastAsia" w:cstheme="minorEastAsia"/>
                <w:color w:val="auto"/>
                <w:szCs w:val="21"/>
                <w:highlight w:val="none"/>
                <w:lang w:val="en-US" w:eastAsia="zh-CN"/>
              </w:rPr>
              <w:t xml:space="preserve">分，未提供的不得分。</w:t>
            </w:r>
            <w:r/>
          </w:p>
        </w:tc>
      </w:tr>
    </w:tbl>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pStyle w:val="885"/>
        <w:jc w:val="both"/>
        <w:spacing w:beforeAutospacing="0" w:afterAutospacing="0"/>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highlight w:val="none"/>
        </w:rPr>
        <w:t xml:space="preserve"> </w:t>
      </w:r>
      <w:r/>
    </w:p>
    <w:p>
      <w:pPr>
        <w:rPr>
          <w:rFonts w:hint="eastAsia" w:asciiTheme="minorEastAsia" w:hAnsiTheme="minorEastAsia" w:eastAsiaTheme="minorEastAsia" w:cstheme="minorEastAsia"/>
          <w:color w:val="auto"/>
          <w:sz w:val="44"/>
          <w:szCs w:val="44"/>
          <w:highlight w:val="none"/>
        </w:rPr>
      </w:pPr>
      <w:r/>
      <w:bookmarkStart w:id="184" w:name="_Toc27244"/>
      <w:r>
        <w:rPr>
          <w:rFonts w:hint="eastAsia" w:asciiTheme="minorEastAsia" w:hAnsiTheme="minorEastAsia" w:eastAsiaTheme="minorEastAsia" w:cstheme="minorEastAsia"/>
          <w:color w:val="auto"/>
          <w:sz w:val="44"/>
          <w:szCs w:val="44"/>
          <w:highlight w:val="none"/>
        </w:rPr>
        <w:br w:type="page" w:clear="all"/>
      </w:r>
      <w:bookmarkEnd w:id="26"/>
      <w:r/>
      <w:bookmarkEnd w:id="45"/>
      <w:r/>
      <w:bookmarkEnd w:id="90"/>
      <w:r/>
      <w:bookmarkEnd w:id="91"/>
      <w:r/>
      <w:bookmarkEnd w:id="92"/>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12"/>
      <w:r/>
      <w:bookmarkEnd w:id="113"/>
      <w:r/>
      <w:bookmarkEnd w:id="114"/>
      <w:r/>
      <w:bookmarkEnd w:id="119"/>
      <w:r/>
      <w:bookmarkEnd w:id="120"/>
      <w:r/>
      <w:bookmarkEnd w:id="127"/>
      <w:r/>
      <w:bookmarkEnd w:id="175"/>
      <w:r/>
      <w:bookmarkEnd w:id="182"/>
      <w:r/>
      <w:bookmarkEnd w:id="184"/>
      <w:r/>
      <w:r/>
    </w:p>
    <w:p>
      <w:pPr>
        <w:pStyle w:val="909"/>
        <w:jc w:val="center"/>
        <w:keepNext/>
        <w:spacing w:beforeAutospacing="0" w:afterAutospacing="0"/>
        <w:rPr>
          <w:color w:val="000000"/>
          <w:highlight w:val="none"/>
        </w:rPr>
      </w:pPr>
      <w:r>
        <w:rPr>
          <w:rFonts w:hint="eastAsia" w:ascii="黑体" w:hAnsi="宋体" w:eastAsia="黑体" w:cs="黑体"/>
          <w:color w:val="000000"/>
          <w:sz w:val="44"/>
          <w:szCs w:val="44"/>
          <w:highlight w:val="none"/>
        </w:rPr>
        <w:t xml:space="preserve">第六章  投标文件格式 </w:t>
      </w:r>
      <w:r/>
    </w:p>
    <w:p>
      <w:pPr>
        <w:pStyle w:val="909"/>
        <w:jc w:val="center"/>
        <w:spacing w:beforeAutospacing="0" w:afterAutospacing="0"/>
        <w:rPr>
          <w:rFonts w:ascii="宋体" w:hAnsi="宋体" w:eastAsia="宋体" w:cs="宋体"/>
          <w:b/>
          <w:color w:val="000000"/>
          <w:sz w:val="72"/>
          <w:szCs w:val="72"/>
          <w:highlight w:val="none"/>
        </w:rPr>
      </w:pPr>
      <w:r/>
      <w:bookmarkStart w:id="185" w:name="_Hlt26671244"/>
      <w:r/>
      <w:bookmarkEnd w:id="185"/>
      <w:r/>
      <w:bookmarkStart w:id="186" w:name="_Toc26554094"/>
      <w:r/>
      <w:bookmarkEnd w:id="186"/>
      <w:r/>
      <w:bookmarkStart w:id="187" w:name="_Hlt26955039"/>
      <w:r/>
      <w:bookmarkEnd w:id="187"/>
      <w:r/>
      <w:r/>
    </w:p>
    <w:p>
      <w:pPr>
        <w:pStyle w:val="909"/>
        <w:jc w:val="center"/>
        <w:spacing w:beforeAutospacing="0" w:afterAutospacing="0"/>
        <w:rPr>
          <w:rFonts w:ascii="宋体" w:hAnsi="宋体" w:eastAsia="宋体" w:cs="宋体"/>
          <w:b/>
          <w:color w:val="000000"/>
          <w:sz w:val="72"/>
          <w:szCs w:val="72"/>
          <w:highlight w:val="none"/>
        </w:rPr>
      </w:pPr>
      <w:r>
        <w:rPr>
          <w:rFonts w:ascii="宋体" w:hAnsi="宋体" w:eastAsia="宋体" w:cs="宋体"/>
          <w:b/>
          <w:color w:val="000000"/>
          <w:sz w:val="72"/>
          <w:szCs w:val="72"/>
          <w:highlight w:val="none"/>
        </w:rPr>
      </w:r>
      <w:r/>
    </w:p>
    <w:p>
      <w:pPr>
        <w:pStyle w:val="909"/>
        <w:jc w:val="center"/>
        <w:spacing w:beforeAutospacing="0" w:afterAutospacing="0"/>
        <w:rPr>
          <w:color w:val="000000"/>
          <w:highlight w:val="none"/>
        </w:rPr>
      </w:pPr>
      <w:r>
        <w:rPr>
          <w:rFonts w:hint="eastAsia" w:ascii="宋体" w:hAnsi="宋体" w:eastAsia="宋体" w:cs="宋体"/>
          <w:b/>
          <w:color w:val="000000"/>
          <w:sz w:val="72"/>
          <w:szCs w:val="72"/>
          <w:highlight w:val="none"/>
        </w:rPr>
        <w:t xml:space="preserve">投  标  文  件</w:t>
      </w:r>
      <w:r/>
    </w:p>
    <w:p>
      <w:pPr>
        <w:pStyle w:val="909"/>
        <w:jc w:val="center"/>
        <w:spacing w:beforeAutospacing="0" w:afterAutospacing="0"/>
        <w:rPr>
          <w:color w:val="000000"/>
          <w:highlight w:val="none"/>
        </w:rPr>
      </w:pPr>
      <w:r>
        <w:rPr>
          <w:color w:val="000000"/>
          <w:highlight w:val="none"/>
        </w:rPr>
        <w:t xml:space="preserve"> </w:t>
      </w:r>
      <w:r/>
    </w:p>
    <w:p>
      <w:pPr>
        <w:pStyle w:val="909"/>
        <w:jc w:val="center"/>
        <w:spacing w:beforeAutospacing="0" w:afterAutospacing="0"/>
        <w:rPr>
          <w:color w:val="000000"/>
          <w:highlight w:val="none"/>
        </w:rPr>
      </w:pPr>
      <w:r>
        <w:rPr>
          <w:color w:val="000000"/>
          <w:highlight w:val="none"/>
        </w:rPr>
        <w:t xml:space="preserve"> </w:t>
      </w:r>
      <w:r/>
    </w:p>
    <w:p>
      <w:pPr>
        <w:pStyle w:val="909"/>
        <w:jc w:val="center"/>
        <w:spacing w:beforeAutospacing="0" w:afterAutospacing="0"/>
        <w:rPr>
          <w:color w:val="000000"/>
          <w:highlight w:val="none"/>
        </w:rPr>
      </w:pPr>
      <w:r>
        <w:rPr>
          <w:color w:val="000000"/>
          <w:highlight w:val="none"/>
        </w:rPr>
        <w:t xml:space="preserve"> </w:t>
      </w:r>
      <w:r/>
    </w:p>
    <w:p>
      <w:pPr>
        <w:pStyle w:val="909"/>
        <w:jc w:val="center"/>
        <w:spacing w:beforeAutospacing="0" w:afterAutospacing="0"/>
        <w:rPr>
          <w:color w:val="000000"/>
          <w:highlight w:val="none"/>
        </w:rPr>
      </w:pPr>
      <w:r>
        <w:rPr>
          <w:color w:val="000000"/>
          <w:highlight w:val="none"/>
        </w:rPr>
        <w:t xml:space="preserve"> </w:t>
      </w:r>
      <w:r/>
    </w:p>
    <w:p>
      <w:pPr>
        <w:pStyle w:val="909"/>
        <w:jc w:val="center"/>
        <w:spacing w:beforeAutospacing="0" w:afterAutospacing="0"/>
        <w:rPr>
          <w:color w:val="000000"/>
          <w:highlight w:val="none"/>
        </w:rPr>
      </w:pPr>
      <w:r>
        <w:rPr>
          <w:color w:val="000000"/>
          <w:highlight w:val="none"/>
        </w:rPr>
        <w:t xml:space="preserve"> </w:t>
      </w:r>
      <w:r/>
    </w:p>
    <w:p>
      <w:pPr>
        <w:pStyle w:val="909"/>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项目名 称：</w:t>
      </w:r>
      <w:r>
        <w:rPr>
          <w:rFonts w:hint="eastAsia" w:ascii="宋体" w:hAnsi="宋体" w:eastAsia="宋体" w:cs="宋体"/>
          <w:b/>
          <w:color w:val="000000"/>
          <w:sz w:val="36"/>
          <w:szCs w:val="36"/>
          <w:highlight w:val="none"/>
          <w:u w:val="single"/>
        </w:rPr>
        <w:t xml:space="preserve">               </w:t>
      </w:r>
      <w:r/>
    </w:p>
    <w:p>
      <w:pPr>
        <w:pStyle w:val="909"/>
        <w:ind w:firstLine="1084"/>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项目编号：</w:t>
      </w:r>
      <w:r>
        <w:rPr>
          <w:rFonts w:hint="eastAsia" w:ascii="宋体" w:hAnsi="宋体" w:eastAsia="宋体" w:cs="宋体"/>
          <w:b/>
          <w:color w:val="000000"/>
          <w:sz w:val="36"/>
          <w:szCs w:val="36"/>
          <w:highlight w:val="none"/>
          <w:u w:val="single"/>
        </w:rPr>
        <w:t xml:space="preserve">           </w:t>
      </w:r>
      <w:r/>
    </w:p>
    <w:p>
      <w:pPr>
        <w:pStyle w:val="909"/>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投标人名称 ：</w:t>
      </w:r>
      <w:r>
        <w:rPr>
          <w:rFonts w:hint="eastAsia" w:ascii="宋体" w:hAnsi="宋体" w:eastAsia="宋体" w:cs="宋体"/>
          <w:b/>
          <w:color w:val="000000"/>
          <w:sz w:val="36"/>
          <w:szCs w:val="36"/>
          <w:highlight w:val="none"/>
          <w:u w:val="single"/>
        </w:rPr>
        <w:t xml:space="preserve">（加盖CA电子公章）        </w:t>
      </w:r>
      <w:r/>
    </w:p>
    <w:p>
      <w:pPr>
        <w:pStyle w:val="909"/>
        <w:jc w:val="both"/>
        <w:spacing w:beforeAutospacing="0" w:afterAutospacing="0"/>
        <w:rPr>
          <w:color w:val="000000"/>
          <w:highlight w:val="none"/>
        </w:rPr>
      </w:pPr>
      <w:r>
        <w:rPr>
          <w:rFonts w:hint="eastAsia" w:ascii="宋体" w:hAnsi="宋体" w:eastAsia="宋体" w:cs="宋体"/>
          <w:b/>
          <w:color w:val="000000"/>
          <w:sz w:val="36"/>
          <w:szCs w:val="36"/>
          <w:highlight w:val="none"/>
        </w:rPr>
        <w:t xml:space="preserve">   日   期 ：</w:t>
      </w:r>
      <w:r>
        <w:rPr>
          <w:rFonts w:hint="eastAsia" w:ascii="宋体" w:hAnsi="宋体" w:eastAsia="宋体" w:cs="宋体"/>
          <w:b/>
          <w:color w:val="000000"/>
          <w:sz w:val="36"/>
          <w:szCs w:val="36"/>
          <w:highlight w:val="none"/>
          <w:u w:val="single"/>
        </w:rPr>
        <w:t xml:space="preserve">                     </w:t>
      </w:r>
      <w:r/>
    </w:p>
    <w:p>
      <w:pPr>
        <w:pStyle w:val="909"/>
        <w:jc w:val="center"/>
        <w:spacing w:beforeAutospacing="0" w:afterAutospacing="0" w:line="0" w:lineRule="atLeast"/>
        <w:rPr>
          <w:color w:val="000000"/>
          <w:highlight w:val="none"/>
        </w:rPr>
      </w:pPr>
      <w:r>
        <w:rPr>
          <w:color w:val="000000"/>
          <w:highlight w:val="none"/>
        </w:rPr>
        <w:t xml:space="preserve"> </w:t>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shd w:val="nil"/>
        <w:rPr>
          <w:rFonts w:ascii="宋体" w:hAnsi="宋体" w:cs="宋体"/>
          <w:color w:val="000000"/>
          <w:sz w:val="24"/>
          <w:szCs w:val="24"/>
          <w:highlight w:val="none"/>
        </w:rPr>
      </w:pPr>
      <w:r>
        <w:rPr>
          <w:rFonts w:hint="eastAsia" w:ascii="宋体" w:hAnsi="宋体" w:cs="宋体"/>
          <w:b/>
          <w:color w:val="000000"/>
          <w:sz w:val="32"/>
          <w:szCs w:val="32"/>
          <w:highlight w:val="none"/>
        </w:rPr>
        <w:br w:type="page" w:clear="all"/>
      </w:r>
      <w:r>
        <w:rPr>
          <w:rFonts w:hint="eastAsia" w:ascii="宋体" w:hAnsi="宋体" w:cs="宋体"/>
          <w:b/>
          <w:color w:val="000000"/>
          <w:sz w:val="32"/>
          <w:szCs w:val="32"/>
          <w:highlight w:val="none"/>
        </w:rPr>
      </w:r>
    </w:p>
    <w:p>
      <w:pPr>
        <w:jc w:val="center"/>
        <w:rPr>
          <w:rFonts w:hint="eastAsia" w:ascii="宋体" w:hAnsi="宋体" w:cs="宋体"/>
          <w:b/>
          <w:bCs/>
          <w:color w:val="000000"/>
          <w:sz w:val="32"/>
          <w:szCs w:val="32"/>
          <w:highlight w:val="none"/>
        </w:rPr>
      </w:pPr>
      <w:r>
        <w:rPr>
          <w:rFonts w:hint="eastAsia" w:ascii="宋体" w:hAnsi="宋体" w:cs="宋体"/>
          <w:b/>
          <w:color w:val="000000"/>
          <w:sz w:val="32"/>
          <w:szCs w:val="32"/>
          <w:highlight w:val="none"/>
        </w:rPr>
        <w:t xml:space="preserve">投标主要文件目录</w:t>
      </w:r>
      <w:r/>
    </w:p>
    <w:p>
      <w:pPr>
        <w:pStyle w:val="909"/>
        <w:ind w:left="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rPr>
        <w:t xml:space="preserve">一、法人或者其他组织的营业执照等证明文件，自然人的身份证明</w:t>
      </w:r>
      <w:r/>
    </w:p>
    <w:p>
      <w:pPr>
        <w:pStyle w:val="909"/>
        <w:ind w:left="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rPr>
        <w:t xml:space="preserve">二、上一年度的财务状况报表（至少提供资产负债表、利润表、现金流量表，投标人成立不满一年无需提供）</w:t>
      </w:r>
      <w:r/>
    </w:p>
    <w:p>
      <w:pPr>
        <w:pStyle w:val="909"/>
        <w:ind w:left="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rPr>
        <w:t xml:space="preserve">三、具备履行合同所必需的设备和专业技术能力的书面声明</w:t>
      </w:r>
      <w:r/>
    </w:p>
    <w:p>
      <w:pPr>
        <w:pStyle w:val="909"/>
        <w:ind w:left="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909"/>
        <w:ind w:left="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rPr>
        <w:t xml:space="preserve">五、参加政府采购活动前 3 年内在经营活动中没有重大违法记录的书面声明</w:t>
      </w:r>
      <w:r/>
    </w:p>
    <w:p>
      <w:pPr>
        <w:pStyle w:val="909"/>
        <w:ind w:left="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rPr>
        <w:t xml:space="preserve">六、特定资格要求的证明文件（如果本项目设置特定资格要求，则需要提供）</w:t>
      </w:r>
      <w:r/>
    </w:p>
    <w:p>
      <w:pPr>
        <w:pStyle w:val="909"/>
        <w:ind w:left="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rPr>
        <w:t xml:space="preserve">七、法人授权书</w:t>
      </w:r>
      <w:r/>
    </w:p>
    <w:p>
      <w:pPr>
        <w:pStyle w:val="909"/>
        <w:ind w:left="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rPr>
        <w:t xml:space="preserve">八、投标函</w:t>
      </w:r>
      <w:r/>
    </w:p>
    <w:p>
      <w:pPr>
        <w:pStyle w:val="909"/>
        <w:ind w:firstLine="480"/>
        <w:jc w:val="both"/>
        <w:keepLines w:val="0"/>
        <w:keepNext w:val="0"/>
        <w:pageBreakBefore w:val="0"/>
        <w:spacing w:beforeAutospacing="0" w:afterAutospacing="0" w:line="480" w:lineRule="exact"/>
        <w:rPr>
          <w:rFonts w:ascii="宋体" w:hAnsi="宋体" w:eastAsia="宋体" w:cs="宋体"/>
          <w:i w:val="0"/>
          <w:iCs/>
          <w:color w:val="000000"/>
          <w:highlight w:val="none"/>
        </w:rPr>
      </w:pPr>
      <w:r>
        <w:rPr>
          <w:rFonts w:hint="eastAsia" w:ascii="宋体" w:hAnsi="宋体" w:eastAsia="宋体" w:cs="宋体"/>
          <w:i w:val="0"/>
          <w:iCs/>
          <w:color w:val="000000"/>
          <w:highlight w:val="none"/>
        </w:rPr>
        <w:t xml:space="preserve">九、中小企业声明函</w:t>
      </w:r>
      <w:r/>
    </w:p>
    <w:p>
      <w:pPr>
        <w:pStyle w:val="909"/>
        <w:ind w:firstLine="480"/>
        <w:jc w:val="both"/>
        <w:keepLines w:val="0"/>
        <w:keepNext w:val="0"/>
        <w:pageBreakBefore w:val="0"/>
        <w:spacing w:beforeAutospacing="0" w:afterAutospacing="0" w:line="480" w:lineRule="exact"/>
        <w:rPr>
          <w:rFonts w:ascii="宋体" w:hAnsi="宋体" w:eastAsia="宋体" w:cs="宋体"/>
          <w:i w:val="0"/>
          <w:iCs/>
          <w:color w:val="000000"/>
          <w:highlight w:val="none"/>
        </w:rPr>
      </w:pPr>
      <w:r>
        <w:rPr>
          <w:rFonts w:hint="eastAsia" w:ascii="宋体" w:hAnsi="宋体" w:eastAsia="宋体" w:cs="宋体"/>
          <w:i w:val="0"/>
          <w:iCs/>
          <w:color w:val="000000"/>
          <w:highlight w:val="none"/>
        </w:rPr>
        <w:t xml:space="preserve">十、残疾人福利性单位声明函（如有）</w:t>
      </w:r>
      <w:r/>
    </w:p>
    <w:p>
      <w:pPr>
        <w:pStyle w:val="909"/>
        <w:ind w:firstLine="480"/>
        <w:jc w:val="both"/>
        <w:keepLines w:val="0"/>
        <w:keepNext w:val="0"/>
        <w:pageBreakBefore w:val="0"/>
        <w:spacing w:beforeAutospacing="0" w:afterAutospacing="0" w:line="480" w:lineRule="exact"/>
        <w:rPr>
          <w:rFonts w:ascii="宋体" w:hAnsi="宋体" w:eastAsia="宋体" w:cs="宋体"/>
          <w:i w:val="0"/>
          <w:iCs/>
          <w:color w:val="000000"/>
          <w:highlight w:val="none"/>
        </w:rPr>
      </w:pPr>
      <w:r>
        <w:rPr>
          <w:rFonts w:hint="eastAsia" w:ascii="宋体" w:hAnsi="宋体" w:eastAsia="宋体" w:cs="宋体"/>
          <w:i w:val="0"/>
          <w:iCs/>
          <w:color w:val="000000"/>
          <w:highlight w:val="none"/>
        </w:rPr>
        <w:t xml:space="preserve">十一、技术要求响应及偏离表</w:t>
      </w:r>
      <w:r/>
    </w:p>
    <w:p>
      <w:pPr>
        <w:pStyle w:val="909"/>
        <w:ind w:firstLine="480"/>
        <w:jc w:val="both"/>
        <w:keepLines w:val="0"/>
        <w:keepNext w:val="0"/>
        <w:pageBreakBefore w:val="0"/>
        <w:spacing w:beforeAutospacing="0" w:afterAutospacing="0" w:line="480" w:lineRule="exact"/>
        <w:rPr>
          <w:rFonts w:hint="eastAsia" w:ascii="宋体" w:hAnsi="宋体" w:eastAsia="宋体" w:cs="宋体"/>
          <w:i w:val="0"/>
          <w:iCs/>
          <w:color w:val="000000"/>
          <w:highlight w:val="none"/>
        </w:rPr>
      </w:pPr>
      <w:r>
        <w:rPr>
          <w:rFonts w:hint="eastAsia" w:ascii="宋体" w:hAnsi="宋体" w:eastAsia="宋体" w:cs="宋体"/>
          <w:i w:val="0"/>
          <w:iCs/>
          <w:color w:val="000000"/>
          <w:highlight w:val="none"/>
        </w:rPr>
        <w:t xml:space="preserve">十二、商务要求响应及偏离表</w:t>
      </w:r>
      <w:r/>
    </w:p>
    <w:p>
      <w:pPr>
        <w:pStyle w:val="909"/>
        <w:ind w:firstLine="480"/>
        <w:jc w:val="both"/>
        <w:keepLines w:val="0"/>
        <w:keepNext w:val="0"/>
        <w:pageBreakBefore w:val="0"/>
        <w:spacing w:beforeAutospacing="0" w:afterAutospacing="0" w:line="480" w:lineRule="exact"/>
        <w:rPr>
          <w:rFonts w:ascii="宋体" w:hAnsi="宋体" w:eastAsia="宋体" w:cs="宋体"/>
          <w:i w:val="0"/>
          <w:iCs/>
          <w:color w:val="000000"/>
          <w:highlight w:val="none"/>
        </w:rPr>
      </w:pPr>
      <w:r>
        <w:rPr>
          <w:rFonts w:hint="eastAsia" w:ascii="宋体" w:hAnsi="宋体" w:eastAsia="宋体" w:cs="宋体"/>
          <w:i/>
          <w:iCs w:val="0"/>
          <w:color w:val="000000"/>
          <w:highlight w:val="none"/>
        </w:rPr>
        <w:t xml:space="preserve">十三、开标一览表</w:t>
      </w:r>
      <w:r/>
    </w:p>
    <w:p>
      <w:pPr>
        <w:pStyle w:val="909"/>
        <w:ind w:firstLine="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rPr>
        <w:t xml:space="preserve">十四、投标分项报价表</w:t>
      </w:r>
      <w:r/>
    </w:p>
    <w:p>
      <w:pPr>
        <w:ind w:firstLine="480"/>
        <w:keepLines w:val="0"/>
        <w:keepNext w:val="0"/>
        <w:pageBreakBefore w:val="0"/>
        <w:spacing w:before="50" w:after="50" w:line="480" w:lineRule="exact"/>
        <w:widowControl/>
        <w:rPr>
          <w:rFonts w:ascii="宋体" w:hAnsi="宋体" w:eastAsia="宋体" w:cs="宋体"/>
          <w:i/>
          <w:iCs w:val="0"/>
          <w:color w:val="000000"/>
          <w:sz w:val="24"/>
          <w:highlight w:val="none"/>
        </w:rPr>
      </w:pPr>
      <w:r>
        <w:rPr>
          <w:rFonts w:hint="eastAsia" w:ascii="宋体" w:hAnsi="宋体" w:eastAsia="宋体" w:cs="宋体"/>
          <w:i/>
          <w:iCs w:val="0"/>
          <w:color w:val="000000"/>
          <w:highlight w:val="none"/>
        </w:rPr>
        <w:t xml:space="preserve">十五、</w:t>
      </w:r>
      <w:r>
        <w:rPr>
          <w:rFonts w:hint="eastAsia" w:ascii="宋体" w:hAnsi="宋体" w:eastAsia="宋体" w:cs="宋体"/>
          <w:i/>
          <w:iCs w:val="0"/>
          <w:color w:val="000000"/>
          <w:sz w:val="24"/>
          <w:highlight w:val="none"/>
        </w:rPr>
        <w:t xml:space="preserve">技术方案、服务承诺、</w:t>
      </w:r>
      <w:r>
        <w:rPr>
          <w:rFonts w:hint="eastAsia" w:ascii="宋体" w:hAnsi="宋体" w:eastAsia="宋体" w:cs="宋体"/>
          <w:i/>
          <w:iCs w:val="0"/>
          <w:color w:val="000000"/>
          <w:sz w:val="24"/>
          <w:highlight w:val="none"/>
          <w:lang w:val="en-US" w:eastAsia="zh-CN"/>
        </w:rPr>
        <w:t xml:space="preserve">质量</w:t>
      </w:r>
      <w:r>
        <w:rPr>
          <w:rFonts w:hint="eastAsia" w:ascii="宋体" w:hAnsi="宋体" w:eastAsia="宋体" w:cs="宋体"/>
          <w:i/>
          <w:iCs w:val="0"/>
          <w:color w:val="000000"/>
          <w:sz w:val="24"/>
          <w:highlight w:val="none"/>
        </w:rPr>
        <w:t xml:space="preserve">承诺等</w:t>
      </w:r>
      <w:r/>
    </w:p>
    <w:p>
      <w:pPr>
        <w:pStyle w:val="909"/>
        <w:ind w:firstLine="480"/>
        <w:jc w:val="both"/>
        <w:keepLines w:val="0"/>
        <w:keepNext w:val="0"/>
        <w:pageBreakBefore w:val="0"/>
        <w:spacing w:beforeAutospacing="0" w:afterAutospacing="0" w:line="480" w:lineRule="exact"/>
        <w:rPr>
          <w:rFonts w:hint="eastAsia" w:ascii="宋体" w:hAnsi="宋体" w:eastAsia="宋体" w:cs="宋体"/>
          <w:i/>
          <w:iCs w:val="0"/>
          <w:color w:val="000000"/>
          <w:highlight w:val="none"/>
          <w:lang w:val="en-US" w:eastAsia="zh-CN"/>
        </w:rPr>
      </w:pPr>
      <w:r>
        <w:rPr>
          <w:rFonts w:hint="eastAsia" w:ascii="宋体" w:hAnsi="宋体" w:eastAsia="宋体" w:cs="宋体"/>
          <w:i/>
          <w:iCs w:val="0"/>
          <w:color w:val="000000"/>
          <w:highlight w:val="none"/>
        </w:rPr>
        <w:t xml:space="preserve">十</w:t>
      </w:r>
      <w:r>
        <w:rPr>
          <w:rFonts w:hint="eastAsia" w:ascii="宋体" w:hAnsi="宋体" w:eastAsia="宋体" w:cs="宋体"/>
          <w:i/>
          <w:iCs w:val="0"/>
          <w:color w:val="000000"/>
          <w:highlight w:val="none"/>
          <w:lang w:val="en-US" w:eastAsia="zh-CN"/>
        </w:rPr>
        <w:t xml:space="preserve">六</w:t>
      </w:r>
      <w:r>
        <w:rPr>
          <w:rFonts w:hint="eastAsia" w:ascii="宋体" w:hAnsi="宋体" w:eastAsia="宋体" w:cs="宋体"/>
          <w:i/>
          <w:iCs w:val="0"/>
          <w:color w:val="000000"/>
          <w:highlight w:val="none"/>
        </w:rPr>
        <w:t xml:space="preserve">、</w:t>
      </w:r>
      <w:r>
        <w:rPr>
          <w:rFonts w:hint="eastAsia" w:ascii="宋体" w:hAnsi="宋体" w:eastAsia="宋体" w:cs="宋体"/>
          <w:i/>
          <w:iCs w:val="0"/>
          <w:color w:val="000000"/>
          <w:highlight w:val="none"/>
          <w:lang w:val="en-US" w:eastAsia="zh-CN"/>
        </w:rPr>
        <w:t xml:space="preserve">业绩一览表</w:t>
      </w:r>
      <w:r/>
    </w:p>
    <w:p>
      <w:pPr>
        <w:pStyle w:val="909"/>
        <w:ind w:firstLine="480"/>
        <w:jc w:val="both"/>
        <w:keepLines w:val="0"/>
        <w:keepNext w:val="0"/>
        <w:pageBreakBefore w:val="0"/>
        <w:spacing w:beforeAutospacing="0" w:afterAutospacing="0" w:line="480" w:lineRule="exact"/>
        <w:rPr>
          <w:rFonts w:ascii="宋体" w:hAnsi="宋体" w:eastAsia="宋体" w:cs="宋体"/>
          <w:i/>
          <w:iCs w:val="0"/>
          <w:color w:val="000000"/>
          <w:highlight w:val="none"/>
        </w:rPr>
      </w:pPr>
      <w:r>
        <w:rPr>
          <w:rFonts w:hint="eastAsia" w:ascii="宋体" w:hAnsi="宋体" w:eastAsia="宋体" w:cs="宋体"/>
          <w:i/>
          <w:iCs w:val="0"/>
          <w:color w:val="000000"/>
          <w:highlight w:val="none"/>
          <w:lang w:val="en-US" w:eastAsia="zh-CN"/>
        </w:rPr>
        <w:t xml:space="preserve">十七、</w:t>
      </w:r>
      <w:r>
        <w:rPr>
          <w:rFonts w:hint="eastAsia" w:ascii="宋体" w:hAnsi="宋体" w:eastAsia="宋体" w:cs="宋体"/>
          <w:i/>
          <w:iCs w:val="0"/>
          <w:color w:val="000000"/>
          <w:highlight w:val="none"/>
        </w:rPr>
        <w:t xml:space="preserve">盐城市政府采购事前信用承诺书</w:t>
      </w:r>
      <w:r/>
    </w:p>
    <w:p>
      <w:pPr>
        <w:pStyle w:val="909"/>
        <w:jc w:val="both"/>
        <w:spacing w:beforeAutospacing="0" w:afterAutospacing="0"/>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pStyle w:val="909"/>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i/>
          <w:iCs w:val="0"/>
          <w:color w:val="000000"/>
          <w:sz w:val="32"/>
          <w:szCs w:val="32"/>
          <w:highlight w:val="none"/>
          <w:u w:val="single"/>
        </w:rPr>
      </w:r>
      <w:r>
        <w:rPr>
          <w:rFonts w:hint="eastAsia" w:ascii="黑体" w:hAnsi="宋体" w:eastAsia="黑体" w:cs="黑体"/>
          <w:i/>
          <w:iCs w:val="0"/>
          <w:color w:val="000000"/>
          <w:sz w:val="32"/>
          <w:szCs w:val="32"/>
          <w:highlight w:val="none"/>
          <w:u w:val="single"/>
        </w:rPr>
      </w:r>
    </w:p>
    <w:p>
      <w:pPr>
        <w:pStyle w:val="909"/>
        <w:jc w:val="both"/>
        <w:spacing w:beforeAutospacing="0" w:afterAutospacing="0"/>
        <w:rPr>
          <w:rFonts w:hint="eastAsia" w:ascii="黑体" w:hAnsi="宋体" w:eastAsia="黑体" w:cs="黑体"/>
          <w:bCs/>
          <w:i/>
          <w:color w:val="000000"/>
          <w:sz w:val="32"/>
          <w:szCs w:val="32"/>
          <w:highlight w:val="none"/>
          <w:u w:val="single"/>
        </w:rPr>
      </w:pPr>
      <w:r>
        <w:rPr>
          <w:rFonts w:hint="eastAsia" w:ascii="黑体" w:hAnsi="宋体" w:eastAsia="黑体" w:cs="黑体"/>
          <w:bCs/>
          <w:i/>
          <w:iCs w:val="0"/>
          <w:color w:val="000000"/>
          <w:sz w:val="32"/>
          <w:szCs w:val="32"/>
          <w:highlight w:val="none"/>
          <w:u w:val="single"/>
        </w:rPr>
      </w:r>
      <w:r>
        <w:rPr>
          <w:rFonts w:hint="eastAsia" w:ascii="黑体" w:hAnsi="宋体" w:eastAsia="黑体" w:cs="黑体"/>
          <w:bCs/>
          <w:i/>
          <w:iCs w:val="0"/>
          <w:color w:val="000000"/>
          <w:sz w:val="32"/>
          <w:szCs w:val="32"/>
          <w:highlight w:val="none"/>
          <w:u w:val="single"/>
        </w:rPr>
      </w:r>
    </w:p>
    <w:p>
      <w:pPr>
        <w:pStyle w:val="909"/>
        <w:jc w:val="both"/>
        <w:spacing w:beforeAutospacing="0" w:afterAutospacing="0"/>
        <w:rPr>
          <w:rFonts w:hint="eastAsia" w:ascii="黑体" w:hAnsi="宋体" w:eastAsia="黑体" w:cs="黑体"/>
          <w:bCs/>
          <w:i/>
          <w:iCs w:val="0"/>
          <w:color w:val="000000"/>
          <w:sz w:val="32"/>
          <w:szCs w:val="32"/>
          <w:highlight w:val="none"/>
          <w:u w:val="single"/>
        </w:rPr>
      </w:pPr>
      <w:r>
        <w:rPr>
          <w:rFonts w:hint="eastAsia" w:ascii="黑体" w:hAnsi="宋体" w:eastAsia="黑体" w:cs="黑体"/>
          <w:i/>
          <w:iCs w:val="0"/>
          <w:color w:val="000000"/>
          <w:sz w:val="32"/>
          <w:szCs w:val="32"/>
          <w:highlight w:val="none"/>
          <w:u w:val="single"/>
        </w:rPr>
      </w:r>
      <w:r/>
    </w:p>
    <w:p>
      <w:pPr>
        <w:pStyle w:val="909"/>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一、法人或者其他组织的营业执照等证明文件，自然人的身份证明</w:t>
      </w:r>
      <w:r/>
    </w:p>
    <w:p>
      <w:pPr>
        <w:pStyle w:val="909"/>
        <w:ind w:firstLine="480"/>
        <w:jc w:val="both"/>
        <w:spacing w:beforeAutospacing="0" w:afterAutospacing="0" w:line="0" w:lineRule="atLeast"/>
        <w:rPr>
          <w:iCs/>
          <w:color w:val="000000"/>
          <w:highlight w:val="none"/>
        </w:rPr>
      </w:pPr>
      <w:r>
        <w:rPr>
          <w:iCs/>
          <w:color w:val="000000"/>
          <w:highlight w:val="none"/>
        </w:rPr>
        <w:t xml:space="preserve"> </w:t>
      </w:r>
      <w:r/>
    </w:p>
    <w:p>
      <w:pPr>
        <w:pStyle w:val="909"/>
        <w:jc w:val="both"/>
        <w:spacing w:beforeAutospacing="0" w:afterAutospacing="0"/>
        <w:rPr>
          <w:rFonts w:eastAsia="黑体"/>
          <w:i/>
          <w:iCs w:val="0"/>
          <w:color w:val="000000"/>
          <w:highlight w:val="none"/>
        </w:rPr>
      </w:pPr>
      <w:r>
        <w:rPr>
          <w:rFonts w:hint="eastAsia" w:ascii="黑体" w:hAnsi="宋体" w:eastAsia="黑体" w:cs="黑体"/>
          <w:i/>
          <w:iCs w:val="0"/>
          <w:color w:val="000000"/>
          <w:sz w:val="32"/>
          <w:szCs w:val="32"/>
          <w:highlight w:val="none"/>
          <w:u w:val="single"/>
        </w:rPr>
        <w:t xml:space="preserve">二、上一年度的财务状况报表</w:t>
      </w:r>
      <w:r/>
    </w:p>
    <w:p>
      <w:pPr>
        <w:pStyle w:val="909"/>
        <w:jc w:val="both"/>
        <w:spacing w:beforeAutospacing="0" w:afterAutospacing="0"/>
        <w:rPr>
          <w:iCs/>
          <w:color w:val="000000"/>
          <w:highlight w:val="none"/>
        </w:rPr>
      </w:pPr>
      <w:r>
        <w:rPr>
          <w:rFonts w:hint="eastAsia" w:ascii="宋体" w:hAnsi="宋体" w:eastAsia="宋体" w:cs="宋体"/>
          <w:iCs/>
          <w:color w:val="000000"/>
          <w:highlight w:val="none"/>
        </w:rPr>
        <w:t xml:space="preserve">至少提供资产负债表、利润表、现金流量表，投标人成立不满一年无需提供</w:t>
      </w:r>
      <w:r>
        <w:rPr>
          <w:iCs/>
          <w:color w:val="000000"/>
          <w:highlight w:val="none"/>
        </w:rPr>
        <w:t xml:space="preserve"> </w:t>
      </w:r>
      <w:r/>
    </w:p>
    <w:p>
      <w:pPr>
        <w:pStyle w:val="909"/>
        <w:jc w:val="both"/>
        <w:spacing w:beforeAutospacing="0" w:afterAutospacing="0"/>
        <w:rPr>
          <w:iCs/>
          <w:color w:val="000000"/>
          <w:highlight w:val="none"/>
        </w:rPr>
      </w:pPr>
      <w:r>
        <w:rPr>
          <w:iCs/>
          <w:color w:val="000000"/>
          <w:highlight w:val="none"/>
        </w:rPr>
        <w:t xml:space="preserve"> </w:t>
      </w:r>
      <w:r/>
    </w:p>
    <w:p>
      <w:pPr>
        <w:pStyle w:val="909"/>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三、具备履行合同所必需的设备和专业技术能力的书面声明</w:t>
      </w:r>
      <w:r/>
    </w:p>
    <w:p>
      <w:pPr>
        <w:pStyle w:val="909"/>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我单位郑重声明：我单位具备履行本项采购合同所必需的设备和专业技术能力，为履行本项采购合同我公司具备如下主要设备和主要专业技术能力：</w:t>
      </w:r>
      <w:r/>
    </w:p>
    <w:p>
      <w:pPr>
        <w:pStyle w:val="909"/>
        <w:ind w:firstLine="492"/>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主要设备有：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909"/>
        <w:jc w:val="both"/>
        <w:spacing w:beforeAutospacing="0" w:afterAutospacing="0"/>
        <w:rPr>
          <w:rFonts w:ascii="宋体" w:hAnsi="宋体" w:eastAsia="宋体" w:cs="宋体"/>
          <w:iCs/>
          <w:color w:val="000000"/>
          <w:highlight w:val="none"/>
        </w:rPr>
      </w:pPr>
      <w:r>
        <w:rPr>
          <w:rFonts w:hint="eastAsia" w:ascii="宋体" w:hAnsi="宋体" w:eastAsia="宋体" w:cs="宋体"/>
          <w:iCs/>
          <w:color w:val="000000"/>
          <w:highlight w:val="none"/>
        </w:rPr>
        <w:t xml:space="preserve">主要专业技术能力有：</w:t>
      </w:r>
      <w:r>
        <w:rPr>
          <w:rFonts w:hint="eastAsia" w:ascii="宋体" w:hAnsi="宋体" w:eastAsia="宋体" w:cs="宋体"/>
          <w:iCs/>
          <w:color w:val="000000"/>
          <w:highlight w:val="none"/>
          <w:u w:val="single"/>
        </w:rPr>
        <w:t xml:space="preserve">   </w:t>
      </w:r>
      <w:r>
        <w:rPr>
          <w:rFonts w:hint="eastAsia" w:ascii="宋体" w:hAnsi="宋体" w:eastAsia="宋体" w:cs="宋体"/>
          <w:iCs/>
          <w:color w:val="000000"/>
          <w:highlight w:val="none"/>
        </w:rPr>
        <w:t xml:space="preserve">。</w:t>
      </w:r>
      <w:r/>
    </w:p>
    <w:p>
      <w:pPr>
        <w:pStyle w:val="909"/>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四、依法缴纳税收和社会保障资金的相关材料</w:t>
      </w:r>
      <w:r/>
    </w:p>
    <w:p>
      <w:pPr>
        <w:pStyle w:val="909"/>
        <w:ind w:firstLine="480"/>
        <w:jc w:val="both"/>
        <w:spacing w:beforeAutospacing="0" w:afterAutospacing="0"/>
        <w:rPr>
          <w:iCs/>
          <w:color w:val="000000"/>
          <w:highlight w:val="none"/>
        </w:rPr>
      </w:pPr>
      <w:r>
        <w:rPr>
          <w:rFonts w:hint="eastAsia" w:ascii="宋体" w:hAnsi="宋体" w:eastAsia="宋体" w:cs="宋体"/>
          <w:iCs/>
          <w:color w:val="000000"/>
          <w:highlight w:val="none"/>
        </w:rPr>
        <w:t xml:space="preserve">提供提交投标文件截止时间前一年内至少一个月依法缴纳税收及缴纳社会保障资金的证明材料。投标人依法享受缓缴、免缴税收、社会保障资金的提供证明材料。</w:t>
      </w:r>
      <w:r/>
    </w:p>
    <w:p>
      <w:pPr>
        <w:pStyle w:val="909"/>
        <w:jc w:val="both"/>
        <w:spacing w:beforeAutospacing="0" w:afterAutospacing="0"/>
        <w:rPr>
          <w:iCs/>
          <w:color w:val="000000"/>
          <w:highlight w:val="none"/>
        </w:rPr>
      </w:pPr>
      <w:r>
        <w:rPr>
          <w:rFonts w:hint="eastAsia" w:ascii="黑体" w:hAnsi="宋体" w:eastAsia="黑体" w:cs="黑体"/>
          <w:i/>
          <w:iCs w:val="0"/>
          <w:color w:val="000000"/>
          <w:sz w:val="32"/>
          <w:szCs w:val="32"/>
          <w:highlight w:val="none"/>
          <w:u w:val="single"/>
        </w:rPr>
        <w:t xml:space="preserve">五、参加政府采购活动前 3 年内在经营活动中没有重大违法记录的书面声明</w:t>
      </w:r>
      <w:r/>
    </w:p>
    <w:p>
      <w:pPr>
        <w:pStyle w:val="909"/>
        <w:jc w:val="both"/>
        <w:spacing w:beforeAutospacing="0" w:afterAutospacing="0" w:line="0" w:lineRule="atLeast"/>
        <w:rPr>
          <w:iCs/>
          <w:color w:val="000000"/>
          <w:highlight w:val="none"/>
        </w:rPr>
      </w:pPr>
      <w:r>
        <w:rPr>
          <w:rFonts w:hint="eastAsia" w:ascii="宋体" w:hAnsi="宋体" w:eastAsia="宋体" w:cs="宋体"/>
          <w:b/>
          <w:iCs/>
          <w:color w:val="000000"/>
          <w:sz w:val="44"/>
          <w:szCs w:val="44"/>
          <w:highlight w:val="none"/>
        </w:rPr>
        <w:t xml:space="preserve">       声  明</w:t>
      </w:r>
      <w:r/>
    </w:p>
    <w:p>
      <w:pPr>
        <w:pStyle w:val="909"/>
        <w:jc w:val="both"/>
        <w:spacing w:beforeAutospacing="0" w:afterAutospacing="0" w:line="0" w:lineRule="atLeast"/>
        <w:rPr>
          <w:iCs/>
          <w:color w:val="000000"/>
          <w:highlight w:val="none"/>
        </w:rPr>
      </w:pPr>
      <w:r>
        <w:rPr>
          <w:rFonts w:hint="eastAsia" w:ascii="宋体" w:hAnsi="宋体" w:eastAsia="宋体" w:cs="宋体"/>
          <w:b/>
          <w:iCs/>
          <w:color w:val="000000"/>
          <w:highlight w:val="none"/>
        </w:rPr>
        <w:t xml:space="preserve">    </w:t>
      </w:r>
      <w:r>
        <w:rPr>
          <w:rFonts w:hint="eastAsia" w:ascii="宋体" w:hAnsi="宋体" w:eastAsia="宋体" w:cs="宋体"/>
          <w:iCs/>
          <w:color w:val="000000"/>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909"/>
        <w:jc w:val="both"/>
        <w:spacing w:beforeAutospacing="0" w:afterAutospacing="0"/>
        <w:rPr>
          <w:iCs/>
          <w:color w:val="000000"/>
          <w:highlight w:val="none"/>
        </w:rPr>
      </w:pPr>
      <w:r>
        <w:rPr>
          <w:iCs/>
          <w:color w:val="000000"/>
          <w:highlight w:val="none"/>
        </w:rPr>
        <w:t xml:space="preserve"> </w:t>
      </w:r>
      <w:r/>
    </w:p>
    <w:p>
      <w:pPr>
        <w:pStyle w:val="909"/>
        <w:jc w:val="both"/>
        <w:spacing w:beforeAutospacing="0" w:afterAutospacing="0"/>
        <w:rPr>
          <w:i/>
          <w:iCs w:val="0"/>
          <w:color w:val="000000"/>
          <w:highlight w:val="none"/>
        </w:rPr>
      </w:pPr>
      <w:r>
        <w:rPr>
          <w:rFonts w:hint="eastAsia" w:ascii="黑体" w:hAnsi="宋体" w:eastAsia="黑体" w:cs="黑体"/>
          <w:i/>
          <w:iCs w:val="0"/>
          <w:color w:val="000000"/>
          <w:sz w:val="32"/>
          <w:szCs w:val="32"/>
          <w:highlight w:val="none"/>
          <w:u w:val="single"/>
        </w:rPr>
        <w:t xml:space="preserve">六、特定资格要求的证明文件</w:t>
      </w:r>
      <w:r/>
    </w:p>
    <w:p>
      <w:pPr>
        <w:pStyle w:val="909"/>
        <w:jc w:val="both"/>
        <w:spacing w:beforeAutospacing="0" w:afterAutospacing="0" w:line="0" w:lineRule="atLeast"/>
        <w:rPr>
          <w:iCs/>
          <w:color w:val="000000"/>
          <w:highlight w:val="none"/>
        </w:rPr>
      </w:pPr>
      <w:r>
        <w:rPr>
          <w:rFonts w:hint="eastAsia" w:ascii="宋体" w:hAnsi="宋体" w:eastAsia="宋体" w:cs="宋体"/>
          <w:iCs/>
          <w:color w:val="000000"/>
          <w:highlight w:val="none"/>
        </w:rPr>
        <w:t xml:space="preserve">    如果本项目申请人的特定资格要求中要求提供的，必须提供。</w:t>
      </w:r>
      <w:r/>
    </w:p>
    <w:p>
      <w:pPr>
        <w:pStyle w:val="909"/>
        <w:jc w:val="both"/>
        <w:spacing w:beforeAutospacing="0" w:afterAutospacing="0" w:line="0" w:lineRule="atLeast"/>
        <w:rPr>
          <w:iCs/>
          <w:color w:val="000000"/>
          <w:highlight w:val="none"/>
        </w:rPr>
      </w:pPr>
      <w:r>
        <w:rPr>
          <w:iCs/>
          <w:color w:val="000000"/>
          <w:highlight w:val="none"/>
        </w:rPr>
        <w:t xml:space="preserve"> </w:t>
      </w:r>
      <w:r/>
    </w:p>
    <w:p>
      <w:pPr>
        <w:pStyle w:val="909"/>
        <w:jc w:val="center"/>
        <w:spacing w:beforeAutospacing="0" w:afterAutospacing="0"/>
        <w:rPr>
          <w:color w:val="000000"/>
          <w:highlight w:val="none"/>
        </w:rPr>
      </w:pPr>
      <w:r>
        <w:rPr>
          <w:color w:val="000000"/>
          <w:highlight w:val="none"/>
        </w:rPr>
      </w:r>
      <w:r/>
    </w:p>
    <w:p>
      <w:pPr>
        <w:pStyle w:val="909"/>
        <w:jc w:val="center"/>
        <w:spacing w:beforeAutospacing="0" w:afterAutospacing="0"/>
        <w:rPr>
          <w:color w:val="000000"/>
          <w:highlight w:val="none"/>
        </w:rPr>
      </w:pPr>
      <w:r>
        <w:rPr>
          <w:color w:val="000000"/>
          <w:highlight w:val="none"/>
        </w:rPr>
      </w:r>
      <w:r/>
    </w:p>
    <w:p>
      <w:pPr>
        <w:pStyle w:val="909"/>
        <w:jc w:val="center"/>
        <w:spacing w:beforeAutospacing="0" w:afterAutospacing="0"/>
        <w:rPr>
          <w:color w:val="000000"/>
          <w:highlight w:val="none"/>
        </w:rPr>
      </w:pPr>
      <w:r>
        <w:rPr>
          <w:color w:val="000000"/>
          <w:highlight w:val="none"/>
        </w:rPr>
      </w:r>
      <w:r/>
    </w:p>
    <w:p>
      <w:pPr>
        <w:pStyle w:val="909"/>
        <w:jc w:val="center"/>
        <w:spacing w:beforeAutospacing="0" w:afterAutospacing="0"/>
        <w:rPr>
          <w:color w:val="000000"/>
          <w:highlight w:val="none"/>
        </w:rPr>
      </w:pPr>
      <w:r>
        <w:rPr>
          <w:color w:val="000000"/>
          <w:highlight w:val="none"/>
        </w:rPr>
      </w:r>
      <w:r/>
    </w:p>
    <w:p>
      <w:pPr>
        <w:pStyle w:val="909"/>
        <w:jc w:val="center"/>
        <w:spacing w:beforeAutospacing="0" w:afterAutospacing="0"/>
        <w:rPr>
          <w:color w:val="000000"/>
          <w:highlight w:val="none"/>
        </w:rPr>
      </w:pPr>
      <w:r>
        <w:rPr>
          <w:color w:val="000000"/>
          <w:highlight w:val="none"/>
        </w:rPr>
      </w:r>
      <w:r/>
    </w:p>
    <w:p>
      <w:pPr>
        <w:pStyle w:val="909"/>
        <w:jc w:val="both"/>
        <w:spacing w:beforeAutospacing="0" w:afterAutospacing="0"/>
        <w:rPr>
          <w:rFonts w:ascii="黑体" w:hAnsi="宋体" w:eastAsia="黑体" w:cs="黑体"/>
          <w:color w:val="000000"/>
          <w:sz w:val="32"/>
          <w:szCs w:val="32"/>
          <w:highlight w:val="none"/>
          <w:u w:val="single"/>
        </w:rPr>
      </w:pPr>
      <w:r>
        <w:rPr>
          <w:rFonts w:ascii="黑体" w:hAnsi="宋体" w:eastAsia="黑体" w:cs="黑体"/>
          <w:color w:val="000000"/>
          <w:sz w:val="32"/>
          <w:szCs w:val="32"/>
          <w:highlight w:val="none"/>
          <w:u w:val="single"/>
        </w:rPr>
      </w:r>
      <w:r/>
    </w:p>
    <w:p>
      <w:pPr>
        <w:rPr>
          <w:rFonts w:hint="eastAsia"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br w:type="page" w:clear="all"/>
      </w:r>
      <w:r/>
    </w:p>
    <w:p>
      <w:pPr>
        <w:pStyle w:val="909"/>
        <w:jc w:val="center"/>
        <w:spacing w:beforeAutospacing="0" w:afterAutospacing="0"/>
        <w:rPr>
          <w:rFonts w:ascii="黑体" w:hAnsi="宋体" w:eastAsia="黑体" w:cs="黑体"/>
          <w:i/>
          <w:iCs w:val="0"/>
          <w:color w:val="000000"/>
          <w:sz w:val="32"/>
          <w:szCs w:val="32"/>
          <w:highlight w:val="none"/>
          <w:u w:val="single"/>
        </w:rPr>
      </w:pPr>
      <w:r>
        <w:rPr>
          <w:rFonts w:hint="eastAsia" w:ascii="黑体" w:hAnsi="宋体" w:eastAsia="黑体" w:cs="黑体"/>
          <w:i/>
          <w:iCs w:val="0"/>
          <w:color w:val="000000"/>
          <w:sz w:val="32"/>
          <w:szCs w:val="32"/>
          <w:highlight w:val="none"/>
          <w:u w:val="single"/>
        </w:rPr>
        <w:t xml:space="preserve">七、法人授权书</w:t>
      </w:r>
      <w:r/>
    </w:p>
    <w:p>
      <w:pPr>
        <w:pStyle w:val="909"/>
        <w:ind w:firstLine="480"/>
        <w:jc w:val="both"/>
        <w:spacing w:beforeAutospacing="0" w:afterAutospacing="0"/>
        <w:tabs>
          <w:tab w:val="left" w:pos="360" w:leader="none"/>
        </w:tabs>
        <w:rPr>
          <w:iCs/>
          <w:color w:val="000000"/>
          <w:highlight w:val="none"/>
        </w:rPr>
      </w:pPr>
      <w:r>
        <w:rPr>
          <w:rFonts w:ascii="Times New Roman" w:hAnsi="Times New Roman"/>
          <w:iCs/>
          <w:color w:val="000000"/>
          <w:highlight w:val="none"/>
        </w:rPr>
        <w:t xml:space="preserve">本授权书声明：____________（投标人名称）授权________________（被授权人的姓名）为我方就JSZC-</w:t>
      </w:r>
      <w:r>
        <w:rPr>
          <w:rFonts w:ascii="Times New Roman" w:hAnsi="Times New Roman"/>
          <w:iCs/>
          <w:color w:val="000000"/>
          <w:highlight w:val="none"/>
          <w:u w:val="single"/>
        </w:rPr>
        <w:t xml:space="preserve">        </w:t>
      </w:r>
      <w:r>
        <w:rPr>
          <w:rFonts w:ascii="Times New Roman" w:hAnsi="Times New Roman"/>
          <w:iCs/>
          <w:color w:val="000000"/>
          <w:highlight w:val="none"/>
        </w:rPr>
        <w:t xml:space="preserve">号项目采购活动的合法代理人，以本单位名义全权处理一切与该项目采购有关的事务。</w:t>
      </w:r>
      <w:r/>
    </w:p>
    <w:p>
      <w:pPr>
        <w:pStyle w:val="909"/>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本授权书于______年____月____日起生效，特此声明。</w:t>
      </w:r>
      <w:r/>
    </w:p>
    <w:p>
      <w:pPr>
        <w:pStyle w:val="909"/>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被授权人身份证号码：</w:t>
      </w:r>
      <w:r>
        <w:rPr>
          <w:rFonts w:ascii="Times New Roman" w:hAnsi="Times New Roman"/>
          <w:color w:val="000000"/>
          <w:highlight w:val="none"/>
          <w:u w:val="single"/>
        </w:rPr>
        <w:t xml:space="preserve">                              </w:t>
      </w:r>
      <w:r/>
    </w:p>
    <w:p>
      <w:pPr>
        <w:pStyle w:val="909"/>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被授权人联系电话：（手机）</w:t>
      </w:r>
      <w:r>
        <w:rPr>
          <w:rFonts w:ascii="Times New Roman" w:hAnsi="Times New Roman"/>
          <w:color w:val="000000"/>
          <w:highlight w:val="none"/>
          <w:u w:val="single"/>
        </w:rPr>
        <w:t xml:space="preserve">                          </w:t>
      </w:r>
      <w:r/>
    </w:p>
    <w:p>
      <w:pPr>
        <w:pStyle w:val="909"/>
        <w:ind w:firstLine="120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授权单位名称：</w:t>
      </w:r>
      <w:r>
        <w:rPr>
          <w:rFonts w:ascii="Times New Roman" w:hAnsi="Times New Roman"/>
          <w:color w:val="000000"/>
          <w:highlight w:val="none"/>
          <w:u w:val="single"/>
        </w:rPr>
        <w:t xml:space="preserve">（加盖CA电子公章）</w:t>
      </w:r>
      <w:r/>
    </w:p>
    <w:p>
      <w:pPr>
        <w:pStyle w:val="909"/>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单位地址：</w:t>
      </w:r>
      <w:r>
        <w:rPr>
          <w:rFonts w:ascii="Times New Roman" w:hAnsi="Times New Roman"/>
          <w:color w:val="000000"/>
          <w:highlight w:val="none"/>
          <w:u w:val="single"/>
        </w:rPr>
        <w:t xml:space="preserve">                                         </w:t>
      </w:r>
      <w:r/>
    </w:p>
    <w:p>
      <w:pPr>
        <w:pStyle w:val="909"/>
        <w:ind w:firstLine="480"/>
        <w:jc w:val="both"/>
        <w:spacing w:beforeAutospacing="0" w:afterAutospacing="0"/>
        <w:tabs>
          <w:tab w:val="left" w:pos="360" w:leader="none"/>
        </w:tabs>
        <w:rPr>
          <w:color w:val="000000"/>
          <w:highlight w:val="none"/>
        </w:rPr>
      </w:pPr>
      <w:r>
        <w:rPr>
          <w:rFonts w:ascii="Times New Roman" w:hAnsi="Times New Roman"/>
          <w:color w:val="000000"/>
          <w:highlight w:val="none"/>
        </w:rPr>
        <w:t xml:space="preserve">      日期：</w:t>
      </w:r>
      <w:bookmarkStart w:id="188" w:name="_Hlt26955070"/>
      <w:r/>
      <w:bookmarkStart w:id="189" w:name="_Hlt26671380"/>
      <w:r/>
      <w:bookmarkStart w:id="190" w:name="_格式3__银行出具的资信证明"/>
      <w:r>
        <w:rPr>
          <w:rFonts w:ascii="Times New Roman" w:hAnsi="Times New Roman"/>
          <w:color w:val="000000"/>
          <w:highlight w:val="none"/>
          <w:u w:val="single"/>
        </w:rPr>
        <w:t xml:space="preserve">                                         </w:t>
      </w:r>
      <w:r/>
    </w:p>
    <w:p>
      <w:pPr>
        <w:pStyle w:val="909"/>
        <w:ind w:firstLine="420"/>
        <w:jc w:val="both"/>
        <w:spacing w:beforeAutospacing="0" w:afterAutospacing="0"/>
        <w:rPr>
          <w:color w:val="000000"/>
          <w:highlight w:val="none"/>
        </w:rPr>
      </w:pPr>
      <w:r>
        <w:rPr>
          <w:color w:val="000000"/>
          <w:highlight w:val="none"/>
        </w:rPr>
        <w:t xml:space="preserve"> </w:t>
      </w:r>
      <w:r/>
    </w:p>
    <w:p>
      <w:pPr>
        <w:pStyle w:val="909"/>
        <w:jc w:val="both"/>
        <w:spacing w:beforeAutospacing="0" w:afterAutospacing="0"/>
        <w:rPr>
          <w:color w:val="000000"/>
          <w:highlight w:val="none"/>
        </w:rPr>
      </w:pPr>
      <w:r>
        <w:rPr>
          <w:color w:val="000000"/>
          <w:highlight w:val="none"/>
        </w:rPr>
        <w:t xml:space="preserve"> </w:t>
      </w:r>
      <w:r/>
    </w:p>
    <w:p>
      <w:pPr>
        <w:pStyle w:val="909"/>
        <w:jc w:val="both"/>
        <w:spacing w:beforeAutospacing="0" w:afterAutospacing="0" w:line="0" w:lineRule="atLeast"/>
        <w:rPr>
          <w:color w:val="000000"/>
          <w:highlight w:val="none"/>
        </w:rPr>
      </w:pPr>
      <w:r>
        <w:rPr>
          <w:color w:val="000000"/>
          <w:highlight w:val="none"/>
        </w:rPr>
        <w:t xml:space="preserve"> </w:t>
      </w:r>
      <w:r/>
    </w:p>
    <w:p>
      <w:pPr>
        <w:pStyle w:val="909"/>
        <w:ind w:firstLine="3390"/>
        <w:jc w:val="both"/>
        <w:keepLines/>
        <w:keepNext/>
        <w:spacing w:before="260" w:beforeAutospacing="0" w:after="260" w:afterAutospacing="0" w:line="415" w:lineRule="auto"/>
        <w:rPr>
          <w:rFonts w:ascii="黑体" w:hAnsi="宋体" w:eastAsia="黑体" w:cs="黑体"/>
          <w:b/>
          <w:color w:val="000000"/>
          <w:sz w:val="32"/>
          <w:szCs w:val="32"/>
          <w:highlight w:val="none"/>
        </w:rPr>
      </w:pPr>
      <w:r>
        <w:rPr>
          <w:rFonts w:hint="eastAsia" w:ascii="宋体" w:hAnsi="宋体" w:eastAsia="宋体" w:cs="宋体"/>
          <w:b/>
          <w:color w:val="000000"/>
          <w:highlight w:val="none"/>
        </w:rPr>
        <w:br w:type="page" w:clear="all"/>
      </w:r>
      <w:r>
        <w:rPr>
          <w:rFonts w:hint="eastAsia" w:ascii="宋体" w:hAnsi="宋体" w:eastAsia="宋体" w:cs="宋体"/>
          <w:b/>
          <w:i w:val="0"/>
          <w:iCs w:val="0"/>
          <w:color w:val="000000"/>
          <w:highlight w:val="none"/>
        </w:rPr>
        <w:t xml:space="preserve"> </w:t>
      </w:r>
      <w:r>
        <w:rPr>
          <w:rFonts w:hint="eastAsia" w:ascii="黑体" w:hAnsi="宋体" w:eastAsia="黑体" w:cs="黑体"/>
          <w:b/>
          <w:i w:val="0"/>
          <w:iCs w:val="0"/>
          <w:color w:val="000000"/>
          <w:sz w:val="32"/>
          <w:szCs w:val="32"/>
          <w:highlight w:val="none"/>
        </w:rPr>
        <w:t xml:space="preserve">八、投标函</w:t>
      </w:r>
      <w:r/>
    </w:p>
    <w:p>
      <w:pPr>
        <w:pStyle w:val="909"/>
        <w:spacing w:beforeAutospacing="0" w:afterAutospacing="0" w:line="0" w:lineRule="atLeast"/>
        <w:rPr>
          <w:rFonts w:eastAsia="宋体"/>
          <w:color w:val="000000"/>
          <w:highlight w:val="none"/>
        </w:rPr>
      </w:pPr>
      <w:r>
        <w:rPr>
          <w:rFonts w:hint="eastAsia" w:ascii="宋体" w:hAnsi="宋体" w:eastAsia="宋体" w:cs="宋体"/>
          <w:color w:val="000000"/>
          <w:highlight w:val="none"/>
        </w:rPr>
        <w:t xml:space="preserve">致： </w:t>
      </w:r>
      <w:r/>
    </w:p>
    <w:p>
      <w:pPr>
        <w:pStyle w:val="909"/>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根据贵方的</w:t>
      </w:r>
      <w:r>
        <w:rPr>
          <w:rFonts w:hint="eastAsia" w:ascii="宋体" w:hAnsi="宋体" w:eastAsia="宋体" w:cs="宋体"/>
          <w:color w:val="000000"/>
          <w:highlight w:val="none"/>
          <w:u w:val="single"/>
        </w:rPr>
        <w:t xml:space="preserve">JSZC-    </w:t>
      </w:r>
      <w:r>
        <w:rPr>
          <w:rFonts w:hint="eastAsia" w:ascii="宋体" w:hAnsi="宋体" w:eastAsia="宋体" w:cs="宋体"/>
          <w:color w:val="000000"/>
          <w:highlight w:val="none"/>
        </w:rPr>
        <w:t xml:space="preserve">号招标文件，正式授权下述签字人______(姓名)代表我方______________（投标人的名称），全权处理本次项目投标的有关事宜。</w:t>
      </w:r>
      <w:r/>
    </w:p>
    <w:p>
      <w:pPr>
        <w:pStyle w:val="909"/>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据此函，__________签字人兹宣布同意如下：</w:t>
      </w:r>
      <w:r/>
    </w:p>
    <w:p>
      <w:pPr>
        <w:pStyle w:val="909"/>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1.按招标文件规定的各项要求，向买方提供所需服务（包含与服务相关的货物）。</w:t>
      </w:r>
      <w:r/>
    </w:p>
    <w:p>
      <w:pPr>
        <w:pStyle w:val="909"/>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2.我们完全理解贵方不一定将合同授予最低报价的投标人。</w:t>
      </w:r>
      <w:r/>
    </w:p>
    <w:p>
      <w:pPr>
        <w:pStyle w:val="909"/>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3.我们已详细审核全部招标文件及其有效补充文件，我们知道必须放弃提出含糊不清或误解问题的权利。</w:t>
      </w:r>
      <w:r/>
    </w:p>
    <w:p>
      <w:pPr>
        <w:pStyle w:val="909"/>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4.我们同意从规定的开标日期起遵循本投标文件，并在规定的投标有效期期满之前均具有约束力。</w:t>
      </w:r>
      <w:r/>
    </w:p>
    <w:p>
      <w:pPr>
        <w:pStyle w:val="909"/>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5.同意向贵方提供贵方可能另外要求的与投标有关的任何证据或资料，并保证我方已提供和将要提供的文件是真实的、准确的。</w:t>
      </w:r>
      <w:r/>
    </w:p>
    <w:p>
      <w:pPr>
        <w:pStyle w:val="909"/>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6.一旦我方中标,我方将根据招标文件的规定，严格履行合同的责任和义务,并保证在招标文件规定的时间完成项目，交付买方验收、使用。</w:t>
      </w:r>
      <w:r/>
    </w:p>
    <w:p>
      <w:pPr>
        <w:pStyle w:val="909"/>
        <w:ind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7.与本投标有关的正式通讯地址为：</w:t>
      </w:r>
      <w:r/>
    </w:p>
    <w:p>
      <w:pPr>
        <w:pStyle w:val="909"/>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地          址：</w:t>
      </w:r>
      <w:r/>
    </w:p>
    <w:p>
      <w:pPr>
        <w:pStyle w:val="909"/>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邮          编：</w:t>
      </w:r>
      <w:r/>
    </w:p>
    <w:p>
      <w:pPr>
        <w:pStyle w:val="909"/>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电          话：</w:t>
      </w:r>
      <w:r/>
    </w:p>
    <w:p>
      <w:pPr>
        <w:pStyle w:val="909"/>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传          真：</w:t>
      </w:r>
      <w:r/>
    </w:p>
    <w:p>
      <w:pPr>
        <w:pStyle w:val="909"/>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投标人开户行：</w:t>
      </w:r>
      <w:r/>
    </w:p>
    <w:p>
      <w:pPr>
        <w:pStyle w:val="909"/>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账          号： </w:t>
      </w:r>
      <w:r/>
    </w:p>
    <w:p>
      <w:pPr>
        <w:pStyle w:val="909"/>
        <w:ind w:left="420" w:firstLine="480"/>
        <w:spacing w:beforeAutospacing="0" w:afterAutospacing="0" w:line="0" w:lineRule="atLeast"/>
        <w:rPr>
          <w:color w:val="000000"/>
          <w:highlight w:val="none"/>
        </w:rPr>
      </w:pPr>
      <w:r>
        <w:rPr>
          <w:rFonts w:hint="eastAsia" w:ascii="宋体" w:hAnsi="宋体" w:eastAsia="宋体" w:cs="宋体"/>
          <w:color w:val="000000"/>
          <w:highlight w:val="none"/>
        </w:rPr>
        <w:t xml:space="preserve">日           期：________年____月____日</w:t>
      </w:r>
      <w:r/>
    </w:p>
    <w:p>
      <w:pPr>
        <w:pStyle w:val="909"/>
        <w:ind w:firstLine="240"/>
        <w:jc w:val="center"/>
        <w:spacing w:beforeAutospacing="0" w:afterAutospacing="0" w:line="0" w:lineRule="atLeast"/>
        <w:rPr>
          <w:color w:val="000000"/>
          <w:highlight w:val="none"/>
        </w:rPr>
      </w:pPr>
      <w:r>
        <w:rPr>
          <w:color w:val="000000"/>
          <w:highlight w:val="none"/>
        </w:rPr>
        <w:t xml:space="preserve"> </w:t>
      </w:r>
      <w:r/>
    </w:p>
    <w:p>
      <w:pPr>
        <w:pStyle w:val="909"/>
        <w:ind w:firstLine="240"/>
        <w:jc w:val="center"/>
        <w:spacing w:beforeAutospacing="0" w:afterAutospacing="0" w:line="0" w:lineRule="atLeast"/>
        <w:rPr>
          <w:color w:val="000000"/>
          <w:highlight w:val="none"/>
        </w:rPr>
      </w:pPr>
      <w:r>
        <w:rPr>
          <w:color w:val="000000"/>
          <w:highlight w:val="none"/>
        </w:rPr>
        <w:t xml:space="preserve"> </w:t>
      </w:r>
      <w:r/>
    </w:p>
    <w:p>
      <w:pPr>
        <w:pStyle w:val="909"/>
        <w:ind w:firstLine="240"/>
        <w:jc w:val="center"/>
        <w:spacing w:beforeAutospacing="0" w:afterAutospacing="0" w:line="0" w:lineRule="atLeast"/>
        <w:rPr>
          <w:color w:val="000000"/>
          <w:highlight w:val="none"/>
        </w:rPr>
      </w:pPr>
      <w:r>
        <w:rPr>
          <w:color w:val="000000"/>
          <w:highlight w:val="none"/>
        </w:rPr>
        <w:t xml:space="preserve"> </w:t>
      </w:r>
      <w:r/>
    </w:p>
    <w:p>
      <w:pPr>
        <w:pStyle w:val="909"/>
        <w:ind w:firstLine="240"/>
        <w:jc w:val="center"/>
        <w:spacing w:beforeAutospacing="0" w:afterAutospacing="0" w:line="0" w:lineRule="atLeast"/>
        <w:rPr>
          <w:color w:val="000000"/>
          <w:highlight w:val="none"/>
        </w:rPr>
      </w:pPr>
      <w:r>
        <w:rPr>
          <w:color w:val="000000"/>
          <w:highlight w:val="none"/>
        </w:rPr>
        <w:t xml:space="preserve"> </w:t>
      </w:r>
      <w:r/>
    </w:p>
    <w:p>
      <w:pPr>
        <w:pStyle w:val="909"/>
        <w:ind w:firstLine="240"/>
        <w:jc w:val="center"/>
        <w:spacing w:beforeAutospacing="0" w:afterAutospacing="0" w:line="0" w:lineRule="atLeast"/>
        <w:rPr>
          <w:color w:val="000000"/>
          <w:highlight w:val="none"/>
        </w:rPr>
      </w:pPr>
      <w:r>
        <w:rPr>
          <w:color w:val="000000"/>
          <w:highlight w:val="none"/>
        </w:rPr>
        <w:t xml:space="preserve"> </w:t>
      </w:r>
      <w:r/>
    </w:p>
    <w:p>
      <w:pPr>
        <w:pStyle w:val="909"/>
        <w:ind w:firstLine="240"/>
        <w:jc w:val="center"/>
        <w:spacing w:beforeAutospacing="0" w:afterAutospacing="0" w:line="0" w:lineRule="atLeast"/>
        <w:rPr>
          <w:color w:val="000000"/>
          <w:highlight w:val="none"/>
        </w:rPr>
      </w:pPr>
      <w:r>
        <w:rPr>
          <w:color w:val="000000"/>
          <w:highlight w:val="none"/>
        </w:rPr>
      </w:r>
      <w:r/>
    </w:p>
    <w:p>
      <w:pPr>
        <w:pStyle w:val="909"/>
        <w:ind w:firstLine="240"/>
        <w:jc w:val="center"/>
        <w:spacing w:beforeAutospacing="0" w:afterAutospacing="0" w:line="0" w:lineRule="atLeast"/>
        <w:rPr>
          <w:color w:val="000000"/>
          <w:highlight w:val="none"/>
        </w:rPr>
      </w:pPr>
      <w:r>
        <w:rPr>
          <w:color w:val="000000"/>
          <w:highlight w:val="none"/>
        </w:rPr>
      </w:r>
      <w:r/>
    </w:p>
    <w:p>
      <w:pPr>
        <w:pStyle w:val="909"/>
        <w:ind w:firstLine="240"/>
        <w:jc w:val="center"/>
        <w:spacing w:beforeAutospacing="0" w:afterAutospacing="0" w:line="0" w:lineRule="atLeast"/>
        <w:rPr>
          <w:color w:val="000000"/>
          <w:highlight w:val="none"/>
        </w:rPr>
      </w:pPr>
      <w:r>
        <w:rPr>
          <w:color w:val="000000"/>
          <w:highlight w:val="none"/>
        </w:rPr>
      </w:r>
      <w:r/>
    </w:p>
    <w:p>
      <w:pPr>
        <w:pStyle w:val="909"/>
        <w:ind w:firstLine="240"/>
        <w:jc w:val="center"/>
        <w:spacing w:beforeAutospacing="0" w:afterAutospacing="0" w:line="0" w:lineRule="atLeast"/>
        <w:rPr>
          <w:color w:val="000000"/>
          <w:highlight w:val="none"/>
        </w:rPr>
      </w:pPr>
      <w:r>
        <w:rPr>
          <w:color w:val="000000"/>
          <w:highlight w:val="none"/>
        </w:rPr>
      </w:r>
      <w:r/>
    </w:p>
    <w:p>
      <w:pPr>
        <w:pStyle w:val="909"/>
        <w:ind w:firstLine="240"/>
        <w:jc w:val="center"/>
        <w:spacing w:beforeAutospacing="0" w:afterAutospacing="0" w:line="0" w:lineRule="atLeast"/>
        <w:rPr>
          <w:color w:val="000000"/>
          <w:highlight w:val="none"/>
        </w:rPr>
      </w:pPr>
      <w:r>
        <w:rPr>
          <w:color w:val="000000"/>
          <w:highlight w:val="none"/>
        </w:rPr>
      </w:r>
      <w:r/>
    </w:p>
    <w:p>
      <w:pPr>
        <w:pStyle w:val="909"/>
        <w:jc w:val="both"/>
        <w:spacing w:beforeAutospacing="0" w:afterAutospacing="0" w:line="0" w:lineRule="atLeast"/>
        <w:rPr>
          <w:rFonts w:ascii="黑体" w:hAnsi="宋体" w:eastAsia="黑体" w:cs="黑体"/>
          <w:b/>
          <w:color w:val="000000"/>
          <w:sz w:val="32"/>
          <w:szCs w:val="32"/>
          <w:highlight w:val="none"/>
        </w:rPr>
      </w:pPr>
      <w:r>
        <w:rPr>
          <w:rFonts w:ascii="黑体" w:hAnsi="宋体" w:eastAsia="黑体" w:cs="黑体"/>
          <w:b/>
          <w:color w:val="000000"/>
          <w:sz w:val="32"/>
          <w:szCs w:val="32"/>
          <w:highlight w:val="none"/>
        </w:rPr>
      </w:r>
      <w:r/>
    </w:p>
    <w:p>
      <w:pPr>
        <w:numPr>
          <w:ilvl w:val="0"/>
          <w:numId w:val="3"/>
        </w:numPr>
        <w:jc w:val="center"/>
        <w:spacing w:line="85" w:lineRule="atLeast"/>
        <w:rPr>
          <w:rFonts w:ascii="宋体" w:hAnsi="宋体" w:eastAsia="宋体" w:cs="宋体"/>
          <w:b/>
          <w:i w:val="0"/>
          <w:iCs w:val="0"/>
          <w:color w:val="000000"/>
          <w:sz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32"/>
          <w:highlight w:val="none"/>
        </w:rPr>
        <w:t xml:space="preserve">中小企业声明函（服务）</w:t>
      </w:r>
      <w:r/>
    </w:p>
    <w:p>
      <w:pPr>
        <w:pStyle w:val="909"/>
        <w:jc w:val="center"/>
        <w:spacing w:beforeAutospacing="0" w:afterAutospacing="0" w:line="0" w:lineRule="atLeast"/>
        <w:rPr>
          <w:rFonts w:eastAsia="黑体"/>
          <w:color w:val="000000"/>
          <w:highlight w:val="none"/>
        </w:rPr>
      </w:pPr>
      <w:r>
        <w:rPr>
          <w:rFonts w:hint="eastAsia" w:ascii="黑体" w:hAnsi="宋体" w:eastAsia="黑体" w:cs="黑体"/>
          <w:b/>
          <w:color w:val="000000"/>
          <w:sz w:val="32"/>
          <w:szCs w:val="32"/>
          <w:highlight w:val="none"/>
        </w:rPr>
        <w:t xml:space="preserve"> </w:t>
      </w:r>
      <w:r/>
    </w:p>
    <w:p>
      <w:pPr>
        <w:pStyle w:val="885"/>
        <w:ind w:firstLine="36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本公司（联合体）郑重声明，根据《政府采购促进中小企业发展管理办法》(财库[2020]46号)的规定，本公司（联合体）参加江苏省盐南高新区</w:t>
      </w:r>
      <w:r>
        <w:rPr>
          <w:rFonts w:hint="eastAsia" w:asciiTheme="minorEastAsia" w:hAnsiTheme="minorEastAsia" w:cstheme="minorEastAsia"/>
          <w:color w:val="000000"/>
          <w:lang w:eastAsia="zh-CN"/>
        </w:rPr>
        <w:t xml:space="preserve">采购代理机构</w:t>
      </w:r>
      <w:r>
        <w:rPr>
          <w:rFonts w:hint="eastAsia" w:asciiTheme="minorEastAsia" w:hAnsiTheme="minorEastAsia" w:cstheme="minorEastAsia"/>
          <w:color w:val="000000"/>
        </w:rPr>
        <w:t xml:space="preserve">组织的</w:t>
      </w:r>
      <w:r>
        <w:rPr>
          <w:rFonts w:hint="eastAsia" w:asciiTheme="minorEastAsia" w:hAnsiTheme="minorEastAsia" w:cstheme="minorEastAsia"/>
          <w:color w:val="000000"/>
          <w:u w:val="single"/>
        </w:rPr>
        <w:t xml:space="preserve">（单位名称）</w:t>
      </w:r>
      <w:r>
        <w:rPr>
          <w:rFonts w:hint="eastAsia" w:asciiTheme="minorEastAsia" w:hAnsiTheme="minorEastAsia" w:cstheme="minorEastAsia"/>
          <w:color w:val="000000"/>
        </w:rPr>
        <w:t xml:space="preserve">采购编号为</w:t>
      </w:r>
      <w:r>
        <w:rPr>
          <w:rFonts w:hint="eastAsia" w:asciiTheme="minorEastAsia" w:hAnsiTheme="minorEastAsia" w:cstheme="minorEastAsia"/>
          <w:color w:val="000000"/>
          <w:u w:val="single"/>
        </w:rPr>
        <w:t xml:space="preserve">***</w:t>
      </w:r>
      <w:r>
        <w:rPr>
          <w:rFonts w:hint="eastAsia" w:asciiTheme="minorEastAsia" w:hAnsiTheme="minorEastAsia" w:cstheme="minorEastAsia"/>
          <w:color w:val="000000"/>
        </w:rPr>
        <w:t xml:space="preserve">，</w:t>
      </w:r>
      <w:r>
        <w:rPr>
          <w:rFonts w:hint="eastAsia" w:asciiTheme="minorEastAsia" w:hAnsiTheme="minorEastAsia" w:cstheme="minorEastAsia"/>
          <w:color w:val="000000"/>
          <w:u w:val="single"/>
        </w:rPr>
        <w:t xml:space="preserve">（项目名称）</w:t>
      </w:r>
      <w:r>
        <w:rPr>
          <w:rFonts w:hint="eastAsia" w:asciiTheme="minorEastAsia" w:hAnsiTheme="minorEastAsia" w:cstheme="minorEastAsia"/>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85"/>
        <w:ind w:firstLine="36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1.</w:t>
      </w:r>
      <w:r>
        <w:rPr>
          <w:rFonts w:hint="eastAsia" w:asciiTheme="minorEastAsia" w:hAnsiTheme="minorEastAsia" w:cstheme="minorEastAsia"/>
          <w:color w:val="000000"/>
          <w:u w:val="single"/>
        </w:rPr>
        <w:t xml:space="preserve">（标的名称）</w:t>
      </w:r>
      <w:r>
        <w:rPr>
          <w:rFonts w:hint="eastAsia" w:asciiTheme="minorEastAsia" w:hAnsiTheme="minorEastAsia" w:cstheme="minorEastAsia"/>
          <w:i/>
          <w:color w:val="000000"/>
        </w:rPr>
        <w:t xml:space="preserve">，</w:t>
      </w:r>
      <w:r>
        <w:rPr>
          <w:rFonts w:hint="eastAsia" w:asciiTheme="minorEastAsia" w:hAnsiTheme="minorEastAsia" w:cstheme="minorEastAsia"/>
          <w:color w:val="000000"/>
        </w:rPr>
        <w:t xml:space="preserve">属于</w:t>
      </w:r>
      <w:r>
        <w:rPr>
          <w:rFonts w:hint="eastAsia" w:asciiTheme="minorEastAsia" w:hAnsiTheme="minorEastAsia" w:cstheme="minorEastAsia"/>
          <w:color w:val="000000"/>
          <w:u w:val="single"/>
        </w:rPr>
        <w:t xml:space="preserve">       </w:t>
      </w:r>
      <w:r>
        <w:rPr>
          <w:rFonts w:hint="eastAsia" w:asciiTheme="minorEastAsia" w:hAnsiTheme="minorEastAsia" w:cstheme="minorEastAsia"/>
          <w:color w:val="000000"/>
        </w:rPr>
        <w:t xml:space="preserve">行业；承接企业为</w:t>
      </w:r>
      <w:r>
        <w:rPr>
          <w:rFonts w:hint="eastAsia" w:asciiTheme="minorEastAsia" w:hAnsiTheme="minorEastAsia" w:cstheme="minorEastAsia"/>
          <w:color w:val="000000"/>
          <w:u w:val="single"/>
        </w:rPr>
        <w:t xml:space="preserve">（企业名称）</w:t>
      </w:r>
      <w:r>
        <w:rPr>
          <w:rFonts w:hint="eastAsia" w:asciiTheme="minorEastAsia" w:hAnsiTheme="minorEastAsia" w:cstheme="minorEastAsia"/>
          <w:color w:val="000000"/>
        </w:rPr>
        <w:t xml:space="preserve">，从业人员</w:t>
      </w:r>
      <w:r>
        <w:rPr>
          <w:rFonts w:hint="eastAsia" w:asciiTheme="minorEastAsia" w:hAnsiTheme="minorEastAsia" w:cstheme="minorEastAsia"/>
          <w:color w:val="000000"/>
          <w:u w:val="single"/>
        </w:rPr>
        <w:t xml:space="preserve">      </w:t>
      </w:r>
      <w:r>
        <w:rPr>
          <w:rFonts w:hint="eastAsia" w:asciiTheme="minorEastAsia" w:hAnsiTheme="minorEastAsia" w:cstheme="minorEastAsia"/>
          <w:color w:val="000000"/>
        </w:rPr>
        <w:t xml:space="preserve">人，营业收入为</w:t>
      </w:r>
      <w:r>
        <w:rPr>
          <w:rFonts w:hint="eastAsia" w:asciiTheme="minorEastAsia" w:hAnsiTheme="minorEastAsia" w:cstheme="minorEastAsia"/>
          <w:color w:val="000000"/>
          <w:u w:val="single"/>
        </w:rPr>
        <w:t xml:space="preserve">     </w:t>
      </w:r>
      <w:r>
        <w:rPr>
          <w:rFonts w:hint="eastAsia" w:asciiTheme="minorEastAsia" w:hAnsiTheme="minorEastAsia" w:cstheme="minorEastAsia"/>
          <w:color w:val="000000"/>
        </w:rPr>
        <w:t xml:space="preserve">万元，资产总额为</w:t>
      </w:r>
      <w:r>
        <w:rPr>
          <w:rFonts w:hint="eastAsia" w:asciiTheme="minorEastAsia" w:hAnsiTheme="minorEastAsia" w:cstheme="minorEastAsia"/>
          <w:color w:val="000000"/>
          <w:u w:val="single"/>
        </w:rPr>
        <w:t xml:space="preserve">      </w:t>
      </w:r>
      <w:r>
        <w:rPr>
          <w:rFonts w:hint="eastAsia" w:asciiTheme="minorEastAsia" w:hAnsiTheme="minorEastAsia" w:cstheme="minorEastAsia"/>
          <w:color w:val="000000"/>
        </w:rPr>
        <w:t xml:space="preserve">万元</w:t>
      </w:r>
      <w:r>
        <w:rPr>
          <w:rFonts w:hint="eastAsia" w:asciiTheme="minorEastAsia" w:hAnsiTheme="minorEastAsia" w:cstheme="minorEastAsia"/>
          <w:color w:val="000000"/>
          <w:vertAlign w:val="superscript"/>
        </w:rPr>
        <w:t xml:space="preserve">1</w:t>
      </w:r>
      <w:r>
        <w:rPr>
          <w:rFonts w:hint="eastAsia" w:asciiTheme="minorEastAsia" w:hAnsiTheme="minorEastAsia" w:cstheme="minorEastAsia"/>
          <w:color w:val="000000"/>
        </w:rPr>
        <w:t xml:space="preserve">，属于</w:t>
      </w:r>
      <w:r>
        <w:rPr>
          <w:rFonts w:hint="eastAsia" w:asciiTheme="minorEastAsia" w:hAnsiTheme="minorEastAsia" w:cstheme="minorEastAsia"/>
          <w:color w:val="000000"/>
          <w:u w:val="single"/>
        </w:rPr>
        <w:t xml:space="preserve">（小型企业、微型企业）；</w:t>
      </w:r>
      <w:r/>
    </w:p>
    <w:p>
      <w:pPr>
        <w:pStyle w:val="885"/>
        <w:ind w:firstLine="36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2.</w:t>
      </w:r>
      <w:r>
        <w:rPr>
          <w:rFonts w:hint="eastAsia" w:asciiTheme="minorEastAsia" w:hAnsiTheme="minorEastAsia" w:cstheme="minorEastAsia"/>
          <w:color w:val="000000"/>
          <w:u w:val="single"/>
        </w:rPr>
        <w:t xml:space="preserve">（标的名称）</w:t>
      </w:r>
      <w:r>
        <w:rPr>
          <w:rFonts w:hint="eastAsia" w:asciiTheme="minorEastAsia" w:hAnsiTheme="minorEastAsia" w:cstheme="minorEastAsia"/>
          <w:i/>
          <w:color w:val="000000"/>
        </w:rPr>
        <w:t xml:space="preserve">，</w:t>
      </w:r>
      <w:r>
        <w:rPr>
          <w:rFonts w:hint="eastAsia" w:asciiTheme="minorEastAsia" w:hAnsiTheme="minorEastAsia" w:cstheme="minorEastAsia"/>
          <w:color w:val="000000"/>
        </w:rPr>
        <w:t xml:space="preserve">属于</w:t>
      </w:r>
      <w:r>
        <w:rPr>
          <w:rFonts w:hint="eastAsia" w:asciiTheme="minorEastAsia" w:hAnsiTheme="minorEastAsia" w:cstheme="minorEastAsia"/>
          <w:color w:val="000000"/>
          <w:u w:val="single"/>
        </w:rPr>
        <w:t xml:space="preserve">       </w:t>
      </w:r>
      <w:r>
        <w:rPr>
          <w:rFonts w:hint="eastAsia" w:asciiTheme="minorEastAsia" w:hAnsiTheme="minorEastAsia" w:cstheme="minorEastAsia"/>
          <w:color w:val="000000"/>
        </w:rPr>
        <w:t xml:space="preserve">行业；承接企业为</w:t>
      </w:r>
      <w:r>
        <w:rPr>
          <w:rFonts w:hint="eastAsia" w:asciiTheme="minorEastAsia" w:hAnsiTheme="minorEastAsia" w:cstheme="minorEastAsia"/>
          <w:color w:val="000000"/>
          <w:u w:val="single"/>
        </w:rPr>
        <w:t xml:space="preserve">（企业名称）</w:t>
      </w:r>
      <w:r>
        <w:rPr>
          <w:rFonts w:hint="eastAsia" w:asciiTheme="minorEastAsia" w:hAnsiTheme="minorEastAsia" w:cstheme="minorEastAsia"/>
          <w:color w:val="000000"/>
        </w:rPr>
        <w:t xml:space="preserve">，从业人员</w:t>
      </w:r>
      <w:r>
        <w:rPr>
          <w:rFonts w:hint="eastAsia" w:asciiTheme="minorEastAsia" w:hAnsiTheme="minorEastAsia" w:cstheme="minorEastAsia"/>
          <w:color w:val="000000"/>
          <w:u w:val="single"/>
        </w:rPr>
        <w:t xml:space="preserve">      </w:t>
      </w:r>
      <w:r>
        <w:rPr>
          <w:rFonts w:hint="eastAsia" w:asciiTheme="minorEastAsia" w:hAnsiTheme="minorEastAsia" w:cstheme="minorEastAsia"/>
          <w:color w:val="000000"/>
        </w:rPr>
        <w:t xml:space="preserve">人，营业收入为</w:t>
      </w:r>
      <w:r>
        <w:rPr>
          <w:rFonts w:hint="eastAsia" w:asciiTheme="minorEastAsia" w:hAnsiTheme="minorEastAsia" w:cstheme="minorEastAsia"/>
          <w:color w:val="000000"/>
          <w:u w:val="single"/>
        </w:rPr>
        <w:t xml:space="preserve">     </w:t>
      </w:r>
      <w:r>
        <w:rPr>
          <w:rFonts w:hint="eastAsia" w:asciiTheme="minorEastAsia" w:hAnsiTheme="minorEastAsia" w:cstheme="minorEastAsia"/>
          <w:color w:val="000000"/>
        </w:rPr>
        <w:t xml:space="preserve">万元，资产总额为</w:t>
      </w:r>
      <w:r>
        <w:rPr>
          <w:rFonts w:hint="eastAsia" w:asciiTheme="minorEastAsia" w:hAnsiTheme="minorEastAsia" w:cstheme="minorEastAsia"/>
          <w:color w:val="000000"/>
          <w:u w:val="single"/>
        </w:rPr>
        <w:t xml:space="preserve">      </w:t>
      </w:r>
      <w:r>
        <w:rPr>
          <w:rFonts w:hint="eastAsia" w:asciiTheme="minorEastAsia" w:hAnsiTheme="minorEastAsia" w:cstheme="minorEastAsia"/>
          <w:color w:val="000000"/>
        </w:rPr>
        <w:t xml:space="preserve">万元</w:t>
      </w:r>
      <w:r>
        <w:rPr>
          <w:rFonts w:hint="eastAsia" w:asciiTheme="minorEastAsia" w:hAnsiTheme="minorEastAsia" w:cstheme="minorEastAsia"/>
          <w:color w:val="000000"/>
          <w:vertAlign w:val="superscript"/>
        </w:rPr>
        <w:t xml:space="preserve">1</w:t>
      </w:r>
      <w:r>
        <w:rPr>
          <w:rFonts w:hint="eastAsia" w:asciiTheme="minorEastAsia" w:hAnsiTheme="minorEastAsia" w:cstheme="minorEastAsia"/>
          <w:color w:val="000000"/>
        </w:rPr>
        <w:t xml:space="preserve">，属于</w:t>
      </w:r>
      <w:r>
        <w:rPr>
          <w:rFonts w:hint="eastAsia" w:asciiTheme="minorEastAsia" w:hAnsiTheme="minorEastAsia" w:cstheme="minorEastAsia"/>
          <w:color w:val="000000"/>
          <w:u w:val="single"/>
        </w:rPr>
        <w:t xml:space="preserve">（小型企业、微型企业）；</w:t>
      </w:r>
      <w:r/>
    </w:p>
    <w:p>
      <w:pPr>
        <w:pStyle w:val="885"/>
        <w:ind w:firstLine="36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w:t>
      </w:r>
      <w:r/>
    </w:p>
    <w:p>
      <w:pPr>
        <w:pStyle w:val="885"/>
        <w:ind w:firstLine="36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以上企业，不属于大企业的分支机构，不存在控股股东为大企业的情形，也不存在与大企业的负责人为同一人的情形。</w:t>
      </w:r>
      <w:r/>
    </w:p>
    <w:p>
      <w:pPr>
        <w:pStyle w:val="885"/>
        <w:ind w:firstLine="36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本企业对上述声明内容的真实性负责。如有虚假，将依法承担相应责任</w:t>
      </w:r>
      <w:r/>
    </w:p>
    <w:p>
      <w:pPr>
        <w:pStyle w:val="885"/>
        <w:ind w:right="72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rPr>
        <w:t xml:space="preserve"> </w:t>
      </w:r>
      <w:r/>
    </w:p>
    <w:p>
      <w:pPr>
        <w:pStyle w:val="885"/>
        <w:ind w:right="180" w:firstLine="360"/>
        <w:jc w:val="right"/>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企业名称（加盖CA电子公章）：</w:t>
      </w:r>
      <w:r/>
    </w:p>
    <w:p>
      <w:pPr>
        <w:pStyle w:val="885"/>
        <w:ind w:right="480" w:firstLine="540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日  期：</w:t>
      </w:r>
      <w:r/>
    </w:p>
    <w:p>
      <w:pPr>
        <w:pStyle w:val="885"/>
        <w:ind w:firstLine="24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rPr>
        <w:t xml:space="preserve"> </w:t>
      </w:r>
      <w:r/>
    </w:p>
    <w:p>
      <w:pPr>
        <w:pStyle w:val="885"/>
        <w:ind w:firstLine="48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备注1：从业人员、营业收入、资产总额填报上一年度数据，无上一年度数据的新成立企业可不填报。</w:t>
      </w:r>
      <w:r/>
    </w:p>
    <w:p>
      <w:pPr>
        <w:pStyle w:val="885"/>
        <w:ind w:firstLine="480"/>
        <w:jc w:val="both"/>
        <w:spacing w:beforeAutospacing="0" w:afterAutospacing="0" w:line="0" w:lineRule="atLeast"/>
        <w:rPr>
          <w:rFonts w:asciiTheme="minorEastAsia" w:hAnsiTheme="minorEastAsia" w:cstheme="minorEastAsia"/>
        </w:rPr>
      </w:pPr>
      <w:r>
        <w:rPr>
          <w:rFonts w:hint="eastAsia" w:asciiTheme="minorEastAsia" w:hAnsiTheme="minorEastAsia" w:cstheme="minorEastAsia"/>
          <w:color w:val="000000"/>
        </w:rPr>
        <w:t xml:space="preserve">备注2：供应商如不提供此声明函，价格将不做相应扣除（如项目全面面向中小企业，则资格审查不通过）。</w:t>
      </w:r>
      <w:r/>
    </w:p>
    <w:p>
      <w:pPr>
        <w:pStyle w:val="909"/>
        <w:jc w:val="center"/>
        <w:spacing w:beforeAutospacing="0" w:afterAutospacing="0" w:line="0" w:lineRule="atLeast"/>
        <w:rPr>
          <w:rFonts w:eastAsia="黑体"/>
          <w:color w:val="000000"/>
          <w:highlight w:val="none"/>
        </w:rPr>
      </w:pPr>
      <w:r>
        <w:rPr>
          <w:rFonts w:hint="eastAsia" w:asciiTheme="minorEastAsia" w:hAnsiTheme="minorEastAsia" w:cstheme="minorEastAsia"/>
          <w:b/>
          <w:color w:val="000000"/>
          <w:sz w:val="32"/>
          <w:szCs w:val="32"/>
        </w:rPr>
        <w:br w:type="page" w:clear="all"/>
      </w:r>
      <w:r>
        <w:rPr>
          <w:rFonts w:hint="eastAsia" w:ascii="黑体" w:hAnsi="宋体" w:eastAsia="黑体" w:cs="黑体"/>
          <w:b/>
          <w:color w:val="000000"/>
          <w:sz w:val="32"/>
          <w:szCs w:val="32"/>
          <w:highlight w:val="none"/>
        </w:rPr>
        <w:t xml:space="preserve">十、残疾人福利性单位声明函 </w:t>
      </w:r>
      <w:r/>
    </w:p>
    <w:p>
      <w:pPr>
        <w:pStyle w:val="909"/>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w:t>
      </w:r>
      <w:r>
        <w:rPr>
          <w:rFonts w:hint="eastAsia" w:ascii="宋体" w:hAnsi="宋体" w:eastAsia="宋体" w:cs="宋体"/>
          <w:color w:val="000000"/>
          <w:highlight w:val="none"/>
          <w:u w:val="single"/>
        </w:rPr>
        <w:t xml:space="preserve">JSZC-</w:t>
      </w:r>
      <w:r>
        <w:rPr>
          <w:rFonts w:hint="eastAsia" w:ascii="宋体" w:hAnsi="宋体" w:eastAsia="宋体" w:cs="宋体"/>
          <w:color w:val="000000"/>
          <w:highlight w:val="none"/>
        </w:rPr>
        <w:t xml:space="preserve">_____的</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项目采购活动由本单位提供服务。</w:t>
      </w:r>
      <w:r/>
    </w:p>
    <w:p>
      <w:pPr>
        <w:pStyle w:val="909"/>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本单位对上述声明的真实性负责。如有虚假，将依法承担相应责任。</w:t>
      </w:r>
      <w:r/>
    </w:p>
    <w:p>
      <w:pPr>
        <w:pStyle w:val="909"/>
        <w:ind w:firstLine="480"/>
        <w:jc w:val="both"/>
        <w:spacing w:beforeAutospacing="0" w:afterAutospacing="0" w:line="0" w:lineRule="atLeast"/>
        <w:rPr>
          <w:color w:val="000000"/>
          <w:highlight w:val="none"/>
        </w:rPr>
      </w:pPr>
      <w:r>
        <w:rPr>
          <w:color w:val="000000"/>
          <w:highlight w:val="none"/>
        </w:rPr>
        <w:t xml:space="preserve"> </w:t>
      </w:r>
      <w:r/>
    </w:p>
    <w:p>
      <w:pPr>
        <w:pStyle w:val="909"/>
        <w:ind w:firstLine="480"/>
        <w:jc w:val="both"/>
        <w:spacing w:beforeAutospacing="0" w:afterAutospacing="0" w:line="0" w:lineRule="atLeast"/>
        <w:rPr>
          <w:color w:val="000000"/>
          <w:highlight w:val="none"/>
        </w:rPr>
      </w:pPr>
      <w:r>
        <w:rPr>
          <w:rFonts w:hint="eastAsia" w:ascii="宋体" w:hAnsi="宋体" w:eastAsia="宋体" w:cs="宋体"/>
          <w:color w:val="000000"/>
          <w:highlight w:val="none"/>
        </w:rPr>
        <w:t xml:space="preserve">（备注：1、供应商如不提供此声明函，价格将不做相应扣除。2、中标人为残疾人福利单位的，此声明函将随中标结果同时公告，接受社会监督）</w:t>
      </w:r>
      <w:r/>
    </w:p>
    <w:p>
      <w:pPr>
        <w:pStyle w:val="909"/>
        <w:ind w:firstLine="624"/>
        <w:jc w:val="both"/>
        <w:spacing w:beforeAutospacing="0" w:afterAutospacing="0" w:line="0" w:lineRule="atLeast"/>
        <w:rPr>
          <w:color w:val="000000"/>
          <w:highlight w:val="none"/>
        </w:rPr>
      </w:pPr>
      <w:r>
        <w:rPr>
          <w:color w:val="000000"/>
          <w:highlight w:val="none"/>
        </w:rPr>
        <w:t xml:space="preserve"> </w:t>
      </w:r>
      <w:r/>
    </w:p>
    <w:p>
      <w:pPr>
        <w:pStyle w:val="909"/>
        <w:ind w:right="1560" w:firstLine="624"/>
        <w:jc w:val="center"/>
        <w:spacing w:beforeAutospacing="0" w:afterAutospacing="0" w:line="0" w:lineRule="atLeast"/>
        <w:tabs>
          <w:tab w:val="left" w:pos="4864" w:leader="none"/>
        </w:tabs>
        <w:rPr>
          <w:color w:val="000000"/>
          <w:highlight w:val="none"/>
        </w:rPr>
      </w:pPr>
      <w:r>
        <w:rPr>
          <w:rFonts w:ascii="仿宋_GB2312" w:eastAsia="仿宋_GB2312" w:cs="仿宋_GB2312"/>
          <w:color w:val="000000"/>
          <w:sz w:val="30"/>
          <w:szCs w:val="30"/>
          <w:highlight w:val="none"/>
        </w:rPr>
        <w:t xml:space="preserve">             </w:t>
      </w:r>
      <w:r>
        <w:rPr>
          <w:rFonts w:hint="eastAsia" w:ascii="宋体" w:hAnsi="宋体" w:eastAsia="宋体" w:cs="宋体"/>
          <w:color w:val="000000"/>
          <w:highlight w:val="none"/>
        </w:rPr>
        <w:t xml:space="preserve">      供应商全称（加盖CA电子公章）：</w:t>
      </w:r>
      <w:r/>
    </w:p>
    <w:p>
      <w:pPr>
        <w:pStyle w:val="909"/>
        <w:ind w:right="1560" w:firstLine="480"/>
        <w:jc w:val="center"/>
        <w:spacing w:beforeAutospacing="0" w:afterAutospacing="0" w:line="0" w:lineRule="atLeast"/>
        <w:tabs>
          <w:tab w:val="left" w:pos="4864" w:leader="none"/>
        </w:tabs>
        <w:rPr>
          <w:color w:val="000000"/>
          <w:highlight w:val="none"/>
        </w:rPr>
      </w:pPr>
      <w:r>
        <w:rPr>
          <w:rFonts w:hint="eastAsia" w:ascii="宋体" w:hAnsi="宋体" w:eastAsia="宋体" w:cs="宋体"/>
          <w:color w:val="000000"/>
          <w:highlight w:val="none"/>
        </w:rPr>
        <w:t xml:space="preserve">        日  期：</w:t>
      </w:r>
      <w:r/>
    </w:p>
    <w:p>
      <w:pPr>
        <w:pStyle w:val="909"/>
        <w:jc w:val="center"/>
        <w:spacing w:beforeAutospacing="0" w:afterAutospacing="0" w:line="0" w:lineRule="atLeast"/>
        <w:rPr>
          <w:color w:val="000000"/>
          <w:highlight w:val="none"/>
        </w:rPr>
      </w:pPr>
      <w:r>
        <w:rPr>
          <w:color w:val="000000"/>
          <w:highlight w:val="none"/>
        </w:rPr>
        <w:t xml:space="preserve"> </w:t>
      </w:r>
      <w:r/>
    </w:p>
    <w:p>
      <w:pPr>
        <w:pStyle w:val="909"/>
        <w:jc w:val="center"/>
        <w:spacing w:beforeAutospacing="0" w:afterAutospacing="0" w:line="0" w:lineRule="atLeast"/>
        <w:rPr>
          <w:color w:val="000000"/>
          <w:highlight w:val="none"/>
        </w:rPr>
      </w:pPr>
      <w:r>
        <w:rPr>
          <w:color w:val="000000"/>
          <w:highlight w:val="none"/>
        </w:rPr>
        <w:t xml:space="preserve"> </w:t>
      </w:r>
      <w:r/>
    </w:p>
    <w:p>
      <w:pPr>
        <w:pStyle w:val="909"/>
        <w:jc w:val="center"/>
        <w:spacing w:beforeAutospacing="0" w:afterAutospacing="0" w:line="0" w:lineRule="atLeast"/>
        <w:rPr>
          <w:color w:val="000000"/>
          <w:highlight w:val="none"/>
        </w:rPr>
      </w:pPr>
      <w:r>
        <w:rPr>
          <w:color w:val="000000"/>
          <w:highlight w:val="none"/>
        </w:rPr>
        <w:t xml:space="preserve"> </w:t>
      </w:r>
      <w:r/>
    </w:p>
    <w:p>
      <w:pPr>
        <w:pStyle w:val="909"/>
        <w:jc w:val="center"/>
        <w:spacing w:beforeAutospacing="0" w:afterAutospacing="0" w:line="0" w:lineRule="atLeast"/>
        <w:rPr>
          <w:color w:val="000000"/>
          <w:highlight w:val="none"/>
        </w:rPr>
      </w:pPr>
      <w:r>
        <w:rPr>
          <w:color w:val="000000"/>
          <w:highlight w:val="none"/>
        </w:rPr>
        <w:t xml:space="preserve"> </w:t>
      </w:r>
      <w:r/>
    </w:p>
    <w:p>
      <w:pPr>
        <w:pStyle w:val="909"/>
        <w:jc w:val="center"/>
        <w:spacing w:beforeAutospacing="0" w:afterAutospacing="0" w:line="0" w:lineRule="atLeast"/>
        <w:rPr>
          <w:color w:val="000000"/>
          <w:highlight w:val="none"/>
        </w:rPr>
      </w:pPr>
      <w:r>
        <w:rPr>
          <w:color w:val="000000"/>
          <w:highlight w:val="none"/>
        </w:rPr>
        <w:t xml:space="preserve"> </w:t>
      </w:r>
      <w:r/>
    </w:p>
    <w:p>
      <w:pPr>
        <w:pStyle w:val="909"/>
        <w:jc w:val="center"/>
        <w:spacing w:beforeAutospacing="0" w:afterAutospacing="0" w:line="0" w:lineRule="atLeast"/>
        <w:rPr>
          <w:color w:val="000000"/>
          <w:highlight w:val="none"/>
        </w:rPr>
      </w:pPr>
      <w:r>
        <w:rPr>
          <w:color w:val="000000"/>
          <w:highlight w:val="none"/>
        </w:rPr>
        <w:t xml:space="preserve"> </w:t>
      </w:r>
      <w:r/>
    </w:p>
    <w:p>
      <w:pPr>
        <w:pStyle w:val="909"/>
        <w:jc w:val="center"/>
        <w:spacing w:beforeAutospacing="0" w:afterAutospacing="0" w:line="0" w:lineRule="atLeast"/>
        <w:rPr>
          <w:color w:val="000000"/>
          <w:highlight w:val="none"/>
        </w:rPr>
      </w:pPr>
      <w:r>
        <w:rPr>
          <w:color w:val="000000"/>
          <w:highlight w:val="none"/>
        </w:rPr>
        <w:t xml:space="preserve"> </w:t>
      </w:r>
      <w:r/>
    </w:p>
    <w:p>
      <w:pPr>
        <w:pStyle w:val="909"/>
        <w:jc w:val="center"/>
        <w:spacing w:beforeAutospacing="0" w:afterAutospacing="0" w:line="0" w:lineRule="atLeast"/>
        <w:rPr>
          <w:color w:val="000000"/>
          <w:highlight w:val="none"/>
        </w:rPr>
      </w:pPr>
      <w:r>
        <w:rPr>
          <w:color w:val="000000"/>
          <w:highlight w:val="none"/>
        </w:rPr>
        <w:t xml:space="preserve"> </w:t>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center"/>
        <w:spacing w:beforeAutospacing="0" w:afterAutospacing="0" w:line="0" w:lineRule="atLeast"/>
        <w:rPr>
          <w:color w:val="000000"/>
          <w:highlight w:val="none"/>
        </w:rPr>
      </w:pPr>
      <w:r>
        <w:rPr>
          <w:color w:val="000000"/>
          <w:highlight w:val="none"/>
        </w:rPr>
      </w:r>
      <w:r/>
    </w:p>
    <w:p>
      <w:pPr>
        <w:pStyle w:val="909"/>
        <w:jc w:val="both"/>
        <w:spacing w:beforeAutospacing="0" w:afterAutospacing="0" w:line="0" w:lineRule="atLeast"/>
        <w:rPr>
          <w:color w:val="000000"/>
          <w:highlight w:val="none"/>
        </w:rPr>
      </w:pPr>
      <w:r>
        <w:rPr>
          <w:color w:val="000000"/>
          <w:highlight w:val="none"/>
        </w:rPr>
      </w:r>
      <w:r/>
    </w:p>
    <w:p>
      <w:pPr>
        <w:pStyle w:val="909"/>
        <w:jc w:val="both"/>
        <w:spacing w:beforeAutospacing="0" w:afterAutospacing="0" w:line="0" w:lineRule="atLeast"/>
        <w:rPr>
          <w:color w:val="000000"/>
          <w:highlight w:val="none"/>
        </w:rPr>
      </w:pPr>
      <w:r>
        <w:rPr>
          <w:color w:val="000000"/>
          <w:highlight w:val="none"/>
        </w:rPr>
      </w:r>
      <w:r/>
    </w:p>
    <w:p>
      <w:pPr>
        <w:pStyle w:val="909"/>
        <w:jc w:val="center"/>
        <w:spacing w:beforeAutospacing="0" w:afterAutospacing="0"/>
        <w:rPr>
          <w:rFonts w:hint="eastAsia" w:eastAsia="黑体"/>
          <w:i w:val="0"/>
          <w:iCs w:val="0"/>
          <w:color w:val="000000"/>
          <w:highlight w:val="none"/>
          <w:lang w:eastAsia="zh-CN"/>
        </w:rPr>
      </w:pPr>
      <w:r>
        <w:rPr>
          <w:rFonts w:hint="eastAsia" w:ascii="黑体" w:hAnsi="宋体" w:eastAsia="黑体" w:cs="黑体"/>
          <w:b/>
          <w:i w:val="0"/>
          <w:iCs w:val="0"/>
          <w:color w:val="000000"/>
          <w:sz w:val="32"/>
          <w:szCs w:val="32"/>
          <w:highlight w:val="none"/>
        </w:rPr>
        <w:t xml:space="preserve">十一、</w:t>
      </w:r>
      <w:r>
        <w:rPr>
          <w:rFonts w:hint="eastAsia" w:ascii="黑体" w:hAnsi="宋体" w:eastAsia="黑体" w:cs="黑体"/>
          <w:b/>
          <w:color w:val="000000"/>
          <w:sz w:val="32"/>
          <w:szCs w:val="32"/>
          <w:highlight w:val="none"/>
        </w:rPr>
        <w:t xml:space="preserve">技术要求响应及偏离表</w:t>
      </w:r>
      <w:r/>
    </w:p>
    <w:p>
      <w:pPr>
        <w:pStyle w:val="909"/>
        <w:jc w:val="center"/>
        <w:spacing w:beforeAutospacing="0" w:afterAutospacing="0"/>
        <w:rPr>
          <w:color w:val="000000"/>
          <w:highlight w:val="none"/>
        </w:rPr>
      </w:pPr>
      <w:r>
        <w:rPr>
          <w:color w:val="000000"/>
          <w:highlight w:val="none"/>
        </w:rPr>
      </w:r>
      <w:r/>
    </w:p>
    <w:p>
      <w:pPr>
        <w:pStyle w:val="909"/>
        <w:jc w:val="center"/>
        <w:spacing w:beforeAutospacing="0" w:afterAutospacing="0"/>
        <w:rPr>
          <w:rFonts w:ascii="黑体" w:hAnsi="宋体" w:eastAsia="黑体" w:cs="黑体"/>
          <w:b/>
          <w:bCs/>
          <w:color w:val="000000"/>
          <w:sz w:val="32"/>
          <w:szCs w:val="32"/>
          <w:highlight w:val="none"/>
        </w:rPr>
      </w:pPr>
      <w:r>
        <w:rPr>
          <w:color w:val="000000"/>
          <w:highlight w:val="none"/>
        </w:rPr>
        <w:t xml:space="preserve"> </w:t>
      </w:r>
      <w:r/>
    </w:p>
    <w:tbl>
      <w:tblPr>
        <w:tblStyle w:val="87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tblCellSpacing w:w="0" w:type="dxa"/>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bl>
    <w:p>
      <w:pPr>
        <w:pStyle w:val="909"/>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909"/>
        <w:jc w:val="center"/>
        <w:spacing w:beforeAutospacing="0" w:afterAutospacing="0"/>
        <w:rPr>
          <w:color w:val="000000"/>
          <w:highlight w:val="none"/>
        </w:rPr>
      </w:pPr>
      <w:r>
        <w:rPr>
          <w:color w:val="000000"/>
          <w:highlight w:val="none"/>
        </w:rPr>
        <w:t xml:space="preserve"> </w:t>
      </w:r>
      <w:r/>
    </w:p>
    <w:p>
      <w:pPr>
        <w:pStyle w:val="909"/>
        <w:jc w:val="center"/>
        <w:spacing w:beforeAutospacing="0" w:afterAutospacing="0"/>
        <w:rPr>
          <w:color w:val="000000"/>
          <w:highlight w:val="none"/>
        </w:rPr>
      </w:pPr>
      <w:r>
        <w:rPr>
          <w:color w:val="000000"/>
          <w:highlight w:val="none"/>
        </w:rPr>
        <w:t xml:space="preserve"> </w:t>
      </w:r>
      <w:r/>
    </w:p>
    <w:p>
      <w:pPr>
        <w:pStyle w:val="909"/>
        <w:jc w:val="center"/>
        <w:spacing w:beforeAutospacing="0" w:afterAutospacing="0"/>
        <w:rPr>
          <w:color w:val="000000"/>
          <w:highlight w:val="none"/>
        </w:rPr>
      </w:pPr>
      <w:r>
        <w:rPr>
          <w:color w:val="000000"/>
          <w:highlight w:val="none"/>
        </w:rPr>
        <w:t xml:space="preserve"> </w:t>
      </w:r>
      <w:r/>
    </w:p>
    <w:p>
      <w:pPr>
        <w:pStyle w:val="909"/>
        <w:jc w:val="center"/>
        <w:spacing w:beforeAutospacing="0" w:afterAutospacing="0"/>
        <w:rPr>
          <w:color w:val="000000"/>
          <w:highlight w:val="none"/>
        </w:rPr>
      </w:pPr>
      <w:r>
        <w:rPr>
          <w:color w:val="000000"/>
          <w:highlight w:val="none"/>
        </w:rPr>
        <w:t xml:space="preserve"> </w:t>
      </w:r>
      <w:r/>
    </w:p>
    <w:p>
      <w:pPr>
        <w:pStyle w:val="909"/>
        <w:jc w:val="both"/>
        <w:spacing w:beforeAutospacing="0" w:afterAutospacing="0"/>
        <w:rPr>
          <w:color w:val="000000"/>
          <w:highlight w:val="none"/>
        </w:rPr>
      </w:pPr>
      <w:r>
        <w:rPr>
          <w:color w:val="000000"/>
          <w:highlight w:val="none"/>
        </w:rPr>
        <w:t xml:space="preserve"> </w:t>
      </w:r>
      <w:r/>
    </w:p>
    <w:p>
      <w:pPr>
        <w:pStyle w:val="909"/>
        <w:jc w:val="both"/>
        <w:spacing w:beforeAutospacing="0" w:afterAutospacing="0"/>
        <w:rPr>
          <w:color w:val="000000"/>
          <w:highlight w:val="none"/>
        </w:rPr>
      </w:pPr>
      <w:r>
        <w:rPr>
          <w:color w:val="000000"/>
          <w:highlight w:val="none"/>
        </w:rPr>
        <w:t xml:space="preserve"> </w:t>
      </w:r>
      <w:r/>
    </w:p>
    <w:p>
      <w:pPr>
        <w:pStyle w:val="909"/>
        <w:jc w:val="both"/>
        <w:spacing w:beforeAutospacing="0" w:afterAutospacing="0"/>
        <w:rPr>
          <w:color w:val="000000"/>
          <w:highlight w:val="none"/>
        </w:rPr>
      </w:pPr>
      <w:r>
        <w:rPr>
          <w:color w:val="000000"/>
          <w:highlight w:val="none"/>
        </w:rPr>
        <w:t xml:space="preserve"> </w:t>
      </w:r>
      <w:r/>
    </w:p>
    <w:p>
      <w:pPr>
        <w:pStyle w:val="909"/>
        <w:jc w:val="both"/>
        <w:spacing w:beforeAutospacing="0" w:afterAutospacing="0"/>
        <w:rPr>
          <w:color w:val="000000"/>
          <w:highlight w:val="none"/>
        </w:rPr>
      </w:pPr>
      <w:r>
        <w:rPr>
          <w:color w:val="000000"/>
          <w:highlight w:val="none"/>
        </w:rPr>
        <w:t xml:space="preserve"> </w:t>
      </w:r>
      <w:r/>
    </w:p>
    <w:p>
      <w:pPr>
        <w:shd w:val="nil"/>
        <w:rPr>
          <w:color w:val="000000"/>
          <w:highlight w:val="none"/>
        </w:rPr>
      </w:pPr>
      <w:r>
        <w:rPr>
          <w:color w:val="000000"/>
          <w:highlight w:val="none"/>
        </w:rPr>
        <w:br w:type="page" w:clear="all"/>
      </w:r>
      <w:r>
        <w:rPr>
          <w:color w:val="000000"/>
          <w:highlight w:val="none"/>
        </w:rPr>
      </w:r>
    </w:p>
    <w:p>
      <w:pPr>
        <w:pStyle w:val="909"/>
        <w:jc w:val="both"/>
        <w:spacing w:beforeAutospacing="0" w:afterAutospacing="0"/>
        <w:rPr>
          <w:color w:val="000000"/>
          <w:highlight w:val="none"/>
        </w:rPr>
      </w:pPr>
      <w:r>
        <w:rPr>
          <w:color w:val="000000"/>
          <w:highlight w:val="none"/>
        </w:rPr>
      </w:r>
      <w:r/>
    </w:p>
    <w:p>
      <w:pPr>
        <w:pStyle w:val="909"/>
        <w:numPr>
          <w:ilvl w:val="0"/>
          <w:numId w:val="4"/>
        </w:numPr>
        <w:ind w:left="0" w:right="0"/>
        <w:jc w:val="center"/>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highlight w:val="none"/>
        </w:rPr>
        <w:t xml:space="preserve">商务要求响应及偏离表 </w:t>
      </w:r>
      <w:r/>
    </w:p>
    <w:p>
      <w:pPr>
        <w:pStyle w:val="909"/>
        <w:numPr>
          <w:ilvl w:val="0"/>
          <w:numId w:val="0"/>
        </w:numPr>
        <w:ind w:right="0"/>
        <w:jc w:val="both"/>
        <w:spacing w:beforeAutospacing="0" w:afterAutospacing="0"/>
        <w:rPr>
          <w:rFonts w:hint="eastAsia" w:ascii="黑体" w:hAnsi="宋体" w:eastAsia="黑体" w:cs="黑体"/>
          <w:b/>
          <w:i/>
          <w:iCs/>
          <w:color w:val="000000"/>
          <w:sz w:val="32"/>
          <w:szCs w:val="32"/>
          <w:highlight w:val="none"/>
        </w:rPr>
      </w:pPr>
      <w:r>
        <w:rPr>
          <w:rFonts w:hint="eastAsia" w:ascii="黑体" w:hAnsi="宋体" w:eastAsia="黑体" w:cs="黑体"/>
          <w:b/>
          <w:i/>
          <w:iCs/>
          <w:color w:val="000000"/>
          <w:sz w:val="32"/>
          <w:szCs w:val="32"/>
          <w:highlight w:val="none"/>
        </w:rPr>
      </w:r>
      <w:r/>
    </w:p>
    <w:tbl>
      <w:tblPr>
        <w:tblStyle w:val="875"/>
        <w:tblW w:w="8520" w:type="dxa"/>
        <w:tblCellSpacing w:w="0" w:type="dxa"/>
        <w:tblInd w:w="-108"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highlight w:val="none"/>
              </w:rPr>
            </w:pPr>
            <w:r/>
            <w:bookmarkStart w:id="191" w:name="_Hlt26580838"/>
            <w:r/>
            <w:bookmarkStart w:id="192" w:name="_Hlt26609391"/>
            <w:r/>
            <w:bookmarkStart w:id="193" w:name="_Hlt26955056"/>
            <w:r/>
            <w:bookmarkStart w:id="194" w:name="_Hlt24879081"/>
            <w:r/>
            <w:bookmarkStart w:id="195" w:name="_Hlt26671343"/>
            <w:r/>
            <w:bookmarkStart w:id="196" w:name="_Hlt26955064"/>
            <w:r/>
            <w:bookmarkStart w:id="197" w:name="_Hlt26671372"/>
            <w:r/>
            <w:bookmarkStart w:id="198" w:name="_Hlt26782999"/>
            <w:r>
              <w:rPr>
                <w:rFonts w:hint="eastAsia" w:ascii="宋体" w:hAnsi="宋体" w:eastAsia="宋体" w:cs="宋体"/>
                <w:color w:val="000000"/>
                <w:highlight w:val="none"/>
              </w:rPr>
              <w:t xml:space="preserve">序号</w:t>
            </w:r>
            <w:bookmarkEnd w:id="191"/>
            <w:r/>
            <w:bookmarkEnd w:id="192"/>
            <w:r/>
            <w:bookmarkEnd w:id="193"/>
            <w:r/>
            <w:bookmarkEnd w:id="194"/>
            <w:r/>
            <w:bookmarkEnd w:id="195"/>
            <w:r/>
            <w:bookmarkEnd w:id="196"/>
            <w:r/>
            <w:bookmarkEnd w:id="197"/>
            <w:r/>
            <w:bookmarkEnd w:id="198"/>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招标文件要求</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投标响应情况</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超出、符合或偏离</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证明</w:t>
            </w:r>
            <w:r/>
          </w:p>
          <w:p>
            <w:pPr>
              <w:pStyle w:val="909"/>
              <w:jc w:val="center"/>
              <w:spacing w:beforeAutospacing="0" w:afterAutospacing="0"/>
              <w:rPr>
                <w:color w:val="000000"/>
                <w:highlight w:val="none"/>
              </w:rPr>
            </w:pPr>
            <w:r>
              <w:rPr>
                <w:rFonts w:hint="eastAsia" w:ascii="宋体" w:hAnsi="宋体" w:eastAsia="宋体" w:cs="宋体"/>
                <w:color w:val="000000"/>
                <w:highlight w:val="none"/>
              </w:rPr>
              <w:t xml:space="preserve">材料</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r>
        <w:trPr>
          <w:tblCellSpacing w:w="0" w:type="dxa"/>
          <w:trHeight w:val="640"/>
        </w:trPr>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c>
          <w:tcPr>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909"/>
              <w:jc w:val="center"/>
              <w:spacing w:beforeAutospacing="0" w:afterAutospacing="0"/>
              <w:rPr>
                <w:color w:val="000000"/>
                <w:highlight w:val="none"/>
              </w:rPr>
            </w:pPr>
            <w:r>
              <w:rPr>
                <w:color w:val="000000"/>
                <w:highlight w:val="none"/>
              </w:rPr>
              <w:t xml:space="preserve"> </w:t>
            </w:r>
            <w:r/>
          </w:p>
        </w:tc>
      </w:tr>
    </w:tbl>
    <w:p>
      <w:pPr>
        <w:pStyle w:val="909"/>
        <w:jc w:val="both"/>
        <w:spacing w:beforeAutospacing="0" w:afterAutospacing="0"/>
        <w:rPr>
          <w:color w:val="000000"/>
          <w:highlight w:val="none"/>
        </w:rPr>
      </w:pPr>
      <w:r>
        <w:rPr>
          <w:rFonts w:hint="eastAsia" w:ascii="宋体" w:hAnsi="宋体" w:eastAsia="宋体" w:cs="宋体"/>
          <w:color w:val="000000"/>
          <w:highlight w:val="none"/>
        </w:rPr>
        <w:t xml:space="preserve">注： 行数不够，可自行添加。</w:t>
      </w:r>
      <w:r/>
    </w:p>
    <w:p>
      <w:pPr>
        <w:pStyle w:val="909"/>
        <w:jc w:val="both"/>
        <w:spacing w:beforeAutospacing="0" w:afterAutospacing="0" w:line="480" w:lineRule="auto"/>
        <w:rPr>
          <w:color w:val="000000"/>
          <w:highlight w:val="none"/>
        </w:rPr>
      </w:pPr>
      <w:r>
        <w:rPr>
          <w:color w:val="000000"/>
          <w:highlight w:val="none"/>
        </w:rPr>
        <w:t xml:space="preserve"> </w:t>
      </w:r>
      <w:r/>
    </w:p>
    <w:p>
      <w:pPr>
        <w:pStyle w:val="909"/>
        <w:jc w:val="both"/>
        <w:spacing w:beforeAutospacing="0" w:afterAutospacing="0" w:line="480" w:lineRule="auto"/>
        <w:rPr>
          <w:color w:val="000000"/>
          <w:highlight w:val="none"/>
        </w:rPr>
      </w:pPr>
      <w:r>
        <w:rPr>
          <w:color w:val="000000"/>
          <w:highlight w:val="none"/>
        </w:rPr>
        <w:t xml:space="preserve"> </w:t>
      </w:r>
      <w:r/>
    </w:p>
    <w:p>
      <w:pPr>
        <w:pStyle w:val="909"/>
        <w:jc w:val="center"/>
        <w:spacing w:beforeAutospacing="0" w:afterAutospacing="0"/>
        <w:rPr>
          <w:color w:val="000000"/>
          <w:highlight w:val="none"/>
        </w:rPr>
      </w:pPr>
      <w:r/>
      <w:bookmarkStart w:id="199" w:name="_Hlt26955066"/>
      <w:r/>
      <w:bookmarkStart w:id="200" w:name="_Toc462564146"/>
      <w:r/>
      <w:bookmarkStart w:id="201" w:name="_Hlt26671374"/>
      <w:r/>
      <w:bookmarkStart w:id="202" w:name="_Hlt26609389"/>
      <w:r/>
      <w:bookmarkStart w:id="203" w:name="_格式2__法定代表人授权书"/>
      <w:r>
        <w:rPr>
          <w:color w:val="000000"/>
          <w:highlight w:val="none"/>
        </w:rPr>
        <w:t xml:space="preserve"> </w:t>
      </w:r>
      <w:r/>
    </w:p>
    <w:p>
      <w:pPr>
        <w:pStyle w:val="909"/>
        <w:jc w:val="both"/>
        <w:spacing w:beforeAutospacing="0" w:afterAutospacing="0"/>
        <w:rPr>
          <w:color w:val="000000"/>
          <w:highlight w:val="none"/>
        </w:rPr>
      </w:pPr>
      <w:r>
        <w:rPr>
          <w:color w:val="000000"/>
          <w:highlight w:val="none"/>
        </w:rPr>
        <w:t xml:space="preserve"> </w:t>
      </w:r>
      <w:r/>
    </w:p>
    <w:p>
      <w:pPr>
        <w:pStyle w:val="909"/>
        <w:jc w:val="both"/>
        <w:spacing w:beforeAutospacing="0" w:afterAutospacing="0"/>
        <w:rPr>
          <w:color w:val="000000"/>
          <w:highlight w:val="none"/>
        </w:rPr>
      </w:pPr>
      <w:r>
        <w:rPr>
          <w:color w:val="000000"/>
          <w:highlight w:val="none"/>
        </w:rPr>
        <w:t xml:space="preserve"> </w:t>
      </w:r>
      <w:r/>
    </w:p>
    <w:p>
      <w:pPr>
        <w:pStyle w:val="909"/>
        <w:jc w:val="both"/>
        <w:spacing w:beforeAutospacing="0" w:afterAutospacing="0"/>
        <w:rPr>
          <w:color w:val="000000"/>
          <w:highlight w:val="none"/>
        </w:rPr>
      </w:pPr>
      <w:r>
        <w:rPr>
          <w:color w:val="000000"/>
          <w:highlight w:val="none"/>
        </w:rPr>
      </w:r>
      <w:r/>
    </w:p>
    <w:p>
      <w:pPr>
        <w:pStyle w:val="909"/>
        <w:jc w:val="both"/>
        <w:spacing w:beforeAutospacing="0" w:afterAutospacing="0"/>
        <w:rPr>
          <w:color w:val="000000"/>
          <w:highlight w:val="none"/>
        </w:rPr>
      </w:pPr>
      <w:r>
        <w:rPr>
          <w:color w:val="000000"/>
          <w:highlight w:val="none"/>
        </w:rPr>
      </w:r>
      <w:r/>
    </w:p>
    <w:p>
      <w:pPr>
        <w:pStyle w:val="909"/>
        <w:jc w:val="both"/>
        <w:spacing w:beforeAutospacing="0" w:afterAutospacing="0"/>
        <w:rPr>
          <w:color w:val="000000"/>
          <w:highlight w:val="none"/>
        </w:rPr>
      </w:pPr>
      <w:r>
        <w:rPr>
          <w:color w:val="000000"/>
          <w:highlight w:val="none"/>
        </w:rPr>
      </w:r>
      <w:r/>
    </w:p>
    <w:p>
      <w:pPr>
        <w:pStyle w:val="909"/>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909"/>
        <w:jc w:val="both"/>
        <w:spacing w:beforeAutospacing="0" w:afterAutospacing="0"/>
        <w:rPr>
          <w:rFonts w:ascii="黑体" w:hAnsi="宋体" w:eastAsia="黑体" w:cs="黑体"/>
          <w:b/>
          <w:color w:val="000000"/>
          <w:sz w:val="32"/>
          <w:szCs w:val="32"/>
          <w:highlight w:val="none"/>
          <w:u w:val="single"/>
        </w:rPr>
      </w:pPr>
      <w:r>
        <w:rPr>
          <w:rFonts w:ascii="黑体" w:hAnsi="宋体" w:eastAsia="黑体" w:cs="黑体"/>
          <w:b/>
          <w:color w:val="000000"/>
          <w:sz w:val="32"/>
          <w:szCs w:val="32"/>
          <w:highlight w:val="none"/>
          <w:u w:val="single"/>
        </w:rPr>
      </w:r>
      <w:r/>
    </w:p>
    <w:p>
      <w:pPr>
        <w:pStyle w:val="909"/>
        <w:ind w:firstLine="2249"/>
        <w:jc w:val="both"/>
        <w:spacing w:beforeAutospacing="0" w:afterAutospacing="0"/>
        <w:rPr>
          <w:rFonts w:hint="eastAsia" w:ascii="黑体" w:hAnsi="宋体" w:eastAsia="黑体" w:cs="黑体"/>
          <w:b/>
          <w:bCs/>
          <w:i/>
          <w:iCs/>
          <w:color w:val="000000"/>
          <w:sz w:val="32"/>
          <w:szCs w:val="32"/>
          <w:highlight w:val="none"/>
        </w:rPr>
      </w:pPr>
      <w:r>
        <w:rPr>
          <w:rFonts w:hint="eastAsia" w:ascii="黑体" w:hAnsi="宋体" w:eastAsia="黑体" w:cs="黑体"/>
          <w:b/>
          <w:iCs/>
          <w:color w:val="000000"/>
          <w:sz w:val="32"/>
          <w:szCs w:val="32"/>
          <w:highlight w:val="none"/>
        </w:rPr>
        <w:t xml:space="preserve"> </w:t>
      </w:r>
      <w:r>
        <w:rPr>
          <w:rFonts w:hint="eastAsia" w:ascii="黑体" w:hAnsi="宋体" w:eastAsia="黑体" w:cs="黑体"/>
          <w:b/>
          <w:i/>
          <w:iCs w:val="0"/>
          <w:color w:val="000000"/>
          <w:sz w:val="32"/>
          <w:szCs w:val="32"/>
          <w:highlight w:val="none"/>
        </w:rPr>
      </w:r>
      <w:r>
        <w:rPr>
          <w:rFonts w:ascii="黑体" w:hAnsi="宋体" w:eastAsia="黑体" w:cs="黑体"/>
          <w:b/>
          <w:iCs/>
          <w:color w:val="000000"/>
          <w:sz w:val="32"/>
          <w:szCs w:val="32"/>
          <w:highlight w:val="none"/>
          <w:u w:val="single"/>
        </w:rPr>
      </w:r>
    </w:p>
    <w:p>
      <w:pPr>
        <w:shd w:val="nil"/>
        <w:rPr>
          <w:rFonts w:ascii="黑体" w:hAnsi="宋体" w:eastAsia="黑体" w:cs="黑体"/>
          <w:b/>
          <w:bCs/>
          <w:color w:val="000000"/>
          <w:sz w:val="32"/>
          <w:szCs w:val="32"/>
          <w:highlight w:val="none"/>
          <w:u w:val="single"/>
        </w:rPr>
      </w:pPr>
      <w:r>
        <w:rPr>
          <w:rFonts w:hint="eastAsia" w:ascii="黑体" w:hAnsi="宋体" w:eastAsia="黑体" w:cs="黑体"/>
          <w:b/>
          <w:i/>
          <w:iCs w:val="0"/>
          <w:color w:val="000000"/>
          <w:sz w:val="32"/>
          <w:szCs w:val="32"/>
          <w:highlight w:val="none"/>
        </w:rPr>
        <w:br w:type="page" w:clear="all"/>
      </w:r>
      <w:r>
        <w:rPr>
          <w:rFonts w:hint="eastAsia" w:ascii="黑体" w:hAnsi="宋体" w:eastAsia="黑体" w:cs="黑体"/>
          <w:b/>
          <w:i/>
          <w:iCs w:val="0"/>
          <w:color w:val="000000"/>
          <w:sz w:val="32"/>
          <w:szCs w:val="32"/>
          <w:highlight w:val="none"/>
        </w:rPr>
      </w:r>
    </w:p>
    <w:p>
      <w:pPr>
        <w:pStyle w:val="909"/>
        <w:ind w:firstLine="2249"/>
        <w:jc w:val="both"/>
        <w:spacing w:beforeAutospacing="0" w:afterAutospacing="0"/>
        <w:rPr>
          <w:rFonts w:hint="eastAsia" w:ascii="黑体" w:hAnsi="宋体" w:eastAsia="黑体" w:cs="黑体"/>
          <w:b/>
          <w:bCs/>
          <w:i/>
          <w:color w:val="000000"/>
          <w:sz w:val="32"/>
          <w:szCs w:val="32"/>
          <w:highlight w:val="none"/>
        </w:rPr>
      </w:pPr>
      <w:r>
        <w:rPr>
          <w:rFonts w:hint="eastAsia" w:ascii="黑体" w:hAnsi="宋体" w:eastAsia="黑体" w:cs="黑体"/>
          <w:b/>
          <w:i/>
          <w:iCs w:val="0"/>
          <w:color w:val="000000"/>
          <w:sz w:val="32"/>
          <w:szCs w:val="32"/>
          <w:highlight w:val="none"/>
        </w:rPr>
        <w:t xml:space="preserve">   十</w:t>
      </w:r>
      <w:r>
        <w:rPr>
          <w:rFonts w:hint="eastAsia" w:ascii="黑体" w:hAnsi="宋体" w:eastAsia="黑体" w:cs="黑体"/>
          <w:b/>
          <w:i/>
          <w:iCs w:val="0"/>
          <w:color w:val="000000"/>
          <w:sz w:val="32"/>
          <w:szCs w:val="32"/>
          <w:highlight w:val="none"/>
          <w:lang w:val="en-US" w:eastAsia="zh-CN"/>
        </w:rPr>
        <w:t xml:space="preserve">三</w:t>
      </w:r>
      <w:r>
        <w:rPr>
          <w:rFonts w:hint="eastAsia" w:ascii="黑体" w:hAnsi="宋体" w:eastAsia="黑体" w:cs="黑体"/>
          <w:b/>
          <w:i/>
          <w:iCs w:val="0"/>
          <w:color w:val="000000"/>
          <w:sz w:val="32"/>
          <w:szCs w:val="32"/>
          <w:highlight w:val="none"/>
        </w:rPr>
        <w:t xml:space="preserve">、开标一览表</w:t>
      </w:r>
      <w:r/>
      <w:r/>
    </w:p>
    <w:p>
      <w:pPr>
        <w:pStyle w:val="909"/>
        <w:jc w:val="both"/>
        <w:spacing w:beforeAutospacing="0" w:afterAutospacing="0"/>
        <w:rPr>
          <w:iCs/>
          <w:color w:val="000000"/>
          <w:highlight w:val="none"/>
        </w:rPr>
      </w:pPr>
      <w:r>
        <w:rPr>
          <w:iCs/>
          <w:color w:val="000000"/>
          <w:highlight w:val="none"/>
        </w:rPr>
      </w:r>
      <w:r/>
    </w:p>
    <w:p>
      <w:pPr>
        <w:pStyle w:val="909"/>
        <w:ind w:firstLine="480"/>
        <w:jc w:val="both"/>
        <w:spacing w:beforeAutospacing="0" w:afterAutospacing="0"/>
        <w:rPr>
          <w:color w:val="000000"/>
          <w:highlight w:val="none"/>
        </w:rPr>
      </w:pPr>
      <w:r>
        <w:rPr>
          <w:rFonts w:hint="eastAsia" w:ascii="宋体" w:hAnsi="宋体" w:eastAsia="宋体" w:cs="宋体"/>
          <w:color w:val="000000"/>
          <w:highlight w:val="none"/>
        </w:rPr>
        <w:t xml:space="preserve">投标人全称（加盖CA电子签章）：</w:t>
      </w:r>
      <w:r/>
    </w:p>
    <w:p>
      <w:pPr>
        <w:pStyle w:val="909"/>
        <w:ind w:firstLine="480"/>
        <w:jc w:val="both"/>
        <w:spacing w:beforeAutospacing="0" w:afterAutospacing="0"/>
        <w:rPr>
          <w:color w:val="000000"/>
          <w:highlight w:val="none"/>
        </w:rPr>
      </w:pPr>
      <w:r>
        <w:rPr>
          <w:rFonts w:hint="eastAsia" w:ascii="宋体" w:hAnsi="宋体" w:eastAsia="宋体" w:cs="宋体"/>
          <w:color w:val="000000"/>
          <w:highlight w:val="none"/>
        </w:rPr>
        <w:t xml:space="preserve">项目名称：</w:t>
      </w:r>
      <w:r/>
    </w:p>
    <w:p>
      <w:pPr>
        <w:pStyle w:val="909"/>
        <w:ind w:firstLine="480"/>
        <w:jc w:val="left"/>
        <w:spacing w:beforeAutospacing="0" w:afterAutospacing="0"/>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招标编号：</w:t>
      </w:r>
      <w:r/>
    </w:p>
    <w:tbl>
      <w:tblPr>
        <w:tblStyle w:val="875"/>
        <w:tblW w:w="8206"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9"/>
              <w:jc w:val="left"/>
              <w:spacing w:beforeAutospacing="0" w:afterAutospacing="0"/>
              <w:rPr>
                <w:color w:val="000000"/>
                <w:highlight w:val="none"/>
              </w:rPr>
            </w:pPr>
            <w:r>
              <w:rPr>
                <w:rFonts w:hint="eastAsia" w:ascii="宋体" w:hAnsi="宋体" w:eastAsia="宋体" w:cs="宋体"/>
                <w:color w:val="000000"/>
                <w:highlight w:val="none"/>
              </w:rPr>
              <w:t xml:space="preserve">投标总报价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909"/>
              <w:spacing w:beforeAutospacing="0" w:afterAutospacing="0" w:line="0" w:lineRule="atLeast"/>
              <w:rPr>
                <w:color w:val="000000"/>
                <w:highlight w:val="none"/>
              </w:rPr>
            </w:pPr>
            <w:r>
              <w:rPr>
                <w:rFonts w:hint="eastAsia" w:ascii="宋体" w:hAnsi="宋体" w:eastAsia="宋体" w:cs="宋体"/>
                <w:color w:val="000000"/>
                <w:highlight w:val="none"/>
              </w:rPr>
              <w:t xml:space="preserve">小写：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（人民币：元）</w:t>
            </w:r>
            <w:r/>
          </w:p>
        </w:tc>
      </w:tr>
    </w:tbl>
    <w:p>
      <w:pPr>
        <w:pStyle w:val="909"/>
        <w:jc w:val="both"/>
        <w:spacing w:beforeAutospacing="0" w:afterAutospacing="0"/>
        <w:rPr>
          <w:color w:val="000000"/>
          <w:highlight w:val="none"/>
        </w:rPr>
      </w:pPr>
      <w:r>
        <w:rPr>
          <w:color w:val="000000"/>
          <w:highlight w:val="none"/>
        </w:rPr>
        <w:t xml:space="preserve"> </w:t>
      </w:r>
      <w:r/>
    </w:p>
    <w:p>
      <w:pPr>
        <w:pStyle w:val="909"/>
        <w:ind w:firstLine="480"/>
        <w:jc w:val="both"/>
        <w:spacing w:beforeAutospacing="0" w:afterAutospacing="0"/>
        <w:rPr>
          <w:color w:val="000000"/>
          <w:highlight w:val="none"/>
        </w:rPr>
      </w:pPr>
      <w:r>
        <w:rPr>
          <w:rFonts w:hint="eastAsia" w:ascii="宋体" w:hAnsi="宋体" w:eastAsia="宋体" w:cs="宋体"/>
          <w:color w:val="000000"/>
          <w:highlight w:val="none"/>
        </w:rPr>
        <w:t xml:space="preserve">                                              日期：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年</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rPr>
        <w:t xml:space="preserve">日</w:t>
      </w:r>
      <w:r/>
    </w:p>
    <w:p>
      <w:pPr>
        <w:pStyle w:val="909"/>
        <w:ind w:firstLine="480"/>
        <w:jc w:val="both"/>
        <w:spacing w:beforeAutospacing="0" w:afterAutospacing="0"/>
        <w:rPr>
          <w:color w:val="000000"/>
          <w:highlight w:val="none"/>
        </w:rPr>
      </w:pPr>
      <w:r>
        <w:rPr>
          <w:color w:val="000000"/>
          <w:highlight w:val="none"/>
        </w:rPr>
        <w:t xml:space="preserve"> </w:t>
      </w:r>
      <w:r/>
    </w:p>
    <w:p>
      <w:pPr>
        <w:pStyle w:val="909"/>
        <w:jc w:val="both"/>
        <w:spacing w:beforeAutospacing="0" w:afterAutospacing="0"/>
        <w:rPr>
          <w:iCs/>
          <w:color w:val="000000"/>
          <w:highlight w:val="none"/>
        </w:rPr>
      </w:pPr>
      <w:r>
        <w:rPr>
          <w:iCs/>
          <w:color w:val="000000"/>
          <w:highlight w:val="none"/>
        </w:rPr>
        <w:t xml:space="preserve"> </w:t>
      </w:r>
      <w:r/>
    </w:p>
    <w:p>
      <w:pPr>
        <w:pStyle w:val="909"/>
        <w:ind w:firstLine="480"/>
        <w:jc w:val="both"/>
        <w:spacing w:beforeAutospacing="0" w:afterAutospacing="0"/>
        <w:rPr>
          <w:rFonts w:eastAsia="宋体"/>
          <w:iCs/>
          <w:color w:val="000000"/>
          <w:highlight w:val="none"/>
        </w:rPr>
      </w:pPr>
      <w:r>
        <w:rPr>
          <w:rFonts w:hint="eastAsia" w:ascii="宋体" w:hAnsi="宋体" w:eastAsia="宋体" w:cs="宋体"/>
          <w:iCs/>
          <w:color w:val="000000"/>
          <w:highlight w:val="none"/>
        </w:rPr>
        <w:t xml:space="preserve">                                              投标人公章：          （电子签章）</w:t>
      </w:r>
      <w:r/>
    </w:p>
    <w:p>
      <w:pPr>
        <w:pStyle w:val="909"/>
        <w:jc w:val="center"/>
        <w:spacing w:beforeAutospacing="0" w:afterAutospacing="0"/>
        <w:rPr>
          <w:iCs/>
          <w:color w:val="000000"/>
          <w:highlight w:val="none"/>
        </w:rPr>
      </w:pPr>
      <w:r>
        <w:rPr>
          <w:iCs/>
          <w:color w:val="000000"/>
          <w:highlight w:val="none"/>
        </w:rPr>
      </w:r>
      <w:r/>
    </w:p>
    <w:p>
      <w:pPr>
        <w:jc w:val="center"/>
        <w:spacing w:before="50" w:after="50"/>
        <w:widowControl/>
        <w:rPr>
          <w:color w:val="000000"/>
          <w:highlight w:val="none"/>
        </w:rPr>
      </w:pPr>
      <w:r>
        <w:rPr>
          <w:color w:val="000000"/>
          <w:highlight w:val="none"/>
        </w:rPr>
        <w:tab/>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color w:val="000000"/>
          <w:highlight w:val="none"/>
        </w:rPr>
      </w:pPr>
      <w:r>
        <w:rPr>
          <w:color w:val="000000"/>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center"/>
        <w:spacing w:before="50" w:after="50"/>
        <w:widowControl/>
        <w:rPr>
          <w:rFonts w:ascii="宋体" w:hAnsi="宋体" w:eastAsia="宋体" w:cs="宋体"/>
          <w:color w:val="000000"/>
          <w:sz w:val="32"/>
          <w:szCs w:val="32"/>
          <w:highlight w:val="none"/>
        </w:rPr>
      </w:pPr>
      <w:r>
        <w:rPr>
          <w:rFonts w:ascii="宋体" w:hAnsi="宋体" w:eastAsia="宋体" w:cs="宋体"/>
          <w:color w:val="000000"/>
          <w:sz w:val="32"/>
          <w:szCs w:val="32"/>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jc w:val="both"/>
        <w:spacing w:line="400" w:lineRule="atLeast"/>
        <w:rPr>
          <w:rFonts w:ascii="宋体" w:hAnsi="宋体" w:eastAsia="宋体" w:cs="宋体"/>
          <w:color w:val="000000"/>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highlight w:val="none"/>
        </w:rPr>
      </w:r>
      <w:r/>
    </w:p>
    <w:p>
      <w:pPr>
        <w:pStyle w:val="909"/>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09"/>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09"/>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pStyle w:val="909"/>
        <w:ind w:firstLine="480"/>
        <w:jc w:val="center"/>
        <w:keepLines w:val="0"/>
        <w:keepNext w:val="0"/>
        <w:pageBreakBefore w:val="0"/>
        <w:spacing w:beforeAutospacing="0" w:afterAutospacing="0" w:line="480" w:lineRule="exact"/>
        <w:rPr>
          <w:rFonts w:hint="eastAsia" w:ascii="宋体" w:hAnsi="宋体" w:eastAsia="宋体" w:cs="宋体"/>
          <w:b/>
          <w:i/>
          <w:iCs/>
          <w:color w:val="000000"/>
          <w:sz w:val="32"/>
          <w:szCs w:val="24"/>
          <w:highlight w:val="none"/>
          <w:lang w:val="en-US" w:eastAsia="zh-CN" w:bidi="ar-SA"/>
        </w:rPr>
      </w:pPr>
      <w:r>
        <w:rPr>
          <w:rFonts w:hint="eastAsia" w:ascii="宋体" w:hAnsi="宋体" w:eastAsia="宋体" w:cs="宋体"/>
          <w:b/>
          <w:i/>
          <w:iCs/>
          <w:color w:val="000000"/>
          <w:sz w:val="32"/>
          <w:szCs w:val="24"/>
          <w:highlight w:val="none"/>
          <w:lang w:val="en-US" w:eastAsia="zh-CN" w:bidi="ar-SA"/>
        </w:rPr>
      </w:r>
      <w:r/>
    </w:p>
    <w:p>
      <w:pPr>
        <w:shd w:val="nil"/>
        <w:rPr>
          <w:rFonts w:hint="eastAsia" w:ascii="宋体" w:hAnsi="宋体" w:eastAsia="宋体" w:cs="宋体"/>
          <w:b/>
          <w:bCs/>
          <w:i/>
          <w:color w:val="000000"/>
          <w:sz w:val="32"/>
          <w:szCs w:val="32"/>
          <w:highlight w:val="none"/>
          <w:lang w:val="en-US" w:eastAsia="zh-CN" w:bidi="ar-SA"/>
        </w:rPr>
      </w:pPr>
      <w:r>
        <w:rPr>
          <w:rFonts w:hint="eastAsia" w:ascii="宋体" w:hAnsi="宋体" w:eastAsia="宋体" w:cs="宋体"/>
          <w:b/>
          <w:i/>
          <w:iCs/>
          <w:color w:val="000000"/>
          <w:sz w:val="32"/>
          <w:szCs w:val="24"/>
          <w:highlight w:val="none"/>
          <w:lang w:val="en-US" w:eastAsia="zh-CN" w:bidi="ar-SA"/>
        </w:rPr>
        <w:br w:type="page" w:clear="all"/>
      </w:r>
      <w:r>
        <w:rPr>
          <w:rFonts w:hint="eastAsia" w:ascii="宋体" w:hAnsi="宋体" w:eastAsia="宋体" w:cs="宋体"/>
          <w:b/>
          <w:i/>
          <w:iCs/>
          <w:color w:val="000000"/>
          <w:sz w:val="32"/>
          <w:szCs w:val="24"/>
          <w:highlight w:val="none"/>
          <w:lang w:val="en-US" w:eastAsia="zh-CN" w:bidi="ar-SA"/>
        </w:rPr>
      </w:r>
    </w:p>
    <w:p>
      <w:pPr>
        <w:pStyle w:val="909"/>
        <w:ind w:firstLine="480"/>
        <w:jc w:val="center"/>
        <w:keepLines w:val="0"/>
        <w:keepNext w:val="0"/>
        <w:pageBreakBefore w:val="0"/>
        <w:spacing w:beforeAutospacing="0" w:afterAutospacing="0" w:line="480" w:lineRule="exact"/>
        <w:rPr>
          <w:rFonts w:hint="eastAsia" w:ascii="宋体" w:hAnsi="宋体" w:eastAsia="宋体" w:cs="宋体"/>
          <w:b/>
          <w:bCs/>
          <w:i/>
          <w:iCs/>
          <w:color w:val="000000"/>
          <w:sz w:val="32"/>
          <w:szCs w:val="32"/>
          <w:highlight w:val="none"/>
          <w:lang w:val="en-US" w:eastAsia="zh-CN" w:bidi="ar-SA"/>
        </w:rPr>
      </w:pPr>
      <w:r>
        <w:rPr>
          <w:rFonts w:hint="eastAsia" w:ascii="宋体" w:hAnsi="宋体" w:eastAsia="宋体" w:cs="宋体"/>
          <w:b/>
          <w:i/>
          <w:iCs/>
          <w:color w:val="000000"/>
          <w:sz w:val="32"/>
          <w:szCs w:val="24"/>
          <w:highlight w:val="none"/>
          <w:lang w:val="en-US" w:eastAsia="zh-CN" w:bidi="ar-SA"/>
        </w:rPr>
        <w:t xml:space="preserve">十四、投标分项报价表</w:t>
      </w:r>
      <w:r/>
    </w:p>
    <w:tbl>
      <w:tblPr>
        <w:tblStyle w:val="875"/>
        <w:tblW w:w="10400" w:type="dxa"/>
        <w:tblInd w:w="9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334"/>
        <w:gridCol w:w="2236"/>
        <w:gridCol w:w="1707"/>
        <w:gridCol w:w="1707"/>
        <w:gridCol w:w="1707"/>
        <w:gridCol w:w="1709"/>
      </w:tblGrid>
      <w:tr>
        <w:trPr>
          <w:trHeight w:val="662"/>
        </w:trPr>
        <w:tc>
          <w:tcPr>
            <w:gridSpan w:val="6"/>
            <w:shd w:val="clear" w:color="auto" w:fill="auto"/>
            <w:tcBorders>
              <w:top w:val="none" w:color="000000" w:sz="4" w:space="0"/>
              <w:left w:val="none" w:color="000000" w:sz="4" w:space="0"/>
              <w:bottom w:val="none" w:color="000000" w:sz="4" w:space="0"/>
              <w:right w:val="none" w:color="000000" w:sz="4" w:space="0"/>
            </w:tcBorders>
            <w:tcW w:w="10400" w:type="dxa"/>
            <w:vAlign w:val="center"/>
            <w:textDirection w:val="lrTb"/>
            <w:noWrap w:val="false"/>
          </w:tcPr>
          <w:p>
            <w:pPr>
              <w:jc w:val="center"/>
              <w:keepLines w:val="0"/>
              <w:keepNext w:val="0"/>
              <w:widowControl/>
              <w:rPr>
                <w:rFonts w:hint="default" w:ascii="宋体" w:hAnsi="宋体" w:eastAsia="宋体" w:cs="宋体"/>
                <w:i w:val="0"/>
                <w:iCs w:val="0"/>
                <w:color w:val="000000"/>
                <w:sz w:val="40"/>
                <w:szCs w:val="40"/>
                <w:u w:val="none"/>
                <w:lang w:val="en-US"/>
              </w:rPr>
              <w:suppressLineNumbers w:val="0"/>
            </w:pPr>
            <w:r>
              <w:rPr>
                <w:rFonts w:hint="eastAsia" w:ascii="宋体" w:hAnsi="宋体" w:eastAsia="宋体" w:cs="宋体"/>
                <w:i w:val="0"/>
                <w:iCs w:val="0"/>
                <w:color w:val="000000"/>
                <w:sz w:val="32"/>
                <w:szCs w:val="32"/>
                <w:u w:val="none"/>
                <w:lang w:val="en-US" w:eastAsia="zh-CN" w:bidi="ar"/>
              </w:rPr>
              <w:t xml:space="preserve">伍佑街道2025年秸秆离田项目全费用报价表</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合价（元）</w:t>
            </w:r>
            <w:r/>
          </w:p>
        </w:tc>
      </w:tr>
      <w:tr>
        <w:trPr>
          <w:trHeight w:val="875"/>
        </w:trPr>
        <w:tc>
          <w:tcPr>
            <w:shd w:val="clear" w:color="auto" w:fill="auto"/>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3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伍佑街道2025年秸秆离田项目</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18000</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亩</w:t>
            </w:r>
            <w:r/>
          </w:p>
        </w:tc>
        <w:tc>
          <w:tcPr>
            <w:shd w:val="clear" w:color="auto" w:fill="auto"/>
            <w:tcBorders>
              <w:top w:val="single" w:color="000000" w:sz="4" w:space="0"/>
              <w:left w:val="single" w:color="000000" w:sz="4" w:space="0"/>
              <w:bottom w:val="single" w:color="000000" w:sz="4" w:space="0"/>
              <w:right w:val="single" w:color="000000" w:sz="4" w:space="0"/>
            </w:tcBorders>
            <w:tcW w:w="1707"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09"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775"/>
        </w:trPr>
        <w:tc>
          <w:tcPr>
            <w:gridSpan w:val="4"/>
            <w:shd w:val="clear" w:color="auto" w:fill="auto"/>
            <w:tcBorders>
              <w:top w:val="single" w:color="000000" w:sz="4" w:space="0"/>
              <w:left w:val="single" w:color="000000" w:sz="4" w:space="0"/>
              <w:bottom w:val="single" w:color="000000" w:sz="4" w:space="0"/>
              <w:right w:val="single" w:color="000000" w:sz="4" w:space="0"/>
            </w:tcBorders>
            <w:tcW w:w="6984"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总计</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3416" w:type="dxa"/>
            <w:vAlign w:val="center"/>
            <w:textDirection w:val="lrTb"/>
            <w:noWrap w:val="false"/>
          </w:tcPr>
          <w:p>
            <w:pPr>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803"/>
        </w:trPr>
        <w:tc>
          <w:tcPr>
            <w:gridSpan w:val="6"/>
            <w:shd w:val="clear" w:color="auto" w:fill="auto"/>
            <w:tcBorders>
              <w:top w:val="none" w:color="000000" w:sz="4" w:space="0"/>
              <w:left w:val="none" w:color="000000" w:sz="4" w:space="0"/>
              <w:bottom w:val="none" w:color="000000" w:sz="4" w:space="0"/>
              <w:right w:val="none" w:color="000000" w:sz="4" w:space="0"/>
            </w:tcBorders>
            <w:tcW w:w="10400" w:type="dxa"/>
            <w:vAlign w:val="top"/>
            <w:textDirection w:val="lrTb"/>
            <w:noWrap w:val="false"/>
          </w:tcPr>
          <w:p>
            <w:pPr>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注：本项目采用全费用综合单价报价，投标报价包含但不限于为完成本项目发生的所有费用，包括并不限于为完成上述内容所必须秸秆离田、秸秆处理、其他费用及管理费、利润、规费、税金、地方矛盾协调等全部费用，凡漏项或少计均视为优惠，采购人不另行增加费用。投标总价为考虑上述各项费用后的投标总价。甲方在上述合同价款之外不再向乙方支付其他任何费用。</w:t>
            </w:r>
            <w:r/>
          </w:p>
        </w:tc>
      </w:tr>
    </w:tbl>
    <w:p>
      <w:pPr>
        <w:pStyle w:val="909"/>
        <w:ind w:firstLine="480"/>
        <w:jc w:val="right"/>
        <w:keepLines w:val="0"/>
        <w:keepNext w:val="0"/>
        <w:pageBreakBefore w:val="0"/>
        <w:spacing w:beforeAutospacing="0" w:afterAutospacing="0" w:line="480" w:lineRule="exact"/>
        <w:rPr>
          <w:rFonts w:hint="eastAsia" w:ascii="宋体" w:hAnsi="宋体" w:eastAsia="宋体" w:cs="宋体"/>
          <w:b w:val="0"/>
          <w:bCs/>
          <w:i w:val="0"/>
          <w:iCs w:val="0"/>
          <w:color w:val="000000"/>
          <w:sz w:val="22"/>
          <w:szCs w:val="20"/>
          <w:highlight w:val="none"/>
          <w:lang w:val="en-US" w:eastAsia="zh-CN" w:bidi="ar-SA"/>
        </w:rPr>
      </w:pPr>
      <w:r>
        <w:rPr>
          <w:rFonts w:hint="eastAsia" w:ascii="宋体" w:hAnsi="宋体" w:eastAsia="宋体" w:cs="宋体"/>
          <w:b w:val="0"/>
          <w:bCs/>
          <w:i w:val="0"/>
          <w:iCs w:val="0"/>
          <w:color w:val="000000"/>
          <w:sz w:val="22"/>
          <w:szCs w:val="20"/>
          <w:highlight w:val="none"/>
          <w:lang w:val="en-US" w:eastAsia="zh-CN" w:bidi="ar-SA"/>
        </w:rPr>
      </w:r>
      <w:r/>
    </w:p>
    <w:p>
      <w:pPr>
        <w:pStyle w:val="909"/>
        <w:ind w:firstLine="480"/>
        <w:jc w:val="right"/>
        <w:keepLines w:val="0"/>
        <w:keepNext w:val="0"/>
        <w:pageBreakBefore w:val="0"/>
        <w:spacing w:beforeAutospacing="0" w:afterAutospacing="0" w:line="480" w:lineRule="exact"/>
        <w:rPr>
          <w:rFonts w:hint="eastAsia" w:ascii="宋体" w:hAnsi="宋体" w:eastAsia="宋体" w:cs="宋体"/>
          <w:b w:val="0"/>
          <w:bCs/>
          <w:i w:val="0"/>
          <w:iCs w:val="0"/>
          <w:color w:val="000000"/>
          <w:sz w:val="22"/>
          <w:szCs w:val="20"/>
          <w:highlight w:val="none"/>
          <w:lang w:val="en-US" w:eastAsia="zh-CN" w:bidi="ar-SA"/>
        </w:rPr>
      </w:pPr>
      <w:r>
        <w:rPr>
          <w:rFonts w:hint="eastAsia" w:ascii="宋体" w:hAnsi="宋体" w:eastAsia="宋体" w:cs="宋体"/>
          <w:b w:val="0"/>
          <w:bCs/>
          <w:i w:val="0"/>
          <w:iCs w:val="0"/>
          <w:color w:val="000000"/>
          <w:sz w:val="22"/>
          <w:szCs w:val="20"/>
          <w:highlight w:val="none"/>
          <w:lang w:val="en-US" w:eastAsia="zh-CN" w:bidi="ar-SA"/>
        </w:rPr>
      </w:r>
      <w:r/>
    </w:p>
    <w:p>
      <w:pPr>
        <w:pStyle w:val="909"/>
        <w:ind w:firstLine="480"/>
        <w:jc w:val="right"/>
        <w:keepLines w:val="0"/>
        <w:keepNext w:val="0"/>
        <w:pageBreakBefore w:val="0"/>
        <w:spacing w:beforeAutospacing="0" w:afterAutospacing="0" w:line="480" w:lineRule="exact"/>
        <w:rPr>
          <w:rFonts w:hint="eastAsia" w:ascii="宋体" w:hAnsi="宋体" w:eastAsia="宋体" w:cs="宋体"/>
          <w:b w:val="0"/>
          <w:bCs/>
          <w:i w:val="0"/>
          <w:iCs w:val="0"/>
          <w:color w:val="000000"/>
          <w:sz w:val="22"/>
          <w:szCs w:val="20"/>
          <w:highlight w:val="none"/>
          <w:lang w:val="en-US" w:eastAsia="zh-CN" w:bidi="ar-SA"/>
        </w:rPr>
      </w:pPr>
      <w:r>
        <w:rPr>
          <w:rFonts w:hint="eastAsia" w:ascii="宋体" w:hAnsi="宋体" w:eastAsia="宋体" w:cs="宋体"/>
          <w:b w:val="0"/>
          <w:bCs/>
          <w:i w:val="0"/>
          <w:iCs w:val="0"/>
          <w:color w:val="000000"/>
          <w:sz w:val="22"/>
          <w:szCs w:val="20"/>
          <w:highlight w:val="none"/>
          <w:lang w:val="en-US" w:eastAsia="zh-CN" w:bidi="ar-SA"/>
        </w:rPr>
        <w:t xml:space="preserve">投标单位（</w:t>
      </w:r>
      <w:r>
        <w:rPr>
          <w:rFonts w:hint="eastAsia" w:ascii="宋体" w:hAnsi="宋体" w:eastAsia="宋体" w:cs="宋体"/>
          <w:color w:val="000000"/>
          <w:highlight w:val="none"/>
        </w:rPr>
        <w:t xml:space="preserve">加盖CA电子签章</w:t>
      </w:r>
      <w:r>
        <w:rPr>
          <w:rFonts w:hint="eastAsia" w:ascii="宋体" w:hAnsi="宋体" w:eastAsia="宋体" w:cs="宋体"/>
          <w:b w:val="0"/>
          <w:bCs/>
          <w:i w:val="0"/>
          <w:iCs w:val="0"/>
          <w:color w:val="000000"/>
          <w:sz w:val="22"/>
          <w:szCs w:val="20"/>
          <w:highlight w:val="none"/>
          <w:lang w:val="en-US" w:eastAsia="zh-CN" w:bidi="ar-SA"/>
        </w:rPr>
        <w:t xml:space="preserve">）：</w:t>
      </w:r>
      <w:r/>
    </w:p>
    <w:p>
      <w:pPr>
        <w:pStyle w:val="909"/>
        <w:ind w:firstLine="480"/>
        <w:jc w:val="right"/>
        <w:keepLines w:val="0"/>
        <w:keepNext w:val="0"/>
        <w:pageBreakBefore w:val="0"/>
        <w:spacing w:beforeAutospacing="0" w:afterAutospacing="0" w:line="480" w:lineRule="exact"/>
        <w:rPr>
          <w:rFonts w:hint="default" w:ascii="宋体" w:hAnsi="宋体" w:eastAsia="宋体" w:cs="宋体"/>
          <w:b w:val="0"/>
          <w:bCs/>
          <w:i w:val="0"/>
          <w:iCs w:val="0"/>
          <w:color w:val="000000"/>
          <w:sz w:val="22"/>
          <w:szCs w:val="20"/>
          <w:highlight w:val="none"/>
          <w:lang w:val="en-US" w:eastAsia="zh-CN" w:bidi="ar-SA"/>
        </w:rPr>
      </w:pPr>
      <w:r>
        <w:rPr>
          <w:rFonts w:hint="eastAsia" w:ascii="宋体" w:hAnsi="宋体" w:eastAsia="宋体" w:cs="宋体"/>
          <w:b w:val="0"/>
          <w:bCs/>
          <w:i w:val="0"/>
          <w:iCs w:val="0"/>
          <w:color w:val="000000"/>
          <w:sz w:val="22"/>
          <w:szCs w:val="20"/>
          <w:highlight w:val="none"/>
          <w:lang w:val="en-US" w:eastAsia="zh-CN" w:bidi="ar-SA"/>
        </w:rPr>
        <w:t xml:space="preserve">日期：</w:t>
      </w:r>
      <w:r/>
    </w:p>
    <w:p>
      <w:pPr>
        <w:pStyle w:val="909"/>
        <w:ind w:firstLine="480"/>
        <w:jc w:val="center"/>
        <w:keepLines w:val="0"/>
        <w:keepNext w:val="0"/>
        <w:pageBreakBefore w:val="0"/>
        <w:spacing w:beforeAutospacing="0" w:afterAutospacing="0" w:line="480" w:lineRule="exact"/>
        <w:rPr>
          <w:rFonts w:ascii="宋体" w:hAnsi="宋体" w:eastAsia="宋体" w:cs="宋体"/>
          <w:b/>
          <w:i/>
          <w:iCs/>
          <w:color w:val="000000"/>
          <w:sz w:val="32"/>
          <w:szCs w:val="24"/>
          <w:highlight w:val="none"/>
          <w:lang w:val="en-US" w:eastAsia="zh-CN" w:bidi="ar-SA"/>
        </w:rPr>
      </w:pPr>
      <w:r>
        <w:rPr>
          <w:rFonts w:ascii="宋体" w:hAnsi="宋体" w:eastAsia="宋体" w:cs="宋体"/>
          <w:b/>
          <w:i/>
          <w:iCs/>
          <w:color w:val="000000"/>
          <w:sz w:val="32"/>
          <w:szCs w:val="24"/>
          <w:highlight w:val="none"/>
          <w:lang w:val="en-US" w:eastAsia="zh-CN" w:bidi="ar-SA"/>
        </w:rPr>
      </w:r>
      <w:r/>
    </w:p>
    <w:p>
      <w:pPr>
        <w:rPr>
          <w:rFonts w:hint="eastAsia" w:ascii="宋体" w:hAnsi="宋体" w:eastAsia="宋体" w:cs="宋体"/>
          <w:b/>
          <w:i/>
          <w:iCs/>
          <w:color w:val="000000"/>
          <w:sz w:val="32"/>
          <w:highlight w:val="none"/>
        </w:rPr>
      </w:pPr>
      <w:r>
        <w:rPr>
          <w:rFonts w:hint="eastAsia" w:ascii="宋体" w:hAnsi="宋体" w:eastAsia="宋体" w:cs="宋体"/>
          <w:b/>
          <w:i/>
          <w:iCs/>
          <w:color w:val="000000"/>
          <w:sz w:val="32"/>
          <w:highlight w:val="none"/>
        </w:rPr>
        <w:br w:type="page" w:clear="all"/>
      </w:r>
      <w:r/>
    </w:p>
    <w:p>
      <w:pPr>
        <w:jc w:val="center"/>
        <w:spacing w:line="499" w:lineRule="atLeast"/>
        <w:widowControl/>
        <w:rPr>
          <w:rFonts w:ascii="宋体" w:hAnsi="宋体" w:eastAsia="宋体" w:cs="宋体"/>
          <w:color w:val="000000"/>
          <w:sz w:val="24"/>
          <w:highlight w:val="none"/>
        </w:rPr>
      </w:pPr>
      <w:r>
        <w:rPr>
          <w:rFonts w:hint="eastAsia" w:ascii="宋体" w:hAnsi="宋体" w:eastAsia="宋体" w:cs="宋体"/>
          <w:b/>
          <w:i/>
          <w:iCs/>
          <w:color w:val="000000"/>
          <w:sz w:val="32"/>
          <w:highlight w:val="none"/>
        </w:rPr>
        <w:t xml:space="preserve">十五</w:t>
      </w:r>
      <w:bookmarkEnd w:id="188"/>
      <w:r/>
      <w:bookmarkEnd w:id="189"/>
      <w:r/>
      <w:bookmarkEnd w:id="190"/>
      <w:r/>
      <w:bookmarkEnd w:id="199"/>
      <w:r/>
      <w:bookmarkEnd w:id="200"/>
      <w:r/>
      <w:bookmarkEnd w:id="201"/>
      <w:r/>
      <w:bookmarkEnd w:id="202"/>
      <w:r/>
      <w:bookmarkEnd w:id="203"/>
      <w:r>
        <w:rPr>
          <w:rFonts w:hint="eastAsia" w:ascii="宋体" w:hAnsi="宋体" w:eastAsia="宋体" w:cs="宋体"/>
          <w:b/>
          <w:bCs/>
          <w:i/>
          <w:iCs/>
          <w:color w:val="000000"/>
          <w:sz w:val="32"/>
          <w:szCs w:val="32"/>
          <w:highlight w:val="none"/>
        </w:rPr>
        <w:t xml:space="preserve">、盐城市政府采购事前信用承诺书</w:t>
      </w:r>
      <w:r/>
    </w:p>
    <w:p>
      <w:pPr>
        <w:ind w:firstLine="48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为营造我市公开、公平、公正、诚实守信的政府采购交易环境，树立诚信守法的投标人形象，本人代表本单位作出以下承诺：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（三）严格依照国家和省、市关于政府采购的法律、法规、规章、规范性文件，参加政府采购投标活动；积极履行社会责任，促进廉政建设； </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（四）严格遵守即时信息公示规定，及时维护和更新维护和更新盐城市政府采购网中与本单位相关的信息；</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（六）自觉接受政府、行业组织、社会公众、新闻舆论的监督；</w:t>
      </w:r>
      <w:r/>
    </w:p>
    <w:p>
      <w:pPr>
        <w:ind w:firstLine="240"/>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keepLines w:val="0"/>
        <w:keepNext w:val="0"/>
        <w:pageBreakBefore w:val="0"/>
        <w:spacing w:line="419"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（八）本人已认真阅读了上述承诺，并向本单位员工作了宣传教育。</w:t>
      </w:r>
      <w:r/>
    </w:p>
    <w:p>
      <w:pPr>
        <w:ind w:left="0"/>
        <w:jc w:val="left"/>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法定代表人签名：</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单位名称（盖章）：</w:t>
      </w:r>
      <w:r/>
    </w:p>
    <w:p>
      <w:pPr>
        <w:ind w:left="0"/>
        <w:jc w:val="center"/>
        <w:keepLines w:val="0"/>
        <w:keepNext w:val="0"/>
        <w:pageBreakBefore w:val="0"/>
        <w:spacing w:line="400" w:lineRule="atLeas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年月日</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jc w:val="center"/>
        <w:spacing w:line="499" w:lineRule="atLeast"/>
        <w:widowControl/>
        <w:rPr>
          <w:rFonts w:hint="eastAsia" w:ascii="宋体" w:hAnsi="宋体" w:eastAsia="宋体" w:cs="宋体"/>
          <w:color w:val="000000"/>
          <w:sz w:val="24"/>
          <w:highlight w:val="none"/>
          <w:lang w:val="en-US" w:eastAsia="zh-CN"/>
        </w:rPr>
      </w:pPr>
      <w:r>
        <w:rPr>
          <w:rFonts w:hint="eastAsia" w:ascii="宋体" w:hAnsi="宋体" w:eastAsia="宋体" w:cs="宋体"/>
          <w:b/>
          <w:i/>
          <w:iCs/>
          <w:color w:val="000000"/>
          <w:sz w:val="32"/>
          <w:highlight w:val="none"/>
        </w:rPr>
        <w:t xml:space="preserve">十</w:t>
      </w:r>
      <w:r>
        <w:rPr>
          <w:rFonts w:hint="eastAsia" w:ascii="宋体" w:hAnsi="宋体" w:eastAsia="宋体" w:cs="宋体"/>
          <w:b/>
          <w:i/>
          <w:iCs/>
          <w:color w:val="000000"/>
          <w:sz w:val="32"/>
          <w:highlight w:val="none"/>
          <w:lang w:val="en-US" w:eastAsia="zh-CN"/>
        </w:rPr>
        <w:t xml:space="preserve">六</w:t>
      </w:r>
      <w:r>
        <w:rPr>
          <w:rFonts w:hint="eastAsia" w:ascii="宋体" w:hAnsi="宋体" w:eastAsia="宋体" w:cs="宋体"/>
          <w:b/>
          <w:bCs/>
          <w:i/>
          <w:iCs/>
          <w:color w:val="000000"/>
          <w:sz w:val="32"/>
          <w:szCs w:val="32"/>
          <w:highlight w:val="none"/>
        </w:rPr>
        <w:t xml:space="preserve">、</w:t>
      </w:r>
      <w:r>
        <w:rPr>
          <w:rFonts w:hint="eastAsia" w:ascii="宋体" w:hAnsi="宋体" w:eastAsia="宋体" w:cs="宋体"/>
          <w:b/>
          <w:bCs/>
          <w:i/>
          <w:iCs/>
          <w:color w:val="000000"/>
          <w:sz w:val="32"/>
          <w:szCs w:val="32"/>
          <w:highlight w:val="none"/>
          <w:lang w:val="en-US" w:eastAsia="zh-CN"/>
        </w:rPr>
        <w:t xml:space="preserve">业绩一览表</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30"/>
        <w:gridCol w:w="2130"/>
        <w:gridCol w:w="1980"/>
        <w:gridCol w:w="2400"/>
        <w:gridCol w:w="2422"/>
      </w:tblGrid>
      <w:tr>
        <w:trPr/>
        <w:tc>
          <w:tcPr>
            <w:tcW w:w="10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序号</w:t>
            </w:r>
            <w:r/>
          </w:p>
        </w:tc>
        <w:tc>
          <w:tcPr>
            <w:tcW w:w="21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业绩项目</w:t>
            </w:r>
            <w:r/>
          </w:p>
          <w:p>
            <w:pPr>
              <w:jc w:val="center"/>
              <w:rPr>
                <w:rFonts w:hint="eastAsia"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名称</w:t>
            </w:r>
            <w:r/>
          </w:p>
        </w:tc>
        <w:tc>
          <w:tcPr>
            <w:tcW w:w="1980" w:type="dxa"/>
            <w:vAlign w:val="center"/>
            <w:textDirection w:val="lrTb"/>
            <w:noWrap w:val="false"/>
          </w:tcPr>
          <w:p>
            <w:pPr>
              <w:jc w:val="center"/>
              <w:rPr>
                <w:rFonts w:hint="default"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业绩合同签订时间</w:t>
            </w:r>
            <w:r/>
          </w:p>
        </w:tc>
        <w:tc>
          <w:tcPr>
            <w:tcW w:w="2400" w:type="dxa"/>
            <w:vAlign w:val="center"/>
            <w:textDirection w:val="lrTb"/>
            <w:noWrap w:val="false"/>
          </w:tcPr>
          <w:p>
            <w:pPr>
              <w:jc w:val="center"/>
              <w:rPr>
                <w:rFonts w:hint="default"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业绩合同甲方单位名称</w:t>
            </w:r>
            <w:r/>
          </w:p>
        </w:tc>
        <w:tc>
          <w:tcPr>
            <w:tcW w:w="2422" w:type="dxa"/>
            <w:vAlign w:val="center"/>
            <w:textDirection w:val="lrTb"/>
            <w:noWrap w:val="false"/>
          </w:tcPr>
          <w:p>
            <w:pPr>
              <w:jc w:val="center"/>
              <w:rPr>
                <w:rFonts w:hint="default"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甲方联系人及联系方式</w:t>
            </w:r>
            <w:r/>
          </w:p>
        </w:tc>
      </w:tr>
      <w:tr>
        <w:trPr/>
        <w:tc>
          <w:tcPr>
            <w:tcW w:w="10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r>
      <w:tr>
        <w:trPr/>
        <w:tc>
          <w:tcPr>
            <w:tcW w:w="10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13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198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r>
      <w:tr>
        <w:trPr/>
        <w:tc>
          <w:tcPr>
            <w:tcW w:w="1030" w:type="dxa"/>
            <w:vAlign w:val="center"/>
            <w:textDirection w:val="lrTb"/>
            <w:noWrap w:val="false"/>
          </w:tcPr>
          <w:p>
            <w:pPr>
              <w:jc w:val="center"/>
              <w:rPr>
                <w:rFonts w:hint="default"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w:t>
            </w:r>
            <w:r/>
          </w:p>
        </w:tc>
        <w:tc>
          <w:tcPr>
            <w:tcW w:w="2130" w:type="dxa"/>
            <w:vAlign w:val="center"/>
            <w:textDirection w:val="lrTb"/>
            <w:noWrap w:val="false"/>
          </w:tcPr>
          <w:p>
            <w:pPr>
              <w:jc w:val="center"/>
              <w:rPr>
                <w:rFonts w:hint="default"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w:t>
            </w:r>
            <w:r/>
          </w:p>
        </w:tc>
        <w:tc>
          <w:tcPr>
            <w:tcW w:w="198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r>
      <w:tr>
        <w:trPr/>
        <w:tc>
          <w:tcPr>
            <w:tcW w:w="1030" w:type="dxa"/>
            <w:vAlign w:val="center"/>
            <w:textDirection w:val="lrTb"/>
            <w:noWrap w:val="false"/>
          </w:tcPr>
          <w:p>
            <w:pPr>
              <w:jc w:val="center"/>
              <w:rPr>
                <w:rFonts w:hint="default"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w:t>
            </w:r>
            <w:r/>
          </w:p>
        </w:tc>
        <w:tc>
          <w:tcPr>
            <w:tcW w:w="2130" w:type="dxa"/>
            <w:vAlign w:val="center"/>
            <w:textDirection w:val="lrTb"/>
            <w:noWrap w:val="false"/>
          </w:tcPr>
          <w:p>
            <w:pPr>
              <w:jc w:val="center"/>
              <w:rPr>
                <w:rFonts w:hint="default" w:ascii="宋体" w:hAnsi="宋体" w:eastAsia="宋体" w:cs="宋体"/>
                <w:b/>
                <w:bCs w:val="0"/>
                <w:color w:val="000000"/>
                <w:sz w:val="32"/>
                <w:szCs w:val="32"/>
                <w:highlight w:val="none"/>
                <w:vertAlign w:val="baseline"/>
                <w:lang w:val="en-US" w:eastAsia="zh-CN"/>
              </w:rPr>
            </w:pPr>
            <w:r>
              <w:rPr>
                <w:rFonts w:hint="eastAsia" w:ascii="宋体" w:hAnsi="宋体" w:eastAsia="宋体" w:cs="宋体"/>
                <w:b/>
                <w:bCs w:val="0"/>
                <w:color w:val="000000"/>
                <w:sz w:val="32"/>
                <w:szCs w:val="32"/>
                <w:highlight w:val="none"/>
                <w:vertAlign w:val="baseline"/>
                <w:lang w:val="en-US" w:eastAsia="zh-CN"/>
              </w:rPr>
              <w:t xml:space="preserve">...</w:t>
            </w:r>
            <w:r/>
          </w:p>
        </w:tc>
        <w:tc>
          <w:tcPr>
            <w:tcW w:w="198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00"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c>
          <w:tcPr>
            <w:tcW w:w="2422" w:type="dxa"/>
            <w:vAlign w:val="center"/>
            <w:textDirection w:val="lrTb"/>
            <w:noWrap w:val="false"/>
          </w:tcPr>
          <w:p>
            <w:pPr>
              <w:jc w:val="center"/>
              <w:rPr>
                <w:rFonts w:hint="eastAsia" w:ascii="宋体" w:hAnsi="宋体" w:eastAsia="宋体" w:cs="宋体"/>
                <w:b/>
                <w:bCs w:val="0"/>
                <w:color w:val="000000"/>
                <w:sz w:val="32"/>
                <w:szCs w:val="32"/>
                <w:highlight w:val="none"/>
                <w:vertAlign w:val="baseline"/>
              </w:rPr>
            </w:pPr>
            <w:r>
              <w:rPr>
                <w:rFonts w:hint="eastAsia" w:ascii="宋体" w:hAnsi="宋体" w:eastAsia="宋体" w:cs="宋体"/>
                <w:b/>
                <w:bCs w:val="0"/>
                <w:color w:val="000000"/>
                <w:sz w:val="32"/>
                <w:szCs w:val="32"/>
                <w:highlight w:val="none"/>
                <w:vertAlign w:val="baseline"/>
              </w:rPr>
            </w:r>
            <w:r/>
          </w:p>
        </w:tc>
      </w:tr>
    </w:tbl>
    <w:p>
      <w:pPr>
        <w:pStyle w:val="909"/>
        <w:ind w:firstLine="480"/>
        <w:jc w:val="right"/>
        <w:keepLines w:val="0"/>
        <w:keepNext w:val="0"/>
        <w:pageBreakBefore w:val="0"/>
        <w:spacing w:beforeAutospacing="0" w:afterAutospacing="0" w:line="480" w:lineRule="exact"/>
        <w:rPr>
          <w:rFonts w:hint="eastAsia" w:ascii="宋体" w:hAnsi="宋体" w:eastAsia="宋体" w:cs="宋体"/>
          <w:b w:val="0"/>
          <w:bCs/>
          <w:i w:val="0"/>
          <w:iCs w:val="0"/>
          <w:color w:val="000000"/>
          <w:sz w:val="22"/>
          <w:szCs w:val="20"/>
          <w:highlight w:val="none"/>
          <w:lang w:val="en-US" w:eastAsia="zh-CN" w:bidi="ar-SA"/>
        </w:rPr>
      </w:pPr>
      <w:r>
        <w:rPr>
          <w:rFonts w:hint="eastAsia" w:ascii="宋体" w:hAnsi="宋体" w:eastAsia="宋体" w:cs="宋体"/>
          <w:b w:val="0"/>
          <w:bCs/>
          <w:i w:val="0"/>
          <w:iCs w:val="0"/>
          <w:color w:val="000000"/>
          <w:sz w:val="22"/>
          <w:szCs w:val="20"/>
          <w:highlight w:val="none"/>
          <w:lang w:val="en-US" w:eastAsia="zh-CN" w:bidi="ar-SA"/>
        </w:rPr>
        <w:t xml:space="preserve">投标单位（</w:t>
      </w:r>
      <w:r>
        <w:rPr>
          <w:rFonts w:hint="eastAsia" w:ascii="宋体" w:hAnsi="宋体" w:eastAsia="宋体" w:cs="宋体"/>
          <w:color w:val="000000"/>
          <w:highlight w:val="none"/>
        </w:rPr>
        <w:t xml:space="preserve">加盖CA电子签章</w:t>
      </w:r>
      <w:r>
        <w:rPr>
          <w:rFonts w:hint="eastAsia" w:ascii="宋体" w:hAnsi="宋体" w:eastAsia="宋体" w:cs="宋体"/>
          <w:b w:val="0"/>
          <w:bCs/>
          <w:i w:val="0"/>
          <w:iCs w:val="0"/>
          <w:color w:val="000000"/>
          <w:sz w:val="22"/>
          <w:szCs w:val="20"/>
          <w:highlight w:val="none"/>
          <w:lang w:val="en-US" w:eastAsia="zh-CN" w:bidi="ar-SA"/>
        </w:rPr>
        <w:t xml:space="preserve">）：</w:t>
      </w:r>
      <w:r/>
    </w:p>
    <w:p>
      <w:pPr>
        <w:pStyle w:val="909"/>
        <w:ind w:firstLine="480"/>
        <w:jc w:val="right"/>
        <w:keepLines w:val="0"/>
        <w:keepNext w:val="0"/>
        <w:pageBreakBefore w:val="0"/>
        <w:spacing w:beforeAutospacing="0" w:afterAutospacing="0" w:line="480" w:lineRule="exact"/>
        <w:rPr>
          <w:rFonts w:hint="default" w:ascii="宋体" w:hAnsi="宋体" w:eastAsia="宋体" w:cs="宋体"/>
          <w:b w:val="0"/>
          <w:bCs/>
          <w:i w:val="0"/>
          <w:iCs w:val="0"/>
          <w:color w:val="000000"/>
          <w:sz w:val="22"/>
          <w:szCs w:val="20"/>
          <w:highlight w:val="none"/>
          <w:lang w:val="en-US" w:eastAsia="zh-CN" w:bidi="ar-SA"/>
        </w:rPr>
      </w:pPr>
      <w:r>
        <w:rPr>
          <w:rFonts w:hint="eastAsia" w:ascii="宋体" w:hAnsi="宋体" w:eastAsia="宋体" w:cs="宋体"/>
          <w:b w:val="0"/>
          <w:bCs/>
          <w:i w:val="0"/>
          <w:iCs w:val="0"/>
          <w:color w:val="000000"/>
          <w:sz w:val="22"/>
          <w:szCs w:val="20"/>
          <w:highlight w:val="none"/>
          <w:lang w:val="en-US" w:eastAsia="zh-CN" w:bidi="ar-SA"/>
        </w:rPr>
        <w:t xml:space="preserve">日期：</w:t>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pStyle w:val="909"/>
        <w:jc w:val="center"/>
        <w:spacing w:beforeAutospacing="0" w:afterAutospacing="0"/>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t xml:space="preserve">质疑函范本</w:t>
      </w:r>
      <w:r/>
    </w:p>
    <w:p>
      <w:pPr>
        <w:pStyle w:val="909"/>
        <w:jc w:val="both"/>
        <w:spacing w:before="290"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一、质疑供应商基本信息</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质疑供应商：</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联系人：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授权代表：</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联系电话：</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地址： </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邮编：</w:t>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二、质疑项目基本情况</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质疑项目的名称：</w:t>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质疑项目的编号：</w:t>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包号：</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ab/>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采购人名称：</w:t>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采购文件获取日期：</w:t>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三、质疑事项具体内容</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质疑事项1：</w:t>
      </w:r>
      <w:r>
        <w:rPr>
          <w:rFonts w:hint="eastAsia" w:ascii="宋体" w:hAnsi="宋体" w:eastAsia="宋体" w:cs="宋体"/>
          <w:color w:val="000000"/>
          <w:highlight w:val="none"/>
          <w:u w:val="single"/>
        </w:rPr>
        <w:t xml:space="preserve">                             </w:t>
      </w:r>
      <w:r/>
    </w:p>
    <w:p>
      <w:pPr>
        <w:pStyle w:val="909"/>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事实依据：</w:t>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法律依据：</w:t>
      </w:r>
      <w:r>
        <w:rPr>
          <w:rFonts w:hint="eastAsia" w:ascii="宋体" w:hAnsi="宋体" w:eastAsia="宋体" w:cs="宋体"/>
          <w:color w:val="000000"/>
          <w:highlight w:val="none"/>
          <w:u w:val="single"/>
        </w:rPr>
        <w:t xml:space="preserve">                                                    </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质疑事项2</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四、与质疑事项相关的质疑请求</w:t>
      </w:r>
      <w:r/>
    </w:p>
    <w:p>
      <w:pPr>
        <w:pStyle w:val="909"/>
        <w:jc w:val="both"/>
        <w:spacing w:beforeAutospacing="0" w:afterAutospacing="0"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请求：</w:t>
      </w:r>
      <w:r>
        <w:rPr>
          <w:rFonts w:hint="eastAsia" w:ascii="宋体" w:hAnsi="宋体" w:eastAsia="宋体" w:cs="宋体"/>
          <w:color w:val="000000"/>
          <w:highlight w:val="none"/>
          <w:u w:val="single"/>
        </w:rPr>
        <w:t xml:space="preserve">                                                          </w:t>
      </w:r>
      <w:r/>
    </w:p>
    <w:p>
      <w:pPr>
        <w:pStyle w:val="909"/>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签字(签章)：                 公章：               日期：    </w:t>
      </w:r>
      <w:r/>
    </w:p>
    <w:p>
      <w:pPr>
        <w:pStyle w:val="909"/>
        <w:jc w:val="both"/>
        <w:spacing w:beforeAutospacing="0" w:afterAutospacing="0" w:line="0" w:lineRule="atLeast"/>
        <w:rPr>
          <w:rFonts w:hint="eastAsia" w:ascii="宋体" w:hAnsi="宋体" w:eastAsia="宋体" w:cs="宋体"/>
          <w:color w:val="000000"/>
          <w:highlight w:val="none"/>
        </w:rPr>
      </w:pPr>
      <w:r>
        <w:rPr>
          <w:rFonts w:hint="eastAsia" w:ascii="宋体" w:hAnsi="宋体" w:eastAsia="宋体" w:cs="宋体"/>
          <w:b/>
          <w:color w:val="000000"/>
          <w:highlight w:val="none"/>
        </w:rPr>
        <w:t xml:space="preserve">质疑函制作说明：</w:t>
      </w:r>
      <w:r/>
    </w:p>
    <w:p>
      <w:pPr>
        <w:pStyle w:val="909"/>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1.供应商提出质疑时，应提交质疑函和必要的证明材料。</w:t>
      </w:r>
      <w:r/>
    </w:p>
    <w:p>
      <w:pPr>
        <w:pStyle w:val="909"/>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09"/>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3.质疑供应商若对项目的某一分包进行质疑，质疑函中应列明具体分包号。</w:t>
      </w:r>
      <w:r/>
    </w:p>
    <w:p>
      <w:pPr>
        <w:pStyle w:val="909"/>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4.质疑函的质疑事项应具体、明确，并有必要的事实依据和法律依据。</w:t>
      </w:r>
      <w:r/>
    </w:p>
    <w:p>
      <w:pPr>
        <w:pStyle w:val="909"/>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5.质疑函的质疑请求应与质疑事项相关。</w:t>
      </w:r>
      <w:r/>
    </w:p>
    <w:p>
      <w:pPr>
        <w:pStyle w:val="909"/>
        <w:ind w:firstLine="480"/>
        <w:spacing w:beforeAutospacing="0" w:afterAutospacing="0" w:line="0" w:lineRule="atLeast"/>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6.质疑供应商为自然人的，质疑函应由本人签字；质疑供应商为法人或者其他组织的，质疑函应由法定代表人、主要负责人，或者其授权代表签字或者盖章，并加盖公章。</w:t>
      </w:r>
      <w:r/>
    </w:p>
    <w:p>
      <w:pPr>
        <w:pStyle w:val="909"/>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09"/>
        <w:ind w:firstLine="420"/>
        <w:jc w:val="both"/>
        <w:spacing w:beforeAutospacing="0" w:afterAutospacing="0"/>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p>
    <w:p>
      <w:pP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sectPr>
      <w:headerReference w:type="default" r:id="rId9"/>
      <w:footerReference w:type="default" r:id="rId10"/>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Tahoma">
    <w:panose1 w:val="020B0604030504040204"/>
  </w:font>
  <w:font w:name="微软雅黑">
    <w:panose1 w:val="020B0503020204020204"/>
  </w:font>
  <w:font w:name="Calibri">
    <w:panose1 w:val="020F0502020204030204"/>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4" w:lineRule="auto"/>
      <w:rPr>
        <w:rFonts w:hint="eastAsia" w:ascii="楷体" w:hAnsi="楷体" w:eastAsia="楷体" w:cs="楷体"/>
        <w:sz w:val="24"/>
      </w:rP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0" allowOverlap="1">
              <wp:simplePos x="0" y="0"/>
              <wp:positionH relativeFrom="page">
                <wp:posOffset>848995</wp:posOffset>
              </wp:positionH>
              <wp:positionV relativeFrom="page">
                <wp:posOffset>751205</wp:posOffset>
              </wp:positionV>
              <wp:extent cx="5721985" cy="8890"/>
              <wp:effectExtent l="0" t="0" r="0" b="0"/>
              <wp:wrapNone/>
              <wp:docPr id="1" name="IM 53" descr="IM 53"/>
              <wp:cNvGraphicFramePr/>
              <a:graphic xmlns:a="http://schemas.openxmlformats.org/drawingml/2006/main">
                <a:graphicData uri="http://schemas.openxmlformats.org/drawingml/2006/picture">
                  <pic:pic xmlns:pic="http://schemas.openxmlformats.org/drawingml/2006/picture">
                    <pic:nvPicPr>
                      <pic:cNvPr id="3" name="IM 53" descr="IM 53"/>
                      <pic:cNvPicPr/>
                      <pic:nvPr/>
                    </pic:nvPicPr>
                    <pic:blipFill>
                      <a:blip r:embed="rId1"/>
                      <a:stretch/>
                    </pic:blipFill>
                    <pic:spPr bwMode="auto">
                      <a:xfrm>
                        <a:off x="0" y="0"/>
                        <a:ext cx="5721984" cy="9143"/>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false;mso-position-horizontal-relative:page;margin-left:66.8pt;mso-position-horizontal:absolute;mso-position-vertical-relative:page;margin-top:59.1pt;mso-position-vertical:absolute;width:450.5pt;height:0.7pt;mso-wrap-distance-left:0.0pt;mso-wrap-distance-top:0.0pt;mso-wrap-distance-right:0.0pt;mso-wrap-distance-bottom:0.0pt;" stroked="false">
              <v:path textboxrect="0,0,0,0"/>
              <v:imagedata r:id="rId1" o:title=""/>
            </v:shape>
          </w:pict>
        </mc:Fallback>
      </mc:AlternateContent>
    </w:r>
    <w:r>
      <w:rPr>
        <w:rFonts w:ascii="楷体" w:hAnsi="楷体" w:eastAsia="楷体" w:cs="楷体"/>
        <w:spacing w:val="-1"/>
        <w:sz w:val="24"/>
      </w:rPr>
      <w:t xml:space="preserve">盐南高新区政府采购招标文件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ind w:left="1685" w:hanging="1125"/>
        <w:tabs>
          <w:tab w:val="left" w:pos="1685" w:leader="none"/>
        </w:tabs>
      </w:pPr>
      <w:rPr>
        <w:rFonts w:hint="eastAsia"/>
      </w:rPr>
    </w:lvl>
    <w:lvl w:ilvl="1">
      <w:start w:val="1"/>
      <w:numFmt w:val="japaneseCounting"/>
      <w:isLgl w:val="false"/>
      <w:suff w:val="tab"/>
      <w:lvlText w:val="（%2）"/>
      <w:lvlJc w:val="left"/>
      <w:pPr>
        <w:ind w:left="1700" w:hanging="720"/>
        <w:tabs>
          <w:tab w:val="left" w:pos="1700" w:leader="none"/>
        </w:tabs>
      </w:pPr>
      <w:rPr>
        <w:rFonts w:hint="eastAsia"/>
      </w:rPr>
    </w:lvl>
    <w:lvl w:ilvl="2">
      <w:start w:val="1"/>
      <w:numFmt w:val="lowerRoman"/>
      <w:isLgl w:val="false"/>
      <w:suff w:val="tab"/>
      <w:lvlText w:val="%3."/>
      <w:lvlJc w:val="right"/>
      <w:pPr>
        <w:ind w:left="1820" w:hanging="420"/>
        <w:tabs>
          <w:tab w:val="left" w:pos="1820" w:leader="none"/>
        </w:tabs>
      </w:pPr>
    </w:lvl>
    <w:lvl w:ilvl="3">
      <w:start w:val="1"/>
      <w:numFmt w:val="decimal"/>
      <w:isLgl w:val="false"/>
      <w:suff w:val="tab"/>
      <w:lvlText w:val="%4."/>
      <w:lvlJc w:val="left"/>
      <w:pPr>
        <w:ind w:left="2240" w:hanging="420"/>
        <w:tabs>
          <w:tab w:val="left" w:pos="2240" w:leader="none"/>
        </w:tabs>
      </w:pPr>
    </w:lvl>
    <w:lvl w:ilvl="4">
      <w:start w:val="1"/>
      <w:numFmt w:val="lowerLetter"/>
      <w:isLgl w:val="false"/>
      <w:suff w:val="tab"/>
      <w:lvlText w:val="%5)"/>
      <w:lvlJc w:val="left"/>
      <w:pPr>
        <w:ind w:left="2660" w:hanging="420"/>
        <w:tabs>
          <w:tab w:val="left" w:pos="2660" w:leader="none"/>
        </w:tabs>
      </w:pPr>
    </w:lvl>
    <w:lvl w:ilvl="5">
      <w:start w:val="1"/>
      <w:numFmt w:val="lowerRoman"/>
      <w:isLgl w:val="false"/>
      <w:suff w:val="tab"/>
      <w:lvlText w:val="%6."/>
      <w:lvlJc w:val="right"/>
      <w:pPr>
        <w:ind w:left="3080" w:hanging="420"/>
        <w:tabs>
          <w:tab w:val="left" w:pos="3080" w:leader="none"/>
        </w:tabs>
      </w:pPr>
    </w:lvl>
    <w:lvl w:ilvl="6">
      <w:start w:val="1"/>
      <w:numFmt w:val="decimal"/>
      <w:isLgl w:val="false"/>
      <w:suff w:val="tab"/>
      <w:lvlText w:val="%7."/>
      <w:lvlJc w:val="left"/>
      <w:pPr>
        <w:ind w:left="3500" w:hanging="420"/>
        <w:tabs>
          <w:tab w:val="left" w:pos="3500" w:leader="none"/>
        </w:tabs>
      </w:pPr>
    </w:lvl>
    <w:lvl w:ilvl="7">
      <w:start w:val="1"/>
      <w:numFmt w:val="lowerLetter"/>
      <w:isLgl w:val="false"/>
      <w:suff w:val="tab"/>
      <w:lvlText w:val="%8)"/>
      <w:lvlJc w:val="left"/>
      <w:pPr>
        <w:ind w:left="3920" w:hanging="420"/>
        <w:tabs>
          <w:tab w:val="left" w:pos="3920" w:leader="none"/>
        </w:tabs>
      </w:pPr>
    </w:lvl>
    <w:lvl w:ilvl="8">
      <w:start w:val="1"/>
      <w:numFmt w:val="lowerRoman"/>
      <w:isLgl w:val="false"/>
      <w:suff w:val="tab"/>
      <w:lvlText w:val="%9."/>
      <w:lvlJc w:val="right"/>
      <w:pPr>
        <w:ind w:left="4340" w:hanging="420"/>
        <w:tabs>
          <w:tab w:val="left" w:pos="4340" w:leader="none"/>
        </w:tabs>
      </w:p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1"/>
    <w:next w:val="871"/>
    <w:link w:val="700"/>
    <w:uiPriority w:val="9"/>
    <w:qFormat/>
    <w:pPr>
      <w:keepLines/>
      <w:keepNext/>
      <w:spacing w:before="480" w:after="200"/>
      <w:outlineLvl w:val="0"/>
    </w:pPr>
    <w:rPr>
      <w:rFonts w:ascii="Arial" w:hAnsi="Arial" w:eastAsia="Arial" w:cs="Arial"/>
      <w:sz w:val="40"/>
      <w:szCs w:val="40"/>
    </w:rPr>
  </w:style>
  <w:style w:type="character" w:styleId="700">
    <w:name w:val="Heading 1 Char"/>
    <w:basedOn w:val="874"/>
    <w:link w:val="699"/>
    <w:uiPriority w:val="9"/>
    <w:rPr>
      <w:rFonts w:ascii="Arial" w:hAnsi="Arial" w:eastAsia="Arial" w:cs="Arial"/>
      <w:sz w:val="40"/>
      <w:szCs w:val="40"/>
    </w:rPr>
  </w:style>
  <w:style w:type="character" w:styleId="701">
    <w:name w:val="Heading 2 Char"/>
    <w:basedOn w:val="874"/>
    <w:link w:val="872"/>
    <w:uiPriority w:val="9"/>
    <w:rPr>
      <w:rFonts w:ascii="Arial" w:hAnsi="Arial" w:eastAsia="Arial" w:cs="Arial"/>
      <w:sz w:val="34"/>
    </w:rPr>
  </w:style>
  <w:style w:type="paragraph" w:styleId="702">
    <w:name w:val="Heading 3"/>
    <w:basedOn w:val="871"/>
    <w:next w:val="871"/>
    <w:link w:val="703"/>
    <w:uiPriority w:val="9"/>
    <w:unhideWhenUsed/>
    <w:qFormat/>
    <w:pPr>
      <w:keepLines/>
      <w:keepNext/>
      <w:spacing w:before="320" w:after="200"/>
      <w:outlineLvl w:val="2"/>
    </w:pPr>
    <w:rPr>
      <w:rFonts w:ascii="Arial" w:hAnsi="Arial" w:eastAsia="Arial" w:cs="Arial"/>
      <w:sz w:val="30"/>
      <w:szCs w:val="30"/>
    </w:rPr>
  </w:style>
  <w:style w:type="character" w:styleId="703">
    <w:name w:val="Heading 3 Char"/>
    <w:basedOn w:val="874"/>
    <w:link w:val="702"/>
    <w:uiPriority w:val="9"/>
    <w:rPr>
      <w:rFonts w:ascii="Arial" w:hAnsi="Arial" w:eastAsia="Arial" w:cs="Arial"/>
      <w:sz w:val="30"/>
      <w:szCs w:val="30"/>
    </w:rPr>
  </w:style>
  <w:style w:type="character" w:styleId="704">
    <w:name w:val="Heading 4 Char"/>
    <w:basedOn w:val="874"/>
    <w:link w:val="873"/>
    <w:uiPriority w:val="9"/>
    <w:rPr>
      <w:rFonts w:ascii="Arial" w:hAnsi="Arial" w:eastAsia="Arial" w:cs="Arial"/>
      <w:b/>
      <w:bCs/>
      <w:sz w:val="26"/>
      <w:szCs w:val="26"/>
    </w:rPr>
  </w:style>
  <w:style w:type="paragraph" w:styleId="705">
    <w:name w:val="Heading 5"/>
    <w:basedOn w:val="871"/>
    <w:next w:val="871"/>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basedOn w:val="874"/>
    <w:link w:val="705"/>
    <w:uiPriority w:val="9"/>
    <w:rPr>
      <w:rFonts w:ascii="Arial" w:hAnsi="Arial" w:eastAsia="Arial" w:cs="Arial"/>
      <w:b/>
      <w:bCs/>
      <w:sz w:val="24"/>
      <w:szCs w:val="24"/>
    </w:rPr>
  </w:style>
  <w:style w:type="paragraph" w:styleId="707">
    <w:name w:val="Heading 6"/>
    <w:basedOn w:val="871"/>
    <w:next w:val="871"/>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basedOn w:val="874"/>
    <w:link w:val="707"/>
    <w:uiPriority w:val="9"/>
    <w:rPr>
      <w:rFonts w:ascii="Arial" w:hAnsi="Arial" w:eastAsia="Arial" w:cs="Arial"/>
      <w:b/>
      <w:bCs/>
      <w:sz w:val="22"/>
      <w:szCs w:val="22"/>
    </w:rPr>
  </w:style>
  <w:style w:type="paragraph" w:styleId="709">
    <w:name w:val="Heading 7"/>
    <w:basedOn w:val="871"/>
    <w:next w:val="871"/>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basedOn w:val="874"/>
    <w:link w:val="709"/>
    <w:uiPriority w:val="9"/>
    <w:rPr>
      <w:rFonts w:ascii="Arial" w:hAnsi="Arial" w:eastAsia="Arial" w:cs="Arial"/>
      <w:b/>
      <w:bCs/>
      <w:i/>
      <w:iCs/>
      <w:sz w:val="22"/>
      <w:szCs w:val="22"/>
    </w:rPr>
  </w:style>
  <w:style w:type="paragraph" w:styleId="711">
    <w:name w:val="Heading 8"/>
    <w:basedOn w:val="871"/>
    <w:next w:val="871"/>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basedOn w:val="874"/>
    <w:link w:val="711"/>
    <w:uiPriority w:val="9"/>
    <w:rPr>
      <w:rFonts w:ascii="Arial" w:hAnsi="Arial" w:eastAsia="Arial" w:cs="Arial"/>
      <w:i/>
      <w:iCs/>
      <w:sz w:val="22"/>
      <w:szCs w:val="22"/>
    </w:rPr>
  </w:style>
  <w:style w:type="paragraph" w:styleId="713">
    <w:name w:val="Heading 9"/>
    <w:basedOn w:val="871"/>
    <w:next w:val="871"/>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basedOn w:val="874"/>
    <w:link w:val="713"/>
    <w:uiPriority w:val="9"/>
    <w:rPr>
      <w:rFonts w:ascii="Arial" w:hAnsi="Arial" w:eastAsia="Arial" w:cs="Arial"/>
      <w:i/>
      <w:iCs/>
      <w:sz w:val="21"/>
      <w:szCs w:val="21"/>
    </w:rPr>
  </w:style>
  <w:style w:type="paragraph" w:styleId="715">
    <w:name w:val="List Paragraph"/>
    <w:basedOn w:val="871"/>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1"/>
    <w:next w:val="871"/>
    <w:link w:val="718"/>
    <w:uiPriority w:val="10"/>
    <w:qFormat/>
    <w:pPr>
      <w:contextualSpacing/>
      <w:spacing w:before="300" w:after="200"/>
    </w:pPr>
    <w:rPr>
      <w:sz w:val="48"/>
      <w:szCs w:val="48"/>
    </w:rPr>
  </w:style>
  <w:style w:type="character" w:styleId="718">
    <w:name w:val="Title Char"/>
    <w:basedOn w:val="874"/>
    <w:link w:val="717"/>
    <w:uiPriority w:val="10"/>
    <w:rPr>
      <w:sz w:val="48"/>
      <w:szCs w:val="48"/>
    </w:rPr>
  </w:style>
  <w:style w:type="paragraph" w:styleId="719">
    <w:name w:val="Subtitle"/>
    <w:basedOn w:val="871"/>
    <w:next w:val="871"/>
    <w:link w:val="720"/>
    <w:uiPriority w:val="11"/>
    <w:qFormat/>
    <w:pPr>
      <w:spacing w:before="200" w:after="200"/>
    </w:pPr>
    <w:rPr>
      <w:sz w:val="24"/>
      <w:szCs w:val="24"/>
    </w:rPr>
  </w:style>
  <w:style w:type="character" w:styleId="720">
    <w:name w:val="Subtitle Char"/>
    <w:basedOn w:val="874"/>
    <w:link w:val="719"/>
    <w:uiPriority w:val="11"/>
    <w:rPr>
      <w:sz w:val="24"/>
      <w:szCs w:val="24"/>
    </w:rPr>
  </w:style>
  <w:style w:type="paragraph" w:styleId="721">
    <w:name w:val="Quote"/>
    <w:basedOn w:val="871"/>
    <w:next w:val="871"/>
    <w:link w:val="722"/>
    <w:uiPriority w:val="29"/>
    <w:qFormat/>
    <w:pPr>
      <w:ind w:left="720" w:right="720"/>
    </w:pPr>
    <w:rPr>
      <w:i/>
    </w:rPr>
  </w:style>
  <w:style w:type="character" w:styleId="722">
    <w:name w:val="Quote Char"/>
    <w:link w:val="721"/>
    <w:uiPriority w:val="29"/>
    <w:rPr>
      <w:i/>
    </w:rPr>
  </w:style>
  <w:style w:type="paragraph" w:styleId="723">
    <w:name w:val="Intense Quote"/>
    <w:basedOn w:val="871"/>
    <w:next w:val="871"/>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character" w:styleId="725">
    <w:name w:val="Header Char"/>
    <w:basedOn w:val="874"/>
    <w:link w:val="883"/>
    <w:uiPriority w:val="99"/>
  </w:style>
  <w:style w:type="character" w:styleId="726">
    <w:name w:val="Footer Char"/>
    <w:basedOn w:val="874"/>
    <w:link w:val="882"/>
    <w:uiPriority w:val="99"/>
  </w:style>
  <w:style w:type="paragraph" w:styleId="727">
    <w:name w:val="Caption"/>
    <w:basedOn w:val="871"/>
    <w:next w:val="871"/>
    <w:uiPriority w:val="35"/>
    <w:semiHidden/>
    <w:unhideWhenUsed/>
    <w:qFormat/>
    <w:pPr>
      <w:spacing w:line="276" w:lineRule="auto"/>
    </w:pPr>
    <w:rPr>
      <w:b/>
      <w:bCs/>
      <w:color w:val="4f81bd" w:themeColor="accent1"/>
      <w:sz w:val="18"/>
      <w:szCs w:val="18"/>
    </w:rPr>
  </w:style>
  <w:style w:type="character" w:styleId="728">
    <w:name w:val="Caption Char"/>
    <w:basedOn w:val="727"/>
    <w:link w:val="882"/>
    <w:uiPriority w:val="99"/>
  </w:style>
  <w:style w:type="table" w:styleId="729">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65">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6">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7">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8">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69">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0">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77">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0">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01">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2">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3">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04">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5">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7">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8">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9">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0">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11">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2">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21">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2">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3">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4">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25">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6">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28">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9">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0">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31">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32">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3">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35">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9">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2">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3">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4">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5">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6">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7">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1"/>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4"/>
    <w:uiPriority w:val="99"/>
    <w:unhideWhenUsed/>
    <w:rPr>
      <w:vertAlign w:val="superscript"/>
    </w:rPr>
  </w:style>
  <w:style w:type="paragraph" w:styleId="858">
    <w:name w:val="endnote text"/>
    <w:basedOn w:val="871"/>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4"/>
    <w:uiPriority w:val="99"/>
    <w:semiHidden/>
    <w:unhideWhenUsed/>
    <w:rPr>
      <w:vertAlign w:val="superscript"/>
    </w:r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link w:val="918"/>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72">
    <w:name w:val="Heading 2"/>
    <w:basedOn w:val="871"/>
    <w:next w:val="871"/>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paragraph" w:styleId="873">
    <w:name w:val="Heading 4"/>
    <w:basedOn w:val="871"/>
    <w:next w:val="871"/>
    <w:uiPriority w:val="0"/>
    <w:qFormat/>
    <w:pPr>
      <w:keepLines/>
      <w:keepNext/>
      <w:spacing w:before="280" w:after="290" w:line="376" w:lineRule="auto"/>
      <w:outlineLvl w:val="3"/>
    </w:pPr>
    <w:rPr>
      <w:rFonts w:ascii="Arial" w:hAnsi="Arial" w:eastAsia="黑体" w:cs="Times New Roman"/>
      <w:b/>
      <w:bCs/>
      <w:sz w:val="28"/>
      <w:szCs w:val="28"/>
    </w:rPr>
  </w:style>
  <w:style w:type="character" w:styleId="874" w:default="1">
    <w:name w:val="Default Paragraph Font"/>
    <w:uiPriority w:val="1"/>
    <w:semiHidden/>
    <w:unhideWhenUsed/>
    <w:qFormat/>
  </w:style>
  <w:style w:type="table" w:styleId="875" w:default="1">
    <w:name w:val="Normal Table"/>
    <w:uiPriority w:val="99"/>
    <w:semiHidden/>
    <w:unhideWhenUsed/>
    <w:qFormat/>
    <w:tblPr>
      <w:tblCellMar>
        <w:left w:w="108" w:type="dxa"/>
        <w:top w:w="0" w:type="dxa"/>
        <w:right w:w="108" w:type="dxa"/>
        <w:bottom w:w="0" w:type="dxa"/>
      </w:tblCellMar>
    </w:tblPr>
  </w:style>
  <w:style w:type="paragraph" w:styleId="876">
    <w:name w:val="Normal Indent"/>
    <w:basedOn w:val="871"/>
    <w:next w:val="871"/>
    <w:uiPriority w:val="0"/>
    <w:qFormat/>
    <w:pPr>
      <w:ind w:firstLine="420"/>
    </w:pPr>
    <w:rPr>
      <w:rFonts w:ascii="Times New Roman" w:hAnsi="Times New Roman" w:eastAsia="宋体" w:cs="Times New Roman"/>
      <w:sz w:val="20"/>
      <w:szCs w:val="20"/>
    </w:rPr>
  </w:style>
  <w:style w:type="paragraph" w:styleId="877">
    <w:name w:val="annotation text"/>
    <w:basedOn w:val="871"/>
    <w:uiPriority w:val="0"/>
    <w:qFormat/>
    <w:pPr>
      <w:jc w:val="left"/>
    </w:pPr>
  </w:style>
  <w:style w:type="paragraph" w:styleId="878">
    <w:name w:val="Body Text Indent"/>
    <w:basedOn w:val="871"/>
    <w:next w:val="879"/>
    <w:uiPriority w:val="0"/>
    <w:qFormat/>
    <w:pPr>
      <w:ind w:left="420"/>
      <w:spacing w:after="120"/>
    </w:pPr>
    <w:rPr>
      <w:rFonts w:ascii="Times New Roman" w:hAnsi="Times New Roman" w:eastAsia="宋体" w:cs="Times New Roman"/>
    </w:rPr>
  </w:style>
  <w:style w:type="paragraph" w:styleId="879">
    <w:name w:val="envelope return"/>
    <w:basedOn w:val="871"/>
    <w:uiPriority w:val="0"/>
    <w:qFormat/>
    <w:rPr>
      <w:rFonts w:ascii="Arial" w:hAnsi="Arial" w:eastAsia="宋体" w:cs="Times New Roman"/>
    </w:rPr>
  </w:style>
  <w:style w:type="paragraph" w:styleId="880">
    <w:name w:val="Plain Text"/>
    <w:basedOn w:val="871"/>
    <w:next w:val="871"/>
    <w:uiPriority w:val="99"/>
    <w:qFormat/>
    <w:rPr>
      <w:rFonts w:ascii="宋体" w:hAnsi="Courier New" w:cs="Courier New"/>
    </w:rPr>
  </w:style>
  <w:style w:type="paragraph" w:styleId="881">
    <w:name w:val="Body Text Indent 2"/>
    <w:basedOn w:val="871"/>
    <w:uiPriority w:val="0"/>
    <w:qFormat/>
    <w:pPr>
      <w:ind w:left="-1" w:firstLine="480"/>
      <w:spacing w:line="400" w:lineRule="exact"/>
    </w:pPr>
    <w:rPr>
      <w:rFonts w:ascii="楷体_GB2312" w:eastAsia="楷体_GB2312"/>
      <w:sz w:val="24"/>
    </w:rPr>
  </w:style>
  <w:style w:type="paragraph" w:styleId="882">
    <w:name w:val="Footer"/>
    <w:basedOn w:val="871"/>
    <w:link w:val="897"/>
    <w:uiPriority w:val="0"/>
    <w:qFormat/>
    <w:pPr>
      <w:jc w:val="left"/>
      <w:tabs>
        <w:tab w:val="center" w:pos="4153" w:leader="none"/>
        <w:tab w:val="right" w:pos="8306" w:leader="none"/>
      </w:tabs>
    </w:pPr>
    <w:rPr>
      <w:sz w:val="18"/>
      <w:szCs w:val="18"/>
    </w:rPr>
  </w:style>
  <w:style w:type="paragraph" w:styleId="883">
    <w:name w:val="Header"/>
    <w:basedOn w:val="871"/>
    <w:link w:val="896"/>
    <w:uiPriority w:val="0"/>
    <w:qFormat/>
    <w:pPr>
      <w:jc w:val="center"/>
      <w:tabs>
        <w:tab w:val="center" w:pos="4153" w:leader="none"/>
        <w:tab w:val="right" w:pos="8306" w:leader="none"/>
      </w:tabs>
      <w:pBdr>
        <w:bottom w:val="single" w:color="auto" w:sz="6" w:space="1"/>
      </w:pBdr>
    </w:pPr>
    <w:rPr>
      <w:sz w:val="18"/>
      <w:szCs w:val="18"/>
    </w:rPr>
  </w:style>
  <w:style w:type="paragraph" w:styleId="884">
    <w:name w:val="toc 1"/>
    <w:basedOn w:val="871"/>
    <w:next w:val="871"/>
    <w:uiPriority w:val="0"/>
    <w:qFormat/>
  </w:style>
  <w:style w:type="paragraph" w:styleId="885">
    <w:name w:val="Normal (Web)"/>
    <w:basedOn w:val="871"/>
    <w:uiPriority w:val="0"/>
    <w:qFormat/>
    <w:pPr>
      <w:jc w:val="left"/>
      <w:spacing w:beforeAutospacing="1" w:afterAutospacing="1"/>
    </w:pPr>
    <w:rPr>
      <w:rFonts w:cs="Times New Roman"/>
      <w:sz w:val="24"/>
    </w:rPr>
  </w:style>
  <w:style w:type="paragraph" w:styleId="886">
    <w:name w:val="Body Text First Indent"/>
    <w:basedOn w:val="871"/>
    <w:uiPriority w:val="0"/>
    <w:qFormat/>
    <w:pPr>
      <w:ind w:firstLine="200"/>
      <w:spacing w:line="360" w:lineRule="auto"/>
    </w:pPr>
    <w:rPr>
      <w:rFonts w:ascii="仿宋_GB2312" w:eastAsia="仿宋_GB2312"/>
      <w:sz w:val="30"/>
      <w:szCs w:val="30"/>
    </w:rPr>
  </w:style>
  <w:style w:type="paragraph" w:styleId="887">
    <w:name w:val="Body Text First Indent 2"/>
    <w:basedOn w:val="878"/>
    <w:next w:val="871"/>
    <w:uiPriority w:val="0"/>
    <w:qFormat/>
    <w:pPr>
      <w:ind w:firstLine="420"/>
    </w:pPr>
    <w:rPr>
      <w:rFonts w:ascii="Times New Roman" w:hAnsi="Times New Roman" w:eastAsia="宋体" w:cs="Times New Roman"/>
    </w:rPr>
  </w:style>
  <w:style w:type="table" w:styleId="888">
    <w:name w:val="Table Grid"/>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Emphasis"/>
    <w:basedOn w:val="874"/>
    <w:uiPriority w:val="0"/>
    <w:qFormat/>
    <w:rPr>
      <w:i/>
    </w:rPr>
  </w:style>
  <w:style w:type="paragraph" w:styleId="890" w:customStyle="1">
    <w:name w:val="正文首行缩进 21"/>
    <w:basedOn w:val="891"/>
    <w:uiPriority w:val="99"/>
    <w:qFormat/>
    <w:pPr>
      <w:ind w:firstLine="420"/>
      <w:spacing w:line="360" w:lineRule="auto"/>
    </w:pPr>
    <w:rPr>
      <w:rFonts w:ascii="宋体" w:hAnsi="宋体" w:eastAsia="宋体"/>
      <w:sz w:val="21"/>
      <w:szCs w:val="20"/>
    </w:rPr>
  </w:style>
  <w:style w:type="paragraph" w:styleId="891" w:customStyle="1">
    <w:name w:val="正文文本缩进1"/>
    <w:basedOn w:val="871"/>
    <w:uiPriority w:val="99"/>
    <w:qFormat/>
    <w:pPr>
      <w:ind w:firstLine="645"/>
    </w:pPr>
    <w:rPr>
      <w:rFonts w:ascii="楷体_GB2312" w:eastAsia="楷体_GB2312"/>
      <w:sz w:val="32"/>
      <w:szCs w:val="32"/>
    </w:rPr>
  </w:style>
  <w:style w:type="paragraph" w:styleId="892" w:customStyle="1">
    <w:name w:val="样式 标题 3 + (中文) 黑体 小四 非加粗 段前: 7.8 磅 段后: 0 磅 行距: 固定值 20 磅_0"/>
    <w:basedOn w:val="893"/>
    <w:uiPriority w:val="0"/>
    <w:qFormat/>
    <w:pPr>
      <w:spacing w:before="0" w:after="0" w:line="400" w:lineRule="exact"/>
    </w:pPr>
    <w:rPr>
      <w:rFonts w:ascii="Times New Roman" w:hAnsi="Times New Roman" w:eastAsia="黑体" w:cs="宋体"/>
      <w:b w:val="0"/>
      <w:bCs w:val="0"/>
      <w:sz w:val="21"/>
      <w:szCs w:val="20"/>
    </w:rPr>
  </w:style>
  <w:style w:type="paragraph" w:styleId="893" w:customStyle="1">
    <w:name w:val="标题 3_0"/>
    <w:basedOn w:val="894"/>
    <w:next w:val="895"/>
    <w:uiPriority w:val="0"/>
    <w:qFormat/>
    <w:pPr>
      <w:keepLines/>
      <w:keepNext/>
      <w:spacing w:before="260" w:after="260" w:line="416" w:lineRule="auto"/>
      <w:outlineLvl w:val="2"/>
    </w:pPr>
    <w:rPr>
      <w:rFonts w:ascii="Calibri" w:hAnsi="Calibri" w:eastAsia="宋体"/>
      <w:b/>
      <w:bCs/>
      <w:sz w:val="32"/>
      <w:szCs w:val="32"/>
    </w:rPr>
  </w:style>
  <w:style w:type="paragraph" w:styleId="894" w:customStyle="1">
    <w:name w:val="正文_0"/>
    <w:next w:val="887"/>
    <w:uiPriority w:val="0"/>
    <w:qFormat/>
    <w:pPr>
      <w:jc w:val="both"/>
      <w:widowControl w:val="off"/>
    </w:pPr>
    <w:rPr>
      <w:rFonts w:hint="default" w:ascii="Calibri" w:hAnsi="Calibri" w:eastAsia="仿宋_GB2312" w:cs="Times New Roman"/>
      <w:sz w:val="21"/>
      <w:szCs w:val="22"/>
      <w:lang w:val="en-US" w:eastAsia="zh-CN" w:bidi="ar-SA"/>
    </w:rPr>
  </w:style>
  <w:style w:type="paragraph" w:styleId="895" w:customStyle="1">
    <w:name w:val="正文_1"/>
    <w:next w:val="887"/>
    <w:uiPriority w:val="0"/>
    <w:qFormat/>
    <w:pPr>
      <w:jc w:val="both"/>
      <w:widowControl w:val="off"/>
    </w:pPr>
    <w:rPr>
      <w:rFonts w:hint="default" w:ascii="Calibri" w:hAnsi="Calibri" w:eastAsia="仿宋_GB2312" w:cs="Times New Roman"/>
      <w:sz w:val="21"/>
      <w:szCs w:val="22"/>
      <w:lang w:val="en-US" w:eastAsia="zh-CN" w:bidi="ar-SA"/>
    </w:rPr>
  </w:style>
  <w:style w:type="character" w:styleId="896" w:customStyle="1">
    <w:name w:val="页眉 Char"/>
    <w:basedOn w:val="874"/>
    <w:link w:val="883"/>
    <w:uiPriority w:val="0"/>
    <w:qFormat/>
    <w:rPr>
      <w:rFonts w:asciiTheme="minorHAnsi" w:hAnsiTheme="minorHAnsi" w:eastAsiaTheme="minorEastAsia" w:cstheme="minorBidi"/>
      <w:sz w:val="18"/>
      <w:szCs w:val="18"/>
    </w:rPr>
  </w:style>
  <w:style w:type="character" w:styleId="897" w:customStyle="1">
    <w:name w:val="页脚 Char"/>
    <w:basedOn w:val="874"/>
    <w:link w:val="882"/>
    <w:uiPriority w:val="0"/>
    <w:qFormat/>
    <w:rPr>
      <w:rFonts w:asciiTheme="minorHAnsi" w:hAnsiTheme="minorHAnsi" w:eastAsiaTheme="minorEastAsia" w:cstheme="minorBidi"/>
      <w:sz w:val="18"/>
      <w:szCs w:val="18"/>
    </w:rPr>
  </w:style>
  <w:style w:type="paragraph" w:styleId="898" w:customStyle="1">
    <w:name w:val="普通正文"/>
    <w:basedOn w:val="871"/>
    <w:uiPriority w:val="0"/>
    <w:qFormat/>
    <w:pPr>
      <w:ind w:firstLine="480"/>
      <w:jc w:val="left"/>
      <w:spacing w:before="120" w:after="120" w:line="360" w:lineRule="auto"/>
    </w:pPr>
    <w:rPr>
      <w:rFonts w:ascii="Arial" w:hAnsi="Arial" w:eastAsia="宋体" w:cs="Times New Roman"/>
      <w:sz w:val="24"/>
      <w:szCs w:val="24"/>
    </w:rPr>
  </w:style>
  <w:style w:type="character" w:styleId="899" w:customStyle="1">
    <w:name w:val="无"/>
    <w:uiPriority w:val="0"/>
    <w:qFormat/>
  </w:style>
  <w:style w:type="paragraph" w:styleId="900" w:customStyle="1">
    <w:name w:val="首行缩进"/>
    <w:basedOn w:val="871"/>
    <w:uiPriority w:val="0"/>
    <w:qFormat/>
    <w:pPr>
      <w:ind w:firstLine="480"/>
      <w:spacing w:line="360" w:lineRule="auto"/>
    </w:pPr>
    <w:rPr>
      <w:rFonts w:ascii="宋体" w:hAnsi="宋体" w:cs="宋体"/>
      <w:sz w:val="24"/>
    </w:rPr>
  </w:style>
  <w:style w:type="character" w:styleId="901" w:customStyle="1">
    <w:name w:val="font21"/>
    <w:basedOn w:val="902"/>
    <w:link w:val="871"/>
    <w:uiPriority w:val="0"/>
    <w:qFormat/>
    <w:rPr>
      <w:rFonts w:hint="eastAsia" w:ascii="宋体" w:hAnsi="宋体" w:eastAsia="宋体" w:cs="宋体"/>
      <w:b/>
      <w:bCs/>
      <w:color w:val="000000"/>
      <w:sz w:val="21"/>
      <w:szCs w:val="21"/>
      <w:u w:val="none"/>
    </w:rPr>
  </w:style>
  <w:style w:type="character" w:styleId="902" w:customStyle="1">
    <w:name w:val="默认段落字体1"/>
    <w:link w:val="871"/>
    <w:uiPriority w:val="1"/>
    <w:unhideWhenUsed/>
    <w:qFormat/>
  </w:style>
  <w:style w:type="character" w:styleId="903" w:customStyle="1">
    <w:name w:val="font31"/>
    <w:basedOn w:val="874"/>
    <w:uiPriority w:val="0"/>
    <w:qFormat/>
    <w:rPr>
      <w:rFonts w:hint="eastAsia" w:ascii="宋体" w:hAnsi="宋体" w:eastAsia="宋体" w:cs="宋体"/>
      <w:color w:val="000000"/>
      <w:sz w:val="21"/>
      <w:szCs w:val="21"/>
      <w:u w:val="none"/>
    </w:rPr>
  </w:style>
  <w:style w:type="paragraph" w:styleId="904" w:customStyle="1">
    <w:name w:val="Default"/>
    <w:basedOn w:val="871"/>
    <w:uiPriority w:val="0"/>
    <w:semiHidden/>
    <w:qFormat/>
    <w:pPr>
      <w:jc w:val="left"/>
    </w:pPr>
    <w:rPr>
      <w:rFonts w:ascii="宋体" w:hAnsi="Calibri" w:cs="宋体"/>
      <w:color w:val="000000"/>
      <w:sz w:val="24"/>
    </w:rPr>
  </w:style>
  <w:style w:type="paragraph" w:styleId="905" w:customStyle="1">
    <w:name w:val="WPSOffice手动目录 1"/>
    <w:uiPriority w:val="0"/>
    <w:qFormat/>
    <w:rPr>
      <w:rFonts w:ascii="Times New Roman" w:hAnsi="Times New Roman" w:eastAsia="宋体" w:cs="Times New Roman"/>
      <w:sz w:val="20"/>
      <w:szCs w:val="20"/>
    </w:rPr>
  </w:style>
  <w:style w:type="character" w:styleId="906" w:customStyle="1">
    <w:name w:val="font11"/>
    <w:basedOn w:val="902"/>
    <w:link w:val="871"/>
    <w:uiPriority w:val="0"/>
    <w:qFormat/>
    <w:rPr>
      <w:rFonts w:hint="eastAsia" w:ascii="宋体" w:hAnsi="宋体" w:eastAsia="宋体" w:cs="宋体"/>
      <w:b/>
      <w:bCs/>
      <w:color w:val="000000"/>
      <w:sz w:val="22"/>
      <w:szCs w:val="22"/>
      <w:u w:val="none"/>
    </w:rPr>
  </w:style>
  <w:style w:type="character" w:styleId="907" w:customStyle="1">
    <w:name w:val="font71"/>
    <w:basedOn w:val="874"/>
    <w:uiPriority w:val="0"/>
    <w:qFormat/>
    <w:rPr>
      <w:rFonts w:hint="default" w:ascii="Times New Roman" w:hAnsi="Times New Roman" w:cs="Times New Roman"/>
      <w:b/>
      <w:bCs/>
      <w:color w:val="000000"/>
      <w:sz w:val="22"/>
      <w:szCs w:val="22"/>
      <w:u w:val="none"/>
    </w:rPr>
  </w:style>
  <w:style w:type="character" w:styleId="908" w:customStyle="1">
    <w:name w:val="font61"/>
    <w:basedOn w:val="902"/>
    <w:link w:val="871"/>
    <w:uiPriority w:val="0"/>
    <w:qFormat/>
    <w:rPr>
      <w:rFonts w:hint="default" w:ascii="Times New Roman" w:hAnsi="Times New Roman" w:cs="Times New Roman"/>
      <w:b/>
      <w:bCs/>
      <w:color w:val="000000"/>
      <w:sz w:val="22"/>
      <w:szCs w:val="22"/>
      <w:u w:val="none"/>
    </w:rPr>
  </w:style>
  <w:style w:type="paragraph" w:styleId="909" w:customStyle="1">
    <w:name w:val="普通(网站)1"/>
    <w:basedOn w:val="871"/>
    <w:uiPriority w:val="0"/>
    <w:qFormat/>
    <w:pPr>
      <w:ind w:left="0" w:right="0"/>
      <w:jc w:val="left"/>
      <w:spacing w:before="100" w:beforeAutospacing="1" w:after="100" w:afterAutospacing="1"/>
    </w:pPr>
    <w:rPr>
      <w:sz w:val="24"/>
      <w:lang w:val="en-US" w:eastAsia="zh-CN" w:bidi="ar"/>
    </w:rPr>
  </w:style>
  <w:style w:type="paragraph" w:styleId="910" w:customStyle="1">
    <w:name w:val="正文首行缩进 211"/>
    <w:basedOn w:val="911"/>
    <w:next w:val="871"/>
    <w:uiPriority w:val="99"/>
    <w:qFormat/>
    <w:pPr>
      <w:ind w:firstLine="420"/>
      <w:spacing w:line="360" w:lineRule="auto"/>
    </w:pPr>
    <w:rPr>
      <w:rFonts w:ascii="宋体" w:hAnsi="宋体" w:eastAsia="宋体"/>
      <w:sz w:val="21"/>
      <w:szCs w:val="20"/>
    </w:rPr>
  </w:style>
  <w:style w:type="paragraph" w:styleId="911" w:customStyle="1">
    <w:name w:val="正文文本缩进11"/>
    <w:basedOn w:val="871"/>
    <w:next w:val="912"/>
    <w:uiPriority w:val="99"/>
    <w:qFormat/>
    <w:pPr>
      <w:ind w:firstLine="645"/>
    </w:pPr>
    <w:rPr>
      <w:rFonts w:ascii="楷体_GB2312" w:eastAsia="楷体_GB2312"/>
      <w:sz w:val="32"/>
      <w:szCs w:val="32"/>
    </w:rPr>
  </w:style>
  <w:style w:type="paragraph" w:styleId="912" w:customStyle="1">
    <w:name w:val="寄信人地址1"/>
    <w:basedOn w:val="871"/>
    <w:uiPriority w:val="0"/>
    <w:qFormat/>
    <w:rPr>
      <w:rFonts w:ascii="Arial" w:hAnsi="Arial"/>
    </w:rPr>
  </w:style>
  <w:style w:type="paragraph" w:styleId="913" w:customStyle="1">
    <w:name w:val="正文首行缩进1"/>
    <w:basedOn w:val="871"/>
    <w:uiPriority w:val="0"/>
    <w:qFormat/>
    <w:pPr>
      <w:ind w:firstLine="200"/>
      <w:spacing w:line="360" w:lineRule="auto"/>
    </w:pPr>
    <w:rPr>
      <w:rFonts w:ascii="仿宋_GB2312" w:eastAsia="仿宋_GB2312"/>
      <w:sz w:val="30"/>
      <w:szCs w:val="30"/>
    </w:rPr>
  </w:style>
  <w:style w:type="paragraph" w:styleId="914" w:customStyle="1">
    <w:name w:val="纯文本1"/>
    <w:basedOn w:val="871"/>
    <w:uiPriority w:val="0"/>
    <w:qFormat/>
    <w:rPr>
      <w:rFonts w:hint="eastAsia" w:ascii="宋体" w:hAnsi="Courier New"/>
      <w:szCs w:val="20"/>
    </w:rPr>
  </w:style>
  <w:style w:type="character" w:styleId="915" w:customStyle="1">
    <w:name w:val="NormalCharacter1"/>
    <w:link w:val="871"/>
    <w:uiPriority w:val="0"/>
    <w:semiHidden/>
    <w:qFormat/>
    <w:rPr>
      <w:rFonts w:asciiTheme="minorHAnsi" w:hAnsiTheme="minorHAnsi" w:eastAsiaTheme="minorEastAsia" w:cstheme="minorBidi"/>
      <w:sz w:val="21"/>
      <w:szCs w:val="24"/>
      <w:lang w:val="en-US" w:eastAsia="zh-CN" w:bidi="ar-SA"/>
    </w:rPr>
  </w:style>
  <w:style w:type="paragraph" w:styleId="916" w:customStyle="1">
    <w:name w:val="列出段落"/>
    <w:basedOn w:val="871"/>
    <w:uiPriority w:val="34"/>
    <w:qFormat/>
    <w:pPr>
      <w:ind w:firstLine="420"/>
      <w:jc w:val="left"/>
      <w:spacing w:after="200"/>
      <w:widowControl/>
    </w:pPr>
    <w:rPr>
      <w:rFonts w:ascii="Tahoma" w:hAnsi="Tahoma" w:eastAsia="微软雅黑" w:cs="Times New Roman"/>
      <w:sz w:val="22"/>
      <w:szCs w:val="22"/>
    </w:rPr>
  </w:style>
  <w:style w:type="paragraph" w:styleId="917" w:customStyle="1">
    <w:name w:val="列出段落2"/>
    <w:basedOn w:val="871"/>
    <w:uiPriority w:val="0"/>
    <w:qFormat/>
    <w:pPr>
      <w:ind w:firstLine="420"/>
    </w:pPr>
    <w:rPr>
      <w:szCs w:val="22"/>
    </w:rPr>
  </w:style>
  <w:style w:type="character" w:styleId="918" w:customStyle="1">
    <w:name w:val="font41"/>
    <w:basedOn w:val="902"/>
    <w:link w:val="871"/>
    <w:uiPriority w:val="0"/>
    <w:qFormat/>
    <w:rPr>
      <w:rFonts w:hint="eastAsia" w:ascii="宋体" w:hAnsi="宋体" w:eastAsia="宋体" w:cs="宋体"/>
      <w:b/>
      <w:bCs/>
      <w:color w:val="000000"/>
      <w:sz w:val="36"/>
      <w:szCs w:val="36"/>
      <w:u w:val="single"/>
    </w:rPr>
  </w:style>
  <w:style w:type="paragraph" w:styleId="919" w:customStyle="1">
    <w:name w:val="正文文本缩进 21"/>
    <w:basedOn w:val="871"/>
    <w:uiPriority w:val="0"/>
    <w:qFormat/>
    <w:pPr>
      <w:ind w:left="-1" w:firstLine="480"/>
      <w:spacing w:line="400" w:lineRule="exact"/>
    </w:pPr>
    <w:rPr>
      <w:rFonts w:ascii="楷体_GB2312" w:eastAsia="楷体_GB2312"/>
      <w:sz w:val="24"/>
    </w:rPr>
  </w:style>
  <w:style w:type="paragraph" w:styleId="920" w:customStyle="1">
    <w:name w:val="标题 11"/>
    <w:basedOn w:val="871"/>
    <w:next w:val="871"/>
    <w:uiPriority w:val="0"/>
    <w:qFormat/>
    <w:pPr>
      <w:keepNext/>
      <w:outlineLvl w:val="0"/>
    </w:pPr>
    <w:rPr>
      <w:rFonts w:ascii="楷体_GB2312" w:eastAsia="楷体_GB2312"/>
      <w:sz w:val="28"/>
      <w:szCs w:val="20"/>
    </w:rPr>
  </w:style>
  <w:style w:type="paragraph" w:styleId="921" w:customStyle="1">
    <w:name w:val="列出段落3"/>
    <w:basedOn w:val="871"/>
    <w:uiPriority w:val="0"/>
    <w:qFormat/>
    <w:pPr>
      <w:ind w:firstLine="420"/>
    </w:pPr>
    <w:rPr>
      <w:rFonts w:ascii="Calibri" w:hAnsi="Calibri" w:cs="Calibri"/>
    </w:rPr>
  </w:style>
  <w:style w:type="table" w:styleId="922" w:customStyle="1">
    <w:name w:val="网格型1"/>
    <w:basedOn w:val="923"/>
    <w:uiPriority w:val="59"/>
    <w:qFormat/>
    <w:tblPr/>
  </w:style>
  <w:style w:type="table" w:styleId="923" w:customStyle="1">
    <w:name w:val="普通表格1"/>
    <w:uiPriority w:val="99"/>
    <w:unhideWhenUsed/>
    <w:qFormat/>
    <w:tblPr/>
  </w:style>
  <w:style w:type="character" w:styleId="924" w:customStyle="1">
    <w:name w:val="font51"/>
    <w:basedOn w:val="874"/>
    <w:uiPriority w:val="0"/>
    <w:qFormat/>
    <w:rPr>
      <w:rFonts w:hint="eastAsia" w:ascii="宋体" w:hAnsi="宋体" w:eastAsia="宋体" w:cs="宋体"/>
      <w:color w:val="ff0000"/>
      <w:sz w:val="22"/>
      <w:szCs w:val="22"/>
      <w:u w:val="none"/>
    </w:rPr>
  </w:style>
  <w:style w:type="character" w:styleId="925" w:customStyle="1">
    <w:name w:val="font81"/>
    <w:basedOn w:val="874"/>
    <w:uiPriority w:val="0"/>
    <w:qFormat/>
    <w:rPr>
      <w:rFonts w:hint="default" w:ascii="Times New Roman" w:hAnsi="Times New Roman" w:cs="Times New Roman"/>
      <w:color w:val="000000"/>
      <w:sz w:val="20"/>
      <w:szCs w:val="20"/>
      <w:u w:val="none"/>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陆一增</dc:creator>
  <cp:lastModifiedBy>徐瑞</cp:lastModifiedBy>
  <cp:revision>274</cp:revision>
  <dcterms:created xsi:type="dcterms:W3CDTF">2014-10-29T12:08:00Z</dcterms:created>
  <dcterms:modified xsi:type="dcterms:W3CDTF">2025-05-19T07:29:01Z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F9CB375ECB844E0BBA43E97990E8CB79_13</vt:lpwstr>
  </property>
  <property fmtid="{D5CDD505-2E9C-101B-9397-08002B2CF9AE}" pid="4" name="KSOTemplateDocerSaveRecord">
    <vt:lpwstr>eyJoZGlkIjoiOTYyNjM1MmY1NjgzNDI5OTljNzE2MGVjNTYzNTZjNDMiLCJ1c2VySWQiOiIzMTE1NzU5NDgifQ==</vt:lpwstr>
  </property>
</Properties>
</file>