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1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3"/>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3"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60"/>
        <w:rPr>
          <w:rFonts w:hint="eastAsia"/>
        </w:rPr>
      </w:pPr>
      <w:r>
        <w:rPr>
          <w:rFonts w:hint="eastAsia"/>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000000"/>
          <w:sz w:val="28"/>
          <w:szCs w:val="28"/>
        </w:rPr>
        <w:t xml:space="preserve">项</w:t>
      </w:r>
      <w:r>
        <w:rPr>
          <w:rFonts w:hint="eastAsia" w:ascii="宋体" w:hAnsi="宋体" w:cs="宋体"/>
          <w:color w:val="auto"/>
          <w:sz w:val="28"/>
          <w:szCs w:val="28"/>
        </w:rPr>
        <w:t xml:space="preserve">目名称：</w:t>
      </w:r>
      <w:r>
        <w:rPr>
          <w:rFonts w:hint="eastAsia" w:ascii="宋体" w:hAnsi="宋体" w:cs="宋体"/>
          <w:color w:val="auto"/>
          <w:sz w:val="28"/>
          <w:szCs w:val="28"/>
          <w:lang w:eastAsia="zh-CN"/>
        </w:rPr>
        <w:t xml:space="preserve">2025-2026年度公积金核心机房硬件运维及信息系统软件运行维护</w:t>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JSZC-320300-ZJZB-G2025-0157</w:t>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rPr>
        <w:t xml:space="preserve">采 购 人：</w:t>
      </w:r>
      <w:r>
        <w:rPr>
          <w:rFonts w:hint="eastAsia" w:ascii="宋体" w:hAnsi="宋体" w:cs="宋体"/>
          <w:color w:val="auto"/>
          <w:sz w:val="28"/>
          <w:szCs w:val="28"/>
          <w:lang w:eastAsia="zh-CN"/>
        </w:rPr>
        <w:t xml:space="preserve">徐州市住房公积金管理中心</w:t>
      </w:r>
      <w:r/>
    </w:p>
    <w:p>
      <w:pPr>
        <w:jc w:val="center"/>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50"/>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rPr>
          <w:rFonts w:hint="eastAsia" w:ascii="宋体" w:hAnsi="宋体" w:cs="宋体"/>
          <w:b/>
          <w:sz w:val="44"/>
        </w:rPr>
        <w:br w:type="page" w:clear="all"/>
      </w:r>
      <w:r>
        <w:rPr>
          <w:rFonts w:hint="eastAsia" w:ascii="宋体" w:hAnsi="宋体" w:cs="宋体"/>
          <w:b/>
          <w:sz w:val="40"/>
          <w:szCs w:val="22"/>
        </w:rPr>
      </w:r>
      <w:r/>
    </w:p>
    <w:p>
      <w:pPr>
        <w:pStyle w:val="950"/>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徐州市住房公积金管理中心</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2025-2026年度公积金核心机房硬件运维及信息系统软件运行维护</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23"/>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徐州市住房公积金管理中心</w:t>
      </w:r>
      <w:r>
        <w:rPr>
          <w:rFonts w:hint="eastAsia" w:ascii="宋体" w:hAnsi="宋体" w:cs="宋体"/>
          <w:sz w:val="28"/>
          <w:szCs w:val="28"/>
        </w:rPr>
        <w:t xml:space="preserve">“</w:t>
      </w:r>
      <w:r>
        <w:rPr>
          <w:rFonts w:hint="eastAsia" w:ascii="宋体" w:hAnsi="宋体" w:cs="宋体"/>
          <w:sz w:val="28"/>
          <w:szCs w:val="28"/>
          <w:lang w:eastAsia="zh-CN"/>
        </w:rPr>
        <w:t xml:space="preserve">2025-2026年度公积金核心机房硬件运维及信息系统软件运行维护</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2025-2026年度公积金核心机房硬件运维及信息系统软件运行维护</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JSZC-320300-ZJZB-G2025-0157</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24"/>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24"/>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24"/>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24"/>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24"/>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24"/>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24"/>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24"/>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10月17日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10月17日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（三）开标地点：“苏采云”系统（网址：http://jszfcg.jsczt.cn/）“开标大厅”或进入徐州政府采购网（网址：http://czj.xz.gov.cn/Home/HomeIndex）-业务工作 -用户登录，点击“苏采云”进入系统“开标大厅”。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徐州市住房公积金管理中心</w:t>
      </w:r>
      <w:r/>
    </w:p>
    <w:p>
      <w:pPr>
        <w:ind w:firstLine="560"/>
        <w:spacing w:line="520" w:lineRule="exact"/>
        <w:rPr>
          <w:rFonts w:hint="default" w:ascii="宋体" w:hAnsi="宋体" w:eastAsia="宋体" w:cs="宋体"/>
          <w:color w:val="auto"/>
          <w:sz w:val="28"/>
          <w:szCs w:val="28"/>
          <w:lang w:val="en-US" w:eastAsia="zh-CN"/>
        </w:rPr>
      </w:pPr>
      <w:r>
        <w:rPr>
          <w:rFonts w:hint="eastAsia" w:ascii="宋体" w:hAnsi="宋体" w:cs="宋体"/>
          <w:sz w:val="28"/>
          <w:szCs w:val="28"/>
        </w:rPr>
        <w:t xml:space="preserve">（二）地址：</w:t>
      </w:r>
      <w:r>
        <w:rPr>
          <w:rFonts w:hint="eastAsia" w:ascii="宋体" w:hAnsi="宋体" w:cs="宋体"/>
          <w:sz w:val="28"/>
          <w:szCs w:val="28"/>
          <w:lang w:val="en-US" w:eastAsia="zh-CN"/>
        </w:rPr>
        <w:t xml:space="preserve">徐州市</w:t>
      </w:r>
      <w:r>
        <w:rPr>
          <w:rFonts w:hint="eastAsia" w:ascii="宋体" w:hAnsi="宋体" w:cs="宋体"/>
          <w:sz w:val="28"/>
          <w:szCs w:val="28"/>
        </w:rPr>
        <w:t xml:space="preserve">泉山区建国西路85号</w:t>
      </w:r>
      <w:r>
        <w:rPr>
          <w:rFonts w:hint="eastAsia" w:ascii="宋体" w:hAnsi="宋体" w:cs="宋体"/>
          <w:color w:val="auto"/>
          <w:sz w:val="28"/>
          <w:szCs w:val="28"/>
          <w:lang w:val="en-US" w:eastAsia="zh-CN"/>
        </w:rPr>
        <w:t xml:space="preserve">  </w:t>
      </w:r>
      <w:r/>
    </w:p>
    <w:p>
      <w:pPr>
        <w:ind w:firstLine="560"/>
        <w:spacing w:line="52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（三）联系方法：0516-85705945</w:t>
      </w:r>
      <w:r>
        <w:rPr>
          <w:rFonts w:hint="eastAsia" w:ascii="宋体" w:hAnsi="宋体" w:cs="宋体"/>
          <w:color w:val="auto"/>
          <w:sz w:val="28"/>
          <w:szCs w:val="28"/>
          <w:highlight w:val="none"/>
          <w:lang w:val="en-US" w:eastAsia="zh-CN"/>
        </w:rPr>
        <w:t xml:space="preserve">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（四）采购项目联系人：朱凯</w:t>
      </w:r>
      <w:r/>
    </w:p>
    <w:p>
      <w:pPr>
        <w:ind w:firstLine="560"/>
        <w:spacing w:line="520" w:lineRule="exact"/>
        <w:rPr>
          <w:rFonts w:hint="eastAsia" w:ascii="宋体" w:hAnsi="宋体" w:cs="宋体"/>
          <w:color w:val="auto"/>
          <w:sz w:val="28"/>
          <w:szCs w:val="28"/>
        </w:rPr>
      </w:pPr>
      <w:r>
        <w:rPr>
          <w:rFonts w:hint="eastAsia" w:ascii="宋体" w:hAnsi="宋体" w:cs="宋体"/>
          <w:color w:val="auto"/>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（四）采购项目联系人：赵茜茜</w:t>
      </w:r>
      <w:r>
        <w:rPr>
          <w:rFonts w:hint="eastAsia" w:ascii="宋体" w:hAnsi="宋体" w:cs="宋体"/>
          <w:sz w:val="28"/>
          <w:szCs w:val="28"/>
          <w:lang w:val="en-US" w:eastAsia="zh-CN"/>
        </w:rPr>
        <w:t xml:space="preserve">  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13"/>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24"/>
        <w:ind w:firstLine="600"/>
        <w:spacing w:line="520" w:lineRule="exact"/>
        <w:rPr>
          <w:rFonts w:ascii="宋体" w:hAnsi="宋体"/>
          <w:sz w:val="28"/>
          <w:szCs w:val="28"/>
        </w:rPr>
      </w:pPr>
      <w:r>
        <w:rPr>
          <w:rFonts w:ascii="宋体" w:hAnsi="宋体"/>
          <w:sz w:val="28"/>
          <w:szCs w:val="28"/>
        </w:rPr>
        <w:t xml:space="preserve">一、总则</w:t>
      </w:r>
      <w:r/>
    </w:p>
    <w:p>
      <w:pPr>
        <w:pStyle w:val="724"/>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24"/>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24"/>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24"/>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24"/>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24"/>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24"/>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2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24"/>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24"/>
        <w:ind w:firstLine="600"/>
        <w:spacing w:line="520" w:lineRule="exact"/>
        <w:rPr>
          <w:rFonts w:ascii="宋体" w:hAnsi="宋体"/>
          <w:sz w:val="28"/>
          <w:szCs w:val="28"/>
        </w:rPr>
      </w:pPr>
      <w:r>
        <w:rPr>
          <w:rFonts w:ascii="宋体" w:hAnsi="宋体"/>
          <w:sz w:val="28"/>
          <w:szCs w:val="28"/>
        </w:rPr>
        <w:t xml:space="preserve">二、招标</w:t>
      </w:r>
      <w:r/>
    </w:p>
    <w:p>
      <w:pPr>
        <w:pStyle w:val="724"/>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24"/>
        <w:ind w:firstLine="600"/>
        <w:spacing w:line="520" w:lineRule="exact"/>
        <w:rPr>
          <w:rFonts w:ascii="宋体" w:hAnsi="宋体"/>
          <w:sz w:val="28"/>
          <w:szCs w:val="28"/>
        </w:rPr>
      </w:pPr>
      <w:r>
        <w:rPr>
          <w:rFonts w:ascii="宋体" w:hAnsi="宋体"/>
          <w:sz w:val="28"/>
          <w:szCs w:val="28"/>
        </w:rPr>
        <w:t xml:space="preserve">第一章，投标邀请；</w:t>
      </w:r>
      <w:r/>
    </w:p>
    <w:p>
      <w:pPr>
        <w:pStyle w:val="724"/>
        <w:ind w:firstLine="600"/>
        <w:spacing w:line="520" w:lineRule="exact"/>
        <w:rPr>
          <w:rFonts w:ascii="宋体" w:hAnsi="宋体"/>
          <w:sz w:val="28"/>
          <w:szCs w:val="28"/>
        </w:rPr>
      </w:pPr>
      <w:r>
        <w:rPr>
          <w:rFonts w:ascii="宋体" w:hAnsi="宋体"/>
          <w:sz w:val="28"/>
          <w:szCs w:val="28"/>
        </w:rPr>
        <w:t xml:space="preserve">第二章，投标人须知；</w:t>
      </w:r>
      <w:r/>
    </w:p>
    <w:p>
      <w:pPr>
        <w:pStyle w:val="724"/>
        <w:ind w:firstLine="600"/>
        <w:spacing w:line="520" w:lineRule="exact"/>
        <w:rPr>
          <w:rFonts w:ascii="宋体" w:hAnsi="宋体"/>
          <w:sz w:val="28"/>
          <w:szCs w:val="28"/>
        </w:rPr>
      </w:pPr>
      <w:r>
        <w:rPr>
          <w:rFonts w:ascii="宋体" w:hAnsi="宋体"/>
          <w:sz w:val="28"/>
          <w:szCs w:val="28"/>
        </w:rPr>
        <w:t xml:space="preserve">第三章，投标资料表；</w:t>
      </w:r>
      <w:r/>
    </w:p>
    <w:p>
      <w:pPr>
        <w:pStyle w:val="724"/>
        <w:ind w:firstLine="600"/>
        <w:spacing w:line="520" w:lineRule="exact"/>
        <w:rPr>
          <w:rFonts w:ascii="宋体" w:hAnsi="宋体"/>
          <w:sz w:val="28"/>
          <w:szCs w:val="28"/>
        </w:rPr>
      </w:pPr>
      <w:r>
        <w:rPr>
          <w:rFonts w:ascii="宋体" w:hAnsi="宋体"/>
          <w:sz w:val="28"/>
          <w:szCs w:val="28"/>
        </w:rPr>
        <w:t xml:space="preserve">第四章，评标标准；</w:t>
      </w:r>
      <w:r/>
    </w:p>
    <w:p>
      <w:pPr>
        <w:pStyle w:val="724"/>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24"/>
        <w:ind w:firstLine="600"/>
        <w:spacing w:line="520" w:lineRule="exact"/>
        <w:rPr>
          <w:rFonts w:ascii="宋体" w:hAnsi="宋体"/>
          <w:sz w:val="28"/>
          <w:szCs w:val="28"/>
        </w:rPr>
      </w:pPr>
      <w:r>
        <w:rPr>
          <w:rFonts w:ascii="宋体" w:hAnsi="宋体"/>
          <w:sz w:val="28"/>
          <w:szCs w:val="28"/>
        </w:rPr>
        <w:t xml:space="preserve">第六章，采购需求；</w:t>
      </w:r>
      <w:r/>
    </w:p>
    <w:p>
      <w:pPr>
        <w:pStyle w:val="724"/>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24"/>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2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24"/>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2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2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24"/>
        <w:ind w:firstLine="600"/>
        <w:spacing w:line="520" w:lineRule="exact"/>
        <w:rPr>
          <w:rFonts w:ascii="宋体" w:hAnsi="宋体"/>
          <w:sz w:val="28"/>
          <w:szCs w:val="28"/>
        </w:rPr>
      </w:pPr>
      <w:r>
        <w:rPr>
          <w:rFonts w:ascii="宋体" w:hAnsi="宋体"/>
          <w:sz w:val="28"/>
          <w:szCs w:val="28"/>
        </w:rPr>
        <w:t xml:space="preserve">三、投标</w:t>
      </w:r>
      <w:r/>
    </w:p>
    <w:p>
      <w:pPr>
        <w:pStyle w:val="724"/>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24"/>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24"/>
        <w:ind w:firstLine="600"/>
        <w:spacing w:line="520" w:lineRule="exact"/>
        <w:rPr>
          <w:rFonts w:ascii="宋体" w:hAnsi="宋体"/>
          <w:sz w:val="28"/>
          <w:szCs w:val="28"/>
        </w:rPr>
      </w:pPr>
      <w:r>
        <w:rPr>
          <w:rFonts w:ascii="宋体" w:hAnsi="宋体"/>
          <w:sz w:val="28"/>
          <w:szCs w:val="28"/>
        </w:rPr>
        <w:t xml:space="preserve">（十二）投标文件的构成：</w:t>
      </w:r>
      <w:r/>
    </w:p>
    <w:p>
      <w:pPr>
        <w:pStyle w:val="72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2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24"/>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2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2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2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24"/>
        <w:ind w:firstLine="600"/>
        <w:spacing w:line="520" w:lineRule="exact"/>
        <w:rPr>
          <w:rFonts w:ascii="宋体" w:hAnsi="宋体"/>
          <w:sz w:val="28"/>
          <w:szCs w:val="28"/>
        </w:rPr>
      </w:pPr>
      <w:r>
        <w:rPr>
          <w:rFonts w:ascii="宋体" w:hAnsi="宋体"/>
          <w:sz w:val="28"/>
          <w:szCs w:val="28"/>
        </w:rPr>
        <w:t xml:space="preserve">（十四）投标报价要求：</w:t>
      </w:r>
      <w:r/>
    </w:p>
    <w:p>
      <w:pPr>
        <w:pStyle w:val="72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2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2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24"/>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24"/>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24"/>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24"/>
        <w:ind w:firstLine="600"/>
        <w:spacing w:line="520" w:lineRule="exact"/>
        <w:rPr>
          <w:rFonts w:ascii="宋体" w:hAnsi="宋体"/>
          <w:sz w:val="28"/>
          <w:szCs w:val="28"/>
        </w:rPr>
      </w:pPr>
      <w:r>
        <w:rPr>
          <w:rFonts w:ascii="宋体" w:hAnsi="宋体"/>
          <w:sz w:val="28"/>
          <w:szCs w:val="28"/>
        </w:rPr>
        <w:t xml:space="preserve">（十六）投标有效期：</w:t>
      </w:r>
      <w:r/>
    </w:p>
    <w:p>
      <w:pPr>
        <w:pStyle w:val="724"/>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24"/>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24"/>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24"/>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24"/>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24"/>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24"/>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24"/>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24"/>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24"/>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24"/>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24"/>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24"/>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24"/>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24"/>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24"/>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24"/>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24"/>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24"/>
        <w:ind w:firstLine="600"/>
        <w:spacing w:line="520" w:lineRule="exact"/>
        <w:rPr>
          <w:rFonts w:ascii="宋体" w:hAnsi="宋体"/>
          <w:sz w:val="28"/>
          <w:szCs w:val="28"/>
        </w:rPr>
      </w:pPr>
      <w:r>
        <w:rPr>
          <w:rFonts w:ascii="宋体" w:hAnsi="宋体"/>
          <w:sz w:val="28"/>
          <w:szCs w:val="28"/>
        </w:rPr>
        <w:t xml:space="preserve">四、开标</w:t>
      </w:r>
      <w:r/>
    </w:p>
    <w:p>
      <w:pPr>
        <w:pStyle w:val="724"/>
        <w:ind w:firstLine="600"/>
        <w:spacing w:line="520" w:lineRule="exact"/>
        <w:rPr>
          <w:rFonts w:ascii="宋体" w:hAnsi="宋体"/>
          <w:sz w:val="28"/>
          <w:szCs w:val="28"/>
        </w:rPr>
      </w:pPr>
      <w:r>
        <w:rPr>
          <w:rFonts w:ascii="宋体" w:hAnsi="宋体"/>
          <w:sz w:val="28"/>
          <w:szCs w:val="28"/>
        </w:rPr>
        <w:t xml:space="preserve">（二十五）开标：</w:t>
      </w:r>
      <w:r/>
    </w:p>
    <w:p>
      <w:pPr>
        <w:pStyle w:val="724"/>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24"/>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24"/>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24"/>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24"/>
        <w:ind w:firstLine="600"/>
        <w:spacing w:line="520" w:lineRule="exact"/>
        <w:rPr>
          <w:rFonts w:ascii="宋体" w:hAnsi="宋体"/>
          <w:sz w:val="28"/>
          <w:szCs w:val="28"/>
        </w:rPr>
      </w:pPr>
      <w:r>
        <w:rPr>
          <w:rFonts w:ascii="宋体" w:hAnsi="宋体"/>
          <w:sz w:val="28"/>
          <w:szCs w:val="28"/>
        </w:rPr>
        <w:t xml:space="preserve">五、评标</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24"/>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24"/>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24"/>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24"/>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24"/>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24"/>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24"/>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24"/>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24"/>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24"/>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24"/>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24"/>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24"/>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24"/>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24"/>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24"/>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24"/>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24"/>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24"/>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24"/>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24"/>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24"/>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24"/>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24"/>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24"/>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24"/>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24"/>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24"/>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24"/>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24"/>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24"/>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4.</w:t>
      </w: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24"/>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5.</w:t>
      </w:r>
      <w:r>
        <w:rPr>
          <w:rFonts w:ascii="宋体" w:hAnsi="宋体"/>
          <w:sz w:val="28"/>
          <w:szCs w:val="28"/>
        </w:rPr>
        <w:t xml:space="preserve">非单一产品采购项目，多家投标人提供的核心产品品牌相同的，按前两款规定处理。</w:t>
      </w:r>
      <w:r/>
    </w:p>
    <w:p>
      <w:pPr>
        <w:pStyle w:val="724"/>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24"/>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24"/>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24"/>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24"/>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24"/>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24"/>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24"/>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24"/>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24"/>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24"/>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24"/>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24"/>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24"/>
        <w:ind w:firstLine="600"/>
        <w:spacing w:line="520" w:lineRule="exact"/>
        <w:rPr>
          <w:rFonts w:ascii="宋体" w:hAnsi="宋体"/>
          <w:sz w:val="28"/>
          <w:szCs w:val="28"/>
        </w:rPr>
      </w:pPr>
      <w:r>
        <w:rPr>
          <w:rFonts w:ascii="宋体" w:hAnsi="宋体"/>
          <w:sz w:val="28"/>
          <w:szCs w:val="28"/>
        </w:rPr>
        <w:t xml:space="preserve">六、定标</w:t>
      </w:r>
      <w:r/>
    </w:p>
    <w:p>
      <w:pPr>
        <w:pStyle w:val="724"/>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24"/>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24"/>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24"/>
        <w:ind w:firstLine="600"/>
        <w:spacing w:line="520" w:lineRule="exact"/>
        <w:rPr>
          <w:rFonts w:ascii="宋体" w:hAnsi="宋体"/>
          <w:sz w:val="28"/>
          <w:szCs w:val="28"/>
        </w:rPr>
      </w:pPr>
      <w:r>
        <w:rPr>
          <w:rFonts w:ascii="宋体" w:hAnsi="宋体"/>
          <w:sz w:val="28"/>
          <w:szCs w:val="28"/>
        </w:rPr>
        <w:t xml:space="preserve">七、政府采购合同</w:t>
      </w:r>
      <w:r/>
    </w:p>
    <w:p>
      <w:pPr>
        <w:pStyle w:val="724"/>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24"/>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24"/>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24"/>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24"/>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24"/>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24"/>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24"/>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24"/>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24"/>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24"/>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24"/>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24"/>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24"/>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24"/>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24"/>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24"/>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24"/>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24"/>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24"/>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24"/>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14"/>
        <w:tblW w:w="10990" w:type="dxa"/>
        <w:tblInd w:w="-66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50"/>
        <w:gridCol w:w="9340"/>
      </w:tblGrid>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徐州市住房公积金管理中心</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采购包1</w:t>
            </w:r>
            <w:r>
              <w:rPr>
                <w:rFonts w:hint="eastAsia" w:ascii="宋体" w:hAnsi="宋体" w:eastAsia="宋体" w:cs="宋体"/>
                <w:b/>
                <w:bCs/>
                <w:color w:val="auto"/>
                <w:sz w:val="28"/>
                <w:szCs w:val="28"/>
              </w:rPr>
              <w:t xml:space="preserve">属于专门面向中小微企业采购的项目，供应商应为中小微企业或监狱企业或残疾人福利性单位</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采购包2不</w:t>
            </w:r>
            <w:r>
              <w:rPr>
                <w:rFonts w:hint="eastAsia" w:ascii="宋体" w:hAnsi="宋体" w:eastAsia="宋体" w:cs="宋体"/>
                <w:b/>
                <w:bCs/>
                <w:color w:val="auto"/>
                <w:sz w:val="28"/>
                <w:szCs w:val="28"/>
              </w:rPr>
              <w:t xml:space="preserve">属于专门面向中小微企业采购的项目。</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24"/>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24"/>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24"/>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24"/>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2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2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24"/>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24"/>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24"/>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24"/>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2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2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24"/>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b/>
                <w:bCs/>
                <w:color w:val="ff0000"/>
                <w:sz w:val="28"/>
                <w:szCs w:val="28"/>
              </w:rPr>
            </w:pPr>
            <w:r>
              <w:rPr>
                <w:rFonts w:hint="eastAsia" w:ascii="宋体" w:hAnsi="宋体" w:eastAsia="宋体" w:cs="宋体"/>
                <w:b/>
                <w:bCs/>
                <w:color w:val="ff0000"/>
                <w:sz w:val="28"/>
                <w:szCs w:val="28"/>
                <w:lang w:val="en-US" w:eastAsia="zh-CN"/>
              </w:rPr>
              <w:t xml:space="preserve">采购包1</w:t>
            </w:r>
            <w:r>
              <w:rPr>
                <w:rFonts w:hint="eastAsia" w:ascii="宋体" w:hAnsi="宋体" w:cs="宋体"/>
                <w:b/>
                <w:bCs/>
                <w:color w:val="ff0000"/>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2、财务状况报告（即提供投标人的本项目开标时间前6个月内任何时间的资产负债表、利润表扫描件各一份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或提供投标人上年度财务报告扫描件</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sz w:val="28"/>
                <w:szCs w:val="28"/>
                <w:lang w:eastAsia="zh-CN"/>
              </w:rPr>
            </w:pPr>
            <w:r>
              <w:rPr>
                <w:rFonts w:hint="eastAsia" w:ascii="宋体" w:hAnsi="宋体" w:cs="宋体"/>
                <w:sz w:val="28"/>
                <w:szCs w:val="28"/>
              </w:rPr>
              <w:t xml:space="preserve">4、</w:t>
            </w:r>
            <w:r>
              <w:rPr>
                <w:rFonts w:hint="eastAsia" w:ascii="宋体" w:hAnsi="宋体" w:eastAsia="宋体" w:cs="宋体"/>
                <w:i w:val="0"/>
                <w:iCs w:val="0"/>
                <w:caps w:val="0"/>
                <w:color w:val="333333"/>
                <w:spacing w:val="0"/>
                <w:sz w:val="28"/>
                <w:szCs w:val="28"/>
              </w:rPr>
              <w:t xml:space="preserve">具备履行合同所必需的设备和专业技术能力的证明材料，即投标文件中提供《具备履行合同所必需的设备和专业技术能力的书面声明》（加盖电子签章，格式见招标文件第七章《投标文件相关格式》）</w:t>
            </w:r>
            <w:r>
              <w:rPr>
                <w:rFonts w:hint="eastAsia" w:ascii="宋体" w:hAnsi="宋体" w:cs="宋体"/>
                <w:sz w:val="28"/>
                <w:szCs w:val="28"/>
                <w:lang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6、</w:t>
            </w:r>
            <w:r>
              <w:rPr>
                <w:rFonts w:hint="eastAsia" w:ascii="宋体" w:hAnsi="宋体" w:cs="宋体"/>
                <w:sz w:val="28"/>
                <w:szCs w:val="28"/>
              </w:rPr>
              <w:t xml:space="preserve">提供的服务全部由符合政策要求的中小企业承接，提供《中小企业声明函》（填写完整，加盖电子签章，格式见招标文件第七章《投标文件相关格式》,如不填写完整，视为无效）。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bookmarkStart w:id="8" w:name="OLE_LINK2"/>
            <w:r>
              <w:rPr>
                <w:rFonts w:hint="eastAsia" w:ascii="宋体" w:hAnsi="宋体" w:cs="宋体"/>
                <w:sz w:val="28"/>
                <w:szCs w:val="28"/>
              </w:rPr>
              <w:t xml:space="preserve">《分项价格表》（加盖电子签章，格式见招标文件第七章《投标文件相关格式》）</w:t>
            </w:r>
            <w:bookmarkEnd w:id="8"/>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bookmarkStart w:id="9" w:name="OLE_LINK3"/>
            <w:r>
              <w:rPr>
                <w:rFonts w:hint="eastAsia" w:ascii="宋体" w:hAnsi="宋体" w:cs="宋体"/>
                <w:sz w:val="28"/>
                <w:szCs w:val="28"/>
              </w:rPr>
              <w:t xml:space="preserve">《投标函》（加盖电子签章，格式见招标文件第七章《投标文件相关格式》）</w:t>
            </w:r>
            <w:bookmarkEnd w:id="9"/>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2、</w:t>
            </w:r>
            <w:bookmarkStart w:id="10" w:name="OLE_LINK4"/>
            <w:r>
              <w:rPr>
                <w:rFonts w:hint="eastAsia" w:ascii="宋体" w:hAnsi="宋体" w:cs="宋体"/>
                <w:sz w:val="28"/>
                <w:szCs w:val="28"/>
              </w:rPr>
              <w:t xml:space="preserve">《法定代表人授权书》（提供原件的扫描件，格式见招标文件第七章《投标文件相关格式》）</w:t>
            </w:r>
            <w:bookmarkEnd w:id="10"/>
            <w:r>
              <w:rPr>
                <w:rFonts w:hint="eastAsia" w:ascii="宋体" w:hAnsi="宋体" w:cs="宋体"/>
                <w:sz w:val="28"/>
                <w:szCs w:val="28"/>
              </w:rPr>
              <w:t xml:space="preserve">。</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eastAsia="宋体" w:cs="宋体"/>
                <w:color w:val="000000" w:themeColor="text1"/>
                <w:sz w:val="28"/>
                <w:szCs w:val="28"/>
                <w:lang w:val="en-US" w:eastAsia="zh-CN"/>
                <w14:textFill>
                  <w14:solidFill>
                    <w14:schemeClr w14:val="tx1"/>
                  </w14:solidFill>
                </w14:textFill>
              </w:rPr>
            </w:pPr>
            <w:r/>
            <w:bookmarkStart w:id="11" w:name="OLE_LINK5"/>
            <w:r>
              <w:rPr>
                <w:rFonts w:hint="eastAsia" w:ascii="宋体" w:hAnsi="宋体" w:cs="宋体"/>
                <w:sz w:val="28"/>
                <w:szCs w:val="28"/>
              </w:rPr>
              <w:t xml:space="preserve">《偏离表》（加盖电子签章，格式见招标文件第七章《投标文件相关格式》）</w:t>
            </w:r>
            <w:bookmarkEnd w:id="11"/>
            <w:r>
              <w:rPr>
                <w:rFonts w:hint="eastAsia" w:ascii="宋体" w:hAnsi="宋体" w:cs="宋体"/>
                <w:sz w:val="28"/>
                <w:szCs w:val="28"/>
              </w:rPr>
              <w:t xml:space="preserve">。</w:t>
            </w:r>
            <w:r/>
          </w:p>
          <w:p>
            <w:pPr>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四、综合评审评分项</w:t>
            </w:r>
            <w:r/>
          </w:p>
          <w:p>
            <w:pPr>
              <w:jc w:val="left"/>
              <w:spacing w:line="400" w:lineRule="exact"/>
              <w:rPr>
                <w:rFonts w:hint="eastAsia" w:ascii="宋体" w:hAnsi="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（一）技术方案</w:t>
            </w:r>
            <w:r>
              <w:rPr>
                <w:rFonts w:hint="eastAsia" w:ascii="宋体" w:hAnsi="宋体" w:cs="宋体"/>
                <w:b/>
                <w:bCs/>
                <w:sz w:val="28"/>
                <w:szCs w:val="28"/>
                <w:lang w:val="en-US" w:eastAsia="zh-CN"/>
              </w:rPr>
              <w:br/>
            </w:r>
            <w:r>
              <w:rPr>
                <w:rFonts w:hint="eastAsia" w:ascii="宋体" w:hAnsi="宋体" w:cs="宋体"/>
                <w:b w:val="0"/>
                <w:bCs w:val="0"/>
                <w:sz w:val="28"/>
                <w:szCs w:val="28"/>
                <w:lang w:val="en-US" w:eastAsia="zh-CN"/>
              </w:rPr>
              <w:t xml:space="preserve">1、核心业务生产系统方案；</w:t>
            </w:r>
            <w:r/>
          </w:p>
          <w:p>
            <w:pPr>
              <w:jc w:val="left"/>
              <w:spacing w:line="4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2、虚拟化平台系统方案；</w:t>
            </w:r>
            <w:r/>
          </w:p>
          <w:p>
            <w:pPr>
              <w:jc w:val="left"/>
              <w:spacing w:line="4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3、业务互联系统方案；</w:t>
            </w:r>
            <w:r/>
          </w:p>
          <w:p>
            <w:pPr>
              <w:jc w:val="left"/>
              <w:spacing w:line="4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4、安全防护系统方案；</w:t>
            </w:r>
            <w:r/>
          </w:p>
          <w:p>
            <w:pPr>
              <w:jc w:val="left"/>
              <w:spacing w:line="4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5、其他业务配套设备方案；</w:t>
            </w:r>
            <w:r>
              <w:rPr>
                <w:rFonts w:hint="eastAsia" w:ascii="宋体" w:hAnsi="宋体" w:cs="宋体"/>
                <w:b w:val="0"/>
                <w:bCs w:val="0"/>
                <w:sz w:val="28"/>
                <w:szCs w:val="28"/>
                <w:lang w:val="en-US" w:eastAsia="zh-CN"/>
              </w:rPr>
              <w:br/>
            </w:r>
            <w:r>
              <w:rPr>
                <w:rFonts w:hint="eastAsia" w:ascii="宋体" w:hAnsi="宋体" w:cs="宋体"/>
                <w:b w:val="0"/>
                <w:bCs w:val="0"/>
                <w:sz w:val="28"/>
                <w:szCs w:val="28"/>
                <w:lang w:val="en-US" w:eastAsia="zh-CN"/>
              </w:rPr>
              <w:t xml:space="preserve">（二）项目实施方案</w:t>
            </w:r>
            <w:r>
              <w:rPr>
                <w:rFonts w:hint="eastAsia" w:ascii="宋体" w:hAnsi="宋体" w:cs="宋体"/>
                <w:b w:val="0"/>
                <w:bCs w:val="0"/>
                <w:sz w:val="28"/>
                <w:szCs w:val="28"/>
                <w:lang w:val="en-US" w:eastAsia="zh-CN"/>
              </w:rPr>
              <w:br/>
            </w:r>
            <w:r>
              <w:rPr>
                <w:rFonts w:hint="eastAsia" w:ascii="宋体" w:hAnsi="宋体" w:cs="宋体"/>
                <w:b w:val="0"/>
                <w:bCs w:val="0"/>
                <w:sz w:val="28"/>
                <w:szCs w:val="28"/>
                <w:lang w:val="en-US" w:eastAsia="zh-CN"/>
              </w:rPr>
              <w:t xml:space="preserve">（三）人员配备方案</w:t>
            </w:r>
            <w:r>
              <w:rPr>
                <w:rFonts w:hint="eastAsia" w:ascii="宋体" w:hAnsi="宋体" w:cs="宋体"/>
                <w:b w:val="0"/>
                <w:bCs w:val="0"/>
                <w:sz w:val="28"/>
                <w:szCs w:val="28"/>
                <w:lang w:val="en-US" w:eastAsia="zh-CN"/>
              </w:rPr>
              <w:br/>
            </w:r>
            <w:r>
              <w:rPr>
                <w:rFonts w:hint="eastAsia" w:ascii="宋体" w:hAnsi="宋体" w:cs="宋体"/>
                <w:b w:val="0"/>
                <w:bCs w:val="0"/>
                <w:sz w:val="28"/>
                <w:szCs w:val="28"/>
                <w:lang w:val="en-US" w:eastAsia="zh-CN"/>
              </w:rPr>
              <w:t xml:space="preserve">1、维护工程师方案</w:t>
            </w:r>
            <w:r>
              <w:rPr>
                <w:rFonts w:hint="eastAsia" w:ascii="宋体" w:hAnsi="宋体" w:cs="宋体"/>
                <w:b w:val="0"/>
                <w:bCs w:val="0"/>
                <w:sz w:val="28"/>
                <w:szCs w:val="28"/>
                <w:lang w:val="en-US" w:eastAsia="zh-CN"/>
              </w:rPr>
              <w:br/>
            </w:r>
            <w:r>
              <w:rPr>
                <w:rFonts w:hint="eastAsia" w:ascii="宋体" w:hAnsi="宋体" w:cs="宋体"/>
                <w:b w:val="0"/>
                <w:bCs w:val="0"/>
                <w:sz w:val="28"/>
                <w:szCs w:val="28"/>
                <w:lang w:val="en-US" w:eastAsia="zh-CN"/>
              </w:rPr>
              <w:t xml:space="preserve">2、驻场人员方案</w:t>
            </w:r>
            <w:r>
              <w:rPr>
                <w:rFonts w:hint="eastAsia" w:ascii="宋体" w:hAnsi="宋体" w:cs="宋体"/>
                <w:b w:val="0"/>
                <w:bCs w:val="0"/>
                <w:sz w:val="28"/>
                <w:szCs w:val="28"/>
                <w:lang w:val="en-US" w:eastAsia="zh-CN"/>
              </w:rPr>
              <w:br/>
            </w:r>
            <w:r>
              <w:rPr>
                <w:rFonts w:hint="eastAsia" w:ascii="宋体" w:hAnsi="宋体" w:cs="宋体"/>
                <w:b w:val="0"/>
                <w:bCs w:val="0"/>
                <w:sz w:val="28"/>
                <w:szCs w:val="28"/>
                <w:lang w:val="en-US" w:eastAsia="zh-CN"/>
              </w:rPr>
              <w:t xml:space="preserve">（四）培训方案</w:t>
            </w:r>
            <w:r>
              <w:rPr>
                <w:rFonts w:hint="eastAsia" w:ascii="宋体" w:hAnsi="宋体" w:cs="宋体"/>
                <w:b w:val="0"/>
                <w:bCs w:val="0"/>
                <w:sz w:val="28"/>
                <w:szCs w:val="28"/>
                <w:lang w:val="en-US" w:eastAsia="zh-CN"/>
              </w:rPr>
              <w:br/>
            </w:r>
            <w:r>
              <w:rPr>
                <w:rFonts w:hint="eastAsia" w:ascii="宋体" w:hAnsi="宋体" w:cs="宋体"/>
                <w:b w:val="0"/>
                <w:bCs w:val="0"/>
                <w:sz w:val="28"/>
                <w:szCs w:val="28"/>
                <w:lang w:val="en-US" w:eastAsia="zh-CN"/>
              </w:rPr>
              <w:t xml:space="preserve">（五）投标人业绩</w:t>
            </w:r>
            <w:r/>
          </w:p>
          <w:p>
            <w:pPr>
              <w:jc w:val="left"/>
              <w:spacing w:line="40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val="en-US" w:eastAsia="zh-CN"/>
              </w:rPr>
              <w:t xml:space="preserve">无。</w:t>
            </w:r>
            <w:r/>
          </w:p>
          <w:p>
            <w:pPr>
              <w:jc w:val="left"/>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sz w:val="28"/>
                <w:szCs w:val="28"/>
              </w:rPr>
              <w:br/>
            </w:r>
            <w:r>
              <w:rPr>
                <w:rFonts w:hint="eastAsia" w:ascii="宋体" w:hAnsi="宋体" w:cs="宋体"/>
                <w:sz w:val="28"/>
                <w:szCs w:val="28"/>
              </w:rPr>
              <w:br/>
            </w:r>
            <w:r>
              <w:rPr>
                <w:rFonts w:hint="eastAsia" w:ascii="宋体" w:hAnsi="宋体" w:eastAsia="宋体" w:cs="宋体"/>
                <w:b/>
                <w:bCs/>
                <w:color w:val="ff0000"/>
                <w:sz w:val="28"/>
                <w:szCs w:val="28"/>
                <w:lang w:val="en-US" w:eastAsia="zh-CN"/>
              </w:rPr>
              <w:t xml:space="preserve">采购包2</w:t>
            </w:r>
            <w:r>
              <w:rPr>
                <w:rFonts w:hint="eastAsia" w:ascii="宋体" w:hAnsi="宋体" w:cs="宋体"/>
                <w:b/>
                <w:bCs/>
                <w:color w:val="ff0000"/>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2、财务状况报告（即提供投标人的本项目开标时间前6个月内任何时间的资产负债表、利润表扫描件各一份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或提供投标人上年度财务报告扫描件</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sz w:val="28"/>
                <w:szCs w:val="28"/>
                <w:lang w:eastAsia="zh-CN"/>
              </w:rPr>
            </w:pPr>
            <w:r>
              <w:rPr>
                <w:rFonts w:hint="eastAsia" w:ascii="宋体" w:hAnsi="宋体" w:cs="宋体"/>
                <w:sz w:val="28"/>
                <w:szCs w:val="28"/>
              </w:rPr>
              <w:t xml:space="preserve">4、</w:t>
            </w:r>
            <w:r>
              <w:rPr>
                <w:rFonts w:hint="eastAsia" w:ascii="宋体" w:hAnsi="宋体" w:eastAsia="宋体" w:cs="宋体"/>
                <w:i w:val="0"/>
                <w:iCs w:val="0"/>
                <w:caps w:val="0"/>
                <w:color w:val="333333"/>
                <w:spacing w:val="0"/>
                <w:sz w:val="28"/>
                <w:szCs w:val="28"/>
              </w:rPr>
              <w:t xml:space="preserve">具备履行合同所必需的设备和专业技术能力的证明材料，即投标文件中提供《具备履行合同所必需的设备和专业技术能力的书面声明》（加盖电子签章，格式见招标文件第七章《投标文件相关格式》）</w:t>
            </w:r>
            <w:r>
              <w:rPr>
                <w:rFonts w:hint="eastAsia" w:ascii="宋体" w:hAnsi="宋体" w:cs="宋体"/>
                <w:sz w:val="28"/>
                <w:szCs w:val="28"/>
                <w:lang w:eastAsia="zh-CN"/>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sz w:val="28"/>
                <w:szCs w:val="28"/>
              </w:rPr>
              <w:t xml:space="preserve">《偏离表》（加盖电子签章，格式见招标文件第七章《投标文件相关格式》）。</w:t>
            </w:r>
            <w:r/>
          </w:p>
          <w:p>
            <w:pPr>
              <w:spacing w:line="400" w:lineRule="exact"/>
              <w:rPr>
                <w:rFonts w:hint="eastAsia" w:ascii="宋体" w:hAnsi="宋体" w:eastAsia="宋体" w:cs="宋体"/>
                <w:b/>
                <w:bCs/>
                <w:sz w:val="28"/>
                <w:szCs w:val="28"/>
              </w:rPr>
            </w:pPr>
            <w:r>
              <w:rPr>
                <w:rFonts w:hint="eastAsia" w:ascii="宋体" w:hAnsi="宋体" w:eastAsia="宋体" w:cs="宋体"/>
                <w:b/>
                <w:bCs/>
                <w:sz w:val="28"/>
                <w:szCs w:val="28"/>
              </w:rPr>
              <w:t xml:space="preserve">四、综合评审评分项</w:t>
            </w:r>
            <w:r/>
          </w:p>
          <w:p>
            <w:pPr>
              <w:jc w:val="left"/>
              <w:spacing w:line="400" w:lineRule="exact"/>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eastAsia="zh-CN"/>
              </w:rPr>
              <w:t xml:space="preserve">（</w:t>
            </w:r>
            <w:r>
              <w:rPr>
                <w:rFonts w:hint="eastAsia" w:ascii="宋体" w:hAnsi="宋体" w:cs="宋体"/>
                <w:b w:val="0"/>
                <w:bCs w:val="0"/>
                <w:sz w:val="28"/>
                <w:szCs w:val="28"/>
                <w:lang w:val="en-US" w:eastAsia="zh-CN"/>
              </w:rPr>
              <w:t xml:space="preserve">一</w:t>
            </w:r>
            <w:r>
              <w:rPr>
                <w:rFonts w:hint="eastAsia" w:ascii="宋体" w:hAnsi="宋体" w:cs="宋体"/>
                <w:b w:val="0"/>
                <w:bCs w:val="0"/>
                <w:sz w:val="28"/>
                <w:szCs w:val="28"/>
                <w:lang w:eastAsia="zh-CN"/>
              </w:rPr>
              <w:t xml:space="preserve">）</w:t>
            </w:r>
            <w:r>
              <w:rPr>
                <w:rFonts w:hint="eastAsia" w:ascii="宋体" w:hAnsi="宋体" w:cs="宋体"/>
                <w:b w:val="0"/>
                <w:bCs w:val="0"/>
                <w:sz w:val="28"/>
                <w:szCs w:val="28"/>
                <w:lang w:val="en-US" w:eastAsia="zh-CN"/>
              </w:rPr>
              <w:t xml:space="preserve">技术方案</w:t>
            </w:r>
            <w:r>
              <w:rPr>
                <w:rFonts w:hint="eastAsia" w:ascii="宋体" w:hAnsi="宋体" w:cs="宋体"/>
                <w:b/>
                <w:bCs/>
                <w:sz w:val="28"/>
                <w:szCs w:val="28"/>
                <w:lang w:val="en-US" w:eastAsia="zh-CN"/>
              </w:rPr>
              <w:br/>
            </w:r>
            <w:r>
              <w:rPr>
                <w:rFonts w:hint="eastAsia" w:ascii="宋体" w:hAnsi="宋体" w:eastAsia="宋体" w:cs="宋体"/>
                <w:b w:val="0"/>
                <w:bCs w:val="0"/>
                <w:sz w:val="28"/>
                <w:szCs w:val="28"/>
                <w:lang w:val="en-US" w:eastAsia="zh-CN"/>
              </w:rPr>
              <w:t xml:space="preserve">1、综合服务平台托管服务方案；</w:t>
            </w:r>
            <w:r/>
          </w:p>
          <w:p>
            <w:pPr>
              <w:jc w:val="left"/>
              <w:spacing w:line="40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2、住房公积金综合信息管理系统（双贯标系统）维护方案</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①核心业务系统方案</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②外联支撑应用系统方案</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（二）项目实施方案</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（三）人员配备方案</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1、技术支持服务小组人员方案</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2、拟派驻现场人员工作方案</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（四）技术培训方案</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（五）投标人业绩</w:t>
            </w:r>
            <w:r/>
          </w:p>
          <w:p>
            <w:pPr>
              <w:jc w:val="left"/>
              <w:spacing w:line="400" w:lineRule="exact"/>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1、投标人综合服务平台托管服务业绩</w:t>
            </w:r>
            <w:r>
              <w:rPr>
                <w:rFonts w:hint="eastAsia" w:ascii="宋体" w:hAnsi="宋体" w:cs="宋体"/>
                <w:b w:val="0"/>
                <w:bCs w:val="0"/>
                <w:sz w:val="28"/>
                <w:szCs w:val="28"/>
                <w:lang w:val="en-US" w:eastAsia="zh-CN"/>
              </w:rPr>
              <w:t xml:space="preserve">；</w:t>
            </w:r>
            <w:r>
              <w:rPr>
                <w:rFonts w:hint="eastAsia" w:ascii="宋体" w:hAnsi="宋体" w:eastAsia="宋体" w:cs="宋体"/>
                <w:b w:val="0"/>
                <w:bCs w:val="0"/>
                <w:sz w:val="28"/>
                <w:szCs w:val="28"/>
                <w:lang w:val="en-US" w:eastAsia="zh-CN"/>
              </w:rPr>
              <w:br/>
            </w:r>
            <w:r>
              <w:rPr>
                <w:rFonts w:hint="eastAsia" w:ascii="宋体" w:hAnsi="宋体" w:eastAsia="宋体" w:cs="宋体"/>
                <w:b w:val="0"/>
                <w:bCs w:val="0"/>
                <w:sz w:val="28"/>
                <w:szCs w:val="28"/>
                <w:lang w:val="en-US" w:eastAsia="zh-CN"/>
              </w:rPr>
              <w:t xml:space="preserve">2、投标人系统运维业绩</w:t>
            </w:r>
            <w:r>
              <w:rPr>
                <w:rFonts w:hint="eastAsia" w:ascii="宋体" w:hAnsi="宋体" w:cs="宋体"/>
                <w:b w:val="0"/>
                <w:bCs w:val="0"/>
                <w:sz w:val="28"/>
                <w:szCs w:val="28"/>
                <w:lang w:val="en-US" w:eastAsia="zh-CN"/>
              </w:rPr>
              <w:t xml:space="preserve">。</w:t>
            </w:r>
            <w:r/>
          </w:p>
          <w:p>
            <w:pPr>
              <w:jc w:val="left"/>
              <w:spacing w:line="400" w:lineRule="exact"/>
              <w:rPr>
                <w:rFonts w:hint="eastAsia" w:ascii="宋体" w:hAnsi="宋体" w:eastAsia="宋体" w:cs="宋体"/>
                <w:b w:val="0"/>
                <w:bCs w:val="0"/>
                <w:sz w:val="28"/>
                <w:szCs w:val="28"/>
                <w:lang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sz w:val="28"/>
                <w:szCs w:val="28"/>
              </w:rPr>
              <w:t xml:space="preserve">提供的服务全部由符合政策要求的中小企业承接，提供《中小企业声明函》（填写完整，加盖电子签章，格式见招标文件第七章《投标文件相关格式》,如不填写完整，视为无效）。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jc w:val="left"/>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default" w:ascii="宋体" w:hAnsi="宋体" w:eastAsia="宋体" w:cs="宋体"/>
                <w:bCs/>
                <w:sz w:val="28"/>
                <w:szCs w:val="28"/>
                <w:highlight w:val="yellow"/>
                <w:lang w:val="en-US" w:eastAsia="zh-CN"/>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eastAsia="宋体" w:cs="宋体"/>
                <w:sz w:val="28"/>
                <w:szCs w:val="28"/>
              </w:rPr>
              <w:t xml:space="preserve">本项目</w:t>
            </w:r>
            <w:r>
              <w:rPr>
                <w:rFonts w:hint="eastAsia" w:ascii="宋体" w:hAnsi="宋体" w:cs="宋体"/>
                <w:sz w:val="28"/>
                <w:szCs w:val="28"/>
                <w:lang w:val="en-US" w:eastAsia="zh-CN"/>
              </w:rPr>
              <w:t xml:space="preserve">采购包1</w:t>
            </w:r>
            <w:r>
              <w:rPr>
                <w:rFonts w:hint="eastAsia" w:ascii="宋体" w:hAnsi="宋体" w:eastAsia="宋体" w:cs="宋体"/>
                <w:sz w:val="28"/>
                <w:szCs w:val="28"/>
              </w:rPr>
              <w:t xml:space="preserve">不接受</w:t>
            </w:r>
            <w:r>
              <w:rPr>
                <w:rFonts w:hint="eastAsia" w:ascii="宋体" w:hAnsi="宋体" w:cs="宋体"/>
                <w:sz w:val="28"/>
                <w:szCs w:val="28"/>
                <w:lang w:val="en-US" w:eastAsia="zh-CN"/>
              </w:rPr>
              <w:t xml:space="preserve">超过80万元（采</w:t>
            </w:r>
            <w:r>
              <w:rPr>
                <w:rFonts w:hint="eastAsia" w:ascii="宋体" w:hAnsi="宋体" w:eastAsia="宋体" w:cs="宋体"/>
                <w:b w:val="0"/>
                <w:bCs w:val="0"/>
                <w:sz w:val="28"/>
                <w:szCs w:val="28"/>
              </w:rPr>
              <w:t xml:space="preserve">购项目预算金额）</w:t>
            </w:r>
            <w:r>
              <w:rPr>
                <w:rFonts w:hint="eastAsia" w:ascii="宋体" w:hAnsi="宋体" w:eastAsia="宋体" w:cs="宋体"/>
                <w:sz w:val="28"/>
                <w:szCs w:val="28"/>
              </w:rPr>
              <w:t xml:space="preserve">的投标报价</w:t>
            </w:r>
            <w:r>
              <w:rPr>
                <w:rFonts w:hint="eastAsia" w:ascii="宋体" w:hAnsi="宋体" w:cs="宋体"/>
                <w:sz w:val="28"/>
                <w:szCs w:val="28"/>
                <w:lang w:eastAsia="zh-CN"/>
              </w:rPr>
              <w:t xml:space="preserve">；</w:t>
            </w:r>
            <w:r>
              <w:rPr>
                <w:rFonts w:hint="eastAsia" w:ascii="宋体" w:hAnsi="宋体" w:eastAsia="宋体" w:cs="宋体"/>
                <w:sz w:val="28"/>
                <w:szCs w:val="28"/>
              </w:rPr>
              <w:t xml:space="preserve">本项目</w:t>
            </w:r>
            <w:r>
              <w:rPr>
                <w:rFonts w:hint="eastAsia" w:ascii="宋体" w:hAnsi="宋体" w:cs="宋体"/>
                <w:sz w:val="28"/>
                <w:szCs w:val="28"/>
                <w:lang w:val="en-US" w:eastAsia="zh-CN"/>
              </w:rPr>
              <w:t xml:space="preserve">采购包2</w:t>
            </w:r>
            <w:r>
              <w:rPr>
                <w:rFonts w:hint="eastAsia" w:ascii="宋体" w:hAnsi="宋体" w:eastAsia="宋体" w:cs="宋体"/>
                <w:sz w:val="28"/>
                <w:szCs w:val="28"/>
              </w:rPr>
              <w:t xml:space="preserve">不接受</w:t>
            </w:r>
            <w:r>
              <w:rPr>
                <w:rFonts w:hint="eastAsia" w:ascii="宋体" w:hAnsi="宋体" w:cs="宋体"/>
                <w:sz w:val="28"/>
                <w:szCs w:val="28"/>
                <w:lang w:val="en-US" w:eastAsia="zh-CN"/>
              </w:rPr>
              <w:t xml:space="preserve">超过90万元（采</w:t>
            </w:r>
            <w:r>
              <w:rPr>
                <w:rFonts w:hint="eastAsia" w:ascii="宋体" w:hAnsi="宋体" w:eastAsia="宋体" w:cs="宋体"/>
                <w:b w:val="0"/>
                <w:bCs w:val="0"/>
                <w:sz w:val="28"/>
                <w:szCs w:val="28"/>
              </w:rPr>
              <w:t xml:space="preserve">购项目预算金额）</w:t>
            </w:r>
            <w:r>
              <w:rPr>
                <w:rFonts w:hint="eastAsia" w:ascii="宋体" w:hAnsi="宋体" w:eastAsia="宋体" w:cs="宋体"/>
                <w:sz w:val="28"/>
                <w:szCs w:val="28"/>
              </w:rPr>
              <w:t xml:space="preserve">的投标报价。</w:t>
            </w:r>
            <w:r>
              <w:rPr>
                <w:rFonts w:hint="eastAsia" w:ascii="宋体" w:hAnsi="宋体" w:eastAsia="宋体" w:cs="宋体"/>
                <w:bCs/>
                <w:sz w:val="28"/>
                <w:szCs w:val="28"/>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10月17日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10月17日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推荐中标候选供应商名单。中标候选供应商数量应当根据采购需要确定，但必须按顺序排列中标候选供应商。</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采用综合评分法的，按评审后得分由高到低顺序排列。得分相同的，按投标报价由低到高顺序排列。得分且投标报价相同的</w:t>
            </w:r>
            <w:r>
              <w:rPr>
                <w:rFonts w:hint="eastAsia" w:ascii="宋体" w:hAnsi="宋体" w:eastAsia="宋体" w:cs="宋体"/>
                <w:sz w:val="28"/>
                <w:szCs w:val="28"/>
              </w:rPr>
              <w:t xml:space="preserve">，按技术方案</w:t>
            </w:r>
            <w:r>
              <w:rPr>
                <w:rFonts w:hint="eastAsia" w:ascii="宋体" w:hAnsi="宋体" w:eastAsia="宋体" w:cs="宋体"/>
                <w:sz w:val="28"/>
                <w:szCs w:val="28"/>
                <w:lang w:val="en-US" w:eastAsia="zh-CN"/>
              </w:rPr>
              <w:t xml:space="preserve">总</w:t>
            </w:r>
            <w:r>
              <w:rPr>
                <w:rFonts w:hint="eastAsia" w:ascii="宋体" w:hAnsi="宋体" w:eastAsia="宋体" w:cs="宋体"/>
                <w:sz w:val="28"/>
                <w:szCs w:val="28"/>
                <w:lang w:eastAsia="zh-CN"/>
              </w:rPr>
              <w:t xml:space="preserve">得</w:t>
            </w:r>
            <w:r>
              <w:rPr>
                <w:rFonts w:hint="eastAsia" w:ascii="宋体" w:hAnsi="宋体" w:cs="宋体"/>
                <w:sz w:val="28"/>
                <w:szCs w:val="28"/>
                <w:lang w:eastAsia="zh-CN"/>
              </w:rPr>
              <w:t xml:space="preserve">分</w:t>
            </w:r>
            <w:r>
              <w:rPr>
                <w:rFonts w:hint="eastAsia" w:ascii="宋体" w:hAnsi="宋体" w:cs="宋体"/>
                <w:sz w:val="28"/>
                <w:szCs w:val="28"/>
              </w:rPr>
              <w:t xml:space="preserve">顺序排列。</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lang w:eastAsia="zh-CN"/>
              </w:rPr>
              <w:t xml:space="preserve">三十八</w:t>
            </w:r>
            <w:r>
              <w:rPr>
                <w:rFonts w:hint="eastAsia" w:ascii="宋体" w:hAnsi="宋体" w:cs="宋体"/>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pStyle w:val="1017"/>
              <w:rPr>
                <w:rFonts w:hint="default" w:hAnsi="宋体" w:eastAsia="宋体"/>
                <w:color w:val="auto"/>
                <w:sz w:val="28"/>
                <w:szCs w:val="28"/>
                <w:lang w:val="en-US" w:eastAsia="zh-CN"/>
              </w:rPr>
            </w:pPr>
            <w:r>
              <w:rPr>
                <w:rFonts w:hint="eastAsia" w:ascii="宋体" w:hAnsi="宋体" w:eastAsia="宋体" w:cs="宋体"/>
                <w:color w:val="auto"/>
                <w:sz w:val="28"/>
                <w:szCs w:val="28"/>
                <w:lang w:val="zh-CN" w:eastAsia="zh-CN" w:bidi="ar-SA"/>
              </w:rPr>
              <w:t xml:space="preserve">履约保证金：</w:t>
            </w:r>
            <w:r>
              <w:rPr>
                <w:rFonts w:hint="eastAsia" w:ascii="宋体" w:hAnsi="宋体" w:eastAsia="宋体" w:cs="宋体"/>
                <w:color w:val="auto"/>
                <w:sz w:val="28"/>
                <w:szCs w:val="28"/>
                <w:lang w:val="en-US" w:eastAsia="zh-CN" w:bidi="ar-SA"/>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质疑接收人：赵茜茜</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邓克杰</w:t>
            </w:r>
            <w:r>
              <w:rPr>
                <w:rFonts w:hint="eastAsia" w:ascii="宋体" w:hAnsi="宋体" w:cs="宋体"/>
                <w:sz w:val="28"/>
                <w:szCs w:val="28"/>
              </w:rPr>
              <w:t xml:space="preserve">；联系电话：0516-83205102；</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34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12" w:name="_Toc522790133"/>
      <w:r/>
      <w:r/>
    </w:p>
    <w:p>
      <w:pPr>
        <w:spacing w:line="520" w:lineRule="exact"/>
        <w:widowControl/>
        <w:rPr>
          <w:rFonts w:hint="eastAsia" w:ascii="宋体" w:hAnsi="宋体" w:cs="宋体"/>
          <w:b/>
          <w:sz w:val="30"/>
          <w:szCs w:val="30"/>
        </w:rPr>
      </w:pPr>
      <w:r/>
      <w:bookmarkStart w:id="13"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103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.以上价格为协会指导价，双方可</w:t>
      </w:r>
      <w:r>
        <w:rPr>
          <w:rFonts w:hint="eastAsia" w:ascii="宋体" w:hAnsi="宋体" w:eastAsia="宋体" w:cs="宋体"/>
          <w:sz w:val="28"/>
          <w:szCs w:val="28"/>
          <w:lang w:val="en-US" w:eastAsia="zh-CN"/>
        </w:rPr>
        <w:t xml:space="preserve">根据项目难易程度和优质优价原则</w:t>
      </w:r>
      <w:r>
        <w:rPr>
          <w:rFonts w:hint="eastAsia" w:ascii="宋体" w:hAnsi="宋体" w:eastAsia="宋体" w:cs="宋体"/>
          <w:sz w:val="28"/>
          <w:szCs w:val="28"/>
        </w:rPr>
        <w:t xml:space="preserve">协商</w:t>
      </w:r>
      <w:r>
        <w:rPr>
          <w:rFonts w:hint="eastAsia" w:ascii="宋体" w:hAnsi="宋体" w:eastAsia="宋体" w:cs="宋体"/>
          <w:sz w:val="28"/>
          <w:szCs w:val="28"/>
          <w:lang w:val="en-US" w:eastAsia="zh-CN"/>
        </w:rPr>
        <w:t xml:space="preserve">确</w:t>
      </w:r>
      <w:r>
        <w:rPr>
          <w:rFonts w:hint="eastAsia" w:ascii="宋体" w:hAnsi="宋体" w:eastAsia="宋体" w:cs="宋体"/>
          <w:sz w:val="28"/>
          <w:szCs w:val="28"/>
        </w:rPr>
        <w:t xml:space="preserve">定</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2"/>
      <w:r/>
      <w:bookmarkEnd w:id="13"/>
      <w:r/>
      <w:r/>
    </w:p>
    <w:p>
      <w:pPr>
        <w:pStyle w:val="726"/>
        <w:ind w:left="0" w:firstLine="0"/>
        <w:rPr>
          <w:rFonts w:hint="eastAsia" w:ascii="宋体" w:hAnsi="宋体" w:cs="仿宋_GB2312"/>
          <w:sz w:val="28"/>
          <w:szCs w:val="28"/>
          <w:lang w:val="en-US" w:eastAsia="zh-CN"/>
        </w:rPr>
      </w:pPr>
      <w:r>
        <w:rPr>
          <w:rFonts w:hint="eastAsia" w:ascii="宋体" w:hAnsi="宋体" w:cs="仿宋_GB2312"/>
          <w:b/>
          <w:bCs/>
          <w:color w:val="ff0000"/>
          <w:sz w:val="28"/>
          <w:szCs w:val="28"/>
          <w:lang w:val="en-US" w:eastAsia="zh-CN"/>
        </w:rPr>
        <w:t xml:space="preserve">采购包1：</w:t>
      </w:r>
      <w:r/>
    </w:p>
    <w:tbl>
      <w:tblPr>
        <w:tblStyle w:val="714"/>
        <w:tblW w:w="1015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5"/>
        <w:gridCol w:w="821"/>
        <w:gridCol w:w="1138"/>
        <w:gridCol w:w="6303"/>
        <w:gridCol w:w="938"/>
      </w:tblGrid>
      <w:tr>
        <w:trPr/>
        <w:tc>
          <w:tcPr>
            <w:gridSpan w:val="2"/>
            <w:tcBorders>
              <w:right w:val="single" w:color="auto" w:sz="4" w:space="0"/>
            </w:tcBorders>
            <w:tcW w:w="1776"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gridSpan w:val="2"/>
            <w:tcBorders>
              <w:left w:val="single" w:color="auto" w:sz="4" w:space="0"/>
            </w:tcBorders>
            <w:tcW w:w="7441"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评审因素细化和量化</w:t>
            </w:r>
            <w:r/>
          </w:p>
        </w:tc>
        <w:tc>
          <w:tcPr>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是否为客观分</w:t>
            </w:r>
            <w:r/>
          </w:p>
        </w:tc>
      </w:tr>
      <w:tr>
        <w:trPr/>
        <w:tc>
          <w:tcPr>
            <w:tcW w:w="955"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价格部分（10分）</w:t>
            </w:r>
            <w:r/>
          </w:p>
        </w:tc>
        <w:tc>
          <w:tcPr>
            <w:tcBorders>
              <w:right w:val="single" w:color="auto" w:sz="4" w:space="0"/>
            </w:tcBorders>
            <w:tcW w:w="821"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gridSpan w:val="2"/>
            <w:tcBorders>
              <w:left w:val="single" w:color="auto" w:sz="4" w:space="0"/>
            </w:tcBorders>
            <w:tcW w:w="7441" w:type="dxa"/>
            <w:vAlign w:val="center"/>
            <w:textDirection w:val="lrTb"/>
            <w:noWrap w:val="false"/>
          </w:tcPr>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各投标人价格得分=最低报价÷各投标人报价×10</w:t>
            </w:r>
            <w:r/>
          </w:p>
        </w:tc>
        <w:tc>
          <w:tcPr>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w:t>
            </w:r>
            <w:r/>
          </w:p>
        </w:tc>
      </w:tr>
      <w:tr>
        <w:trPr>
          <w:cantSplit/>
          <w:trHeight w:val="2512"/>
        </w:trPr>
        <w:tc>
          <w:tcPr>
            <w:tcW w:w="955" w:type="dxa"/>
            <w:vAlign w:val="center"/>
            <w:vMerge w:val="restart"/>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技术部分（60分）</w:t>
            </w:r>
            <w:r/>
          </w:p>
        </w:tc>
        <w:tc>
          <w:tcPr>
            <w:shd w:val="clear" w:color="auto" w:fill="auto"/>
            <w:tcBorders>
              <w:right w:val="single" w:color="auto" w:sz="4" w:space="0"/>
            </w:tcBorders>
            <w:tcW w:w="821" w:type="dxa"/>
            <w:vAlign w:val="center"/>
            <w:vMerge w:val="restart"/>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技术方案（60分）</w:t>
            </w:r>
            <w:r/>
          </w:p>
        </w:tc>
        <w:tc>
          <w:tcPr>
            <w:shd w:val="clear" w:color="auto" w:fill="auto"/>
            <w:tcBorders>
              <w:left w:val="single" w:color="auto" w:sz="4" w:space="0"/>
            </w:tcBorders>
            <w:tcW w:w="1138" w:type="dxa"/>
            <w:vAlign w:val="center"/>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核心业务生产系统</w:t>
            </w:r>
            <w:r>
              <w:rPr>
                <w:rFonts w:hint="eastAsia" w:ascii="宋体" w:hAnsi="宋体" w:eastAsia="宋体" w:cs="宋体"/>
                <w:sz w:val="24"/>
                <w:szCs w:val="24"/>
                <w:highlight w:val="none"/>
                <w:lang w:val="zh-CN" w:bidi="zh-CN"/>
              </w:rPr>
              <w:t xml:space="preserve">方案</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6303" w:type="dxa"/>
            <w:vAlign w:val="center"/>
            <w:textDirection w:val="lrTb"/>
            <w:noWrap w:val="false"/>
          </w:tcPr>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采购需求》中“核心业务生产系统要求”（共1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条）。</w:t>
            </w:r>
            <w:r/>
          </w:p>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分，每缺少一项内容扣2分，扣完为止；单项内容每存在一处缺陷扣1分，单项内容分（2分）扣完为止。</w:t>
            </w:r>
            <w:r/>
          </w:p>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分，最低得0分。</w:t>
            </w:r>
            <w:r/>
          </w:p>
        </w:tc>
        <w:tc>
          <w:tcPr>
            <w:tcW w:w="938" w:type="dxa"/>
            <w:vAlign w:val="center"/>
            <w:textDirection w:val="lrTb"/>
            <w:noWrap w:val="false"/>
          </w:tcPr>
          <w:p>
            <w:pPr>
              <w:pStyle w:val="1018"/>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1548"/>
        </w:trPr>
        <w:tc>
          <w:tcPr>
            <w:tcW w:w="955" w:type="dxa"/>
            <w:vMerge w:val="continue"/>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right w:val="single" w:color="auto" w:sz="4" w:space="0"/>
            </w:tcBorders>
            <w:tcW w:w="821" w:type="dxa"/>
            <w:vAlign w:val="center"/>
            <w:vMerge w:val="continue"/>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1138" w:type="dxa"/>
            <w:vAlign w:val="center"/>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虚拟化平台系统</w:t>
            </w:r>
            <w:r>
              <w:rPr>
                <w:rFonts w:hint="eastAsia" w:ascii="宋体" w:hAnsi="宋体" w:eastAsia="宋体" w:cs="宋体"/>
                <w:sz w:val="24"/>
                <w:szCs w:val="24"/>
                <w:highlight w:val="none"/>
                <w:lang w:val="zh-CN" w:bidi="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w:t>
            </w:r>
            <w:r/>
          </w:p>
        </w:tc>
        <w:tc>
          <w:tcPr>
            <w:tcW w:w="6303" w:type="dxa"/>
            <w:vAlign w:val="center"/>
            <w:textDirection w:val="lrTb"/>
            <w:noWrap w:val="false"/>
          </w:tcPr>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采购需求》中“虚拟化平台系统要求”（共</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条）。</w:t>
            </w:r>
            <w:r/>
          </w:p>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分，每缺少一项内容扣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分，扣完为止；单项内容每存在一处缺陷扣1分，单项内容分（2分）扣完为止。</w:t>
            </w:r>
            <w:r/>
          </w:p>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分，最低得0分。</w:t>
            </w:r>
            <w:r/>
          </w:p>
        </w:tc>
        <w:tc>
          <w:tcPr>
            <w:tcW w:w="938" w:type="dxa"/>
            <w:vAlign w:val="center"/>
            <w:textDirection w:val="lrTb"/>
            <w:noWrap w:val="false"/>
          </w:tcPr>
          <w:p>
            <w:pPr>
              <w:pStyle w:val="1018"/>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1548"/>
        </w:trPr>
        <w:tc>
          <w:tcPr>
            <w:tcW w:w="955" w:type="dxa"/>
            <w:vMerge w:val="continue"/>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right w:val="single" w:color="auto" w:sz="4" w:space="0"/>
            </w:tcBorders>
            <w:tcW w:w="821" w:type="dxa"/>
            <w:vAlign w:val="center"/>
            <w:vMerge w:val="continue"/>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1138" w:type="dxa"/>
            <w:vAlign w:val="center"/>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业务互联系统方案（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6303" w:type="dxa"/>
            <w:vAlign w:val="center"/>
            <w:textDirection w:val="lrTb"/>
            <w:noWrap w:val="false"/>
          </w:tcPr>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采购需求》中“业务互联系统要求”（共2条）。</w:t>
            </w:r>
            <w:r/>
          </w:p>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分，每缺少一项内容扣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分，扣完为止；单项内容每存在一处缺陷扣1分，单项内容分（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分）扣完为止。</w:t>
            </w:r>
            <w:r/>
          </w:p>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分，最低得0分。</w:t>
            </w:r>
            <w:r/>
          </w:p>
        </w:tc>
        <w:tc>
          <w:tcPr>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90"/>
        </w:trPr>
        <w:tc>
          <w:tcPr>
            <w:tcW w:w="955" w:type="dxa"/>
            <w:vAlign w:val="center"/>
            <w:vMerge w:val="continue"/>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right w:val="single" w:color="auto" w:sz="4" w:space="0"/>
            </w:tcBorders>
            <w:tcW w:w="821" w:type="dxa"/>
            <w:vAlign w:val="center"/>
            <w:vMerge w:val="continue"/>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1138" w:type="dxa"/>
            <w:vAlign w:val="center"/>
            <w:textDirection w:val="lrTb"/>
            <w:noWrap w:val="false"/>
          </w:tcPr>
          <w:p>
            <w:pPr>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安全防护系统</w:t>
            </w:r>
            <w:r>
              <w:rPr>
                <w:rFonts w:hint="eastAsia" w:ascii="宋体" w:hAnsi="宋体" w:eastAsia="宋体" w:cs="宋体"/>
                <w:sz w:val="24"/>
                <w:szCs w:val="24"/>
                <w:highlight w:val="none"/>
                <w:lang w:val="zh-CN" w:bidi="zh-CN"/>
              </w:rPr>
              <w:t xml:space="preserve">方案</w:t>
            </w:r>
            <w:r>
              <w:rPr>
                <w:rFonts w:hint="eastAsia" w:ascii="宋体" w:hAnsi="宋体" w:eastAsia="宋体" w:cs="宋体"/>
                <w:sz w:val="24"/>
                <w:szCs w:val="24"/>
                <w:highlight w:val="none"/>
              </w:rPr>
              <w:t xml:space="preserve">（8分）</w:t>
            </w:r>
            <w:r/>
          </w:p>
        </w:tc>
        <w:tc>
          <w:tcPr>
            <w:tcW w:w="6303" w:type="dxa"/>
            <w:vAlign w:val="center"/>
            <w:textDirection w:val="lrTb"/>
            <w:noWrap w:val="false"/>
          </w:tcPr>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采购需求》中“安全防护系统要求”（共4条）。</w:t>
            </w:r>
            <w:r/>
          </w:p>
          <w:p>
            <w:pPr>
              <w:pStyle w:val="1018"/>
              <w:ind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1分，单项内容分（2分）扣完为止。</w:t>
            </w:r>
            <w:r/>
          </w:p>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未提供的得0分，本项最高得8分，最低得0分。</w:t>
            </w:r>
            <w:r/>
          </w:p>
        </w:tc>
        <w:tc>
          <w:tcPr>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1707"/>
        </w:trPr>
        <w:tc>
          <w:tcPr>
            <w:tcW w:w="955" w:type="dxa"/>
            <w:vAlign w:val="center"/>
            <w:vMerge w:val="continue"/>
            <w:textDirection w:val="lrTb"/>
            <w:noWrap w:val="false"/>
          </w:tcPr>
          <w:p>
            <w:pPr>
              <w:pStyle w:val="766"/>
              <w:ind w:firstLine="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right w:val="single" w:color="auto" w:sz="4" w:space="0"/>
            </w:tcBorders>
            <w:tcW w:w="821"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left w:val="single" w:color="auto" w:sz="4" w:space="0"/>
            </w:tcBorders>
            <w:tcW w:w="1138"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其他业务配套设备</w:t>
            </w:r>
            <w:r>
              <w:rPr>
                <w:rFonts w:hint="eastAsia" w:ascii="宋体" w:hAnsi="宋体" w:eastAsia="宋体" w:cs="宋体"/>
                <w:sz w:val="24"/>
                <w:szCs w:val="24"/>
                <w:highlight w:val="none"/>
                <w:lang w:val="zh-CN" w:bidi="zh-CN"/>
              </w:rPr>
              <w:t xml:space="preserve">方案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6303" w:type="dxa"/>
            <w:vAlign w:val="center"/>
            <w:textDirection w:val="lrTb"/>
            <w:noWrap w:val="false"/>
          </w:tcPr>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采购需求》中“其他业务配套设备要求”（共</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条）。</w:t>
            </w:r>
            <w:r/>
          </w:p>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分，每缺少一项内容扣1分，扣完为止；单项内容每存在一处缺陷,单项内容分得0分。</w:t>
            </w:r>
            <w:r/>
          </w:p>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分，最低得0分。</w:t>
            </w:r>
            <w:r/>
          </w:p>
        </w:tc>
        <w:tc>
          <w:tcPr>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1795"/>
        </w:trPr>
        <w:tc>
          <w:tcPr>
            <w:tcW w:w="955" w:type="dxa"/>
            <w:vAlign w:val="center"/>
            <w:vMerge w:val="restart"/>
            <w:textDirection w:val="lrTb"/>
            <w:noWrap w:val="false"/>
          </w:tcPr>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商务部分</w:t>
            </w:r>
            <w:r/>
          </w:p>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（30分）</w:t>
            </w:r>
            <w:r/>
          </w:p>
        </w:tc>
        <w:tc>
          <w:tcPr>
            <w:tcBorders>
              <w:right w:val="single" w:color="auto" w:sz="4" w:space="0"/>
            </w:tcBorders>
            <w:tcW w:w="821" w:type="dxa"/>
            <w:vAlign w:val="center"/>
            <w:textDirection w:val="lrTb"/>
            <w:noWrap w:val="false"/>
          </w:tcPr>
          <w:p>
            <w:pPr>
              <w:pStyle w:val="766"/>
              <w:ind w:firstLine="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项目实施方案（16分）</w:t>
            </w:r>
            <w:r/>
          </w:p>
        </w:tc>
        <w:tc>
          <w:tcPr>
            <w:gridSpan w:val="2"/>
            <w:tcBorders>
              <w:left w:val="single" w:color="auto" w:sz="4" w:space="0"/>
            </w:tcBorders>
            <w:tcW w:w="7441" w:type="dxa"/>
            <w:vAlign w:val="center"/>
            <w:textDirection w:val="lrTb"/>
            <w:noWrap w:val="false"/>
          </w:tcPr>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采购需求》中“项目实施要求”（共8条）。</w:t>
            </w:r>
            <w:r/>
          </w:p>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r/>
          </w:p>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未提供的得0分，本项最高得16分，最低得0分。</w:t>
            </w:r>
            <w:r/>
          </w:p>
        </w:tc>
        <w:tc>
          <w:tcPr>
            <w:tcBorders>
              <w:left w:val="single" w:color="000000" w:sz="4" w:space="0"/>
            </w:tcBorders>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147"/>
        </w:trPr>
        <w:tc>
          <w:tcPr>
            <w:tcW w:w="955" w:type="dxa"/>
            <w:vAlign w:val="center"/>
            <w:vMerge w:val="continue"/>
            <w:textDirection w:val="lrTb"/>
            <w:noWrap w:val="false"/>
          </w:tcPr>
          <w:p>
            <w:pPr>
              <w:pStyle w:val="1000"/>
              <w:ind w:left="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right w:val="single" w:color="000000" w:sz="4" w:space="0"/>
            </w:tcBorders>
            <w:tcW w:w="821" w:type="dxa"/>
            <w:vAlign w:val="center"/>
            <w:vMerge w:val="restart"/>
            <w:textDirection w:val="lrTb"/>
            <w:noWrap w:val="false"/>
          </w:tcPr>
          <w:p>
            <w:pPr>
              <w:pStyle w:val="766"/>
              <w:ind w:firstLine="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人员配备方案（8分）</w:t>
            </w:r>
            <w:r/>
          </w:p>
        </w:tc>
        <w:tc>
          <w:tcPr>
            <w:tcBorders>
              <w:right w:val="single" w:color="000000" w:sz="4" w:space="0"/>
            </w:tcBorders>
            <w:tcW w:w="1138" w:type="dxa"/>
            <w:vAlign w:val="center"/>
            <w:textDirection w:val="lrTb"/>
            <w:noWrap w:val="false"/>
          </w:tcPr>
          <w:p>
            <w:pPr>
              <w:pStyle w:val="76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维护工程师方案（4分）</w:t>
            </w:r>
            <w:r/>
          </w:p>
        </w:tc>
        <w:tc>
          <w:tcPr>
            <w:tcW w:w="6303"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维护工程师为</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自有员工（</w:t>
            </w:r>
            <w:r>
              <w:rPr>
                <w:rFonts w:hint="eastAsia" w:ascii="宋体" w:hAnsi="宋体" w:eastAsia="宋体" w:cs="宋体"/>
                <w:sz w:val="24"/>
                <w:szCs w:val="24"/>
                <w:highlight w:val="none"/>
                <w:lang w:val="en-US" w:eastAsia="zh-CN"/>
              </w:rPr>
              <w:t xml:space="preserve">投标文件中提供</w:t>
            </w:r>
            <w:r>
              <w:rPr>
                <w:rFonts w:hint="eastAsia" w:ascii="宋体" w:hAnsi="宋体" w:eastAsia="宋体" w:cs="宋体"/>
                <w:sz w:val="24"/>
                <w:szCs w:val="24"/>
                <w:highlight w:val="none"/>
              </w:rPr>
              <w:t xml:space="preserve">投标人为维护工程师缴纳的本项目开标时间前6个月内任何1月的社会保障资金</w:t>
            </w:r>
            <w:r>
              <w:rPr>
                <w:rFonts w:hint="eastAsia" w:ascii="宋体" w:hAnsi="宋体" w:eastAsia="宋体" w:cs="宋体"/>
                <w:sz w:val="24"/>
                <w:szCs w:val="24"/>
                <w:highlight w:val="none"/>
                <w:lang w:val="en-US" w:eastAsia="zh-CN"/>
              </w:rPr>
              <w:t xml:space="preserve">证明和</w:t>
            </w:r>
            <w:r>
              <w:rPr>
                <w:rFonts w:hint="eastAsia" w:ascii="宋体" w:hAnsi="宋体" w:eastAsia="宋体" w:cs="宋体"/>
                <w:sz w:val="24"/>
                <w:szCs w:val="24"/>
                <w:highlight w:val="none"/>
              </w:rPr>
              <w:t xml:space="preserve">有效期内劳动合同的相关材料扫描件）且提供以下证书的：</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1.认证网络工程师；</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2.注册信息安全专业人员；</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3.认证服务器产品技术工程师；</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4.认证数据库工程师；</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5.软件工程师；</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6.虚拟化工程师；</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7.认证存</w:t>
            </w:r>
            <w:r>
              <w:rPr>
                <w:rFonts w:hint="eastAsia" w:ascii="宋体" w:hAnsi="宋体" w:eastAsia="宋体" w:cs="宋体"/>
                <w:sz w:val="24"/>
                <w:szCs w:val="24"/>
                <w:highlight w:val="none"/>
              </w:rPr>
              <w:t xml:space="preserve">储产品技术工程师；</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8.弱电技术服务工程师。</w:t>
            </w:r>
            <w:r/>
          </w:p>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每提供一种相关证书的扫描件，得1分，（</w:t>
            </w:r>
            <w:r>
              <w:rPr>
                <w:rFonts w:hint="eastAsia" w:ascii="宋体" w:hAnsi="宋体" w:eastAsia="宋体" w:cs="宋体"/>
                <w:sz w:val="24"/>
                <w:szCs w:val="24"/>
                <w:highlight w:val="none"/>
                <w:lang w:val="en-US" w:eastAsia="zh-CN"/>
              </w:rPr>
              <w:t xml:space="preserve">证书需在有效期范围内，</w:t>
            </w:r>
            <w:r>
              <w:rPr>
                <w:rFonts w:hint="eastAsia" w:ascii="宋体" w:hAnsi="宋体" w:eastAsia="宋体" w:cs="宋体"/>
                <w:sz w:val="24"/>
                <w:szCs w:val="24"/>
                <w:highlight w:val="none"/>
              </w:rPr>
              <w:t xml:space="preserve">同一证书不重复得分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一人多证只得1分</w:t>
            </w:r>
            <w:r>
              <w:rPr>
                <w:rFonts w:hint="eastAsia" w:ascii="宋体" w:hAnsi="宋体" w:eastAsia="宋体" w:cs="宋体"/>
                <w:sz w:val="24"/>
                <w:szCs w:val="24"/>
                <w:highlight w:val="none"/>
              </w:rPr>
              <w:t xml:space="preserve">）。本项最高得4分，最低得0分。</w:t>
            </w:r>
            <w:r/>
          </w:p>
        </w:tc>
        <w:tc>
          <w:tcPr>
            <w:tcBorders>
              <w:left w:val="single" w:color="000000" w:sz="4" w:space="0"/>
            </w:tcBorders>
            <w:tcW w:w="938" w:type="dxa"/>
            <w:vAlign w:val="center"/>
            <w:textDirection w:val="lrTb"/>
            <w:noWrap w:val="false"/>
          </w:tcPr>
          <w:p>
            <w:pPr>
              <w:pStyle w:val="766"/>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w:t>
            </w:r>
            <w:r/>
          </w:p>
        </w:tc>
      </w:tr>
      <w:tr>
        <w:trPr>
          <w:cantSplit/>
          <w:trHeight w:val="1795"/>
        </w:trPr>
        <w:tc>
          <w:tcPr>
            <w:tcW w:w="955" w:type="dxa"/>
            <w:vAlign w:val="center"/>
            <w:vMerge w:val="continue"/>
            <w:textDirection w:val="lrTb"/>
            <w:noWrap w:val="false"/>
          </w:tcPr>
          <w:p>
            <w:pPr>
              <w:pStyle w:val="1000"/>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right w:val="single" w:color="000000" w:sz="4" w:space="0"/>
            </w:tcBorders>
            <w:tcW w:w="821" w:type="dxa"/>
            <w:vAlign w:val="center"/>
            <w:vMerge w:val="continue"/>
            <w:textDirection w:val="lrTb"/>
            <w:noWrap w:val="false"/>
          </w:tcPr>
          <w:p>
            <w:pPr>
              <w:pStyle w:val="766"/>
              <w:ind w:firstLine="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right w:val="single" w:color="000000" w:sz="4" w:space="0"/>
            </w:tcBorders>
            <w:tcW w:w="1138" w:type="dxa"/>
            <w:vAlign w:val="center"/>
            <w:textDirection w:val="lrTb"/>
            <w:noWrap w:val="false"/>
          </w:tcPr>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驻场人员方案(4分)</w:t>
            </w:r>
            <w:r/>
          </w:p>
        </w:tc>
        <w:tc>
          <w:tcPr>
            <w:tcW w:w="6303" w:type="dxa"/>
            <w:vAlign w:val="center"/>
            <w:textDirection w:val="lrTb"/>
            <w:noWrap w:val="false"/>
          </w:tcPr>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采购需求》中“驻场人员要求”（共2条）。</w:t>
            </w:r>
            <w:r/>
          </w:p>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未提供的得0分，本项最高得4分，最低得0分。</w:t>
            </w:r>
            <w:r/>
          </w:p>
        </w:tc>
        <w:tc>
          <w:tcPr>
            <w:tcBorders>
              <w:left w:val="single" w:color="000000" w:sz="4" w:space="0"/>
            </w:tcBorders>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1795"/>
        </w:trPr>
        <w:tc>
          <w:tcPr>
            <w:tcW w:w="955" w:type="dxa"/>
            <w:vAlign w:val="center"/>
            <w:vMerge w:val="continue"/>
            <w:textDirection w:val="lrTb"/>
            <w:noWrap w:val="false"/>
          </w:tcPr>
          <w:p>
            <w:pPr>
              <w:pStyle w:val="100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right w:val="single" w:color="000000" w:sz="4" w:space="0"/>
            </w:tcBorders>
            <w:tcW w:w="1959" w:type="dxa"/>
            <w:vAlign w:val="center"/>
            <w:textDirection w:val="lrTb"/>
            <w:noWrap w:val="false"/>
          </w:tcPr>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培训方案</w:t>
            </w:r>
            <w:r/>
          </w:p>
          <w:p>
            <w:pPr>
              <w:pStyle w:val="1035"/>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（4分）</w:t>
            </w:r>
            <w:r/>
          </w:p>
        </w:tc>
        <w:tc>
          <w:tcPr>
            <w:tcW w:w="6303" w:type="dxa"/>
            <w:vAlign w:val="center"/>
            <w:textDirection w:val="lrTb"/>
            <w:noWrap w:val="false"/>
          </w:tcPr>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方案内容包含《第六章  采购需求》中“培训要求”（共2条）。</w:t>
            </w:r>
            <w:r/>
          </w:p>
          <w:p>
            <w:pPr>
              <w:pStyle w:val="1018"/>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未提供的得0分，本项最高得4分，最低得0分。</w:t>
            </w:r>
            <w:r/>
          </w:p>
        </w:tc>
        <w:tc>
          <w:tcPr>
            <w:tcBorders>
              <w:left w:val="single" w:color="000000" w:sz="4" w:space="0"/>
            </w:tcBorders>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p>
        </w:tc>
      </w:tr>
      <w:tr>
        <w:trPr>
          <w:cantSplit/>
          <w:trHeight w:val="1542"/>
        </w:trPr>
        <w:tc>
          <w:tcPr>
            <w:tcW w:w="955" w:type="dxa"/>
            <w:vAlign w:val="center"/>
            <w:vMerge w:val="continue"/>
            <w:textDirection w:val="lrTb"/>
            <w:noWrap w:val="false"/>
          </w:tcPr>
          <w:p>
            <w:pPr>
              <w:pStyle w:val="100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right w:val="single" w:color="000000" w:sz="4" w:space="0"/>
            </w:tcBorders>
            <w:tcW w:w="1959" w:type="dxa"/>
            <w:vAlign w:val="center"/>
            <w:textDirection w:val="lrTb"/>
            <w:noWrap w:val="false"/>
          </w:tcPr>
          <w:p>
            <w:pPr>
              <w:pStyle w:val="766"/>
              <w:ind w:firstLine="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投标人业绩</w:t>
            </w:r>
            <w:r/>
          </w:p>
          <w:p>
            <w:pPr>
              <w:pStyle w:val="1035"/>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（2分）</w:t>
            </w:r>
            <w:r/>
          </w:p>
        </w:tc>
        <w:tc>
          <w:tcPr>
            <w:tcW w:w="6303" w:type="dxa"/>
            <w:vAlign w:val="center"/>
            <w:textDirection w:val="lrTb"/>
            <w:noWrap w:val="false"/>
          </w:tcPr>
          <w:p>
            <w:pPr>
              <w:pStyle w:val="766"/>
              <w:ind w:firstLine="0"/>
              <w:spacing w:line="240" w:lineRule="auto"/>
              <w:rPr>
                <w:rFonts w:hint="eastAsia" w:ascii="宋体" w:hAnsi="宋体" w:eastAsia="宋体" w:cs="宋体"/>
                <w:sz w:val="24"/>
                <w:szCs w:val="24"/>
                <w:highlight w:val="none"/>
              </w:rPr>
            </w:pPr>
            <w:r/>
            <w:bookmarkStart w:id="14" w:name="OLE_LINK1"/>
            <w:r>
              <w:rPr>
                <w:rFonts w:hint="eastAsia" w:ascii="宋体" w:hAnsi="宋体" w:eastAsia="宋体" w:cs="宋体"/>
                <w:sz w:val="24"/>
                <w:szCs w:val="24"/>
                <w:highlight w:val="none"/>
              </w:rPr>
              <w:t xml:space="preserve">投标文件中提供投标人为卖方(乙方)，合同签订日期在202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年1月1日之后，合同内容为信息化系统集成技术服务类或运维服务类项目的合同扫描件，每提供一份得2分。最高得2分,未提供的得0分。</w:t>
            </w:r>
            <w:bookmarkEnd w:id="14"/>
            <w:r/>
            <w:r/>
          </w:p>
        </w:tc>
        <w:tc>
          <w:tcPr>
            <w:tcBorders>
              <w:left w:val="single" w:color="000000" w:sz="4" w:space="0"/>
            </w:tcBorders>
            <w:tcW w:w="938" w:type="dxa"/>
            <w:vAlign w:val="center"/>
            <w:textDirection w:val="lrTb"/>
            <w:noWrap w:val="false"/>
          </w:tcPr>
          <w:p>
            <w:pPr>
              <w:pStyle w:val="766"/>
              <w:ind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w:t>
            </w:r>
            <w:r/>
          </w:p>
        </w:tc>
      </w:tr>
    </w:tbl>
    <w:p>
      <w:pPr>
        <w:pStyle w:val="726"/>
        <w:ind w:left="0" w:firstLine="0"/>
        <w:rPr>
          <w:rFonts w:hint="eastAsia" w:ascii="宋体" w:hAnsi="宋体" w:cs="仿宋_GB2312"/>
          <w:sz w:val="28"/>
          <w:szCs w:val="28"/>
          <w:lang w:val="en-US" w:eastAsia="zh-CN"/>
        </w:rPr>
      </w:pPr>
      <w:r>
        <w:rPr>
          <w:rFonts w:hint="eastAsia" w:ascii="宋体" w:hAnsi="宋体" w:cs="仿宋_GB2312"/>
          <w:sz w:val="28"/>
          <w:szCs w:val="28"/>
          <w:lang w:val="en-US" w:eastAsia="zh-CN"/>
        </w:rPr>
      </w:r>
      <w:r/>
    </w:p>
    <w:p>
      <w:pPr>
        <w:pStyle w:val="726"/>
        <w:ind w:left="0" w:firstLine="0"/>
        <w:rPr>
          <w:rFonts w:hint="eastAsia" w:ascii="宋体" w:hAnsi="宋体" w:cs="仿宋_GB2312"/>
          <w:sz w:val="28"/>
          <w:szCs w:val="28"/>
          <w:lang w:val="en-US" w:eastAsia="zh-CN"/>
        </w:rPr>
      </w:pPr>
      <w:r>
        <w:rPr>
          <w:rFonts w:hint="eastAsia" w:ascii="宋体" w:hAnsi="宋体" w:cs="仿宋_GB2312"/>
          <w:sz w:val="28"/>
          <w:szCs w:val="28"/>
          <w:lang w:val="en-US" w:eastAsia="zh-CN"/>
        </w:rPr>
      </w:r>
      <w:r/>
    </w:p>
    <w:p>
      <w:pPr>
        <w:rPr>
          <w:rFonts w:hint="eastAsia" w:ascii="宋体" w:hAnsi="宋体" w:cs="仿宋_GB2312"/>
          <w:b/>
          <w:bCs/>
          <w:sz w:val="28"/>
          <w:szCs w:val="28"/>
          <w:lang w:val="en-US" w:eastAsia="zh-CN"/>
        </w:rPr>
      </w:pPr>
      <w:r>
        <w:rPr>
          <w:rFonts w:hint="eastAsia" w:ascii="宋体" w:hAnsi="宋体" w:cs="仿宋_GB2312"/>
          <w:b/>
          <w:bCs/>
          <w:sz w:val="28"/>
          <w:szCs w:val="28"/>
          <w:lang w:val="en-US" w:eastAsia="zh-CN"/>
        </w:rPr>
        <w:br w:type="page" w:clear="all"/>
      </w:r>
      <w:r/>
    </w:p>
    <w:p>
      <w:pPr>
        <w:pStyle w:val="726"/>
        <w:ind w:left="0" w:firstLine="0"/>
        <w:rPr>
          <w:rFonts w:hint="default" w:ascii="宋体" w:hAnsi="宋体" w:eastAsia="宋体" w:cs="仿宋_GB2312"/>
          <w:b/>
          <w:bCs/>
          <w:color w:val="ff0000"/>
          <w:sz w:val="28"/>
          <w:szCs w:val="28"/>
          <w:lang w:val="en-US" w:eastAsia="zh-CN"/>
        </w:rPr>
      </w:pPr>
      <w:r>
        <w:rPr>
          <w:rFonts w:hint="eastAsia" w:ascii="宋体" w:hAnsi="宋体" w:cs="仿宋_GB2312"/>
          <w:b/>
          <w:bCs/>
          <w:color w:val="ff0000"/>
          <w:sz w:val="28"/>
          <w:szCs w:val="28"/>
          <w:lang w:val="en-US" w:eastAsia="zh-CN"/>
        </w:rPr>
        <w:t xml:space="preserve">采购包2：</w:t>
      </w:r>
      <w:r/>
    </w:p>
    <w:tbl>
      <w:tblPr>
        <w:tblStyle w:val="714"/>
        <w:tblW w:w="108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36"/>
        <w:gridCol w:w="918"/>
        <w:gridCol w:w="1128"/>
        <w:gridCol w:w="169"/>
        <w:gridCol w:w="903"/>
        <w:gridCol w:w="6002"/>
        <w:gridCol w:w="753"/>
      </w:tblGrid>
      <w:tr>
        <w:trPr>
          <w:jc w:val="center"/>
        </w:trPr>
        <w:tc>
          <w:tcPr>
            <w:gridSpan w:val="2"/>
            <w:tcW w:w="1854" w:type="dxa"/>
            <w:vAlign w:val="center"/>
            <w:textDirection w:val="lrTb"/>
            <w:noWrap w:val="false"/>
          </w:tcPr>
          <w:p>
            <w:pPr>
              <w:pStyle w:val="766"/>
              <w:ind w:firstLine="42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评审因素</w:t>
            </w:r>
            <w:r/>
          </w:p>
        </w:tc>
        <w:tc>
          <w:tcPr>
            <w:gridSpan w:val="4"/>
            <w:tcW w:w="8202"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评审因素细化和量化</w:t>
            </w:r>
            <w:r/>
          </w:p>
        </w:tc>
        <w:tc>
          <w:tcPr>
            <w:tcW w:w="753"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是否为客观分</w:t>
            </w:r>
            <w:r/>
          </w:p>
        </w:tc>
      </w:tr>
      <w:tr>
        <w:trPr>
          <w:jc w:val="center"/>
        </w:trPr>
        <w:tc>
          <w:tcPr>
            <w:tcW w:w="936"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价格部分（10分）</w:t>
            </w:r>
            <w:r/>
          </w:p>
        </w:tc>
        <w:tc>
          <w:tcPr>
            <w:tcBorders>
              <w:right w:val="single" w:color="auto" w:sz="4" w:space="0"/>
            </w:tcBorders>
            <w:tcW w:w="918"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价格</w:t>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（10分）</w:t>
            </w:r>
            <w:r/>
          </w:p>
        </w:tc>
        <w:tc>
          <w:tcPr>
            <w:gridSpan w:val="4"/>
            <w:tcBorders>
              <w:left w:val="single" w:color="auto" w:sz="4" w:space="0"/>
            </w:tcBorders>
            <w:tcW w:w="8202" w:type="dxa"/>
            <w:vAlign w:val="center"/>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各投标人价格得分=最低报价（投标人的最低评审价格）÷各投标人评审价格×10</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c>
          <w:tcPr>
            <w:tcW w:w="753"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是</w:t>
            </w:r>
            <w:r/>
          </w:p>
        </w:tc>
      </w:tr>
      <w:tr>
        <w:trPr>
          <w:cantSplit/>
          <w:jc w:val="center"/>
          <w:trHeight w:val="90"/>
        </w:trPr>
        <w:tc>
          <w:tcPr>
            <w:tcW w:w="936" w:type="dxa"/>
            <w:vAlign w:val="center"/>
            <w:vMerge w:val="restart"/>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技术部分（58分）</w:t>
            </w:r>
            <w:r/>
          </w:p>
        </w:tc>
        <w:tc>
          <w:tcPr>
            <w:tcBorders>
              <w:right w:val="single" w:color="auto" w:sz="4" w:space="0"/>
            </w:tcBorders>
            <w:tcW w:w="918" w:type="dxa"/>
            <w:vAlign w:val="center"/>
            <w:vMerge w:val="restart"/>
            <w:textDirection w:val="lrTb"/>
            <w:noWrap w:val="false"/>
          </w:tcPr>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技术方案（58分）</w:t>
            </w:r>
            <w:r/>
          </w:p>
        </w:tc>
        <w:tc>
          <w:tcPr>
            <w:tcBorders>
              <w:left w:val="single" w:color="auto" w:sz="4" w:space="0"/>
            </w:tcBorders>
            <w:tcW w:w="1128"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综合服务平台托管服务方案（12分）</w:t>
            </w:r>
            <w:r/>
          </w:p>
        </w:tc>
        <w:tc>
          <w:tcPr>
            <w:gridSpan w:val="3"/>
            <w:tcW w:w="7074"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方案内容包含《第六章  采购需求》中“综合服务平台托管安全服务内容”（共6条）。</w:t>
            </w:r>
            <w:r/>
          </w:p>
          <w:p>
            <w:pPr>
              <w:pStyle w:val="1018"/>
              <w:jc w:val="left"/>
              <w:keepLines w:val="0"/>
              <w:keepNext w:val="0"/>
              <w:pageBreakBefore w:val="0"/>
              <w:spacing w:line="400" w:lineRule="exact"/>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上述内容齐全，符合实际切实可行且无缺陷（缺陷是指：部分内容与项目无关、逻辑错误、科学原理错误、表述错误、不符合本项目涉及的相关规范或标准要求的任意一种情形）得12分，每缺少一项内容扣2分，扣完为止；单项内容每存在一处缺陷扣1分，单项内容分（2分）扣完为止。</w:t>
            </w:r>
            <w:r/>
          </w:p>
          <w:p>
            <w:pPr>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lang w:val="en-US" w:eastAsia="zh-CN" w:bidi="ar-SA"/>
              </w:rPr>
              <w:t xml:space="preserve">未提供的得0分，本项最高得12分，最低得0分。</w:t>
            </w:r>
            <w:r/>
          </w:p>
        </w:tc>
        <w:tc>
          <w:tcPr>
            <w:tcBorders>
              <w:left w:val="single" w:color="000000" w:sz="4" w:space="0"/>
            </w:tcBorders>
            <w:tcW w:w="753" w:type="dxa"/>
            <w:textDirection w:val="lrTb"/>
            <w:noWrap w:val="false"/>
          </w:tcPr>
          <w:p>
            <w:pPr>
              <w:pStyle w:val="1018"/>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1018"/>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1018"/>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1018"/>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否</w:t>
            </w:r>
            <w:r/>
          </w:p>
        </w:tc>
      </w:tr>
      <w:tr>
        <w:trPr>
          <w:cantSplit/>
          <w:jc w:val="center"/>
          <w:trHeight w:val="712"/>
        </w:trPr>
        <w:tc>
          <w:tcPr>
            <w:tcW w:w="936" w:type="dxa"/>
            <w:vAlign w:val="center"/>
            <w:vMerge w:val="continue"/>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Borders>
              <w:right w:val="single" w:color="auto" w:sz="4" w:space="0"/>
            </w:tcBorders>
            <w:tcW w:w="918" w:type="dxa"/>
            <w:vAlign w:val="center"/>
            <w:vMerge w:val="continue"/>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1128" w:type="dxa"/>
            <w:vAlign w:val="center"/>
            <w:vMerge w:val="restart"/>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住房公积金综合信息管理系统（双贯标系统）维护方案（46分）</w:t>
            </w:r>
            <w:r/>
          </w:p>
        </w:tc>
        <w:tc>
          <w:tcPr>
            <w:gridSpan w:val="2"/>
            <w:tcW w:w="1072" w:type="dxa"/>
            <w:vAlign w:val="center"/>
            <w:textDirection w:val="lrTb"/>
            <w:noWrap w:val="false"/>
          </w:tcPr>
          <w:p>
            <w:pPr>
              <w:pStyle w:val="1035"/>
              <w:keepLines w:val="0"/>
              <w:keepNext w:val="0"/>
              <w:pageBreakBefore w:val="0"/>
              <w:spacing w:line="400" w:lineRule="exact"/>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核心业务系统方案（30分）</w:t>
            </w:r>
            <w:r/>
          </w:p>
        </w:tc>
        <w:tc>
          <w:tcPr>
            <w:tcW w:w="6002"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方案内容包含《第六章  采购需求》中“核心业务系统要求”（共15条）。</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30分，每缺少一项内容扣2分，扣完为止；单项内容每存在一处缺陷扣1分，单项内容分（2分）扣完为止。</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未提供的得0分，本项最高得30分，最低得0分。</w:t>
            </w:r>
            <w:r/>
          </w:p>
        </w:tc>
        <w:tc>
          <w:tcPr>
            <w:tcBorders>
              <w:left w:val="single" w:color="000000" w:sz="4" w:space="0"/>
            </w:tcBorders>
            <w:tcW w:w="753" w:type="dxa"/>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否</w:t>
            </w:r>
            <w:r/>
          </w:p>
        </w:tc>
      </w:tr>
      <w:tr>
        <w:trPr>
          <w:cantSplit/>
          <w:jc w:val="center"/>
          <w:trHeight w:val="712"/>
        </w:trPr>
        <w:tc>
          <w:tcPr>
            <w:tcW w:w="936" w:type="dxa"/>
            <w:vAlign w:val="center"/>
            <w:vMerge w:val="continue"/>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Borders>
              <w:right w:val="single" w:color="auto" w:sz="4" w:space="0"/>
            </w:tcBorders>
            <w:tcW w:w="918" w:type="dxa"/>
            <w:vAlign w:val="center"/>
            <w:vMerge w:val="continue"/>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1128" w:type="dxa"/>
            <w:vAlign w:val="center"/>
            <w:vMerge w:val="continue"/>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072" w:type="dxa"/>
            <w:vAlign w:val="center"/>
            <w:textDirection w:val="lrTb"/>
            <w:noWrap w:val="false"/>
          </w:tcPr>
          <w:p>
            <w:pPr>
              <w:pStyle w:val="1035"/>
              <w:keepLines w:val="0"/>
              <w:keepNext w:val="0"/>
              <w:pageBreakBefore w:val="0"/>
              <w:spacing w:line="400" w:lineRule="exact"/>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外联支撑应用系统方案（16分）</w:t>
            </w:r>
            <w:r/>
          </w:p>
        </w:tc>
        <w:tc>
          <w:tcPr>
            <w:tcW w:w="6002"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方案内容包含《第六章  采购需求》中“外联支撑应用系统要求”（共8条）。</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16分，每缺少一项内容扣2分，扣完为止；单项内容每存在一处缺陷扣1分，单项内容分（2分）扣完为止。</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未提供的得0分，本项最高得16分，最低得0分。</w:t>
            </w:r>
            <w:r/>
          </w:p>
        </w:tc>
        <w:tc>
          <w:tcPr>
            <w:tcBorders>
              <w:left w:val="single" w:color="000000" w:sz="4" w:space="0"/>
            </w:tcBorders>
            <w:tcW w:w="753" w:type="dxa"/>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r>
      <w:tr>
        <w:trPr>
          <w:cantSplit/>
          <w:jc w:val="center"/>
          <w:trHeight w:val="1548"/>
        </w:trPr>
        <w:tc>
          <w:tcPr>
            <w:tcW w:w="936" w:type="dxa"/>
            <w:vAlign w:val="center"/>
            <w:vMerge w:val="restart"/>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商务部分（32分）</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W w:w="918"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项目实施方案</w:t>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（14分）</w:t>
            </w:r>
            <w:r/>
          </w:p>
        </w:tc>
        <w:tc>
          <w:tcPr>
            <w:gridSpan w:val="4"/>
            <w:tcW w:w="8202"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方案内容包含《第六章  采购需求》中“实施要求”（共14条）。</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14分，每缺少一项内容扣1分，扣完为止；单项内容每存在一处缺陷扣0.5分，单项内容分（1分）扣完为止。</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未提供的得0分，本项最高得14分，最低得0分。</w:t>
            </w:r>
            <w:r/>
          </w:p>
        </w:tc>
        <w:tc>
          <w:tcPr>
            <w:tcW w:w="753" w:type="dxa"/>
            <w:vAlign w:val="center"/>
            <w:textDirection w:val="lrTb"/>
            <w:noWrap w:val="false"/>
          </w:tcPr>
          <w:p>
            <w:pPr>
              <w:pStyle w:val="1018"/>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否</w:t>
            </w:r>
            <w:r/>
          </w:p>
        </w:tc>
      </w:tr>
      <w:tr>
        <w:trPr>
          <w:cantSplit/>
          <w:jc w:val="center"/>
          <w:trHeight w:val="1548"/>
        </w:trPr>
        <w:tc>
          <w:tcPr>
            <w:tcW w:w="936" w:type="dxa"/>
            <w:vMerge w:val="continue"/>
            <w:textDirection w:val="lrTb"/>
            <w:noWrap w:val="false"/>
          </w:tcPr>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W w:w="918" w:type="dxa"/>
            <w:vAlign w:val="center"/>
            <w:vMerge w:val="restart"/>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人员配备</w:t>
            </w:r>
            <w:r>
              <w:rPr>
                <w:rFonts w:hint="eastAsia" w:ascii="宋体" w:hAnsi="宋体" w:eastAsia="宋体" w:cs="宋体"/>
                <w:bCs/>
                <w:sz w:val="24"/>
                <w:szCs w:val="24"/>
              </w:rPr>
              <w:t xml:space="preserve">方案（9分）</w:t>
            </w:r>
            <w:r/>
          </w:p>
        </w:tc>
        <w:tc>
          <w:tcPr>
            <w:gridSpan w:val="2"/>
            <w:tcW w:w="1297"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技术支持服务小组人员方案(5分)</w:t>
            </w:r>
            <w:r/>
          </w:p>
        </w:tc>
        <w:tc>
          <w:tcPr>
            <w:gridSpan w:val="2"/>
            <w:tcW w:w="6905"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提供5类资格证书（高级系统架构设计师资格、高级信息系统项目管理师资格、高级系统分析师资格、ITSS服务项目经理资格、甲骨文数据库管理员（OCM)资格）且提供具备该证书人员为投标人自有职工相关证明材料（即提供上述证书扫描件及本项目开标时间前6个月内任何1月的社会保障资金的相关材料扫描件或劳动合同扫描件），其中每提供一类的得1分，不提供或提供不全的不得分。</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本项最高得5分，最低得0分。</w:t>
            </w:r>
            <w:r/>
          </w:p>
        </w:tc>
        <w:tc>
          <w:tcPr>
            <w:tcW w:w="753" w:type="dxa"/>
            <w:vAlign w:val="center"/>
            <w:textDirection w:val="lrTb"/>
            <w:noWrap w:val="false"/>
          </w:tcPr>
          <w:p>
            <w:pPr>
              <w:pStyle w:val="1018"/>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是</w:t>
            </w:r>
            <w:r/>
          </w:p>
        </w:tc>
      </w:tr>
      <w:tr>
        <w:trPr>
          <w:cantSplit/>
          <w:jc w:val="center"/>
          <w:trHeight w:val="1548"/>
        </w:trPr>
        <w:tc>
          <w:tcPr>
            <w:tcW w:w="936" w:type="dxa"/>
            <w:vMerge w:val="continue"/>
            <w:textDirection w:val="lrTb"/>
            <w:noWrap w:val="false"/>
          </w:tcPr>
          <w:p>
            <w:pPr>
              <w:pStyle w:val="766"/>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W w:w="918" w:type="dxa"/>
            <w:vAlign w:val="center"/>
            <w:vMerge w:val="continue"/>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297" w:type="dxa"/>
            <w:vAlign w:val="center"/>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拟派驻现场人员工作方案(4分)</w:t>
            </w:r>
            <w:r/>
          </w:p>
        </w:tc>
        <w:tc>
          <w:tcPr>
            <w:gridSpan w:val="2"/>
            <w:tcW w:w="6905"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方案内容包含《第六章  采购需求》中“拟派驻现场人员工作要求”（共2条）。</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2分，扣完为止；单项内容每存在一处缺陷扣1分，单项内容分（2分）扣完为止。</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未提供的得0分，本项最高得4分，最低得0分。</w:t>
            </w:r>
            <w:r/>
          </w:p>
        </w:tc>
        <w:tc>
          <w:tcPr>
            <w:tcW w:w="753"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否</w:t>
            </w:r>
            <w:r/>
          </w:p>
        </w:tc>
      </w:tr>
      <w:tr>
        <w:trPr>
          <w:cantSplit/>
          <w:jc w:val="center"/>
          <w:trHeight w:val="1707"/>
        </w:trPr>
        <w:tc>
          <w:tcPr>
            <w:tcW w:w="936" w:type="dxa"/>
            <w:vAlign w:val="center"/>
            <w:vMerge w:val="continue"/>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W w:w="918"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技术培训方案（4分）</w:t>
            </w:r>
            <w:r/>
          </w:p>
        </w:tc>
        <w:tc>
          <w:tcPr>
            <w:gridSpan w:val="4"/>
            <w:tcW w:w="8202" w:type="dxa"/>
            <w:vAlign w:val="center"/>
            <w:textDirection w:val="lrTb"/>
            <w:noWrap w:val="false"/>
          </w:tcPr>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方案内容包含《第六章  采购需求》中“技术培训要求”（共2条）</w:t>
            </w:r>
            <w:r/>
          </w:p>
          <w:p>
            <w:pPr>
              <w:pStyle w:val="1018"/>
              <w:jc w:val="left"/>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未提供的得0分，本项最高得4分，最低得0分。</w:t>
            </w:r>
            <w:r/>
          </w:p>
        </w:tc>
        <w:tc>
          <w:tcPr>
            <w:tcW w:w="753"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否</w:t>
            </w:r>
            <w:r/>
          </w:p>
        </w:tc>
      </w:tr>
      <w:tr>
        <w:trPr>
          <w:cantSplit/>
          <w:jc w:val="center"/>
          <w:trHeight w:val="1795"/>
        </w:trPr>
        <w:tc>
          <w:tcPr>
            <w:tcW w:w="936" w:type="dxa"/>
            <w:vAlign w:val="center"/>
            <w:vMerge w:val="continue"/>
            <w:textDirection w:val="lrTb"/>
            <w:noWrap w:val="false"/>
          </w:tcPr>
          <w:p>
            <w:pPr>
              <w:pStyle w:val="100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W w:w="918" w:type="dxa"/>
            <w:vAlign w:val="center"/>
            <w:vMerge w:val="restart"/>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投标人业绩</w:t>
            </w:r>
            <w:r/>
          </w:p>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(5分)</w:t>
            </w:r>
            <w:r/>
          </w:p>
        </w:tc>
        <w:tc>
          <w:tcPr>
            <w:gridSpan w:val="2"/>
            <w:tcBorders>
              <w:right w:val="single" w:color="000000" w:sz="4" w:space="0"/>
            </w:tcBorders>
            <w:tcW w:w="1297" w:type="dxa"/>
            <w:vAlign w:val="center"/>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投标人综合服务平台托管服务业绩（3分）</w:t>
            </w:r>
            <w:r/>
          </w:p>
        </w:tc>
        <w:tc>
          <w:tcPr>
            <w:gridSpan w:val="2"/>
            <w:tcBorders>
              <w:left w:val="single" w:color="000000" w:sz="4" w:space="0"/>
            </w:tcBorders>
            <w:tcW w:w="6905" w:type="dxa"/>
            <w:vAlign w:val="center"/>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投标文件中提供投标人为卖方(乙方)，合同签订日期在202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年1月1日之后，合同内容为综合服务平台托管服务（综合服务平台托管内容必须包含网上服务大厅、手机APP、支付宝、微信等）类项目的合同扫描件，每提供一份得1分。</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本项最多得3分,最低得0分。</w:t>
            </w:r>
            <w:r/>
          </w:p>
        </w:tc>
        <w:tc>
          <w:tcPr>
            <w:tcBorders>
              <w:left w:val="single" w:color="000000" w:sz="4" w:space="0"/>
            </w:tcBorders>
            <w:tcW w:w="753"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是</w:t>
            </w:r>
            <w:r/>
          </w:p>
        </w:tc>
      </w:tr>
      <w:tr>
        <w:trPr>
          <w:cantSplit/>
          <w:jc w:val="center"/>
          <w:trHeight w:val="1795"/>
        </w:trPr>
        <w:tc>
          <w:tcPr>
            <w:tcW w:w="936" w:type="dxa"/>
            <w:vAlign w:val="center"/>
            <w:vMerge w:val="continue"/>
            <w:textDirection w:val="lrTb"/>
            <w:noWrap w:val="false"/>
          </w:tcPr>
          <w:p>
            <w:pPr>
              <w:pStyle w:val="100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tcW w:w="918" w:type="dxa"/>
            <w:vAlign w:val="center"/>
            <w:vMerge w:val="continue"/>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Borders>
              <w:right w:val="single" w:color="000000" w:sz="4" w:space="0"/>
            </w:tcBorders>
            <w:tcW w:w="1297" w:type="dxa"/>
            <w:vAlign w:val="center"/>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投标人系统运维业绩（2分）</w:t>
            </w:r>
            <w:r/>
          </w:p>
        </w:tc>
        <w:tc>
          <w:tcPr>
            <w:gridSpan w:val="2"/>
            <w:tcBorders>
              <w:left w:val="single" w:color="000000" w:sz="4" w:space="0"/>
            </w:tcBorders>
            <w:tcW w:w="6905" w:type="dxa"/>
            <w:vAlign w:val="center"/>
            <w:textDirection w:val="lrTb"/>
            <w:noWrap w:val="false"/>
          </w:tcPr>
          <w:p>
            <w:pPr>
              <w:pStyle w:val="766"/>
              <w:ind w:firstLine="0"/>
              <w:keepLines w:val="0"/>
              <w:keepNext w:val="0"/>
              <w:pageBreakBefore w:val="0"/>
              <w:spacing w:line="400" w:lineRule="exact"/>
              <w:rPr>
                <w:rFonts w:hint="eastAsia" w:ascii="宋体" w:hAnsi="宋体" w:eastAsia="宋体" w:cs="宋体"/>
                <w:sz w:val="24"/>
                <w:szCs w:val="24"/>
              </w:rPr>
              <w:outlineLvl w:val="9"/>
            </w:pPr>
            <w:r/>
            <w:bookmarkStart w:id="38" w:name="_GoBack"/>
            <w:r>
              <w:rPr>
                <w:rFonts w:hint="eastAsia" w:ascii="宋体" w:hAnsi="宋体" w:eastAsia="宋体" w:cs="宋体"/>
                <w:sz w:val="24"/>
                <w:szCs w:val="24"/>
              </w:rPr>
              <w:t xml:space="preserve">投标文件中提供投标人为卖方(乙方)，合同签订日期在202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年1月1日之后，合同内容为系统运维类项目的合同扫描件，每提供一份得1分。</w:t>
            </w:r>
            <w:r/>
          </w:p>
          <w:p>
            <w:pPr>
              <w:pStyle w:val="766"/>
              <w:ind w:firstLine="0"/>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本项最多得2分,最低得0分。</w:t>
            </w:r>
            <w:bookmarkEnd w:id="38"/>
            <w:r/>
            <w:r/>
          </w:p>
        </w:tc>
        <w:tc>
          <w:tcPr>
            <w:tcBorders>
              <w:left w:val="single" w:color="000000" w:sz="4" w:space="0"/>
            </w:tcBorders>
            <w:tcW w:w="753" w:type="dxa"/>
            <w:vAlign w:val="center"/>
            <w:textDirection w:val="lrTb"/>
            <w:noWrap w:val="false"/>
          </w:tcPr>
          <w:p>
            <w:pPr>
              <w:pStyle w:val="766"/>
              <w:ind w:firstLine="0"/>
              <w:jc w:val="center"/>
              <w:keepLines w:val="0"/>
              <w:keepNext w:val="0"/>
              <w:pageBreakBefore w:val="0"/>
              <w:spacing w:line="400" w:lineRule="exact"/>
              <w:rPr>
                <w:rFonts w:hint="eastAsia" w:ascii="宋体" w:hAnsi="宋体" w:eastAsia="宋体" w:cs="宋体"/>
                <w:sz w:val="24"/>
                <w:szCs w:val="24"/>
              </w:rPr>
              <w:outlineLvl w:val="9"/>
            </w:pPr>
            <w:r>
              <w:rPr>
                <w:rFonts w:hint="eastAsia" w:ascii="宋体" w:hAnsi="宋体" w:eastAsia="宋体" w:cs="宋体"/>
                <w:sz w:val="24"/>
                <w:szCs w:val="24"/>
              </w:rPr>
              <w:t xml:space="preserve">是</w:t>
            </w:r>
            <w:r/>
          </w:p>
        </w:tc>
      </w:tr>
    </w:tbl>
    <w:p>
      <w:pPr>
        <w:pStyle w:val="726"/>
        <w:ind w:left="0" w:firstLine="0"/>
        <w:rPr>
          <w:rFonts w:hint="eastAsia" w:ascii="宋体" w:hAnsi="宋体" w:cs="仿宋_GB2312"/>
          <w:sz w:val="28"/>
          <w:szCs w:val="28"/>
        </w:rPr>
      </w:pPr>
      <w:r>
        <w:rPr>
          <w:rFonts w:hint="eastAsia" w:ascii="宋体" w:hAnsi="宋体" w:cs="仿宋_GB2312"/>
          <w:sz w:val="28"/>
          <w:szCs w:val="28"/>
        </w:rPr>
      </w:r>
      <w:r/>
    </w:p>
    <w:p>
      <w:pPr>
        <w:pStyle w:val="726"/>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本章说明：评分结果精确到小数点后两位。</w:t>
      </w:r>
      <w:r/>
    </w:p>
    <w:p>
      <w:pPr>
        <w:pStyle w:val="923"/>
        <w:rPr>
          <w:rFonts w:hint="eastAsia" w:ascii="宋体" w:hAnsi="宋体" w:eastAsia="宋体" w:cs="宋体"/>
          <w:sz w:val="24"/>
        </w:rPr>
      </w:pPr>
      <w:r/>
      <w:bookmarkStart w:id="15" w:name="_Toc523404699"/>
      <w:r/>
      <w:bookmarkStart w:id="16"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5"/>
      <w:r/>
      <w:bookmarkEnd w:id="16"/>
      <w:r/>
      <w:r/>
    </w:p>
    <w:p>
      <w:pPr>
        <w:ind w:firstLine="480"/>
        <w:jc w:val="center"/>
        <w:spacing w:line="360" w:lineRule="exact"/>
        <w:widowControl/>
        <w:rPr>
          <w:rFonts w:hint="eastAsia" w:ascii="宋体" w:hAnsi="宋体" w:eastAsia="宋体" w:cs="宋体"/>
          <w:b/>
          <w:bCs/>
          <w:sz w:val="30"/>
          <w:szCs w:val="44"/>
        </w:rPr>
      </w:pPr>
      <w:r/>
      <w:bookmarkStart w:id="17" w:name="_Toc522790135"/>
      <w:r/>
      <w:bookmarkStart w:id="18" w:name="_Toc523404700"/>
      <w:r>
        <w:rPr>
          <w:rFonts w:hint="eastAsia" w:ascii="宋体" w:hAnsi="宋体" w:eastAsia="宋体" w:cs="宋体"/>
          <w:b/>
          <w:bCs/>
          <w:sz w:val="24"/>
        </w:rPr>
        <w:t xml:space="preserve">采购包1拟签订的合同文本</w:t>
      </w:r>
      <w:r/>
    </w:p>
    <w:p>
      <w:pPr>
        <w:ind w:left="479" w:firstLine="0"/>
        <w:keepLines w:val="0"/>
        <w:keepNext w:val="0"/>
        <w:pageBreakBefore w:val="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甲方：                       </w:t>
      </w:r>
      <w:r>
        <w:rPr>
          <w:rFonts w:hint="eastAsia" w:ascii="宋体" w:hAnsi="宋体" w:eastAsia="宋体" w:cs="宋体"/>
          <w:sz w:val="24"/>
          <w:highlight w:val="none"/>
        </w:rPr>
        <w:br/>
      </w:r>
      <w:r>
        <w:rPr>
          <w:rFonts w:hint="eastAsia" w:ascii="宋体" w:hAnsi="宋体" w:eastAsia="宋体" w:cs="宋体"/>
          <w:sz w:val="24"/>
          <w:highlight w:val="none"/>
        </w:rPr>
        <w:t xml:space="preserve">乙方：</w:t>
      </w:r>
      <w:r/>
    </w:p>
    <w:p>
      <w:pPr>
        <w:ind w:firstLine="480"/>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JSZC-320300-ZJZB-G2025-0157</w:t>
      </w:r>
      <w:r/>
    </w:p>
    <w:p>
      <w:pPr>
        <w:ind w:left="479" w:firstLine="0"/>
        <w:keepLines w:val="0"/>
        <w:keepNext w:val="0"/>
        <w:pageBreakBefore w:val="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2025-2026年度公积金核心机房硬件运维及信息系统软件运行维护</w:t>
      </w:r>
      <w:r/>
    </w:p>
    <w:p>
      <w:pPr>
        <w:ind w:left="479" w:firstLine="0"/>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highlight w:val="none"/>
          <w:lang w:eastAsia="zh-CN"/>
          <w14:textFill>
            <w14:solidFill>
              <w14:schemeClr w14:val="tx1"/>
            </w14:solidFill>
          </w14:textFill>
        </w:rPr>
        <w:t xml:space="preserve">2025-2026年度公积金核心机房硬件运维</w:t>
      </w:r>
      <w:r/>
    </w:p>
    <w:p>
      <w:pPr>
        <w:pStyle w:val="731"/>
        <w:ind w:left="1470" w:right="1470" w:firstLine="48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widowControl/>
        <w:rPr>
          <w:rFonts w:hint="eastAsia" w:ascii="宋体" w:hAnsi="宋体" w:eastAsia="宋体" w:cs="宋体"/>
          <w:sz w:val="24"/>
          <w:highlight w:val="none"/>
          <w:lang w:eastAsia="zh-TW"/>
        </w:rPr>
      </w:pPr>
      <w:r>
        <w:rPr>
          <w:rFonts w:hint="eastAsia" w:ascii="宋体" w:hAnsi="宋体" w:eastAsia="宋体" w:cs="宋体"/>
          <w:sz w:val="24"/>
          <w:highlight w:val="none"/>
        </w:rPr>
        <w:t xml:space="preserve">甲、乙双方根据《中华人民共和国政府采购法》及《中华人民共和国民法典》等相关法律、法规的规定，本着诚信和平等自愿的原则，经双方友好协商，就乙方为甲方提供核心机房硬件运维服务，签订以下合同条款，共同遵守。</w:t>
      </w:r>
      <w:r/>
    </w:p>
    <w:p>
      <w:pPr>
        <w:ind w:firstLine="480"/>
        <w:spacing w:line="360" w:lineRule="exact"/>
        <w:widowControl/>
        <w:rPr>
          <w:rFonts w:hint="eastAsia" w:ascii="宋体" w:hAnsi="宋体" w:eastAsia="宋体" w:cs="宋体"/>
          <w:sz w:val="24"/>
          <w:highlight w:val="none"/>
          <w:lang w:eastAsia="zh-TW"/>
        </w:rPr>
      </w:pPr>
      <w:r>
        <w:rPr>
          <w:rFonts w:hint="eastAsia" w:ascii="宋体" w:hAnsi="宋体" w:eastAsia="宋体" w:cs="宋体"/>
          <w:sz w:val="24"/>
          <w:highlight w:val="none"/>
          <w:lang w:eastAsia="zh-TW"/>
        </w:rPr>
      </w:r>
      <w:r/>
    </w:p>
    <w:p>
      <w:pPr>
        <w:pStyle w:val="784"/>
        <w:numPr>
          <w:ilvl w:val="0"/>
          <w:numId w:val="2"/>
        </w:numPr>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维护服务内容、服务地点及采购需求</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维护服务内容:详见采购需求，具体见合同附件1。</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服务地点：甲方工作所在地。</w:t>
      </w:r>
      <w:r/>
    </w:p>
    <w:p>
      <w:pPr>
        <w:pStyle w:val="784"/>
        <w:ind w:left="480" w:firstLine="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784"/>
        <w:numPr>
          <w:ilvl w:val="0"/>
          <w:numId w:val="2"/>
        </w:numPr>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维保服务期限</w:t>
      </w:r>
      <w:r/>
    </w:p>
    <w:p>
      <w:pPr>
        <w:pStyle w:val="731"/>
        <w:ind w:left="0" w:right="-57" w:firstLine="48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自运维工作开始之日起1年，即   年  月   日至     年  月  日。</w:t>
      </w:r>
      <w:r/>
    </w:p>
    <w:p>
      <w:pPr>
        <w:pStyle w:val="731"/>
        <w:ind w:left="0" w:right="-57" w:firstLine="96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4"/>
        <w:numPr>
          <w:ilvl w:val="0"/>
          <w:numId w:val="2"/>
        </w:numPr>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价格</w:t>
      </w:r>
      <w:r/>
    </w:p>
    <w:p>
      <w:pPr>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    合同总价为￥     大写：人民币     。</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本合同执行期间合同总价款不变，是完成本项目所发生的所有含税费用、支付给相关人员的工资和国家强制缴纳的各种社会保障资金</w:t>
      </w:r>
      <w:r>
        <w:rPr>
          <w:rFonts w:hint="eastAsia" w:ascii="宋体" w:hAnsi="宋体" w:eastAsia="宋体" w:cs="宋体"/>
          <w:sz w:val="24"/>
          <w:highlight w:val="none"/>
        </w:rPr>
        <w:t xml:space="preserve">，以及乙方认为履行本项目需要的其他一切费用</w:t>
      </w:r>
      <w:r>
        <w:rPr>
          <w:rFonts w:hint="eastAsia" w:ascii="宋体" w:hAnsi="宋体" w:eastAsia="宋体" w:cs="宋体"/>
          <w:sz w:val="24"/>
          <w:highlight w:val="none"/>
          <w:lang w:val="zh-CN"/>
        </w:rPr>
        <w:t xml:space="preserve">。</w:t>
      </w:r>
      <w:r/>
    </w:p>
    <w:p>
      <w:pPr>
        <w:pStyle w:val="731"/>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4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经双方协商一致，乙方选择以下第种付款方式：</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1.付款方式（提交预付款保函的）</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合同价款的百分之四十（40%），即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人民币   </w:t>
      </w:r>
      <w:r>
        <w:rPr>
          <w:rFonts w:hint="eastAsia" w:ascii="宋体" w:hAnsi="宋体" w:eastAsia="宋体" w:cs="宋体"/>
          <w:sz w:val="24"/>
          <w:highlight w:val="none"/>
        </w:rPr>
        <w:t xml:space="preserve">，在合同签订生效且乙方向甲方出具合同总价的百分之</w:t>
      </w:r>
      <w:r>
        <w:rPr>
          <w:rFonts w:hint="eastAsia" w:ascii="宋体" w:hAnsi="宋体" w:eastAsia="宋体" w:cs="宋体"/>
          <w:sz w:val="24"/>
          <w:highlight w:val="none"/>
          <w:u w:val="single"/>
        </w:rPr>
        <w:t xml:space="preserve">四十</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40</w:t>
      </w:r>
      <w:r>
        <w:rPr>
          <w:rFonts w:hint="eastAsia" w:ascii="宋体" w:hAnsi="宋体" w:eastAsia="宋体" w:cs="宋体"/>
          <w:sz w:val="24"/>
          <w:highlight w:val="none"/>
        </w:rPr>
        <w:t xml:space="preserve"> %)的预付款保函，甲方自收到发票（发票金额为合同总价的40%）后10个工作日内，将资金支付到合同约定的乙方账户。</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合同价款的百分之六十（60%），即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人民币    </w:t>
      </w:r>
      <w:r>
        <w:rPr>
          <w:rFonts w:hint="eastAsia" w:ascii="宋体" w:hAnsi="宋体" w:eastAsia="宋体" w:cs="宋体"/>
          <w:sz w:val="24"/>
          <w:highlight w:val="none"/>
        </w:rPr>
        <w:t xml:space="preserve">，在乙方履行维护服务期限满1年，达到甲方服务要求，并经甲方确认合格后，甲方自收到发票（发票金额为合同总价的60%）后10个工作日内，将资金支付到合同约定的乙方账户。</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2.付款方式（不提交预付款保函的）</w:t>
      </w:r>
      <w:r/>
    </w:p>
    <w:p>
      <w:pPr>
        <w:pStyle w:val="752"/>
        <w:ind w:firstLine="480"/>
        <w:spacing w:after="0"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合同价款的百分之三十（3</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人民币 </w:t>
      </w:r>
      <w:r>
        <w:rPr>
          <w:rFonts w:hint="eastAsia" w:ascii="宋体" w:hAnsi="宋体" w:eastAsia="宋体" w:cs="宋体"/>
          <w:sz w:val="24"/>
          <w:highlight w:val="none"/>
        </w:rPr>
        <w:t xml:space="preserve">，在合同签订生效后，甲方自收到发票（发票金额为合同总价的3</w:t>
      </w:r>
      <w:r>
        <w:rPr>
          <w:rFonts w:hint="eastAsia" w:ascii="宋体" w:hAnsi="宋体" w:eastAsia="宋体" w:cs="宋体"/>
          <w:sz w:val="24"/>
          <w:highlight w:val="none"/>
          <w:lang w:val="en-US"/>
        </w:rPr>
        <w:t xml:space="preserve">0</w:t>
      </w:r>
      <w:r>
        <w:rPr>
          <w:rFonts w:hint="eastAsia" w:ascii="宋体" w:hAnsi="宋体" w:eastAsia="宋体" w:cs="宋体"/>
          <w:sz w:val="24"/>
          <w:highlight w:val="none"/>
        </w:rPr>
        <w:t xml:space="preserve">%）后10个工作日内，将资金支付到合同约定的乙方账户。</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合同价款的百分之</w:t>
      </w:r>
      <w:r>
        <w:rPr>
          <w:rFonts w:hint="eastAsia" w:ascii="宋体" w:hAnsi="宋体" w:eastAsia="宋体" w:cs="宋体"/>
          <w:sz w:val="24"/>
          <w:highlight w:val="none"/>
          <w:lang w:eastAsia="zh-CN"/>
        </w:rPr>
        <w:t xml:space="preserve">七十</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70</w:t>
      </w:r>
      <w:r>
        <w:rPr>
          <w:rFonts w:hint="eastAsia" w:ascii="宋体" w:hAnsi="宋体" w:eastAsia="宋体" w:cs="宋体"/>
          <w:sz w:val="24"/>
          <w:highlight w:val="none"/>
        </w:rPr>
        <w:t xml:space="preserve">%），即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w:t>
      </w:r>
      <w:r>
        <w:rPr>
          <w:rFonts w:hint="eastAsia" w:ascii="宋体" w:hAnsi="宋体" w:eastAsia="宋体" w:cs="宋体"/>
          <w:sz w:val="24"/>
          <w:highlight w:val="none"/>
          <w:u w:val="single"/>
        </w:rPr>
        <w:t xml:space="preserve">人民币   </w:t>
      </w:r>
      <w:r>
        <w:rPr>
          <w:rFonts w:hint="eastAsia" w:ascii="宋体" w:hAnsi="宋体" w:eastAsia="宋体" w:cs="宋体"/>
          <w:sz w:val="24"/>
          <w:highlight w:val="none"/>
        </w:rPr>
        <w:t xml:space="preserve">，在乙方履行维护服务期限满1年，达到甲方服务要求，并经甲方确认合格后，甲方自收到发票（发票金额为合同总价的</w:t>
      </w:r>
      <w:r>
        <w:rPr>
          <w:rFonts w:hint="eastAsia" w:ascii="宋体" w:hAnsi="宋体" w:eastAsia="宋体" w:cs="宋体"/>
          <w:sz w:val="24"/>
          <w:highlight w:val="none"/>
          <w:lang w:val="en-US" w:eastAsia="zh-CN"/>
        </w:rPr>
        <w:t xml:space="preserve">70</w:t>
      </w:r>
      <w:r>
        <w:rPr>
          <w:rFonts w:hint="eastAsia" w:ascii="宋体" w:hAnsi="宋体" w:eastAsia="宋体" w:cs="宋体"/>
          <w:sz w:val="24"/>
          <w:highlight w:val="none"/>
        </w:rPr>
        <w:t xml:space="preserve">%）后10个工作日内，将资金支付到合同约定的乙方账户。</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合同约定的乙方账户：</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银行帐号：</w:t>
      </w:r>
      <w:r/>
    </w:p>
    <w:p>
      <w:pPr>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第五条 甲乙的权利与义务</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甲方的权利</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乙方如有人员调整应经甲方书面同意。涉及项目经理的调整应提前2个月告知甲方。</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甲方有权警告违反本合同规定的乙方人员。按照甲方要求，乙方更换违反本合同规定的人员。</w:t>
      </w:r>
      <w:r/>
    </w:p>
    <w:p>
      <w:pPr>
        <w:pStyle w:val="731"/>
        <w:ind w:left="0" w:firstLine="480"/>
        <w:spacing w:line="360" w:lineRule="exact"/>
        <w:widowControl/>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（3）甲方有权教育乙方员工规范操作、定期检查系统运行情况及维护情况。</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甲方的义务</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按合同约定支付维护服务费。</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（2）甲方应当向乙方工作提供良好的外部条件。</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（3）甲方应当向乙方提供相应的资料，便于乙方开展维护服务工作。</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（4）甲方应授权一名熟悉本项目情况、能迅速做出决定的项目代表，负责与乙方联系。更换代表，要提前通知乙方。</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第六条 乙方的权利与义务</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乙方的权利</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（1）有权要求甲方按合同约定支付维护服务费。</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（2）有权要求甲方为工作提供良好的外部条件。</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（3）有权要求甲方提供相应的资料，便于乙方开展维护服务工作。</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（4）有权要求甲方应授权一名熟悉本项目情况、能迅速做出决定的项目代表，负责与乙方联系。更换代表，要提前通知乙方。</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乙方的义务</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（1）在本合同期内或合同终止后，未征得有关方同意，不得泄漏在为甲方服务期间所获得的技术秘密、商业秘密等，不得以任何形式侵害甲方的知识产权。</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负责保证甲方在使用该服务或其任何一部分时不受第三方提出侵犯其专利权、版权、商标权或其他权利的起诉。一旦出现侵权，乙方应承担全部责任。</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所提供的服务与招标文件规定的要求相一致；若技术性能无特殊说明，则按国家有关部门最新颁布的标准及规范为准。</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4</w:t>
      </w:r>
      <w:r>
        <w:rPr>
          <w:rFonts w:hint="eastAsia" w:ascii="宋体" w:hAnsi="宋体" w:eastAsia="宋体" w:cs="宋体"/>
          <w:sz w:val="24"/>
          <w:highlight w:val="none"/>
          <w:lang w:val="zh-CN"/>
        </w:rPr>
        <w:t xml:space="preserve">）乙方应诚实信用，严格按照招标文件要求和投标承诺履行合同，不向甲方进行商业贿赂或者提供不正当利益。</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（5）乙方应按照维护服务质量要求提供服务：详见公积金核心机房硬件维护服务方案，具体见合同附件2。</w:t>
      </w:r>
      <w:r/>
    </w:p>
    <w:p>
      <w:pPr>
        <w:pStyle w:val="731"/>
        <w:ind w:left="0" w:right="1470"/>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1"/>
        <w:ind w:left="0" w:right="1470"/>
        <w:jc w:val="left"/>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第七条 验收标准（验收要求、验收标准和程序）要求</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乙方履约每满三个月，向甲方提供履约情况的相关资料，甲方对乙方维护服务的履约情况进行确认。服务期满，乙方出具相关验收资料，</w:t>
      </w:r>
      <w:r>
        <w:rPr>
          <w:rFonts w:hint="eastAsia" w:ascii="宋体" w:hAnsi="宋体" w:eastAsia="宋体" w:cs="宋体"/>
          <w:sz w:val="24"/>
          <w:highlight w:val="none"/>
          <w:lang w:val="en-US" w:eastAsia="zh-CN"/>
        </w:rPr>
        <w:t xml:space="preserve">同时由具有资质的第三方检测机构（具有CMA或CNAS)进行检测验收，按照招标文件要求对维护成果，维护设备、系统状态，可视化维护建设等方面进行验收，合格后出具合格验收报告，验收费用由中标方向第三方检测机构支付，采购人不再支付任何费用。</w:t>
      </w:r>
      <w:r>
        <w:rPr>
          <w:rFonts w:hint="eastAsia" w:ascii="宋体" w:hAnsi="宋体" w:eastAsia="宋体" w:cs="宋体"/>
          <w:sz w:val="24"/>
          <w:highlight w:val="none"/>
        </w:rPr>
        <w:t xml:space="preserve">经甲方组织验收后方可支付相应款项。</w:t>
      </w:r>
      <w:r/>
    </w:p>
    <w:p>
      <w:pPr>
        <w:ind w:firstLine="480"/>
        <w:spacing w:line="360" w:lineRule="exact"/>
        <w:widowControl/>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600"/>
        <w:spacing w:line="360" w:lineRule="exact"/>
        <w:widowControl/>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第八条 保密条款</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pStyle w:val="741"/>
        <w:ind w:firstLine="480"/>
        <w:rPr>
          <w:rFonts w:hint="eastAsia" w:ascii="宋体" w:hAnsi="宋体" w:eastAsia="宋体" w:cs="宋体"/>
          <w:highlight w:val="none"/>
        </w:rPr>
      </w:pPr>
      <w:r>
        <w:rPr>
          <w:rFonts w:hint="eastAsia" w:ascii="宋体" w:hAnsi="宋体" w:eastAsia="宋体" w:cs="宋体"/>
          <w:sz w:val="24"/>
          <w:szCs w:val="24"/>
          <w:highlight w:val="none"/>
        </w:rPr>
        <w:t xml:space="preserve">其他保密条款见合同附件3《保密协议》。</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第九条 违约责任</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（一）甲方违约责任</w:t>
      </w:r>
      <w:r/>
    </w:p>
    <w:p>
      <w:pPr>
        <w:ind w:firstLine="54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乙方按合同履约，甲方按合同约定支付维护服务费，甲方每逾期10天，甲方向乙方支付应付维护费（0.1）%的违约金，但违约金的总数不超过应付维护费的（1）%。</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（二）乙方违约责任</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1.乙方不按时到达现场处理故障，每次承担1000元违约金，且由此造成的损失由乙方负责。造成重大影响的，甲方有权提前终止合同。</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2.乙方不按照规定在备件库中存放相关备机备件，发现一次，承担1000元违约金，若发生2次以上，甲方有权终止合同。</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zh-CN"/>
        </w:rPr>
        <w:t xml:space="preserve">乙方所交付的服务不符合合同规定的，甲方有权拒绝验收。甲方拒绝验收的，乙方应向甲方支付合同总款5%的违约金。甲方未拒绝验收的，甲方将向有关部门反映，并责成乙方按照采购结果提供服务。</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zh-CN"/>
        </w:rPr>
        <w:t xml:space="preserve">乙方未按本合同的规定提供服务的，应按合同总价款的5 %向甲方承担违约责任。</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5.</w:t>
      </w:r>
      <w:r>
        <w:rPr>
          <w:rFonts w:hint="eastAsia" w:ascii="宋体" w:hAnsi="宋体" w:eastAsia="宋体" w:cs="宋体"/>
          <w:sz w:val="24"/>
          <w:highlight w:val="none"/>
          <w:lang w:val="zh-CN"/>
        </w:rPr>
        <w:t xml:space="preserve">乙方在承担上述</w:t>
      </w:r>
      <w:r>
        <w:rPr>
          <w:rFonts w:hint="eastAsia" w:ascii="宋体" w:hAnsi="宋体" w:eastAsia="宋体" w:cs="宋体"/>
          <w:sz w:val="24"/>
          <w:highlight w:val="none"/>
        </w:rPr>
        <w:t xml:space="preserve">2-4</w:t>
      </w:r>
      <w:r>
        <w:rPr>
          <w:rFonts w:hint="eastAsia" w:ascii="宋体" w:hAnsi="宋体" w:eastAsia="宋体" w:cs="宋体"/>
          <w:sz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6.</w:t>
      </w:r>
      <w:r>
        <w:rPr>
          <w:rFonts w:hint="eastAsia" w:ascii="宋体" w:hAnsi="宋体" w:eastAsia="宋体" w:cs="宋体"/>
          <w:sz w:val="24"/>
          <w:highlight w:val="none"/>
          <w:lang w:val="zh-CN"/>
        </w:rPr>
        <w:t xml:space="preserve">乙方投标属虚假承诺，或经权威部门监测提供的服务不能满足招标文件要求，或是由于乙方的过错造成合同无法继续履行的，应向甲方另行支付不少于合同总价30%赔偿金。</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（三）其他</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本合同执行期间发生不可抗力事件，致使合同无法履行时，双方均不承担违约责任，并按有关政策法规及时协商处理善后事宜。</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因服务的质量问题发生争议的，应当邀请国家认可的质量检测机构对服务质量进行鉴定。符合标准的，鉴定费由甲方承担；不符合质量标准的，鉴定费由乙方承担。</w:t>
      </w:r>
      <w:r/>
    </w:p>
    <w:p>
      <w:pPr>
        <w:ind w:firstLine="36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第十条 本合同在下列条件全部满足后生效，生效日期以下列条件全部满足的最晚日期为准： </w:t>
      </w:r>
      <w:r/>
    </w:p>
    <w:p>
      <w:pPr>
        <w:ind w:left="42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 双方加盖公章或合同专用章； </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合同的双方当事人不得擅自变更、中止或者终止合同。 </w:t>
      </w:r>
      <w:r/>
    </w:p>
    <w:p>
      <w:pPr>
        <w:ind w:firstLine="480"/>
        <w:jc w:val="left"/>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第十四条 因履行本合同引起的或与本合同有关的争议，甲、乙双方应首先通过友好协商解决，如果协商不能解决争议，则采取以下第（ ）种方式解决争议：</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向甲方所在地有管辖权的人民法院提起诉讼；</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zh-CN"/>
        </w:rPr>
        <w:t xml:space="preserve">向徐州仲裁委员会按其仲裁规则申请仲裁。</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如没有约定，默认采取第2种方式解决争议。</w:t>
      </w:r>
      <w:r/>
    </w:p>
    <w:p>
      <w:pPr>
        <w:ind w:firstLine="480"/>
        <w:spacing w:line="360" w:lineRule="exact"/>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在仲裁期间，本合同应继续履行。</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第十五条 合同其他未尽事宜及与招标文件有矛盾之处，以招标文件[项目编号：]为准。合同履行过程中，经协商一致，可签订补充协议。</w:t>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第十六条 合同一式</w:t>
      </w:r>
      <w:r>
        <w:rPr>
          <w:rFonts w:hint="eastAsia" w:ascii="宋体" w:hAnsi="宋体" w:eastAsia="宋体" w:cs="宋体"/>
          <w:sz w:val="24"/>
          <w:highlight w:val="none"/>
          <w:u w:val="single"/>
        </w:rPr>
        <w:t xml:space="preserve">__</w:t>
      </w:r>
      <w:r>
        <w:rPr>
          <w:rFonts w:hint="eastAsia" w:ascii="宋体" w:hAnsi="宋体" w:eastAsia="宋体" w:cs="宋体"/>
          <w:sz w:val="24"/>
          <w:highlight w:val="none"/>
        </w:rPr>
        <w:t xml:space="preserve">份，具有同等法律效力，甲方</w:t>
      </w:r>
      <w:r>
        <w:rPr>
          <w:rFonts w:hint="eastAsia" w:ascii="宋体" w:hAnsi="宋体" w:eastAsia="宋体" w:cs="宋体"/>
          <w:sz w:val="24"/>
          <w:highlight w:val="none"/>
          <w:u w:val="single"/>
        </w:rPr>
        <w:t xml:space="preserve">_</w:t>
      </w:r>
      <w:r>
        <w:rPr>
          <w:rFonts w:hint="eastAsia" w:ascii="宋体" w:hAnsi="宋体" w:eastAsia="宋体" w:cs="宋体"/>
          <w:sz w:val="24"/>
          <w:highlight w:val="none"/>
        </w:rPr>
        <w:t xml:space="preserve">份，乙方</w:t>
      </w:r>
      <w:r>
        <w:rPr>
          <w:rFonts w:hint="eastAsia" w:ascii="宋体" w:hAnsi="宋体" w:eastAsia="宋体" w:cs="宋体"/>
          <w:sz w:val="24"/>
          <w:highlight w:val="none"/>
          <w:u w:val="single"/>
        </w:rPr>
        <w:t xml:space="preserve">__</w:t>
      </w:r>
      <w:r>
        <w:rPr>
          <w:rFonts w:hint="eastAsia" w:ascii="宋体" w:hAnsi="宋体" w:eastAsia="宋体" w:cs="宋体"/>
          <w:sz w:val="24"/>
          <w:highlight w:val="none"/>
        </w:rPr>
        <w:t xml:space="preserve">份。</w:t>
      </w:r>
      <w:r/>
    </w:p>
    <w:p>
      <w:pPr>
        <w:contextualSpacing/>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contextualSpacing/>
        <w:ind w:firstLine="48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第十七条按照《财政部关于做好政府采购信息公开工作的通知》（财库〔2015〕135号），甲方依据《保守国家秘密法》等法律制度规定确定本合同</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部分涉及国家秘密，该涉及国家秘密部分不公告；甲方依据《反不正当竞争法》等法律制度的规定与乙方约定本合同</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部分涉及商业秘密，该涉及商业秘密部分不公告。</w:t>
      </w:r>
      <w:r/>
    </w:p>
    <w:p>
      <w:pPr>
        <w:ind w:firstLine="480"/>
        <w:jc w:val="left"/>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甲方                                          乙方 </w:t>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单位签章： </w:t>
      </w:r>
      <w:r>
        <w:rPr>
          <w:rFonts w:hint="eastAsia" w:ascii="宋体" w:hAnsi="宋体" w:eastAsia="宋体" w:cs="宋体"/>
          <w:sz w:val="24"/>
          <w:highlight w:val="none"/>
        </w:rPr>
        <w:tab/>
      </w:r>
      <w:r>
        <w:rPr>
          <w:rFonts w:hint="eastAsia" w:ascii="宋体" w:hAnsi="宋体" w:eastAsia="宋体" w:cs="宋体"/>
          <w:sz w:val="24"/>
          <w:highlight w:val="none"/>
        </w:rPr>
        <w:t xml:space="preserve">                                  单位签章： </w:t>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单位地址：                                      单位地址：</w:t>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开户银行： </w:t>
      </w:r>
      <w:r>
        <w:rPr>
          <w:rFonts w:hint="eastAsia" w:ascii="宋体" w:hAnsi="宋体" w:eastAsia="宋体" w:cs="宋体"/>
          <w:sz w:val="24"/>
          <w:highlight w:val="none"/>
        </w:rPr>
        <w:tab/>
      </w:r>
      <w:r>
        <w:rPr>
          <w:rFonts w:hint="eastAsia" w:ascii="宋体" w:hAnsi="宋体" w:eastAsia="宋体" w:cs="宋体"/>
          <w:sz w:val="24"/>
          <w:highlight w:val="none"/>
        </w:rPr>
        <w:t xml:space="preserve">                                  开户银行：</w:t>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银行帐号：                                      银行帐号：</w:t>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联 系 人：                                      联 系 人：</w:t>
      </w:r>
      <w:r/>
    </w:p>
    <w:p>
      <w:pPr>
        <w:contextualSpacing/>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联系电话：                                      联系电话：</w:t>
      </w:r>
      <w:r/>
    </w:p>
    <w:p>
      <w:pPr>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日期：                                          日期：       </w:t>
      </w:r>
      <w:r/>
    </w:p>
    <w:p>
      <w:pPr>
        <w:rPr>
          <w:rFonts w:hint="eastAsia" w:ascii="宋体" w:hAnsi="宋体" w:eastAsia="宋体" w:cs="宋体"/>
          <w:highlight w:val="none"/>
        </w:rPr>
      </w:pPr>
      <w:r>
        <w:rPr>
          <w:rFonts w:hint="eastAsia" w:ascii="宋体" w:hAnsi="宋体" w:eastAsia="宋体" w:cs="宋体"/>
          <w:highlight w:val="none"/>
        </w:rPr>
      </w:r>
      <w:r/>
    </w:p>
    <w:p>
      <w:pPr>
        <w:pStyle w:val="71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5"/>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保 密 协 议 </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w:t>
      </w:r>
      <w:r>
        <w:rPr>
          <w:rFonts w:hint="eastAsia" w:ascii="宋体" w:hAnsi="宋体" w:eastAsia="宋体" w:cs="宋体"/>
          <w:sz w:val="24"/>
          <w:highlight w:val="none"/>
          <w:u w:val="single"/>
        </w:rPr>
        <w:t xml:space="preserve">徐州市住房公积金管理中心</w:t>
      </w:r>
      <w:r/>
    </w:p>
    <w:p>
      <w:pPr>
        <w:spacing w:line="36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乙方：</w:t>
      </w:r>
      <w:r>
        <w:rPr>
          <w:rFonts w:hint="eastAsia" w:ascii="宋体" w:hAnsi="宋体" w:eastAsia="宋体" w:cs="宋体"/>
          <w:sz w:val="24"/>
          <w:highlight w:val="none"/>
          <w:u w:val="single"/>
        </w:rPr>
        <w:t xml:space="preserve">                        </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鉴于乙方接受甲方委托，将在合同规定的期限内对甲方有关网络应用系统等进行系统检测和服务，而在提供服务过程中，乙方将不可避免地接触到甲方的设备、信息以及保密资料，为落实保密措施，做好保密工作，切实维护国家安全和利益以及甲方部门的利益，双方就有关保密事宜达成如下意见：</w:t>
      </w:r>
      <w:r/>
    </w:p>
    <w:p>
      <w:pPr>
        <w:numPr>
          <w:ilvl w:val="0"/>
          <w:numId w:val="3"/>
        </w:numPr>
        <w:ind w:firstLine="482"/>
        <w:jc w:val="left"/>
        <w:spacing w:line="36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甲方职责</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1、甲方应对乙方以及乙方明确为甲方的技术人员进行保密责任、保密义务提醒教育，并对乙方技术服务人员进行技术服务具体实施进行全程跟踪、监督和管理。</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2、对于乙方提出的与技术服务密切相关且必须提供保密资料等相关事宜进行保密审查认证，并对提供给乙方的相关保密资料提出比较明确的保密要求，做好交接登记工作。</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3、发现乙方在为甲方实施技术服务过程中存在安全隐患和泄密漏洞的，应当及时提出，并督促落实改进措施，确保安全。</w:t>
      </w:r>
      <w:r/>
    </w:p>
    <w:p>
      <w:pPr>
        <w:ind w:firstLine="482"/>
        <w:spacing w:line="3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二、乙方职责</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1.乙方应对甲方提供的信息数据承担保密责任，并承诺保证不会将信息数据对外公开、披露，不会将信息数据泄露给任何第三方，不得以泄露、告知、贩卖、转让等方式直接或者间接用于其他方面。</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应主动采取严格的保密措施对甲方提供的信息与数据进行保护，防止不承担同等保密义务的任何第三者知悉及使用；不得允许（包括并不限于出借、赠与、出租、转让等行为）或协助不承担同等保密义务的任何第三方使用甲方提供的信息数据。</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3.除依职权正常使用外，乙方应严格禁止任何人员未经甲方允许对所提供的信息数据进行任何形式的复制（包括并不限于拷贝、抄录、打印、复印、摄影、摄像、截屏、屏幕录制、阅读录音等）。不得刺探或者以其他不正当手段（包括利用计算机进行检索、浏览、复制等）获取与本职工作或本身业务无关的甲方提供的信息与数据。</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4.乙方如发现信息数据被公开、披露、泄漏或存在安全隐患，无论该信息数据的公开、披露、泄漏和安全隐患是否由乙方造成，均需第一时间告知甲方，并立即采取有效措施阻止信息数据被进一步公开、披露、泄露，消除安全隐患。</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5.乙方人员（包括乙方内部具备编制的正式工作人员，合同制员工、临时雇员、劳务派遣人员等）及该类人员的近亲属违反保密义务的，视为乙方违反保密义务。</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6.乙方收到甲方的书面要求，应立即归还全部保密信息数据，包括记载有全部或者部分该保密信息数据的载体及其任何复印件或摘要。如果该保密信息属于不能归还的形式、或已经复制或转录到其它资料或载体中，应当立即删除并不得保存任何保密资料的复印件。</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7.本协议下乙方保密义务期限：</w:t>
      </w:r>
      <w:r>
        <w:rPr>
          <w:rFonts w:hint="eastAsia" w:ascii="宋体" w:hAnsi="宋体" w:eastAsia="宋体" w:cs="宋体"/>
          <w:sz w:val="24"/>
          <w:highlight w:val="none"/>
          <w:u w:val="single"/>
        </w:rPr>
        <w:t xml:space="preserve">永久</w:t>
      </w:r>
      <w:r>
        <w:rPr>
          <w:rFonts w:hint="eastAsia" w:ascii="宋体" w:hAnsi="宋体" w:eastAsia="宋体" w:cs="宋体"/>
          <w:sz w:val="24"/>
          <w:highlight w:val="none"/>
        </w:rPr>
        <w:t xml:space="preserve">。</w:t>
      </w:r>
      <w:r/>
    </w:p>
    <w:p>
      <w:pPr>
        <w:ind w:firstLine="482"/>
        <w:spacing w:line="3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w:t>
      </w:r>
      <w:r>
        <w:rPr>
          <w:rFonts w:hint="eastAsia" w:ascii="宋体" w:hAnsi="宋体" w:eastAsia="宋体" w:cs="宋体"/>
          <w:b/>
          <w:sz w:val="24"/>
          <w:highlight w:val="none"/>
          <w:shd w:val="clear" w:color="auto" w:fill="ffffff"/>
        </w:rPr>
        <w:t xml:space="preserve">违反保密义务的责任</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因乙方原因导致本协议第一条安全保密范围内的信息数据被公开、披露、泄露的，乙方应承担相应违约责任，并自行承担所有法律责任或后果，包括但不限于：</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1.乙方应采取所有必要措施防止信息数据被进一步公开、披露或泄露。</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2.乙方应对于信息数据被公开、披露、泄露负有直接责任的人员进行处罚，若构成犯罪的，应移送司法机关处理。</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3.乙方应采取有效措施保障甲方免于因信息数据被公开、披露、泄露而承担任何责任或遭受任何损失。</w:t>
      </w:r>
      <w:r/>
    </w:p>
    <w:p>
      <w:pPr>
        <w:ind w:firstLine="482"/>
        <w:spacing w:line="3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四、协议的效力、变更和终止</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1.本协议自双方签订之日起生效。本协议的任何修改必须经过双方的书面同意。经双方协商一致，并签订书面补充协议后，双方可变更本协议内容。</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2.经双方协商一致，并签订书面终止协议后，双方可提前终止本协议。未经协商一致，任一方不得提前解除、终止本协议。</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3.本协议受中华人民共和国法律管辖并按中华人民共和国法律解释，对因本协议下各方的权利和义务而发生的有关任何争议，双方应首先协商解决，如无法通过协商解决，则应在徐州市仲裁委员会解决。</w:t>
      </w:r>
      <w:r/>
    </w:p>
    <w:p>
      <w:pPr>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4.本协议一式贰份，双方各持壹份。</w:t>
      </w:r>
      <w:r/>
    </w:p>
    <w:p>
      <w:pPr>
        <w:spacing w:after="120"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after="120"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                          乙方：</w:t>
      </w:r>
      <w:r/>
    </w:p>
    <w:p>
      <w:pPr>
        <w:spacing w:line="360" w:lineRule="exact"/>
        <w:rPr>
          <w:rFonts w:ascii="仿宋" w:hAnsi="仿宋" w:eastAsia="仿宋" w:cs="宋体"/>
          <w:sz w:val="24"/>
          <w:highlight w:val="none"/>
        </w:rPr>
      </w:pPr>
      <w:r>
        <w:rPr>
          <w:rFonts w:hint="eastAsia" w:ascii="宋体" w:hAnsi="宋体" w:eastAsia="宋体" w:cs="宋体"/>
          <w:sz w:val="24"/>
          <w:highlight w:val="none"/>
        </w:rPr>
        <w:t xml:space="preserve">日期：   年   月   日           日期：   年   月   日</w:t>
      </w:r>
      <w:r/>
    </w:p>
    <w:p>
      <w:pPr>
        <w:keepLines w:val="0"/>
        <w:keepNext w:val="0"/>
        <w:pageBreakBefore w:val="0"/>
        <w:spacing w:line="440" w:lineRule="exact"/>
        <w:widowControl w:val="off"/>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rPr>
          <w:rFonts w:hint="eastAsia" w:ascii="宋体" w:hAnsi="宋体" w:cs="宋体"/>
          <w:b/>
          <w:bCs/>
          <w:sz w:val="30"/>
          <w:szCs w:val="44"/>
        </w:rPr>
      </w:pPr>
      <w:r>
        <w:rPr>
          <w:rFonts w:hint="eastAsia" w:ascii="宋体" w:hAnsi="宋体" w:cs="宋体"/>
          <w:b/>
          <w:bCs/>
          <w:sz w:val="30"/>
          <w:szCs w:val="44"/>
        </w:rPr>
      </w:r>
      <w:r/>
    </w:p>
    <w:p>
      <w:pPr>
        <w:jc w:val="center"/>
        <w:rPr>
          <w:rFonts w:hint="eastAsia" w:ascii="宋体" w:hAnsi="宋体" w:cs="宋体"/>
          <w:b/>
          <w:bCs/>
          <w:sz w:val="30"/>
          <w:szCs w:val="44"/>
          <w:lang w:val="en-US" w:eastAsia="zh-CN"/>
        </w:rPr>
      </w:pPr>
      <w:r>
        <w:rPr>
          <w:rFonts w:hint="eastAsia" w:ascii="宋体" w:hAnsi="宋体" w:cs="宋体"/>
          <w:b/>
          <w:bCs/>
          <w:sz w:val="30"/>
          <w:szCs w:val="44"/>
          <w:lang w:val="en-US" w:eastAsia="zh-CN"/>
        </w:rPr>
        <w:t xml:space="preserve">采购包2拟签订的合同文本</w:t>
      </w:r>
      <w:r>
        <w:rPr>
          <w:rFonts w:hint="eastAsia" w:ascii="宋体" w:hAnsi="宋体" w:cs="宋体"/>
          <w:b/>
          <w:bCs/>
          <w:sz w:val="30"/>
          <w:szCs w:val="44"/>
          <w:lang w:val="en-US" w:eastAsia="zh-CN"/>
        </w:rPr>
        <w:br/>
      </w:r>
      <w:r/>
    </w:p>
    <w:p>
      <w:pPr>
        <w:ind w:firstLine="480"/>
        <w:keepLines w:val="0"/>
        <w:keepNext w:val="0"/>
        <w:pageBreakBefore w:val="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甲方：                       </w:t>
      </w:r>
      <w:r/>
    </w:p>
    <w:p>
      <w:pPr>
        <w:ind w:firstLine="480"/>
        <w:keepLines w:val="0"/>
        <w:keepNext w:val="0"/>
        <w:pageBreakBefore w:val="0"/>
        <w:spacing w:line="3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乙方：</w:t>
      </w:r>
      <w:r/>
    </w:p>
    <w:p>
      <w:pPr>
        <w:ind w:firstLine="480"/>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JSZC-320300-ZJZB-G2025-0157</w:t>
      </w:r>
      <w:r/>
    </w:p>
    <w:p>
      <w:pPr>
        <w:ind w:firstLine="480"/>
        <w:keepLines w:val="0"/>
        <w:keepNext w:val="0"/>
        <w:pageBreakBefore w:val="0"/>
        <w:spacing w:line="360" w:lineRule="exact"/>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2025-2026年度公积金核心机房硬件运维及信息系统软件运行维护</w:t>
      </w:r>
      <w:r/>
    </w:p>
    <w:p>
      <w:pPr>
        <w:ind w:firstLine="480"/>
        <w:keepLines w:val="0"/>
        <w:keepNext w:val="0"/>
        <w:pageBreakBefore w:val="0"/>
        <w:spacing w:line="36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采购包2：2025-2026年度公积金信息系统软件运行维护</w:t>
      </w:r>
      <w:r/>
    </w:p>
    <w:p>
      <w:pPr>
        <w:ind w:firstLine="480"/>
        <w:spacing w:line="360" w:lineRule="exact"/>
        <w:rPr>
          <w:rFonts w:hint="eastAsia" w:ascii="宋体" w:hAnsi="宋体" w:eastAsia="宋体" w:cs="宋体"/>
          <w:sz w:val="24"/>
          <w:lang w:eastAsia="zh-TW"/>
        </w:rPr>
      </w:pPr>
      <w:r>
        <w:rPr>
          <w:rFonts w:hint="eastAsia" w:ascii="宋体" w:hAnsi="宋体" w:eastAsia="宋体" w:cs="宋体"/>
          <w:color w:val="000000" w:themeColor="text1"/>
          <w:sz w:val="24"/>
          <w14:textFill>
            <w14:solidFill>
              <w14:schemeClr w14:val="tx1"/>
            </w14:solidFill>
          </w14:textFill>
        </w:rPr>
        <w:t xml:space="preserve">甲、乙双方根据《中华人民共和国政府采购法》及《中华人民共和国民法典》等相关法律、法规的规定，本着诚信和平等自愿的原则，经双方友好协商</w:t>
      </w:r>
      <w:r>
        <w:rPr>
          <w:rFonts w:hint="eastAsia" w:ascii="宋体" w:hAnsi="宋体" w:eastAsia="宋体" w:cs="宋体"/>
          <w:sz w:val="24"/>
        </w:rPr>
        <w:t xml:space="preserve">，签订以下合同条款，共同遵守。</w:t>
      </w:r>
      <w:r/>
    </w:p>
    <w:p>
      <w:pPr>
        <w:ind w:firstLine="480"/>
        <w:spacing w:line="360" w:lineRule="exact"/>
        <w:rPr>
          <w:rFonts w:hint="eastAsia" w:ascii="宋体" w:hAnsi="宋体" w:eastAsia="宋体" w:cs="宋体"/>
          <w:sz w:val="24"/>
          <w:lang w:eastAsia="zh-TW"/>
        </w:rPr>
      </w:pPr>
      <w:r>
        <w:rPr>
          <w:rFonts w:hint="eastAsia" w:ascii="宋体" w:hAnsi="宋体" w:eastAsia="宋体" w:cs="宋体"/>
          <w:sz w:val="24"/>
          <w:lang w:eastAsia="zh-TW"/>
        </w:rPr>
        <w:t xml:space="preserve">                  </w:t>
      </w:r>
      <w:r/>
    </w:p>
    <w:p>
      <w:pPr>
        <w:pStyle w:val="784"/>
        <w:ind w:left="480" w:firstLine="0"/>
        <w:spacing w:line="360" w:lineRule="exact"/>
        <w:rPr>
          <w:rFonts w:hint="eastAsia" w:ascii="宋体" w:hAnsi="宋体" w:eastAsia="宋体" w:cs="宋体"/>
          <w:sz w:val="24"/>
        </w:rPr>
      </w:pPr>
      <w:r>
        <w:rPr>
          <w:rFonts w:hint="eastAsia" w:ascii="宋体" w:hAnsi="宋体" w:eastAsia="宋体" w:cs="宋体"/>
          <w:sz w:val="24"/>
        </w:rPr>
        <w:t xml:space="preserve">第一条 维护服务内容、服务地点及采购需求</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维护服务内容：综合服务平台托管服务和住房公积金综合信息管理系统（双贯标系统）维护。</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服务地点：甲方工作所在地。</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采购需求：</w:t>
      </w:r>
      <w:r/>
    </w:p>
    <w:p>
      <w:pPr>
        <w:pStyle w:val="784"/>
        <w:ind w:left="480" w:firstLine="0"/>
        <w:spacing w:line="360" w:lineRule="exact"/>
        <w:rPr>
          <w:rFonts w:hint="eastAsia" w:ascii="宋体" w:hAnsi="宋体" w:eastAsia="宋体" w:cs="宋体"/>
          <w:sz w:val="24"/>
        </w:rPr>
      </w:pPr>
      <w:r>
        <w:rPr>
          <w:rFonts w:hint="eastAsia" w:ascii="宋体" w:hAnsi="宋体" w:eastAsia="宋体" w:cs="宋体"/>
          <w:sz w:val="24"/>
        </w:rPr>
      </w:r>
      <w:r/>
    </w:p>
    <w:p>
      <w:pPr>
        <w:pStyle w:val="784"/>
        <w:ind w:left="480" w:firstLine="0"/>
        <w:spacing w:line="360" w:lineRule="exact"/>
        <w:rPr>
          <w:rFonts w:hint="eastAsia" w:ascii="宋体" w:hAnsi="宋体" w:eastAsia="宋体" w:cs="宋体"/>
          <w:sz w:val="24"/>
        </w:rPr>
      </w:pPr>
      <w:r>
        <w:rPr>
          <w:rFonts w:hint="eastAsia" w:ascii="宋体" w:hAnsi="宋体" w:eastAsia="宋体" w:cs="宋体"/>
          <w:sz w:val="24"/>
        </w:rPr>
        <w:t xml:space="preserve">第二条 维保服务期限</w:t>
      </w:r>
      <w:r/>
    </w:p>
    <w:p>
      <w:pPr>
        <w:pStyle w:val="731"/>
        <w:ind w:left="0" w:right="-57" w:firstLine="480"/>
        <w:spacing w:line="360" w:lineRule="exact"/>
        <w:rPr>
          <w:rFonts w:hint="eastAsia" w:ascii="宋体" w:hAnsi="宋体" w:eastAsia="宋体" w:cs="宋体"/>
          <w:sz w:val="24"/>
        </w:rPr>
      </w:pPr>
      <w:r>
        <w:rPr>
          <w:rFonts w:hint="eastAsia" w:ascii="宋体" w:hAnsi="宋体" w:eastAsia="宋体" w:cs="宋体"/>
          <w:sz w:val="24"/>
        </w:rPr>
        <w:t xml:space="preserve">自运维工作开始之日起1年，即</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日至</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731"/>
        <w:ind w:left="0" w:right="-57" w:firstLine="960"/>
        <w:spacing w:line="360" w:lineRule="exact"/>
        <w:rPr>
          <w:rFonts w:hint="eastAsia" w:ascii="宋体" w:hAnsi="宋体" w:eastAsia="宋体" w:cs="宋体"/>
          <w:sz w:val="24"/>
        </w:rPr>
      </w:pPr>
      <w:r>
        <w:rPr>
          <w:rFonts w:hint="eastAsia" w:ascii="宋体" w:hAnsi="宋体" w:eastAsia="宋体" w:cs="宋体"/>
          <w:sz w:val="24"/>
        </w:rPr>
      </w:r>
      <w:r/>
    </w:p>
    <w:p>
      <w:pPr>
        <w:pStyle w:val="784"/>
        <w:ind w:left="480" w:firstLine="0"/>
        <w:spacing w:line="360" w:lineRule="exact"/>
        <w:rPr>
          <w:rFonts w:hint="eastAsia" w:ascii="宋体" w:hAnsi="宋体" w:eastAsia="宋体" w:cs="宋体"/>
          <w:sz w:val="24"/>
        </w:rPr>
      </w:pPr>
      <w:r>
        <w:rPr>
          <w:rFonts w:hint="eastAsia" w:ascii="宋体" w:hAnsi="宋体" w:eastAsia="宋体" w:cs="宋体"/>
          <w:sz w:val="24"/>
        </w:rPr>
        <w:t xml:space="preserve">第三条 价格</w:t>
      </w:r>
      <w:r/>
    </w:p>
    <w:p>
      <w:pPr>
        <w:spacing w:line="360" w:lineRule="exact"/>
        <w:rPr>
          <w:rFonts w:hint="eastAsia" w:ascii="宋体" w:hAnsi="宋体" w:eastAsia="宋体" w:cs="宋体"/>
          <w:sz w:val="24"/>
        </w:rPr>
      </w:pPr>
      <w:r>
        <w:rPr>
          <w:rFonts w:hint="eastAsia" w:ascii="宋体" w:hAnsi="宋体" w:eastAsia="宋体" w:cs="宋体"/>
          <w:sz w:val="24"/>
        </w:rPr>
        <w:t xml:space="preserve">    合同总价为￥</w:t>
      </w:r>
      <w:r>
        <w:rPr>
          <w:rFonts w:hint="eastAsia" w:ascii="宋体" w:hAnsi="宋体" w:eastAsia="宋体" w:cs="宋体"/>
          <w:sz w:val="24"/>
          <w:u w:val="single"/>
        </w:rPr>
        <w:t xml:space="preserve">           </w:t>
      </w:r>
      <w:r>
        <w:rPr>
          <w:rFonts w:hint="eastAsia" w:ascii="宋体" w:hAnsi="宋体" w:eastAsia="宋体" w:cs="宋体"/>
          <w:sz w:val="24"/>
        </w:rPr>
        <w:t xml:space="preserve">大写：人民币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本合同执行期间合同总价款不变，是完成本项目所发生的所有含税费用、支付给相关人员的工资和国家强制缴纳的各种社会保障资金</w:t>
      </w:r>
      <w:r>
        <w:rPr>
          <w:rFonts w:hint="eastAsia" w:ascii="宋体" w:hAnsi="宋体" w:eastAsia="宋体" w:cs="宋体"/>
          <w:sz w:val="24"/>
        </w:rPr>
        <w:t xml:space="preserve">，以及乙方认为履行本项目需要的其他一切费用</w:t>
      </w:r>
      <w:r>
        <w:rPr>
          <w:rFonts w:hint="eastAsia" w:ascii="宋体" w:hAnsi="宋体" w:eastAsia="宋体" w:cs="宋体"/>
          <w:sz w:val="24"/>
          <w:lang w:val="zh-CN"/>
        </w:rPr>
        <w:t xml:space="preserve">。</w:t>
      </w:r>
      <w:r/>
    </w:p>
    <w:p>
      <w:pPr>
        <w:pStyle w:val="731"/>
        <w:spacing w:line="360" w:lineRule="exact"/>
        <w:rPr>
          <w:rFonts w:hint="eastAsia" w:ascii="宋体" w:hAnsi="宋体" w:eastAsia="宋体" w:cs="宋体"/>
        </w:rPr>
      </w:pPr>
      <w:r>
        <w:rPr>
          <w:rFonts w:hint="eastAsia" w:ascii="宋体" w:hAnsi="宋体" w:eastAsia="宋体" w:cs="宋体"/>
        </w:rPr>
      </w:r>
      <w:r/>
    </w:p>
    <w:p>
      <w:pPr>
        <w:ind w:firstLine="540"/>
        <w:spacing w:line="360" w:lineRule="exact"/>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spacing w:line="360" w:lineRule="exact"/>
        <w:widowControl/>
        <w:rPr>
          <w:rFonts w:hint="eastAsia" w:ascii="宋体" w:hAnsi="宋体" w:eastAsia="宋体" w:cs="宋体"/>
          <w:sz w:val="24"/>
        </w:rPr>
      </w:pPr>
      <w:r>
        <w:rPr>
          <w:rFonts w:hint="eastAsia" w:ascii="宋体" w:hAnsi="宋体" w:eastAsia="宋体" w:cs="宋体"/>
          <w:sz w:val="24"/>
        </w:rPr>
        <w:t xml:space="preserve">经双方协商一致，乙方选择以下第种付款方式：</w:t>
      </w:r>
      <w:r/>
    </w:p>
    <w:p>
      <w:pPr>
        <w:ind w:firstLine="480"/>
        <w:spacing w:line="360" w:lineRule="exact"/>
        <w:widowControl/>
        <w:rPr>
          <w:rFonts w:hint="eastAsia" w:ascii="宋体" w:hAnsi="宋体" w:eastAsia="宋体" w:cs="宋体"/>
          <w:sz w:val="24"/>
        </w:rPr>
      </w:pPr>
      <w:r>
        <w:rPr>
          <w:rFonts w:hint="eastAsia" w:ascii="宋体" w:hAnsi="宋体" w:eastAsia="宋体" w:cs="宋体"/>
          <w:sz w:val="24"/>
        </w:rPr>
        <w:t xml:space="preserve">1.付款方式（提交预付款保函的）</w:t>
      </w:r>
      <w:r/>
    </w:p>
    <w:p>
      <w:pPr>
        <w:ind w:firstLine="480"/>
        <w:spacing w:line="360" w:lineRule="exact"/>
        <w:widowControl/>
        <w:rPr>
          <w:rFonts w:hint="eastAsia" w:ascii="宋体" w:hAnsi="宋体" w:eastAsia="宋体" w:cs="宋体"/>
          <w:sz w:val="24"/>
        </w:rPr>
      </w:pPr>
      <w:r>
        <w:rPr>
          <w:rFonts w:hint="eastAsia" w:ascii="宋体" w:hAnsi="宋体" w:eastAsia="宋体" w:cs="宋体"/>
          <w:sz w:val="24"/>
        </w:rPr>
        <w:t xml:space="preserve">合同价款的百分之四十（40%），即</w:t>
      </w:r>
      <w:r>
        <w:rPr>
          <w:rFonts w:hint="eastAsia" w:ascii="宋体" w:hAnsi="宋体" w:eastAsia="宋体" w:cs="宋体"/>
          <w:sz w:val="24"/>
          <w:u w:val="single"/>
        </w:rPr>
        <w:t xml:space="preserve">￥     </w:t>
      </w:r>
      <w:r>
        <w:rPr>
          <w:rFonts w:hint="eastAsia" w:ascii="宋体" w:hAnsi="宋体" w:eastAsia="宋体" w:cs="宋体"/>
          <w:sz w:val="24"/>
        </w:rPr>
        <w:t xml:space="preserve">大写：</w:t>
      </w:r>
      <w:r>
        <w:rPr>
          <w:rFonts w:hint="eastAsia" w:ascii="宋体" w:hAnsi="宋体" w:eastAsia="宋体" w:cs="宋体"/>
          <w:sz w:val="24"/>
          <w:u w:val="single"/>
        </w:rPr>
        <w:t xml:space="preserve">人民币   </w:t>
      </w:r>
      <w:r>
        <w:rPr>
          <w:rFonts w:hint="eastAsia" w:ascii="宋体" w:hAnsi="宋体" w:eastAsia="宋体" w:cs="宋体"/>
          <w:sz w:val="24"/>
        </w:rPr>
        <w:t xml:space="preserve">，在合同签订生效且乙方向甲方出具合同总价的百分之</w:t>
      </w:r>
      <w:r>
        <w:rPr>
          <w:rFonts w:hint="eastAsia" w:ascii="宋体" w:hAnsi="宋体" w:eastAsia="宋体" w:cs="宋体"/>
          <w:sz w:val="24"/>
          <w:u w:val="single"/>
        </w:rPr>
        <w:t xml:space="preserve">四十</w:t>
      </w:r>
      <w:r>
        <w:rPr>
          <w:rFonts w:hint="eastAsia" w:ascii="宋体" w:hAnsi="宋体" w:eastAsia="宋体" w:cs="宋体"/>
          <w:sz w:val="24"/>
        </w:rPr>
        <w:t xml:space="preserve">（</w:t>
      </w:r>
      <w:r>
        <w:rPr>
          <w:rFonts w:hint="eastAsia" w:ascii="宋体" w:hAnsi="宋体" w:eastAsia="宋体" w:cs="宋体"/>
          <w:sz w:val="24"/>
          <w:u w:val="single"/>
        </w:rPr>
        <w:t xml:space="preserve">40</w:t>
      </w:r>
      <w:r>
        <w:rPr>
          <w:rFonts w:hint="eastAsia" w:ascii="宋体" w:hAnsi="宋体" w:eastAsia="宋体" w:cs="宋体"/>
          <w:sz w:val="24"/>
        </w:rPr>
        <w:t xml:space="preserve"> %)的预付款保函，甲方自收到发票（发票金额为合同总价的40%）后10个工作日内，将资金支付到合同约定的乙方账户。</w:t>
      </w:r>
      <w:r/>
    </w:p>
    <w:p>
      <w:pPr>
        <w:ind w:firstLine="480"/>
        <w:spacing w:line="360" w:lineRule="exact"/>
        <w:widowControl/>
        <w:rPr>
          <w:rFonts w:hint="eastAsia" w:ascii="宋体" w:hAnsi="宋体" w:eastAsia="宋体" w:cs="宋体"/>
          <w:sz w:val="24"/>
        </w:rPr>
      </w:pPr>
      <w:r>
        <w:rPr>
          <w:rFonts w:hint="eastAsia" w:ascii="宋体" w:hAnsi="宋体" w:eastAsia="宋体" w:cs="宋体"/>
          <w:sz w:val="24"/>
        </w:rPr>
        <w:t xml:space="preserve">合同价款的百分之六十（60%），即</w:t>
      </w:r>
      <w:r>
        <w:rPr>
          <w:rFonts w:hint="eastAsia" w:ascii="宋体" w:hAnsi="宋体" w:eastAsia="宋体" w:cs="宋体"/>
          <w:sz w:val="24"/>
          <w:u w:val="single"/>
        </w:rPr>
        <w:t xml:space="preserve">￥     </w:t>
      </w:r>
      <w:r>
        <w:rPr>
          <w:rFonts w:hint="eastAsia" w:ascii="宋体" w:hAnsi="宋体" w:eastAsia="宋体" w:cs="宋体"/>
          <w:sz w:val="24"/>
        </w:rPr>
        <w:t xml:space="preserve">大写：</w:t>
      </w:r>
      <w:r>
        <w:rPr>
          <w:rFonts w:hint="eastAsia" w:ascii="宋体" w:hAnsi="宋体" w:eastAsia="宋体" w:cs="宋体"/>
          <w:sz w:val="24"/>
          <w:u w:val="single"/>
        </w:rPr>
        <w:t xml:space="preserve">人民币    </w:t>
      </w:r>
      <w:r>
        <w:rPr>
          <w:rFonts w:hint="eastAsia" w:ascii="宋体" w:hAnsi="宋体" w:eastAsia="宋体" w:cs="宋体"/>
          <w:sz w:val="24"/>
        </w:rPr>
        <w:t xml:space="preserve">，在乙方履行维护服务期限满1年，达到甲方服务要求，并经甲方确认合格后，甲方自收到发票（发票金额为合同总价的60%）后10个工作日内，将资金支付到合同约定的乙方账户。</w:t>
      </w:r>
      <w:r/>
    </w:p>
    <w:p>
      <w:pPr>
        <w:ind w:firstLine="480"/>
        <w:spacing w:line="360" w:lineRule="exact"/>
        <w:widowControl/>
        <w:rPr>
          <w:rFonts w:hint="eastAsia" w:ascii="宋体" w:hAnsi="宋体" w:eastAsia="宋体" w:cs="宋体"/>
          <w:sz w:val="24"/>
        </w:rPr>
      </w:pPr>
      <w:r>
        <w:rPr>
          <w:rFonts w:hint="eastAsia" w:ascii="宋体" w:hAnsi="宋体" w:eastAsia="宋体" w:cs="宋体"/>
          <w:sz w:val="24"/>
        </w:rPr>
        <w:t xml:space="preserve">2.付款方式（不提交预付款保函的）</w:t>
      </w:r>
      <w:r/>
    </w:p>
    <w:p>
      <w:pPr>
        <w:pStyle w:val="741"/>
        <w:rPr>
          <w:rFonts w:hint="eastAsia" w:ascii="宋体" w:hAnsi="宋体" w:eastAsia="宋体" w:cs="宋体"/>
        </w:rPr>
      </w:pPr>
      <w:r>
        <w:rPr>
          <w:rFonts w:hint="eastAsia" w:ascii="宋体" w:hAnsi="宋体" w:eastAsia="宋体" w:cs="宋体"/>
        </w:rPr>
      </w:r>
      <w:r/>
    </w:p>
    <w:p>
      <w:pPr>
        <w:pStyle w:val="752"/>
        <w:ind w:firstLine="0"/>
        <w:spacing w:after="0" w:line="360" w:lineRule="exact"/>
        <w:rPr>
          <w:rFonts w:hint="eastAsia" w:ascii="宋体" w:hAnsi="宋体" w:eastAsia="宋体" w:cs="宋体"/>
          <w:sz w:val="24"/>
        </w:rPr>
      </w:pPr>
      <w:r>
        <w:rPr>
          <w:rFonts w:hint="eastAsia" w:ascii="宋体" w:hAnsi="宋体" w:eastAsia="宋体" w:cs="宋体"/>
          <w:sz w:val="24"/>
        </w:rPr>
        <w:t xml:space="preserve">合同价款的百分之三十（3</w:t>
      </w:r>
      <w:r>
        <w:rPr>
          <w:rFonts w:hint="eastAsia" w:ascii="宋体" w:hAnsi="宋体" w:eastAsia="宋体" w:cs="宋体"/>
          <w:sz w:val="24"/>
          <w:lang w:val="en-US" w:eastAsia="zh-CN"/>
        </w:rPr>
        <w:t xml:space="preserve">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w:t>
      </w:r>
      <w:r>
        <w:rPr>
          <w:rFonts w:hint="eastAsia" w:ascii="宋体" w:hAnsi="宋体" w:eastAsia="宋体" w:cs="宋体"/>
          <w:sz w:val="24"/>
          <w:u w:val="single"/>
        </w:rPr>
        <w:t xml:space="preserve">人民币    </w:t>
      </w:r>
      <w:r>
        <w:rPr>
          <w:rFonts w:hint="eastAsia" w:ascii="宋体" w:hAnsi="宋体" w:eastAsia="宋体" w:cs="宋体"/>
          <w:sz w:val="24"/>
        </w:rPr>
        <w:t xml:space="preserve">，在合同签订生效后，甲方自收到发票（发票金额为合同总价的3</w:t>
      </w:r>
      <w:r>
        <w:rPr>
          <w:rFonts w:hint="eastAsia" w:ascii="宋体" w:hAnsi="宋体" w:eastAsia="宋体" w:cs="宋体"/>
          <w:sz w:val="24"/>
          <w:lang w:val="en-US" w:eastAsia="zh-CN"/>
        </w:rPr>
        <w:t xml:space="preserve">0</w:t>
      </w:r>
      <w:r>
        <w:rPr>
          <w:rFonts w:hint="eastAsia" w:ascii="宋体" w:hAnsi="宋体" w:eastAsia="宋体" w:cs="宋体"/>
          <w:sz w:val="24"/>
        </w:rPr>
        <w:t xml:space="preserve">%）后10个工作日内，将资金支付到合同约定的乙方账户。</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合同价款的百分之</w:t>
      </w:r>
      <w:r>
        <w:rPr>
          <w:rFonts w:hint="eastAsia" w:ascii="宋体" w:hAnsi="宋体" w:eastAsia="宋体" w:cs="宋体"/>
          <w:sz w:val="24"/>
          <w:lang w:eastAsia="zh-CN"/>
        </w:rPr>
        <w:t xml:space="preserve">七十</w:t>
      </w:r>
      <w:r>
        <w:rPr>
          <w:rFonts w:hint="eastAsia" w:ascii="宋体" w:hAnsi="宋体" w:eastAsia="宋体" w:cs="宋体"/>
          <w:sz w:val="24"/>
        </w:rPr>
        <w:t xml:space="preserve">（</w:t>
      </w:r>
      <w:r>
        <w:rPr>
          <w:rFonts w:hint="eastAsia" w:ascii="宋体" w:hAnsi="宋体" w:eastAsia="宋体" w:cs="宋体"/>
          <w:sz w:val="24"/>
          <w:lang w:val="en-US" w:eastAsia="zh-CN"/>
        </w:rPr>
        <w:t xml:space="preserve">70</w:t>
      </w:r>
      <w:r>
        <w:rPr>
          <w:rFonts w:hint="eastAsia" w:ascii="宋体" w:hAnsi="宋体" w:eastAsia="宋体" w:cs="宋体"/>
          <w:sz w:val="24"/>
        </w:rPr>
        <w:t xml:space="preserve">%），即</w:t>
      </w:r>
      <w:r>
        <w:rPr>
          <w:rFonts w:hint="eastAsia" w:ascii="宋体" w:hAnsi="宋体" w:eastAsia="宋体" w:cs="宋体"/>
          <w:sz w:val="24"/>
          <w:u w:val="single"/>
        </w:rPr>
        <w:t xml:space="preserve">￥     </w:t>
      </w:r>
      <w:r>
        <w:rPr>
          <w:rFonts w:hint="eastAsia" w:ascii="宋体" w:hAnsi="宋体" w:eastAsia="宋体" w:cs="宋体"/>
          <w:sz w:val="24"/>
        </w:rPr>
        <w:t xml:space="preserve">大写：</w:t>
      </w:r>
      <w:r>
        <w:rPr>
          <w:rFonts w:hint="eastAsia" w:ascii="宋体" w:hAnsi="宋体" w:eastAsia="宋体" w:cs="宋体"/>
          <w:sz w:val="24"/>
          <w:u w:val="single"/>
        </w:rPr>
        <w:t xml:space="preserve">人民币    </w:t>
      </w:r>
      <w:r>
        <w:rPr>
          <w:rFonts w:hint="eastAsia" w:ascii="宋体" w:hAnsi="宋体" w:eastAsia="宋体" w:cs="宋体"/>
          <w:sz w:val="24"/>
        </w:rPr>
        <w:t xml:space="preserve">，在乙方履行维护服务期限满1年，达到甲方服务要求，并经甲方确认合格后，甲方自收到发票（发票金额为合同总价的</w:t>
      </w:r>
      <w:r>
        <w:rPr>
          <w:rFonts w:hint="eastAsia" w:ascii="宋体" w:hAnsi="宋体" w:eastAsia="宋体" w:cs="宋体"/>
          <w:sz w:val="24"/>
          <w:lang w:val="en-US" w:eastAsia="zh-CN"/>
        </w:rPr>
        <w:t xml:space="preserve">70</w:t>
      </w:r>
      <w:r>
        <w:rPr>
          <w:rFonts w:hint="eastAsia" w:ascii="宋体" w:hAnsi="宋体" w:eastAsia="宋体" w:cs="宋体"/>
          <w:sz w:val="24"/>
        </w:rPr>
        <w:t xml:space="preserve">%）后10个工作日内，将资金支付到合同约定的乙方账户。</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合同约定的乙方账户：</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开户银行：</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银行帐号：</w:t>
      </w:r>
      <w:r/>
    </w:p>
    <w:p>
      <w:pPr>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第五条 维护服务质量要求</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1.详见公积金信息系统软件运行维护服务</w:t>
      </w:r>
      <w:r>
        <w:rPr>
          <w:rFonts w:hint="eastAsia" w:ascii="宋体" w:hAnsi="宋体" w:eastAsia="宋体" w:cs="宋体"/>
          <w:bCs/>
          <w:sz w:val="24"/>
        </w:rPr>
        <w:t xml:space="preserve">方案，具体</w:t>
      </w:r>
      <w:r>
        <w:rPr>
          <w:rFonts w:hint="eastAsia" w:ascii="宋体" w:hAnsi="宋体" w:eastAsia="宋体" w:cs="宋体"/>
          <w:sz w:val="24"/>
        </w:rPr>
        <w:t xml:space="preserve">见合同附件2。</w:t>
      </w:r>
      <w:r/>
    </w:p>
    <w:p>
      <w:pPr>
        <w:pStyle w:val="731"/>
        <w:ind w:left="480" w:right="-57" w:firstLine="0"/>
        <w:jc w:val="left"/>
        <w:spacing w:line="360" w:lineRule="exact"/>
        <w:tabs>
          <w:tab w:val="left" w:pos="8306" w:leader="none"/>
        </w:tabs>
        <w:rPr>
          <w:rFonts w:hint="eastAsia" w:ascii="宋体" w:hAnsi="宋体" w:eastAsia="宋体" w:cs="宋体"/>
          <w:sz w:val="24"/>
        </w:rPr>
      </w:pPr>
      <w:r>
        <w:rPr>
          <w:rFonts w:hint="eastAsia" w:ascii="宋体" w:hAnsi="宋体" w:eastAsia="宋体" w:cs="宋体"/>
          <w:sz w:val="24"/>
        </w:rPr>
      </w:r>
      <w:r/>
    </w:p>
    <w:p>
      <w:pPr>
        <w:pStyle w:val="731"/>
        <w:ind w:left="480" w:right="-57" w:firstLine="0"/>
        <w:jc w:val="left"/>
        <w:spacing w:line="360" w:lineRule="exact"/>
        <w:tabs>
          <w:tab w:val="left" w:pos="8306" w:leader="none"/>
        </w:tabs>
        <w:rPr>
          <w:rFonts w:hint="eastAsia" w:ascii="宋体" w:hAnsi="宋体" w:eastAsia="宋体" w:cs="宋体"/>
          <w:sz w:val="24"/>
        </w:rPr>
      </w:pPr>
      <w:r>
        <w:rPr>
          <w:rFonts w:hint="eastAsia" w:ascii="宋体" w:hAnsi="宋体" w:eastAsia="宋体" w:cs="宋体"/>
          <w:sz w:val="24"/>
        </w:rPr>
        <w:t xml:space="preserve">第六条 技术培训要求</w:t>
      </w:r>
      <w:r/>
    </w:p>
    <w:p>
      <w:pPr>
        <w:pStyle w:val="731"/>
        <w:ind w:left="480" w:right="-57" w:firstLine="0"/>
        <w:jc w:val="left"/>
        <w:spacing w:line="360" w:lineRule="exact"/>
        <w:tabs>
          <w:tab w:val="left" w:pos="8306" w:leader="none"/>
        </w:tabs>
        <w:rPr>
          <w:rFonts w:hint="eastAsia" w:ascii="宋体" w:hAnsi="宋体" w:eastAsia="宋体" w:cs="宋体"/>
        </w:rPr>
      </w:pPr>
      <w:r>
        <w:rPr>
          <w:rFonts w:hint="eastAsia" w:ascii="宋体" w:hAnsi="宋体" w:eastAsia="宋体" w:cs="宋体"/>
          <w:sz w:val="24"/>
        </w:rPr>
        <w:t xml:space="preserve">详见技术培训方案，具体</w:t>
      </w:r>
      <w:r>
        <w:rPr>
          <w:rFonts w:hint="eastAsia" w:ascii="宋体" w:hAnsi="宋体" w:eastAsia="宋体" w:cs="宋体"/>
          <w:bCs/>
          <w:sz w:val="24"/>
        </w:rPr>
        <w:t xml:space="preserve">见</w:t>
      </w:r>
      <w:r>
        <w:rPr>
          <w:rFonts w:hint="eastAsia" w:ascii="宋体" w:hAnsi="宋体" w:eastAsia="宋体" w:cs="宋体"/>
          <w:sz w:val="24"/>
        </w:rPr>
        <w:t xml:space="preserve">合同附件3。</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第七条 甲乙的权利与义务</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rPr>
        <w:t xml:space="preserve">.</w:t>
      </w:r>
      <w:r>
        <w:rPr>
          <w:rFonts w:hint="eastAsia" w:ascii="宋体" w:hAnsi="宋体" w:eastAsia="宋体" w:cs="宋体"/>
          <w:sz w:val="24"/>
          <w:lang w:val="zh-CN"/>
        </w:rPr>
        <w:t xml:space="preserve">甲方的权利</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乙方如有人员调整应经甲方书面同意。涉及项目经理、主管等人员的调整应提前2个月告知甲方。</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w:t>
      </w:r>
      <w:r>
        <w:rPr>
          <w:rFonts w:hint="eastAsia" w:ascii="宋体" w:hAnsi="宋体" w:eastAsia="宋体" w:cs="宋体"/>
          <w:sz w:val="24"/>
          <w:lang w:val="zh-CN"/>
        </w:rPr>
        <w:t xml:space="preserve">甲方有权警告违反本合同规定的乙方人员。按照甲方要求，乙方更换违反本合同规定的人员。</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3</w:t>
      </w:r>
      <w:r>
        <w:rPr>
          <w:rFonts w:hint="eastAsia" w:ascii="宋体" w:hAnsi="宋体" w:eastAsia="宋体" w:cs="宋体"/>
          <w:sz w:val="24"/>
          <w:lang w:val="zh-CN"/>
        </w:rPr>
        <w:t xml:space="preserve">）甲方有与乙方订立补充合同的签订权。</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w:t>
      </w:r>
      <w:r>
        <w:rPr>
          <w:rFonts w:hint="eastAsia" w:ascii="宋体" w:hAnsi="宋体" w:eastAsia="宋体" w:cs="宋体"/>
          <w:sz w:val="24"/>
          <w:lang w:val="zh-CN"/>
        </w:rPr>
        <w:t xml:space="preserve">甲方的义务</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 按合同约定支付维护服务费。</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（2）甲方应当向乙方工作提供良好的外部条件。</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（3）甲方应当向乙方提供相应的资料，便于乙方开展维护服务工作。</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（4）甲方应授权一名熟悉本项目情况、能迅速做出决定的项目代表，负责与乙方联系。更换代表，要提前通知乙方。</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第八条 乙方的权利与义务</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乙方的权利</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（1）有权要求甲方按合同约定支付维护服务费。</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（2）有权要求甲方为工作提供良好的外部条件。</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（3）有权要求甲方提供相应的资料，便于乙方开展维护服务工作。</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（4）有权要求甲方应授权一名熟悉本项目情况、能迅速做出决定的项目代表，负责与乙方联系。更换代表，要提前通知乙方。</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zh-CN"/>
        </w:rPr>
        <w:t xml:space="preserve">乙方的义务</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（1）根据投标文件的承诺向甲方委派项目组人员。</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（2）在履行本合同义务的期间，应运用合理的技能，认真、勤奋的工作。</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（3）在本合同期内或合同终止后，未征得有关方同意，不得泄漏与本项目、本合同有关的技术、资料等，不得以任何形式侵害甲方的知识产权，同时签订保密协议。</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（4）负责处理好与相关项目实施单位的协调工作。</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lang w:val="zh-CN"/>
        </w:rPr>
        <w:t xml:space="preserve">负责保证甲方在使用该服务或其任何一部分时不受第三方提出侵犯其专利权、版权、商标权或其他权利的起诉。一旦出现侵权，乙方应承担全部责任。</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（6）</w:t>
      </w:r>
      <w:r>
        <w:rPr>
          <w:rFonts w:hint="eastAsia" w:ascii="宋体" w:hAnsi="宋体" w:eastAsia="宋体" w:cs="宋体"/>
          <w:sz w:val="24"/>
          <w:lang w:val="zh-CN"/>
        </w:rPr>
        <w:t xml:space="preserve">所提供的服务与招标文件规定的要求相一致；若技术性能无特殊说明，则按国家有关部门最新颁布的标准及规范为准。</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7</w:t>
      </w:r>
      <w:r>
        <w:rPr>
          <w:rFonts w:hint="eastAsia" w:ascii="宋体" w:hAnsi="宋体" w:eastAsia="宋体" w:cs="宋体"/>
          <w:sz w:val="24"/>
          <w:lang w:val="zh-CN"/>
        </w:rPr>
        <w:t xml:space="preserve">）乙方应诚实信用，严格按照招标文件要求和投标承诺履行合同，不向甲方进行商业贿赂或者提供不正当利益。</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r>
      <w:r/>
    </w:p>
    <w:p>
      <w:pPr>
        <w:pStyle w:val="731"/>
        <w:ind w:left="0" w:right="147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第九条 验收标准（验收要求、验收标准和程序）要求</w:t>
      </w:r>
      <w:r/>
    </w:p>
    <w:p>
      <w:pPr>
        <w:pStyle w:val="741"/>
        <w:ind w:firstLine="480"/>
        <w:rPr>
          <w:rFonts w:hint="eastAsia" w:ascii="宋体" w:hAnsi="宋体" w:eastAsia="宋体" w:cs="宋体"/>
          <w:highlight w:val="none"/>
          <w:lang w:val="zh-CN"/>
        </w:rPr>
      </w:pPr>
      <w:r>
        <w:rPr>
          <w:rFonts w:hint="eastAsia" w:ascii="宋体" w:hAnsi="宋体" w:eastAsia="宋体" w:cs="宋体"/>
          <w:sz w:val="24"/>
          <w:highlight w:val="none"/>
          <w:lang w:val="zh-CN"/>
        </w:rPr>
        <w:t xml:space="preserve">乙方履约每满三个月，向甲方提供履约情况的相关资料，甲方对乙方维护服务的履约情况进行确认。服务期满，乙方出具相关验收资料，同时</w:t>
      </w:r>
      <w:r>
        <w:rPr>
          <w:rFonts w:hint="eastAsia" w:ascii="宋体" w:hAnsi="宋体" w:eastAsia="宋体" w:cs="宋体"/>
          <w:sz w:val="24"/>
          <w:highlight w:val="none"/>
          <w:lang w:val="en-US" w:eastAsia="zh-CN"/>
        </w:rPr>
        <w:t xml:space="preserve">由具有资质的第三方检测机构（具有CMA或CNAS)进行检测验收，按照招标文件要求对系统功能，资源等进行检测，检测合格后出具合格检测报告，检测费用由中标方向第三方检测机构支付，采购人不再支付任何费用。</w:t>
      </w:r>
      <w:r>
        <w:rPr>
          <w:rFonts w:hint="eastAsia" w:ascii="宋体" w:hAnsi="宋体" w:eastAsia="宋体" w:cs="宋体"/>
          <w:sz w:val="24"/>
          <w:highlight w:val="none"/>
          <w:lang w:val="zh-CN"/>
        </w:rPr>
        <w:t xml:space="preserve">经甲方组织验收通过后方可支付相应款项。</w:t>
      </w:r>
      <w:r/>
    </w:p>
    <w:p>
      <w:pPr>
        <w:ind w:firstLine="600"/>
        <w:spacing w:line="360" w:lineRule="exact"/>
        <w:tabs>
          <w:tab w:val="left" w:pos="0" w:leader="none"/>
        </w:tabs>
        <w:rPr>
          <w:rFonts w:hint="eastAsia" w:ascii="宋体" w:hAnsi="宋体" w:eastAsia="宋体" w:cs="宋体"/>
          <w:sz w:val="24"/>
          <w:lang w:val="zh-CN"/>
        </w:rPr>
      </w:pPr>
      <w:r>
        <w:rPr>
          <w:rFonts w:hint="eastAsia" w:ascii="宋体" w:hAnsi="宋体" w:eastAsia="宋体" w:cs="宋体"/>
          <w:sz w:val="24"/>
          <w:lang w:val="zh-CN"/>
        </w:rPr>
      </w:r>
      <w:r/>
    </w:p>
    <w:p>
      <w:pPr>
        <w:ind w:firstLine="60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第十条 保密条款</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pStyle w:val="741"/>
        <w:rPr>
          <w:rFonts w:hint="eastAsia" w:ascii="宋体" w:hAnsi="宋体" w:eastAsia="宋体" w:cs="宋体"/>
          <w:sz w:val="24"/>
          <w:szCs w:val="24"/>
          <w:lang w:val="zh-CN"/>
        </w:rPr>
      </w:pPr>
      <w:r>
        <w:rPr>
          <w:rFonts w:hint="eastAsia" w:ascii="宋体" w:hAnsi="宋体" w:eastAsia="宋体" w:cs="宋体"/>
          <w:sz w:val="24"/>
          <w:szCs w:val="24"/>
          <w:lang w:val="zh-CN"/>
        </w:rPr>
        <w:t xml:space="preserve">    其他要求见合同附件4《保密协议》</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600"/>
        <w:spacing w:line="360" w:lineRule="exact"/>
        <w:rPr>
          <w:rFonts w:hint="eastAsia" w:ascii="宋体" w:hAnsi="宋体" w:eastAsia="宋体" w:cs="宋体"/>
          <w:sz w:val="24"/>
        </w:rPr>
      </w:pPr>
      <w:r>
        <w:rPr>
          <w:rFonts w:hint="eastAsia" w:ascii="宋体" w:hAnsi="宋体" w:eastAsia="宋体" w:cs="宋体"/>
          <w:sz w:val="24"/>
        </w:rPr>
        <w:t xml:space="preserve">第十一条 违约责任</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（一）甲方违约责任</w:t>
      </w:r>
      <w:r/>
    </w:p>
    <w:p>
      <w:pPr>
        <w:ind w:firstLine="540"/>
        <w:spacing w:line="360" w:lineRule="exact"/>
        <w:rPr>
          <w:rFonts w:hint="eastAsia" w:ascii="宋体" w:hAnsi="宋体" w:eastAsia="宋体" w:cs="宋体"/>
          <w:sz w:val="24"/>
        </w:rPr>
      </w:pPr>
      <w:r>
        <w:rPr>
          <w:rFonts w:hint="eastAsia" w:ascii="宋体" w:hAnsi="宋体" w:eastAsia="宋体" w:cs="宋体"/>
          <w:sz w:val="24"/>
        </w:rPr>
        <w:t xml:space="preserve">乙方按合同履约，甲方按合同约定支付维护服务费，甲方每逾期10天，甲方向乙方支付应付维护费（0.1）%的违约金，但违约金的总数不超过应付维护费的（1）%。</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（二）乙方违约责任</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乙方逾期交付的，每逾期1天，乙方向甲方偿付合同总额的5‰的滞纳金。如乙方逾期交付达10天，甲方有权解除合同，解除合同的通知自到达乙方时生效。</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w:t>
      </w:r>
      <w:r>
        <w:rPr>
          <w:rFonts w:hint="eastAsia" w:ascii="宋体" w:hAnsi="宋体" w:eastAsia="宋体" w:cs="宋体"/>
          <w:sz w:val="24"/>
          <w:lang w:val="zh-CN"/>
        </w:rPr>
        <w:t xml:space="preserve">乙方所交付的服务不符合合同规定的，甲方有权拒绝验收。甲方拒绝验收的，乙方应向甲方支付合同总款5%的违约金。甲方未拒绝验收的，甲方将向有关部门反映，并责成乙方按照采购结果提供服务。</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在乙方承诺的或国家规定的质量保证期内（取两者中最长的期限），如经乙方两次整改仍不能达到合同约定的质量标准，乙方应退回全部合同价款，同时，乙方还须赔偿甲方因此遭受的损失。</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4.</w:t>
      </w:r>
      <w:r>
        <w:rPr>
          <w:rFonts w:hint="eastAsia" w:ascii="宋体" w:hAnsi="宋体" w:eastAsia="宋体" w:cs="宋体"/>
          <w:sz w:val="24"/>
          <w:lang w:val="zh-CN"/>
        </w:rPr>
        <w:t xml:space="preserve">乙方未按本合同的规定提供服务的，应按合同总价款的5 %向甲方承担违约责任。</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5.</w:t>
      </w:r>
      <w:r>
        <w:rPr>
          <w:rFonts w:hint="eastAsia" w:ascii="宋体" w:hAnsi="宋体" w:eastAsia="宋体" w:cs="宋体"/>
          <w:sz w:val="24"/>
          <w:lang w:val="zh-CN"/>
        </w:rPr>
        <w:t xml:space="preserve">乙方在承担上述</w:t>
      </w:r>
      <w:r>
        <w:rPr>
          <w:rFonts w:hint="eastAsia" w:ascii="宋体" w:hAnsi="宋体" w:eastAsia="宋体" w:cs="宋体"/>
          <w:sz w:val="24"/>
        </w:rPr>
        <w:t xml:space="preserve">2-4</w:t>
      </w:r>
      <w:r>
        <w:rPr>
          <w:rFonts w:hint="eastAsia" w:ascii="宋体" w:hAnsi="宋体" w:eastAsia="宋体" w:cs="宋体"/>
          <w:sz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6.</w:t>
      </w:r>
      <w:r>
        <w:rPr>
          <w:rFonts w:hint="eastAsia" w:ascii="宋体" w:hAnsi="宋体" w:eastAsia="宋体" w:cs="宋体"/>
          <w:sz w:val="24"/>
          <w:lang w:val="zh-CN"/>
        </w:rPr>
        <w:t xml:space="preserve">乙方投标属虚假承诺，或经权威部门监测提供的服务不能满足招标文件要求，或是由于乙方的过错造成合同无法继续履行的，应向甲方另行支付不少于合同总价30%赔偿金。</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（三）其他</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本合同执行期间发生不可抗力事件，致使合同无法履行时，双方均不承担违约责任，并按有关政策法规及时协商处理善后事宜。</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w:t>
      </w:r>
      <w:r>
        <w:rPr>
          <w:rFonts w:hint="eastAsia" w:ascii="宋体" w:hAnsi="宋体" w:eastAsia="宋体" w:cs="宋体"/>
          <w:sz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36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第十二条 本合同在下列条件全部满足后生效，生效日期以下列条件全部满足的最晚日期为准： </w:t>
      </w:r>
      <w:r/>
    </w:p>
    <w:p>
      <w:pPr>
        <w:ind w:left="420"/>
        <w:spacing w:line="360" w:lineRule="exact"/>
        <w:rPr>
          <w:rFonts w:hint="eastAsia" w:ascii="宋体" w:hAnsi="宋体" w:eastAsia="宋体" w:cs="宋体"/>
          <w:sz w:val="24"/>
        </w:rPr>
      </w:pPr>
      <w:r>
        <w:rPr>
          <w:rFonts w:hint="eastAsia" w:ascii="宋体" w:hAnsi="宋体" w:eastAsia="宋体" w:cs="宋体"/>
          <w:sz w:val="24"/>
        </w:rPr>
        <w:t xml:space="preserve">(1) 双方加盖公章或合同专用章； </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第十三条 合同的双方当事人不得擅自变更、中止或者终止合同。 </w:t>
      </w:r>
      <w:r/>
    </w:p>
    <w:p>
      <w:pPr>
        <w:ind w:firstLine="480"/>
        <w:jc w:val="left"/>
        <w:spacing w:line="360" w:lineRule="exact"/>
        <w:widowControl/>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第十四条 因履行本合同引起的或与本合同有关的争议，甲、乙双方应首先通过友好协商解决，如果协商不能解决争议，则采取以下第（ ）种方式解决争议：</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向甲方所在地有管辖权的人民法院提起诉讼；</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rPr>
        <w:t xml:space="preserve">2.</w:t>
      </w:r>
      <w:r>
        <w:rPr>
          <w:rFonts w:hint="eastAsia" w:ascii="宋体" w:hAnsi="宋体" w:eastAsia="宋体" w:cs="宋体"/>
          <w:sz w:val="24"/>
          <w:lang w:val="zh-CN"/>
        </w:rPr>
        <w:t xml:space="preserve">向徐州仲裁委员会按其仲裁规则申请仲裁。</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如没有约定，默认采取第2种方式解决争议。</w:t>
      </w:r>
      <w:r/>
    </w:p>
    <w:p>
      <w:pPr>
        <w:ind w:firstLine="480"/>
        <w:spacing w:line="360" w:lineRule="exact"/>
        <w:rPr>
          <w:rFonts w:hint="eastAsia" w:ascii="宋体" w:hAnsi="宋体" w:eastAsia="宋体" w:cs="宋体"/>
          <w:sz w:val="24"/>
          <w:lang w:val="zh-CN"/>
        </w:rPr>
      </w:pPr>
      <w:r>
        <w:rPr>
          <w:rFonts w:hint="eastAsia" w:ascii="宋体" w:hAnsi="宋体" w:eastAsia="宋体" w:cs="宋体"/>
          <w:sz w:val="24"/>
          <w:lang w:val="zh-CN"/>
        </w:rPr>
        <w:t xml:space="preserve">3</w:t>
      </w:r>
      <w:r>
        <w:rPr>
          <w:rFonts w:hint="eastAsia" w:ascii="宋体" w:hAnsi="宋体" w:eastAsia="宋体" w:cs="宋体"/>
          <w:sz w:val="24"/>
        </w:rPr>
        <w:t xml:space="preserve">.</w:t>
      </w:r>
      <w:r>
        <w:rPr>
          <w:rFonts w:hint="eastAsia" w:ascii="宋体" w:hAnsi="宋体" w:eastAsia="宋体" w:cs="宋体"/>
          <w:sz w:val="24"/>
          <w:lang w:val="zh-CN"/>
        </w:rPr>
        <w:t xml:space="preserve">在仲裁期间，本合同应继续履行。</w:t>
      </w:r>
      <w:r/>
    </w:p>
    <w:p>
      <w:pPr>
        <w:ind w:firstLine="480"/>
        <w:jc w:val="left"/>
        <w:spacing w:line="360" w:lineRule="exact"/>
        <w:widowControl/>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第十五条 合同其他未尽事宜及与招标文件有矛盾之处，以招标文件[项目编号：]为准。</w:t>
      </w:r>
      <w:r/>
    </w:p>
    <w:p>
      <w:pPr>
        <w:ind w:firstLine="480"/>
        <w:spacing w:line="360" w:lineRule="exact"/>
        <w:rPr>
          <w:rFonts w:hint="eastAsia" w:ascii="宋体" w:hAnsi="宋体" w:eastAsia="宋体" w:cs="宋体"/>
          <w:sz w:val="24"/>
        </w:rPr>
      </w:pPr>
      <w:r>
        <w:rPr>
          <w:rFonts w:hint="eastAsia" w:ascii="宋体" w:hAnsi="宋体" w:eastAsia="宋体" w:cs="宋体"/>
          <w:sz w:val="24"/>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第十六条 合同一式</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份，具有同等法律效力，甲方</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份，乙方</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w:t>
      </w:r>
      <w:r/>
    </w:p>
    <w:p>
      <w:pPr>
        <w:contextualSpacing/>
        <w:ind w:firstLine="480"/>
        <w:spacing w:line="360" w:lineRule="exact"/>
        <w:rPr>
          <w:rFonts w:hint="eastAsia" w:ascii="宋体" w:hAnsi="宋体" w:eastAsia="宋体" w:cs="宋体"/>
          <w:sz w:val="24"/>
        </w:rPr>
      </w:pPr>
      <w:r>
        <w:rPr>
          <w:rFonts w:hint="eastAsia" w:ascii="宋体" w:hAnsi="宋体" w:eastAsia="宋体" w:cs="宋体"/>
          <w:sz w:val="24"/>
        </w:rPr>
      </w:r>
      <w:r/>
    </w:p>
    <w:p>
      <w:pPr>
        <w:contextualSpacing/>
        <w:ind w:firstLine="480"/>
        <w:spacing w:line="360" w:lineRule="exact"/>
        <w:rPr>
          <w:rFonts w:hint="eastAsia" w:ascii="宋体" w:hAnsi="宋体" w:eastAsia="宋体" w:cs="宋体"/>
          <w:sz w:val="24"/>
        </w:rPr>
      </w:pPr>
      <w:r>
        <w:rPr>
          <w:rFonts w:hint="eastAsia" w:ascii="宋体" w:hAnsi="宋体" w:eastAsia="宋体" w:cs="宋体"/>
          <w:sz w:val="24"/>
        </w:rPr>
        <w:t xml:space="preserve">第十七条 按照《财政部关于做好政府采购信息公开工作的通知》（财库〔2015〕135号），甲方依据《保守国家秘密法》等法律制度规定确定本合同</w:t>
      </w:r>
      <w:r>
        <w:rPr>
          <w:rFonts w:hint="eastAsia" w:ascii="宋体" w:hAnsi="宋体" w:eastAsia="宋体" w:cs="宋体"/>
          <w:sz w:val="24"/>
          <w:u w:val="single"/>
        </w:rPr>
        <w:t xml:space="preserve">          （    ）</w:t>
      </w:r>
      <w:r>
        <w:rPr>
          <w:rFonts w:hint="eastAsia" w:ascii="宋体" w:hAnsi="宋体" w:eastAsia="宋体" w:cs="宋体"/>
          <w:sz w:val="24"/>
        </w:rPr>
        <w:t xml:space="preserve">部分涉及国家秘密，该涉及国家秘密部分不公告；甲方依据《反不正当竞争法》等法律制度的规定与乙方约定本合同</w:t>
      </w:r>
      <w:r>
        <w:rPr>
          <w:rFonts w:hint="eastAsia" w:ascii="宋体" w:hAnsi="宋体" w:eastAsia="宋体" w:cs="宋体"/>
          <w:sz w:val="24"/>
          <w:u w:val="single"/>
        </w:rPr>
        <w:t xml:space="preserve">（          ）</w:t>
      </w:r>
      <w:r>
        <w:rPr>
          <w:rFonts w:hint="eastAsia" w:ascii="宋体" w:hAnsi="宋体" w:eastAsia="宋体" w:cs="宋体"/>
          <w:sz w:val="24"/>
        </w:rPr>
        <w:t xml:space="preserve">部分涉及商业秘密，该涉及商业秘密部分不公告。</w:t>
      </w:r>
      <w:r/>
    </w:p>
    <w:p>
      <w:pPr>
        <w:ind w:firstLine="480"/>
        <w:jc w:val="left"/>
        <w:spacing w:line="360" w:lineRule="exact"/>
        <w:widowControl/>
        <w:rPr>
          <w:rFonts w:hint="eastAsia" w:ascii="宋体" w:hAnsi="宋体" w:eastAsia="宋体" w:cs="宋体"/>
          <w:sz w:val="24"/>
        </w:rPr>
      </w:pPr>
      <w:r>
        <w:rPr>
          <w:rFonts w:hint="eastAsia" w:ascii="宋体" w:hAnsi="宋体" w:eastAsia="宋体" w:cs="宋体"/>
          <w:sz w:val="24"/>
        </w:rPr>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 甲  方                                       </w:t>
      </w:r>
      <w:r>
        <w:rPr>
          <w:rFonts w:hint="eastAsia" w:ascii="宋体" w:hAnsi="宋体" w:eastAsia="宋体" w:cs="宋体"/>
          <w:sz w:val="24"/>
          <w:lang w:val="en-US" w:eastAsia="zh-CN"/>
        </w:rPr>
        <w:t xml:space="preserve">           </w:t>
      </w:r>
      <w:r>
        <w:rPr>
          <w:rFonts w:hint="eastAsia" w:ascii="宋体" w:hAnsi="宋体" w:eastAsia="宋体" w:cs="宋体"/>
          <w:sz w:val="24"/>
        </w:rPr>
        <w:t xml:space="preserve">乙</w:t>
      </w:r>
      <w:r>
        <w:rPr>
          <w:rFonts w:hint="eastAsia" w:ascii="宋体" w:hAnsi="宋体" w:eastAsia="宋体" w:cs="宋体"/>
          <w:sz w:val="24"/>
          <w:lang w:val="en-US" w:eastAsia="zh-CN"/>
        </w:rPr>
        <w:t xml:space="preserve">  </w:t>
      </w:r>
      <w:r>
        <w:rPr>
          <w:rFonts w:hint="eastAsia" w:ascii="宋体" w:hAnsi="宋体" w:eastAsia="宋体" w:cs="宋体"/>
          <w:sz w:val="24"/>
        </w:rPr>
        <w:t xml:space="preserve">方 </w:t>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单位签章： </w:t>
      </w:r>
      <w:r>
        <w:rPr>
          <w:rFonts w:hint="eastAsia" w:ascii="宋体" w:hAnsi="宋体" w:eastAsia="宋体" w:cs="宋体"/>
          <w:sz w:val="24"/>
        </w:rPr>
        <w:tab/>
      </w:r>
      <w:r>
        <w:rPr>
          <w:rFonts w:hint="eastAsia" w:ascii="宋体" w:hAnsi="宋体" w:eastAsia="宋体" w:cs="宋体"/>
          <w:sz w:val="24"/>
        </w:rPr>
        <w:t xml:space="preserve">                                  单位签章： </w:t>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单位地址：                                      单位地址：</w:t>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开户银行： </w:t>
      </w:r>
      <w:r>
        <w:rPr>
          <w:rFonts w:hint="eastAsia" w:ascii="宋体" w:hAnsi="宋体" w:eastAsia="宋体" w:cs="宋体"/>
          <w:sz w:val="24"/>
        </w:rPr>
        <w:tab/>
      </w:r>
      <w:r>
        <w:rPr>
          <w:rFonts w:hint="eastAsia" w:ascii="宋体" w:hAnsi="宋体" w:eastAsia="宋体" w:cs="宋体"/>
          <w:sz w:val="24"/>
        </w:rPr>
        <w:t xml:space="preserve">                                  开户银行：</w:t>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银行帐号：                                      银行帐号：</w:t>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联 系 人：                                      联 系 人：</w:t>
      </w:r>
      <w:r/>
    </w:p>
    <w:p>
      <w:pPr>
        <w:contextualSpacing/>
        <w:spacing w:line="360" w:lineRule="exact"/>
        <w:rPr>
          <w:rFonts w:hint="eastAsia" w:ascii="宋体" w:hAnsi="宋体" w:eastAsia="宋体" w:cs="宋体"/>
          <w:sz w:val="24"/>
        </w:rPr>
      </w:pPr>
      <w:r>
        <w:rPr>
          <w:rFonts w:hint="eastAsia" w:ascii="宋体" w:hAnsi="宋体" w:eastAsia="宋体" w:cs="宋体"/>
          <w:sz w:val="24"/>
        </w:rPr>
        <w:t xml:space="preserve">联系电话：                                      联系电话：</w:t>
      </w:r>
      <w:r/>
    </w:p>
    <w:p>
      <w:pPr>
        <w:spacing w:line="360" w:lineRule="exact"/>
        <w:widowControl/>
        <w:rPr>
          <w:rFonts w:hint="eastAsia" w:ascii="宋体" w:hAnsi="宋体" w:eastAsia="宋体" w:cs="宋体"/>
          <w:sz w:val="24"/>
        </w:rPr>
      </w:pPr>
      <w:r>
        <w:rPr>
          <w:rFonts w:hint="eastAsia" w:ascii="宋体" w:hAnsi="宋体" w:eastAsia="宋体" w:cs="宋体"/>
          <w:sz w:val="24"/>
        </w:rPr>
        <w:t xml:space="preserve">日期：                                          日期：              </w:t>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r>
      <w:r/>
    </w:p>
    <w:p>
      <w:pPr>
        <w:pStyle w:val="731"/>
        <w:spacing w:line="360" w:lineRule="exact"/>
        <w:rPr>
          <w:rFonts w:hint="eastAsia" w:ascii="宋体" w:hAnsi="宋体" w:eastAsia="宋体" w:cs="宋体"/>
          <w:sz w:val="24"/>
        </w:rPr>
      </w:pPr>
      <w:r>
        <w:rPr>
          <w:rFonts w:hint="eastAsia" w:ascii="宋体" w:hAnsi="宋体" w:eastAsia="宋体" w:cs="宋体"/>
          <w:sz w:val="24"/>
        </w:rPr>
      </w:r>
      <w:r/>
    </w:p>
    <w:p>
      <w:pPr>
        <w:pStyle w:val="731"/>
        <w:spacing w:line="360" w:lineRule="exact"/>
        <w:rPr>
          <w:rFonts w:hint="eastAsia" w:ascii="宋体" w:hAnsi="宋体" w:eastAsia="宋体" w:cs="宋体"/>
          <w:sz w:val="24"/>
        </w:rPr>
      </w:pPr>
      <w:r>
        <w:rPr>
          <w:rFonts w:hint="eastAsia" w:ascii="宋体" w:hAnsi="宋体" w:eastAsia="宋体" w:cs="宋体"/>
          <w:sz w:val="24"/>
        </w:rPr>
      </w:r>
      <w:r/>
    </w:p>
    <w:p>
      <w:pPr>
        <w:jc w:val="center"/>
        <w:spacing w:line="360" w:lineRule="exact"/>
        <w:widowControl/>
        <w:rPr>
          <w:rFonts w:hint="eastAsia" w:ascii="宋体" w:hAnsi="宋体" w:eastAsia="宋体" w:cs="宋体"/>
          <w:sz w:val="24"/>
        </w:rPr>
      </w:pPr>
      <w:r>
        <w:rPr>
          <w:rFonts w:hint="eastAsia" w:ascii="宋体" w:hAnsi="宋体" w:eastAsia="宋体" w:cs="宋体"/>
          <w:sz w:val="24"/>
        </w:rPr>
        <w:t xml:space="preserve">合同附件</w:t>
      </w:r>
      <w:r/>
    </w:p>
    <w:p>
      <w:pPr>
        <w:jc w:val="center"/>
        <w:spacing w:line="360" w:lineRule="exact"/>
        <w:widowControl/>
        <w:rPr>
          <w:rFonts w:hint="eastAsia" w:ascii="宋体" w:hAnsi="宋体" w:eastAsia="宋体" w:cs="宋体"/>
          <w:sz w:val="30"/>
          <w:szCs w:val="30"/>
        </w:rPr>
      </w:pPr>
      <w:r>
        <w:rPr>
          <w:rFonts w:hint="eastAsia" w:ascii="宋体" w:hAnsi="宋体" w:eastAsia="宋体" w:cs="宋体"/>
          <w:sz w:val="30"/>
          <w:szCs w:val="30"/>
        </w:rPr>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合同附件1：采购需求(见招标文件第六章《采购需求》。)</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合同附件2：公积金信息系统软件运行维护服务</w:t>
      </w:r>
      <w:r>
        <w:rPr>
          <w:rFonts w:hint="eastAsia" w:ascii="宋体" w:hAnsi="宋体" w:eastAsia="宋体" w:cs="宋体"/>
          <w:bCs/>
          <w:sz w:val="24"/>
        </w:rPr>
        <w:t xml:space="preserve">方案</w:t>
      </w:r>
      <w:r>
        <w:rPr>
          <w:rFonts w:hint="eastAsia" w:ascii="宋体" w:hAnsi="宋体" w:eastAsia="宋体" w:cs="宋体"/>
          <w:sz w:val="24"/>
        </w:rPr>
        <w:t xml:space="preserve">[要求见招标文件第六章《采购需求》；合同见乙方投标文件(项目编号：]</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合同附件3: 技术培训方案[要求见招标文件第六章《采购需求》；合同见乙方投标文件(项目编号：]</w:t>
      </w:r>
      <w:r/>
    </w:p>
    <w:p>
      <w:pPr>
        <w:ind w:firstLine="480"/>
        <w:spacing w:line="360" w:lineRule="exact"/>
        <w:rPr>
          <w:rFonts w:ascii="仿宋" w:hAnsi="仿宋" w:eastAsia="仿宋"/>
          <w:sz w:val="24"/>
        </w:rPr>
      </w:pPr>
      <w:r>
        <w:rPr>
          <w:rFonts w:hint="eastAsia" w:ascii="宋体" w:hAnsi="宋体" w:eastAsia="宋体" w:cs="宋体"/>
          <w:sz w:val="24"/>
        </w:rPr>
        <w:t xml:space="preserve">合同附件4：保密协议</w:t>
      </w:r>
      <w:r/>
    </w:p>
    <w:p>
      <w:pPr>
        <w:pStyle w:val="731"/>
        <w:spacing w:line="360" w:lineRule="exact"/>
        <w:rPr>
          <w:rFonts w:ascii="仿宋" w:hAnsi="仿宋"/>
          <w:sz w:val="24"/>
        </w:rPr>
      </w:pPr>
      <w:r>
        <w:rPr>
          <w:rFonts w:ascii="仿宋" w:hAnsi="仿宋"/>
          <w:sz w:val="24"/>
        </w:rPr>
      </w:r>
      <w:r/>
    </w:p>
    <w:p>
      <w:pPr>
        <w:pStyle w:val="741"/>
        <w:spacing w:line="360" w:lineRule="exact"/>
        <w:rPr>
          <w:rFonts w:hint="eastAsia" w:ascii="宋体" w:hAnsi="宋体" w:eastAsia="宋体" w:cs="宋体"/>
          <w:sz w:val="24"/>
          <w:szCs w:val="24"/>
        </w:rPr>
      </w:pPr>
      <w:r>
        <w:rPr>
          <w:rFonts w:ascii="仿宋" w:hAnsi="仿宋"/>
          <w:sz w:val="30"/>
          <w:szCs w:val="30"/>
        </w:rPr>
        <w:br w:type="page" w:clear="all"/>
      </w:r>
      <w:r>
        <w:rPr>
          <w:rFonts w:hint="eastAsia" w:ascii="宋体" w:hAnsi="宋体" w:eastAsia="宋体" w:cs="宋体"/>
          <w:sz w:val="24"/>
          <w:szCs w:val="24"/>
        </w:rPr>
        <w:t xml:space="preserve">合同附件4：保密协议</w:t>
      </w:r>
      <w:r/>
    </w:p>
    <w:p>
      <w:pPr>
        <w:pStyle w:val="731"/>
        <w:ind w:left="0" w:firstLine="0"/>
        <w:spacing w:line="36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exact"/>
        <w:rPr>
          <w:rFonts w:hint="eastAsia" w:ascii="宋体" w:hAnsi="宋体" w:eastAsia="宋体" w:cs="宋体"/>
          <w:b/>
          <w:bCs/>
          <w:sz w:val="24"/>
        </w:rPr>
      </w:pPr>
      <w:r>
        <w:rPr>
          <w:rFonts w:hint="eastAsia" w:ascii="宋体" w:hAnsi="宋体" w:eastAsia="宋体" w:cs="宋体"/>
          <w:b/>
          <w:bCs/>
          <w:sz w:val="24"/>
        </w:rPr>
        <w:t xml:space="preserve">保 密 协 议 </w:t>
      </w:r>
      <w:r/>
    </w:p>
    <w:p>
      <w:pPr>
        <w:spacing w:line="360" w:lineRule="exact"/>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徐州市住房公积金管理中心</w:t>
      </w:r>
      <w:r/>
    </w:p>
    <w:p>
      <w:pPr>
        <w:spacing w:line="360" w:lineRule="exact"/>
        <w:rPr>
          <w:rFonts w:hint="eastAsia"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鉴于乙方接受甲方委托，将在合同规定的期限内对甲方有关网络应用系统等进行系统检测和服务，而在提供服务过程中，乙方将不可避免地接触到甲方的设备、信息以及保密资料，为落实保密措施，做好保密工作，切实维护国家安全和利益以及甲方部门的利益，双方就有关保密事宜达成如下意见：</w:t>
      </w:r>
      <w:r/>
    </w:p>
    <w:p>
      <w:pPr>
        <w:numPr>
          <w:ilvl w:val="0"/>
          <w:numId w:val="4"/>
        </w:numPr>
        <w:ind w:left="432" w:hanging="432"/>
        <w:jc w:val="left"/>
        <w:spacing w:line="360" w:lineRule="exact"/>
        <w:rPr>
          <w:rFonts w:hint="eastAsia" w:ascii="宋体" w:hAnsi="宋体" w:eastAsia="宋体" w:cs="宋体"/>
          <w:sz w:val="24"/>
        </w:rPr>
      </w:pPr>
      <w:r>
        <w:rPr>
          <w:rFonts w:hint="eastAsia" w:ascii="宋体" w:hAnsi="宋体" w:eastAsia="宋体" w:cs="宋体"/>
          <w:b/>
          <w:bCs/>
          <w:sz w:val="24"/>
        </w:rPr>
        <w:t xml:space="preserve">甲方职责</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1、甲方应对乙方以及乙方明确为甲方的技术人员进行保密责任、保密义务提醒教育，并对乙方技术服务人员进行技术服务具体实施进行全程跟踪、监督和管理。</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2、对于乙方提出的与技术服务密切相关且必须提供保密资料等相关事宜进行保密审查认证，并对提供给乙方的相关保密资料提出比较明确的保密要求，做好交接登记工作。</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3、发现乙方在为甲方实施技术服务过程中存在安全隐患和泄密漏洞的，应当及时提出，并督促落实改进措施，确保安全。</w:t>
      </w:r>
      <w:r/>
    </w:p>
    <w:p>
      <w:pPr>
        <w:ind w:firstLine="482"/>
        <w:spacing w:line="360" w:lineRule="exact"/>
        <w:rPr>
          <w:rFonts w:hint="eastAsia" w:ascii="宋体" w:hAnsi="宋体" w:eastAsia="宋体" w:cs="宋体"/>
          <w:b/>
          <w:bCs/>
          <w:sz w:val="24"/>
        </w:rPr>
      </w:pPr>
      <w:r>
        <w:rPr>
          <w:rFonts w:hint="eastAsia" w:ascii="宋体" w:hAnsi="宋体" w:eastAsia="宋体" w:cs="宋体"/>
          <w:b/>
          <w:bCs/>
          <w:sz w:val="24"/>
        </w:rPr>
        <w:t xml:space="preserve">二、乙方职责</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1.乙方应对甲方提供的信息数据承担保密责任，并承诺保证不会将信息数据对外公开、披露，不会将信息数据泄露给任何第三方，不得以泄露、告知、贩卖、转让等方式直接或者间接用于其他方面。</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乙方应主动采取严格的保密措施对甲方提供的信息与数据进行保护，防止不承担同等保密义务的任何第三者知悉及使用；不得允许（包括并不限于出借、赠与、出租、转让等行为）或协助不承担同等保密义务的任何第三方使用甲方提供的信息数据。</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除依职权正常使用外，乙方应严格禁止任何人员未经甲方允许对所提供的信息数据进行任何形式的复制（包括并不限于拷贝、抄录、打印、复印、摄影、摄像、截屏、屏幕录制、阅读录音等）。不得刺探或者以其他不正当手段（包括利用计算机进行检索、浏览、复制等）获取与本职工作或本身业务无关的甲方提供的信息与数据。</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4.乙方如发现信息数据被公开、披露、泄漏或存在安全隐患，无论该信息数据的公开、披露、泄漏和安全隐患是否由乙方造成，均需第一时间告知甲方，并立即采取有效措施阻止信息数据被进一步公开、披露、泄露，消除安全隐患。</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5.乙方人员（包括乙方内部具备编制的正式工作人员，合同制员工、临时雇员、劳务派遣人员等）及该类人员的近亲属违反保密义务的，视为乙方违反保密义务。</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6.乙方收到甲方的书面要求，应立即归还全部保密信息数据，包括记载有全部或者部分该保密信息数据的载体及其任何复印件或摘要。如果该保密信息属于不能归还的形式、或已经复制或转录到其它资料或载体中，应当立即删除并不得保存任何保密资料的复印件。</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7.本协议下乙方保密义务期限：</w:t>
      </w:r>
      <w:r>
        <w:rPr>
          <w:rFonts w:hint="eastAsia" w:ascii="宋体" w:hAnsi="宋体" w:eastAsia="宋体" w:cs="宋体"/>
          <w:sz w:val="24"/>
          <w:u w:val="single"/>
        </w:rPr>
        <w:t xml:space="preserve">永久</w:t>
      </w:r>
      <w:r>
        <w:rPr>
          <w:rFonts w:hint="eastAsia" w:ascii="宋体" w:hAnsi="宋体" w:eastAsia="宋体" w:cs="宋体"/>
          <w:sz w:val="24"/>
        </w:rPr>
        <w:t xml:space="preserve">。</w:t>
      </w:r>
      <w:r/>
    </w:p>
    <w:p>
      <w:pPr>
        <w:ind w:firstLine="482"/>
        <w:spacing w:line="360" w:lineRule="exact"/>
        <w:rPr>
          <w:rFonts w:hint="eastAsia" w:ascii="宋体" w:hAnsi="宋体" w:eastAsia="宋体" w:cs="宋体"/>
          <w:b/>
          <w:bCs/>
          <w:sz w:val="24"/>
        </w:rPr>
      </w:pPr>
      <w:r>
        <w:rPr>
          <w:rFonts w:hint="eastAsia" w:ascii="宋体" w:hAnsi="宋体" w:eastAsia="宋体" w:cs="宋体"/>
          <w:b/>
          <w:bCs/>
          <w:sz w:val="24"/>
        </w:rPr>
        <w:t xml:space="preserve">三、</w:t>
      </w:r>
      <w:r>
        <w:rPr>
          <w:rFonts w:hint="eastAsia" w:ascii="宋体" w:hAnsi="宋体" w:eastAsia="宋体" w:cs="宋体"/>
          <w:b/>
          <w:sz w:val="24"/>
          <w:shd w:val="clear" w:color="auto" w:fill="ffffff"/>
        </w:rPr>
        <w:t xml:space="preserve">违反保密义务的责任</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因乙方原因导致本协议第一条安全保密范围内的信息数据被公开、披露、泄露的，乙方应承担相应违约责任，并自行承担所有法律责任或后果，包括但不限于：</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1.乙方应采取所有必要措施防止信息数据被进一步公开、披露或泄露。</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2.乙方应对于信息数据被公开、披露、泄露负有直接责任的人员进行处罚，若构成犯罪的，应移送司法机关处理。</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3.乙方应采取有效措施保障甲方免于因信息数据被公开、披露、泄露而承担任何责任或遭受任何损失。</w:t>
      </w:r>
      <w:r/>
    </w:p>
    <w:p>
      <w:pPr>
        <w:pStyle w:val="1004"/>
        <w:ind w:firstLine="422"/>
        <w:spacing w:line="360" w:lineRule="exact"/>
        <w:rPr>
          <w:rFonts w:hint="eastAsia" w:ascii="宋体" w:hAnsi="宋体" w:eastAsia="宋体" w:cs="宋体"/>
          <w:b/>
          <w:sz w:val="24"/>
          <w:szCs w:val="24"/>
          <w:shd w:val="clear" w:color="auto" w:fill="ffffff"/>
        </w:rPr>
        <w:outlineLvl w:val="0"/>
      </w:pPr>
      <w:r>
        <w:rPr>
          <w:rFonts w:hint="eastAsia" w:ascii="宋体" w:hAnsi="宋体" w:eastAsia="宋体" w:cs="宋体"/>
          <w:b/>
          <w:sz w:val="24"/>
          <w:szCs w:val="24"/>
          <w:shd w:val="clear" w:color="auto" w:fill="ffffff"/>
        </w:rPr>
        <w:t xml:space="preserve">四、协议的效力、变更和终止</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1.本协议自双方签订之日起生效。本协议的任何修改必须经过双方的书面同意。经双方协商一致，并签订书面补充协议后，双方可变更本协议内容。</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2.经双方协商一致，并签订书面终止协议后，双方可提前终止本协议。未经协商一致，任一方不得提前解除、终止本协议。</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3.本协议受中华人民共和国法律管辖并按中华人民共和国法律解释，对因本协议下各方的权利和义务而发生的有关任何争议，双方应首先协商解决，如无法通过协商解决，则应在徐州市仲裁委员会解决。</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4.本协议一式贰份，双方各持壹份。</w:t>
      </w:r>
      <w:r/>
    </w:p>
    <w:p>
      <w:pPr>
        <w:spacing w:after="120" w:line="360" w:lineRule="exact"/>
        <w:rPr>
          <w:rFonts w:hint="eastAsia" w:ascii="宋体" w:hAnsi="宋体" w:eastAsia="宋体" w:cs="宋体"/>
          <w:sz w:val="24"/>
        </w:rPr>
      </w:pPr>
      <w:r>
        <w:rPr>
          <w:rFonts w:hint="eastAsia" w:ascii="宋体" w:hAnsi="宋体" w:eastAsia="宋体" w:cs="宋体"/>
          <w:sz w:val="24"/>
        </w:rPr>
      </w:r>
      <w:r/>
    </w:p>
    <w:p>
      <w:pPr>
        <w:spacing w:after="120" w:line="360" w:lineRule="exact"/>
        <w:rPr>
          <w:rFonts w:hint="eastAsia" w:ascii="宋体" w:hAnsi="宋体" w:eastAsia="宋体" w:cs="宋体"/>
          <w:sz w:val="24"/>
        </w:rPr>
      </w:pPr>
      <w:r>
        <w:rPr>
          <w:rFonts w:hint="eastAsia" w:ascii="宋体" w:hAnsi="宋体" w:eastAsia="宋体" w:cs="宋体"/>
          <w:sz w:val="24"/>
        </w:rPr>
        <w:t xml:space="preserve">甲方：                          乙方：</w:t>
      </w:r>
      <w:r/>
    </w:p>
    <w:p>
      <w:pPr>
        <w:pStyle w:val="731"/>
        <w:ind w:left="0" w:firstLine="0"/>
        <w:spacing w:line="360" w:lineRule="exact"/>
        <w:rPr>
          <w:rFonts w:ascii="仿宋" w:hAnsi="仿宋"/>
          <w:sz w:val="30"/>
          <w:szCs w:val="30"/>
        </w:rPr>
      </w:pPr>
      <w:r>
        <w:rPr>
          <w:rFonts w:hint="eastAsia" w:ascii="宋体" w:hAnsi="宋体" w:eastAsia="宋体" w:cs="宋体"/>
          <w:sz w:val="24"/>
          <w:szCs w:val="24"/>
        </w:rPr>
        <w:t xml:space="preserve">日期：   年   月   日           日期：   年   月   日</w:t>
      </w:r>
      <w:r/>
    </w:p>
    <w:p>
      <w:pPr>
        <w:pStyle w:val="715"/>
        <w:rPr>
          <w:rFonts w:hint="default"/>
          <w:lang w:val="en-US" w:eastAsia="zh-CN"/>
        </w:rPr>
      </w:pPr>
      <w:r>
        <w:rPr>
          <w:rFonts w:hint="default"/>
          <w:lang w:val="en-US" w:eastAsia="zh-CN"/>
        </w:rPr>
      </w:r>
      <w:r/>
    </w:p>
    <w:p>
      <w:pPr>
        <w:rPr>
          <w:rFonts w:hint="eastAsia" w:ascii="宋体" w:hAnsi="宋体" w:cs="宋体"/>
          <w:b/>
          <w:bCs/>
          <w:sz w:val="30"/>
          <w:szCs w:val="44"/>
        </w:rPr>
      </w:pPr>
      <w:r>
        <w:rPr>
          <w:rFonts w:hint="eastAsia" w:ascii="宋体" w:hAnsi="宋体" w:cs="宋体"/>
          <w:b/>
          <w:bCs/>
          <w:sz w:val="30"/>
          <w:szCs w:val="4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7"/>
      <w:r/>
      <w:bookmarkEnd w:id="18"/>
      <w:r/>
      <w:r/>
    </w:p>
    <w:p>
      <w:pPr>
        <w:ind w:firstLine="561"/>
        <w:keepLines w:val="0"/>
        <w:keepNext w:val="0"/>
        <w:pageBreakBefore w:val="0"/>
        <w:spacing w:line="440" w:lineRule="exact"/>
        <w:tabs>
          <w:tab w:val="left" w:pos="0" w:leader="none"/>
        </w:tabs>
        <w:rPr>
          <w:rFonts w:hint="eastAsia" w:ascii="宋体" w:hAnsi="宋体" w:eastAsia="宋体" w:cs="宋体"/>
          <w:b/>
          <w:bCs/>
          <w:sz w:val="24"/>
          <w:szCs w:val="24"/>
        </w:rPr>
      </w:pPr>
      <w:r/>
      <w:bookmarkStart w:id="19" w:name="_Toc522790136"/>
      <w:r/>
      <w:bookmarkStart w:id="20" w:name="_Toc523404701"/>
      <w:r>
        <w:rPr>
          <w:rFonts w:hint="eastAsia" w:ascii="宋体" w:hAnsi="宋体" w:eastAsia="宋体" w:cs="宋体"/>
          <w:b/>
          <w:bCs/>
          <w:sz w:val="24"/>
          <w:szCs w:val="24"/>
        </w:rPr>
        <w:t xml:space="preserve">一、说明</w:t>
      </w:r>
      <w:r/>
    </w:p>
    <w:p>
      <w:pPr>
        <w:ind w:firstLine="560"/>
        <w:keepLines w:val="0"/>
        <w:keepNext w:val="0"/>
        <w:pageBreakBefore w:val="0"/>
        <w:spacing w:line="44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bCs/>
          <w:sz w:val="24"/>
          <w:szCs w:val="24"/>
          <w:lang w:eastAsia="zh-CN"/>
        </w:rPr>
        <w:t xml:space="preserve">、</w:t>
      </w:r>
      <w:r>
        <w:rPr>
          <w:rFonts w:hint="eastAsia" w:ascii="宋体" w:hAnsi="宋体" w:eastAsia="宋体" w:cs="宋体"/>
          <w:sz w:val="24"/>
          <w:szCs w:val="24"/>
        </w:rPr>
        <w:t xml:space="preserve">采购人：</w:t>
      </w:r>
      <w:r>
        <w:rPr>
          <w:rFonts w:hint="eastAsia" w:ascii="宋体" w:hAnsi="宋体" w:cs="宋体"/>
          <w:sz w:val="24"/>
          <w:szCs w:val="24"/>
          <w:lang w:eastAsia="zh-CN"/>
        </w:rPr>
        <w:t xml:space="preserve">徐州市住房公积金管理中心</w:t>
      </w:r>
      <w:r/>
    </w:p>
    <w:p>
      <w:pPr>
        <w:ind w:firstLine="560"/>
        <w:keepLines w:val="0"/>
        <w:keepNext w:val="0"/>
        <w:pageBreakBefore w:val="0"/>
        <w:spacing w:line="44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2025-2026年度公积金核心机房硬件运维及信息系统软件运行维护。</w:t>
      </w:r>
      <w:r/>
    </w:p>
    <w:p>
      <w:pPr>
        <w:ind w:firstLine="560"/>
        <w:keepLines w:val="0"/>
        <w:keepNext w:val="0"/>
        <w:pageBreakBefore w:val="0"/>
        <w:spacing w:line="440" w:lineRule="exact"/>
        <w:rPr>
          <w:rFonts w:hint="eastAsia" w:ascii="宋体" w:hAnsi="宋体" w:cs="宋体"/>
          <w:sz w:val="24"/>
          <w:szCs w:val="24"/>
          <w:lang w:eastAsia="zh-CN"/>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采购标的</w:t>
      </w:r>
      <w:r/>
    </w:p>
    <w:p>
      <w:pPr>
        <w:ind w:firstLine="560"/>
        <w:keepLines w:val="0"/>
        <w:keepNext w:val="0"/>
        <w:pageBreakBefore w:val="0"/>
        <w:spacing w:line="440" w:lineRule="exact"/>
        <w:rPr>
          <w:rFonts w:hint="eastAsia" w:ascii="宋体" w:hAnsi="宋体" w:cs="宋体"/>
          <w:sz w:val="24"/>
          <w:szCs w:val="24"/>
          <w:lang w:val="en-US" w:eastAsia="zh-CN"/>
        </w:rPr>
      </w:pPr>
      <w:r>
        <w:rPr>
          <w:rFonts w:hint="eastAsia" w:ascii="宋体" w:hAnsi="宋体" w:cs="宋体"/>
          <w:sz w:val="24"/>
          <w:szCs w:val="24"/>
          <w:lang w:eastAsia="zh-CN"/>
        </w:rPr>
        <w:t xml:space="preserve">采购包1：2025-2026年度公积金核心机房硬件运维</w:t>
      </w:r>
      <w:r>
        <w:rPr>
          <w:rFonts w:hint="eastAsia" w:ascii="宋体" w:hAnsi="宋体" w:cs="宋体"/>
          <w:sz w:val="24"/>
          <w:szCs w:val="24"/>
          <w:lang w:val="en-US" w:eastAsia="zh-CN"/>
        </w:rPr>
        <w:t xml:space="preserve"> </w:t>
      </w:r>
      <w:r/>
    </w:p>
    <w:p>
      <w:pPr>
        <w:ind w:firstLine="560"/>
        <w:keepLines w:val="0"/>
        <w:keepNext w:val="0"/>
        <w:pageBreakBefore w:val="0"/>
        <w:spacing w:line="440" w:lineRule="exact"/>
        <w:tabs>
          <w:tab w:val="left" w:pos="0" w:leader="none"/>
        </w:tabs>
        <w:rPr>
          <w:rFonts w:hint="eastAsia" w:ascii="宋体" w:hAnsi="宋体" w:cs="宋体"/>
          <w:sz w:val="24"/>
          <w:szCs w:val="24"/>
          <w:lang w:eastAsia="zh-CN"/>
        </w:rPr>
      </w:pPr>
      <w:r>
        <w:rPr>
          <w:rFonts w:hint="eastAsia" w:ascii="宋体" w:hAnsi="宋体" w:cs="宋体"/>
          <w:sz w:val="24"/>
          <w:szCs w:val="24"/>
          <w:lang w:eastAsia="zh-CN"/>
        </w:rPr>
        <w:t xml:space="preserve">采购包2：2025-2026年度公积金信息系统软件运行维护</w:t>
      </w:r>
      <w:r/>
    </w:p>
    <w:p>
      <w:pPr>
        <w:ind w:firstLine="560"/>
        <w:keepLines w:val="0"/>
        <w:keepNext w:val="0"/>
        <w:pageBreakBefore w:val="0"/>
        <w:spacing w:line="440" w:lineRule="exact"/>
        <w:tabs>
          <w:tab w:val="left" w:pos="0" w:leader="none"/>
        </w:tabs>
        <w:rPr>
          <w:rFonts w:hint="eastAsia" w:ascii="宋体" w:hAnsi="宋体" w:eastAsia="宋体" w:cs="宋体"/>
          <w:b/>
          <w:sz w:val="24"/>
          <w:szCs w:val="24"/>
          <w:lang w:val="en-US" w:eastAsia="zh-CN" w:bidi="ar-SA"/>
        </w:rPr>
      </w:pPr>
      <w:r>
        <w:rPr>
          <w:rFonts w:hint="eastAsia" w:ascii="宋体" w:hAnsi="宋体" w:cs="宋体"/>
          <w:sz w:val="24"/>
          <w:szCs w:val="24"/>
          <w:lang w:val="en-US" w:eastAsia="zh-CN"/>
        </w:rPr>
        <w:t xml:space="preserve">4</w:t>
      </w:r>
      <w:r>
        <w:rPr>
          <w:rFonts w:hint="eastAsia" w:ascii="宋体" w:hAnsi="宋体" w:cs="宋体"/>
          <w:bCs/>
          <w:sz w:val="24"/>
          <w:szCs w:val="24"/>
          <w:lang w:eastAsia="zh-CN"/>
        </w:rPr>
        <w:t xml:space="preserve">、</w:t>
      </w:r>
      <w:r>
        <w:rPr>
          <w:rFonts w:hint="eastAsia" w:ascii="宋体" w:hAnsi="宋体" w:eastAsia="宋体" w:cs="宋体"/>
          <w:sz w:val="24"/>
          <w:szCs w:val="24"/>
        </w:rPr>
        <w:t xml:space="preserve">本项目</w:t>
      </w:r>
      <w:r>
        <w:rPr>
          <w:rFonts w:hint="eastAsia" w:ascii="宋体" w:hAnsi="宋体" w:cs="宋体"/>
          <w:sz w:val="24"/>
          <w:szCs w:val="24"/>
          <w:lang w:val="en-US" w:eastAsia="zh-CN"/>
        </w:rPr>
        <w:t xml:space="preserve">采购包1</w:t>
      </w:r>
      <w:r>
        <w:rPr>
          <w:rFonts w:hint="eastAsia" w:ascii="宋体" w:hAnsi="宋体" w:eastAsia="宋体" w:cs="宋体"/>
          <w:sz w:val="24"/>
          <w:szCs w:val="24"/>
        </w:rPr>
        <w:t xml:space="preserve">不接受</w:t>
      </w:r>
      <w:r>
        <w:rPr>
          <w:rFonts w:hint="eastAsia" w:ascii="宋体" w:hAnsi="宋体" w:cs="宋体"/>
          <w:sz w:val="24"/>
          <w:szCs w:val="24"/>
          <w:lang w:val="en-US" w:eastAsia="zh-CN"/>
        </w:rPr>
        <w:t xml:space="preserve">超过80万元（采</w:t>
      </w:r>
      <w:r>
        <w:rPr>
          <w:rFonts w:hint="eastAsia" w:ascii="宋体" w:hAnsi="宋体" w:eastAsia="宋体" w:cs="宋体"/>
          <w:b w:val="0"/>
          <w:bCs w:val="0"/>
          <w:sz w:val="24"/>
          <w:szCs w:val="24"/>
        </w:rPr>
        <w:t xml:space="preserve">购项目预算金额）</w:t>
      </w:r>
      <w:r>
        <w:rPr>
          <w:rFonts w:hint="eastAsia" w:ascii="宋体" w:hAnsi="宋体" w:eastAsia="宋体" w:cs="宋体"/>
          <w:sz w:val="24"/>
          <w:szCs w:val="24"/>
        </w:rPr>
        <w:t xml:space="preserve">的投标报价</w:t>
      </w:r>
      <w:r>
        <w:rPr>
          <w:rFonts w:hint="eastAsia" w:ascii="宋体" w:hAnsi="宋体" w:cs="宋体"/>
          <w:sz w:val="24"/>
          <w:szCs w:val="24"/>
          <w:lang w:eastAsia="zh-CN"/>
        </w:rPr>
        <w:t xml:space="preserve">；</w:t>
      </w:r>
      <w:r>
        <w:rPr>
          <w:rFonts w:hint="eastAsia" w:ascii="宋体" w:hAnsi="宋体" w:eastAsia="宋体" w:cs="宋体"/>
          <w:sz w:val="24"/>
          <w:szCs w:val="24"/>
        </w:rPr>
        <w:t xml:space="preserve">本项目</w:t>
      </w:r>
      <w:r>
        <w:rPr>
          <w:rFonts w:hint="eastAsia" w:ascii="宋体" w:hAnsi="宋体" w:cs="宋体"/>
          <w:sz w:val="24"/>
          <w:szCs w:val="24"/>
          <w:lang w:val="en-US" w:eastAsia="zh-CN"/>
        </w:rPr>
        <w:t xml:space="preserve">采购包2</w:t>
      </w:r>
      <w:r>
        <w:rPr>
          <w:rFonts w:hint="eastAsia" w:ascii="宋体" w:hAnsi="宋体" w:eastAsia="宋体" w:cs="宋体"/>
          <w:sz w:val="24"/>
          <w:szCs w:val="24"/>
        </w:rPr>
        <w:t xml:space="preserve">不接受</w:t>
      </w:r>
      <w:r>
        <w:rPr>
          <w:rFonts w:hint="eastAsia" w:ascii="宋体" w:hAnsi="宋体" w:cs="宋体"/>
          <w:sz w:val="24"/>
          <w:szCs w:val="24"/>
          <w:lang w:val="en-US" w:eastAsia="zh-CN"/>
        </w:rPr>
        <w:t xml:space="preserve">超过90万元（采</w:t>
      </w:r>
      <w:r>
        <w:rPr>
          <w:rFonts w:hint="eastAsia" w:ascii="宋体" w:hAnsi="宋体" w:eastAsia="宋体" w:cs="宋体"/>
          <w:b w:val="0"/>
          <w:bCs w:val="0"/>
          <w:sz w:val="24"/>
          <w:szCs w:val="24"/>
        </w:rPr>
        <w:t xml:space="preserve">购项目预算金额）</w:t>
      </w:r>
      <w:r>
        <w:rPr>
          <w:rFonts w:hint="eastAsia" w:ascii="宋体" w:hAnsi="宋体" w:eastAsia="宋体" w:cs="宋体"/>
          <w:sz w:val="24"/>
          <w:szCs w:val="24"/>
        </w:rPr>
        <w:t xml:space="preserve">的投</w:t>
      </w:r>
      <w:r>
        <w:rPr>
          <w:rFonts w:hint="eastAsia" w:ascii="宋体" w:hAnsi="宋体" w:cs="宋体"/>
          <w:sz w:val="24"/>
          <w:szCs w:val="24"/>
          <w:lang w:val="en-US" w:eastAsia="zh-CN"/>
        </w:rPr>
        <w:t xml:space="preserve">标报价。报价包含人工服务费，税费，第三方测评费，验收费等，采购人不再支付报价以外的任何费用。</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此项目</w:t>
      </w: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rPr>
        <w:t xml:space="preserve">属于专门面向中小微企业采购的项目，供应商应为中小微企业或监狱企业或残疾人福利性单位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采购包2不</w:t>
      </w:r>
      <w:r>
        <w:rPr>
          <w:rFonts w:hint="eastAsia" w:ascii="宋体" w:hAnsi="宋体" w:eastAsia="宋体" w:cs="宋体"/>
          <w:sz w:val="24"/>
          <w:szCs w:val="24"/>
        </w:rPr>
        <w:t xml:space="preserve">属于专门面向中小微企业采购的项目。</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采购标的对应的中小企业划分标准所属行业为软件和信息技术服务业</w:t>
      </w:r>
      <w:r/>
    </w:p>
    <w:p>
      <w:pPr>
        <w:ind w:firstLine="56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注：中小企业划分标准所属行业以《关于印发中小企业划型标准规定的通知》（工信部联企业[2011]300号）的规定为准。</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评审委员会启动异常低价投标审查的情形和具体要求包括：</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评审过程中出现下列情形之一的，评审委员会应当启动异常低价投标审查程序：</w:t>
      </w:r>
      <w:r/>
    </w:p>
    <w:p>
      <w:pPr>
        <w:ind w:left="279" w:firstLine="24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①</w:t>
      </w:r>
      <w:r>
        <w:rPr>
          <w:rFonts w:hint="eastAsia" w:ascii="宋体" w:hAnsi="宋体" w:eastAsia="宋体" w:cs="宋体"/>
          <w:sz w:val="24"/>
          <w:szCs w:val="24"/>
          <w:lang w:val="en-US" w:eastAsia="zh-CN"/>
        </w:rPr>
        <w:t xml:space="preserve">投标报价低于采购项目预算50%的，即投标报价&lt;采购项目预算×50%</w:t>
      </w:r>
      <w:r/>
    </w:p>
    <w:p>
      <w:pPr>
        <w:ind w:left="279" w:firstLine="24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②投标(响应)报价低于采购项目最高限价45%的，即投标(</w:t>
      </w:r>
      <w:r>
        <w:rPr>
          <w:rFonts w:hint="eastAsia" w:ascii="宋体" w:hAnsi="宋体" w:cs="宋体"/>
          <w:sz w:val="24"/>
          <w:szCs w:val="24"/>
          <w:lang w:val="en-US" w:eastAsia="zh-CN"/>
        </w:rPr>
        <w:t xml:space="preserve">响应</w:t>
      </w:r>
      <w:r>
        <w:rPr>
          <w:rFonts w:hint="eastAsia" w:ascii="宋体" w:hAnsi="宋体" w:eastAsia="宋体" w:cs="宋体"/>
          <w:sz w:val="24"/>
          <w:szCs w:val="24"/>
          <w:lang w:val="en-US" w:eastAsia="zh-CN"/>
        </w:rPr>
        <w:t xml:space="preserve">)报价&lt;采购项目最高限价×45%;</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③</w:t>
      </w:r>
      <w:r>
        <w:rPr>
          <w:rFonts w:hint="eastAsia" w:ascii="宋体" w:hAnsi="宋体" w:eastAsia="宋体" w:cs="宋体"/>
          <w:sz w:val="24"/>
          <w:szCs w:val="24"/>
          <w:lang w:val="en-US" w:eastAsia="zh-CN"/>
        </w:rPr>
        <w:t xml:space="preserve">评审委员会认定的供应商报价过低、有可能影响产品质量或者不能诚信履约的其他情形。</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启动异常</w:t>
      </w:r>
      <w:r>
        <w:rPr>
          <w:rFonts w:hint="eastAsia" w:ascii="宋体" w:hAnsi="宋体" w:eastAsia="宋体" w:cs="宋体"/>
          <w:sz w:val="24"/>
          <w:szCs w:val="24"/>
          <w:lang w:val="en-US" w:eastAsia="zh-CN"/>
        </w:rPr>
        <w:t xml:space="preserve">低价投标审查后，评审委员会应当通过“苏采云”系统要求相关投标人在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审委员会应当将其作为无效投标处理。审查相关情况应当在评标报告中进行记录。</w:t>
      </w:r>
      <w:r/>
    </w:p>
    <w:p>
      <w:pPr>
        <w:ind w:firstLine="482"/>
        <w:jc w:val="left"/>
        <w:keepLines w:val="0"/>
        <w:keepNext w:val="0"/>
        <w:pageBreakBefore w:val="0"/>
        <w:spacing w:line="440" w:lineRule="exact"/>
        <w:widowControl/>
        <w:rPr>
          <w:rFonts w:hint="eastAsia" w:ascii="宋体" w:hAnsi="宋体" w:eastAsia="宋体" w:cs="宋体"/>
          <w:b/>
          <w:bCs/>
          <w:color w:val="ff0000"/>
          <w:sz w:val="24"/>
          <w:szCs w:val="24"/>
        </w:rPr>
        <w:outlineLvl w:val="1"/>
      </w:pPr>
      <w:r>
        <w:rPr>
          <w:rFonts w:hint="eastAsia" w:ascii="宋体" w:hAnsi="宋体" w:eastAsia="宋体" w:cs="宋体"/>
          <w:b/>
          <w:bCs/>
          <w:color w:val="ff0000"/>
          <w:sz w:val="24"/>
          <w:szCs w:val="24"/>
        </w:rPr>
        <w:t xml:space="preserve">二、</w:t>
      </w:r>
      <w:r>
        <w:rPr>
          <w:rFonts w:hint="eastAsia" w:ascii="宋体" w:hAnsi="宋体" w:eastAsia="宋体" w:cs="宋体"/>
          <w:b/>
          <w:bCs/>
          <w:color w:val="ff0000"/>
          <w:sz w:val="24"/>
          <w:szCs w:val="24"/>
          <w:lang w:val="en-US" w:eastAsia="zh-CN"/>
        </w:rPr>
        <w:t xml:space="preserve">采购包1</w:t>
      </w:r>
      <w:r>
        <w:rPr>
          <w:rFonts w:hint="eastAsia" w:ascii="宋体" w:hAnsi="宋体" w:eastAsia="宋体" w:cs="宋体"/>
          <w:b/>
          <w:bCs/>
          <w:color w:val="ff0000"/>
          <w:sz w:val="24"/>
          <w:szCs w:val="24"/>
        </w:rPr>
        <w:t xml:space="preserve">技术要求</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（一）服务范围及服务清单</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1. 服务范围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本次项目维护地点为全市（包含县区）公积金各管理部和服务点，维保的内容主要是服务器，存储，网络设备，安全设备等，具体如下：</w:t>
      </w:r>
      <w:r/>
    </w:p>
    <w:tbl>
      <w:tblPr>
        <w:tblStyle w:val="714"/>
        <w:tblW w:w="10080" w:type="dxa"/>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13"/>
        <w:gridCol w:w="4677"/>
        <w:gridCol w:w="3390"/>
      </w:tblGrid>
      <w:tr>
        <w:trPr>
          <w:trHeight w:val="624"/>
        </w:trPr>
        <w:tc>
          <w:tcPr>
            <w:tcW w:w="20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维护项目</w:t>
            </w:r>
            <w:r/>
          </w:p>
        </w:tc>
        <w:tc>
          <w:tcPr>
            <w:tcW w:w="46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服务地点</w:t>
            </w:r>
            <w:r/>
          </w:p>
        </w:tc>
        <w:tc>
          <w:tcPr>
            <w:tcBorders>
              <w:bottom w:val="single" w:color="000000" w:sz="4" w:space="0"/>
            </w:tcBorders>
            <w:tcW w:w="339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服务范围</w:t>
            </w:r>
            <w:r/>
          </w:p>
        </w:tc>
      </w:tr>
      <w:tr>
        <w:trPr>
          <w:trHeight w:val="90"/>
        </w:trPr>
        <w:tc>
          <w:tcPr>
            <w:tcW w:w="20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核心机房</w:t>
            </w:r>
            <w:r/>
          </w:p>
        </w:tc>
        <w:tc>
          <w:tcPr>
            <w:tcBorders>
              <w:right w:val="single" w:color="000000" w:sz="4" w:space="0"/>
            </w:tcBorders>
            <w:tcW w:w="46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徐州市住房公积金管理中心（机关）</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核心机房</w:t>
            </w:r>
            <w:r/>
          </w:p>
        </w:tc>
        <w:tc>
          <w:tcPr>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核心业务生产系统</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虚拟化业务平台系统</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业务互联系统</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安全防护系统</w:t>
            </w:r>
            <w:r/>
          </w:p>
        </w:tc>
      </w:tr>
      <w:tr>
        <w:trPr>
          <w:trHeight w:val="925"/>
        </w:trPr>
        <w:tc>
          <w:tcPr>
            <w:tcW w:w="201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云中心核心业务生产系统</w:t>
            </w:r>
            <w:r/>
          </w:p>
        </w:tc>
        <w:tc>
          <w:tcPr>
            <w:tcBorders>
              <w:right w:val="single" w:color="000000" w:sz="4" w:space="0"/>
            </w:tcBorders>
            <w:tcW w:w="46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联通云中心机房</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（云上灾备中心）</w:t>
            </w:r>
            <w:r/>
          </w:p>
        </w:tc>
        <w:tc>
          <w:tcPr>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核心业务生产系统</w:t>
            </w:r>
            <w:r/>
          </w:p>
        </w:tc>
      </w:tr>
      <w:tr>
        <w:trPr>
          <w:cantSplit/>
          <w:trHeight w:val="284"/>
        </w:trPr>
        <w:tc>
          <w:tcPr>
            <w:tcBorders>
              <w:right w:val="single" w:color="000000" w:sz="4" w:space="0"/>
            </w:tcBorders>
            <w:tcW w:w="2013"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其他分部和服务点</w:t>
            </w:r>
            <w:r/>
          </w:p>
        </w:tc>
        <w:tc>
          <w:tcPr>
            <w:shd w:val="clear" w:color="auto" w:fill="ffffff"/>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泉山管理部</w:t>
            </w:r>
            <w:r/>
          </w:p>
        </w:tc>
        <w:tc>
          <w:tcPr>
            <w:tcBorders>
              <w:top w:val="single" w:color="000000" w:sz="4" w:space="0"/>
              <w:left w:val="single" w:color="000000" w:sz="4" w:space="0"/>
            </w:tcBorders>
            <w:tcW w:w="339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业务互联系统、</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其他业务配套系统（含分发到本部和服务点的设备、系统相关服务）</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0"/>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云龙管理部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44"/>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鼓楼管理部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294"/>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丰县管理部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292"/>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沛县管理部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11"/>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铜山管理部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36"/>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邳州管理部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01"/>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新沂管理部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12"/>
        </w:trPr>
        <w:tc>
          <w:tcPr>
            <w:tcBorders>
              <w:right w:val="single" w:color="000000" w:sz="4" w:space="0"/>
            </w:tcBorders>
            <w:tcW w:w="2013"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right w:val="single" w:color="000000" w:sz="4" w:space="0"/>
            </w:tcBorders>
            <w:tcW w:w="4677" w:type="dxa"/>
            <w:vAlign w:val="bottom"/>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睢宁管理部</w:t>
            </w:r>
            <w:r/>
          </w:p>
        </w:tc>
        <w:tc>
          <w:tcPr>
            <w:tcBorders>
              <w:left w:val="single" w:color="000000" w:sz="4" w:space="0"/>
            </w:tcBorders>
            <w:tcW w:w="339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257"/>
        </w:trPr>
        <w:tc>
          <w:tcPr>
            <w:tcBorders>
              <w:right w:val="single" w:color="000000" w:sz="4" w:space="0"/>
            </w:tcBorders>
            <w:tcW w:w="2013" w:type="dxa"/>
            <w:vAlign w:val="center"/>
            <w:vMerge w:val="continue"/>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rPr>
              <w:t xml:space="preserve">贾汪管理部</w:t>
            </w:r>
            <w:r/>
          </w:p>
        </w:tc>
        <w:tc>
          <w:tcPr>
            <w:tcBorders>
              <w:left w:val="single" w:color="000000" w:sz="4" w:space="0"/>
            </w:tcBorders>
            <w:tcW w:w="3390" w:type="dxa"/>
            <w:vAlign w:val="center"/>
            <w:vMerge w:val="continue"/>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r>
      <w:tr>
        <w:trPr>
          <w:cantSplit/>
          <w:trHeight w:val="204"/>
        </w:trPr>
        <w:tc>
          <w:tcPr>
            <w:tcBorders>
              <w:right w:val="single" w:color="000000" w:sz="4" w:space="0"/>
            </w:tcBorders>
            <w:tcW w:w="2013" w:type="dxa"/>
            <w:vAlign w:val="center"/>
            <w:vMerge w:val="continue"/>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rPr>
              <w:t xml:space="preserve">徐州市经济开发区行政服务中心服务点</w:t>
            </w:r>
            <w:r/>
          </w:p>
        </w:tc>
        <w:tc>
          <w:tcPr>
            <w:tcBorders>
              <w:left w:val="single" w:color="000000" w:sz="4" w:space="0"/>
            </w:tcBorders>
            <w:tcW w:w="3390" w:type="dxa"/>
            <w:vAlign w:val="center"/>
            <w:vMerge w:val="continue"/>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r>
      <w:tr>
        <w:trPr>
          <w:cantSplit/>
          <w:trHeight w:val="0"/>
        </w:trPr>
        <w:tc>
          <w:tcPr>
            <w:tcBorders>
              <w:right w:val="single" w:color="000000" w:sz="4" w:space="0"/>
            </w:tcBorders>
            <w:tcW w:w="2013" w:type="dxa"/>
            <w:vAlign w:val="center"/>
            <w:vMerge w:val="continue"/>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rPr>
              <w:t xml:space="preserve">徐州市政务服务中心服务点</w:t>
            </w:r>
            <w:r/>
          </w:p>
        </w:tc>
        <w:tc>
          <w:tcPr>
            <w:tcBorders>
              <w:left w:val="single" w:color="000000" w:sz="4" w:space="0"/>
            </w:tcBorders>
            <w:tcW w:w="3390" w:type="dxa"/>
            <w:vAlign w:val="center"/>
            <w:vMerge w:val="continue"/>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r>
      <w:tr>
        <w:trPr>
          <w:cantSplit/>
          <w:trHeight w:val="285"/>
        </w:trPr>
        <w:tc>
          <w:tcPr>
            <w:tcBorders>
              <w:right w:val="single" w:color="000000" w:sz="4" w:space="0"/>
            </w:tcBorders>
            <w:tcW w:w="2013" w:type="dxa"/>
            <w:vAlign w:val="center"/>
            <w:vMerge w:val="continue"/>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7" w:type="dxa"/>
            <w:vAlign w:val="bottom"/>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睢宁行政服务中心服务点</w:t>
            </w:r>
            <w:r/>
          </w:p>
        </w:tc>
        <w:tc>
          <w:tcPr>
            <w:tcBorders>
              <w:left w:val="single" w:color="000000" w:sz="4" w:space="0"/>
            </w:tcBorders>
            <w:tcW w:w="3390" w:type="dxa"/>
            <w:vAlign w:val="center"/>
            <w:vMerge w:val="continue"/>
            <w:textDirection w:val="lrTb"/>
            <w:noWrap w:val="false"/>
          </w:tcPr>
          <w:p>
            <w:pPr>
              <w:jc w:val="center"/>
              <w:spacing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tc>
      </w:tr>
      <w:tr>
        <w:trPr>
          <w:trHeight w:val="383"/>
        </w:trPr>
        <w:tc>
          <w:tcPr>
            <w:gridSpan w:val="3"/>
            <w:tcW w:w="10080" w:type="dxa"/>
            <w:vAlign w:val="center"/>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采购人维保期内新增服务网点</w:t>
            </w:r>
            <w:r/>
          </w:p>
        </w:tc>
      </w:tr>
    </w:tbl>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2.服务清单</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2.1 核心业务生产系统维护服务清单</w:t>
      </w:r>
      <w:r/>
    </w:p>
    <w:tbl>
      <w:tblPr>
        <w:tblStyle w:val="714"/>
        <w:tblpPr w:horzAnchor="page" w:tblpXSpec="center" w:vertAnchor="text" w:tblpY="289" w:leftFromText="180" w:topFromText="0" w:rightFromText="180" w:bottomFromText="0"/>
        <w:tblW w:w="100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6"/>
        <w:gridCol w:w="2441"/>
        <w:gridCol w:w="3659"/>
        <w:gridCol w:w="1757"/>
        <w:gridCol w:w="1114"/>
      </w:tblGrid>
      <w:tr>
        <w:trPr>
          <w:jc w:val="center"/>
          <w:trHeight w:val="622"/>
        </w:trPr>
        <w:tc>
          <w:tcPr>
            <w:tcW w:w="1076"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序号</w:t>
            </w:r>
            <w:r/>
          </w:p>
        </w:tc>
        <w:tc>
          <w:tcPr>
            <w:tcW w:w="2441"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名称</w:t>
            </w:r>
            <w:r/>
          </w:p>
        </w:tc>
        <w:tc>
          <w:tcPr>
            <w:tcW w:w="3659"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品牌型号</w:t>
            </w:r>
            <w:r/>
          </w:p>
        </w:tc>
        <w:tc>
          <w:tcPr>
            <w:tcW w:w="1757"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产品类型</w:t>
            </w:r>
            <w:r/>
          </w:p>
        </w:tc>
        <w:tc>
          <w:tcPr>
            <w:tcW w:w="1114"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数量</w:t>
            </w:r>
            <w:r/>
          </w:p>
        </w:tc>
      </w:tr>
      <w:tr>
        <w:trPr>
          <w:jc w:val="center"/>
          <w:trHeight w:val="622"/>
        </w:trPr>
        <w:tc>
          <w:tcPr>
            <w:gridSpan w:val="5"/>
            <w:tcW w:w="1004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核心业务生产系统（本地核心机房）</w:t>
            </w:r>
            <w:r/>
          </w:p>
        </w:tc>
      </w:tr>
      <w:tr>
        <w:trPr>
          <w:jc w:val="center"/>
          <w:trHeight w:val="622"/>
        </w:trPr>
        <w:tc>
          <w:tcPr>
            <w:tcW w:w="1076"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2441"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核心数据库服务器</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（含数据库软件）</w:t>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曙光服务器I980-G10</w:t>
            </w:r>
            <w:r/>
          </w:p>
        </w:tc>
        <w:tc>
          <w:tcPr>
            <w:tcW w:w="1757" w:type="dxa"/>
            <w:vAlign w:val="center"/>
            <w:textDirection w:val="lrTb"/>
            <w:noWrap w:val="false"/>
          </w:tcPr>
          <w:p>
            <w:pPr>
              <w:pStyle w:val="1025"/>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硬件（含软件）</w:t>
            </w:r>
            <w:r/>
          </w:p>
        </w:tc>
        <w:tc>
          <w:tcPr>
            <w:tcW w:w="1114" w:type="dxa"/>
            <w:vAlign w:val="center"/>
            <w:textDirection w:val="lrTb"/>
            <w:noWrap w:val="false"/>
          </w:tcPr>
          <w:p>
            <w:pPr>
              <w:pStyle w:val="1025"/>
              <w:ind w:firstLine="360"/>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2套</w:t>
            </w:r>
            <w:r/>
          </w:p>
        </w:tc>
      </w:tr>
      <w:tr>
        <w:trPr>
          <w:jc w:val="center"/>
          <w:trHeight w:val="622"/>
        </w:trPr>
        <w:tc>
          <w:tcPr>
            <w:tcW w:w="1076"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w:t>
            </w:r>
            <w:r/>
          </w:p>
        </w:tc>
        <w:tc>
          <w:tcPr>
            <w:tcW w:w="2441"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数据库存储</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（含存储双活软件）</w:t>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华为5500 V3</w:t>
            </w:r>
            <w:r/>
          </w:p>
        </w:tc>
        <w:tc>
          <w:tcPr>
            <w:tcW w:w="175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硬件（含软件）</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2套</w:t>
            </w:r>
            <w:r/>
          </w:p>
        </w:tc>
      </w:tr>
      <w:tr>
        <w:trPr>
          <w:cantSplit/>
          <w:jc w:val="center"/>
          <w:trHeight w:val="600"/>
        </w:trPr>
        <w:tc>
          <w:tcPr>
            <w:tcW w:w="1076" w:type="dxa"/>
            <w:vAlign w:val="center"/>
            <w:vMerge w:val="restart"/>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3</w:t>
            </w:r>
            <w:r/>
          </w:p>
        </w:tc>
        <w:tc>
          <w:tcPr>
            <w:tcW w:w="2441" w:type="dxa"/>
            <w:vAlign w:val="center"/>
            <w:vMerge w:val="restart"/>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电子档案存储</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华为存储2600T</w:t>
            </w:r>
            <w:r/>
          </w:p>
        </w:tc>
        <w:tc>
          <w:tcPr>
            <w:tcW w:w="175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cantSplit/>
          <w:jc w:val="center"/>
          <w:trHeight w:val="622"/>
        </w:trPr>
        <w:tc>
          <w:tcPr>
            <w:tcW w:w="1076" w:type="dxa"/>
            <w:vAlign w:val="center"/>
            <w:vMerge w:val="continue"/>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2441" w:type="dxa"/>
            <w:vAlign w:val="center"/>
            <w:vMerge w:val="continue"/>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华为存储5300V3</w:t>
            </w:r>
            <w:r/>
          </w:p>
        </w:tc>
        <w:tc>
          <w:tcPr>
            <w:tcW w:w="175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cantSplit/>
          <w:jc w:val="center"/>
          <w:trHeight w:val="622"/>
        </w:trPr>
        <w:tc>
          <w:tcPr>
            <w:tcW w:w="1076" w:type="dxa"/>
            <w:vAlign w:val="center"/>
            <w:vMerge w:val="continue"/>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2441" w:type="dxa"/>
            <w:vAlign w:val="center"/>
            <w:vMerge w:val="continue"/>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镜像接管系统</w:t>
            </w:r>
            <w:r/>
          </w:p>
        </w:tc>
        <w:tc>
          <w:tcPr>
            <w:tcW w:w="175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jc w:val="center"/>
          <w:trHeight w:val="622"/>
        </w:trPr>
        <w:tc>
          <w:tcPr>
            <w:tcW w:w="1076"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4</w:t>
            </w:r>
            <w:r/>
          </w:p>
        </w:tc>
        <w:tc>
          <w:tcPr>
            <w:tcW w:w="2441"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本地备份一体机</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（含备份软件）</w:t>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华为anybackup</w:t>
            </w:r>
            <w:r/>
          </w:p>
        </w:tc>
        <w:tc>
          <w:tcPr>
            <w:tcW w:w="175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硬件（含软件）</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jc w:val="center"/>
          <w:trHeight w:val="422"/>
        </w:trPr>
        <w:tc>
          <w:tcPr>
            <w:tcW w:w="1076"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5</w:t>
            </w:r>
            <w:r/>
          </w:p>
        </w:tc>
        <w:tc>
          <w:tcPr>
            <w:tcW w:w="244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数据库防火墙</w:t>
            </w:r>
            <w:r/>
          </w:p>
        </w:tc>
        <w:tc>
          <w:tcPr>
            <w:tcW w:w="36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安华金和DBFirewall</w:t>
            </w:r>
            <w:r/>
          </w:p>
        </w:tc>
        <w:tc>
          <w:tcPr>
            <w:tcW w:w="175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114"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jc w:val="center"/>
          <w:trHeight w:val="622"/>
        </w:trPr>
        <w:tc>
          <w:tcPr>
            <w:gridSpan w:val="5"/>
            <w:tcW w:w="1004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业务生产保障系统（本地核心机房）</w:t>
            </w:r>
            <w:r/>
          </w:p>
        </w:tc>
      </w:tr>
      <w:tr>
        <w:trPr>
          <w:cantSplit/>
          <w:jc w:val="center"/>
          <w:trHeight w:val="269"/>
        </w:trPr>
        <w:tc>
          <w:tcPr>
            <w:tcW w:w="1076" w:type="dxa"/>
            <w:vAlign w:val="center"/>
            <w:vMerge w:val="restart"/>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2441" w:type="dxa"/>
            <w:vAlign w:val="center"/>
            <w:vMerge w:val="restart"/>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数据库备份系统</w:t>
            </w:r>
            <w:r/>
          </w:p>
        </w:tc>
        <w:tc>
          <w:tcPr>
            <w:gridSpan w:val="2"/>
            <w:tcW w:w="5416"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本地备份系统</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cantSplit/>
          <w:jc w:val="center"/>
          <w:trHeight w:val="360"/>
        </w:trPr>
        <w:tc>
          <w:tcPr>
            <w:tcW w:w="1076" w:type="dxa"/>
            <w:vAlign w:val="center"/>
            <w:vMerge w:val="continue"/>
            <w:textDirection w:val="lrTb"/>
            <w:noWrap w:val="false"/>
          </w:tcPr>
          <w:p>
            <w:pPr>
              <w:pStyle w:val="1025"/>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2441" w:type="dxa"/>
            <w:vAlign w:val="center"/>
            <w:vMerge w:val="continue"/>
            <w:textDirection w:val="lrTb"/>
            <w:noWrap w:val="false"/>
          </w:tcPr>
          <w:p>
            <w:pPr>
              <w:pStyle w:val="1025"/>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gridSpan w:val="2"/>
            <w:tcW w:w="5416"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政务云备份系统</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jc w:val="center"/>
          <w:trHeight w:val="402"/>
        </w:trPr>
        <w:tc>
          <w:tcPr>
            <w:gridSpan w:val="5"/>
            <w:tcW w:w="1004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云上灾备中心</w:t>
            </w:r>
            <w:r/>
          </w:p>
        </w:tc>
      </w:tr>
      <w:tr>
        <w:trPr>
          <w:jc w:val="center"/>
          <w:trHeight w:val="622"/>
        </w:trPr>
        <w:tc>
          <w:tcPr>
            <w:tcW w:w="1076"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2441"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同配置核心数据库服务器</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（含数据库软件）</w:t>
            </w:r>
            <w:r/>
          </w:p>
        </w:tc>
        <w:tc>
          <w:tcPr>
            <w:tcW w:w="36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仅数据库软件</w:t>
            </w:r>
            <w:r/>
          </w:p>
        </w:tc>
        <w:tc>
          <w:tcPr>
            <w:tcW w:w="1757"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tc>
        <w:tc>
          <w:tcPr>
            <w:tcW w:w="1114"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2套</w:t>
            </w:r>
            <w:r/>
          </w:p>
        </w:tc>
      </w:tr>
    </w:tbl>
    <w:p>
      <w:pPr>
        <w:pStyle w:val="708"/>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2.2 虚拟化平台系统维护服务清单</w:t>
      </w:r>
      <w:r/>
    </w:p>
    <w:tbl>
      <w:tblPr>
        <w:tblStyle w:val="714"/>
        <w:tblW w:w="9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1"/>
        <w:gridCol w:w="3150"/>
        <w:gridCol w:w="2917"/>
        <w:gridCol w:w="2250"/>
        <w:gridCol w:w="709"/>
      </w:tblGrid>
      <w:tr>
        <w:trPr>
          <w:jc w:val="center"/>
          <w:trHeight w:val="413"/>
        </w:trPr>
        <w:tc>
          <w:tcPr>
            <w:tcW w:w="941"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序号</w:t>
            </w:r>
            <w:r/>
          </w:p>
        </w:tc>
        <w:tc>
          <w:tcPr>
            <w:tcW w:w="3150"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名称</w:t>
            </w:r>
            <w:r/>
          </w:p>
        </w:tc>
        <w:tc>
          <w:tcPr>
            <w:tcW w:w="2917"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品牌型号</w:t>
            </w:r>
            <w:r/>
          </w:p>
        </w:tc>
        <w:tc>
          <w:tcPr>
            <w:tcW w:w="2250"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产品类型</w:t>
            </w:r>
            <w:r/>
          </w:p>
        </w:tc>
        <w:tc>
          <w:tcPr>
            <w:tcW w:w="709"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数量</w:t>
            </w:r>
            <w:r/>
          </w:p>
        </w:tc>
      </w:tr>
      <w:tr>
        <w:trPr>
          <w:jc w:val="center"/>
          <w:trHeight w:val="413"/>
        </w:trPr>
        <w:tc>
          <w:tcPr>
            <w:gridSpan w:val="5"/>
            <w:tcW w:w="996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虚拟化平台系统（本地核心机房）</w:t>
            </w:r>
            <w:r/>
          </w:p>
        </w:tc>
      </w:tr>
      <w:tr>
        <w:trPr>
          <w:jc w:val="center"/>
          <w:trHeight w:val="413"/>
        </w:trPr>
        <w:tc>
          <w:tcPr>
            <w:tcW w:w="94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315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刀片服务器</w:t>
            </w:r>
            <w:r/>
          </w:p>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（含虚拟化平台系统软件）</w:t>
            </w:r>
            <w:r/>
          </w:p>
        </w:tc>
        <w:tc>
          <w:tcPr>
            <w:tcW w:w="291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IBM FLEX x240</w:t>
            </w:r>
            <w:r/>
          </w:p>
        </w:tc>
        <w:tc>
          <w:tcPr>
            <w:tcW w:w="225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硬件（含软件）</w:t>
            </w:r>
            <w:r/>
          </w:p>
        </w:tc>
        <w:tc>
          <w:tcPr>
            <w:tcW w:w="70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jc w:val="center"/>
          <w:trHeight w:val="413"/>
        </w:trPr>
        <w:tc>
          <w:tcPr>
            <w:tcW w:w="94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w:t>
            </w:r>
            <w:r/>
          </w:p>
        </w:tc>
        <w:tc>
          <w:tcPr>
            <w:tcW w:w="315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虚拟化备份服务器</w:t>
            </w:r>
            <w:r/>
          </w:p>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（含备份软件）</w:t>
            </w:r>
            <w:r/>
          </w:p>
        </w:tc>
        <w:tc>
          <w:tcPr>
            <w:tcW w:w="291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IBM X3650 M3</w:t>
            </w:r>
            <w:r/>
          </w:p>
        </w:tc>
        <w:tc>
          <w:tcPr>
            <w:tcW w:w="225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硬件（含软件）</w:t>
            </w:r>
            <w:r/>
          </w:p>
        </w:tc>
        <w:tc>
          <w:tcPr>
            <w:tcW w:w="70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bl>
    <w:p>
      <w:pPr>
        <w:pStyle w:val="708"/>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2.3 业务互联系统维护服务清单</w:t>
      </w:r>
      <w:r/>
    </w:p>
    <w:tbl>
      <w:tblPr>
        <w:tblStyle w:val="714"/>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7"/>
        <w:gridCol w:w="3253"/>
        <w:gridCol w:w="20"/>
        <w:gridCol w:w="2652"/>
        <w:gridCol w:w="1152"/>
        <w:gridCol w:w="380"/>
        <w:gridCol w:w="1502"/>
      </w:tblGrid>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序号</w:t>
            </w:r>
            <w:r/>
          </w:p>
        </w:tc>
        <w:tc>
          <w:tcPr>
            <w:tcW w:w="3253"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名称</w:t>
            </w:r>
            <w:r/>
          </w:p>
        </w:tc>
        <w:tc>
          <w:tcPr>
            <w:gridSpan w:val="2"/>
            <w:tcW w:w="2672"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品牌型号</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产品类型</w:t>
            </w:r>
            <w:r/>
          </w:p>
        </w:tc>
        <w:tc>
          <w:tcPr>
            <w:tcW w:w="1502"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数量</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外网核心交换机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思科4507R</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bidi="ar-SA"/>
              </w:rPr>
              <w:t xml:space="preserve">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银行接入交换机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 S5720-52X-EI-AC</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3</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外联接入交换机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 S5720-36C-EI-AC</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1台</w:t>
            </w:r>
            <w:r/>
          </w:p>
        </w:tc>
      </w:tr>
      <w:tr>
        <w:trPr>
          <w:cantSplit/>
          <w:jc w:val="center"/>
          <w:trHeight w:val="311"/>
        </w:trPr>
        <w:tc>
          <w:tcPr>
            <w:tcW w:w="1037" w:type="dxa"/>
            <w:vAlign w:val="center"/>
            <w:vMerge w:val="restart"/>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4</w:t>
            </w:r>
            <w:r/>
          </w:p>
        </w:tc>
        <w:tc>
          <w:tcPr>
            <w:tcW w:w="3253" w:type="dxa"/>
            <w:vAlign w:val="center"/>
            <w:vMerge w:val="restart"/>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光纤交换机</w:t>
            </w:r>
            <w:r/>
          </w:p>
        </w:tc>
        <w:tc>
          <w:tcPr>
            <w:gridSpan w:val="2"/>
            <w:tcW w:w="267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博科DS300B</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2台</w:t>
            </w:r>
            <w:r/>
          </w:p>
        </w:tc>
      </w:tr>
      <w:tr>
        <w:trPr>
          <w:cantSplit/>
          <w:jc w:val="center"/>
          <w:trHeight w:val="311"/>
        </w:trPr>
        <w:tc>
          <w:tcPr>
            <w:tcW w:w="1037" w:type="dxa"/>
            <w:vAlign w:val="center"/>
            <w:vMerge w:val="continue"/>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3253" w:type="dxa"/>
            <w:vAlign w:val="center"/>
            <w:vMerge w:val="continue"/>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267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华为SNS2124</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5</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建行交换机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锐捷 48P-SW</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6</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 S12704</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7</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外网接入交换机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思科 WS-C2960G</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8</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管理交换机</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 S5720-36C-EI-AC</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9</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华三路由器</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H3C VPDN route</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1台</w:t>
            </w:r>
            <w:r/>
          </w:p>
        </w:tc>
      </w:tr>
      <w:tr>
        <w:trPr>
          <w:jc w:val="center"/>
          <w:trHeight w:val="311"/>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10</w:t>
            </w:r>
            <w:r/>
          </w:p>
        </w:tc>
        <w:tc>
          <w:tcPr>
            <w:tcW w:w="3253"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下联路由器</w:t>
            </w:r>
            <w:r/>
          </w:p>
        </w:tc>
        <w:tc>
          <w:tcPr>
            <w:gridSpan w:val="2"/>
            <w:tcW w:w="2672"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华为 AR2240C</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2台</w:t>
            </w:r>
            <w:r/>
          </w:p>
        </w:tc>
      </w:tr>
      <w:tr>
        <w:trPr>
          <w:jc w:val="center"/>
          <w:trHeight w:val="355"/>
        </w:trPr>
        <w:tc>
          <w:tcPr>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w:t>
            </w:r>
            <w:r>
              <w:rPr>
                <w:rFonts w:hint="eastAsia" w:ascii="宋体" w:hAnsi="宋体" w:eastAsia="宋体" w:cs="宋体"/>
                <w:sz w:val="24"/>
                <w:szCs w:val="24"/>
                <w:highlight w:val="none"/>
                <w:lang w:val="en-US" w:eastAsia="zh-CN" w:bidi="ar-SA"/>
              </w:rPr>
              <w:t xml:space="preserve">1</w:t>
            </w:r>
            <w:r/>
          </w:p>
        </w:tc>
        <w:tc>
          <w:tcPr>
            <w:tcW w:w="3253"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路由器(除本地核心机房外各管理部)</w:t>
            </w:r>
            <w:r/>
          </w:p>
        </w:tc>
        <w:tc>
          <w:tcPr>
            <w:gridSpan w:val="2"/>
            <w:tcW w:w="267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思科2900</w:t>
            </w:r>
            <w:r/>
          </w:p>
        </w:tc>
        <w:tc>
          <w:tcPr>
            <w:gridSpan w:val="2"/>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8台</w:t>
            </w:r>
            <w:r/>
          </w:p>
        </w:tc>
      </w:tr>
      <w:tr>
        <w:trPr>
          <w:jc w:val="center"/>
          <w:trHeight w:val="355"/>
        </w:trPr>
        <w:tc>
          <w:tcPr>
            <w:shd w:val="clear" w:color="auto" w:fill="auto"/>
            <w:tcW w:w="103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shd w:val="clear" w:color="auto" w:fill="auto"/>
            <w:tcW w:w="3253"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管理部路由器</w:t>
            </w:r>
            <w:r/>
          </w:p>
        </w:tc>
        <w:tc>
          <w:tcPr>
            <w:gridSpan w:val="2"/>
            <w:shd w:val="clear" w:color="auto" w:fill="auto"/>
            <w:tcW w:w="267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华为AR6121-S</w:t>
            </w:r>
            <w:r/>
          </w:p>
        </w:tc>
        <w:tc>
          <w:tcPr>
            <w:gridSpan w:val="2"/>
            <w:shd w:val="clear" w:color="auto" w:fill="auto"/>
            <w:tcW w:w="153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150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2台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13</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外网汇聚</w:t>
            </w:r>
            <w:r>
              <w:rPr>
                <w:rFonts w:hint="eastAsia" w:ascii="宋体" w:hAnsi="宋体" w:eastAsia="宋体" w:cs="宋体"/>
                <w:sz w:val="24"/>
                <w:szCs w:val="24"/>
                <w:highlight w:val="none"/>
              </w:rPr>
              <w:t xml:space="preserve">交换机</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H3C S5560X-30C-EI</w:t>
            </w:r>
            <w:r/>
          </w:p>
        </w:tc>
        <w:tc>
          <w:tcPr>
            <w:shd w:val="clear" w:color="auto" w:fill="auto"/>
            <w:tcW w:w="115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14</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内网</w:t>
            </w:r>
            <w:r>
              <w:rPr>
                <w:rFonts w:hint="eastAsia" w:ascii="宋体" w:hAnsi="宋体" w:eastAsia="宋体" w:cs="宋体"/>
                <w:sz w:val="24"/>
                <w:szCs w:val="24"/>
                <w:highlight w:val="none"/>
                <w:lang w:val="en-US" w:eastAsia="zh-CN"/>
              </w:rPr>
              <w:t xml:space="preserve">汇聚</w:t>
            </w:r>
            <w:r>
              <w:rPr>
                <w:rFonts w:hint="eastAsia" w:ascii="宋体" w:hAnsi="宋体" w:eastAsia="宋体" w:cs="宋体"/>
                <w:sz w:val="24"/>
                <w:szCs w:val="24"/>
                <w:highlight w:val="none"/>
              </w:rPr>
              <w:t xml:space="preserve">交换机</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H3C S5560X-30C-EI</w:t>
            </w:r>
            <w:r/>
          </w:p>
        </w:tc>
        <w:tc>
          <w:tcPr>
            <w:shd w:val="clear" w:color="auto" w:fill="auto"/>
            <w:tcW w:w="115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15</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内网接入交换机</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华为 S5720-52P-SI-AC</w:t>
            </w:r>
            <w:r/>
          </w:p>
        </w:tc>
        <w:tc>
          <w:tcPr>
            <w:shd w:val="clear" w:color="auto" w:fill="auto"/>
            <w:tcW w:w="115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16</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楼层接入交换机</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锐捷</w:t>
            </w:r>
            <w:r>
              <w:rPr>
                <w:rFonts w:hint="eastAsia" w:ascii="宋体" w:hAnsi="宋体" w:eastAsia="宋体" w:cs="宋体"/>
                <w:sz w:val="24"/>
                <w:szCs w:val="24"/>
                <w:highlight w:val="none"/>
              </w:rPr>
              <w:t xml:space="preserve">NBS3100-24</w:t>
            </w:r>
            <w:r/>
          </w:p>
        </w:tc>
        <w:tc>
          <w:tcPr>
            <w:shd w:val="clear" w:color="auto" w:fill="auto"/>
            <w:tcW w:w="11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17</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楼层接入交换机</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锐捷</w:t>
            </w:r>
            <w:r>
              <w:rPr>
                <w:rFonts w:hint="eastAsia" w:ascii="宋体" w:hAnsi="宋体" w:eastAsia="宋体" w:cs="宋体"/>
                <w:sz w:val="24"/>
                <w:szCs w:val="24"/>
                <w:highlight w:val="none"/>
              </w:rPr>
              <w:t xml:space="preserve">NBS3100-</w:t>
            </w:r>
            <w:r>
              <w:rPr>
                <w:rFonts w:hint="eastAsia" w:ascii="宋体" w:hAnsi="宋体" w:eastAsia="宋体" w:cs="宋体"/>
                <w:sz w:val="24"/>
                <w:szCs w:val="24"/>
                <w:highlight w:val="none"/>
                <w:lang w:val="en-US" w:eastAsia="zh-CN"/>
              </w:rPr>
              <w:t xml:space="preserve">48</w:t>
            </w:r>
            <w:r/>
          </w:p>
        </w:tc>
        <w:tc>
          <w:tcPr>
            <w:shd w:val="clear" w:color="auto" w:fill="auto"/>
            <w:tcW w:w="11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10台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18</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无线网关</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锐捷RG-EG310G-E</w:t>
            </w:r>
            <w:r/>
          </w:p>
        </w:tc>
        <w:tc>
          <w:tcPr>
            <w:shd w:val="clear" w:color="auto" w:fill="auto"/>
            <w:tcW w:w="11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1台</w:t>
            </w:r>
            <w:r/>
          </w:p>
        </w:tc>
      </w:tr>
      <w:tr>
        <w:trPr>
          <w:jc w:val="center"/>
          <w:trHeight w:val="311"/>
        </w:trPr>
        <w:tc>
          <w:tcPr>
            <w:shd w:val="clear" w:color="auto" w:fill="auto"/>
            <w:tcW w:w="1037"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19</w:t>
            </w:r>
            <w:r/>
          </w:p>
        </w:tc>
        <w:tc>
          <w:tcPr>
            <w:gridSpan w:val="2"/>
            <w:shd w:val="clear" w:color="auto" w:fill="auto"/>
            <w:tcW w:w="3273"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无线AP</w:t>
            </w:r>
            <w:r/>
          </w:p>
        </w:tc>
        <w:tc>
          <w:tcPr>
            <w:shd w:val="clear" w:color="auto" w:fill="auto"/>
            <w:tcW w:w="26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RG-RAP2261</w:t>
            </w:r>
            <w:r/>
          </w:p>
        </w:tc>
        <w:tc>
          <w:tcPr>
            <w:shd w:val="clear" w:color="auto" w:fill="auto"/>
            <w:tcW w:w="115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rPr>
              <w:t xml:space="preserve">硬件</w:t>
            </w:r>
            <w:r/>
          </w:p>
        </w:tc>
        <w:tc>
          <w:tcPr>
            <w:gridSpan w:val="2"/>
            <w:shd w:val="clear" w:color="auto" w:fill="auto"/>
            <w:tcW w:w="188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6个</w:t>
            </w:r>
            <w:r/>
          </w:p>
        </w:tc>
      </w:tr>
    </w:tbl>
    <w:p>
      <w:pPr>
        <w:pStyle w:val="708"/>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2.4 安全防护系统维护服务清单</w:t>
      </w:r>
      <w:r/>
    </w:p>
    <w:tbl>
      <w:tblPr>
        <w:tblStyle w:val="714"/>
        <w:tblW w:w="9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9"/>
        <w:gridCol w:w="2042"/>
        <w:gridCol w:w="3280"/>
        <w:gridCol w:w="1215"/>
        <w:gridCol w:w="2089"/>
      </w:tblGrid>
      <w:tr>
        <w:trPr>
          <w:jc w:val="center"/>
          <w:trHeight w:val="386"/>
        </w:trPr>
        <w:tc>
          <w:tcPr>
            <w:tcW w:w="1359"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序号</w:t>
            </w:r>
            <w:r/>
          </w:p>
        </w:tc>
        <w:tc>
          <w:tcPr>
            <w:tcW w:w="2042"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名称</w:t>
            </w:r>
            <w:r/>
          </w:p>
        </w:tc>
        <w:tc>
          <w:tcPr>
            <w:tcW w:w="3280"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品牌型号</w:t>
            </w:r>
            <w:r/>
          </w:p>
        </w:tc>
        <w:tc>
          <w:tcPr>
            <w:tcW w:w="1215" w:type="dxa"/>
            <w:vAlign w:val="center"/>
            <w:textDirection w:val="lrTb"/>
            <w:noWrap w:val="false"/>
          </w:tcPr>
          <w:p>
            <w:pPr>
              <w:pStyle w:val="1025"/>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产品类型</w:t>
            </w:r>
            <w:r/>
          </w:p>
        </w:tc>
        <w:tc>
          <w:tcPr>
            <w:tcW w:w="2089"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数量</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出口防火墙</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华为USG6630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2台</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内网防火墙</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华为USG6650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2台</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下联防火墙</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NGFW4000-UF</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监控防火墙</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网神NSG3000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移动办公</w:t>
            </w:r>
            <w:r>
              <w:rPr>
                <w:rFonts w:hint="eastAsia" w:ascii="宋体" w:hAnsi="宋体" w:eastAsia="宋体" w:cs="宋体"/>
                <w:sz w:val="24"/>
                <w:szCs w:val="24"/>
                <w:highlight w:val="none"/>
                <w:lang w:val="en-US" w:bidi="ar-SA"/>
              </w:rPr>
              <w:t xml:space="preserve">防火墙</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天融信NGFW4000-UF</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1台</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VPN</w:t>
            </w:r>
            <w:r>
              <w:rPr>
                <w:rFonts w:hint="eastAsia" w:ascii="宋体" w:hAnsi="宋体" w:eastAsia="宋体" w:cs="宋体"/>
                <w:sz w:val="24"/>
                <w:szCs w:val="24"/>
                <w:highlight w:val="none"/>
                <w:lang w:val="en-US" w:bidi="ar-SA"/>
              </w:rPr>
              <w:t xml:space="preserve">防火墙</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网神NSG5000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VPN</w:t>
            </w:r>
            <w:r>
              <w:rPr>
                <w:rFonts w:hint="eastAsia" w:ascii="宋体" w:hAnsi="宋体" w:eastAsia="宋体" w:cs="宋体"/>
                <w:sz w:val="24"/>
                <w:szCs w:val="24"/>
                <w:highlight w:val="none"/>
                <w:lang w:val="en-US" w:eastAsia="zh-CN" w:bidi="ar-SA"/>
              </w:rPr>
              <w:t xml:space="preserve">设备</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深信服H3500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1台</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shd w:val="clear" w:color="auto" w:fill="auto"/>
            <w:tcW w:w="204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网管一体机</w:t>
            </w:r>
            <w:r/>
          </w:p>
        </w:tc>
        <w:tc>
          <w:tcPr>
            <w:shd w:val="clear" w:color="auto" w:fill="auto"/>
            <w:tcW w:w="3280"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北塔EM-70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堡垒机</w:t>
            </w:r>
            <w:r>
              <w:rPr>
                <w:rFonts w:hint="eastAsia" w:ascii="宋体" w:hAnsi="宋体" w:eastAsia="宋体" w:cs="宋体"/>
                <w:sz w:val="24"/>
                <w:szCs w:val="24"/>
                <w:highlight w:val="none"/>
                <w:lang w:val="en-US" w:eastAsia="zh-CN" w:bidi="ar-SA"/>
              </w:rPr>
              <w:t xml:space="preserve">1</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网神C1500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堡垒机</w:t>
            </w:r>
            <w:r>
              <w:rPr>
                <w:rFonts w:hint="eastAsia" w:ascii="宋体" w:hAnsi="宋体" w:eastAsia="宋体" w:cs="宋体"/>
                <w:sz w:val="24"/>
                <w:szCs w:val="24"/>
                <w:highlight w:val="none"/>
                <w:lang w:val="en-US" w:eastAsia="zh-CN" w:bidi="ar-SA"/>
              </w:rPr>
              <w:t xml:space="preserve">2</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天融信</w:t>
            </w:r>
            <w:r>
              <w:rPr>
                <w:rFonts w:hint="eastAsia" w:ascii="宋体" w:hAnsi="宋体" w:eastAsia="宋体" w:cs="宋体"/>
                <w:sz w:val="24"/>
                <w:szCs w:val="24"/>
                <w:highlight w:val="none"/>
                <w:lang w:val="en-US" w:bidi="ar-SA"/>
              </w:rPr>
              <w:t xml:space="preserve">NSAG-A3106</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311"/>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入侵防御</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天融信IDP-3000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入侵检测</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天融信</w:t>
            </w:r>
            <w:r>
              <w:rPr>
                <w:rFonts w:hint="eastAsia" w:ascii="宋体" w:hAnsi="宋体" w:eastAsia="宋体" w:cs="宋体"/>
                <w:sz w:val="24"/>
                <w:szCs w:val="24"/>
                <w:highlight w:val="none"/>
                <w:lang w:val="en-US" w:bidi="ar-SA"/>
              </w:rPr>
              <w:t xml:space="preserve">TS-B3106</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日志审计</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网神LAS-R12P</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网闸</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网神L1500</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2套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未知威胁</w:t>
            </w:r>
            <w:r>
              <w:rPr>
                <w:rFonts w:hint="eastAsia" w:ascii="宋体" w:hAnsi="宋体" w:eastAsia="宋体" w:cs="宋体"/>
                <w:sz w:val="24"/>
                <w:szCs w:val="24"/>
                <w:highlight w:val="none"/>
                <w:lang w:val="en-US" w:eastAsia="zh-CN" w:bidi="ar-SA"/>
              </w:rPr>
              <w:t xml:space="preserve">检测</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趋势TDA</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虚拟化杀毒软件</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亚信</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软件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1套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shd w:val="clear" w:color="auto" w:fill="auto"/>
            <w:tcW w:w="2042"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电子签章加密机</w:t>
            </w:r>
            <w:r/>
          </w:p>
        </w:tc>
        <w:tc>
          <w:tcPr>
            <w:shd w:val="clear" w:color="auto" w:fill="auto"/>
            <w:tcW w:w="3280"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天安金融SJJ1309-A</w:t>
            </w:r>
            <w:r/>
          </w:p>
        </w:tc>
        <w:tc>
          <w:tcPr>
            <w:shd w:val="clear" w:color="auto" w:fill="auto"/>
            <w:tcW w:w="121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硬件</w:t>
            </w:r>
            <w:r/>
          </w:p>
        </w:tc>
        <w:tc>
          <w:tcPr>
            <w:shd w:val="clear" w:color="auto" w:fill="auto"/>
            <w:tcW w:w="208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2套</w:t>
            </w:r>
            <w:r/>
          </w:p>
        </w:tc>
      </w:tr>
      <w:tr>
        <w:trPr>
          <w:jc w:val="center"/>
          <w:trHeight w:val="292"/>
        </w:trPr>
        <w:tc>
          <w:tcPr>
            <w:shd w:val="clear" w:color="auto" w:fill="auto"/>
            <w:tcW w:w="135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w:t>
            </w:r>
            <w:r/>
          </w:p>
        </w:tc>
        <w:tc>
          <w:tcPr>
            <w:shd w:val="clear" w:color="auto" w:fill="auto"/>
            <w:tcW w:w="2042"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上网行为管理</w:t>
            </w:r>
            <w:r/>
          </w:p>
        </w:tc>
        <w:tc>
          <w:tcPr>
            <w:shd w:val="clear" w:color="auto" w:fill="auto"/>
            <w:tcW w:w="328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bidi="ar-SA"/>
              </w:rPr>
              <w:t xml:space="preserve">网康NI3200-DJ</w:t>
            </w:r>
            <w:r/>
          </w:p>
        </w:tc>
        <w:tc>
          <w:tcPr>
            <w:shd w:val="clear" w:color="auto" w:fill="auto"/>
            <w:tcW w:w="1215"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硬件</w:t>
            </w:r>
            <w:r/>
          </w:p>
        </w:tc>
        <w:tc>
          <w:tcPr>
            <w:shd w:val="clear" w:color="auto" w:fill="auto"/>
            <w:tcW w:w="2089"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1套</w:t>
            </w:r>
            <w:r/>
          </w:p>
        </w:tc>
      </w:tr>
      <w:tr>
        <w:trPr>
          <w:jc w:val="center"/>
          <w:trHeight w:val="311"/>
        </w:trPr>
        <w:tc>
          <w:tcPr>
            <w:gridSpan w:val="5"/>
            <w:tcW w:w="998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各管理部、服务点终端</w:t>
            </w:r>
            <w:r/>
          </w:p>
        </w:tc>
      </w:tr>
      <w:tr>
        <w:trPr>
          <w:jc w:val="center"/>
          <w:trHeight w:val="311"/>
        </w:trPr>
        <w:tc>
          <w:tcPr>
            <w:tcW w:w="13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2042"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杀毒软件</w:t>
            </w:r>
            <w:r/>
          </w:p>
        </w:tc>
        <w:tc>
          <w:tcPr>
            <w:tcW w:w="328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亚信</w:t>
            </w:r>
            <w:r/>
          </w:p>
        </w:tc>
        <w:tc>
          <w:tcPr>
            <w:tcW w:w="1215"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tc>
        <w:tc>
          <w:tcPr>
            <w:tcW w:w="208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（含发放用户端）</w:t>
            </w:r>
            <w:r/>
          </w:p>
        </w:tc>
      </w:tr>
    </w:tbl>
    <w:p>
      <w:pPr>
        <w:pStyle w:val="708"/>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2.5 其他业务配套设备维护服务清单</w:t>
      </w:r>
      <w:r/>
    </w:p>
    <w:tbl>
      <w:tblPr>
        <w:tblStyle w:val="714"/>
        <w:tblW w:w="9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8"/>
        <w:gridCol w:w="1459"/>
        <w:gridCol w:w="4660"/>
        <w:gridCol w:w="1200"/>
        <w:gridCol w:w="1770"/>
      </w:tblGrid>
      <w:tr>
        <w:trPr>
          <w:jc w:val="center"/>
          <w:trHeight w:val="512"/>
        </w:trPr>
        <w:tc>
          <w:tcPr>
            <w:tcW w:w="868"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序号</w:t>
            </w:r>
            <w:r/>
          </w:p>
        </w:tc>
        <w:tc>
          <w:tcPr>
            <w:tcW w:w="1459"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名称</w:t>
            </w:r>
            <w:r/>
          </w:p>
        </w:tc>
        <w:tc>
          <w:tcPr>
            <w:tcW w:w="4660"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品牌型号</w:t>
            </w:r>
            <w:r/>
          </w:p>
        </w:tc>
        <w:tc>
          <w:tcPr>
            <w:tcW w:w="1200"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产品类型</w:t>
            </w:r>
            <w:r/>
          </w:p>
        </w:tc>
        <w:tc>
          <w:tcPr>
            <w:tcW w:w="1770" w:type="dxa"/>
            <w:vAlign w:val="center"/>
            <w:textDirection w:val="lrTb"/>
            <w:noWrap w:val="false"/>
          </w:tcPr>
          <w:p>
            <w:pPr>
              <w:pStyle w:val="1025"/>
              <w:jc w:val="center"/>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数量</w:t>
            </w:r>
            <w:r/>
          </w:p>
        </w:tc>
      </w:tr>
      <w:tr>
        <w:trPr>
          <w:jc w:val="center"/>
          <w:trHeight w:val="90"/>
        </w:trPr>
        <w:tc>
          <w:tcPr>
            <w:gridSpan w:val="5"/>
            <w:tcW w:w="995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本地核心机房</w:t>
            </w:r>
            <w:r/>
          </w:p>
        </w:tc>
      </w:tr>
      <w:tr>
        <w:trPr>
          <w:cantSplit/>
          <w:jc w:val="center"/>
          <w:trHeight w:val="376"/>
        </w:trPr>
        <w:tc>
          <w:tcPr>
            <w:tcW w:w="868" w:type="dxa"/>
            <w:vAlign w:val="center"/>
            <w:vMerge w:val="restart"/>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1459" w:type="dxa"/>
            <w:vAlign w:val="center"/>
            <w:vMerge w:val="restart"/>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业务配套软件</w:t>
            </w:r>
            <w:r/>
          </w:p>
        </w:tc>
        <w:tc>
          <w:tcPr>
            <w:tcW w:w="466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北京润乾报表系统</w:t>
            </w:r>
            <w:r/>
          </w:p>
        </w:tc>
        <w:tc>
          <w:tcPr>
            <w:tcW w:w="120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tc>
        <w:tc>
          <w:tcPr>
            <w:tcW w:w="17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cantSplit/>
          <w:jc w:val="center"/>
          <w:trHeight w:val="330"/>
        </w:trPr>
        <w:tc>
          <w:tcPr>
            <w:tcW w:w="868" w:type="dxa"/>
            <w:vAlign w:val="center"/>
            <w:vMerge w:val="continue"/>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1459" w:type="dxa"/>
            <w:vAlign w:val="center"/>
            <w:vMerge w:val="continue"/>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466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IBM决策分析工具</w:t>
            </w:r>
            <w:r/>
          </w:p>
        </w:tc>
        <w:tc>
          <w:tcPr>
            <w:tcW w:w="120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tc>
        <w:tc>
          <w:tcPr>
            <w:tcW w:w="17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cantSplit/>
          <w:jc w:val="center"/>
          <w:trHeight w:val="312"/>
        </w:trPr>
        <w:tc>
          <w:tcPr>
            <w:tcW w:w="868" w:type="dxa"/>
            <w:vAlign w:val="center"/>
            <w:vMerge w:val="continue"/>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1459" w:type="dxa"/>
            <w:vAlign w:val="center"/>
            <w:vMerge w:val="continue"/>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r>
            <w:r/>
          </w:p>
        </w:tc>
        <w:tc>
          <w:tcPr>
            <w:tcW w:w="466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Tomcat中间件系统</w:t>
            </w:r>
            <w:r/>
          </w:p>
        </w:tc>
        <w:tc>
          <w:tcPr>
            <w:tcW w:w="120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tc>
        <w:tc>
          <w:tcPr>
            <w:tcW w:w="17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1套</w:t>
            </w:r>
            <w:r/>
          </w:p>
        </w:tc>
      </w:tr>
      <w:tr>
        <w:trPr>
          <w:jc w:val="center"/>
          <w:trHeight w:val="382"/>
        </w:trPr>
        <w:tc>
          <w:tcPr>
            <w:gridSpan w:val="5"/>
            <w:tcW w:w="9957"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各管理部、服务点</w:t>
            </w:r>
            <w:r/>
          </w:p>
        </w:tc>
      </w:tr>
      <w:tr>
        <w:trPr>
          <w:jc w:val="center"/>
          <w:trHeight w:val="382"/>
        </w:trPr>
        <w:tc>
          <w:tcPr>
            <w:tcW w:w="868"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1</w:t>
            </w:r>
            <w:r/>
          </w:p>
        </w:tc>
        <w:tc>
          <w:tcPr>
            <w:tcW w:w="14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监控系统</w:t>
            </w:r>
            <w:r/>
          </w:p>
        </w:tc>
        <w:tc>
          <w:tcPr>
            <w:tcW w:w="466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海康威视（含摄像头，存储、IVMS平台软件）</w:t>
            </w:r>
            <w:r/>
          </w:p>
        </w:tc>
        <w:tc>
          <w:tcPr>
            <w:tcW w:w="120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（含软件）</w:t>
            </w:r>
            <w:r/>
          </w:p>
        </w:tc>
        <w:tc>
          <w:tcPr>
            <w:tcW w:w="177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各管理部</w:t>
            </w:r>
            <w:r/>
          </w:p>
        </w:tc>
      </w:tr>
      <w:tr>
        <w:trPr>
          <w:jc w:val="center"/>
          <w:trHeight w:val="986"/>
        </w:trPr>
        <w:tc>
          <w:tcPr>
            <w:tcW w:w="868"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2</w:t>
            </w:r>
            <w:r/>
          </w:p>
        </w:tc>
        <w:tc>
          <w:tcPr>
            <w:tcW w:w="14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自助服务系统</w:t>
            </w:r>
            <w:r/>
          </w:p>
        </w:tc>
        <w:tc>
          <w:tcPr>
            <w:tcW w:w="4660" w:type="dxa"/>
            <w:vAlign w:val="center"/>
            <w:textDirection w:val="lrTb"/>
            <w:noWrap w:val="false"/>
          </w:tcPr>
          <w:p>
            <w:pPr>
              <w:pStyle w:val="1025"/>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中意恒信（自助服务一体机、窗口屏、综合屏、叫号器、排队叫号软件、预约取号系统软件）</w:t>
            </w:r>
            <w:r/>
          </w:p>
        </w:tc>
        <w:tc>
          <w:tcPr>
            <w:tcW w:w="120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（含软件）</w:t>
            </w:r>
            <w:r/>
          </w:p>
        </w:tc>
        <w:tc>
          <w:tcPr>
            <w:tcW w:w="1770"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各管理部</w:t>
            </w:r>
            <w:r/>
          </w:p>
        </w:tc>
      </w:tr>
      <w:tr>
        <w:trPr>
          <w:jc w:val="center"/>
          <w:trHeight w:val="364"/>
        </w:trPr>
        <w:tc>
          <w:tcPr>
            <w:tcW w:w="868"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3</w:t>
            </w:r>
            <w:r/>
          </w:p>
        </w:tc>
        <w:tc>
          <w:tcPr>
            <w:tcW w:w="14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信息发布</w:t>
            </w:r>
            <w:r/>
          </w:p>
        </w:tc>
        <w:tc>
          <w:tcPr>
            <w:tcW w:w="466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室内全彩屏</w:t>
            </w:r>
            <w:r/>
          </w:p>
        </w:tc>
        <w:tc>
          <w:tcPr>
            <w:tcW w:w="120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77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各管理部</w:t>
            </w:r>
            <w:r/>
          </w:p>
        </w:tc>
      </w:tr>
      <w:tr>
        <w:trPr>
          <w:jc w:val="center"/>
          <w:trHeight w:val="382"/>
        </w:trPr>
        <w:tc>
          <w:tcPr>
            <w:tcW w:w="868"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4</w:t>
            </w:r>
            <w:r/>
          </w:p>
        </w:tc>
        <w:tc>
          <w:tcPr>
            <w:tcW w:w="1459"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多计算机切换器</w:t>
            </w:r>
            <w:r/>
          </w:p>
        </w:tc>
        <w:tc>
          <w:tcPr>
            <w:tcW w:w="466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IBM KVM 1754A1X</w:t>
            </w:r>
            <w:r/>
          </w:p>
        </w:tc>
        <w:tc>
          <w:tcPr>
            <w:tcW w:w="120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tc>
        <w:tc>
          <w:tcPr>
            <w:tcW w:w="1770" w:type="dxa"/>
            <w:vAlign w:val="center"/>
            <w:textDirection w:val="lrTb"/>
            <w:noWrap w:val="false"/>
          </w:tcPr>
          <w:p>
            <w:pPr>
              <w:pStyle w:val="1025"/>
              <w:jc w:val="center"/>
              <w:spacing w:line="24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3台</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5"/>
        <w:spacing w:line="360" w:lineRule="exact"/>
        <w:tabs>
          <w:tab w:val="left" w:pos="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说明：本“（一）服务范围及服务清单”为不允许偏离的实质性要求和条件，如有偏离，在符合性审查时按照投标无效处理。</w:t>
      </w:r>
      <w:r/>
    </w:p>
    <w:p>
      <w:pPr>
        <w:pStyle w:val="70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（二）技术要求</w:t>
      </w:r>
      <w:r/>
    </w:p>
    <w:p>
      <w:pPr>
        <w:pStyle w:val="707"/>
        <w:numPr>
          <w:ilvl w:val="3"/>
          <w:numId w:val="0"/>
        </w:numPr>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1.核心业务生产系统要求</w:t>
      </w:r>
      <w:r/>
    </w:p>
    <w:tbl>
      <w:tblPr>
        <w:tblStyle w:val="714"/>
        <w:tblW w:w="10274"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335"/>
        <w:gridCol w:w="7337"/>
        <w:gridCol w:w="831"/>
      </w:tblGrid>
      <w:tr>
        <w:trPr/>
        <w:tc>
          <w:tcPr>
            <w:tcW w:w="771"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p>
        </w:tc>
        <w:tc>
          <w:tcPr>
            <w:tcW w:w="1335"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维护项目</w:t>
            </w:r>
            <w:r/>
          </w:p>
        </w:tc>
        <w:tc>
          <w:tcPr>
            <w:tcW w:w="7337"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服务技术要求</w:t>
            </w:r>
            <w:r/>
          </w:p>
        </w:tc>
        <w:tc>
          <w:tcPr>
            <w:tcW w:w="831" w:type="dxa"/>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维护等级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总体要求</w:t>
            </w:r>
            <w:r/>
          </w:p>
        </w:tc>
        <w:tc>
          <w:tcPr>
            <w:tcW w:w="7337"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日常维护、性能优化、事件处理、分析报告、性能监控、维修维保、体系建设等</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3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bidi="ar-SA"/>
              </w:rPr>
              <w:t xml:space="preserve">系统设备规划管理</w:t>
            </w:r>
            <w:r/>
          </w:p>
        </w:tc>
        <w:tc>
          <w:tcPr>
            <w:tcW w:w="7337" w:type="dxa"/>
            <w:textDirection w:val="lrTb"/>
            <w:noWrap w:val="false"/>
          </w:tcPr>
          <w:p>
            <w:pPr>
              <w:pStyle w:val="1025"/>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包括但不限于：</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检查服务器、存储、备份设备、交换机等系统相关设备是否正常运行，是否有指示硬件故障报警；</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检查平台系统、软件系统、安全防护系统是否有告警或异常日志。</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系统设备预防性工作</w:t>
            </w:r>
            <w:r/>
          </w:p>
        </w:tc>
        <w:tc>
          <w:tcPr>
            <w:tcW w:w="7337" w:type="dxa"/>
            <w:textDirection w:val="lrTb"/>
            <w:noWrap w:val="false"/>
          </w:tcPr>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检查系统资源使用情况，包括本地资源和云上分配资源，及时制定调整配置或向云服务商申请释放资源，并告知采购人；</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定期检查本地硬盘状态，当出现性能下降，及时按照计划进行资源均衡和必要更换；</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分析判断硬件设备可能存在的故障隐患及原因，第一时间向采购人提出修复、改善建议并根据采购人的决定进行实施。</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系统设备备品备件</w:t>
            </w:r>
            <w:r/>
          </w:p>
        </w:tc>
        <w:tc>
          <w:tcPr>
            <w:tcW w:w="7337"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提供设备硬盘*2、CPU*1、内存*4、控制器、电源模块等必要备件</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数据库定期巡检服务</w:t>
            </w:r>
            <w:r/>
          </w:p>
        </w:tc>
        <w:tc>
          <w:tcPr>
            <w:tcW w:w="7337" w:type="dxa"/>
            <w:textDirection w:val="lrTb"/>
            <w:noWrap w:val="false"/>
          </w:tcPr>
          <w:p>
            <w:pPr>
              <w:pStyle w:val="1025"/>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包括但不限于：</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检查数据库配置情况，收集数据库运行期间的负载情况和各性能指标；</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检查各表空间的变化情况等，并对数据变化情况作评估。</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数据库技术支持服务</w:t>
            </w:r>
            <w:r/>
          </w:p>
        </w:tc>
        <w:tc>
          <w:tcPr>
            <w:tcW w:w="7337" w:type="dxa"/>
            <w:textDirection w:val="lrTb"/>
            <w:noWrap w:val="false"/>
          </w:tcPr>
          <w:p>
            <w:pPr>
              <w:pStyle w:val="1025"/>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提供7*24小时远程+现场故障技术支持服务，包括但不限于：</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对数据库系统故障或与数据库系统相关联的故障，中标人提供7*24小时远程+现场应急响应支持服务；</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当需要进行现场综合排障或采购人要求进行现场支持服务的情况，要求中标人数据库相关维护人员乃至专家后援服务团队人员在15分钟内到达现场。</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服务期内数据库部署、升级、迁移、割接服务</w:t>
            </w:r>
            <w:r/>
          </w:p>
        </w:tc>
        <w:tc>
          <w:tcPr>
            <w:tcW w:w="7337" w:type="dxa"/>
            <w:textDirection w:val="lrTb"/>
            <w:noWrap w:val="false"/>
          </w:tcPr>
          <w:p>
            <w:pPr>
              <w:pStyle w:val="1025"/>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包括但不限于：</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应采购人业务需求，在服务期内提供数据库部署服务；</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中标人根据采购人具体需求，进行升级和迁移割接评估规划，制定相关方案，评估方案优缺点和可能产生的风险，并及时告知采购人；</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进行技术支持和实施配合，使数据库部署、升级、迁移、割接后正常运行并提升效率，保证数据安全。</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数据库优化服务</w:t>
            </w:r>
            <w:r/>
          </w:p>
        </w:tc>
        <w:tc>
          <w:tcPr>
            <w:tcW w:w="7337" w:type="dxa"/>
            <w:textDirection w:val="lrTb"/>
            <w:noWrap w:val="false"/>
          </w:tcPr>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服务期内不限次的数据库优化服务，保障数据库高效稳定运行；</w:t>
            </w:r>
            <w:r/>
          </w:p>
          <w:p>
            <w:pPr>
              <w:pStyle w:val="1025"/>
              <w:ind w:firstLine="480"/>
              <w:jc w:val="left"/>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结合系统检查内容和采购人重大事件等实际需要，根据检查的内容和用户提出的具体需求，制定数据库性能调优方案。</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结合政策、法律法规要求，做好数据治理方案咨询技术支持服务</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数据库备份体系规划建设</w:t>
            </w:r>
            <w:r/>
          </w:p>
        </w:tc>
        <w:tc>
          <w:tcPr>
            <w:tcW w:w="7337" w:type="dxa"/>
            <w:textDirection w:val="lrTb"/>
            <w:noWrap w:val="false"/>
          </w:tcPr>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积金核心业务备份系统分为本地备份系统，政务云上备份系统，备份内容包括但不限于核心数据库系统、电子档案系统，数据库容灾备份系统，为保护数据，保证业务连续性，本着经济，高效的原则，在充分利用现有旧硬件资源的基础之上，结合现有可用云资源</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进行科学、可持续的容灾备份系统建设</w:t>
            </w:r>
            <w:r>
              <w:rPr>
                <w:rFonts w:hint="eastAsia" w:ascii="宋体" w:hAnsi="宋体" w:eastAsia="宋体" w:cs="宋体"/>
                <w:sz w:val="24"/>
                <w:szCs w:val="24"/>
                <w:highlight w:val="none"/>
                <w:lang w:val="en-US" w:eastAsia="zh-CN"/>
              </w:rPr>
              <w:t xml:space="preserve">提供技术支持和实施配合</w:t>
            </w:r>
            <w:r>
              <w:rPr>
                <w:rFonts w:hint="eastAsia" w:ascii="宋体" w:hAnsi="宋体" w:eastAsia="宋体" w:cs="宋体"/>
                <w:sz w:val="24"/>
                <w:szCs w:val="24"/>
                <w:highlight w:val="none"/>
              </w:rPr>
              <w:t xml:space="preserve">。</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数据库备份机制</w:t>
            </w:r>
            <w:r/>
          </w:p>
        </w:tc>
        <w:tc>
          <w:tcPr>
            <w:tcW w:w="7337" w:type="dxa"/>
            <w:textDirection w:val="lrTb"/>
            <w:noWrap w:val="false"/>
          </w:tcPr>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作为生产系统的辅助系统，备份系统对生产系统主机的负荷不能有明显影响，资源占用（CPU、内存、I/O、网络等）不影响生产系统的高效稳定运行。</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33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数据库备份方案</w:t>
            </w:r>
            <w:r/>
          </w:p>
        </w:tc>
        <w:tc>
          <w:tcPr>
            <w:tcW w:w="7337" w:type="dxa"/>
            <w:textDirection w:val="lrTb"/>
            <w:noWrap w:val="false"/>
          </w:tcPr>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投标人要充分了解采购人用户应用环境，现有系统设备、网络和应用软件及其它系统状况，进行灾备系统详细设计，并制定最切合用户实际的灾备方案实施方案，投标时必须提交完整的设计方案和实施方案。</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7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W w:w="133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测试配合</w:t>
            </w:r>
            <w:r/>
          </w:p>
        </w:tc>
        <w:tc>
          <w:tcPr>
            <w:tcW w:w="7337" w:type="dxa"/>
            <w:textDirection w:val="lrTb"/>
            <w:noWrap w:val="false"/>
          </w:tcPr>
          <w:p>
            <w:pPr>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根据业务系统需求，及时进行数据库资源的释放和调整</w:t>
            </w:r>
            <w:r/>
          </w:p>
        </w:tc>
        <w:tc>
          <w:tcPr>
            <w:tcW w:w="831"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bl>
    <w:p>
      <w:pPr>
        <w:pStyle w:val="707"/>
        <w:numPr>
          <w:ilvl w:val="3"/>
          <w:numId w:val="0"/>
        </w:numPr>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2.虚拟化平台系统要求</w:t>
      </w:r>
      <w:r/>
    </w:p>
    <w:tbl>
      <w:tblPr>
        <w:tblStyle w:val="714"/>
        <w:tblW w:w="10247" w:type="dxa"/>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31"/>
        <w:gridCol w:w="7315"/>
        <w:gridCol w:w="842"/>
      </w:tblGrid>
      <w:tr>
        <w:trPr/>
        <w:tc>
          <w:tcPr>
            <w:tcW w:w="759"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p>
        </w:tc>
        <w:tc>
          <w:tcPr>
            <w:tcW w:w="1331"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维护项目</w:t>
            </w:r>
            <w:r/>
          </w:p>
        </w:tc>
        <w:tc>
          <w:tcPr>
            <w:tcW w:w="7315"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服务技术要求</w:t>
            </w:r>
            <w:r/>
          </w:p>
        </w:tc>
        <w:tc>
          <w:tcPr>
            <w:tcW w:w="842" w:type="dxa"/>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维护等级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总体要求</w:t>
            </w:r>
            <w:r/>
          </w:p>
        </w:tc>
        <w:tc>
          <w:tcPr>
            <w:tcW w:w="7315"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日常维护、性能优化、事件处理、分析报告、性能监控、维修维保、体系建设等。</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3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bidi="ar-SA"/>
              </w:rPr>
              <w:t xml:space="preserve">系统设备规划管理</w:t>
            </w:r>
            <w:r/>
          </w:p>
        </w:tc>
        <w:tc>
          <w:tcPr>
            <w:tcW w:w="7315" w:type="dxa"/>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包括但不限于：</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检查服务器、存储、备份设备、交换机等系统相关设备是否正常运行，是否有指示硬件故障报警；</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检查平台系统、软件系统、安全防护系统是否有告警或异常日志。</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系统设备预防性工作</w:t>
            </w:r>
            <w:r/>
          </w:p>
        </w:tc>
        <w:tc>
          <w:tcPr>
            <w:tcW w:w="731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检查系统资源使用情况，包括本地资源和云上分配资源，及时制定调整配置或向云服务商申请释放资源，并告知采购人。</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定期检查本地硬盘状态，当出现性能下降，及时按照计划进行资源均衡和必要更换；</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分析判断硬件设备可能存在的故障隐患及原因，第一时间向采购人提出修复、改善建议并根据采购人的决定进行实施。</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系统设备备品备件</w:t>
            </w:r>
            <w:r/>
          </w:p>
        </w:tc>
        <w:tc>
          <w:tcPr>
            <w:tcW w:w="731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提供刀片服务器交换背板、端口许可等必要备件</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rHeight w:val="334"/>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日常维护与故障排除</w:t>
            </w:r>
            <w:r/>
          </w:p>
        </w:tc>
        <w:tc>
          <w:tcPr>
            <w:tcW w:w="7315" w:type="dxa"/>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包括但不限于：</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结合业务调整，规划、部署虚拟服务器；</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结合各业务系统的需求，按需分配CPU、内存和存储等；</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每月总结虚拟化维护服务内容，提供虚拟化维护报告</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技术支持服务</w:t>
            </w:r>
            <w:r/>
          </w:p>
        </w:tc>
        <w:tc>
          <w:tcPr>
            <w:tcW w:w="7315" w:type="dxa"/>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提供7*24小时远程+现场，包括但不限于：</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对虚拟化系统故障或与虚拟化系统相关联的故障，中标人提供7*24小时远程+现场应急响应支持服务；</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当需要进行现场综合排障或采购人要求进行现场支持服务的情况，要求中标人虚拟化系统相关维护人员乃至专家后援服务团队人员在15分钟内到达现场。</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虚拟化系统优化服务</w:t>
            </w:r>
            <w:r/>
          </w:p>
        </w:tc>
        <w:tc>
          <w:tcPr>
            <w:tcW w:w="731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按用户业务系统需要对现有虚拟化系统进行架构调整、性能调优等工作；</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每月对虚拟化平台硬件资源池使用状况进行统计，各虚拟机占用资源分布情况进行统计；</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提供资源优化建议方案，实施方案，调整和优化有关系统参数。</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数据迁移服务</w:t>
            </w:r>
            <w:r/>
          </w:p>
        </w:tc>
        <w:tc>
          <w:tcPr>
            <w:tcW w:w="7315"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根据采购人需要提供其他物理机应用向虚拟化平台的迁移的技术支持。</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系统安全</w:t>
            </w:r>
            <w:r/>
          </w:p>
        </w:tc>
        <w:tc>
          <w:tcPr>
            <w:tcW w:w="7315"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提供完整可用备份系统，备份内容完整性、等级、机制与核心业务系统一致，提供容灾演练现场技术支持服务</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r>
        <w:trPr/>
        <w:tc>
          <w:tcPr>
            <w:tcW w:w="759"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1331"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测试配合</w:t>
            </w:r>
            <w:r/>
          </w:p>
        </w:tc>
        <w:tc>
          <w:tcPr>
            <w:tcW w:w="7315"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根据业务系统需求，及时进行虚拟机资源的释放和调整</w:t>
            </w:r>
            <w:r/>
          </w:p>
        </w:tc>
        <w:tc>
          <w:tcPr>
            <w:tcW w:w="84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Ⅰ级</w:t>
            </w:r>
            <w:r/>
          </w:p>
        </w:tc>
      </w:tr>
    </w:tbl>
    <w:p>
      <w:pPr>
        <w:pStyle w:val="707"/>
        <w:numPr>
          <w:ilvl w:val="3"/>
          <w:numId w:val="0"/>
        </w:numPr>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3.业务互联系统要求</w:t>
      </w:r>
      <w:r/>
    </w:p>
    <w:tbl>
      <w:tblPr>
        <w:tblStyle w:val="714"/>
        <w:tblW w:w="10264" w:type="dxa"/>
        <w:tblInd w:w="-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348"/>
        <w:gridCol w:w="7348"/>
        <w:gridCol w:w="809"/>
      </w:tblGrid>
      <w:tr>
        <w:trPr/>
        <w:tc>
          <w:tcPr>
            <w:tcW w:w="759"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p>
        </w:tc>
        <w:tc>
          <w:tcPr>
            <w:tcW w:w="1348"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维护项目</w:t>
            </w:r>
            <w:r/>
          </w:p>
        </w:tc>
        <w:tc>
          <w:tcPr>
            <w:tcW w:w="7348"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服务技术要求</w:t>
            </w:r>
            <w:r/>
          </w:p>
        </w:tc>
        <w:tc>
          <w:tcPr>
            <w:tcW w:w="809" w:type="dxa"/>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维护等级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总体要求</w:t>
            </w:r>
            <w:r/>
          </w:p>
        </w:tc>
        <w:tc>
          <w:tcPr>
            <w:tcW w:w="7348" w:type="dxa"/>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日常维护、性能优化、事件处理、分析报告、性能监控、维修维保、体系建设等。</w:t>
            </w:r>
            <w:r/>
          </w:p>
        </w:tc>
        <w:tc>
          <w:tcPr>
            <w:tcW w:w="80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Ⅱ级</w:t>
            </w:r>
            <w:r/>
          </w:p>
        </w:tc>
      </w:tr>
      <w:tr>
        <w:trPr/>
        <w:tc>
          <w:tcPr>
            <w:tcW w:w="75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48"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bidi="ar-SA"/>
              </w:rPr>
              <w:t xml:space="preserve">系统设备规划管理</w:t>
            </w:r>
            <w:r/>
          </w:p>
        </w:tc>
        <w:tc>
          <w:tcPr>
            <w:tcW w:w="7348" w:type="dxa"/>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包括但不限于：</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对涉及网络相关系统的新建、扩容、升级等要求提供专业的技术建议、设计、指导以及实施等。</w:t>
            </w:r>
            <w:r/>
          </w:p>
        </w:tc>
        <w:tc>
          <w:tcPr>
            <w:tcW w:w="80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Ⅱ级</w:t>
            </w:r>
            <w:r/>
          </w:p>
        </w:tc>
      </w:tr>
    </w:tbl>
    <w:p>
      <w:pPr>
        <w:pStyle w:val="707"/>
        <w:numPr>
          <w:ilvl w:val="3"/>
          <w:numId w:val="0"/>
        </w:numPr>
        <w:rPr>
          <w:rFonts w:hint="eastAsia" w:ascii="宋体" w:hAnsi="宋体" w:eastAsia="宋体" w:cs="宋体"/>
          <w:b/>
          <w:bCs/>
          <w:sz w:val="24"/>
          <w:szCs w:val="24"/>
          <w:highlight w:val="none"/>
          <w:lang w:val="en-US"/>
        </w:rPr>
      </w:pPr>
      <w:r/>
      <w:bookmarkStart w:id="21" w:name="4.安全防护系统"/>
      <w:r/>
      <w:bookmarkEnd w:id="21"/>
      <w:r>
        <w:rPr>
          <w:rFonts w:hint="eastAsia" w:ascii="宋体" w:hAnsi="宋体" w:eastAsia="宋体" w:cs="宋体"/>
          <w:b/>
          <w:bCs/>
          <w:sz w:val="24"/>
          <w:szCs w:val="24"/>
          <w:highlight w:val="none"/>
          <w:lang w:val="en-US"/>
        </w:rPr>
        <w:t xml:space="preserve">4.安全防护系统要求</w:t>
      </w:r>
      <w:r/>
    </w:p>
    <w:tbl>
      <w:tblPr>
        <w:tblStyle w:val="714"/>
        <w:tblW w:w="10280" w:type="dxa"/>
        <w:tblInd w:w="-5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331"/>
        <w:gridCol w:w="7365"/>
        <w:gridCol w:w="792"/>
      </w:tblGrid>
      <w:tr>
        <w:trPr/>
        <w:tc>
          <w:tcPr>
            <w:tcW w:w="792"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p>
        </w:tc>
        <w:tc>
          <w:tcPr>
            <w:tcW w:w="1331"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维护项目</w:t>
            </w:r>
            <w:r/>
          </w:p>
        </w:tc>
        <w:tc>
          <w:tcPr>
            <w:tcW w:w="7365"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服务技术要求</w:t>
            </w:r>
            <w:r/>
          </w:p>
        </w:tc>
        <w:tc>
          <w:tcPr>
            <w:tcW w:w="792" w:type="dxa"/>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维护等级</w:t>
            </w:r>
            <w:r/>
          </w:p>
        </w:tc>
      </w:tr>
      <w:tr>
        <w:trPr/>
        <w:tc>
          <w:tcPr>
            <w:tcW w:w="7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3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硬件</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w:t>
            </w:r>
            <w:r/>
          </w:p>
        </w:tc>
        <w:tc>
          <w:tcPr>
            <w:tcW w:w="7365" w:type="dxa"/>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日常定期巡检：</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通过对设备定期检测、维护和保养，保障核心网络运行稳定、延长设备生命周期，降低故障率；</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定期检验、优化安全策略，定期升级设备特征库，并解决存在的使用隐患和安全问题；</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提供适用于现行设备电源模块、板卡等必要备件；</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需提供不低于现行设备性能的整机备件。</w:t>
            </w:r>
            <w:r/>
          </w:p>
        </w:tc>
        <w:tc>
          <w:tcPr>
            <w:tcW w:w="79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Ⅱ级</w:t>
            </w:r>
            <w:r/>
          </w:p>
        </w:tc>
      </w:tr>
      <w:tr>
        <w:trPr/>
        <w:tc>
          <w:tcPr>
            <w:tcW w:w="7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3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软件</w:t>
            </w:r>
            <w:r/>
          </w:p>
          <w:p>
            <w:pPr>
              <w:pStyle w:val="1025"/>
              <w:jc w:val="center"/>
              <w:spacing w:line="36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bidi="ar-SA"/>
              </w:rPr>
              <w:t xml:space="preserve">系统</w:t>
            </w:r>
            <w:r/>
          </w:p>
        </w:tc>
        <w:tc>
          <w:tcPr>
            <w:tcW w:w="7365" w:type="dxa"/>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日常维护要求：</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确保杀毒软件服务器稳定运行，功能服务启用正常；</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确保本地病毒库定期更新至最新；</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确保各营业部、管理部、服务点内网各客户端杀毒软件分发到位，正确安装、与杀毒服务端网络连接正常；</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根据中心内网实际环境制定病毒防护策略，定期对内网客户端进行杀毒。</w:t>
            </w:r>
            <w:r/>
          </w:p>
        </w:tc>
        <w:tc>
          <w:tcPr>
            <w:tcW w:w="79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Ⅱ级</w:t>
            </w:r>
            <w:r/>
          </w:p>
        </w:tc>
      </w:tr>
      <w:tr>
        <w:trPr/>
        <w:tc>
          <w:tcPr>
            <w:tcW w:w="7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3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防（杀）病毒服务</w:t>
            </w:r>
            <w:r/>
          </w:p>
        </w:tc>
        <w:tc>
          <w:tcPr>
            <w:tcW w:w="736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制定合理防病毒策略和安全管理制度，推行全网病毒防护管理策略；</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定期巡检全网络病毒情况，使病毒对系统的危害降至最低；</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实时关注最新的病毒事态，结合中心内网特点，制定针对新病毒及威胁的防护方案。</w:t>
            </w:r>
            <w:r/>
          </w:p>
        </w:tc>
        <w:tc>
          <w:tcPr>
            <w:tcW w:w="79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Ⅲ级</w:t>
            </w:r>
            <w:r/>
          </w:p>
        </w:tc>
      </w:tr>
      <w:tr>
        <w:trPr/>
        <w:tc>
          <w:tcPr>
            <w:tcW w:w="7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31"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网管</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w:t>
            </w:r>
            <w:r/>
          </w:p>
        </w:tc>
        <w:tc>
          <w:tcPr>
            <w:tcW w:w="736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网管软硬件系统日常巡检维护：</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拓扑图调整、性能优化升级（包括设备管理点位的扩容）；</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数据采集终端的数据收集与告警情况处理；</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随时根据机房设备和系统实际情况对终端显示系统进行调试。</w:t>
            </w:r>
            <w:r/>
          </w:p>
        </w:tc>
        <w:tc>
          <w:tcPr>
            <w:tcW w:w="792"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Ⅲ级</w:t>
            </w:r>
            <w:r/>
          </w:p>
        </w:tc>
      </w:tr>
    </w:tbl>
    <w:p>
      <w:pPr>
        <w:pStyle w:val="707"/>
        <w:numPr>
          <w:ilvl w:val="3"/>
          <w:numId w:val="0"/>
        </w:numPr>
        <w:rPr>
          <w:rFonts w:hint="eastAsia" w:ascii="宋体" w:hAnsi="宋体" w:eastAsia="宋体" w:cs="宋体"/>
          <w:sz w:val="24"/>
          <w:szCs w:val="24"/>
          <w:highlight w:val="none"/>
        </w:rPr>
      </w:pPr>
      <w:r/>
      <w:bookmarkStart w:id="22" w:name="1）运维服务内容"/>
      <w:r/>
      <w:bookmarkEnd w:id="22"/>
      <w:r/>
      <w:bookmarkStart w:id="23" w:name="5、其他业务配套设备"/>
      <w:r/>
      <w:bookmarkEnd w:id="23"/>
      <w:r>
        <w:rPr>
          <w:rFonts w:hint="eastAsia" w:ascii="宋体" w:hAnsi="宋体" w:eastAsia="宋体" w:cs="宋体"/>
          <w:b/>
          <w:bCs/>
          <w:sz w:val="24"/>
          <w:szCs w:val="24"/>
          <w:highlight w:val="none"/>
          <w:lang w:val="en-US"/>
        </w:rPr>
        <w:t xml:space="preserve">5.其他业务配套设备要求</w:t>
      </w:r>
      <w:r/>
    </w:p>
    <w:tbl>
      <w:tblPr>
        <w:tblStyle w:val="714"/>
        <w:tblW w:w="10264" w:type="dxa"/>
        <w:tblInd w:w="-5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348"/>
        <w:gridCol w:w="7315"/>
        <w:gridCol w:w="809"/>
      </w:tblGrid>
      <w:tr>
        <w:trPr/>
        <w:tc>
          <w:tcPr>
            <w:tcW w:w="792" w:type="dxa"/>
            <w:vAlign w:val="center"/>
            <w:textDirection w:val="lrTb"/>
            <w:noWrap w:val="false"/>
          </w:tcPr>
          <w:p>
            <w:pPr>
              <w:jc w:val="center"/>
              <w:rPr>
                <w:rFonts w:hint="eastAsia" w:ascii="宋体" w:hAnsi="宋体" w:eastAsia="宋体" w:cs="宋体"/>
                <w:b/>
                <w:bCs w:val="0"/>
                <w:sz w:val="24"/>
                <w:szCs w:val="24"/>
                <w:highlight w:val="none"/>
              </w:rPr>
            </w:pPr>
            <w:r/>
            <w:bookmarkStart w:id="24" w:name="6、业务监督、便民服务系统"/>
            <w:r/>
            <w:bookmarkEnd w:id="24"/>
            <w:r>
              <w:rPr>
                <w:rFonts w:hint="eastAsia" w:ascii="宋体" w:hAnsi="宋体" w:eastAsia="宋体" w:cs="宋体"/>
                <w:b/>
                <w:bCs w:val="0"/>
                <w:sz w:val="24"/>
                <w:szCs w:val="24"/>
                <w:highlight w:val="none"/>
              </w:rPr>
              <w:t xml:space="preserve">序号</w:t>
            </w:r>
            <w:r/>
          </w:p>
        </w:tc>
        <w:tc>
          <w:tcPr>
            <w:tcW w:w="1348"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维护项目</w:t>
            </w:r>
            <w:r/>
          </w:p>
        </w:tc>
        <w:tc>
          <w:tcPr>
            <w:tcW w:w="7315" w:type="dxa"/>
            <w:vAlign w:val="center"/>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服务技术要求</w:t>
            </w:r>
            <w:r/>
          </w:p>
        </w:tc>
        <w:tc>
          <w:tcPr>
            <w:tcW w:w="809" w:type="dxa"/>
            <w:textDirection w:val="lrTb"/>
            <w:noWrap w:val="false"/>
          </w:tcPr>
          <w:p>
            <w:pPr>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维护等级</w:t>
            </w:r>
            <w:r/>
          </w:p>
        </w:tc>
      </w:tr>
      <w:tr>
        <w:trPr/>
        <w:tc>
          <w:tcPr>
            <w:tcW w:w="7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业务配套软件</w:t>
            </w:r>
            <w:r/>
          </w:p>
        </w:tc>
        <w:tc>
          <w:tcPr>
            <w:tcW w:w="7315" w:type="dxa"/>
            <w:textDirection w:val="lrTb"/>
            <w:noWrap w:val="false"/>
          </w:tcPr>
          <w:p>
            <w:pPr>
              <w:pStyle w:val="1025"/>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bidi="ar-SA"/>
              </w:rPr>
              <w:t xml:space="preserve">对软件系统的正常使用和配合业务软件的系统联调</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插件安装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系统调试。</w:t>
            </w:r>
            <w:r/>
          </w:p>
        </w:tc>
        <w:tc>
          <w:tcPr>
            <w:tcW w:w="80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III级</w:t>
            </w:r>
            <w:r/>
          </w:p>
        </w:tc>
      </w:tr>
      <w:tr>
        <w:trPr/>
        <w:tc>
          <w:tcPr>
            <w:tcW w:w="792"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348"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监控</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w:t>
            </w:r>
            <w:r/>
          </w:p>
        </w:tc>
        <w:tc>
          <w:tcPr>
            <w:tcW w:w="731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监控系统，含市区及所有县区管理部；</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监控系统的日常维护，巡检，保障监控系统正常运行，每周巡检不低于三次；</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根据要求对监控系统进行调优和系统升级提供摄像头、拾音器、监控存储硬盘等必要配件，如遇故障按采购人要求进行上门维修更换等服务。</w:t>
            </w:r>
            <w:r/>
          </w:p>
        </w:tc>
        <w:tc>
          <w:tcPr>
            <w:tcW w:w="80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III级</w:t>
            </w:r>
            <w:r/>
          </w:p>
        </w:tc>
      </w:tr>
      <w:tr>
        <w:trPr/>
        <w:tc>
          <w:tcPr>
            <w:tcW w:w="792"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134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自助服务系统硬件</w:t>
            </w:r>
            <w:r/>
          </w:p>
        </w:tc>
        <w:tc>
          <w:tcPr>
            <w:tcW w:w="731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根据各服务点用户业务要求进行对应显示内容调试；</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提供排队主机（屏幕、主板、电源、硬盘等）、窗口屏（液晶屏、板卡、电源等）、叫号器等必要配件，如遇故障按采购人要求进行上门维修更换等服务；</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根据使用要求进行硬件性能升级和必要线路改造。</w:t>
            </w:r>
            <w:r/>
          </w:p>
        </w:tc>
        <w:tc>
          <w:tcPr>
            <w:tcW w:w="80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III级</w:t>
            </w:r>
            <w:r/>
          </w:p>
        </w:tc>
      </w:tr>
      <w:tr>
        <w:trPr>
          <w:trHeight w:val="334"/>
        </w:trPr>
        <w:tc>
          <w:tcPr>
            <w:tcW w:w="792"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1348" w:type="dxa"/>
            <w:vAlign w:val="center"/>
            <w:textDirection w:val="lrTb"/>
            <w:noWrap w:val="false"/>
          </w:tcPr>
          <w:p>
            <w:pPr>
              <w:pStyle w:val="1025"/>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预约取号</w:t>
            </w:r>
            <w:r>
              <w:rPr>
                <w:rFonts w:hint="eastAsia" w:ascii="宋体" w:hAnsi="宋体" w:eastAsia="宋体" w:cs="宋体"/>
                <w:sz w:val="24"/>
                <w:szCs w:val="24"/>
                <w:highlight w:val="none"/>
                <w:lang w:val="en-US" w:eastAsia="zh-CN" w:bidi="ar-SA"/>
              </w:rPr>
              <w:t xml:space="preserve">及信息发布</w:t>
            </w:r>
            <w:r>
              <w:rPr>
                <w:rFonts w:hint="eastAsia" w:ascii="宋体" w:hAnsi="宋体" w:eastAsia="宋体" w:cs="宋体"/>
                <w:sz w:val="24"/>
                <w:szCs w:val="24"/>
                <w:highlight w:val="none"/>
                <w:lang w:val="en-US" w:bidi="ar-SA"/>
              </w:rPr>
              <w:t xml:space="preserve">系统</w:t>
            </w:r>
            <w:r/>
          </w:p>
        </w:tc>
        <w:tc>
          <w:tcPr>
            <w:tcW w:w="7315" w:type="dxa"/>
            <w:textDirection w:val="lrTb"/>
            <w:noWrap w:val="false"/>
          </w:tcPr>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根据采购人业务需求，须配合业务软件进行排队叫号系统接口开发和调试，满足采购人便民服务提升要求；</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提供网上预约取号功能并与业务系统对接；</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在主机提供显示所有服务点排队等待人数、排队进度功能；</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数据实时汇总、实时刷新。</w:t>
            </w:r>
            <w:r/>
          </w:p>
          <w:p>
            <w:pPr>
              <w:pStyle w:val="1025"/>
              <w:ind w:firstLine="480"/>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每季度对屏体进行保养一次，提供备用板卡，如遇故障及时更换，遇重大活动或宣传期间，进行现场保障和技术支持</w:t>
            </w:r>
            <w:r/>
          </w:p>
        </w:tc>
        <w:tc>
          <w:tcPr>
            <w:tcW w:w="80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III级</w:t>
            </w:r>
            <w:r/>
          </w:p>
        </w:tc>
      </w:tr>
    </w:tbl>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6.核心技术维护要求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6.1核心业务生产系统：</w:t>
      </w:r>
      <w:r>
        <w:rPr>
          <w:rFonts w:hint="eastAsia" w:ascii="宋体" w:hAnsi="宋体" w:eastAsia="宋体" w:cs="宋体"/>
          <w:sz w:val="24"/>
          <w:szCs w:val="24"/>
          <w:highlight w:val="none"/>
        </w:rPr>
        <w:t xml:space="preserve">需对备份方案中涉及硬件设备的质保和软件产品的正版化负责。包括壹年数据库升级服务、优化、备份服务，壹年电子档案数据备份服务，且保证现有备份服务不中断；壹年数据库防火墙许可服务。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6.2虚拟化平台系统：</w:t>
      </w:r>
      <w:r>
        <w:rPr>
          <w:rFonts w:hint="eastAsia" w:ascii="宋体" w:hAnsi="宋体" w:eastAsia="宋体" w:cs="宋体"/>
          <w:sz w:val="24"/>
          <w:szCs w:val="24"/>
          <w:highlight w:val="none"/>
        </w:rPr>
        <w:t xml:space="preserve">提供每周一三五定期巡检，巡检内容与招标文件要求一致，提交巡检报告。包括壹年虚拟化系统优化、壹年备份服务。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6.3业务互联系统：</w:t>
      </w:r>
      <w:r>
        <w:rPr>
          <w:rFonts w:hint="eastAsia" w:ascii="宋体" w:hAnsi="宋体" w:eastAsia="宋体" w:cs="宋体"/>
          <w:sz w:val="24"/>
          <w:szCs w:val="24"/>
          <w:highlight w:val="none"/>
        </w:rPr>
        <w:t xml:space="preserve">对各营业部、管理部、服务点设备进行上门维护。提供备机和光模块、光纤线、网线等必要备件。核心交换机需提供与原有交换机能力相当的整机备件，该备机仅供采购人使用维保期限内不得挪作他用。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6.4安全防护系统：</w:t>
      </w:r>
      <w:r>
        <w:rPr>
          <w:rFonts w:hint="eastAsia" w:ascii="宋体" w:hAnsi="宋体" w:eastAsia="宋体" w:cs="宋体"/>
          <w:sz w:val="24"/>
          <w:szCs w:val="24"/>
          <w:highlight w:val="none"/>
        </w:rPr>
        <w:t xml:space="preserve">对各管理部、服务点进行上门维护。包含病毒库和特征库一年升级服务。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6.5其他业务配套设备：</w:t>
      </w:r>
      <w:r>
        <w:rPr>
          <w:rFonts w:hint="eastAsia" w:ascii="宋体" w:hAnsi="宋体" w:eastAsia="宋体" w:cs="宋体"/>
          <w:sz w:val="24"/>
          <w:szCs w:val="24"/>
          <w:highlight w:val="none"/>
        </w:rPr>
        <w:t xml:space="preserve">对各管理部、服务点进行上门维护。排队预约服务要满足现有公积金APP等互联网业务需求，实现与互联网相关渠道的有效衔接，并对现有排队取号系统的使用不造成任何影响，如涉及到相关软件开发和现有硬件改造产生费用，由中标人自行承担，采购人不承担任何费用。</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说明：本“6.核心技术维护要求”为不允许偏离的实质性要求和条件，如有偏离，在符合性审查时按照投标无效处理。</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7.投标文件要求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7.1投标文件中提供《技术方案》文件；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7.2《技术方案》包括以下内容：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7.2.1《核心业务生产系统方案》；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7.2.2《虚拟化平台系统方案》；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7.2.3《业务互联系统方案》；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7.2.4《安全防护系统方案》；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7.2.5《其他业务配套设备方案》。</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（三）项目实施要求</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1.可视化维护要求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可视化分析展示平台，提供高级威胁检测、威胁情报应用、攻击模型自动化分析、重点保护对象分析、网络脆弱性分析、全流量威胁可视化等功能，平台包含系统功能软件和展示终端，实施过程需满足信息安全相关法律法规要求，不得影响采购人日常业务稳定。</w:t>
      </w:r>
      <w:bookmarkStart w:id="25" w:name="2.1、预防性维护"/>
      <w:r/>
      <w:bookmarkEnd w:id="25"/>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2.预防性维护要求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采购人要求定期对采购人的设备及系统进行现场人工巡检，硬件和网络巡检次数一周不少于2次，系统软件巡检次数一周不少于5次，每次巡检服务时间应按采购人要求，最少每次巡检时间不低于2小时，巡检过程中要确认设备运行状态，不得影响正常开展的业务系统，检查系统日志，排除隐患故障，并进行设备保养工作，巡检工作要主动、及时，要完整、具体，并保证时间和质量。如因维保人员个人操作原因造成中心机房的硬件设备或软件系统出现故障，影响业务使用，采购人将根据故障的影响程度进行相应的维保服务费扣减。</w:t>
      </w:r>
      <w:bookmarkStart w:id="26" w:name="2.2、业务互联实施服务"/>
      <w:r/>
      <w:bookmarkEnd w:id="26"/>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3.业务互联实施服务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业务互联类型与方案要求包括但不限于：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银行业务接入方案制定与实施；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外联单位数据交换方案制定与实施；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县区行政服务中心公积金服务窗口与市级中心业务互通方案制定与实施。</w:t>
      </w:r>
      <w:bookmarkStart w:id="27" w:name="2.3、信息安全服务"/>
      <w:r/>
      <w:bookmarkEnd w:id="27"/>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4.信息安全服务</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4.1安全整改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人要求，在等保测评时，根据测评情况做好所有网络和安全设备的安全整改，包括网络和安全设备密码的修改、补丁升级、策略调整等相关工作，确保安全整改过程中及整改后网络和安全设备的正常运行。</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4.2 风险评估服务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对系统定期进行信息安全风险评估，保护网络信息系统的硬件、软件及相关数据，保证控制系统能连续、正常、可靠的运行。</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4.3安全加固服务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徐州市住房公积金管理中心(机关)应用系统面临的安全威胁和发现的安全漏洞，运用系统工具和方法，对应用系统和操作系统加强管理。在严格遵守安全策略的基线对网络与信息系统进行加固的同时，对安全架构进行性能优化。</w:t>
      </w:r>
      <w:bookmarkStart w:id="28" w:name="2.4、增值服务"/>
      <w:r/>
      <w:bookmarkEnd w:id="28"/>
      <w:r>
        <w:rPr>
          <w:rFonts w:hint="eastAsia" w:ascii="宋体" w:hAnsi="宋体" w:eastAsia="宋体" w:cs="宋体"/>
          <w:sz w:val="24"/>
          <w:szCs w:val="24"/>
          <w:highlight w:val="none"/>
        </w:rPr>
        <w:t xml:space="preserve"> </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4.4 其他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维护期限内，采购人如需进行整体业务、系统、场所迁移时，中标人必须全程提供与所维护内容相关的技术支持服务，包括但不限于风险评估、相关方案制定的合理化建议、具体实施以及实施完成后的后续维护，保证原有维保服务依然有效，维护等级、响应等级、时效要求与原有维保项目一致。</w:t>
      </w:r>
      <w:bookmarkStart w:id="29" w:name="（三）档案提交"/>
      <w:r/>
      <w:bookmarkEnd w:id="29"/>
      <w:r/>
      <w:bookmarkStart w:id="30" w:name="（三）运维服务实施团队"/>
      <w:r/>
      <w:bookmarkEnd w:id="30"/>
      <w:r/>
      <w:bookmarkStart w:id="31" w:name="3.1、团队人员要求"/>
      <w:r/>
      <w:bookmarkEnd w:id="31"/>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5.档案管理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中标人应建立完整的文档记录，按时向采购人提供装订成册的纸质版与电子版，包括但不限于：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5.1维护设备的详细配置信息；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5.2网络结构拓扑图，包括位置、参数、配置的变更；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5.3巡检类报告；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5.4预防性报告；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5.5总结类报告</w:t>
      </w:r>
      <w:bookmarkStart w:id="32" w:name="（四）应急保障"/>
      <w:r/>
      <w:bookmarkEnd w:id="32"/>
      <w:r>
        <w:rPr>
          <w:rFonts w:hint="eastAsia" w:ascii="宋体" w:hAnsi="宋体" w:eastAsia="宋体" w:cs="宋体"/>
          <w:sz w:val="24"/>
          <w:szCs w:val="24"/>
          <w:highlight w:val="none"/>
        </w:rPr>
        <w:t xml:space="preserve">。</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6.应急保障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针对本次采购项目，中标人要建立切实可行的应急保障预案，配合采购人定期组织应急响应演练，提高应急响应速度和能力。包括但不限于：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6.1人员组织；</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6.2配置备份；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6.3备件设备保障；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6.4故障处理流程；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6.5数据备份与恢复；</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7.备件库要求</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7.1本地备件库</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于住房公积金业务的特殊性和即时性，业务办理人员和工作人员对于中心的办事效率相比其他部门要求更高。因此，在故障发生时，经维保人员确认必须更换配件时，要第一时间完成备件的更换。鉴于此，中标人应在徐州本地设定本地备件库，储存所涉及设备的易损，易耗的配件（包括但不限于磁盘，电源，内存条等）。在故障发生时，所更换的备件应在更换后24小时内补充到备件库中，以防相同的问题再次出现。</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7.2备件类型</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投标人须承诺更换的备件必须是原厂配件，备件必须与替换的配件为同型号，同规格，投标人要写出书面承诺函，格式自拟。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如果现有业务硬件不能支持现有服务时，中标人要按照采购人的业务需求临时提供一定的硬件（不限于服务器，路由器，防火墙等）使用,支持保证日常业务的顺利开展。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中标人应在领取本项目中标通知书后两周内，将项目维护团队人员组成以及备件库位置等前期事项准备完毕，在合同签订前采购人将根据情况对现场维护人员以及备件库准备情况进行审查。</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8.服务时效要求</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8.1服务响应时间要求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投标人应有固定的办公场所，必须保证接到采购人用户反馈的故障或问题后5分钟内进行响应。服务时间中标人必须无偿提供服务期限内7*24小时电话、远程和现场服务。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中标人必须保证采购人可以在服务时间内第一时间联系到负责本次维护项目的全部人员。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对于必须到达现场的故障，中标人必须保证在15分钟内到达徐州市住房公积金管理中心(机关)，2小时内达到各区县公积金中心管理部。</w:t>
      </w:r>
      <w:bookmarkStart w:id="33" w:name="2.4、★故障处理时间要求"/>
      <w:r/>
      <w:bookmarkEnd w:id="33"/>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8.2故障处理时间要求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维护范围内的设备硬件和软件发生故障时，中标人必须在采购人通知故障后及时解决故障或修复完系统，保证公积金业务不受影响，并同时建立设备档案，提交故障处理报告。无法按时完成修复或解决故障的，采购人可以根据故障情况要求中标人无偿提供备机、备件等，及时为采购人恢复系统，保证业务顺利开展。</w:t>
      </w:r>
      <w:r/>
    </w:p>
    <w:tbl>
      <w:tblPr>
        <w:tblStyle w:val="714"/>
        <w:tblW w:w="9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3096"/>
        <w:gridCol w:w="3636"/>
        <w:gridCol w:w="1769"/>
      </w:tblGrid>
      <w:tr>
        <w:trPr>
          <w:cantSplit/>
          <w:jc w:val="center"/>
        </w:trPr>
        <w:tc>
          <w:tcPr>
            <w:tcW w:w="1370" w:type="dxa"/>
            <w:vAlign w:val="center"/>
            <w:vMerge w:val="restart"/>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故障等级</w:t>
            </w:r>
            <w:r/>
          </w:p>
        </w:tc>
        <w:tc>
          <w:tcPr>
            <w:tcW w:w="3096" w:type="dxa"/>
            <w:vAlign w:val="center"/>
            <w:vMerge w:val="restart"/>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故障描述</w:t>
            </w:r>
            <w:r/>
          </w:p>
        </w:tc>
        <w:tc>
          <w:tcPr>
            <w:gridSpan w:val="2"/>
            <w:tcW w:w="5405" w:type="dxa"/>
            <w:vAlign w:val="center"/>
            <w:textDirection w:val="lrTb"/>
            <w:noWrap w:val="false"/>
          </w:tcPr>
          <w:p>
            <w:pPr>
              <w:pStyle w:val="1025"/>
              <w:ind w:firstLine="480"/>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恢复时间</w:t>
            </w:r>
            <w:r/>
          </w:p>
        </w:tc>
      </w:tr>
      <w:tr>
        <w:trPr>
          <w:cantSplit/>
          <w:jc w:val="center"/>
          <w:trHeight w:val="613"/>
        </w:trPr>
        <w:tc>
          <w:tcPr>
            <w:tcW w:w="1370" w:type="dxa"/>
            <w:vAlign w:val="center"/>
            <w:vMerge w:val="continue"/>
            <w:textDirection w:val="lrTb"/>
            <w:noWrap w:val="false"/>
          </w:tcPr>
          <w:p>
            <w:pPr>
              <w:pStyle w:val="1025"/>
              <w:ind w:firstLine="480"/>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r>
            <w:r/>
          </w:p>
        </w:tc>
        <w:tc>
          <w:tcPr>
            <w:tcW w:w="3096" w:type="dxa"/>
            <w:vAlign w:val="center"/>
            <w:vMerge w:val="continue"/>
            <w:textDirection w:val="lrTb"/>
            <w:noWrap w:val="false"/>
          </w:tcPr>
          <w:p>
            <w:pPr>
              <w:pStyle w:val="1025"/>
              <w:ind w:firstLine="480"/>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r>
            <w:r/>
          </w:p>
        </w:tc>
        <w:tc>
          <w:tcPr>
            <w:tcW w:w="3636" w:type="dxa"/>
            <w:vAlign w:val="center"/>
            <w:textDirection w:val="lrTb"/>
            <w:noWrap w:val="false"/>
          </w:tcPr>
          <w:p>
            <w:pPr>
              <w:pStyle w:val="1025"/>
              <w:ind w:firstLine="480"/>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工作时间</w:t>
            </w:r>
            <w:r/>
          </w:p>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（工作日的8时至19时）</w:t>
            </w:r>
            <w:r/>
          </w:p>
        </w:tc>
        <w:tc>
          <w:tcPr>
            <w:tcW w:w="1769" w:type="dxa"/>
            <w:vAlign w:val="center"/>
            <w:textDirection w:val="lrTb"/>
            <w:noWrap w:val="false"/>
          </w:tcPr>
          <w:p>
            <w:pPr>
              <w:pStyle w:val="1025"/>
              <w:jc w:val="center"/>
              <w:spacing w:line="360" w:lineRule="exact"/>
              <w:rPr>
                <w:rFonts w:hint="eastAsia" w:ascii="宋体" w:hAnsi="宋体" w:eastAsia="宋体" w:cs="宋体"/>
                <w:b/>
                <w:bCs/>
                <w:sz w:val="24"/>
                <w:szCs w:val="24"/>
                <w:highlight w:val="none"/>
                <w:lang w:val="en-US" w:bidi="ar-SA"/>
              </w:rPr>
            </w:pPr>
            <w:r>
              <w:rPr>
                <w:rFonts w:hint="eastAsia" w:ascii="宋体" w:hAnsi="宋体" w:eastAsia="宋体" w:cs="宋体"/>
                <w:b/>
                <w:bCs/>
                <w:sz w:val="24"/>
                <w:szCs w:val="24"/>
                <w:highlight w:val="none"/>
                <w:lang w:val="en-US" w:bidi="ar-SA"/>
              </w:rPr>
              <w:t xml:space="preserve">非工作时间</w:t>
            </w:r>
            <w:r/>
          </w:p>
        </w:tc>
      </w:tr>
      <w:tr>
        <w:trPr>
          <w:jc w:val="center"/>
        </w:trPr>
        <w:tc>
          <w:tcPr>
            <w:tcW w:w="13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I级</w:t>
            </w:r>
            <w:r/>
          </w:p>
        </w:tc>
        <w:tc>
          <w:tcPr>
            <w:tcW w:w="3096" w:type="dxa"/>
            <w:vAlign w:val="center"/>
            <w:textDirection w:val="lrTb"/>
            <w:noWrap w:val="false"/>
          </w:tcPr>
          <w:p>
            <w:pPr>
              <w:pStyle w:val="1025"/>
              <w:ind w:firstLine="480"/>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核心业务系统不可用或将导致业务数据缺失</w:t>
            </w:r>
            <w:r/>
          </w:p>
        </w:tc>
        <w:tc>
          <w:tcPr>
            <w:tcW w:w="3636" w:type="dxa"/>
            <w:vAlign w:val="center"/>
            <w:textDirection w:val="lrTb"/>
            <w:noWrap w:val="false"/>
          </w:tcPr>
          <w:p>
            <w:pPr>
              <w:pStyle w:val="1025"/>
              <w:ind w:firstLine="480"/>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不超过1小时</w:t>
            </w:r>
            <w:r/>
          </w:p>
        </w:tc>
        <w:tc>
          <w:tcPr>
            <w:tcW w:w="176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不超过2小时</w:t>
            </w:r>
            <w:r/>
          </w:p>
        </w:tc>
      </w:tr>
      <w:tr>
        <w:trPr>
          <w:jc w:val="center"/>
        </w:trPr>
        <w:tc>
          <w:tcPr>
            <w:tcW w:w="13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II级</w:t>
            </w:r>
            <w:r/>
          </w:p>
        </w:tc>
        <w:tc>
          <w:tcPr>
            <w:tcW w:w="3096" w:type="dxa"/>
            <w:vAlign w:val="center"/>
            <w:textDirection w:val="lrTb"/>
            <w:noWrap w:val="false"/>
          </w:tcPr>
          <w:p>
            <w:pPr>
              <w:pStyle w:val="1025"/>
              <w:ind w:firstLine="480"/>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核心业务系统失去冗余或可能导致业务系统不可用的，非核心业务系统不可用的</w:t>
            </w:r>
            <w:r/>
          </w:p>
        </w:tc>
        <w:tc>
          <w:tcPr>
            <w:tcW w:w="3636" w:type="dxa"/>
            <w:vAlign w:val="center"/>
            <w:textDirection w:val="lrTb"/>
            <w:noWrap w:val="false"/>
          </w:tcPr>
          <w:p>
            <w:pPr>
              <w:pStyle w:val="1025"/>
              <w:ind w:firstLine="480"/>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不超过2小时</w:t>
            </w:r>
            <w:r/>
          </w:p>
        </w:tc>
        <w:tc>
          <w:tcPr>
            <w:tcW w:w="1769"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不超过3小时</w:t>
            </w:r>
            <w:r/>
          </w:p>
        </w:tc>
      </w:tr>
      <w:tr>
        <w:trPr>
          <w:jc w:val="center"/>
        </w:trPr>
        <w:tc>
          <w:tcPr>
            <w:tcW w:w="13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III级</w:t>
            </w:r>
            <w:r/>
          </w:p>
        </w:tc>
        <w:tc>
          <w:tcPr>
            <w:tcW w:w="3096"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备份系统发生故障或可能II级及以上故障风险的</w:t>
            </w:r>
            <w:r/>
          </w:p>
        </w:tc>
        <w:tc>
          <w:tcPr>
            <w:gridSpan w:val="2"/>
            <w:tcW w:w="5405" w:type="dxa"/>
            <w:vAlign w:val="center"/>
            <w:textDirection w:val="lrTb"/>
            <w:noWrap w:val="false"/>
          </w:tcPr>
          <w:p>
            <w:pPr>
              <w:pStyle w:val="1025"/>
              <w:ind w:firstLine="480"/>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恢复时间不超过24小时</w:t>
            </w:r>
            <w:r/>
          </w:p>
        </w:tc>
      </w:tr>
      <w:tr>
        <w:trPr>
          <w:jc w:val="center"/>
        </w:trPr>
        <w:tc>
          <w:tcPr>
            <w:tcW w:w="1370"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IV级</w:t>
            </w:r>
            <w:r/>
          </w:p>
        </w:tc>
        <w:tc>
          <w:tcPr>
            <w:tcW w:w="3096" w:type="dxa"/>
            <w:vAlign w:val="center"/>
            <w:textDirection w:val="lrTb"/>
            <w:noWrap w:val="false"/>
          </w:tcPr>
          <w:p>
            <w:pPr>
              <w:pStyle w:val="1025"/>
              <w:ind w:firstLine="480"/>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其他隐患类故障</w:t>
            </w:r>
            <w:r/>
          </w:p>
        </w:tc>
        <w:tc>
          <w:tcPr>
            <w:gridSpan w:val="2"/>
            <w:tcW w:w="5405" w:type="dxa"/>
            <w:vAlign w:val="center"/>
            <w:textDirection w:val="lrTb"/>
            <w:noWrap w:val="false"/>
          </w:tcPr>
          <w:p>
            <w:pPr>
              <w:pStyle w:val="1025"/>
              <w:jc w:val="center"/>
              <w:spacing w:line="360" w:lineRule="exact"/>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恢复时间由中标人与采购人协商决定，原则上不超过3个工作日</w:t>
            </w:r>
            <w:r/>
          </w:p>
        </w:tc>
      </w:tr>
    </w:tbl>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I、II级故障或III、IV级故障连续发生两次及以上的，除提交故障处置报告以外还应提交问题分析报告，深度分析故障产生的原因，并提出预防性改善建议。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因特殊原因无法在指定处置时间内修复故障的，需将故障原因、过渡方案等和恢复计划在故障发生后的8小时内向采购人书面上报，并在此期间积极配合相关应用开发商实施过渡方案，全力保证应用的不间断，临时过渡方案产生的备品、备机及人力成本由中标人承担。</w:t>
      </w:r>
      <w:r/>
    </w:p>
    <w:p>
      <w:pPr>
        <w:pStyle w:val="708"/>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8.3节假日值班服务和灾难性故障驻场服务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年不限次数提供节假日（包括不限于周末、元旦、春节、清明节、端午节、劳动节、中秋、国庆）、重大活动期间7*24小时响应服务和灾难性故障24小时值守服务，驻场人员或值守人员不得少于2人。其中法定节假日及重大活动期间驻场响应服务提前一周提供服务方案，明确工作时间、人员安排、值守内容等，值守结束后提供值守报告。灾难性故障值守服务直至系统恢复正常运行24小时后，系统稳定运行方可撤离现场。</w:t>
      </w:r>
      <w:bookmarkStart w:id="34" w:name="2.6、安全保密要求"/>
      <w:r/>
      <w:bookmarkEnd w:id="34"/>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9.投标文件要求</w:t>
      </w:r>
      <w:r/>
    </w:p>
    <w:p>
      <w:pPr>
        <w:ind w:firstLine="480"/>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9.1投标文件中提供《项目实施方案》文件。</w:t>
      </w:r>
      <w:r/>
    </w:p>
    <w:p>
      <w:pPr>
        <w:pStyle w:val="74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9.2《项目实施方案》文件对照以上“（三）项目实施要求”编制。</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（四）人员配备要求</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1.维护工程师要求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在中标后要成立本地化的维护团队，由1名项目经理总负责，统一协调项目维护工程师维护工作相关事宜，团队至少由5名（含）以上维护工程师组成。提供服务团队人员方案，列明姓名、联系方式和技能类型。</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2.驻场人员要求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必须提供至少二名专职的设备维护工程师驻场服务，接受采购人的日常管理及工作安排，熟悉计算机及其周边设备的基本操作、日常维护、故障维修，熟悉机房设备和虚拟化系统及数据库的基础操作及维护，有一定的网络基础知识,掌握网络安全相关信息。</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主要承担日常桌面设备及便民服务设备等支持维护工作，包括设备的软件安装、维护、升级、巡检保养及其它协助性工作，同时要按照采购人要求赴各县区管理部、开展相关设备现场检查维修服务，未经采购人许可，不得随意更换驻场服务人员。</w:t>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3.投标文件要求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3.1投标文件中提供《人员配备方案》。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3.2《人员配备方案》文件对照以上“（四）人员配备要求”编制。</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（五）培训要求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投标人在投标文件中应提出详细的培训内容和培训计划。包括培训次数、人员数量、规模及投标人安排的培训人员的相关资历，中标人保证被培训人合格达标，保证培训效果，确保被培训人熟练应用。</w:t>
      </w:r>
      <w:bookmarkStart w:id="35" w:name="3.1、培训内容"/>
      <w:r/>
      <w:bookmarkEnd w:id="35"/>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1.培训内容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培训课程包括且不限于：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在维保期内，中标人无偿向采购人提供一次包含服务器，网络设备或数据库等软硬件的脱产培训，时间，地点，内容，人数由采购人另行指定。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中标人应在系统的硬件和软件以及其他方面为用户技术人员开设培训课程，向接受培训人员免费提供技术资料、图纸、参考文献材料等。</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中标人应针对系统的日常操作、维护、错误处理和管理标准等为用户技术人员进行培训，保证被培训人员能够掌握对设备的常见故障的诊断及处理等。</w:t>
      </w:r>
      <w:bookmarkStart w:id="36" w:name="3.2、培训方式"/>
      <w:r/>
      <w:bookmarkEnd w:id="36"/>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2.培训方式</w:t>
      </w:r>
      <w:r/>
    </w:p>
    <w:p>
      <w:pPr>
        <w:pStyle w:val="1025"/>
        <w:ind w:firstLine="480"/>
        <w:jc w:val="left"/>
        <w:spacing w:line="36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根据徐州住房公积金管理中心的服务要求，结合实际使用需求，中标人须提供现场操作、线上学习、原厂实践相结合的培训方案，以提高用户的技术能力，培训时间由用户确定。</w:t>
      </w:r>
      <w:bookmarkStart w:id="37" w:name="六、其他要求"/>
      <w:r/>
      <w:bookmarkEnd w:id="37"/>
      <w:r/>
      <w:r/>
    </w:p>
    <w:p>
      <w:pPr>
        <w:pStyle w:val="707"/>
        <w:numPr>
          <w:ilvl w:val="3"/>
          <w:numId w:val="0"/>
        </w:numPr>
        <w:jc w:val="left"/>
        <w:spacing w:line="360"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 xml:space="preserve">3.投标文件要求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3.1投标文件中提供《培训方案》。</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3.2《培训方案》文件对照以上“（五）培训要求”编制。</w:t>
      </w:r>
      <w:r/>
    </w:p>
    <w:p>
      <w:pPr>
        <w:pStyle w:val="706"/>
        <w:jc w:val="left"/>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（六）验收要求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服务期结束前由具有资质的第三方检测机构（具有CMA或CNAS)进行检测验收，按照招标文件要求对维护成果，维护设备、系统状态，可视化维护建设等方面进行验收，合格后出具合格验收报告，验收费用由中标方向第三方检测机构支付，采购人不再支付任何费用。如不符合招标文件要求，采购人有权要求中标方进行整改，直至符合采购需求后方可由采购人进行最终项目验收。</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说明：本“（六）验收要求”为不允许偏离的实质性要求和条件，如有偏离，在符合性审查时按照投标无效处理。</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（七）安全保密要求</w:t>
      </w:r>
      <w:r/>
    </w:p>
    <w:p>
      <w:pPr>
        <w:pStyle w:val="1025"/>
        <w:ind w:firstLine="480"/>
        <w:jc w:val="left"/>
        <w:spacing w:line="360" w:lineRule="auto"/>
        <w:rPr>
          <w:rFonts w:hint="eastAsia" w:ascii="宋体" w:hAnsi="宋体" w:eastAsia="宋体" w:cs="宋体"/>
          <w:sz w:val="24"/>
          <w:szCs w:val="24"/>
          <w:highlight w:val="none"/>
          <w:lang w:val="en-US" w:bidi="ar-SA"/>
        </w:rPr>
      </w:pPr>
      <w:r>
        <w:rPr>
          <w:rFonts w:hint="eastAsia" w:ascii="宋体" w:hAnsi="宋体" w:eastAsia="宋体" w:cs="宋体"/>
          <w:sz w:val="24"/>
          <w:szCs w:val="24"/>
          <w:highlight w:val="none"/>
          <w:lang w:val="en-US" w:bidi="ar-SA"/>
        </w:rPr>
        <w:t xml:space="preserve">中标人及其服务人员须与采购人签订保密协议，服务人员须遵循采购人各项规章制度，项目服务中所接触到的各种技术资料、过程文档等一切信息，未经采购人同意，不得向任何第三方泄露。</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说明：本“（七）安全保密要求”为不允许偏离的实质性要求和条件，如有偏离，在符合性审查时按照投标无效处理。</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（八）关于投标报价的相关说明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rPr>
        <w:t xml:space="preserve">不接受超过80万元人民币（采购项目预算金额）的投标报价。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2.投标人所投备份方案中如涉及第三方产品（软件、硬件、软硬一体机等），产生的费用均由投标人承担，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3.本次招标的费用包含维护期内所有硬件设备维护，软件维护，非人为损坏配件的更换，维护材料，劳务，税费等全部费用，采购人不承担一切其他费用。</w:t>
      </w:r>
      <w:r/>
    </w:p>
    <w:p>
      <w:pPr>
        <w:ind w:firstLine="361"/>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说明：本“（八）关于投标报价的相关说明”为不允许偏离的实质性要求和条件，如有偏离，在符合性审查时按照投标无效处理。</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（九）支付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见招标文件第五章《拟签订的合同文本》中“采购包1拟签订的合同文本”中“第四条 支付（采购资金的支付方式、时间、条件）”</w:t>
      </w:r>
      <w:r/>
    </w:p>
    <w:p>
      <w:pPr>
        <w:ind w:firstLine="361"/>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说明：本“（九）支付”为不允许偏离的实质性要求和条件，如有偏离，在符合性审查时按照投标无效处理。</w:t>
      </w:r>
      <w:r/>
    </w:p>
    <w:p>
      <w:pPr>
        <w:pStyle w:val="706"/>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（十）维保服务期限</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见招标文件第五章《拟签订的合同文本》中“采购包1拟签订的合同文本”中“第二条 维保服务期限</w:t>
      </w:r>
      <w:r>
        <w:rPr>
          <w:rFonts w:hint="eastAsia" w:ascii="宋体" w:hAnsi="宋体" w:eastAsia="宋体" w:cs="宋体"/>
          <w:bCs/>
          <w:sz w:val="24"/>
          <w:szCs w:val="24"/>
          <w:highlight w:val="none"/>
        </w:rPr>
        <w:t xml:space="preserve">”。</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说明：本“（十）维保服务期限”为不允许偏离的实质性要求和条件，如有偏离，在符合性审查时按照投标无效处理。</w:t>
      </w:r>
      <w:r/>
    </w:p>
    <w:p>
      <w:pPr>
        <w:ind w:firstLine="562"/>
        <w:jc w:val="left"/>
        <w:keepLines w:val="0"/>
        <w:keepNext w:val="0"/>
        <w:pageBreakBefore w:val="0"/>
        <w:spacing w:line="440" w:lineRule="exact"/>
        <w:widowControl/>
        <w:rPr>
          <w:rFonts w:hint="eastAsia" w:ascii="宋体" w:hAnsi="宋体" w:cs="宋体"/>
          <w:b/>
          <w:bCs/>
          <w:sz w:val="28"/>
          <w:szCs w:val="28"/>
          <w:lang w:val="en-US" w:eastAsia="zh-CN"/>
        </w:rPr>
        <w:outlineLvl w:val="1"/>
      </w:pPr>
      <w:r>
        <w:rPr>
          <w:rFonts w:hint="eastAsia" w:ascii="宋体" w:hAnsi="宋体" w:cs="宋体"/>
          <w:b/>
          <w:bCs/>
          <w:sz w:val="28"/>
          <w:szCs w:val="28"/>
          <w:lang w:val="en-US" w:eastAsia="zh-CN"/>
        </w:rPr>
      </w:r>
      <w:r/>
    </w:p>
    <w:p>
      <w:pPr>
        <w:rPr>
          <w:rFonts w:hint="eastAsia" w:ascii="宋体" w:hAnsi="宋体" w:cs="宋体"/>
          <w:b/>
          <w:bCs/>
          <w:sz w:val="28"/>
          <w:szCs w:val="28"/>
          <w:lang w:val="en-US" w:eastAsia="zh-CN"/>
        </w:rPr>
      </w:pPr>
      <w:r>
        <w:rPr>
          <w:rFonts w:hint="eastAsia" w:ascii="宋体" w:hAnsi="宋体" w:cs="宋体"/>
          <w:b/>
          <w:bCs/>
          <w:sz w:val="28"/>
          <w:szCs w:val="28"/>
          <w:lang w:val="en-US" w:eastAsia="zh-CN"/>
        </w:rPr>
        <w:br w:type="page" w:clear="all"/>
      </w:r>
      <w:r/>
    </w:p>
    <w:p>
      <w:pPr>
        <w:ind w:firstLine="562"/>
        <w:jc w:val="left"/>
        <w:keepLines w:val="0"/>
        <w:keepNext w:val="0"/>
        <w:pageBreakBefore w:val="0"/>
        <w:spacing w:line="440" w:lineRule="exact"/>
        <w:widowControl/>
        <w:rPr>
          <w:rFonts w:hint="eastAsia" w:ascii="宋体" w:hAnsi="宋体" w:eastAsia="宋体" w:cs="宋体"/>
          <w:b/>
          <w:bCs/>
          <w:sz w:val="24"/>
          <w:szCs w:val="24"/>
          <w:lang w:val="en-US" w:eastAsia="zh-CN"/>
        </w:rPr>
        <w:outlineLvl w:val="1"/>
      </w:pPr>
      <w:r>
        <w:rPr>
          <w:rFonts w:hint="eastAsia" w:ascii="宋体" w:hAnsi="宋体" w:eastAsia="宋体" w:cs="宋体"/>
          <w:b/>
          <w:bCs/>
          <w:color w:val="ff0000"/>
          <w:sz w:val="24"/>
          <w:szCs w:val="24"/>
          <w:lang w:val="en-US" w:eastAsia="zh-CN"/>
        </w:rPr>
        <w:t xml:space="preserve">三、采购包2技术要求</w:t>
      </w:r>
      <w:r/>
    </w:p>
    <w:p>
      <w:pPr>
        <w:ind w:firstLine="360"/>
        <w:spacing w:line="36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（一）服务内容</w:t>
      </w:r>
      <w:r/>
    </w:p>
    <w:tbl>
      <w:tblPr>
        <w:tblStyle w:val="714"/>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503"/>
      </w:tblGrid>
      <w:tr>
        <w:trPr/>
        <w:tc>
          <w:tcPr>
            <w:tcW w:w="1242" w:type="dxa"/>
            <w:vAlign w:val="center"/>
            <w:textDirection w:val="lrTb"/>
            <w:noWrap w:val="false"/>
          </w:tcPr>
          <w:p>
            <w:pPr>
              <w:pStyle w:val="766"/>
              <w:ind w:right="6"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503" w:type="dxa"/>
            <w:vAlign w:val="center"/>
            <w:textDirection w:val="lrTb"/>
            <w:noWrap w:val="false"/>
          </w:tcPr>
          <w:p>
            <w:pPr>
              <w:pStyle w:val="766"/>
              <w:ind w:right="6"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服务内容</w:t>
            </w:r>
            <w:r/>
          </w:p>
        </w:tc>
      </w:tr>
      <w:tr>
        <w:trPr/>
        <w:tc>
          <w:tcPr>
            <w:tcW w:w="1242" w:type="dxa"/>
            <w:vAlign w:val="center"/>
            <w:textDirection w:val="lrTb"/>
            <w:noWrap w:val="false"/>
          </w:tcPr>
          <w:p>
            <w:pPr>
              <w:pStyle w:val="766"/>
              <w:ind w:right="6"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503" w:type="dxa"/>
            <w:vAlign w:val="center"/>
            <w:textDirection w:val="lrTb"/>
            <w:noWrap w:val="false"/>
          </w:tcPr>
          <w:p>
            <w:pPr>
              <w:pStyle w:val="766"/>
              <w:ind w:right="6"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综合服务平台托管服务</w:t>
            </w:r>
            <w:r/>
          </w:p>
        </w:tc>
      </w:tr>
      <w:tr>
        <w:trPr/>
        <w:tc>
          <w:tcPr>
            <w:tcW w:w="1242" w:type="dxa"/>
            <w:vAlign w:val="center"/>
            <w:textDirection w:val="lrTb"/>
            <w:noWrap w:val="false"/>
          </w:tcPr>
          <w:p>
            <w:pPr>
              <w:pStyle w:val="766"/>
              <w:ind w:right="6"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8503" w:type="dxa"/>
            <w:vAlign w:val="center"/>
            <w:textDirection w:val="lrTb"/>
            <w:noWrap w:val="false"/>
          </w:tcPr>
          <w:p>
            <w:pPr>
              <w:pStyle w:val="766"/>
              <w:ind w:right="6" w:firstLine="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住房公积金综合信息管理系统（双贯标系统）维护</w:t>
            </w:r>
            <w:r/>
          </w:p>
        </w:tc>
      </w:tr>
    </w:tbl>
    <w:p>
      <w:pPr>
        <w:ind w:firstLine="482"/>
        <w:spacing w:line="360" w:lineRule="exact"/>
        <w:rPr>
          <w:rFonts w:hint="eastAsia" w:ascii="宋体" w:hAnsi="宋体" w:eastAsia="宋体" w:cs="宋体"/>
          <w:sz w:val="24"/>
          <w:szCs w:val="24"/>
        </w:rPr>
      </w:pPr>
      <w:r>
        <w:rPr>
          <w:rFonts w:hint="eastAsia" w:ascii="宋体" w:hAnsi="宋体" w:eastAsia="宋体" w:cs="宋体"/>
          <w:b/>
          <w:sz w:val="24"/>
          <w:szCs w:val="24"/>
        </w:rPr>
        <w:t xml:space="preserve">说明：本“（一）服务内容”为不允许偏离的实质性要求和条件，如有偏离，在符合性审查时按照投标无效处理。</w:t>
      </w:r>
      <w:r/>
    </w:p>
    <w:p>
      <w:pPr>
        <w:pStyle w:val="741"/>
        <w:ind w:firstLine="480"/>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rPr>
        <w:t xml:space="preserve">服务技术要求</w:t>
      </w:r>
      <w:r/>
    </w:p>
    <w:p>
      <w:pPr>
        <w:pStyle w:val="741"/>
        <w:ind w:firstLine="480"/>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1.综合服务平台托管服务要求：</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1.1运维服务范围：包括网上业务大厅（单位、个人），手机APP，微信（公众号、小程序），支付宝等互联网渠道相关服务。</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1.2托管接入方式：通过VPN专线连通，不得中断现有互联网服务。</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1.3托管运维要求：</w:t>
      </w:r>
      <w:r/>
    </w:p>
    <w:tbl>
      <w:tblPr>
        <w:tblStyle w:val="714"/>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369"/>
        <w:gridCol w:w="7859"/>
      </w:tblGrid>
      <w:tr>
        <w:trPr>
          <w:jc w:val="center"/>
          <w:trHeight w:val="483"/>
        </w:trPr>
        <w:tc>
          <w:tcPr>
            <w:tcW w:w="731"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36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服务内容</w:t>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托管运维要求</w:t>
            </w:r>
            <w:r/>
          </w:p>
        </w:tc>
      </w:tr>
      <w:tr>
        <w:trPr>
          <w:cantSplit/>
          <w:jc w:val="center"/>
          <w:trHeight w:val="924"/>
        </w:trPr>
        <w:tc>
          <w:tcPr>
            <w:tcW w:w="731" w:type="dxa"/>
            <w:vAlign w:val="center"/>
            <w:vMerge w:val="restart"/>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69" w:type="dxa"/>
            <w:vAlign w:val="center"/>
            <w:vMerge w:val="restart"/>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综合服务平台托管安全服务内容</w:t>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1.1业务支撑：能够对中心提出的需求进行需求分析，以及程序测试等工作；负责对平台的业务进行优化和改进；对中心业务流程和制度提出优化建议。</w:t>
            </w:r>
            <w:r/>
          </w:p>
        </w:tc>
      </w:tr>
      <w:tr>
        <w:trPr>
          <w:cantSplit/>
          <w:jc w:val="center"/>
          <w:trHeight w:val="1211"/>
        </w:trPr>
        <w:tc>
          <w:tcPr>
            <w:tcW w:w="731"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69"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1.2业务安全：互联网业务的网络安全及程序由中标人负责，中心互联网程序托管于运维方平台，且网络托管平台所处位置基础设施完善，水电通信供应稳定，平台内部要有相应技术手段保证整个云平台抵抗各类网络攻击，不被黑客非法入侵。</w:t>
            </w:r>
            <w:r/>
          </w:p>
        </w:tc>
      </w:tr>
      <w:tr>
        <w:trPr>
          <w:cantSplit/>
          <w:jc w:val="center"/>
          <w:trHeight w:val="779"/>
        </w:trPr>
        <w:tc>
          <w:tcPr>
            <w:tcW w:w="731"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69"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1.3故障切换：当出口链路或内部服务器出现异常时，运维人员可第一时间获悉故障情况，业务可根据需要自动或手动平滑切换至正常节点，保证用户访问的连续性。</w:t>
            </w:r>
            <w:r/>
          </w:p>
        </w:tc>
      </w:tr>
      <w:tr>
        <w:trPr>
          <w:cantSplit/>
          <w:jc w:val="center"/>
          <w:trHeight w:val="1744"/>
        </w:trPr>
        <w:tc>
          <w:tcPr>
            <w:tcW w:w="731"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69"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1.4运维服务：提供专人和7*24小时的运维服务。负责云服务平台软硬件的日常监控和告警管理。云资源的开通与管理、云资源的容量管理、与资源使用相关的问题处理（操作系统、数据库、应用等）、数据例行备份与管理等。负责网络及安全设备、服务器、存储、云平台运维管理工作、协助制定例行巡检工作等。对所有托管系统进行定期，安全评测，对存在的网络安全问题进行防护和加固。</w:t>
            </w:r>
            <w:r/>
          </w:p>
        </w:tc>
      </w:tr>
      <w:tr>
        <w:trPr>
          <w:cantSplit/>
          <w:jc w:val="center"/>
          <w:trHeight w:val="714"/>
        </w:trPr>
        <w:tc>
          <w:tcPr>
            <w:tcW w:w="731"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69"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1.5安全要求：确保中心托管的网上业务大厅等渠道符合江苏政务服务网安全协议要求，须支持https协议访问。</w:t>
            </w:r>
            <w:r/>
          </w:p>
        </w:tc>
      </w:tr>
      <w:tr>
        <w:trPr>
          <w:cantSplit/>
          <w:jc w:val="center"/>
          <w:trHeight w:val="1467"/>
        </w:trPr>
        <w:tc>
          <w:tcPr>
            <w:tcW w:w="731"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69"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859"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1.6其他要求：在住房公积金网上业务大厅，手机APP，支付宝，微信服务等相关渠道能够提供及时有效的故障排查和解决问题能力。综合服务平台的托管维护方案安全可行，故障排查和解决能力建立有效的定期巡检制度和托管运行情况报告制度，能够按一年四次（或每季度一次）出具巡检和托管运行情况报告。巡检制度和托管运行情况报告完整，及时，准确等。</w:t>
            </w:r>
            <w:r/>
          </w:p>
        </w:tc>
      </w:tr>
    </w:tbl>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p>
      <w:pPr>
        <w:pStyle w:val="741"/>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2.住房公积金综合信息管理系统（双贯标系统）维护要求</w:t>
      </w:r>
      <w:r/>
    </w:p>
    <w:tbl>
      <w:tblPr>
        <w:tblStyle w:val="714"/>
        <w:tblW w:w="98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358"/>
        <w:gridCol w:w="7583"/>
      </w:tblGrid>
      <w:tr>
        <w:trPr>
          <w:trHeight w:val="376"/>
        </w:trPr>
        <w:tc>
          <w:tcPr>
            <w:tcW w:w="937"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358"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服务内容</w:t>
            </w:r>
            <w:r/>
          </w:p>
        </w:tc>
        <w:tc>
          <w:tcPr>
            <w:tcW w:w="7583" w:type="dxa"/>
            <w:vAlign w:val="center"/>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服务具体内容及要求</w:t>
            </w:r>
            <w:r/>
          </w:p>
        </w:tc>
      </w:tr>
      <w:tr>
        <w:trPr/>
        <w:tc>
          <w:tcPr>
            <w:tcW w:w="937" w:type="dxa"/>
            <w:vAlign w:val="center"/>
            <w:vMerge w:val="restart"/>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58" w:type="dxa"/>
            <w:vAlign w:val="center"/>
            <w:vMerge w:val="restart"/>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核心业务系统要求</w:t>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1.1住房公积金归集提取子系统：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住房公积金归集提取子系统的主要功能及要求：实现住房公积金的归集、提取等业务操作。主要包括住房公积金单位的汇缴、补缴、缓缴、开户、信息变更、挂账、状态变更等功能；缴存人的公积金提取、开户、信息变更、状态变更、转移、缴存基数调整等功能；公积金业务常规日结、月结、年结和常用查询、报表管理等功能，各项业务均能打印单据，可以按照管理机构进行管理。</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1.2住房公积金贷款管理子系统：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住房公积金贷款管理子系统的主要功能及要求：贷款管理系统分为柜面业务、管理业务。柜面业务面向住房公积金借款人和开发商，其功能包括个人住房公积金贷款的申请、审批、贷后业务等；开发商登记、准贷项目录入、收款账号管理等。管理业务重在管理职能，包括各类贷款参数设置、利率管理、开发商管理、常用查询、统计分析、报表打印等。</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1.3住房公积金会计核算子系统: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住房公积金会计核算子系统的主要功能及要求：会计核算系统实现会计科目设置、科目余额设置、凭证录入、修改、审核、入帐、查询、结帐、核算、打印帐簿报表等功能。财务系统的记账凭证的生成尽可能全部由业务驱动，非前台业务在财务系统中也应先有业务处理，如定期存款、国家债券、计提利息、资金划拨等业务。</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1.4住房公积金行政执法子系统: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维护住房公积金行政执法子系统的主要功能及要求：实现缴存人的法院执行转移，法院冻结，解冻，法院扣划以及黑名单管理，确保前台业务系统触发到该模块后能控制相关业务的办理。</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1.5住房公积金资金管理子系统：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资金管理子系统的主要功能及要求：实现中心财务简化业务办理流程，提高公积金服务水平，监控住房公积金管理中心所有账户的资金交易信息，并形成交易状态统计表及分析图，同时对资金交易量（交易笔数、交易金额）进行统计分析， 与业务系统无缝衔接，实现贷款、提取等业务的资金调拔审批、调度、结算和投资管理功能，并对国债、定期、票据管理、手续费管理、资金清算、账户设置业务形成一套规范管理体系。</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1.6住房公积金稽核监管子系统：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维护稽核监管子系统的主要功能及要求：实现归集提取业务稽核、贷款业务稽核、合作机构评价、评价标准管理等。</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1.7电子档案子系统：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电子档案子系统的主要功能及要求：实现业务档案（个人贷款档案、提取档案、开发商档案、归集档案、财务凭证档案）的在线归档，即操作员可以在各自业务系统中实现归档，并且档案类型可无限扩展。操作员可以对归档后的各种类型的档案在线查看或借阅，具有可视化管理。</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1.8报表管理系统：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维护报表管理系统的主要功能及要求：实现归集报表、贷款报表、提取报表、会计报表、综合业务报表、其它统计查询报表的定义、生成、导出、查询功能。报表管理子系统可以画表，自定义取数方法。</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1.9短信平台子系统：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维护短信平台子系统的主要功能及要求：实现公积金业务办理完成公积金金额变动短信提示、贷款发放提示、贷款逾期催缴提示、贷款扣款状态提示、贷款贷后业务办理状态等业务短信息提示。</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1.10统计分析子系统：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维护统计分析子系统的主要功能及要求：实现住房公积金中心归集、提取、贷款详细情况的查询与统计，可根据机构、经济类</w:t>
            </w:r>
            <w:r>
              <w:rPr>
                <w:rFonts w:hint="eastAsia" w:ascii="宋体" w:hAnsi="宋体" w:eastAsia="宋体" w:cs="宋体"/>
                <w:sz w:val="24"/>
                <w:szCs w:val="24"/>
              </w:rPr>
              <w:t xml:space="preserve">型、统计周期等对归提贷业务数据进行多角度、多指标分析，满足各级领导与管理人员对住房公积金使用与运作情况的日常业务查询。同时实现公积金会计报表的查询（住房公积金资产负债表、住房公积金增值收益表、住房公积金增值收益分配表、住房公积金缴存使用情况表、住房公积金贷款结构分析表等）。统计分析子系统能通过查询、分析与预警等方式有效辅助中心领导决策，可以方便、灵活、统一地查询归集、提取、贷款、会计的明细数据及汇总统计，汇总包括月、季、年及可选时间段，汇总可进行同比、环比分析及趋势分析，并可以表格、分析图、文件等形式输出。</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1.11综合服务数据交换系统：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维护内外网隔离数据的实时交换，提供基于服务配置、集群配置、路由配置的动态监控与治理。解决互联网高并发问题，达到服务的高可用，保证各互联网服务渠道与核心数据间的安全传输。</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1.12数据交换接口：</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维护包括住建厅监管系统接口、政务中心对接接口、异地转移接续接口、征信报送系统数据接口等</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1.13银行结算应用系统：</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维护住建部公积金结算系统，确保中心现有各家银行业务与住建部银行结算系统的正常运营及与银行相关业务的接口。</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1.14系统配置中心：</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实现归集、贷款、财务、电子档案、多渠道接入平台以及对外服务平台等子系统的业务参数、系统编码、初始数据的统一定制与调整。归集设置包括：归集点设置、银行编码设置、审批级别设置、业务参数设置、日常指标设置、系统年度设置、存款利率设置、系统编码设置、提取原因设置、提取审批流程设置、提取材料设置、缴存比例设置、缴存上下限设置、委托付款设置、委托付款银行设置、归集总额设置、提取总额设置等。</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1.15流程管理中心：</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集中管理、定义、再造流程，实现全流程化管理，包括了流程定义、流程规则、流程执行、流程监控等部分，是业务协同的核心。通过流程定义、流程运行规则定义、流程审计和监控，来完成业务需求、运行条件的直接描述，并提供业务操作者、审批者、审计者、被服务对象的直接信息关联和交互。</w:t>
            </w:r>
            <w:r/>
          </w:p>
        </w:tc>
      </w:tr>
      <w:tr>
        <w:trPr/>
        <w:tc>
          <w:tcPr>
            <w:tcW w:w="937" w:type="dxa"/>
            <w:vAlign w:val="center"/>
            <w:vMerge w:val="restart"/>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58" w:type="dxa"/>
            <w:vAlign w:val="center"/>
            <w:vMerge w:val="restart"/>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外联支撑应用系统要求</w:t>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2.1省政务服务平台：</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升级维护与省政务50%高频事项，动态数据报送，政务APP，政务旗舰店，政务自助终端以及其他各类公积金相关业务的正常运行，配合省政务的业务变动做相关修改和维护，维护与大数据中心数据互通及业务联动。</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2.2公积金数据交互平台：</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根据住建部要求，通过区块链技术，实现徐州公积金中心、全国住房公积金数据平台之间的数据实时报送、传输、查询使用，并根据住建部最新要求及时调整增加数据类型、对数据上报结果进行校验，维护数据交互平台的日常运行。</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2.3业务系统与不动产系统融合：</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包括现有系统与不动产系统的正常数据采集和共享，进行必要的升级维护，保证业务系统的正常运行。</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2.4长三角“一网通办”平台：</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维护中心与长三角“一网通办”平台相关业务的正常运行及升级。</w:t>
            </w:r>
            <w:r/>
          </w:p>
        </w:tc>
      </w:tr>
      <w:tr>
        <w:trPr/>
        <w:tc>
          <w:tcPr>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2.5苏服办APP功能适配：</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根据省数据局苏服办APP接入工作要求，优化及升级相关业务，保证公积金正常运行。</w:t>
            </w:r>
            <w:r/>
          </w:p>
        </w:tc>
      </w:tr>
      <w:tr>
        <w:trPr/>
        <w:tc>
          <w:tcPr>
            <w:shd w:val="clear" w:color="auto" w:fill="auto"/>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2.6国家、省、市政务服务“一件事”：</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根据国家、省、市政务服务“一件事”工作要求，对接，优化及升级相关“一件事”事项，保障相关业务正常运行。</w:t>
            </w:r>
            <w:r/>
          </w:p>
        </w:tc>
      </w:tr>
      <w:tr>
        <w:trPr/>
        <w:tc>
          <w:tcPr>
            <w:shd w:val="clear" w:color="auto" w:fill="auto"/>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2.7住建部监管服务平台：</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保障住建部监管服务平台相关功能正常使用，数据共享接口联通正常。</w:t>
            </w:r>
            <w:r/>
          </w:p>
        </w:tc>
      </w:tr>
      <w:tr>
        <w:trPr/>
        <w:tc>
          <w:tcPr>
            <w:shd w:val="clear" w:color="auto" w:fill="auto"/>
            <w:tcW w:w="937"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58" w:type="dxa"/>
            <w:vAlign w:val="center"/>
            <w:vMerge w:val="continue"/>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583" w:type="dxa"/>
            <w:textDirection w:val="lrTb"/>
            <w:noWrap w:val="false"/>
          </w:tcPr>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2.8其他服务：</w:t>
            </w:r>
            <w:r/>
          </w:p>
          <w:p>
            <w:pPr>
              <w:pStyle w:val="766"/>
              <w:ind w:firstLine="0"/>
              <w:jc w:val="left"/>
              <w:spacing w:line="360" w:lineRule="exact"/>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包括中心临时提出的相关统计查询要求，以及临时新增项目的日常升级和维护。</w:t>
            </w:r>
            <w:r/>
          </w:p>
        </w:tc>
      </w:tr>
    </w:tbl>
    <w:p>
      <w:pPr>
        <w:pStyle w:val="1025"/>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3.投标文件要求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3.1投标文件中提供《技术方案》文件；</w:t>
      </w:r>
      <w:r/>
    </w:p>
    <w:p>
      <w:pPr>
        <w:pStyle w:val="1025"/>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3.2《技术方案》包括以下内容：</w:t>
      </w:r>
      <w:r/>
    </w:p>
    <w:p>
      <w:pPr>
        <w:pStyle w:val="1025"/>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3.2.1《综合服务平台托管服务方案》；</w:t>
      </w:r>
      <w:r/>
    </w:p>
    <w:p>
      <w:pPr>
        <w:pStyle w:val="1025"/>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3.2.2《住房公积金综合信息管理系统（双贯标系统）维护方案》：包含《核心业务系统方案》；《外联支撑应用系统方案》。</w:t>
      </w:r>
      <w:r/>
    </w:p>
    <w:p>
      <w:pPr>
        <w:pStyle w:val="1025"/>
        <w:ind w:firstLine="480"/>
        <w:spacing w:line="36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（三）项目</w:t>
      </w:r>
      <w:r>
        <w:rPr>
          <w:rFonts w:hint="eastAsia" w:ascii="宋体" w:hAnsi="宋体" w:eastAsia="宋体" w:cs="宋体"/>
          <w:sz w:val="24"/>
          <w:szCs w:val="24"/>
        </w:rPr>
        <w:t xml:space="preserve">实施要求</w:t>
      </w:r>
      <w:r/>
    </w:p>
    <w:p>
      <w:pPr>
        <w:pStyle w:val="766"/>
        <w:ind w:right="6" w:firstLine="600"/>
        <w:spacing w:line="360" w:lineRule="exact"/>
        <w:rPr>
          <w:rFonts w:hint="eastAsia" w:ascii="宋体" w:hAnsi="宋体" w:eastAsia="宋体" w:cs="宋体"/>
          <w:sz w:val="24"/>
          <w:szCs w:val="24"/>
        </w:rPr>
      </w:pPr>
      <w:r>
        <w:rPr>
          <w:rFonts w:hint="eastAsia" w:ascii="宋体" w:hAnsi="宋体" w:eastAsia="宋体" w:cs="宋体"/>
          <w:sz w:val="24"/>
          <w:szCs w:val="24"/>
        </w:rPr>
        <w:t xml:space="preserve">1.业务系统驻场支持服务要求</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提供每周7*24小时电话技术支持，工作时间内，遵守中心上下班考勤制度，工作时间外1小时到场。</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针对所有硬件、软件、配置和紧急问题，提供技术咨询服务。若发生故障，供应商要第一时间告知采购人，并及时拿出应急方案和技术解决方案。</w:t>
      </w:r>
      <w:r/>
    </w:p>
    <w:p>
      <w:pPr>
        <w:pStyle w:val="766"/>
        <w:ind w:right="6" w:firstLine="600"/>
        <w:spacing w:line="360" w:lineRule="exact"/>
        <w:rPr>
          <w:rFonts w:hint="eastAsia" w:ascii="宋体" w:hAnsi="宋体" w:eastAsia="宋体" w:cs="宋体"/>
          <w:sz w:val="24"/>
          <w:szCs w:val="24"/>
        </w:rPr>
      </w:pPr>
      <w:r>
        <w:rPr>
          <w:rFonts w:hint="eastAsia" w:ascii="宋体" w:hAnsi="宋体" w:eastAsia="宋体" w:cs="宋体"/>
          <w:sz w:val="24"/>
          <w:szCs w:val="24"/>
        </w:rPr>
        <w:t xml:space="preserve">2.问题修改要求</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根据采购人提交的《徐州公积金中心软件需求申请单》在限定的时间内完成修改，完成自测并提交。</w:t>
      </w:r>
      <w:r/>
    </w:p>
    <w:p>
      <w:pPr>
        <w:pStyle w:val="766"/>
        <w:ind w:right="6" w:firstLine="600"/>
        <w:spacing w:line="360" w:lineRule="exact"/>
        <w:rPr>
          <w:rFonts w:hint="eastAsia" w:ascii="宋体" w:hAnsi="宋体" w:eastAsia="宋体" w:cs="宋体"/>
          <w:sz w:val="24"/>
          <w:szCs w:val="24"/>
        </w:rPr>
      </w:pPr>
      <w:r>
        <w:rPr>
          <w:rFonts w:hint="eastAsia" w:ascii="宋体" w:hAnsi="宋体" w:eastAsia="宋体" w:cs="宋体"/>
          <w:sz w:val="24"/>
          <w:szCs w:val="24"/>
        </w:rPr>
        <w:t xml:space="preserve">3.程序开发要求</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运维范围内各子系统提供新增功能、模块的修改：根据中心的工作需要和政策变化，开发系统内新增的功能、模块，并完成新增功能模块的测试、部署、培训。与采购人确定需求后，对业务系统进行调整，增加少量功能模块，完成自测并提交。</w:t>
      </w:r>
      <w:r/>
    </w:p>
    <w:p>
      <w:pPr>
        <w:pStyle w:val="766"/>
        <w:ind w:right="6" w:firstLine="600"/>
        <w:spacing w:line="360" w:lineRule="exact"/>
        <w:rPr>
          <w:rFonts w:hint="eastAsia" w:ascii="宋体" w:hAnsi="宋体" w:eastAsia="宋体" w:cs="宋体"/>
          <w:sz w:val="24"/>
          <w:szCs w:val="24"/>
        </w:rPr>
      </w:pPr>
      <w:r>
        <w:rPr>
          <w:rFonts w:hint="eastAsia" w:ascii="宋体" w:hAnsi="宋体" w:eastAsia="宋体" w:cs="宋体"/>
          <w:sz w:val="24"/>
          <w:szCs w:val="24"/>
        </w:rPr>
        <w:t xml:space="preserve">4.日常维护要求</w:t>
      </w:r>
      <w:r/>
    </w:p>
    <w:p>
      <w:pPr>
        <w:pStyle w:val="766"/>
        <w:ind w:right="6" w:firstLine="600"/>
        <w:spacing w:line="360" w:lineRule="exact"/>
        <w:rPr>
          <w:rFonts w:hint="eastAsia" w:ascii="宋体" w:hAnsi="宋体" w:eastAsia="宋体" w:cs="宋体"/>
          <w:sz w:val="24"/>
          <w:szCs w:val="24"/>
        </w:rPr>
      </w:pPr>
      <w:r>
        <w:rPr>
          <w:rFonts w:hint="eastAsia" w:ascii="宋体" w:hAnsi="宋体" w:eastAsia="宋体" w:cs="宋体"/>
          <w:sz w:val="24"/>
          <w:szCs w:val="24"/>
        </w:rPr>
        <w:t xml:space="preserve">4.1每日对相关外联接口中心端进行正常性和联通性检查，保证安全稳定运行；</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4.2遇到问题及时进行分析，并与相关单位积极进行沟通解决，中心端问题处理时间不超过1个小时；</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4.3中心政策调整或相关单位系统升级须同步调整中心现有系统的，维保人员需积极的进行沟通，并制定接口方案，按中心要求做好接口开发，保证中心业务顺利开展。</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4.4系统软件服务：系统软件bug修复；系统软件部署；异常问题排查等</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4.5系统数据服务：数据异常调整；特殊数据处理；历史错误数据修正；数据更新等</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4.6系统稳定性维护：每日定期检查系统运行状况，保证管理系统安全，稳定运行。</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4.7系统日常维护：对日常系统的运行情况进行监控，随时解决系统运行过程中的出现各种问题，负责对系统进行年结，结息，结转等工作。同时，做好错误历史数据的修正工作，根据业务处室要求按需统计相关数据指标。</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5.排查问题</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协助采购人排查技术问题并解决。</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6.业务量统计</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根据业务要求，在现有报表统计查询无法满足的情况下，协助提供各类临时数据统计。</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7.系统优化</w:t>
      </w:r>
      <w:r/>
    </w:p>
    <w:p>
      <w:pPr>
        <w:pStyle w:val="766"/>
        <w:ind w:right="6"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随着业务和数据量的急剧累积，在服务器、数据库、网络及工作站各个环节，均有可能出现瓶颈，需要不断地优化系统，供应商需具有公积金管理系统开发服务能力，能够不断地优化系统，保障整体性能。</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8.按照等保三级要求对核心业务系统以及综合服务平台系统开展运维服务</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8.1在业务信息系统经过等保测评后，测评结果不符合等级保护规范要求的项目，涉及到投标人的部分，要主动修正，确定详细的整改计划并付诸实施。</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8.2基于互联网业务（网上业务大厅，APP，微信业务等渠道业务），面向业务系统可用性和业务连续性进行合理布控和监测，主要依托诸如防火墙、IDS/IPS、SIEM等产品以关键指标指导观测业务系统的安全状态情况，保证综合服务平台的运行稳定和安全。</w:t>
      </w:r>
      <w:r/>
    </w:p>
    <w:p>
      <w:pPr>
        <w:pStyle w:val="766"/>
        <w:ind w:right="6" w:firstLine="600"/>
        <w:spacing w:line="360" w:lineRule="exact"/>
        <w:rPr>
          <w:rFonts w:hint="eastAsia" w:ascii="宋体" w:hAnsi="宋体" w:eastAsia="宋体" w:cs="宋体"/>
          <w:sz w:val="24"/>
          <w:szCs w:val="24"/>
        </w:rPr>
      </w:pPr>
      <w:r>
        <w:rPr>
          <w:rFonts w:hint="eastAsia" w:ascii="宋体" w:hAnsi="宋体" w:eastAsia="宋体" w:cs="宋体"/>
          <w:sz w:val="24"/>
          <w:szCs w:val="24"/>
        </w:rPr>
        <w:t xml:space="preserve">9.主动做好中心与外联单位的接口维护、开发和调试工作（包括数据共享，银行外联接口等），如遇业务调整时，必须按照中心要求按时间节点完成标准接口升级工作（中心端），不得拖延工期。</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10.针对中心综合服务平台的运行特点，提供科学合理的实施方案，包括软硬件实施计划、时间安排、项目管理力量、技术人员配备、设备安装与调试的科学性、合理性、安全生产、质量保证措施等。</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11.为了持续保障综合服务平台业务系统安全稳定运行，提升中心的业务办理体验度和流畅度，针对中心现有实际的网络和业务环境，提供安全防护产品的科学合理配置和实施方案。</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12.要有明确的售后服务维护质量目标，质量保证措施，详细可行的事实内容，要积极主动帮助采购人解决托管服务期内的维护，管理，解决问题等工作，同时保障中心与托管机房中线路安全、畅通，必要时可增加冗余线路。</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13.服务不间断能力：为保证中心现有核心业务系统的稳定性及服务的不间断性，本项目要求供应商需对采购人核心业务系统管理流程、逻辑、数据库结构等有深刻的了解并进行分析，能提供不间断服务。</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14.与核心业务系统无缝对接：为保证系统的稳定性、兼容性、一致性，本项目必须在采购人现有核心业务系统的架构及平台上进行，保证与核心业务系统的深度融合、无缝对接，涉及到对现有系统进行改造或与现有系统进行接口开发的，以及涉及协调现有系统开发商配合的一切事宜，均由中标人和现有系统开发商协商解决，所产生的全部费用，由中标人自行负责。</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15.投标文件要求</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15.1投标文件中提供《项目实施方案》文件。</w:t>
      </w:r>
      <w:r/>
    </w:p>
    <w:p>
      <w:pPr>
        <w:pStyle w:val="766"/>
        <w:ind w:right="6" w:firstLine="559"/>
        <w:spacing w:line="360" w:lineRule="exact"/>
        <w:rPr>
          <w:rFonts w:hint="eastAsia" w:ascii="宋体" w:hAnsi="宋体" w:eastAsia="宋体" w:cs="宋体"/>
          <w:sz w:val="24"/>
          <w:szCs w:val="24"/>
        </w:rPr>
      </w:pPr>
      <w:r>
        <w:rPr>
          <w:rFonts w:hint="eastAsia" w:ascii="宋体" w:hAnsi="宋体" w:eastAsia="宋体" w:cs="宋体"/>
          <w:sz w:val="24"/>
          <w:szCs w:val="24"/>
        </w:rPr>
        <w:t xml:space="preserve">15.2《项目实施方案》文件对照以上“（三）项目实施要求”编制。</w:t>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（四）人员配备要求</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针对本项目业务系统要求建立专门的技术支持服务小组，小组要求由经验丰富的工程师担任组长和项目经理，另外需要提供驻场服务，供应商需派出至少2名工程师在现场进行驻点，场地由采购人提供。</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1.技术支持服务小组人员具体要求</w:t>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本项目的技术支持服务小组中，要求具有高级系统架构设计师资格、高级信息系统项目管理师资格、高级系统分析师资格、ITSS服务项目经理资格、甲骨文数据库管理员（OCM)资格人员。投标文件中提供上述人员名单、证书扫描件及投标人为上述人员缴纳的本项目开标时间前6个月内任何1月的社会保障资金的相关材料扫描件或劳动合同扫描件。</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2.拟派驻现场人员工作要求</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2.1拟派驻现场技术人员要求具有相关项目实施经验，需说明技术人员所担任的职务及职责分工。</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遵守采购人上下班考勤制度，服从采购人的安排，未经采购人允许不得私自更换项目经理。如该项目经理短时间临时派出其他项目，必须安排与其业务能力相当的工程师接替其驻场工作。如遇特殊且紧急的项目，采购人有权要求供应商及时增加驻场人员数量，保证项目高质量按序时完成。</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3.投标文件要求</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3.1投标文件中提供《人员配备方案》文件。</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3.2《人员配备方案》文件对照以上“（四）人员配备要求”编制。</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3.3《人员配备方案》应包括以下内容：技术支持服务小组人员方案；拟派驻现场人员工作方案。</w:t>
      </w:r>
      <w:r/>
    </w:p>
    <w:p>
      <w:pPr>
        <w:pStyle w:val="741"/>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（五）技术培训要求</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1.业务培训要求</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1.1根据中心需求，提供相关人员专业技术培训（次数不少2人次，时间为期一周左右，费用包含在该项目内）。</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1.2为采购人现场完成软件运行和维护培训。</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2.技术咨询要求</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软件咨询服务。提供软件产品的相关信息咨询，解答关于软件产品的各种问题，并协助用户解决问题。提供信息化规划指导、技术咨询。</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3.投标文件要求</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3.1投标文件中提供《技术培训方案》文件。</w:t>
      </w:r>
      <w:r/>
    </w:p>
    <w:p>
      <w:pPr>
        <w:pStyle w:val="1025"/>
        <w:ind w:firstLine="480"/>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t xml:space="preserve">3.2《技术培训方案》文件对照以上“（五）技术培训要求”编制。</w:t>
      </w:r>
      <w:r/>
    </w:p>
    <w:p>
      <w:pPr>
        <w:pStyle w:val="741"/>
        <w:spacing w:after="0" w:line="360" w:lineRule="exact"/>
        <w:rPr>
          <w:rFonts w:hint="eastAsia" w:ascii="宋体" w:hAnsi="宋体" w:eastAsia="宋体" w:cs="宋体"/>
          <w:sz w:val="24"/>
          <w:szCs w:val="24"/>
        </w:rPr>
      </w:pPr>
      <w:r>
        <w:rPr>
          <w:rFonts w:hint="eastAsia" w:ascii="宋体" w:hAnsi="宋体" w:eastAsia="宋体" w:cs="宋体"/>
          <w:sz w:val="24"/>
          <w:szCs w:val="24"/>
        </w:rPr>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（六）验收标准（验收要求、验收标准和程序）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见招标文件第五章《拟签订的合同文本》中“采购包2拟签订的合同文本”的“第九条 验收标准（验收要求、验收标准和程序）要求”。</w:t>
      </w:r>
      <w:r/>
    </w:p>
    <w:p>
      <w:pPr>
        <w:pStyle w:val="1025"/>
        <w:spacing w:line="360" w:lineRule="exact"/>
        <w:rPr>
          <w:rFonts w:hint="eastAsia" w:ascii="宋体" w:hAnsi="宋体" w:eastAsia="宋体" w:cs="宋体"/>
          <w:sz w:val="24"/>
          <w:szCs w:val="24"/>
          <w:lang w:val="en-US" w:bidi="ar-SA"/>
        </w:rPr>
      </w:pPr>
      <w:r>
        <w:rPr>
          <w:rFonts w:hint="eastAsia" w:ascii="宋体" w:hAnsi="宋体" w:eastAsia="宋体" w:cs="宋体"/>
          <w:sz w:val="24"/>
          <w:szCs w:val="24"/>
          <w:lang w:val="en-US" w:bidi="ar-SA"/>
        </w:rPr>
      </w:r>
      <w:r/>
    </w:p>
    <w:p>
      <w:pPr>
        <w:pStyle w:val="741"/>
        <w:ind w:firstLine="360"/>
        <w:rPr>
          <w:rFonts w:hint="eastAsia" w:ascii="宋体" w:hAnsi="宋体" w:eastAsia="宋体" w:cs="宋体"/>
          <w:sz w:val="24"/>
          <w:szCs w:val="24"/>
        </w:rPr>
      </w:pPr>
      <w:r>
        <w:rPr>
          <w:rFonts w:hint="eastAsia" w:ascii="宋体" w:hAnsi="宋体" w:eastAsia="宋体" w:cs="宋体"/>
          <w:sz w:val="24"/>
          <w:szCs w:val="24"/>
        </w:rPr>
        <w:t xml:space="preserve">（七）关于投标报价的相关说明</w:t>
      </w:r>
      <w:r/>
    </w:p>
    <w:p>
      <w:pPr>
        <w:pStyle w:val="741"/>
        <w:ind w:firstLine="480"/>
        <w:rPr>
          <w:rFonts w:hint="eastAsia" w:ascii="宋体" w:hAnsi="宋体" w:eastAsia="宋体" w:cs="宋体"/>
          <w:sz w:val="24"/>
          <w:szCs w:val="24"/>
        </w:rPr>
      </w:pPr>
      <w:r>
        <w:rPr>
          <w:rFonts w:hint="eastAsia" w:ascii="宋体" w:hAnsi="宋体" w:cs="宋体"/>
          <w:sz w:val="24"/>
          <w:szCs w:val="24"/>
          <w:lang w:val="en-US" w:eastAsia="zh-CN"/>
        </w:rPr>
        <w:t xml:space="preserve">采购包2</w:t>
      </w:r>
      <w:r>
        <w:rPr>
          <w:rFonts w:hint="eastAsia" w:ascii="宋体" w:hAnsi="宋体" w:eastAsia="宋体" w:cs="宋体"/>
          <w:sz w:val="24"/>
          <w:szCs w:val="24"/>
        </w:rPr>
        <w:t xml:space="preserve">不接受超过90万元人民币（采购项目预算金额）的投标报价。</w:t>
      </w:r>
      <w:r/>
    </w:p>
    <w:p>
      <w:pPr>
        <w:ind w:firstLine="361"/>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说明：本“（七）关于投标报价的相关说明”为不允许偏离的实质性要求和条件，如有偏离，在符合性审查时按照投标无效处理。</w:t>
      </w:r>
      <w:r/>
    </w:p>
    <w:p>
      <w:pPr>
        <w:ind w:firstLine="480"/>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（八）支付</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见招标文件第五章《拟签订的合同文本》中“采购包2拟签订的合同文本”中“第四条 支付（</w:t>
      </w:r>
      <w:r>
        <w:rPr>
          <w:rFonts w:hint="eastAsia" w:ascii="宋体" w:hAnsi="宋体" w:eastAsia="宋体" w:cs="宋体"/>
          <w:sz w:val="24"/>
          <w:szCs w:val="24"/>
        </w:rPr>
        <w:t xml:space="preserve">采购资金的支付方式、时间、条件</w:t>
      </w:r>
      <w:r>
        <w:rPr>
          <w:rFonts w:hint="eastAsia" w:ascii="宋体" w:hAnsi="宋体" w:eastAsia="宋体" w:cs="宋体"/>
          <w:sz w:val="24"/>
          <w:szCs w:val="24"/>
        </w:rPr>
        <w:t xml:space="preserve">）”</w:t>
      </w:r>
      <w:r/>
    </w:p>
    <w:p>
      <w:pPr>
        <w:ind w:firstLine="361"/>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说明：本“（八）支付”为不允许偏离的实质性要求和条件，如有偏离，在符合性审查时按照投标无效处理。</w:t>
      </w:r>
      <w:r/>
    </w:p>
    <w:p>
      <w:pPr>
        <w:pStyle w:val="741"/>
        <w:rPr>
          <w:rFonts w:hint="eastAsia" w:ascii="宋体" w:hAnsi="宋体" w:eastAsia="宋体" w:cs="宋体"/>
          <w:sz w:val="24"/>
          <w:szCs w:val="24"/>
        </w:rPr>
      </w:pPr>
      <w:r>
        <w:rPr>
          <w:rFonts w:hint="eastAsia" w:ascii="宋体" w:hAnsi="宋体" w:eastAsia="宋体" w:cs="宋体"/>
          <w:sz w:val="24"/>
          <w:szCs w:val="24"/>
        </w:rPr>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（九）维保服务期限</w:t>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t xml:space="preserve">见招标文件第五章《拟签订的合同文本》中“采购包2拟签订的合同文本”中“第二条 维保服务期限”。</w:t>
      </w:r>
      <w:r/>
    </w:p>
    <w:p>
      <w:pPr>
        <w:ind w:firstLine="482"/>
        <w:spacing w:line="360" w:lineRule="exact"/>
        <w:rPr>
          <w:rFonts w:hint="eastAsia" w:ascii="宋体" w:hAnsi="宋体" w:eastAsia="宋体" w:cs="宋体"/>
          <w:sz w:val="24"/>
          <w:szCs w:val="24"/>
        </w:rPr>
      </w:pPr>
      <w:r>
        <w:rPr>
          <w:rFonts w:hint="eastAsia" w:ascii="宋体" w:hAnsi="宋体" w:eastAsia="宋体" w:cs="宋体"/>
          <w:b/>
          <w:sz w:val="24"/>
          <w:szCs w:val="24"/>
        </w:rPr>
        <w:t xml:space="preserve">说明：本“（九）维保服务期限”为不允许偏离的实质性要求和条件，如有偏离，在符合性审查时按照投标无效处理。</w:t>
      </w:r>
      <w:r/>
    </w:p>
    <w:p>
      <w:pPr>
        <w:ind w:firstLine="360"/>
        <w:spacing w:line="360" w:lineRule="exact"/>
        <w:rPr>
          <w:rFonts w:hint="eastAsia" w:ascii="宋体" w:hAnsi="宋体" w:eastAsia="宋体" w:cs="宋体"/>
          <w:sz w:val="24"/>
          <w:szCs w:val="24"/>
        </w:rPr>
      </w:pPr>
      <w:r>
        <w:rPr>
          <w:rFonts w:hint="eastAsia" w:ascii="宋体" w:hAnsi="宋体" w:eastAsia="宋体" w:cs="宋体"/>
          <w:sz w:val="24"/>
          <w:szCs w:val="24"/>
        </w:rPr>
      </w:r>
      <w:r/>
    </w:p>
    <w:p>
      <w:pPr>
        <w:pStyle w:val="1025"/>
        <w:ind w:firstLine="360"/>
        <w:spacing w:line="360" w:lineRule="exact"/>
        <w:rPr>
          <w:rFonts w:hint="eastAsia" w:ascii="宋体" w:hAnsi="宋体" w:eastAsia="宋体" w:cs="宋体"/>
          <w:sz w:val="28"/>
          <w:szCs w:val="28"/>
        </w:rPr>
      </w:pPr>
      <w:r>
        <w:rPr>
          <w:rFonts w:hint="eastAsia" w:ascii="宋体" w:hAnsi="宋体" w:eastAsia="宋体" w:cs="宋体"/>
          <w:sz w:val="24"/>
          <w:szCs w:val="24"/>
        </w:rPr>
        <w:t xml:space="preserve">（十）其他要求：见招标文件第五章《拟签订的合同文本》。</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923"/>
        <w:rPr>
          <w:rFonts w:hint="eastAsia" w:ascii="宋体" w:hAnsi="宋体" w:cs="宋体"/>
          <w:b/>
          <w:bCs/>
          <w:sz w:val="28"/>
          <w:szCs w:val="28"/>
        </w:rPr>
      </w:pPr>
      <w:r>
        <w:rPr>
          <w:rFonts w:hint="eastAsia" w:ascii="宋体" w:hAnsi="宋体" w:eastAsia="宋体" w:cs="宋体"/>
        </w:rPr>
        <w:t xml:space="preserve">第七章  投标文件相关格式</w:t>
      </w:r>
      <w:bookmarkEnd w:id="19"/>
      <w:r/>
      <w:bookmarkEnd w:id="20"/>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JSZC-320300-ZJZB-G2025-0157</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2025-2026年度公积金核心机房硬件运维及信息系统软件运行维护</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JSZC-320300-ZJZB-G2025-0157</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2025-2026年度公积金核心机房硬件运维及信息系统软件运行维护</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JSZC-320300-ZJZB-G2025-0157</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2025-2026年度公积金核心机房硬件运维及信息系统软件运行维护</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JSZC-320300-ZJZB-G2025-0157</w:t>
      </w:r>
      <w:r/>
    </w:p>
    <w:p>
      <w:pPr>
        <w:rPr>
          <w:rFonts w:hint="eastAsia" w:ascii="宋体" w:hAnsi="宋体" w:cs="宋体"/>
          <w:sz w:val="24"/>
          <w:u w:val="single"/>
        </w:rPr>
      </w:pPr>
      <w:r>
        <w:rPr>
          <w:rFonts w:hint="eastAsia" w:ascii="宋体" w:hAnsi="宋体" w:cs="宋体"/>
          <w:sz w:val="24"/>
          <w:u w:val="single"/>
        </w:rPr>
      </w:r>
      <w:r/>
    </w:p>
    <w:tbl>
      <w:tblPr>
        <w:tblStyle w:val="714"/>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8"/>
          <w:szCs w:val="28"/>
        </w:rPr>
      </w:pPr>
      <w:r>
        <w:rPr>
          <w:rFonts w:hint="eastAsia" w:ascii="宋体" w:hAnsi="宋体" w:cs="宋体"/>
          <w:sz w:val="28"/>
          <w:szCs w:val="28"/>
        </w:rPr>
        <w:t xml:space="preserve">委托人：</w:t>
      </w:r>
      <w:r/>
    </w:p>
    <w:p>
      <w:pPr>
        <w:spacing w:line="480" w:lineRule="exact"/>
        <w:rPr>
          <w:rFonts w:hint="eastAsia" w:ascii="宋体" w:hAnsi="宋体" w:cs="宋体"/>
          <w:sz w:val="28"/>
          <w:szCs w:val="28"/>
        </w:rPr>
      </w:pPr>
      <w:r>
        <w:rPr>
          <w:rFonts w:hint="eastAsia" w:ascii="宋体" w:hAnsi="宋体" w:cs="宋体"/>
          <w:sz w:val="28"/>
          <w:szCs w:val="28"/>
        </w:rPr>
        <w:t xml:space="preserve">地  址：</w:t>
      </w:r>
      <w:r/>
    </w:p>
    <w:p>
      <w:pPr>
        <w:spacing w:line="480" w:lineRule="exact"/>
        <w:rPr>
          <w:rFonts w:hint="eastAsia"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hint="eastAsia" w:ascii="宋体" w:hAnsi="宋体" w:cs="宋体"/>
          <w:sz w:val="28"/>
          <w:szCs w:val="28"/>
        </w:rPr>
      </w:pPr>
      <w:r>
        <w:rPr>
          <w:rFonts w:hint="eastAsia" w:ascii="宋体" w:hAnsi="宋体" w:cs="宋体"/>
          <w:sz w:val="28"/>
          <w:szCs w:val="28"/>
        </w:rPr>
        <w:t xml:space="preserve">统一社会信用代码：</w:t>
      </w:r>
      <w:r/>
    </w:p>
    <w:p>
      <w:pPr>
        <w:spacing w:line="480" w:lineRule="exact"/>
        <w:rPr>
          <w:rFonts w:hint="eastAsia" w:ascii="宋体" w:hAnsi="宋体" w:cs="宋体"/>
          <w:sz w:val="28"/>
          <w:szCs w:val="28"/>
        </w:rPr>
      </w:pPr>
      <w:r>
        <w:rPr>
          <w:rFonts w:hint="eastAsia" w:ascii="宋体" w:hAnsi="宋体" w:cs="宋体"/>
          <w:sz w:val="28"/>
          <w:szCs w:val="28"/>
        </w:rPr>
        <w:t xml:space="preserve">受托人：                   性别：男（女）  </w:t>
      </w:r>
      <w:r/>
    </w:p>
    <w:p>
      <w:pPr>
        <w:spacing w:line="480" w:lineRule="exact"/>
        <w:rPr>
          <w:rFonts w:hint="eastAsia" w:ascii="宋体" w:hAnsi="宋体" w:cs="宋体"/>
          <w:sz w:val="28"/>
          <w:szCs w:val="28"/>
        </w:rPr>
      </w:pPr>
      <w:r>
        <w:rPr>
          <w:rFonts w:hint="eastAsia" w:ascii="宋体" w:hAnsi="宋体" w:cs="宋体"/>
          <w:sz w:val="28"/>
          <w:szCs w:val="28"/>
        </w:rPr>
        <w:t xml:space="preserve">年龄：  岁                 民族：   族</w:t>
      </w:r>
      <w:r/>
    </w:p>
    <w:p>
      <w:pPr>
        <w:spacing w:line="480" w:lineRule="exact"/>
        <w:rPr>
          <w:rFonts w:hint="eastAsia" w:ascii="宋体" w:hAnsi="宋体" w:cs="宋体"/>
          <w:sz w:val="28"/>
          <w:szCs w:val="28"/>
        </w:rPr>
      </w:pPr>
      <w:r>
        <w:rPr>
          <w:rFonts w:hint="eastAsia" w:ascii="宋体" w:hAnsi="宋体" w:cs="宋体"/>
          <w:sz w:val="28"/>
          <w:szCs w:val="28"/>
        </w:rPr>
        <w:t xml:space="preserve">职务：</w:t>
      </w:r>
      <w:r/>
    </w:p>
    <w:p>
      <w:pPr>
        <w:spacing w:line="480" w:lineRule="exact"/>
        <w:rPr>
          <w:rFonts w:hint="eastAsia"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2025-2026年度公积金核心机房硬件运维及信息系统软件运行维护</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JSZC-320300-ZJZB-G2025-0157</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委托人（盖章）：               </w:t>
      </w:r>
      <w:r>
        <w:rPr>
          <w:rFonts w:hint="eastAsia" w:ascii="宋体" w:hAnsi="宋体" w:cs="宋体"/>
          <w:b/>
          <w:bCs/>
          <w:sz w:val="28"/>
          <w:szCs w:val="28"/>
        </w:rPr>
        <w:t xml:space="preserve">受托人（签字）：</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b/>
          <w:bCs/>
          <w:sz w:val="28"/>
          <w:szCs w:val="28"/>
        </w:rPr>
        <w:t xml:space="preserve">法定代表人（签字）：</w:t>
      </w:r>
      <w:r>
        <w:rPr>
          <w:rFonts w:hint="eastAsia" w:ascii="宋体" w:hAnsi="宋体" w:cs="宋体"/>
          <w:sz w:val="28"/>
          <w:szCs w:val="28"/>
        </w:rPr>
        <w:t xml:space="preserve"> </w:t>
      </w:r>
      <w:r/>
    </w:p>
    <w:p>
      <w:pPr>
        <w:ind w:right="600" w:firstLine="6150"/>
        <w:spacing w:line="480" w:lineRule="exact"/>
        <w:rPr>
          <w:rFonts w:hint="eastAsia" w:ascii="宋体" w:hAnsi="宋体" w:cs="宋体"/>
          <w:sz w:val="28"/>
          <w:szCs w:val="28"/>
        </w:rPr>
      </w:pPr>
      <w:r>
        <w:rPr>
          <w:rFonts w:hint="eastAsia" w:ascii="宋体" w:hAnsi="宋体" w:cs="宋体"/>
          <w:sz w:val="28"/>
          <w:szCs w:val="28"/>
        </w:rPr>
        <w:t xml:space="preserve">年   月   日 </w:t>
      </w:r>
      <w:r/>
    </w:p>
    <w:p>
      <w:pPr>
        <w:spacing w:line="480" w:lineRule="exact"/>
        <w:rPr>
          <w:rFonts w:hint="eastAsia" w:ascii="宋体" w:hAnsi="宋体" w:cs="宋体"/>
          <w:sz w:val="30"/>
          <w:szCs w:val="30"/>
        </w:rPr>
      </w:pPr>
      <w:r>
        <w:rPr>
          <w:rFonts w:hint="eastAsia" w:ascii="宋体" w:hAnsi="宋体" w:cs="宋体"/>
          <w:sz w:val="28"/>
          <w:szCs w:val="28"/>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jc w:val="center"/>
        <w:rPr>
          <w:rFonts w:hint="eastAsia" w:ascii="宋体" w:hAnsi="宋体" w:cs="宋体"/>
          <w:b/>
          <w:bCs/>
          <w:sz w:val="28"/>
          <w:szCs w:val="28"/>
          <w:u w:val="none"/>
        </w:rPr>
      </w:pPr>
      <w:r>
        <w:rPr>
          <w:rFonts w:hint="eastAsia" w:ascii="宋体" w:hAnsi="宋体" w:cs="宋体"/>
          <w:b/>
          <w:bCs/>
          <w:sz w:val="28"/>
          <w:szCs w:val="28"/>
          <w:u w:val="none"/>
          <w:lang w:eastAsia="zh-CN"/>
        </w:rPr>
        <w:t xml:space="preserve">采购包1：2025-2026年度公积金核心机房硬件运维</w:t>
      </w:r>
      <w:r/>
    </w:p>
    <w:p>
      <w:pPr>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rPr>
          <w:rFonts w:hint="eastAsia" w:ascii="宋体" w:hAnsi="宋体" w:cs="宋体"/>
          <w:sz w:val="28"/>
          <w:szCs w:val="28"/>
          <w:u w:val="single"/>
          <w:lang w:val="en-US" w:eastAsia="zh-CN"/>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u w:val="single"/>
        </w:rPr>
        <w:br/>
      </w:r>
      <w:r/>
    </w:p>
    <w:p>
      <w:pPr>
        <w:spacing w:line="360" w:lineRule="auto"/>
        <w:rPr>
          <w:rFonts w:hint="eastAsia" w:ascii="宋体" w:hAnsi="宋体" w:cs="宋体"/>
          <w:sz w:val="28"/>
          <w:szCs w:val="28"/>
          <w:highlight w:val="none"/>
          <w:lang w:eastAsia="zh-CN"/>
        </w:rPr>
      </w:pPr>
      <w:r>
        <w:rPr>
          <w:rFonts w:hint="eastAsia" w:ascii="宋体" w:hAnsi="宋体" w:cs="宋体"/>
          <w:sz w:val="28"/>
          <w:szCs w:val="28"/>
        </w:rPr>
        <w:t xml:space="preserve">　　</w:t>
      </w:r>
      <w:r>
        <w:rPr>
          <w:rFonts w:hint="eastAsia" w:ascii="宋体" w:hAnsi="宋体" w:cs="宋体"/>
          <w:sz w:val="28"/>
          <w:szCs w:val="28"/>
          <w:highlight w:val="none"/>
          <w:lang w:eastAsia="zh-CN"/>
        </w:rPr>
        <w:t xml:space="preserve">本公司郑重声明，根据《政府采购促进中小企业发展管理办法》（财库﹝2020﹞46 号）的规定，本公司参加（徐州市住房公积金管理中心）的（2025-2026年度公积金核心机房硬件运维及信息系统软件运行维护</w:t>
      </w:r>
      <w:r>
        <w:rPr>
          <w:rFonts w:hint="eastAsia" w:ascii="宋体" w:hAnsi="宋体" w:cs="宋体"/>
          <w:sz w:val="28"/>
          <w:szCs w:val="28"/>
          <w:highlight w:val="none"/>
          <w:lang w:val="en-US" w:eastAsia="zh-CN"/>
        </w:rPr>
        <w:t xml:space="preserve">采购包1</w:t>
      </w:r>
      <w:r>
        <w:rPr>
          <w:rFonts w:hint="eastAsia" w:ascii="宋体" w:hAnsi="宋体" w:cs="宋体"/>
          <w:sz w:val="28"/>
          <w:szCs w:val="28"/>
          <w:highlight w:val="none"/>
          <w:lang w:eastAsia="zh-CN"/>
        </w:rPr>
        <w:t xml:space="preserve">）采购活动，服务全部由符合政策要求的中小企业承接。相关企业的具体情况如下：</w:t>
      </w:r>
      <w:r/>
    </w:p>
    <w:p>
      <w:pPr>
        <w:ind w:firstLine="56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eastAsia="zh-CN"/>
        </w:rPr>
        <w:t xml:space="preserve">2025-2026年度公积金核心机房硬件运维及信息系统软件运行维护</w:t>
      </w:r>
      <w:r>
        <w:rPr>
          <w:rFonts w:hint="eastAsia" w:ascii="宋体" w:hAnsi="宋体" w:cs="宋体"/>
          <w:sz w:val="28"/>
          <w:szCs w:val="28"/>
          <w:highlight w:val="none"/>
          <w:lang w:val="en-US" w:eastAsia="zh-CN"/>
        </w:rPr>
        <w:t xml:space="preserve">采购包1</w:t>
      </w:r>
      <w:r>
        <w:rPr>
          <w:rFonts w:hint="eastAsia" w:ascii="宋体" w:hAnsi="宋体" w:cs="宋体"/>
          <w:sz w:val="28"/>
          <w:szCs w:val="28"/>
          <w:highlight w:val="none"/>
        </w:rPr>
        <w:t xml:space="preserve">），属于</w:t>
      </w:r>
      <w:r>
        <w:rPr>
          <w:rFonts w:hint="eastAsia" w:ascii="宋体" w:hAnsi="宋体" w:cs="宋体"/>
          <w:sz w:val="28"/>
          <w:szCs w:val="28"/>
          <w:highlight w:val="none"/>
          <w:u w:val="single"/>
          <w:lang w:eastAsia="zh-CN"/>
        </w:rPr>
        <w:t xml:space="preserve">（软件和信息技术服务业）</w:t>
      </w:r>
      <w:r>
        <w:rPr>
          <w:rFonts w:hint="eastAsia" w:ascii="宋体" w:hAnsi="宋体" w:cs="宋体"/>
          <w:sz w:val="28"/>
          <w:szCs w:val="28"/>
          <w:highlight w:val="none"/>
          <w:u w:val="none"/>
          <w:lang w:eastAsia="zh-CN"/>
        </w:rPr>
        <w:t xml:space="preserve">行</w:t>
      </w:r>
      <w:r>
        <w:rPr>
          <w:rFonts w:hint="eastAsia" w:ascii="宋体" w:hAnsi="宋体" w:cs="宋体"/>
          <w:sz w:val="28"/>
          <w:szCs w:val="28"/>
          <w:highlight w:val="none"/>
          <w:u w:val="none"/>
        </w:rPr>
        <w:t xml:space="preserve">业</w:t>
      </w:r>
      <w:r>
        <w:rPr>
          <w:rFonts w:hint="eastAsia" w:ascii="宋体" w:hAnsi="宋体" w:cs="宋体"/>
          <w:sz w:val="28"/>
          <w:szCs w:val="28"/>
          <w:highlight w:val="none"/>
        </w:rPr>
        <w:t xml:space="preserve">；承建（承接）企业为（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color w:val="c00000"/>
          <w:sz w:val="28"/>
          <w:szCs w:val="28"/>
          <w:highlight w:val="none"/>
        </w:rPr>
        <w:t xml:space="preserve">请勾选！</w:t>
      </w:r>
      <w:r>
        <w:rPr>
          <w:rFonts w:hint="eastAsia" w:ascii="宋体" w:hAnsi="宋体" w:cs="宋体"/>
          <w:sz w:val="28"/>
          <w:szCs w:val="28"/>
          <w:highlight w:val="none"/>
        </w:rPr>
        <w:t xml:space="preserve">)；</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企业名称（供应商名称）</w:t>
      </w:r>
      <w:r>
        <w:rPr>
          <w:rFonts w:hint="eastAsia" w:ascii="宋体" w:hAnsi="宋体" w:cs="宋体"/>
          <w:b w:val="0"/>
          <w:bCs w:val="0"/>
          <w:sz w:val="28"/>
          <w:szCs w:val="28"/>
          <w:highlight w:val="none"/>
        </w:rPr>
        <w:t xml:space="preserve">（电子签章）</w:t>
      </w:r>
      <w:r>
        <w:rPr>
          <w:rFonts w:hint="eastAsia" w:ascii="宋体" w:hAnsi="宋体" w:cs="宋体"/>
          <w:sz w:val="28"/>
          <w:szCs w:val="28"/>
          <w:highlight w:val="none"/>
        </w:rPr>
        <w:t xml:space="preserve">： </w:t>
      </w:r>
      <w:r/>
    </w:p>
    <w:p>
      <w:pPr>
        <w:ind w:right="480"/>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日  期：  年  月  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注：本项目采购的服务属于软件和信息技术服务业。</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997"/>
        <w:ind w:firstLine="600"/>
        <w:rPr>
          <w:rFonts w:hint="eastAsia" w:ascii="宋体" w:hAnsi="宋体" w:cs="宋体"/>
        </w:rPr>
      </w:pPr>
      <w:r>
        <w:rPr>
          <w:rFonts w:hint="eastAsia" w:hAnsi="宋体" w:eastAsia="宋体" w:cs="宋体"/>
          <w:sz w:val="28"/>
          <w:szCs w:val="28"/>
        </w:rPr>
        <w:t xml:space="preserve">2、《中小企业声明函》查询渠道参考工业和信息化部发布的中小企业规模自测小程序。</w:t>
      </w:r>
      <w:r/>
    </w:p>
    <w:p>
      <w:pPr>
        <w:jc w:val="center"/>
        <w:rPr>
          <w:rFonts w:hint="eastAsia" w:ascii="宋体" w:hAnsi="宋体" w:cs="宋体"/>
          <w:sz w:val="30"/>
          <w:szCs w:val="30"/>
          <w:lang w:eastAsia="zh-CN"/>
        </w:rPr>
      </w:pPr>
      <w:r>
        <w:rPr>
          <w:rFonts w:hint="eastAsia" w:ascii="宋体" w:hAnsi="宋体" w:cs="宋体"/>
          <w:sz w:val="30"/>
          <w:szCs w:val="30"/>
        </w:rPr>
        <w:br w:type="page" w:clear="all"/>
      </w:r>
      <w:r>
        <w:rPr>
          <w:rFonts w:hint="eastAsia" w:ascii="宋体" w:hAnsi="宋体" w:cs="宋体"/>
          <w:b/>
          <w:bCs/>
          <w:sz w:val="30"/>
          <w:szCs w:val="30"/>
          <w:lang w:eastAsia="zh-CN"/>
        </w:rPr>
        <w:t xml:space="preserve">采购包2</w:t>
      </w:r>
      <w:r>
        <w:rPr>
          <w:rFonts w:hint="eastAsia" w:ascii="宋体" w:hAnsi="宋体" w:cs="宋体"/>
          <w:b/>
          <w:bCs/>
          <w:sz w:val="30"/>
          <w:szCs w:val="30"/>
          <w:lang w:eastAsia="zh-CN"/>
        </w:rPr>
        <w:tab/>
      </w:r>
      <w:r>
        <w:rPr>
          <w:rFonts w:hint="eastAsia" w:ascii="宋体" w:hAnsi="宋体" w:cs="宋体"/>
          <w:b/>
          <w:bCs/>
          <w:sz w:val="30"/>
          <w:szCs w:val="30"/>
          <w:lang w:eastAsia="zh-CN"/>
        </w:rPr>
        <w:t xml:space="preserve">：2025-2026年度公积金信息系统软件运行维护</w:t>
      </w:r>
      <w:r/>
    </w:p>
    <w:p>
      <w:pPr>
        <w:jc w:val="center"/>
        <w:rPr>
          <w:rFonts w:hint="eastAsia" w:ascii="宋体" w:hAnsi="宋体" w:cs="宋体"/>
          <w:sz w:val="30"/>
          <w:szCs w:val="30"/>
          <w:u w:val="none"/>
        </w:rPr>
      </w:pPr>
      <w:r>
        <w:rPr>
          <w:rFonts w:hint="eastAsia" w:ascii="宋体" w:hAnsi="宋体" w:cs="宋体"/>
          <w:sz w:val="30"/>
          <w:szCs w:val="30"/>
          <w:u w:val="none"/>
        </w:rPr>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lang w:val="en-US" w:eastAsia="zh-CN"/>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rPr>
          <w:rFonts w:hint="eastAsia" w:ascii="宋体" w:hAnsi="宋体" w:cs="宋体"/>
          <w:sz w:val="30"/>
          <w:szCs w:val="30"/>
          <w:u w:val="single"/>
        </w:rPr>
        <w:br/>
      </w:r>
      <w:r/>
    </w:p>
    <w:p>
      <w:pPr>
        <w:rPr>
          <w:rFonts w:hint="default" w:ascii="宋体" w:hAnsi="宋体" w:eastAsia="宋体" w:cs="宋体"/>
          <w:sz w:val="30"/>
          <w:szCs w:val="30"/>
          <w:u w:val="single"/>
          <w:lang w:val="en-US" w:eastAsia="zh-CN"/>
        </w:rPr>
      </w:pPr>
      <w:r>
        <w:rPr>
          <w:rFonts w:hint="default" w:ascii="宋体" w:hAnsi="宋体" w:eastAsia="宋体" w:cs="宋体"/>
          <w:sz w:val="30"/>
          <w:szCs w:val="30"/>
          <w:u w:val="single"/>
          <w:lang w:val="en-US" w:eastAsia="zh-CN"/>
        </w:rPr>
      </w:r>
      <w:r/>
    </w:p>
    <w:p>
      <w:pPr>
        <w:spacing w:line="360" w:lineRule="auto"/>
        <w:rPr>
          <w:rFonts w:hint="eastAsia" w:ascii="宋体" w:hAnsi="宋体" w:cs="宋体"/>
          <w:sz w:val="30"/>
          <w:szCs w:val="30"/>
        </w:rPr>
      </w:pPr>
      <w:r>
        <w:rPr>
          <w:rFonts w:hint="eastAsia" w:ascii="宋体" w:hAnsi="宋体" w:cs="宋体"/>
          <w:sz w:val="30"/>
          <w:szCs w:val="30"/>
        </w:rPr>
        <w:t xml:space="preserve">　　本公司郑重声明，根据《政府采购促进中小企业发展管理办法》（财库﹝2020﹞46 号）的规定，本公司参加（</w:t>
      </w:r>
      <w:r>
        <w:rPr>
          <w:rFonts w:hint="eastAsia" w:ascii="宋体" w:hAnsi="宋体" w:cs="宋体"/>
          <w:sz w:val="30"/>
          <w:szCs w:val="30"/>
          <w:lang w:eastAsia="zh-CN"/>
        </w:rPr>
        <w:t xml:space="preserve">徐州市住房公积金管理中心</w:t>
      </w:r>
      <w:r>
        <w:rPr>
          <w:rFonts w:hint="eastAsia" w:ascii="宋体" w:hAnsi="宋体" w:cs="宋体"/>
          <w:sz w:val="30"/>
          <w:szCs w:val="30"/>
        </w:rPr>
        <w:t xml:space="preserve">）的（</w:t>
      </w:r>
      <w:r>
        <w:rPr>
          <w:rFonts w:hint="eastAsia" w:ascii="宋体" w:hAnsi="宋体" w:cs="宋体"/>
          <w:sz w:val="30"/>
          <w:szCs w:val="30"/>
          <w:lang w:eastAsia="zh-CN"/>
        </w:rPr>
        <w:t xml:space="preserve">2025-2026年度公积金核心机房硬件运维及信息系统软件运行维护</w:t>
      </w:r>
      <w:r>
        <w:rPr>
          <w:rFonts w:hint="eastAsia" w:ascii="宋体" w:hAnsi="宋体" w:cs="宋体"/>
          <w:sz w:val="30"/>
          <w:szCs w:val="30"/>
          <w:lang w:val="en-US" w:eastAsia="zh-CN"/>
        </w:rPr>
        <w:t xml:space="preserve">采购包2</w:t>
      </w:r>
      <w:r>
        <w:rPr>
          <w:rFonts w:hint="eastAsia" w:ascii="宋体" w:hAnsi="宋体" w:cs="宋体"/>
          <w:sz w:val="30"/>
          <w:szCs w:val="30"/>
        </w:rPr>
        <w:t xml:space="preserve">）采购活动，服务全部由符合政策要求的中小企业承接。相关企业的具体情况如下：</w:t>
      </w:r>
      <w:r/>
    </w:p>
    <w:p>
      <w:pPr>
        <w:ind w:firstLine="600"/>
        <w:spacing w:line="360" w:lineRule="auto"/>
        <w:rPr>
          <w:rFonts w:hint="eastAsia" w:ascii="宋体" w:hAnsi="宋体" w:cs="宋体"/>
          <w:sz w:val="30"/>
          <w:szCs w:val="30"/>
          <w:highlight w:val="none"/>
        </w:rPr>
      </w:pPr>
      <w:r>
        <w:rPr>
          <w:rFonts w:hint="eastAsia" w:ascii="宋体" w:hAnsi="宋体" w:eastAsia="宋体" w:cs="宋体"/>
          <w:sz w:val="30"/>
          <w:szCs w:val="30"/>
        </w:rPr>
        <w:t xml:space="preserve">1.（</w:t>
      </w:r>
      <w:r>
        <w:rPr>
          <w:rFonts w:hint="eastAsia" w:ascii="宋体" w:hAnsi="宋体" w:eastAsia="宋体" w:cs="宋体"/>
          <w:sz w:val="30"/>
          <w:szCs w:val="30"/>
          <w:lang w:eastAsia="zh-CN"/>
        </w:rPr>
        <w:t xml:space="preserve">2025-2026年度公积金核心机房硬件运维及信息系统软件运行维护</w:t>
      </w:r>
      <w:r>
        <w:rPr>
          <w:rFonts w:hint="eastAsia" w:ascii="宋体" w:hAnsi="宋体" w:eastAsia="宋体" w:cs="宋体"/>
          <w:sz w:val="30"/>
          <w:szCs w:val="30"/>
          <w:lang w:val="en-US" w:eastAsia="zh-CN"/>
        </w:rPr>
        <w:t xml:space="preserve">采购包2</w:t>
      </w:r>
      <w:r>
        <w:rPr>
          <w:rFonts w:hint="eastAsia" w:ascii="宋体" w:hAnsi="宋体" w:eastAsia="宋体" w:cs="宋体"/>
          <w:sz w:val="30"/>
          <w:szCs w:val="30"/>
        </w:rPr>
        <w:t xml:space="preserve">），</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（软件和信息技术服务业）</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val="0"/>
          <w:bCs w:val="0"/>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注：本项目采购的服务属于软件和信息技术服务业。</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97"/>
        <w:ind w:firstLine="600"/>
        <w:rPr>
          <w:rFonts w:hint="eastAsia" w:ascii="宋体" w:hAnsi="宋体" w:cs="宋体"/>
          <w:sz w:val="30"/>
          <w:szCs w:val="30"/>
        </w:rPr>
      </w:pPr>
      <w:r>
        <w:rPr>
          <w:rFonts w:hint="eastAsia" w:hAnsi="宋体" w:eastAsia="宋体" w:cs="宋体"/>
          <w:sz w:val="30"/>
          <w:szCs w:val="30"/>
        </w:rPr>
        <w:t xml:space="preserve">2、《中小企业声明函》查询渠道参考工业和信息化部发布的中小企业规模自测小程序。</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cs="宋体"/>
          <w:b/>
          <w:spacing w:val="6"/>
          <w:sz w:val="30"/>
          <w:szCs w:val="30"/>
        </w:rPr>
      </w:pP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2025-2026年度公积金核心机房硬件运维及信息系统软件运行维护</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JSZC-320300-ZJZB-G2025-0157</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2025-2026年度公积金核心机房硬件运维及信息系统软件运行维护</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JSZC-320300-ZJZB-G2025-0157</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1001"/>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具备履行合同所必需的设备和专业技术能力的书面声明（附证明材料扫描件）格式（投标人可自行拟定）</w:t>
      </w:r>
      <w:r/>
    </w:p>
    <w:p>
      <w:pPr>
        <w:spacing w:line="360" w:lineRule="auto"/>
        <w:rPr>
          <w:rFonts w:ascii="宋体" w:hAnsi="宋体" w:cs="宋体"/>
          <w:sz w:val="24"/>
        </w:rPr>
      </w:pPr>
      <w:r>
        <w:rPr>
          <w:rFonts w:ascii="宋体" w:hAnsi="宋体" w:cs="宋体"/>
          <w:sz w:val="24"/>
        </w:rPr>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项目编号：</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项目名称：</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ind w:firstLine="56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供应商郑重声明：投标人具备履行合同（项目名称：，项目编号： 所必需的设备和专业技术能力， 具体为：</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设备：</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1、（证明材料扫描件附后）</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2、（证明材料扫描件附后）</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3、（证明材料扫描件附后）</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专业技术能力：</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1、（证明材料扫描件附后）</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2、（证明材料扫描件附后）</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3、（证明材料扫描件附后）</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 特此声明。</w:t>
      </w:r>
      <w:r/>
    </w:p>
    <w:p>
      <w:pPr>
        <w:keepLines w:val="0"/>
        <w:keepNext w:val="0"/>
        <w:pageBreakBefore w:val="0"/>
        <w:spacing w:line="440" w:lineRule="exact"/>
        <w:widowControl w:val="off"/>
        <w:rPr>
          <w:rFonts w:hint="eastAsia" w:ascii="宋体" w:hAnsi="宋体" w:eastAsia="宋体" w:cs="宋体"/>
          <w:spacing w:val="6"/>
          <w:sz w:val="30"/>
          <w:szCs w:val="30"/>
        </w:rPr>
        <w:outlineLvl w:val="9"/>
      </w:pPr>
      <w:r>
        <w:rPr>
          <w:rFonts w:hint="eastAsia" w:ascii="宋体" w:hAnsi="宋体" w:eastAsia="宋体" w:cs="宋体"/>
          <w:sz w:val="30"/>
          <w:szCs w:val="30"/>
        </w:rPr>
        <w:t xml:space="preserve">供应商对上述声明的真实性负责。如有虚假，将依法承担相应责任。</w:t>
      </w:r>
      <w:r/>
    </w:p>
    <w:p>
      <w:pPr>
        <w:jc w:val="left"/>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pStyle w:val="721"/>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ind w:right="29" w:firstLine="4800"/>
        <w:jc w:val="both"/>
        <w:keepLines w:val="0"/>
        <w:keepNext w:val="0"/>
        <w:pageBreakBefore w:val="0"/>
        <w:spacing w:line="440" w:lineRule="exact"/>
        <w:widowControl w:val="off"/>
        <w:rPr>
          <w:rFonts w:hint="eastAsia" w:ascii="宋体" w:hAnsi="宋体" w:eastAsia="宋体" w:cs="宋体"/>
          <w:b w:val="0"/>
          <w:bCs w:val="0"/>
          <w:sz w:val="30"/>
          <w:szCs w:val="30"/>
        </w:rPr>
        <w:outlineLvl w:val="9"/>
      </w:pPr>
      <w:r>
        <w:rPr>
          <w:rFonts w:hint="eastAsia" w:ascii="宋体" w:hAnsi="宋体" w:eastAsia="宋体" w:cs="宋体"/>
          <w:b w:val="0"/>
          <w:bCs w:val="0"/>
          <w:sz w:val="30"/>
          <w:szCs w:val="30"/>
        </w:rPr>
        <w:t xml:space="preserve">投标人（电子签章）：</w:t>
      </w:r>
      <w:r/>
    </w:p>
    <w:p>
      <w:pPr>
        <w:ind w:right="29" w:firstLine="4800"/>
        <w:jc w:val="both"/>
        <w:keepLines w:val="0"/>
        <w:keepNext w:val="0"/>
        <w:pageBreakBefore w:val="0"/>
        <w:spacing w:line="440" w:lineRule="exact"/>
        <w:widowControl w:val="off"/>
        <w:rPr>
          <w:rFonts w:hint="eastAsia" w:ascii="宋体" w:hAnsi="宋体" w:eastAsia="宋体" w:cs="宋体"/>
          <w:b w:val="0"/>
          <w:bCs w:val="0"/>
          <w:sz w:val="30"/>
          <w:szCs w:val="30"/>
        </w:rPr>
        <w:outlineLvl w:val="9"/>
      </w:pPr>
      <w:r>
        <w:rPr>
          <w:rFonts w:hint="eastAsia" w:ascii="宋体" w:hAnsi="宋体" w:eastAsia="宋体" w:cs="宋体"/>
          <w:b w:val="0"/>
          <w:bCs w:val="0"/>
          <w:sz w:val="30"/>
          <w:szCs w:val="30"/>
        </w:rPr>
        <w:t xml:space="preserve">日期：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2"/>
                            <w:rPr>
                              <w:rStyle w:val="943"/>
                            </w:rPr>
                          </w:pPr>
                          <w:r>
                            <w:rPr>
                              <w:rStyle w:val="943"/>
                            </w:rPr>
                            <w:fldChar w:fldCharType="begin"/>
                          </w:r>
                          <w:r>
                            <w:rPr>
                              <w:rStyle w:val="943"/>
                            </w:rPr>
                            <w:instrText xml:space="preserve"> PAGE  \* MERGEFORMAT </w:instrText>
                          </w:r>
                          <w:r>
                            <w:rPr>
                              <w:rStyle w:val="943"/>
                            </w:rPr>
                            <w:fldChar w:fldCharType="separate"/>
                          </w:r>
                          <w:r>
                            <w:rPr>
                              <w:rStyle w:val="943"/>
                            </w:rPr>
                            <w:t xml:space="preserve">46</w:t>
                          </w:r>
                          <w:r>
                            <w:rPr>
                              <w:rStyle w:val="943"/>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2"/>
                      <w:rPr>
                        <w:rStyle w:val="943"/>
                      </w:rPr>
                    </w:pPr>
                    <w:r>
                      <w:rPr>
                        <w:rStyle w:val="943"/>
                      </w:rPr>
                      <w:fldChar w:fldCharType="begin"/>
                    </w:r>
                    <w:r>
                      <w:rPr>
                        <w:rStyle w:val="943"/>
                      </w:rPr>
                      <w:instrText xml:space="preserve"> PAGE  \* MERGEFORMAT </w:instrText>
                    </w:r>
                    <w:r>
                      <w:rPr>
                        <w:rStyle w:val="943"/>
                      </w:rPr>
                      <w:fldChar w:fldCharType="separate"/>
                    </w:r>
                    <w:r>
                      <w:rPr>
                        <w:rStyle w:val="943"/>
                      </w:rPr>
                      <w:t xml:space="preserve">46</w:t>
                    </w:r>
                    <w:r>
                      <w:rPr>
                        <w:rStyle w:val="943"/>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rPr>
        <w:rStyle w:val="943"/>
      </w:rPr>
      <w:framePr w:wrap="around" w:vAnchor="text" w:hAnchor="margin" w:xAlign="center" w:y="1"/>
    </w:pPr>
    <w:r>
      <w:fldChar w:fldCharType="begin"/>
    </w:r>
    <w:r>
      <w:rPr>
        <w:rStyle w:val="943"/>
      </w:rPr>
      <w:instrText xml:space="preserve">PAGE  </w:instrText>
    </w:r>
    <w:r>
      <w:fldChar w:fldCharType="end"/>
    </w:r>
    <w:r/>
  </w:p>
  <w:p>
    <w:pPr>
      <w:pStyle w:val="9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200" w:hanging="7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75"/>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76"/>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77"/>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16"/>
    <w:link w:val="778"/>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79"/>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80"/>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82"/>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83"/>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目录 111"/>
    <w:basedOn w:val="703"/>
    <w:next w:val="703"/>
    <w:uiPriority w:val="39"/>
    <w:unhideWhenUsed/>
    <w:qFormat/>
    <w:pPr>
      <w:jc w:val="left"/>
      <w:spacing w:after="100" w:line="259" w:lineRule="auto"/>
      <w:widowControl/>
    </w:pPr>
    <w:rPr>
      <w:rFonts w:ascii="Calibri" w:hAnsi="Calibri"/>
      <w:sz w:val="22"/>
      <w:szCs w:val="22"/>
    </w:rPr>
  </w:style>
  <w:style w:type="paragraph" w:styleId="716">
    <w:name w:val="Normal Indent"/>
    <w:basedOn w:val="703"/>
    <w:next w:val="703"/>
    <w:uiPriority w:val="0"/>
    <w:qFormat/>
    <w:pPr>
      <w:ind w:firstLine="420"/>
    </w:pPr>
  </w:style>
  <w:style w:type="paragraph" w:styleId="717">
    <w:name w:val="toc 7"/>
    <w:basedOn w:val="703"/>
    <w:next w:val="703"/>
    <w:uiPriority w:val="39"/>
    <w:unhideWhenUsed/>
    <w:qFormat/>
    <w:pPr>
      <w:ind w:left="1701" w:right="0" w:firstLine="0"/>
      <w:spacing w:after="57"/>
    </w:p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index 5"/>
    <w:basedOn w:val="703"/>
    <w:next w:val="703"/>
    <w:uiPriority w:val="0"/>
    <w:qFormat/>
    <w:pPr>
      <w:ind w:left="798"/>
      <w:jc w:val="left"/>
    </w:pPr>
    <w:rPr>
      <w:rFonts w:ascii="Calibri" w:hAnsi="Calibri"/>
    </w:rPr>
  </w:style>
  <w:style w:type="paragraph" w:styleId="720">
    <w:name w:val="annotation text"/>
    <w:basedOn w:val="703"/>
    <w:uiPriority w:val="99"/>
    <w:semiHidden/>
    <w:unhideWhenUsed/>
    <w:qFormat/>
    <w:pPr>
      <w:jc w:val="left"/>
    </w:pPr>
  </w:style>
  <w:style w:type="paragraph" w:styleId="721">
    <w:name w:val="Body Text"/>
    <w:basedOn w:val="703"/>
    <w:next w:val="722"/>
    <w:uiPriority w:val="0"/>
    <w:qFormat/>
    <w:pPr>
      <w:spacing w:after="120"/>
    </w:pPr>
  </w:style>
  <w:style w:type="paragraph" w:styleId="722" w:customStyle="1">
    <w:name w:val="一级条标题"/>
    <w:basedOn w:val="723"/>
    <w:next w:val="7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3" w:customStyle="1">
    <w:name w:val="章标题"/>
    <w:next w:val="7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24" w:customStyle="1">
    <w:name w:val="正文1"/>
    <w:basedOn w:val="725"/>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正文111"/>
    <w:next w:val="7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customStyle="1">
    <w:name w:val="目录 11"/>
    <w:basedOn w:val="727"/>
    <w:next w:val="724"/>
    <w:uiPriority w:val="39"/>
    <w:qFormat/>
  </w:style>
  <w:style w:type="paragraph" w:styleId="727" w:customStyle="1">
    <w:name w:val="正文12"/>
    <w:next w:val="7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8" w:customStyle="1">
    <w:name w:val="正文文本111"/>
    <w:basedOn w:val="727"/>
    <w:next w:val="727"/>
    <w:uiPriority w:val="0"/>
    <w:qFormat/>
  </w:style>
  <w:style w:type="paragraph" w:styleId="729">
    <w:name w:val="Body Text Indent"/>
    <w:basedOn w:val="703"/>
    <w:next w:val="730"/>
    <w:uiPriority w:val="99"/>
    <w:qFormat/>
    <w:pPr>
      <w:ind w:left="420"/>
      <w:spacing w:after="120"/>
    </w:pPr>
  </w:style>
  <w:style w:type="paragraph" w:styleId="730">
    <w:name w:val="envelope return"/>
    <w:basedOn w:val="703"/>
    <w:uiPriority w:val="0"/>
    <w:qFormat/>
    <w:rPr>
      <w:rFonts w:ascii="Arial" w:hAnsi="Arial"/>
    </w:rPr>
  </w:style>
  <w:style w:type="paragraph" w:styleId="731">
    <w:name w:val="Block Text"/>
    <w:basedOn w:val="703"/>
    <w:uiPriority w:val="0"/>
    <w:qFormat/>
    <w:pPr>
      <w:ind w:left="567" w:right="454" w:firstLine="498"/>
    </w:pPr>
    <w:rPr>
      <w:rFonts w:ascii="仿宋_GB2312" w:eastAsia="仿宋_GB2312"/>
      <w:sz w:val="30"/>
    </w:rPr>
  </w:style>
  <w:style w:type="paragraph" w:styleId="732">
    <w:name w:val="toc 5"/>
    <w:basedOn w:val="703"/>
    <w:next w:val="703"/>
    <w:uiPriority w:val="39"/>
    <w:unhideWhenUsed/>
    <w:qFormat/>
    <w:pPr>
      <w:ind w:left="1134" w:right="0" w:firstLine="0"/>
      <w:spacing w:after="57"/>
    </w:pPr>
  </w:style>
  <w:style w:type="paragraph" w:styleId="733">
    <w:name w:val="toc 3"/>
    <w:basedOn w:val="703"/>
    <w:next w:val="703"/>
    <w:uiPriority w:val="39"/>
    <w:unhideWhenUsed/>
    <w:qFormat/>
    <w:pPr>
      <w:ind w:left="567" w:right="0" w:firstLine="0"/>
      <w:spacing w:after="57"/>
    </w:pPr>
  </w:style>
  <w:style w:type="paragraph" w:styleId="734">
    <w:name w:val="Plain Text"/>
    <w:basedOn w:val="703"/>
    <w:uiPriority w:val="0"/>
    <w:qFormat/>
    <w:rPr>
      <w:rFonts w:ascii="宋体" w:hAnsi="Courier New"/>
      <w:szCs w:val="20"/>
    </w:rPr>
  </w:style>
  <w:style w:type="paragraph" w:styleId="735">
    <w:name w:val="toc 8"/>
    <w:basedOn w:val="703"/>
    <w:next w:val="703"/>
    <w:uiPriority w:val="39"/>
    <w:unhideWhenUsed/>
    <w:qFormat/>
    <w:pPr>
      <w:ind w:left="1984" w:right="0" w:firstLine="0"/>
      <w:spacing w:after="57"/>
    </w:pPr>
  </w:style>
  <w:style w:type="paragraph" w:styleId="736">
    <w:name w:val="Body Text Indent 2"/>
    <w:basedOn w:val="703"/>
    <w:uiPriority w:val="0"/>
    <w:qFormat/>
    <w:pPr>
      <w:ind w:firstLine="640"/>
      <w:jc w:val="left"/>
      <w:spacing w:line="590" w:lineRule="exact"/>
    </w:pPr>
    <w:rPr>
      <w:rFonts w:ascii="仿宋_GB2312" w:hAnsi="宋体" w:eastAsia="仿宋_GB2312" w:cs="Times New Roman"/>
      <w:sz w:val="32"/>
      <w:szCs w:val="28"/>
    </w:rPr>
  </w:style>
  <w:style w:type="paragraph" w:styleId="737">
    <w:name w:val="endnote text"/>
    <w:basedOn w:val="703"/>
    <w:link w:val="921"/>
    <w:uiPriority w:val="99"/>
    <w:semiHidden/>
    <w:unhideWhenUsed/>
    <w:qFormat/>
    <w:pPr>
      <w:spacing w:after="0" w:line="240" w:lineRule="auto"/>
    </w:pPr>
    <w:rPr>
      <w:sz w:val="20"/>
    </w:rPr>
  </w:style>
  <w:style w:type="paragraph" w:styleId="738">
    <w:name w:val="Footer"/>
    <w:basedOn w:val="703"/>
    <w:next w:val="739"/>
    <w:link w:val="794"/>
    <w:uiPriority w:val="99"/>
    <w:unhideWhenUsed/>
    <w:qFormat/>
    <w:pPr>
      <w:spacing w:after="0" w:line="240" w:lineRule="auto"/>
      <w:tabs>
        <w:tab w:val="center" w:pos="7143" w:leader="none"/>
        <w:tab w:val="right" w:pos="14287" w:leader="none"/>
      </w:tabs>
    </w:pPr>
  </w:style>
  <w:style w:type="paragraph" w:styleId="739" w:customStyle="1">
    <w:name w:val="TOC Heading1"/>
    <w:next w:val="703"/>
    <w:uiPriority w:val="0"/>
    <w:qFormat/>
    <w:rPr>
      <w:rFonts w:hint="default" w:ascii="Calibri" w:hAnsi="Calibri" w:eastAsia="宋体" w:cs="Times New Roman"/>
      <w:sz w:val="32"/>
    </w:rPr>
  </w:style>
  <w:style w:type="paragraph" w:styleId="740">
    <w:name w:val="Header"/>
    <w:basedOn w:val="703"/>
    <w:link w:val="792"/>
    <w:uiPriority w:val="99"/>
    <w:unhideWhenUsed/>
    <w:qFormat/>
    <w:pPr>
      <w:spacing w:after="0" w:line="240" w:lineRule="auto"/>
      <w:tabs>
        <w:tab w:val="center" w:pos="7143" w:leader="none"/>
        <w:tab w:val="right" w:pos="14287" w:leader="none"/>
      </w:tabs>
    </w:pPr>
  </w:style>
  <w:style w:type="paragraph" w:styleId="741">
    <w:name w:val="toc 1"/>
    <w:basedOn w:val="703"/>
    <w:next w:val="703"/>
    <w:uiPriority w:val="39"/>
    <w:unhideWhenUsed/>
    <w:qFormat/>
    <w:pPr>
      <w:ind w:left="0" w:right="0" w:firstLine="0"/>
      <w:spacing w:after="57"/>
    </w:pPr>
  </w:style>
  <w:style w:type="paragraph" w:styleId="742">
    <w:name w:val="toc 4"/>
    <w:basedOn w:val="703"/>
    <w:next w:val="703"/>
    <w:uiPriority w:val="39"/>
    <w:unhideWhenUsed/>
    <w:qFormat/>
    <w:pPr>
      <w:ind w:left="850" w:right="0" w:firstLine="0"/>
      <w:spacing w:after="57"/>
    </w:pPr>
  </w:style>
  <w:style w:type="paragraph" w:styleId="743">
    <w:name w:val="Subtitle"/>
    <w:basedOn w:val="703"/>
    <w:next w:val="703"/>
    <w:link w:val="787"/>
    <w:uiPriority w:val="11"/>
    <w:qFormat/>
    <w:pPr>
      <w:spacing w:before="200" w:after="200"/>
    </w:pPr>
    <w:rPr>
      <w:sz w:val="24"/>
      <w:szCs w:val="24"/>
    </w:rPr>
  </w:style>
  <w:style w:type="paragraph" w:styleId="744">
    <w:name w:val="footnote text"/>
    <w:basedOn w:val="703"/>
    <w:next w:val="719"/>
    <w:link w:val="920"/>
    <w:uiPriority w:val="99"/>
    <w:semiHidden/>
    <w:unhideWhenUsed/>
    <w:qFormat/>
    <w:pPr>
      <w:spacing w:after="40" w:line="240" w:lineRule="auto"/>
    </w:pPr>
    <w:rPr>
      <w:sz w:val="18"/>
    </w:rPr>
  </w:style>
  <w:style w:type="paragraph" w:styleId="745">
    <w:name w:val="toc 6"/>
    <w:basedOn w:val="703"/>
    <w:next w:val="703"/>
    <w:uiPriority w:val="39"/>
    <w:unhideWhenUsed/>
    <w:qFormat/>
    <w:pPr>
      <w:ind w:left="1417" w:right="0" w:firstLine="0"/>
      <w:spacing w:after="57"/>
    </w:pPr>
  </w:style>
  <w:style w:type="paragraph" w:styleId="746">
    <w:name w:val="table of figures"/>
    <w:basedOn w:val="703"/>
    <w:next w:val="703"/>
    <w:uiPriority w:val="99"/>
    <w:unhideWhenUsed/>
    <w:qFormat/>
    <w:pPr>
      <w:spacing w:after="0" w:afterAutospacing="0"/>
    </w:pPr>
  </w:style>
  <w:style w:type="paragraph" w:styleId="747">
    <w:name w:val="toc 2"/>
    <w:basedOn w:val="703"/>
    <w:next w:val="703"/>
    <w:uiPriority w:val="39"/>
    <w:unhideWhenUsed/>
    <w:qFormat/>
    <w:pPr>
      <w:ind w:left="283" w:right="0" w:firstLine="0"/>
      <w:spacing w:after="57"/>
    </w:pPr>
  </w:style>
  <w:style w:type="paragraph" w:styleId="748">
    <w:name w:val="toc 9"/>
    <w:basedOn w:val="703"/>
    <w:next w:val="703"/>
    <w:uiPriority w:val="39"/>
    <w:unhideWhenUsed/>
    <w:qFormat/>
    <w:pPr>
      <w:ind w:left="2268" w:right="0" w:firstLine="0"/>
      <w:spacing w:after="57"/>
    </w:pPr>
  </w:style>
  <w:style w:type="paragraph" w:styleId="749">
    <w:name w:val="Normal (Web)"/>
    <w:basedOn w:val="703"/>
    <w:uiPriority w:val="99"/>
    <w:qFormat/>
    <w:pPr>
      <w:jc w:val="left"/>
      <w:spacing w:before="100" w:beforeAutospacing="1" w:after="100" w:afterAutospacing="1"/>
      <w:widowControl/>
    </w:pPr>
    <w:rPr>
      <w:rFonts w:ascii="宋体" w:hAnsi="宋体" w:cs="宋体"/>
      <w:sz w:val="24"/>
    </w:rPr>
  </w:style>
  <w:style w:type="paragraph" w:styleId="750">
    <w:name w:val="Title"/>
    <w:basedOn w:val="703"/>
    <w:next w:val="703"/>
    <w:link w:val="786"/>
    <w:uiPriority w:val="10"/>
    <w:qFormat/>
    <w:pPr>
      <w:contextualSpacing/>
      <w:spacing w:before="300" w:after="200"/>
    </w:pPr>
    <w:rPr>
      <w:sz w:val="48"/>
      <w:szCs w:val="48"/>
    </w:rPr>
  </w:style>
  <w:style w:type="paragraph" w:styleId="751">
    <w:name w:val="Body Text First Indent"/>
    <w:basedOn w:val="721"/>
    <w:next w:val="752"/>
    <w:uiPriority w:val="0"/>
    <w:qFormat/>
    <w:pPr>
      <w:ind w:firstLine="200"/>
      <w:spacing w:line="360" w:lineRule="auto"/>
    </w:pPr>
    <w:rPr>
      <w:rFonts w:ascii="仿宋_GB2312" w:eastAsia="仿宋_GB2312"/>
      <w:sz w:val="30"/>
      <w:szCs w:val="30"/>
    </w:rPr>
  </w:style>
  <w:style w:type="paragraph" w:styleId="752">
    <w:name w:val="Body Text First Indent 2"/>
    <w:basedOn w:val="729"/>
    <w:next w:val="703"/>
    <w:uiPriority w:val="99"/>
    <w:qFormat/>
    <w:pPr>
      <w:ind w:left="0" w:firstLine="420"/>
      <w:spacing w:after="0" w:line="360" w:lineRule="auto"/>
    </w:pPr>
    <w:rPr>
      <w:rFonts w:ascii="宋体" w:hAnsi="宋体"/>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13"/>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段"/>
    <w:basedOn w:val="703"/>
    <w:next w:val="759"/>
    <w:uiPriority w:val="0"/>
    <w:qFormat/>
    <w:pPr>
      <w:ind w:firstLine="200"/>
      <w:widowControl/>
    </w:pPr>
    <w:rPr>
      <w:rFonts w:hint="eastAsia" w:ascii="宋体"/>
      <w:szCs w:val="20"/>
    </w:rPr>
  </w:style>
  <w:style w:type="paragraph" w:styleId="759" w:customStyle="1">
    <w:name w:val="正文 A"/>
    <w:next w:val="758"/>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760" w:customStyle="1">
    <w:name w:val="文本块11"/>
    <w:basedOn w:val="727"/>
    <w:uiPriority w:val="6"/>
    <w:unhideWhenUsed/>
    <w:qFormat/>
    <w:pPr>
      <w:ind w:left="1440" w:right="1440"/>
      <w:spacing w:after="120"/>
    </w:pPr>
  </w:style>
  <w:style w:type="paragraph" w:styleId="761" w:customStyle="1">
    <w:name w:val="正文文本缩进1"/>
    <w:basedOn w:val="703"/>
    <w:next w:val="762"/>
    <w:link w:val="946"/>
    <w:uiPriority w:val="99"/>
    <w:qFormat/>
    <w:pPr>
      <w:ind w:left="420"/>
      <w:spacing w:after="120"/>
    </w:pPr>
    <w:rPr>
      <w:rFonts w:ascii="Calibri" w:hAnsi="Calibri"/>
    </w:rPr>
  </w:style>
  <w:style w:type="paragraph" w:styleId="762" w:customStyle="1">
    <w:name w:val="寄信人地址1"/>
    <w:basedOn w:val="703"/>
    <w:uiPriority w:val="0"/>
    <w:qFormat/>
    <w:rPr>
      <w:rFonts w:ascii="Arial" w:hAnsi="Arial"/>
    </w:rPr>
  </w:style>
  <w:style w:type="paragraph" w:styleId="763" w:customStyle="1">
    <w:name w:val="正文首行缩进1"/>
    <w:basedOn w:val="764"/>
    <w:next w:val="767"/>
    <w:link w:val="977"/>
    <w:uiPriority w:val="0"/>
    <w:qFormat/>
    <w:pPr>
      <w:ind w:firstLine="420"/>
    </w:pPr>
    <w:rPr>
      <w:rFonts w:ascii="仿宋_GB2312" w:hAnsi="Times New Roman" w:eastAsia="仿宋_GB2312"/>
      <w:sz w:val="30"/>
      <w:szCs w:val="30"/>
    </w:rPr>
  </w:style>
  <w:style w:type="paragraph" w:styleId="764" w:customStyle="1">
    <w:name w:val="正文文本11"/>
    <w:basedOn w:val="765"/>
    <w:next w:val="766"/>
    <w:uiPriority w:val="0"/>
    <w:qFormat/>
    <w:pPr>
      <w:spacing w:after="120"/>
    </w:pPr>
  </w:style>
  <w:style w:type="paragraph" w:styleId="765" w:customStyle="1">
    <w:name w:val="正文112"/>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正文11"/>
    <w:next w:val="703"/>
    <w:uiPriority w:val="0"/>
    <w:qFormat/>
    <w:pPr>
      <w:jc w:val="both"/>
    </w:pPr>
    <w:rPr>
      <w:rFonts w:hint="default" w:ascii="Times New Roman" w:hAnsi="Times New Roman" w:eastAsia="宋体" w:cs="Times New Roman"/>
      <w:lang w:val="en-US" w:eastAsia="zh-CN" w:bidi="ar-SA"/>
    </w:rPr>
  </w:style>
  <w:style w:type="paragraph" w:styleId="767" w:customStyle="1">
    <w:name w:val="正文首行缩进 21"/>
    <w:basedOn w:val="761"/>
    <w:next w:val="725"/>
    <w:link w:val="952"/>
    <w:uiPriority w:val="0"/>
    <w:qFormat/>
    <w:pPr>
      <w:ind w:firstLine="420"/>
    </w:pPr>
    <w:rPr>
      <w:rFonts w:ascii="Times New Roman" w:hAnsi="Times New Roman"/>
    </w:rPr>
  </w:style>
  <w:style w:type="paragraph" w:styleId="768" w:customStyle="1">
    <w:name w:val="正文首行缩进11"/>
    <w:basedOn w:val="764"/>
    <w:next w:val="769"/>
    <w:uiPriority w:val="0"/>
    <w:qFormat/>
    <w:pPr>
      <w:ind w:firstLine="420"/>
    </w:pPr>
    <w:rPr>
      <w:rFonts w:ascii="仿宋_GB2312" w:eastAsia="仿宋_GB2312"/>
      <w:sz w:val="30"/>
      <w:szCs w:val="30"/>
    </w:rPr>
  </w:style>
  <w:style w:type="paragraph" w:styleId="769" w:customStyle="1">
    <w:name w:val="正文首行缩进 211"/>
    <w:basedOn w:val="770"/>
    <w:uiPriority w:val="0"/>
    <w:qFormat/>
    <w:pPr>
      <w:ind w:firstLine="420"/>
    </w:pPr>
    <w:rPr>
      <w:rFonts w:ascii="Times New Roman" w:hAnsi="Times New Roman"/>
    </w:rPr>
  </w:style>
  <w:style w:type="paragraph" w:styleId="770" w:customStyle="1">
    <w:name w:val="正文文本缩进11"/>
    <w:basedOn w:val="766"/>
    <w:next w:val="771"/>
    <w:uiPriority w:val="0"/>
    <w:qFormat/>
    <w:pPr>
      <w:ind w:left="420"/>
      <w:spacing w:after="120"/>
    </w:pPr>
    <w:rPr>
      <w:rFonts w:ascii="Calibri" w:hAnsi="Calibri"/>
    </w:rPr>
  </w:style>
  <w:style w:type="paragraph" w:styleId="771" w:customStyle="1">
    <w:name w:val="寄信人地址11"/>
    <w:basedOn w:val="766"/>
    <w:uiPriority w:val="0"/>
    <w:qFormat/>
    <w:rPr>
      <w:rFonts w:ascii="Arial" w:hAnsi="Arial"/>
    </w:rPr>
  </w:style>
  <w:style w:type="paragraph" w:styleId="772" w:customStyle="1">
    <w:name w:val="脚注文本1"/>
    <w:basedOn w:val="724"/>
    <w:next w:val="773"/>
    <w:uiPriority w:val="0"/>
    <w:qFormat/>
    <w:pPr>
      <w:jc w:val="left"/>
    </w:pPr>
    <w:rPr>
      <w:rFonts w:ascii="宋体" w:eastAsia="Times New Roman"/>
      <w:sz w:val="18"/>
      <w:szCs w:val="18"/>
    </w:rPr>
  </w:style>
  <w:style w:type="paragraph" w:styleId="773" w:customStyle="1">
    <w:name w:val="索引 51"/>
    <w:basedOn w:val="724"/>
    <w:next w:val="724"/>
    <w:uiPriority w:val="0"/>
    <w:qFormat/>
    <w:pPr>
      <w:ind w:left="798"/>
      <w:jc w:val="left"/>
    </w:pPr>
    <w:rPr>
      <w:rFonts w:ascii="Calibri" w:hAnsi="Calibri"/>
    </w:rPr>
  </w:style>
  <w:style w:type="paragraph" w:styleId="774" w:customStyle="1">
    <w:name w:val="正文49"/>
    <w:uiPriority w:val="0"/>
    <w:qFormat/>
    <w:pPr>
      <w:jc w:val="both"/>
      <w:widowControl w:val="off"/>
    </w:pPr>
    <w:rPr>
      <w:rFonts w:hint="default" w:ascii="Calibri" w:hAnsi="Calibri" w:eastAsia="宋体" w:cs="Times New Roman"/>
      <w:sz w:val="21"/>
      <w:szCs w:val="22"/>
    </w:rPr>
  </w:style>
  <w:style w:type="character" w:styleId="775" w:customStyle="1">
    <w:name w:val="Heading 1 Char"/>
    <w:link w:val="704"/>
    <w:uiPriority w:val="9"/>
    <w:qFormat/>
    <w:rPr>
      <w:rFonts w:ascii="Arial" w:hAnsi="Arial" w:eastAsia="Arial" w:cs="Arial"/>
      <w:sz w:val="40"/>
      <w:szCs w:val="40"/>
    </w:rPr>
  </w:style>
  <w:style w:type="character" w:styleId="776" w:customStyle="1">
    <w:name w:val="Heading 2 Char"/>
    <w:link w:val="705"/>
    <w:uiPriority w:val="9"/>
    <w:qFormat/>
    <w:rPr>
      <w:rFonts w:ascii="Arial" w:hAnsi="Arial" w:eastAsia="Arial" w:cs="Arial"/>
      <w:sz w:val="34"/>
    </w:rPr>
  </w:style>
  <w:style w:type="character" w:styleId="777" w:customStyle="1">
    <w:name w:val="Heading 3 Char"/>
    <w:link w:val="706"/>
    <w:uiPriority w:val="9"/>
    <w:qFormat/>
    <w:rPr>
      <w:rFonts w:ascii="Arial" w:hAnsi="Arial" w:eastAsia="Arial" w:cs="Arial"/>
      <w:sz w:val="30"/>
      <w:szCs w:val="30"/>
    </w:rPr>
  </w:style>
  <w:style w:type="character" w:styleId="778" w:customStyle="1">
    <w:name w:val="Heading 4 Char"/>
    <w:link w:val="707"/>
    <w:uiPriority w:val="9"/>
    <w:qFormat/>
    <w:rPr>
      <w:rFonts w:ascii="Arial" w:hAnsi="Arial" w:eastAsia="Arial" w:cs="Arial"/>
      <w:b/>
      <w:bCs/>
      <w:sz w:val="26"/>
      <w:szCs w:val="26"/>
    </w:rPr>
  </w:style>
  <w:style w:type="character" w:styleId="779" w:customStyle="1">
    <w:name w:val="Heading 5 Char"/>
    <w:link w:val="708"/>
    <w:uiPriority w:val="9"/>
    <w:qFormat/>
    <w:rPr>
      <w:rFonts w:ascii="Arial" w:hAnsi="Arial" w:eastAsia="Arial" w:cs="Arial"/>
      <w:b/>
      <w:bCs/>
      <w:sz w:val="24"/>
      <w:szCs w:val="24"/>
    </w:rPr>
  </w:style>
  <w:style w:type="character" w:styleId="780" w:customStyle="1">
    <w:name w:val="Heading 6 Char"/>
    <w:link w:val="709"/>
    <w:uiPriority w:val="9"/>
    <w:qFormat/>
    <w:rPr>
      <w:rFonts w:ascii="Arial" w:hAnsi="Arial" w:eastAsia="Arial" w:cs="Arial"/>
      <w:b/>
      <w:bCs/>
      <w:sz w:val="22"/>
      <w:szCs w:val="22"/>
    </w:rPr>
  </w:style>
  <w:style w:type="character" w:styleId="781" w:customStyle="1">
    <w:name w:val="Heading 7 Char"/>
    <w:link w:val="710"/>
    <w:uiPriority w:val="9"/>
    <w:qFormat/>
    <w:rPr>
      <w:rFonts w:ascii="Arial" w:hAnsi="Arial" w:eastAsia="Arial" w:cs="Arial"/>
      <w:b/>
      <w:bCs/>
      <w:i/>
      <w:iCs/>
      <w:sz w:val="22"/>
      <w:szCs w:val="22"/>
    </w:rPr>
  </w:style>
  <w:style w:type="character" w:styleId="782" w:customStyle="1">
    <w:name w:val="Heading 8 Char"/>
    <w:link w:val="711"/>
    <w:uiPriority w:val="9"/>
    <w:qFormat/>
    <w:rPr>
      <w:rFonts w:ascii="Arial" w:hAnsi="Arial" w:eastAsia="Arial" w:cs="Arial"/>
      <w:i/>
      <w:iCs/>
      <w:sz w:val="22"/>
      <w:szCs w:val="22"/>
    </w:rPr>
  </w:style>
  <w:style w:type="character" w:styleId="783" w:customStyle="1">
    <w:name w:val="Heading 9 Char"/>
    <w:link w:val="712"/>
    <w:uiPriority w:val="9"/>
    <w:qFormat/>
    <w:rPr>
      <w:rFonts w:ascii="Arial" w:hAnsi="Arial" w:eastAsia="Arial" w:cs="Arial"/>
      <w:i/>
      <w:iCs/>
      <w:sz w:val="21"/>
      <w:szCs w:val="21"/>
    </w:rPr>
  </w:style>
  <w:style w:type="paragraph" w:styleId="784">
    <w:name w:val="List Paragraph"/>
    <w:basedOn w:val="703"/>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50"/>
    <w:uiPriority w:val="10"/>
    <w:qFormat/>
    <w:rPr>
      <w:sz w:val="48"/>
      <w:szCs w:val="48"/>
    </w:rPr>
  </w:style>
  <w:style w:type="character" w:styleId="787" w:customStyle="1">
    <w:name w:val="Subtitle Char"/>
    <w:link w:val="743"/>
    <w:uiPriority w:val="11"/>
    <w:qFormat/>
    <w:rPr>
      <w:sz w:val="24"/>
      <w:szCs w:val="24"/>
    </w:rPr>
  </w:style>
  <w:style w:type="paragraph" w:styleId="788">
    <w:name w:val="Quote"/>
    <w:basedOn w:val="703"/>
    <w:next w:val="703"/>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03"/>
    <w:next w:val="703"/>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40"/>
    <w:uiPriority w:val="99"/>
    <w:qFormat/>
  </w:style>
  <w:style w:type="character" w:styleId="793" w:customStyle="1">
    <w:name w:val="Footer Char"/>
    <w:link w:val="738"/>
    <w:uiPriority w:val="99"/>
    <w:qFormat/>
  </w:style>
  <w:style w:type="character" w:styleId="794" w:customStyle="1">
    <w:name w:val="Caption Char"/>
    <w:link w:val="738"/>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44"/>
    <w:uiPriority w:val="99"/>
    <w:qFormat/>
    <w:rPr>
      <w:sz w:val="18"/>
    </w:rPr>
  </w:style>
  <w:style w:type="character" w:styleId="921" w:customStyle="1">
    <w:name w:val="Endnote Text Char"/>
    <w:link w:val="737"/>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1"/>
    <w:basedOn w:val="703"/>
    <w:next w:val="703"/>
    <w:link w:val="953"/>
    <w:uiPriority w:val="9"/>
    <w:qFormat/>
    <w:pPr>
      <w:jc w:val="center"/>
      <w:keepLines/>
      <w:keepNext/>
      <w:spacing w:line="578" w:lineRule="auto"/>
      <w:outlineLvl w:val="0"/>
    </w:pPr>
    <w:rPr>
      <w:rFonts w:eastAsia="新宋体"/>
      <w:b/>
      <w:bCs/>
      <w:sz w:val="30"/>
      <w:szCs w:val="44"/>
    </w:rPr>
  </w:style>
  <w:style w:type="paragraph" w:styleId="924" w:customStyle="1">
    <w:name w:val="标题 21"/>
    <w:basedOn w:val="703"/>
    <w:next w:val="703"/>
    <w:link w:val="954"/>
    <w:uiPriority w:val="0"/>
    <w:qFormat/>
    <w:pPr>
      <w:keepLines/>
      <w:keepNext/>
      <w:spacing w:before="260" w:after="260" w:line="416" w:lineRule="auto"/>
      <w:outlineLvl w:val="1"/>
    </w:pPr>
    <w:rPr>
      <w:rFonts w:ascii="Cambria" w:hAnsi="Cambria"/>
      <w:b/>
      <w:bCs/>
      <w:sz w:val="32"/>
      <w:szCs w:val="32"/>
    </w:rPr>
  </w:style>
  <w:style w:type="paragraph" w:styleId="925" w:customStyle="1">
    <w:name w:val="标题 31"/>
    <w:basedOn w:val="703"/>
    <w:next w:val="703"/>
    <w:link w:val="955"/>
    <w:uiPriority w:val="9"/>
    <w:qFormat/>
    <w:pPr>
      <w:keepLines/>
      <w:keepNext/>
      <w:spacing w:before="260" w:after="260" w:line="416" w:lineRule="auto"/>
      <w:outlineLvl w:val="2"/>
    </w:pPr>
    <w:rPr>
      <w:b/>
      <w:bCs/>
      <w:sz w:val="32"/>
      <w:szCs w:val="32"/>
    </w:rPr>
  </w:style>
  <w:style w:type="paragraph" w:styleId="926" w:customStyle="1">
    <w:name w:val="标题 41"/>
    <w:basedOn w:val="703"/>
    <w:next w:val="703"/>
    <w:link w:val="956"/>
    <w:uiPriority w:val="9"/>
    <w:qFormat/>
    <w:pPr>
      <w:keepLines/>
      <w:keepNext/>
      <w:spacing w:before="280" w:after="290" w:line="376" w:lineRule="auto"/>
      <w:outlineLvl w:val="3"/>
    </w:pPr>
    <w:rPr>
      <w:rFonts w:ascii="Cambria" w:hAnsi="Cambria"/>
      <w:b/>
      <w:bCs/>
      <w:sz w:val="28"/>
      <w:szCs w:val="28"/>
    </w:rPr>
  </w:style>
  <w:style w:type="paragraph" w:styleId="927" w:customStyle="1">
    <w:name w:val="标题 51"/>
    <w:basedOn w:val="703"/>
    <w:next w:val="703"/>
    <w:link w:val="945"/>
    <w:uiPriority w:val="0"/>
    <w:qFormat/>
    <w:pPr>
      <w:keepLines/>
      <w:keepNext/>
      <w:spacing w:before="280" w:after="290" w:line="376" w:lineRule="auto"/>
      <w:outlineLvl w:val="4"/>
    </w:pPr>
    <w:rPr>
      <w:b/>
      <w:bCs/>
      <w:sz w:val="28"/>
      <w:szCs w:val="28"/>
    </w:rPr>
  </w:style>
  <w:style w:type="paragraph" w:styleId="928" w:customStyle="1">
    <w:name w:val="标题 71"/>
    <w:basedOn w:val="703"/>
    <w:next w:val="703"/>
    <w:link w:val="947"/>
    <w:uiPriority w:val="9"/>
    <w:qFormat/>
    <w:pPr>
      <w:keepLines/>
      <w:keepNext/>
      <w:spacing w:before="240" w:after="64" w:line="320" w:lineRule="auto"/>
      <w:outlineLvl w:val="6"/>
    </w:pPr>
    <w:rPr>
      <w:rFonts w:ascii="Calibri" w:hAnsi="Calibri"/>
      <w:b/>
      <w:bCs/>
      <w:sz w:val="24"/>
    </w:rPr>
  </w:style>
  <w:style w:type="character" w:styleId="929" w:customStyle="1">
    <w:name w:val="默认段落字体1"/>
    <w:link w:val="703"/>
    <w:uiPriority w:val="0"/>
    <w:semiHidden/>
    <w:qFormat/>
  </w:style>
  <w:style w:type="table" w:styleId="930" w:customStyle="1">
    <w:name w:val="普通表格1"/>
    <w:uiPriority w:val="0"/>
    <w:semiHidden/>
    <w:qFormat/>
    <w:tblPr/>
  </w:style>
  <w:style w:type="character" w:styleId="931" w:customStyle="1">
    <w:name w:val="font01"/>
    <w:link w:val="703"/>
    <w:uiPriority w:val="0"/>
    <w:qFormat/>
    <w:rPr>
      <w:rFonts w:hint="eastAsia" w:ascii="仿宋" w:hAnsi="仿宋" w:eastAsia="仿宋" w:cs="仿宋"/>
      <w:color w:val="000000"/>
      <w:sz w:val="20"/>
      <w:szCs w:val="20"/>
      <w:u w:val="none"/>
    </w:rPr>
  </w:style>
  <w:style w:type="character" w:styleId="932" w:customStyle="1">
    <w:name w:val="文档结构图 字符"/>
    <w:link w:val="703"/>
    <w:uiPriority w:val="0"/>
    <w:qFormat/>
    <w:rPr>
      <w:rFonts w:ascii="Microsoft YaHei UI" w:eastAsia="Microsoft YaHei UI"/>
      <w:sz w:val="18"/>
      <w:szCs w:val="18"/>
    </w:rPr>
  </w:style>
  <w:style w:type="character" w:styleId="933" w:customStyle="1">
    <w:name w:val="标书正文 Char1"/>
    <w:link w:val="934"/>
    <w:uiPriority w:val="0"/>
    <w:qFormat/>
    <w:rPr>
      <w:color w:val="000000"/>
      <w:sz w:val="22"/>
      <w:szCs w:val="28"/>
      <w:lang w:eastAsia="en-US"/>
    </w:rPr>
  </w:style>
  <w:style w:type="paragraph" w:styleId="934" w:customStyle="1">
    <w:name w:val="标书正文"/>
    <w:basedOn w:val="703"/>
    <w:link w:val="93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5" w:customStyle="1">
    <w:name w:val="批注文字 Char1"/>
    <w:link w:val="703"/>
    <w:uiPriority w:val="0"/>
    <w:qFormat/>
    <w:rPr>
      <w:sz w:val="21"/>
      <w:szCs w:val="24"/>
    </w:rPr>
  </w:style>
  <w:style w:type="character" w:styleId="936" w:customStyle="1">
    <w:name w:val="标题 2 Char"/>
    <w:link w:val="703"/>
    <w:uiPriority w:val="0"/>
    <w:qFormat/>
    <w:rPr>
      <w:rFonts w:ascii="Cambria" w:hAnsi="Cambria" w:eastAsia="宋体" w:cs="Times New Roman"/>
      <w:b/>
      <w:bCs/>
      <w:sz w:val="32"/>
      <w:szCs w:val="32"/>
    </w:rPr>
  </w:style>
  <w:style w:type="character" w:styleId="937" w:customStyle="1">
    <w:name w:val="标题 4 字符"/>
    <w:link w:val="703"/>
    <w:uiPriority w:val="0"/>
    <w:semiHidden/>
    <w:qFormat/>
    <w:rPr>
      <w:rFonts w:ascii="等线 Light" w:hAnsi="等线 Light" w:eastAsia="等线 Light" w:cs="Times New Roman"/>
      <w:b/>
      <w:bCs/>
      <w:sz w:val="28"/>
      <w:szCs w:val="28"/>
    </w:rPr>
  </w:style>
  <w:style w:type="character" w:styleId="938" w:customStyle="1">
    <w:name w:val="正文文本 Char"/>
    <w:link w:val="703"/>
    <w:uiPriority w:val="0"/>
    <w:qFormat/>
    <w:rPr>
      <w:sz w:val="21"/>
      <w:szCs w:val="24"/>
    </w:rPr>
  </w:style>
  <w:style w:type="character" w:styleId="939" w:customStyle="1">
    <w:name w:val="页脚 Char"/>
    <w:link w:val="703"/>
    <w:uiPriority w:val="0"/>
    <w:qFormat/>
    <w:rPr>
      <w:sz w:val="18"/>
      <w:szCs w:val="18"/>
    </w:rPr>
  </w:style>
  <w:style w:type="character" w:styleId="940" w:customStyle="1">
    <w:name w:val="批注引用1"/>
    <w:link w:val="703"/>
    <w:uiPriority w:val="99"/>
    <w:qFormat/>
    <w:rPr>
      <w:sz w:val="21"/>
      <w:szCs w:val="21"/>
    </w:rPr>
  </w:style>
  <w:style w:type="character" w:styleId="941" w:customStyle="1">
    <w:name w:val="要点1"/>
    <w:link w:val="703"/>
    <w:uiPriority w:val="0"/>
    <w:qFormat/>
    <w:rPr>
      <w:b/>
      <w:bCs/>
    </w:rPr>
  </w:style>
  <w:style w:type="character" w:styleId="942" w:customStyle="1">
    <w:name w:val="超链接1"/>
    <w:link w:val="703"/>
    <w:uiPriority w:val="0"/>
    <w:unhideWhenUsed/>
    <w:qFormat/>
    <w:rPr>
      <w:color w:val="0000ff"/>
      <w:u w:val="single"/>
    </w:rPr>
  </w:style>
  <w:style w:type="character" w:styleId="943" w:customStyle="1">
    <w:name w:val="页码1"/>
    <w:link w:val="703"/>
    <w:uiPriority w:val="0"/>
    <w:qFormat/>
  </w:style>
  <w:style w:type="character" w:styleId="944" w:customStyle="1">
    <w:name w:val="强调1"/>
    <w:link w:val="703"/>
    <w:uiPriority w:val="0"/>
    <w:qFormat/>
    <w:rPr>
      <w:i/>
    </w:rPr>
  </w:style>
  <w:style w:type="character" w:styleId="945" w:customStyle="1">
    <w:name w:val="标题 5 字符"/>
    <w:link w:val="927"/>
    <w:uiPriority w:val="0"/>
    <w:semiHidden/>
    <w:qFormat/>
    <w:rPr>
      <w:b/>
      <w:bCs/>
      <w:sz w:val="28"/>
      <w:szCs w:val="28"/>
    </w:rPr>
  </w:style>
  <w:style w:type="character" w:styleId="946" w:customStyle="1">
    <w:name w:val="正文文本缩进 字符"/>
    <w:link w:val="761"/>
    <w:uiPriority w:val="99"/>
    <w:qFormat/>
    <w:rPr>
      <w:rFonts w:ascii="Calibri" w:hAnsi="Calibri"/>
      <w:sz w:val="21"/>
      <w:szCs w:val="24"/>
    </w:rPr>
  </w:style>
  <w:style w:type="character" w:styleId="947" w:customStyle="1">
    <w:name w:val="标题 7 字符"/>
    <w:link w:val="928"/>
    <w:uiPriority w:val="9"/>
    <w:semiHidden/>
    <w:qFormat/>
    <w:rPr>
      <w:rFonts w:ascii="Calibri" w:hAnsi="Calibri"/>
      <w:b/>
      <w:bCs/>
      <w:sz w:val="24"/>
      <w:szCs w:val="24"/>
    </w:rPr>
  </w:style>
  <w:style w:type="character" w:styleId="948" w:customStyle="1">
    <w:name w:val="标题 2 字符"/>
    <w:link w:val="703"/>
    <w:uiPriority w:val="0"/>
    <w:semiHidden/>
    <w:qFormat/>
    <w:rPr>
      <w:rFonts w:ascii="等线 Light" w:hAnsi="等线 Light" w:eastAsia="等线 Light" w:cs="Times New Roman"/>
      <w:b/>
      <w:bCs/>
      <w:sz w:val="32"/>
      <w:szCs w:val="32"/>
    </w:rPr>
  </w:style>
  <w:style w:type="character" w:styleId="949" w:customStyle="1">
    <w:name w:val="正文缩进 字符"/>
    <w:link w:val="950"/>
    <w:uiPriority w:val="0"/>
    <w:qFormat/>
    <w:rPr>
      <w:sz w:val="21"/>
      <w:szCs w:val="24"/>
      <w:lang w:bidi="ar-SA"/>
    </w:rPr>
  </w:style>
  <w:style w:type="paragraph" w:styleId="950" w:customStyle="1">
    <w:name w:val="正文缩进1"/>
    <w:basedOn w:val="703"/>
    <w:link w:val="949"/>
    <w:uiPriority w:val="0"/>
    <w:qFormat/>
    <w:pPr>
      <w:ind w:firstLine="420"/>
    </w:pPr>
  </w:style>
  <w:style w:type="character" w:styleId="951" w:customStyle="1">
    <w:name w:val="fontstyle01"/>
    <w:link w:val="703"/>
    <w:uiPriority w:val="0"/>
    <w:qFormat/>
    <w:rPr>
      <w:rFonts w:ascii="MicrosoftYaHeiLight" w:hAnsi="MicrosoftYaHeiLight"/>
      <w:color w:val="000000"/>
      <w:sz w:val="22"/>
      <w:szCs w:val="22"/>
    </w:rPr>
  </w:style>
  <w:style w:type="character" w:styleId="952" w:customStyle="1">
    <w:name w:val="正文文本首行缩进 2 字符"/>
    <w:link w:val="767"/>
    <w:uiPriority w:val="0"/>
    <w:qFormat/>
  </w:style>
  <w:style w:type="character" w:styleId="953" w:customStyle="1">
    <w:name w:val="标题 1 字符"/>
    <w:link w:val="923"/>
    <w:uiPriority w:val="0"/>
    <w:qFormat/>
    <w:rPr>
      <w:rFonts w:eastAsia="新宋体"/>
      <w:b/>
      <w:bCs/>
      <w:sz w:val="30"/>
      <w:szCs w:val="44"/>
    </w:rPr>
  </w:style>
  <w:style w:type="character" w:styleId="954" w:customStyle="1">
    <w:name w:val="标题 2 字符1"/>
    <w:link w:val="924"/>
    <w:uiPriority w:val="9"/>
    <w:qFormat/>
    <w:rPr>
      <w:rFonts w:ascii="Cambria" w:hAnsi="Cambria"/>
      <w:b/>
      <w:bCs/>
      <w:sz w:val="32"/>
      <w:szCs w:val="32"/>
    </w:rPr>
  </w:style>
  <w:style w:type="character" w:styleId="955" w:customStyle="1">
    <w:name w:val="标题 3 字符"/>
    <w:link w:val="925"/>
    <w:uiPriority w:val="0"/>
    <w:semiHidden/>
    <w:qFormat/>
    <w:rPr>
      <w:b/>
      <w:bCs/>
      <w:sz w:val="32"/>
      <w:szCs w:val="32"/>
    </w:rPr>
  </w:style>
  <w:style w:type="character" w:styleId="956" w:customStyle="1">
    <w:name w:val="标题 4 字符1"/>
    <w:link w:val="926"/>
    <w:uiPriority w:val="9"/>
    <w:semiHidden/>
    <w:qFormat/>
    <w:rPr>
      <w:rFonts w:ascii="Cambria" w:hAnsi="Cambria"/>
      <w:b/>
      <w:bCs/>
      <w:sz w:val="28"/>
      <w:szCs w:val="28"/>
    </w:rPr>
  </w:style>
  <w:style w:type="character" w:styleId="957" w:customStyle="1">
    <w:name w:val="文档结构图 字符1"/>
    <w:link w:val="958"/>
    <w:uiPriority w:val="99"/>
    <w:qFormat/>
    <w:rPr>
      <w:rFonts w:ascii="宋体" w:hAnsi="Calibri"/>
      <w:sz w:val="18"/>
      <w:szCs w:val="18"/>
    </w:rPr>
  </w:style>
  <w:style w:type="paragraph" w:styleId="958" w:customStyle="1">
    <w:name w:val="文档结构图1"/>
    <w:basedOn w:val="703"/>
    <w:link w:val="957"/>
    <w:uiPriority w:val="99"/>
    <w:unhideWhenUsed/>
    <w:qFormat/>
    <w:rPr>
      <w:rFonts w:ascii="宋体" w:hAnsi="Calibri"/>
      <w:sz w:val="18"/>
      <w:szCs w:val="18"/>
    </w:rPr>
  </w:style>
  <w:style w:type="character" w:styleId="959" w:customStyle="1">
    <w:name w:val="批注文字 字符"/>
    <w:link w:val="960"/>
    <w:uiPriority w:val="0"/>
    <w:qFormat/>
    <w:rPr>
      <w:sz w:val="21"/>
      <w:szCs w:val="24"/>
    </w:rPr>
  </w:style>
  <w:style w:type="paragraph" w:styleId="960" w:customStyle="1">
    <w:name w:val="批注文字1"/>
    <w:basedOn w:val="703"/>
    <w:link w:val="959"/>
    <w:uiPriority w:val="0"/>
    <w:qFormat/>
    <w:pPr>
      <w:jc w:val="left"/>
    </w:pPr>
  </w:style>
  <w:style w:type="character" w:styleId="961" w:customStyle="1">
    <w:name w:val="正文文本 字符"/>
    <w:link w:val="962"/>
    <w:uiPriority w:val="1"/>
    <w:qFormat/>
    <w:rPr>
      <w:rFonts w:ascii="Calibri" w:hAnsi="Calibri"/>
      <w:sz w:val="21"/>
      <w:szCs w:val="24"/>
    </w:rPr>
  </w:style>
  <w:style w:type="paragraph" w:styleId="962" w:customStyle="1">
    <w:name w:val="正文文本1"/>
    <w:basedOn w:val="703"/>
    <w:next w:val="722"/>
    <w:link w:val="961"/>
    <w:uiPriority w:val="0"/>
    <w:qFormat/>
    <w:pPr>
      <w:spacing w:after="120"/>
    </w:pPr>
    <w:rPr>
      <w:rFonts w:ascii="Calibri" w:hAnsi="Calibri"/>
    </w:rPr>
  </w:style>
  <w:style w:type="character" w:styleId="963" w:customStyle="1">
    <w:name w:val="纯文本 字符"/>
    <w:link w:val="964"/>
    <w:uiPriority w:val="0"/>
    <w:qFormat/>
    <w:rPr>
      <w:rFonts w:ascii="宋体" w:hAnsi="Courier New"/>
      <w:sz w:val="21"/>
    </w:rPr>
  </w:style>
  <w:style w:type="paragraph" w:styleId="964" w:customStyle="1">
    <w:name w:val="纯文本1"/>
    <w:basedOn w:val="703"/>
    <w:link w:val="963"/>
    <w:uiPriority w:val="0"/>
    <w:qFormat/>
    <w:rPr>
      <w:rFonts w:ascii="宋体" w:hAnsi="Courier New"/>
      <w:szCs w:val="20"/>
    </w:rPr>
  </w:style>
  <w:style w:type="character" w:styleId="965" w:customStyle="1">
    <w:name w:val="日期 字符"/>
    <w:link w:val="966"/>
    <w:uiPriority w:val="99"/>
    <w:qFormat/>
    <w:rPr>
      <w:rFonts w:eastAsia="仿宋_GB2312"/>
      <w:sz w:val="28"/>
    </w:rPr>
  </w:style>
  <w:style w:type="paragraph" w:styleId="966" w:customStyle="1">
    <w:name w:val="日期1"/>
    <w:basedOn w:val="703"/>
    <w:next w:val="703"/>
    <w:link w:val="965"/>
    <w:uiPriority w:val="99"/>
    <w:qFormat/>
    <w:rPr>
      <w:rFonts w:eastAsia="仿宋_GB2312"/>
      <w:sz w:val="28"/>
      <w:szCs w:val="20"/>
    </w:rPr>
  </w:style>
  <w:style w:type="character" w:styleId="967" w:customStyle="1">
    <w:name w:val="正文文本缩进 2 字符"/>
    <w:link w:val="968"/>
    <w:uiPriority w:val="0"/>
    <w:qFormat/>
    <w:rPr>
      <w:rFonts w:ascii="仿宋_GB2312" w:eastAsia="仿宋_GB2312"/>
      <w:sz w:val="24"/>
      <w:szCs w:val="24"/>
      <w:lang w:bidi="ar-SA"/>
    </w:rPr>
  </w:style>
  <w:style w:type="paragraph" w:styleId="968" w:customStyle="1">
    <w:name w:val="正文文本缩进 21"/>
    <w:basedOn w:val="703"/>
    <w:link w:val="967"/>
    <w:uiPriority w:val="0"/>
    <w:qFormat/>
    <w:pPr>
      <w:ind w:firstLine="475"/>
      <w:spacing w:line="10" w:lineRule="atLeast"/>
    </w:pPr>
    <w:rPr>
      <w:rFonts w:ascii="仿宋_GB2312" w:eastAsia="仿宋_GB2312"/>
      <w:sz w:val="24"/>
    </w:rPr>
  </w:style>
  <w:style w:type="character" w:styleId="969" w:customStyle="1">
    <w:name w:val="批注框文本 字符"/>
    <w:link w:val="970"/>
    <w:uiPriority w:val="0"/>
    <w:qFormat/>
    <w:rPr>
      <w:sz w:val="18"/>
      <w:szCs w:val="18"/>
    </w:rPr>
  </w:style>
  <w:style w:type="paragraph" w:styleId="970" w:customStyle="1">
    <w:name w:val="批注框文本1"/>
    <w:basedOn w:val="703"/>
    <w:link w:val="969"/>
    <w:uiPriority w:val="0"/>
    <w:qFormat/>
    <w:rPr>
      <w:sz w:val="18"/>
      <w:szCs w:val="18"/>
    </w:rPr>
  </w:style>
  <w:style w:type="character" w:styleId="971" w:customStyle="1">
    <w:name w:val="页脚 字符"/>
    <w:link w:val="972"/>
    <w:uiPriority w:val="99"/>
    <w:qFormat/>
    <w:rPr>
      <w:sz w:val="18"/>
      <w:szCs w:val="18"/>
    </w:rPr>
  </w:style>
  <w:style w:type="paragraph" w:styleId="972" w:customStyle="1">
    <w:name w:val="页脚1"/>
    <w:basedOn w:val="703"/>
    <w:link w:val="971"/>
    <w:uiPriority w:val="0"/>
    <w:qFormat/>
    <w:pPr>
      <w:jc w:val="left"/>
      <w:tabs>
        <w:tab w:val="center" w:pos="4153" w:leader="none"/>
        <w:tab w:val="right" w:pos="8306" w:leader="none"/>
      </w:tabs>
    </w:pPr>
    <w:rPr>
      <w:sz w:val="18"/>
      <w:szCs w:val="18"/>
    </w:rPr>
  </w:style>
  <w:style w:type="character" w:styleId="973" w:customStyle="1">
    <w:name w:val="页眉 字符"/>
    <w:link w:val="974"/>
    <w:uiPriority w:val="0"/>
    <w:qFormat/>
    <w:rPr>
      <w:sz w:val="18"/>
      <w:szCs w:val="18"/>
    </w:rPr>
  </w:style>
  <w:style w:type="paragraph" w:styleId="974" w:customStyle="1">
    <w:name w:val="页眉1"/>
    <w:basedOn w:val="703"/>
    <w:link w:val="973"/>
    <w:uiPriority w:val="0"/>
    <w:qFormat/>
    <w:pPr>
      <w:jc w:val="center"/>
      <w:tabs>
        <w:tab w:val="center" w:pos="4153" w:leader="none"/>
        <w:tab w:val="right" w:pos="8306" w:leader="none"/>
      </w:tabs>
      <w:pBdr>
        <w:bottom w:val="single" w:color="000000" w:sz="6" w:space="1"/>
      </w:pBdr>
    </w:pPr>
    <w:rPr>
      <w:sz w:val="18"/>
      <w:szCs w:val="18"/>
    </w:rPr>
  </w:style>
  <w:style w:type="character" w:styleId="975" w:customStyle="1">
    <w:name w:val="批注主题 字符"/>
    <w:link w:val="976"/>
    <w:uiPriority w:val="0"/>
    <w:qFormat/>
    <w:rPr>
      <w:b/>
      <w:bCs/>
      <w:sz w:val="21"/>
      <w:szCs w:val="24"/>
    </w:rPr>
  </w:style>
  <w:style w:type="paragraph" w:styleId="976" w:customStyle="1">
    <w:name w:val="批注主题1"/>
    <w:basedOn w:val="960"/>
    <w:next w:val="960"/>
    <w:link w:val="975"/>
    <w:uiPriority w:val="0"/>
    <w:qFormat/>
    <w:rPr>
      <w:b/>
      <w:bCs/>
    </w:rPr>
  </w:style>
  <w:style w:type="character" w:styleId="977" w:customStyle="1">
    <w:name w:val="正文文本首行缩进 字符1"/>
    <w:link w:val="763"/>
    <w:uiPriority w:val="0"/>
    <w:qFormat/>
    <w:rPr>
      <w:rFonts w:ascii="仿宋_GB2312" w:hAnsi="Times New Roman" w:eastAsia="仿宋_GB2312"/>
      <w:sz w:val="30"/>
      <w:szCs w:val="30"/>
    </w:rPr>
  </w:style>
  <w:style w:type="character" w:styleId="978" w:customStyle="1">
    <w:name w:val="标题 3 Char"/>
    <w:link w:val="703"/>
    <w:uiPriority w:val="9"/>
    <w:qFormat/>
    <w:rPr>
      <w:rFonts w:ascii="Arial" w:hAnsi="Arial" w:eastAsia="宋体" w:cs="Times New Roman"/>
      <w:b/>
      <w:sz w:val="32"/>
      <w:szCs w:val="20"/>
    </w:rPr>
  </w:style>
  <w:style w:type="character" w:styleId="979" w:customStyle="1">
    <w:name w:val="NormalCharacter1"/>
    <w:link w:val="703"/>
    <w:uiPriority w:val="0"/>
    <w:semiHidden/>
    <w:qFormat/>
    <w:rPr>
      <w:sz w:val="28"/>
      <w:lang w:val="en-US" w:eastAsia="zh-CN" w:bidi="ar-SA"/>
    </w:rPr>
  </w:style>
  <w:style w:type="character" w:styleId="980" w:customStyle="1">
    <w:name w:val="font41"/>
    <w:link w:val="703"/>
    <w:uiPriority w:val="0"/>
    <w:qFormat/>
    <w:rPr>
      <w:rFonts w:ascii="Symbol" w:hAnsi="Symbol" w:cs="Symbol"/>
      <w:color w:val="000000"/>
      <w:sz w:val="20"/>
      <w:szCs w:val="20"/>
      <w:u w:val="none"/>
    </w:rPr>
  </w:style>
  <w:style w:type="character" w:styleId="981" w:customStyle="1">
    <w:name w:val="正文首行缩进 2 字符"/>
    <w:link w:val="982"/>
    <w:uiPriority w:val="99"/>
    <w:qFormat/>
    <w:rPr>
      <w:sz w:val="21"/>
      <w:szCs w:val="24"/>
    </w:rPr>
  </w:style>
  <w:style w:type="paragraph" w:styleId="982" w:customStyle="1">
    <w:name w:val="_Style 63"/>
    <w:basedOn w:val="761"/>
    <w:next w:val="703"/>
    <w:link w:val="981"/>
    <w:uiPriority w:val="99"/>
    <w:unhideWhenUsed/>
    <w:qFormat/>
    <w:pPr>
      <w:ind w:firstLine="420"/>
    </w:pPr>
    <w:rPr>
      <w:rFonts w:ascii="Times New Roman" w:hAnsi="Times New Roman"/>
    </w:rPr>
  </w:style>
  <w:style w:type="character" w:styleId="983" w:customStyle="1">
    <w:name w:val="标题 1 Char"/>
    <w:link w:val="703"/>
    <w:uiPriority w:val="9"/>
    <w:qFormat/>
    <w:rPr>
      <w:b/>
      <w:bCs/>
      <w:sz w:val="44"/>
      <w:szCs w:val="44"/>
    </w:rPr>
  </w:style>
  <w:style w:type="character" w:styleId="984" w:customStyle="1">
    <w:name w:val="批注文字 Char"/>
    <w:link w:val="703"/>
    <w:uiPriority w:val="0"/>
    <w:qFormat/>
    <w:rPr>
      <w:rFonts w:ascii="Times New Roman" w:hAnsi="Times New Roman"/>
      <w:sz w:val="21"/>
    </w:rPr>
  </w:style>
  <w:style w:type="character" w:styleId="985" w:customStyle="1">
    <w:name w:val="文档结构图 Char"/>
    <w:link w:val="703"/>
    <w:uiPriority w:val="99"/>
    <w:semiHidden/>
    <w:qFormat/>
    <w:rPr>
      <w:rFonts w:ascii="宋体"/>
      <w:sz w:val="18"/>
      <w:szCs w:val="18"/>
    </w:rPr>
  </w:style>
  <w:style w:type="character" w:styleId="986" w:customStyle="1">
    <w:name w:val="纯文本 Char"/>
    <w:link w:val="703"/>
    <w:uiPriority w:val="0"/>
    <w:qFormat/>
    <w:rPr>
      <w:rFonts w:ascii="宋体" w:hAnsi="Courier New" w:eastAsia="宋体" w:cs="Courier New"/>
      <w:szCs w:val="21"/>
    </w:rPr>
  </w:style>
  <w:style w:type="character" w:styleId="987" w:customStyle="1">
    <w:name w:val="纯文本 Char1"/>
    <w:link w:val="703"/>
    <w:uiPriority w:val="0"/>
    <w:qFormat/>
    <w:rPr>
      <w:rFonts w:ascii="宋体" w:hAnsi="Courier New" w:eastAsia="宋体" w:cs="Times New Roman"/>
      <w:szCs w:val="20"/>
    </w:rPr>
  </w:style>
  <w:style w:type="character" w:styleId="988" w:customStyle="1">
    <w:name w:val="正文文本首行缩进 字符"/>
    <w:link w:val="703"/>
    <w:uiPriority w:val="0"/>
    <w:qFormat/>
  </w:style>
  <w:style w:type="character" w:styleId="989" w:customStyle="1">
    <w:name w:val="页眉 Char"/>
    <w:link w:val="703"/>
    <w:uiPriority w:val="0"/>
    <w:qFormat/>
    <w:rPr>
      <w:sz w:val="18"/>
      <w:szCs w:val="18"/>
    </w:rPr>
  </w:style>
  <w:style w:type="character" w:styleId="990" w:customStyle="1">
    <w:name w:val="日期 Char"/>
    <w:link w:val="703"/>
    <w:uiPriority w:val="99"/>
    <w:semiHidden/>
    <w:qFormat/>
  </w:style>
  <w:style w:type="character" w:styleId="991" w:customStyle="1">
    <w:name w:val="批注框文本 Char"/>
    <w:link w:val="703"/>
    <w:uiPriority w:val="0"/>
    <w:qFormat/>
    <w:rPr>
      <w:sz w:val="18"/>
      <w:szCs w:val="18"/>
    </w:rPr>
  </w:style>
  <w:style w:type="character" w:styleId="992" w:customStyle="1">
    <w:name w:val="apple-converted-space"/>
    <w:link w:val="703"/>
    <w:uiPriority w:val="0"/>
    <w:qFormat/>
  </w:style>
  <w:style w:type="character" w:styleId="993" w:customStyle="1">
    <w:name w:val="批注主题 Char"/>
    <w:link w:val="703"/>
    <w:uiPriority w:val="0"/>
    <w:qFormat/>
    <w:rPr>
      <w:rFonts w:ascii="Times New Roman" w:hAnsi="Times New Roman"/>
      <w:b/>
      <w:bCs/>
      <w:sz w:val="21"/>
    </w:rPr>
  </w:style>
  <w:style w:type="character" w:styleId="994" w:customStyle="1">
    <w:name w:val="标题 4 Char"/>
    <w:link w:val="703"/>
    <w:uiPriority w:val="9"/>
    <w:semiHidden/>
    <w:qFormat/>
    <w:rPr>
      <w:rFonts w:ascii="Cambria" w:hAnsi="Cambria" w:eastAsia="宋体" w:cs="Times New Roman"/>
      <w:b/>
      <w:bCs/>
      <w:sz w:val="28"/>
      <w:szCs w:val="28"/>
    </w:rPr>
  </w:style>
  <w:style w:type="paragraph" w:styleId="995" w:customStyle="1">
    <w:name w:val="索引 41"/>
    <w:basedOn w:val="703"/>
    <w:next w:val="703"/>
    <w:uiPriority w:val="99"/>
    <w:unhideWhenUsed/>
    <w:qFormat/>
    <w:pPr>
      <w:ind w:left="600"/>
    </w:pPr>
    <w:rPr>
      <w:rFonts w:ascii="Calibri" w:hAnsi="Calibri"/>
      <w:szCs w:val="22"/>
    </w:rPr>
  </w:style>
  <w:style w:type="paragraph" w:styleId="996" w:customStyle="1">
    <w:name w:val="索引 11"/>
    <w:basedOn w:val="703"/>
    <w:next w:val="703"/>
    <w:uiPriority w:val="0"/>
    <w:qFormat/>
    <w:pPr>
      <w:jc w:val="center"/>
      <w:tabs>
        <w:tab w:val="left" w:pos="560" w:leader="none"/>
      </w:tabs>
    </w:pPr>
    <w:rPr>
      <w:rFonts w:ascii="宋体" w:hAnsi="宋体"/>
    </w:rPr>
  </w:style>
  <w:style w:type="paragraph" w:styleId="997" w:customStyle="1">
    <w:name w:val="脚注文本11"/>
    <w:basedOn w:val="703"/>
    <w:next w:val="998"/>
    <w:uiPriority w:val="0"/>
    <w:qFormat/>
    <w:pPr>
      <w:jc w:val="left"/>
    </w:pPr>
    <w:rPr>
      <w:rFonts w:ascii="宋体" w:eastAsia="Times New Roman"/>
      <w:sz w:val="18"/>
      <w:szCs w:val="18"/>
    </w:rPr>
  </w:style>
  <w:style w:type="paragraph" w:styleId="998" w:customStyle="1">
    <w:name w:val="索引 511"/>
    <w:basedOn w:val="703"/>
    <w:next w:val="703"/>
    <w:uiPriority w:val="0"/>
    <w:qFormat/>
    <w:pPr>
      <w:ind w:left="798"/>
      <w:jc w:val="left"/>
    </w:pPr>
    <w:rPr>
      <w:rFonts w:ascii="Calibri" w:hAnsi="Calibri"/>
    </w:rPr>
  </w:style>
  <w:style w:type="paragraph" w:styleId="999" w:customStyle="1">
    <w:name w:val="索引标题1"/>
    <w:basedOn w:val="703"/>
    <w:next w:val="996"/>
    <w:uiPriority w:val="0"/>
    <w:qFormat/>
    <w:pPr>
      <w:tabs>
        <w:tab w:val="left" w:pos="560" w:leader="none"/>
      </w:tabs>
    </w:pPr>
    <w:rPr>
      <w:rFonts w:ascii="Arial" w:hAnsi="Arial" w:cs="Arial"/>
      <w:b/>
      <w:bCs/>
    </w:rPr>
  </w:style>
  <w:style w:type="paragraph" w:styleId="1000" w:customStyle="1">
    <w:name w:val="文本块1"/>
    <w:basedOn w:val="703"/>
    <w:uiPriority w:val="0"/>
    <w:qFormat/>
    <w:pPr>
      <w:ind w:left="420" w:right="33"/>
      <w:jc w:val="left"/>
    </w:pPr>
    <w:rPr>
      <w:sz w:val="24"/>
      <w:szCs w:val="20"/>
    </w:rPr>
  </w:style>
  <w:style w:type="paragraph" w:styleId="1001" w:customStyle="1">
    <w:name w:val="普通(网站)1"/>
    <w:basedOn w:val="703"/>
    <w:uiPriority w:val="99"/>
    <w:qFormat/>
    <w:pPr>
      <w:jc w:val="left"/>
      <w:spacing w:before="100" w:beforeAutospacing="1" w:after="100" w:afterAutospacing="1"/>
      <w:widowControl/>
    </w:pPr>
    <w:rPr>
      <w:rFonts w:ascii="宋体" w:hAnsi="宋体" w:cs="宋体"/>
      <w:sz w:val="24"/>
    </w:rPr>
  </w:style>
  <w:style w:type="paragraph" w:styleId="1002" w:customStyle="1">
    <w:name w:val="标题1"/>
    <w:basedOn w:val="703"/>
    <w:next w:val="703"/>
    <w:uiPriority w:val="10"/>
    <w:qFormat/>
    <w:pPr>
      <w:contextualSpacing/>
      <w:spacing w:before="300" w:after="200"/>
    </w:pPr>
    <w:rPr>
      <w:sz w:val="48"/>
      <w:szCs w:val="48"/>
    </w:rPr>
  </w:style>
  <w:style w:type="paragraph" w:styleId="1003" w:customStyle="1">
    <w:name w:val="_Style 15"/>
    <w:basedOn w:val="703"/>
    <w:next w:val="1004"/>
    <w:uiPriority w:val="34"/>
    <w:qFormat/>
    <w:pPr>
      <w:ind w:firstLine="420"/>
    </w:pPr>
    <w:rPr>
      <w:rFonts w:ascii="Calibri" w:hAnsi="Calibri"/>
      <w:szCs w:val="22"/>
    </w:rPr>
  </w:style>
  <w:style w:type="paragraph" w:styleId="1004" w:customStyle="1">
    <w:name w:val="列表段落"/>
    <w:basedOn w:val="703"/>
    <w:uiPriority w:val="99"/>
    <w:qFormat/>
    <w:pPr>
      <w:ind w:firstLine="420"/>
    </w:pPr>
  </w:style>
  <w:style w:type="paragraph" w:styleId="1005" w:customStyle="1">
    <w:name w:val="179"/>
    <w:basedOn w:val="703"/>
    <w:uiPriority w:val="0"/>
    <w:qFormat/>
    <w:pPr>
      <w:ind w:firstLine="420"/>
      <w:jc w:val="left"/>
      <w:widowControl/>
    </w:pPr>
    <w:rPr>
      <w:rFonts w:ascii="宋体" w:hAnsi="宋体"/>
      <w:sz w:val="24"/>
    </w:rPr>
  </w:style>
  <w:style w:type="paragraph" w:styleId="1006" w:customStyle="1">
    <w:name w:val="UserStyle_1"/>
    <w:basedOn w:val="703"/>
    <w:uiPriority w:val="0"/>
    <w:qFormat/>
    <w:pPr>
      <w:ind w:left="-6" w:hanging="99"/>
      <w:jc w:val="left"/>
    </w:pPr>
    <w:rPr>
      <w:rFonts w:ascii="宋体"/>
      <w:b/>
    </w:rPr>
  </w:style>
  <w:style w:type="paragraph" w:styleId="1007" w:customStyle="1">
    <w:name w:val="_Style 101"/>
    <w:basedOn w:val="703"/>
    <w:next w:val="703"/>
    <w:uiPriority w:val="39"/>
    <w:unhideWhenUsed/>
    <w:qFormat/>
    <w:pPr>
      <w:ind w:left="420"/>
    </w:pPr>
    <w:rPr>
      <w:rFonts w:ascii="Calibri" w:hAnsi="Calibri"/>
      <w:szCs w:val="22"/>
    </w:rPr>
  </w:style>
  <w:style w:type="paragraph" w:styleId="1008" w:customStyle="1">
    <w:name w:val="Heading21"/>
    <w:basedOn w:val="703"/>
    <w:next w:val="703"/>
    <w:uiPriority w:val="0"/>
    <w:qFormat/>
    <w:pPr>
      <w:jc w:val="left"/>
      <w:keepLines/>
      <w:keepNext/>
      <w:spacing w:before="260" w:after="260" w:line="416" w:lineRule="auto"/>
    </w:pPr>
    <w:rPr>
      <w:rFonts w:ascii="Calibri Light" w:hAnsi="Calibri Light"/>
      <w:b/>
      <w:bCs/>
      <w:sz w:val="24"/>
      <w:szCs w:val="32"/>
    </w:rPr>
  </w:style>
  <w:style w:type="paragraph" w:styleId="1009" w:customStyle="1">
    <w:name w:val="样式"/>
    <w:uiPriority w:val="0"/>
    <w:qFormat/>
    <w:pPr>
      <w:widowControl w:val="off"/>
    </w:pPr>
    <w:rPr>
      <w:rFonts w:hint="default" w:ascii="宋体" w:hAnsi="宋体" w:eastAsia="宋体" w:cs="宋体"/>
      <w:sz w:val="24"/>
      <w:szCs w:val="24"/>
      <w:lang w:val="en-US" w:eastAsia="zh-CN" w:bidi="ar-SA"/>
    </w:rPr>
  </w:style>
  <w:style w:type="paragraph" w:styleId="1010" w:customStyle="1">
    <w:name w:val="投标文件正文"/>
    <w:basedOn w:val="703"/>
    <w:uiPriority w:val="0"/>
    <w:qFormat/>
    <w:pPr>
      <w:ind w:firstLine="200"/>
      <w:spacing w:before="40" w:after="40" w:line="400" w:lineRule="exact"/>
    </w:pPr>
    <w:rPr>
      <w:sz w:val="24"/>
    </w:rPr>
  </w:style>
  <w:style w:type="paragraph" w:styleId="1011" w:customStyle="1">
    <w:name w:val="TOC 标题"/>
    <w:basedOn w:val="923"/>
    <w:next w:val="703"/>
    <w:uiPriority w:val="39"/>
    <w:qFormat/>
    <w:pPr>
      <w:jc w:val="left"/>
      <w:spacing w:before="480" w:line="276" w:lineRule="auto"/>
      <w:widowControl/>
      <w:outlineLvl w:val="9"/>
    </w:pPr>
    <w:rPr>
      <w:rFonts w:ascii="Cambria" w:hAnsi="Cambria" w:eastAsia="宋体"/>
      <w:color w:val="365f91"/>
      <w:sz w:val="28"/>
      <w:szCs w:val="28"/>
    </w:rPr>
  </w:style>
  <w:style w:type="paragraph" w:styleId="1012" w:customStyle="1">
    <w:name w:val="NormalIndent1"/>
    <w:basedOn w:val="703"/>
    <w:uiPriority w:val="0"/>
    <w:qFormat/>
    <w:pPr>
      <w:ind w:firstLine="420"/>
    </w:pPr>
    <w:rPr>
      <w:szCs w:val="20"/>
    </w:rPr>
  </w:style>
  <w:style w:type="paragraph" w:styleId="1013" w:customStyle="1">
    <w:name w:val="标题 11"/>
    <w:basedOn w:val="724"/>
    <w:next w:val="724"/>
    <w:uiPriority w:val="0"/>
    <w:qFormat/>
    <w:pPr>
      <w:jc w:val="center"/>
      <w:keepLines/>
      <w:keepNext/>
      <w:spacing w:line="578" w:lineRule="auto"/>
      <w:outlineLvl w:val="0"/>
    </w:pPr>
    <w:rPr>
      <w:rFonts w:eastAsia="新宋体"/>
      <w:b/>
      <w:bCs/>
      <w:sz w:val="30"/>
      <w:szCs w:val="44"/>
    </w:rPr>
  </w:style>
  <w:style w:type="paragraph" w:styleId="1014" w:customStyle="1">
    <w:name w:val="首行缩进"/>
    <w:basedOn w:val="703"/>
    <w:uiPriority w:val="0"/>
    <w:qFormat/>
    <w:pPr>
      <w:ind w:firstLine="480"/>
    </w:pPr>
    <w:rPr>
      <w:szCs w:val="20"/>
      <w:lang w:val="zh-CN"/>
    </w:rPr>
  </w:style>
  <w:style w:type="paragraph" w:styleId="1015" w:customStyle="1">
    <w:name w:val="Other|1"/>
    <w:basedOn w:val="703"/>
    <w:uiPriority w:val="0"/>
    <w:qFormat/>
    <w:pPr>
      <w:ind w:firstLine="400"/>
      <w:spacing w:line="418" w:lineRule="auto"/>
    </w:pPr>
    <w:rPr>
      <w:rFonts w:ascii="宋体" w:hAnsi="宋体" w:cs="宋体"/>
      <w:sz w:val="30"/>
      <w:szCs w:val="30"/>
      <w:lang w:val="zh-TW" w:eastAsia="zh-TW" w:bidi="zh-TW"/>
    </w:rPr>
  </w:style>
  <w:style w:type="paragraph" w:styleId="1016" w:customStyle="1">
    <w:name w:val="BodyTextIndent1"/>
    <w:basedOn w:val="703"/>
    <w:uiPriority w:val="0"/>
    <w:qFormat/>
    <w:pPr>
      <w:ind w:left="420"/>
      <w:spacing w:after="120"/>
    </w:pPr>
    <w:rPr>
      <w:sz w:val="28"/>
      <w:szCs w:val="20"/>
    </w:rPr>
  </w:style>
  <w:style w:type="paragraph" w:styleId="10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8" w:customStyle="1">
    <w:name w:val="p0"/>
    <w:basedOn w:val="703"/>
    <w:uiPriority w:val="0"/>
    <w:qFormat/>
    <w:pPr>
      <w:widowControl/>
    </w:pPr>
    <w:rPr>
      <w:szCs w:val="21"/>
    </w:rPr>
  </w:style>
  <w:style w:type="paragraph" w:styleId="101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0" w:customStyle="1">
    <w:name w:val="one-p"/>
    <w:basedOn w:val="703"/>
    <w:uiPriority w:val="0"/>
    <w:qFormat/>
    <w:pPr>
      <w:jc w:val="left"/>
      <w:spacing w:before="100" w:beforeAutospacing="1" w:after="100" w:afterAutospacing="1"/>
      <w:widowControl/>
    </w:pPr>
    <w:rPr>
      <w:rFonts w:ascii="宋体" w:hAnsi="宋体" w:cs="宋体"/>
      <w:sz w:val="24"/>
    </w:rPr>
  </w:style>
  <w:style w:type="paragraph" w:styleId="1021" w:customStyle="1">
    <w:name w:val="列出段落1"/>
    <w:basedOn w:val="703"/>
    <w:uiPriority w:val="0"/>
    <w:qFormat/>
    <w:pPr>
      <w:ind w:firstLine="420"/>
    </w:pPr>
    <w:rPr>
      <w:rFonts w:ascii="Calibri" w:hAnsi="Calibri"/>
    </w:rPr>
  </w:style>
  <w:style w:type="table" w:styleId="1022" w:customStyle="1">
    <w:name w:val="网格型11"/>
    <w:basedOn w:val="930"/>
    <w:uiPriority w:val="99"/>
    <w:qFormat/>
    <w:pPr>
      <w:jc w:val="both"/>
      <w:widowControl w:val="off"/>
    </w:pPr>
    <w:tblPr/>
  </w:style>
  <w:style w:type="table" w:styleId="1023" w:customStyle="1">
    <w:name w:val="网格型1"/>
    <w:basedOn w:val="930"/>
    <w:uiPriority w:val="59"/>
    <w:qFormat/>
    <w:pPr>
      <w:jc w:val="both"/>
      <w:widowControl w:val="off"/>
    </w:pPr>
    <w:tblPr/>
  </w:style>
  <w:style w:type="table" w:styleId="1024" w:customStyle="1">
    <w:name w:val="Table Normal"/>
    <w:uiPriority w:val="2"/>
    <w:semiHidden/>
    <w:unhideWhenUsed/>
    <w:qFormat/>
    <w:tblPr>
      <w:tblCellMar>
        <w:left w:w="0" w:type="dxa"/>
        <w:top w:w="0" w:type="dxa"/>
        <w:right w:w="0" w:type="dxa"/>
        <w:bottom w:w="0" w:type="dxa"/>
      </w:tblCellMar>
    </w:tblPr>
  </w:style>
  <w:style w:type="paragraph" w:styleId="1025" w:customStyle="1">
    <w:name w:val="Table Paragraph"/>
    <w:basedOn w:val="703"/>
    <w:uiPriority w:val="1"/>
    <w:qFormat/>
    <w:pPr>
      <w:ind w:left="108"/>
    </w:pPr>
  </w:style>
  <w:style w:type="paragraph" w:styleId="1026" w:customStyle="1">
    <w:name w:val="纯文本2"/>
    <w:basedOn w:val="703"/>
    <w:uiPriority w:val="0"/>
    <w:qFormat/>
    <w:rPr>
      <w:rFonts w:ascii="宋体" w:hAnsi="Courier New"/>
    </w:rPr>
  </w:style>
  <w:style w:type="paragraph" w:styleId="1027" w:customStyle="1">
    <w:name w:val="目录 1111"/>
    <w:basedOn w:val="703"/>
    <w:next w:val="703"/>
    <w:uiPriority w:val="39"/>
    <w:unhideWhenUsed/>
    <w:qFormat/>
    <w:pPr>
      <w:jc w:val="left"/>
      <w:spacing w:after="100" w:line="259" w:lineRule="auto"/>
      <w:widowControl/>
    </w:pPr>
    <w:rPr>
      <w:rFonts w:ascii="Calibri" w:hAnsi="Calibri" w:eastAsia="宋体"/>
      <w:sz w:val="22"/>
      <w:szCs w:val="22"/>
    </w:rPr>
  </w:style>
  <w:style w:type="paragraph" w:styleId="1028" w:customStyle="1">
    <w:name w:val="qowt-stl-正文"/>
    <w:basedOn w:val="703"/>
    <w:uiPriority w:val="0"/>
    <w:qFormat/>
    <w:pPr>
      <w:spacing w:before="100" w:beforeAutospacing="1" w:after="100" w:afterAutospacing="1"/>
    </w:pPr>
    <w:rPr>
      <w:rFonts w:ascii="宋体" w:hAnsi="宋体" w:cs="宋体"/>
      <w:sz w:val="24"/>
    </w:rPr>
  </w:style>
  <w:style w:type="character" w:styleId="1029" w:customStyle="1">
    <w:name w:val="qowt-font2"/>
    <w:uiPriority w:val="0"/>
    <w:qFormat/>
  </w:style>
  <w:style w:type="table" w:styleId="1030" w:customStyle="1">
    <w:name w:val="网格型111"/>
    <w:uiPriority w:val="0"/>
    <w:qFormat/>
    <w:rPr>
      <w:lang w:val="en-US" w:eastAsia="zh-CN" w:bidi="ar-SA"/>
    </w:rPr>
    <w:tblPr/>
  </w:style>
  <w:style w:type="paragraph" w:styleId="1031"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正文（缩进）"/>
    <w:basedOn w:val="703"/>
    <w:uiPriority w:val="0"/>
    <w:qFormat/>
    <w:rPr>
      <w:rFonts w:hint="eastAsia" w:ascii="宋体"/>
      <w:szCs w:val="21"/>
    </w:rPr>
  </w:style>
  <w:style w:type="table" w:styleId="1034" w:customStyle="1">
    <w:name w:val="Table1"/>
    <w:basedOn w:val="714"/>
    <w:uiPriority w:val="99"/>
    <w:qFormat/>
    <w:pPr>
      <w:spacing w:line="360" w:lineRule="auto"/>
    </w:pPr>
    <w:rPr>
      <w:rFonts w:ascii="Times New Roman" w:hAnsi="Times New Roman" w:eastAsia="宋体" w:cs="Times New Roman"/>
      <w:sz w:val="24"/>
    </w:r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blStylePr w:type="firstRow">
      <w:rPr>
        <w:rFonts w:ascii="Times New Roman" w:hAnsi="Times New Roman" w:eastAsia="Arial"/>
        <w:b/>
        <w:i w:val="0"/>
        <w:sz w:val="24"/>
      </w:rPr>
      <w:pPr>
        <w:jc w:val="center"/>
      </w:pPr>
      <w:tcPr>
        <w:shd w:val="clear" w:color="auto" w:fill="d9d9d9"/>
        <w:vAlign w:val="center"/>
      </w:tcPr>
    </w:tblStylePr>
  </w:style>
  <w:style w:type="paragraph" w:styleId="1035" w:customStyle="1">
    <w:name w:val="无间隔1"/>
    <w:uiPriority w:val="0"/>
    <w:qFormat/>
    <w:rPr>
      <w:rFonts w:ascii="Times New Roman" w:hAnsi="Times New Roman" w:eastAsia="宋体" w:cs="Times New Roman"/>
      <w:sz w:val="22"/>
      <w:szCs w:val="22"/>
      <w:lang w:val="en-US" w:eastAsia="en-US" w:bidi="ar-SA"/>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12</cp:revision>
  <dcterms:created xsi:type="dcterms:W3CDTF">2022-04-14T10:51:00Z</dcterms:created>
  <dcterms:modified xsi:type="dcterms:W3CDTF">2025-09-26T08:00:55Z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E18229A1C70B47A2B013E5C8BAB6CC6C_13</vt:lpwstr>
  </property>
  <property fmtid="{D5CDD505-2E9C-101B-9397-08002B2CF9AE}" pid="4" name="KSOTemplateDocerSaveRecord">
    <vt:lpwstr>eyJoZGlkIjoiNjM5ODUxNmFkMTZlYmVmM2RjOWIxZjM4NDZlMTIzZGEiLCJ1c2VySWQiOiIzOTU1Mjc0MTMifQ==</vt:lpwstr>
  </property>
</Properties>
</file>