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643"/>
        <w:jc w:val="both"/>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项目名称：</w:t>
      </w:r>
      <w:r>
        <w:rPr>
          <w:rFonts w:hint="eastAsia" w:ascii="宋体" w:hAnsi="宋体" w:eastAsia="宋体" w:cs="宋体"/>
          <w:b/>
          <w:color w:val="000000"/>
          <w:sz w:val="32"/>
          <w:lang w:eastAsia="zh-CN"/>
        </w:rPr>
        <w:t xml:space="preserve">盱眙县人民医院信息标准化及智慧医院建设云桌面等采购项目</w:t>
      </w:r>
      <w:r/>
    </w:p>
    <w:p>
      <w:pPr>
        <w:ind w:left="0" w:right="0" w:firstLine="643"/>
        <w:jc w:val="both"/>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采购人：</w:t>
      </w:r>
      <w:r>
        <w:rPr>
          <w:rFonts w:hint="eastAsia" w:ascii="宋体" w:hAnsi="宋体" w:eastAsia="宋体" w:cs="宋体"/>
          <w:b/>
          <w:color w:val="000000"/>
          <w:sz w:val="32"/>
          <w:lang w:eastAsia="zh-CN"/>
        </w:rPr>
        <w:t xml:space="preserve">盱眙县人民医院</w:t>
      </w:r>
      <w:r/>
    </w:p>
    <w:p>
      <w:pPr>
        <w:ind w:left="0" w:right="0" w:firstLine="643"/>
        <w:jc w:val="both"/>
        <w:spacing w:before="120" w:after="12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采购代理机构：</w:t>
      </w:r>
      <w:r>
        <w:rPr>
          <w:rFonts w:hint="eastAsia" w:ascii="宋体" w:hAnsi="宋体" w:eastAsia="宋体" w:cs="宋体"/>
          <w:b/>
          <w:color w:val="000000"/>
          <w:sz w:val="32"/>
          <w:lang w:eastAsia="zh-CN"/>
        </w:rPr>
        <w:t xml:space="preserve">正军项目管理集团有限公司</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二〇二四年</w:t>
      </w:r>
      <w:r>
        <w:rPr>
          <w:rFonts w:hint="eastAsia" w:ascii="宋体" w:hAnsi="宋体" w:eastAsia="宋体" w:cs="宋体"/>
          <w:b/>
          <w:color w:val="000000"/>
          <w:sz w:val="32"/>
          <w:lang w:val="en-US" w:eastAsia="zh-CN"/>
        </w:rPr>
        <w:t xml:space="preserve">七</w:t>
      </w:r>
      <w:r>
        <w:rPr>
          <w:rFonts w:ascii="宋体" w:hAnsi="宋体" w:eastAsia="宋体" w:cs="宋体"/>
          <w:b/>
          <w:color w:val="000000"/>
          <w:sz w:val="32"/>
        </w:rPr>
        <w:t xml:space="preserve">月</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 </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1"/>
        </w:numPr>
        <w:jc w:val="both"/>
        <w:spacing w:before="0" w:after="0"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r>
      <w:r>
        <w:rPr>
          <w:rFonts w:ascii="宋体" w:hAnsi="宋体" w:eastAsia="宋体" w:cs="宋体"/>
          <w:color w:val="000000"/>
          <w:sz w:val="22"/>
          <w:highlight w: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第一章 投标邀请</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lang w:eastAsia="zh-CN"/>
        </w:rPr>
        <w:t xml:space="preserve">盱眙县人民医院</w:t>
      </w:r>
      <w:r>
        <w:rPr>
          <w:rFonts w:ascii="宋体" w:hAnsi="宋体" w:eastAsia="宋体" w:cs="宋体"/>
          <w:color w:val="000000"/>
          <w:sz w:val="24"/>
        </w:rPr>
        <w:t xml:space="preserve">的委托，</w:t>
      </w:r>
      <w:r>
        <w:rPr>
          <w:rFonts w:hint="eastAsia" w:ascii="宋体" w:hAnsi="宋体" w:eastAsia="宋体" w:cs="宋体"/>
          <w:color w:val="000000"/>
          <w:sz w:val="24"/>
          <w:lang w:eastAsia="zh-CN"/>
        </w:rPr>
        <w:t xml:space="preserve">正军项目管理集团有限公司</w:t>
      </w:r>
      <w:r>
        <w:rPr>
          <w:rFonts w:ascii="宋体" w:hAnsi="宋体" w:eastAsia="宋体" w:cs="宋体"/>
          <w:color w:val="000000"/>
          <w:sz w:val="24"/>
        </w:rPr>
        <w:t xml:space="preserve">就</w:t>
      </w:r>
      <w:r>
        <w:rPr>
          <w:rFonts w:hint="eastAsia" w:ascii="宋体" w:hAnsi="宋体" w:eastAsia="宋体" w:cs="宋体"/>
          <w:color w:val="000000"/>
          <w:sz w:val="24"/>
          <w:lang w:eastAsia="zh-CN"/>
        </w:rPr>
        <w:t xml:space="preserve">盱眙县人民医院信息标准化及智慧医院建设云桌面等采购项目</w:t>
      </w:r>
      <w:r>
        <w:rPr>
          <w:rFonts w:ascii="宋体" w:hAnsi="宋体" w:eastAsia="宋体" w:cs="宋体"/>
          <w:color w:val="000000"/>
          <w:sz w:val="24"/>
        </w:rPr>
        <w:t xml:space="preserve">(JSZC-320830-HAZJ-G2024-0022</w:t>
      </w:r>
      <w:r>
        <w:rPr>
          <w:rFonts w:ascii="宋体" w:hAnsi="宋体" w:eastAsia="宋体" w:cs="宋体"/>
          <w:color w:val="000000"/>
          <w:sz w:val="28"/>
        </w:rPr>
        <w:t xml:space="preserve">）</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highlight w:val="none"/>
          <w:lang w:eastAsia="zh-CN"/>
        </w:rPr>
        <w:t xml:space="preserve">盱眙县人民医院信息标准化及智慧医院建设云桌面等采购项目</w:t>
      </w:r>
      <w:r>
        <w:rPr>
          <w:rFonts w:hint="eastAsia" w:ascii="仿宋" w:hAnsi="仿宋" w:eastAsia="仿宋" w:cs="仿宋"/>
          <w:color w:val="000000"/>
          <w:sz w:val="28"/>
          <w:highlight w:val="none"/>
          <w:lang w:val="en-US" w:eastAsia="zh-CN"/>
        </w:rPr>
        <w:t xml:space="preserve">   </w:t>
      </w:r>
      <w:r>
        <w:rPr>
          <w:rFonts w:ascii="仿宋" w:hAnsi="仿宋" w:eastAsia="仿宋" w:cs="仿宋"/>
          <w:color w:val="000000"/>
          <w:sz w:val="28"/>
        </w:rPr>
        <w:t xml:space="preserve">招标项目的潜在投标人应在</w:t>
      </w:r>
      <w:r>
        <w:rPr>
          <w:rFonts w:ascii="仿宋" w:hAnsi="仿宋" w:eastAsia="仿宋" w:cs="仿宋"/>
          <w:color w:val="000000"/>
          <w:sz w:val="28"/>
          <w:highlight w:val="none"/>
        </w:rPr>
        <w:t xml:space="preserve">江苏省政府采购网或淮安市政府采购网</w:t>
      </w:r>
      <w:r>
        <w:rPr>
          <w:rFonts w:ascii="仿宋" w:hAnsi="仿宋" w:eastAsia="仿宋" w:cs="仿宋"/>
          <w:color w:val="000000"/>
          <w:sz w:val="28"/>
        </w:rPr>
        <w:t xml:space="preserve"> 获取招标文件，并于</w:t>
      </w:r>
      <w:r>
        <w:rPr>
          <w:rFonts w:ascii="仿宋" w:hAnsi="仿宋" w:eastAsia="仿宋" w:cs="仿宋"/>
          <w:color w:val="000000"/>
          <w:sz w:val="28"/>
          <w:highlight w:val="none"/>
        </w:rPr>
        <w:t xml:space="preserve">2024-07-</w:t>
      </w:r>
      <w:r>
        <w:rPr>
          <w:rFonts w:hint="eastAsia" w:ascii="仿宋" w:hAnsi="仿宋" w:eastAsia="仿宋" w:cs="仿宋"/>
          <w:color w:val="000000"/>
          <w:sz w:val="28"/>
          <w:highlight w:val="none"/>
          <w:lang w:val="en-US" w:eastAsia="zh-CN"/>
        </w:rPr>
        <w:t xml:space="preserve">30 </w:t>
      </w:r>
      <w:r>
        <w:rPr>
          <w:rFonts w:ascii="仿宋" w:hAnsi="仿宋" w:eastAsia="仿宋" w:cs="仿宋"/>
          <w:color w:val="000000"/>
          <w:sz w:val="28"/>
          <w:highlight w:val="none"/>
        </w:rPr>
        <w:t xml:space="preserve">09:00</w:t>
      </w:r>
      <w:r>
        <w:rPr>
          <w:rFonts w:ascii="仿宋" w:hAnsi="仿宋" w:eastAsia="仿宋" w:cs="仿宋"/>
          <w:color w:val="000000"/>
          <w:sz w:val="28"/>
        </w:rPr>
        <w:t xml:space="preserve"> （北京时间）前递交投标文件。</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一、项目基本情况</w:t>
      </w:r>
      <w:r/>
    </w:p>
    <w:p>
      <w:pPr>
        <w:ind w:left="0" w:right="0" w:firstLine="480"/>
        <w:spacing w:before="0" w:after="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1.项目编号：JSZC-320830-HAZJ-G2024-0022</w:t>
      </w:r>
      <w:r/>
    </w:p>
    <w:p>
      <w:pPr>
        <w:ind w:left="0" w:right="0" w:firstLine="480"/>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盱眙县人民医院信息标准化及智慧医院建设云桌面等采购项目</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rPr>
          <w:rFonts w:hint="eastAsia" w:ascii="宋体" w:hAnsi="宋体" w:eastAsia="宋体" w:cs="宋体"/>
          <w:color w:val="000000"/>
          <w:sz w:val="24"/>
          <w:lang w:val="en-US" w:eastAsia="zh-CN"/>
        </w:rPr>
        <w:t xml:space="preserve">202.5</w:t>
      </w:r>
      <w:r>
        <w:rPr>
          <w:rFonts w:ascii="宋体" w:hAnsi="宋体" w:eastAsia="宋体" w:cs="宋体"/>
          <w:color w:val="000000"/>
          <w:sz w:val="24"/>
        </w:rPr>
        <w:t xml:space="preserve">万元</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4.最高限价（如有）：</w:t>
      </w:r>
      <w:r>
        <w:rPr>
          <w:rFonts w:hint="eastAsia" w:ascii="宋体" w:hAnsi="宋体" w:eastAsia="宋体" w:cs="宋体"/>
          <w:color w:val="000000"/>
          <w:sz w:val="24"/>
          <w:lang w:val="en-US" w:eastAsia="zh-CN"/>
        </w:rPr>
        <w:t xml:space="preserve">202.5</w:t>
      </w:r>
      <w:r>
        <w:rPr>
          <w:rFonts w:ascii="宋体" w:hAnsi="宋体" w:eastAsia="宋体" w:cs="宋体"/>
          <w:color w:val="000000"/>
          <w:sz w:val="24"/>
        </w:rPr>
        <w:t xml:space="preserve">万元</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w:t>
      </w:r>
      <w:r>
        <w:rPr>
          <w:rFonts w:hint="eastAsia" w:ascii="宋体" w:hAnsi="宋体" w:eastAsia="宋体" w:cs="宋体"/>
          <w:color w:val="000000"/>
          <w:sz w:val="24"/>
          <w:lang w:eastAsia="zh-CN"/>
        </w:rPr>
        <w:t xml:space="preserve">盱眙县人民医院信息标准化及智慧医院建设云桌面等采购项目</w:t>
      </w:r>
      <w:r>
        <w:rPr>
          <w:rFonts w:ascii="宋体" w:hAnsi="宋体" w:eastAsia="宋体" w:cs="宋体"/>
          <w:color w:val="000000"/>
          <w:sz w:val="24"/>
        </w:rPr>
        <w:t xml:space="preserve">（详细内容见本招标文件第四章）</w:t>
      </w:r>
      <w:r/>
    </w:p>
    <w:p>
      <w:pPr>
        <w:ind w:left="0" w:right="0" w:firstLine="480"/>
        <w:spacing w:before="0" w:after="0" w:line="85" w:lineRule="atLeast"/>
        <w:rPr>
          <w:rFonts w:hint="eastAsia" w:ascii="宋体" w:hAnsi="宋体" w:eastAsia="宋体" w:cs="宋体"/>
          <w:color w:val="000000"/>
          <w:sz w:val="24"/>
          <w:highlight w:val="yellow"/>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rPr>
          <w:rFonts w:hint="eastAsia" w:ascii="宋体" w:hAnsi="宋体" w:cs="宋体"/>
          <w:color w:val="000000"/>
          <w:sz w:val="24"/>
          <w:lang w:val="en-US" w:eastAsia="zh-CN"/>
        </w:rPr>
        <w:t xml:space="preserve">工期</w:t>
      </w:r>
      <w:r>
        <w:rPr>
          <w:rFonts w:ascii="宋体" w:hAnsi="宋体" w:eastAsia="宋体" w:cs="宋体"/>
          <w:color w:val="000000"/>
          <w:sz w:val="24"/>
        </w:rPr>
        <w:t xml:space="preserve">：</w:t>
      </w:r>
      <w:r>
        <w:rPr>
          <w:rFonts w:hint="eastAsia" w:ascii="宋体" w:hAnsi="宋体" w:eastAsia="宋体" w:cs="宋体"/>
          <w:color w:val="000000"/>
          <w:sz w:val="24"/>
          <w:highlight w:val="none"/>
        </w:rPr>
        <w:t xml:space="preserve">合同签订后</w:t>
      </w:r>
      <w:r>
        <w:rPr>
          <w:rFonts w:hint="eastAsia" w:ascii="宋体" w:hAnsi="宋体" w:eastAsia="宋体" w:cs="宋体"/>
          <w:color w:val="000000"/>
          <w:sz w:val="24"/>
          <w:highlight w:val="none"/>
          <w:lang w:val="en-US" w:eastAsia="zh-CN"/>
        </w:rPr>
        <w:t xml:space="preserve">30日历日</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本项目（是/否）接受联合体：不接受联合体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二、申请人的资格要求：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（一）满足《中华人民共和国政府采购法》第二十二条规定：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1.供应商可任选以下其中1项提供材料，2选1（扫描件上传至电子标书）：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（1）法定代表人资格证明（格式按照示范格式一要求）和法定代表人身份证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（2）授权委托书（格式按照示范格式二要求）和受托人身份证</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2.有效的营业执照（扫描件上传至电子标书）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3.承诺书（格式按照示范格式三要求，扫描件上传至电子标书）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ascii="宋体" w:hAnsi="宋体" w:eastAsia="宋体" w:cs="宋体"/>
          <w:color w:val="000000"/>
          <w:sz w:val="24"/>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在资格审查时查询，一旦被查询存在上述失信行为记录名单的，将视为资格审查不通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本项目按照以下第</w:t>
      </w:r>
      <w:r>
        <w:rPr>
          <w:rFonts w:ascii="宋体" w:hAnsi="宋体" w:eastAsia="宋体" w:cs="宋体"/>
          <w:color w:val="000000"/>
          <w:sz w:val="24"/>
          <w:highlight w:val="none"/>
          <w:u w:val="single"/>
        </w:rPr>
        <w:t xml:space="preserve">1.</w:t>
      </w:r>
      <w:r>
        <w:rPr>
          <w:rFonts w:hint="eastAsia" w:ascii="宋体" w:hAnsi="宋体" w:eastAsia="宋体" w:cs="宋体"/>
          <w:color w:val="000000"/>
          <w:sz w:val="24"/>
          <w:highlight w:val="none"/>
          <w:u w:val="single"/>
          <w:lang w:val="en-US" w:eastAsia="zh-CN"/>
        </w:rPr>
        <w:t xml:space="preserve">3</w:t>
      </w:r>
      <w:r>
        <w:rPr>
          <w:rFonts w:ascii="宋体" w:hAnsi="宋体" w:eastAsia="宋体" w:cs="宋体"/>
          <w:color w:val="000000"/>
          <w:sz w:val="24"/>
          <w:highlight w:val="none"/>
        </w:rPr>
        <w:t xml:space="preserve">种</w:t>
      </w:r>
      <w:r>
        <w:rPr>
          <w:rFonts w:ascii="宋体" w:hAnsi="宋体" w:eastAsia="宋体" w:cs="宋体"/>
          <w:color w:val="000000"/>
          <w:sz w:val="24"/>
        </w:rPr>
        <w:t xml:space="preserve">方式落实政府采购促进中小企业发展的要求：</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1.1本项目为专门面向中小企业采购的项目，供应商必须为中小微企业，不接受非中小型企业参与本项目投标。</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1.2本项目通过以下第（）种方式预留部分采购份额采购中小企业服务：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（1）本项目要求供应商以联合体形式参加，中小企业合同金额应当达到的比例为</w:t>
      </w:r>
      <w:r>
        <w:rPr>
          <w:rFonts w:ascii="宋体" w:hAnsi="宋体" w:eastAsia="宋体" w:cs="宋体"/>
          <w:color w:val="000000"/>
          <w:sz w:val="24"/>
          <w:u w:val="single"/>
        </w:rPr>
        <w:t xml:space="preserve">    </w:t>
      </w:r>
      <w:r>
        <w:rPr>
          <w:rFonts w:ascii="宋体" w:hAnsi="宋体" w:eastAsia="宋体" w:cs="宋体"/>
          <w:color w:val="000000"/>
          <w:sz w:val="24"/>
        </w:rPr>
        <w:t xml:space="preserve">%，其中小微企业所占比例应为</w:t>
      </w:r>
      <w:r>
        <w:rPr>
          <w:rFonts w:ascii="宋体" w:hAnsi="宋体" w:eastAsia="宋体" w:cs="宋体"/>
          <w:color w:val="000000"/>
          <w:sz w:val="24"/>
          <w:u w:val="single"/>
        </w:rPr>
        <w:t xml:space="preserve">    </w:t>
      </w:r>
      <w:r>
        <w:rPr>
          <w:rFonts w:ascii="宋体" w:hAnsi="宋体" w:eastAsia="宋体" w:cs="宋体"/>
          <w:color w:val="000000"/>
          <w:sz w:val="24"/>
        </w:rPr>
        <w:t xml:space="preserve">%（两项比例均应符合《政府采购促进中小企业发展管理办法》第八条规定）。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（2）本项目要求供应商进行合同分包，中小企业合同金额应当达到的比例为</w:t>
      </w:r>
      <w:r>
        <w:rPr>
          <w:rFonts w:ascii="宋体" w:hAnsi="宋体" w:eastAsia="宋体" w:cs="宋体"/>
          <w:color w:val="000000"/>
          <w:sz w:val="24"/>
          <w:u w:val="single"/>
        </w:rPr>
        <w:t xml:space="preserve">   </w:t>
      </w:r>
      <w:r>
        <w:rPr>
          <w:rFonts w:ascii="宋体" w:hAnsi="宋体" w:eastAsia="宋体" w:cs="宋体"/>
          <w:color w:val="000000"/>
          <w:sz w:val="24"/>
        </w:rPr>
        <w:t xml:space="preserve">%，其中小微企业所占比例应为</w:t>
      </w:r>
      <w:r>
        <w:rPr>
          <w:rFonts w:ascii="宋体" w:hAnsi="宋体" w:eastAsia="宋体" w:cs="宋体"/>
          <w:color w:val="000000"/>
          <w:sz w:val="24"/>
          <w:u w:val="single"/>
        </w:rPr>
        <w:t xml:space="preserve">   </w:t>
      </w:r>
      <w:r>
        <w:rPr>
          <w:rFonts w:ascii="宋体" w:hAnsi="宋体" w:eastAsia="宋体" w:cs="宋体"/>
          <w:color w:val="000000"/>
          <w:sz w:val="24"/>
        </w:rPr>
        <w:t xml:space="preserve">%（两项比例均应符合《政府采购促进中小企业发展管理办法》第八条规定）。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1.3本项目为非预留份额的采购项目，对小微企业报价给予扣除，用扣除后的价格参加评审。</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注：监狱企业、残疾人福利性单位视同小微企业。</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1.4本项目采购标的对应的中小企业划分标准所属行业为</w:t>
      </w:r>
      <w:r>
        <w:rPr>
          <w:rFonts w:ascii="宋体" w:hAnsi="宋体" w:eastAsia="宋体" w:cs="宋体"/>
          <w:color w:val="000000"/>
          <w:sz w:val="24"/>
          <w:u w:val="single"/>
        </w:rPr>
        <w:t xml:space="preserve">其他未列明行业</w:t>
      </w:r>
      <w:r>
        <w:rPr>
          <w:rFonts w:ascii="宋体" w:hAnsi="宋体" w:eastAsia="宋体" w:cs="宋体"/>
          <w:color w:val="000000"/>
          <w:sz w:val="24"/>
        </w:rPr>
        <w:t xml:space="preserve">。</w:t>
      </w:r>
      <w:r/>
    </w:p>
    <w:p>
      <w:pPr>
        <w:ind w:left="0" w:right="0" w:firstLine="480"/>
        <w:spacing w:before="0" w:after="0" w:line="85"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w:t>
      </w:r>
      <w:r>
        <w:rPr>
          <w:rFonts w:hint="eastAsia" w:ascii="宋体" w:hAnsi="宋体" w:eastAsia="宋体" w:cs="宋体"/>
          <w:color w:val="000000"/>
          <w:sz w:val="24"/>
          <w:lang w:val="en-US" w:eastAsia="zh-CN"/>
        </w:rPr>
        <w:t xml:space="preserve">无</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三、获取招标文件</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2024年0</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月</w:t>
      </w:r>
      <w:r>
        <w:rPr>
          <w:rFonts w:hint="eastAsia" w:ascii="宋体" w:hAnsi="宋体" w:cs="宋体"/>
          <w:color w:val="000000"/>
          <w:sz w:val="24"/>
          <w:lang w:val="en-US" w:eastAsia="zh-CN"/>
        </w:rPr>
        <w:t xml:space="preserve">9</w:t>
      </w:r>
      <w:r>
        <w:rPr>
          <w:rFonts w:ascii="宋体" w:hAnsi="宋体" w:eastAsia="宋体" w:cs="宋体"/>
          <w:color w:val="000000"/>
          <w:sz w:val="24"/>
        </w:rPr>
        <w:t xml:space="preserve">日至2024年07月</w:t>
      </w:r>
      <w:r>
        <w:rPr>
          <w:rFonts w:hint="eastAsia" w:ascii="宋体" w:hAnsi="宋体" w:cs="宋体"/>
          <w:color w:val="000000"/>
          <w:sz w:val="24"/>
          <w:lang w:val="en-US" w:eastAsia="zh-CN"/>
        </w:rPr>
        <w:t xml:space="preserve">16</w:t>
      </w:r>
      <w:r>
        <w:rPr>
          <w:rFonts w:ascii="宋体" w:hAnsi="宋体" w:eastAsia="宋体" w:cs="宋体"/>
          <w:color w:val="000000"/>
          <w:sz w:val="24"/>
        </w:rPr>
        <w:t xml:space="preserve">日，每天上午00:00-12:00，下午12:00-23:59（北京时间，法定节假日除外）</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地点：江苏省政府采购网或淮安市政府采购网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售价：0.00元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四、提交投标文件截止时间、开标时间和地点</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时间：2024-0</w:t>
      </w:r>
      <w:r>
        <w:rPr>
          <w:rFonts w:ascii="宋体" w:hAnsi="宋体" w:eastAsia="宋体" w:cs="宋体"/>
          <w:color w:val="000000"/>
          <w:sz w:val="24"/>
        </w:rPr>
        <w:t xml:space="preserve">7-</w:t>
      </w:r>
      <w:r>
        <w:rPr>
          <w:rFonts w:hint="eastAsia" w:ascii="宋体" w:hAnsi="宋体" w:cs="宋体"/>
          <w:color w:val="000000"/>
          <w:sz w:val="24"/>
          <w:lang w:val="en-US" w:eastAsia="zh-CN"/>
        </w:rPr>
        <w:t xml:space="preserve">30</w:t>
      </w:r>
      <w:bookmarkStart w:id="5" w:name="_GoBack"/>
      <w:r/>
      <w:bookmarkEnd w:id="5"/>
      <w:r>
        <w:rPr>
          <w:rFonts w:ascii="宋体" w:hAnsi="宋体" w:eastAsia="宋体" w:cs="宋体"/>
          <w:color w:val="000000"/>
          <w:sz w:val="24"/>
        </w:rPr>
        <w:t xml:space="preserve"> 09:00 （北京时间）</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地点：http://jszfcg.jscz.gov.cn/jszc/login江苏省政府采购一体化不见面开标（采购）大厅 </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五、公告期限</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自本公告发布之日起5个工作日。</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六、其他补充事宜</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w:t>
      </w:r>
      <w:r>
        <w:rPr>
          <w:rFonts w:ascii="宋体" w:hAnsi="宋体" w:eastAsia="宋体" w:cs="宋体"/>
          <w:color w:val="000000"/>
          <w:sz w:val="24"/>
        </w:rPr>
        <w:t xml:space="preserve">本次招标不收取投标保证金</w:t>
      </w:r>
      <w:r>
        <w:rPr>
          <w:rFonts w:hint="eastAsia" w:ascii="宋体" w:hAnsi="宋体" w:cs="宋体"/>
          <w:color w:val="000000"/>
          <w:sz w:val="24"/>
          <w:lang w:val="en-US" w:eastAsia="zh-CN"/>
        </w:rPr>
        <w:t xml:space="preserve">及履约保证金</w:t>
      </w:r>
      <w:r>
        <w:rPr>
          <w:rFonts w:ascii="宋体" w:hAnsi="宋体" w:eastAsia="宋体" w:cs="宋体"/>
          <w:color w:val="000000"/>
          <w:sz w:val="24"/>
        </w:rPr>
        <w:t xml:space="preserve">。</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2.有关本次招标的事项若存在变动或修改，敬请及时关注江苏省政府采购网或淮安市政府采购网发布的更正公告，否则产生的后果由供应商自行承担。</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fldChar w:fldCharType="begin"/>
      </w:r>
      <w:r>
        <w:instrText xml:space="preserve"> HYPERLINK "http://www.ccgp-jiangsu.gov.cn/jiangsu/zlxz/ee/ee3a4bc5a3454aa2b0d9312230633ce9.html%E3%80%82" \o "http://www.ccgp-jiangsu.gov.cn/jiangsu/zlxz/ee/ee3a4bc5a3454aa2b0d9312230633ce9.html%E3%80%82" </w:instrText>
      </w:r>
      <w:r>
        <w:fldChar w:fldCharType="separate"/>
      </w:r>
      <w:r>
        <w:rPr>
          <w:rStyle w:val="710"/>
          <w:rFonts w:ascii="宋体" w:hAnsi="宋体" w:eastAsia="宋体" w:cs="宋体"/>
          <w:color w:val="0000ee"/>
          <w:sz w:val="24"/>
          <w:u w:val="single"/>
        </w:rPr>
        <w:t xml:space="preserve">http：//www.ccgp-jiangsu.gov.cn/jiangsu/zlxz/ee/ee3a4bc5a3454aa2b0d9312230633ce9.html。</w:t>
      </w:r>
      <w:r>
        <w:rPr>
          <w:rStyle w:val="710"/>
          <w:rFonts w:ascii="宋体" w:hAnsi="宋体" w:eastAsia="宋体" w:cs="宋体"/>
          <w:color w:val="0000ee"/>
          <w:sz w:val="24"/>
          <w:u w:val="single"/>
        </w:rPr>
        <w:fldChar w:fldCharType="end"/>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left="0" w:right="0" w:firstLine="482"/>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七、本次招标联系方式</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采购人联系方式</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w:t>
      </w:r>
      <w:r>
        <w:rPr>
          <w:rFonts w:hint="eastAsia" w:ascii="宋体" w:hAnsi="宋体" w:eastAsia="宋体" w:cs="宋体"/>
          <w:color w:val="000000"/>
          <w:sz w:val="24"/>
          <w:lang w:eastAsia="zh-CN"/>
        </w:rPr>
        <w:t xml:space="preserve">盱眙县</w:t>
      </w:r>
      <w:r>
        <w:rPr>
          <w:rFonts w:hint="eastAsia" w:ascii="宋体" w:hAnsi="宋体" w:eastAsia="宋体" w:cs="宋体"/>
          <w:color w:val="000000"/>
          <w:sz w:val="24"/>
          <w:lang w:val="en-US" w:eastAsia="zh-CN"/>
        </w:rPr>
        <w:t xml:space="preserve">人民医院</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联系人：</w:t>
      </w:r>
      <w:r>
        <w:rPr>
          <w:rFonts w:hint="eastAsia" w:ascii="宋体" w:hAnsi="宋体" w:eastAsia="宋体" w:cs="宋体"/>
          <w:color w:val="000000"/>
          <w:sz w:val="24"/>
          <w:lang w:val="en-US" w:eastAsia="zh-CN"/>
        </w:rPr>
        <w:t xml:space="preserve">姚佰顺</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联系电话:0517-80811332</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w:t>
      </w:r>
      <w:r>
        <w:rPr>
          <w:rFonts w:hint="default" w:ascii="宋体" w:hAnsi="宋体" w:eastAsia="宋体" w:cs="宋体"/>
          <w:color w:val="000000"/>
          <w:sz w:val="24"/>
          <w:lang w:eastAsia="zh-Hans"/>
        </w:rPr>
        <w:t xml:space="preserve">盱眙县人民医院洪武大道28号（新院区）</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采购代理机构信息</w:t>
      </w:r>
      <w:r/>
    </w:p>
    <w:p>
      <w:pPr>
        <w:ind w:left="0" w:right="0" w:firstLine="48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名称：正军项目管理集团有限公司</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联系人：</w:t>
      </w:r>
      <w:r>
        <w:rPr>
          <w:rFonts w:hint="eastAsia" w:ascii="宋体" w:hAnsi="宋体" w:eastAsia="宋体" w:cs="宋体"/>
          <w:color w:val="000000"/>
          <w:sz w:val="24"/>
          <w:lang w:val="en-US" w:eastAsia="zh-CN"/>
        </w:rPr>
        <w:t xml:space="preserve">王莹</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w:t>
      </w:r>
      <w:r>
        <w:rPr>
          <w:rFonts w:hint="eastAsia" w:ascii="宋体" w:hAnsi="宋体" w:eastAsia="宋体" w:cs="宋体"/>
          <w:color w:val="000000"/>
          <w:sz w:val="24"/>
          <w:lang w:val="en-US" w:eastAsia="zh-CN"/>
        </w:rPr>
        <w:t xml:space="preserve">电话</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15152349979</w:t>
      </w:r>
      <w:r/>
    </w:p>
    <w:p>
      <w:pPr>
        <w:ind w:left="0" w:right="0" w:firstLine="480"/>
        <w:spacing w:before="0" w:after="0" w:line="85"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地址：盱眙县山水大道88号中澳生态城商业区52号楼210室</w:t>
      </w:r>
      <w:r/>
    </w:p>
    <w:p>
      <w:pPr>
        <w:ind w:right="0"/>
        <w:spacing w:before="0" w:after="0"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jc w:val="right"/>
      </w:pPr>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pPr>
        <w:pStyle w:val="686"/>
      </w:pPr>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86"/>
      </w:pPr>
      <w:r/>
      <w:r/>
    </w:p>
    <w:p>
      <w:r/>
      <w:r/>
    </w:p>
    <w:p>
      <w:pPr>
        <w:pStyle w:val="686"/>
      </w:pPr>
      <w:r/>
      <w:r/>
    </w:p>
    <w:p>
      <w:r/>
      <w:r/>
    </w:p>
    <w:p>
      <w:pPr>
        <w:pStyle w:val="686"/>
      </w:pPr>
      <w:r/>
      <w:r/>
    </w:p>
    <w:p>
      <w:r/>
      <w:r/>
    </w:p>
    <w:p>
      <w:pPr>
        <w:pStyle w:val="686"/>
      </w:pPr>
      <w:r/>
      <w:r/>
    </w:p>
    <w:p>
      <w:pPr>
        <w:ind w:left="0" w:right="0" w:firstLine="2429"/>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一、总则</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w:t>
      </w:r>
      <w:r>
        <w:rPr>
          <w:rFonts w:ascii="黑体" w:hAnsi="黑体" w:eastAsia="黑体" w:cs="黑体"/>
          <w:color w:val="000000"/>
          <w:sz w:val="24"/>
        </w:rPr>
        <w:t xml:space="preserve">、招标方式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黑体" w:hAnsi="黑体" w:eastAsia="黑体" w:cs="黑体"/>
          <w:color w:val="000000"/>
          <w:sz w:val="24"/>
          <w:u w:val="none"/>
        </w:rPr>
        <w:t xml:space="preserve">、合格的投标人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3</w:t>
      </w:r>
      <w:r>
        <w:rPr>
          <w:rFonts w:ascii="黑体" w:hAnsi="黑体" w:eastAsia="黑体" w:cs="黑体"/>
          <w:color w:val="000000"/>
          <w:sz w:val="24"/>
          <w:u w:val="none"/>
        </w:rPr>
        <w:t xml:space="preserve">、适用法律</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4</w:t>
      </w:r>
      <w:r>
        <w:rPr>
          <w:rFonts w:ascii="黑体" w:hAnsi="黑体" w:eastAsia="黑体" w:cs="黑体"/>
          <w:color w:val="000000"/>
          <w:sz w:val="24"/>
          <w:u w:val="none"/>
        </w:rPr>
        <w:t xml:space="preserve">、投标费用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投标人应自行承担所有与参加投标有关的费用，无论投标过程中的做法和结果如何，采购人在任何情况下均无义务和责任承担这些费用。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4.2本次招标不收取标书工本费与中标服务费。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4.3本次项目招标代理费参照《江苏省招标代理服务收费的指导意见》的通知》(苏招协【2022】002 号文)规定收费标准优惠收取；供应商在报价时综合考虑，由成交供应商在领取中标通知书时向代理机构一次性付清。</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w:t>
      </w:r>
      <w:r>
        <w:rPr>
          <w:rFonts w:ascii="黑体" w:hAnsi="黑体" w:eastAsia="黑体" w:cs="黑体"/>
          <w:b/>
          <w:color w:val="000000"/>
          <w:sz w:val="24"/>
        </w:rPr>
        <w:t xml:space="preserve">、</w:t>
      </w:r>
      <w:r>
        <w:rPr>
          <w:rFonts w:ascii="黑体" w:hAnsi="黑体" w:eastAsia="黑体" w:cs="黑体"/>
          <w:color w:val="000000"/>
          <w:sz w:val="24"/>
        </w:rPr>
        <w:t xml:space="preserve">招标文件的约束力</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二、招标文件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6</w:t>
      </w:r>
      <w:r>
        <w:rPr>
          <w:rFonts w:ascii="黑体" w:hAnsi="黑体" w:eastAsia="黑体" w:cs="黑体"/>
          <w:color w:val="000000"/>
          <w:sz w:val="24"/>
          <w:u w:val="none"/>
        </w:rPr>
        <w:t xml:space="preserve">、招标文件构成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请仔细检查招标文件是否齐全，如有缺漏请立即与代理机构联系解决。</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7</w:t>
      </w:r>
      <w:r>
        <w:rPr>
          <w:rFonts w:ascii="黑体" w:hAnsi="黑体" w:eastAsia="黑体" w:cs="黑体"/>
          <w:color w:val="000000"/>
          <w:sz w:val="24"/>
          <w:u w:val="none"/>
        </w:rPr>
        <w:t xml:space="preserve">、招标文件的澄清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对招标文件要求进行澄清的投标人，均应在投标截止时间前十五日按招标公告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逾期递交对招标文件要求进行澄清的，采购人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8</w:t>
      </w:r>
      <w:r>
        <w:rPr>
          <w:rFonts w:ascii="黑体" w:hAnsi="黑体" w:eastAsia="黑体" w:cs="黑体"/>
          <w:color w:val="000000"/>
          <w:sz w:val="24"/>
          <w:u w:val="none"/>
        </w:rPr>
        <w:t xml:space="preserve">、招标文件的修改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在投标截止时间十五日前，采购人可主动地或在解答投标人提出的澄清问题时对招标文件进行修改。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招标文件的修改将以公告的形式进行发布，投标人应持续关注淮安市政府采购网、江苏政府采购网信息。补充文件将作为招标文件的组成部分，对所有投标人都具有约束力。</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投标人在收到补充通知后，应于一个工作日内正式书面回函采购人。逾期不回的，采购人视同投标人已收到补充通知。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8.4 采购人有权酌情推迟投标截止时间和开标日期，并在淮安市政府采购网、江苏政府采购网公告。</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三、投标文件的编制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9</w:t>
      </w:r>
      <w:r>
        <w:rPr>
          <w:rFonts w:ascii="黑体" w:hAnsi="黑体" w:eastAsia="黑体" w:cs="黑体"/>
          <w:color w:val="000000"/>
          <w:sz w:val="24"/>
          <w:u w:val="none"/>
        </w:rPr>
        <w:t xml:space="preserve">、投标文件的语言及度量衡单位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投标人提交的投标文件以及投标人与采购人就有关投标的所有来往通知、函件和文件均应使用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 除技术性能另有规定外，投标文件所使用的度量衡单位，均须采用国家法定计量单位。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10</w:t>
      </w:r>
      <w:r>
        <w:rPr>
          <w:rFonts w:ascii="黑体" w:hAnsi="黑体" w:eastAsia="黑体" w:cs="黑体"/>
          <w:color w:val="000000"/>
          <w:sz w:val="24"/>
          <w:u w:val="none"/>
        </w:rPr>
        <w:t xml:space="preserve">、投标文件构成</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投标人编写的投标文件应包括资格证明文件、报价表、技术要求响应及偏离表、投标函、开标一览表等部分。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11</w:t>
      </w:r>
      <w:r>
        <w:rPr>
          <w:rFonts w:ascii="黑体" w:hAnsi="黑体" w:eastAsia="黑体" w:cs="黑体"/>
          <w:color w:val="000000"/>
          <w:sz w:val="24"/>
          <w:u w:val="none"/>
        </w:rPr>
        <w:t xml:space="preserve">、证明投标人及投标标的符合招标文件规定的文件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投标人应按照招标文件要求提交证明文件，证明其及投标标的符合招标文件规定。</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12</w:t>
      </w:r>
      <w:r>
        <w:rPr>
          <w:rFonts w:ascii="黑体" w:hAnsi="黑体" w:eastAsia="黑体" w:cs="黑体"/>
          <w:color w:val="000000"/>
          <w:sz w:val="24"/>
        </w:rPr>
        <w:t xml:space="preserve">、投标分项报价表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投标人应按照招标文件规定格式填报投标分项报价表。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13</w:t>
      </w:r>
      <w:r>
        <w:rPr>
          <w:rFonts w:ascii="黑体" w:hAnsi="黑体" w:eastAsia="黑体" w:cs="黑体"/>
          <w:color w:val="000000"/>
          <w:sz w:val="24"/>
        </w:rPr>
        <w:t xml:space="preserve">、技术要求响应及偏离表、商务要求响应及偏离表（如有）</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投标人需对招标文件中的技术要求与商务要求逐项作出响应或偏离，并说明原因。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投标人可在投标文件中提供认为需要的其他技术文件或说明。</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14</w:t>
      </w:r>
      <w:r>
        <w:rPr>
          <w:rFonts w:ascii="黑体" w:hAnsi="黑体" w:eastAsia="黑体" w:cs="黑体"/>
          <w:color w:val="000000"/>
          <w:sz w:val="24"/>
        </w:rPr>
        <w:t xml:space="preserve">、服务承诺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投标人的服务承诺应按不低于招标文件中基本服务要求的标准，并作出响应。</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15</w:t>
      </w:r>
      <w:r>
        <w:rPr>
          <w:rFonts w:ascii="黑体" w:hAnsi="黑体" w:eastAsia="黑体" w:cs="黑体"/>
          <w:color w:val="000000"/>
          <w:sz w:val="24"/>
          <w:u w:val="none"/>
        </w:rPr>
        <w:t xml:space="preserve">、投标函和开标一览表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投标人应按照招标文件中提供的格式完整、正确填写投标函、开标一览表。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16</w:t>
      </w:r>
      <w:r>
        <w:rPr>
          <w:rFonts w:ascii="黑体" w:hAnsi="黑体" w:eastAsia="黑体" w:cs="黑体"/>
          <w:color w:val="000000"/>
          <w:sz w:val="24"/>
        </w:rPr>
        <w:t xml:space="preserve">、投标有效期</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16.1投标有效期为采购人规定的开标之日后</w:t>
      </w:r>
      <w:r>
        <w:rPr>
          <w:rFonts w:ascii="宋体" w:hAnsi="宋体" w:eastAsia="宋体" w:cs="宋体"/>
          <w:b/>
          <w:color w:val="000000"/>
          <w:sz w:val="24"/>
        </w:rPr>
        <w:t xml:space="preserve">九十（</w:t>
      </w:r>
      <w:r>
        <w:rPr>
          <w:rFonts w:ascii="仿宋" w:hAnsi="仿宋" w:eastAsia="仿宋" w:cs="仿宋"/>
          <w:b/>
          <w:color w:val="000000"/>
          <w:sz w:val="24"/>
        </w:rPr>
        <w:t xml:space="preserve">90</w:t>
      </w:r>
      <w:r>
        <w:rPr>
          <w:rFonts w:ascii="宋体" w:hAnsi="宋体" w:eastAsia="宋体" w:cs="宋体"/>
          <w:b/>
          <w:color w:val="000000"/>
          <w:sz w:val="24"/>
        </w:rPr>
        <w:t xml:space="preserve">）天</w:t>
      </w:r>
      <w:r>
        <w:rPr>
          <w:rFonts w:ascii="宋体" w:hAnsi="宋体" w:eastAsia="宋体" w:cs="宋体"/>
          <w:color w:val="000000"/>
          <w:sz w:val="24"/>
        </w:rPr>
        <w:t xml:space="preserve">。投标有效期比规定短的将被视为未实质性响应招标文件而予以拒绝。</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17</w:t>
      </w:r>
      <w:r>
        <w:rPr>
          <w:rFonts w:ascii="黑体" w:hAnsi="黑体" w:eastAsia="黑体" w:cs="黑体"/>
          <w:color w:val="000000"/>
          <w:sz w:val="24"/>
        </w:rPr>
        <w:t xml:space="preserve">、投标有效期的延长</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四、投标文件的递交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1</w:t>
      </w:r>
      <w:r>
        <w:rPr>
          <w:rFonts w:ascii="Arial" w:hAnsi="Arial" w:eastAsia="Arial" w:cs="Arial"/>
          <w:color w:val="000000"/>
          <w:sz w:val="24"/>
        </w:rPr>
        <w:t xml:space="preserve">8</w:t>
      </w:r>
      <w:r>
        <w:rPr>
          <w:rFonts w:ascii="黑体" w:hAnsi="黑体" w:eastAsia="黑体" w:cs="黑体"/>
          <w:color w:val="000000"/>
          <w:sz w:val="24"/>
        </w:rPr>
        <w:t xml:space="preserve">、电子投标文件的递交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文件（中标公示结束中标供应商打印3套提交,纸质投标文件须打印并加盖投标人公章）。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19</w:t>
      </w:r>
      <w:r>
        <w:rPr>
          <w:rFonts w:ascii="黑体" w:hAnsi="黑体" w:eastAsia="黑体" w:cs="黑体"/>
          <w:color w:val="000000"/>
          <w:sz w:val="24"/>
        </w:rPr>
        <w:t xml:space="preserve">、投标截止日期</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投标人上传电子投标文件的时间不得迟于招标公告中规定的投标截止时间。</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0</w:t>
      </w:r>
      <w:r>
        <w:rPr>
          <w:rFonts w:ascii="黑体" w:hAnsi="黑体" w:eastAsia="黑体" w:cs="黑体"/>
          <w:color w:val="000000"/>
          <w:sz w:val="24"/>
        </w:rPr>
        <w:t xml:space="preserve">、投标文件的拒收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采购人拒绝接收在其规定的投标截止时间后上传的任何投标文件。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1</w:t>
      </w:r>
      <w:r>
        <w:rPr>
          <w:rFonts w:ascii="黑体" w:hAnsi="黑体" w:eastAsia="黑体" w:cs="黑体"/>
          <w:color w:val="000000"/>
          <w:sz w:val="24"/>
        </w:rPr>
        <w:t xml:space="preserve">、投标文件的撤回和修改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 投标文件的撤回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电子投标文件的撤回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 投标人撤回电子投标文件，则认为其不再参与本项目投标活动。</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 在投标截止时间之后，投标人不得对其电子投标文件作任何修改。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在投标截止时间至招标文件中规定的投标有效期满之间的这段时间内，投标人不得撤回其投标。</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五、开标与评标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22</w:t>
      </w:r>
      <w:r>
        <w:rPr>
          <w:rFonts w:ascii="黑体" w:hAnsi="黑体" w:eastAsia="黑体" w:cs="黑体"/>
          <w:color w:val="000000"/>
          <w:sz w:val="24"/>
          <w:u w:val="none"/>
        </w:rPr>
        <w:t xml:space="preserve">、开标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 采购代理机构将在招标公告中规定的时间和地点组织公开开标。投标人应当按照《操作手册》规定，参加开标活动和在苏采云系统规定的时间内对投标文件进行解密。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22.2开标仪式由采购代理机构组织。苏采云系统将自动对项目进行开标，并宣布各投标人名称和投标价格。</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3</w:t>
      </w:r>
      <w:r>
        <w:rPr>
          <w:rFonts w:ascii="黑体" w:hAnsi="黑体" w:eastAsia="黑体" w:cs="黑体"/>
          <w:color w:val="000000"/>
          <w:sz w:val="24"/>
        </w:rPr>
        <w:t xml:space="preserve">、评标委员会</w:t>
      </w:r>
      <w:r/>
    </w:p>
    <w:p>
      <w:pPr>
        <w:ind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23.1</w:t>
      </w:r>
      <w:r>
        <w:rPr>
          <w:rFonts w:ascii="宋体" w:hAnsi="宋体" w:eastAsia="宋体" w:cs="宋体"/>
          <w:b/>
          <w:color w:val="000000"/>
          <w:sz w:val="24"/>
        </w:rPr>
        <w:t xml:space="preserve"> </w:t>
      </w:r>
      <w:r>
        <w:rPr>
          <w:rFonts w:ascii="宋体" w:hAnsi="宋体" w:eastAsia="宋体" w:cs="宋体"/>
          <w:color w:val="000000"/>
          <w:sz w:val="24"/>
        </w:rPr>
        <w:t xml:space="preserve">开标后，采购人将立即组织评标委员会（以下简称评委会）进行评标。</w:t>
      </w:r>
      <w:r/>
    </w:p>
    <w:p>
      <w:pPr>
        <w:ind w:right="0" w:firstLine="24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23.2 评委会由五人或以上单数的行业专家、采购人代表（限1人）组成。</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 评委会独立工作，负责评审所有投标文件并确定中标侯选人。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 评委会应对投标人的商业、技术秘密予以保密。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24．评标过程的保密与公正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24.3采购人和评标委员会不向未中标的投标人解释未中标原因，也不公布评标过程中的相关细节。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24.4采用综合评分法的项目，未中标的投标人可于中标结果公告期限届满之日起通过苏采云系统查看自己的评审得分及排序情况。</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u w:val="none"/>
        </w:rPr>
        <w:t xml:space="preserve">2</w:t>
      </w:r>
      <w:r>
        <w:rPr>
          <w:rFonts w:ascii="Arial" w:hAnsi="Arial" w:eastAsia="Arial" w:cs="Arial"/>
          <w:color w:val="000000"/>
          <w:sz w:val="24"/>
        </w:rPr>
        <w:t xml:space="preserve">5</w:t>
      </w:r>
      <w:r>
        <w:rPr>
          <w:rFonts w:ascii="黑体" w:hAnsi="黑体" w:eastAsia="黑体" w:cs="黑体"/>
          <w:color w:val="000000"/>
          <w:sz w:val="24"/>
        </w:rPr>
        <w:t xml:space="preserve">．投标文件的澄清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接到评委会澄清、说明和补正要求的投标人如未按规定做出澄清、说明和补正，其风险由投标人自行承担。</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26</w:t>
      </w:r>
      <w:r>
        <w:rPr>
          <w:rFonts w:ascii="黑体" w:hAnsi="黑体" w:eastAsia="黑体" w:cs="黑体"/>
          <w:color w:val="000000"/>
          <w:sz w:val="24"/>
        </w:rPr>
        <w:t xml:space="preserve">、对投标文件的初审</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26.7投标人在开、评标全过程中应保持通讯畅通，及时登录苏采云系统查阅、答复相关信息，并安排专人与评标委员会联系。</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27</w:t>
      </w:r>
      <w:r>
        <w:rPr>
          <w:rFonts w:ascii="黑体" w:hAnsi="黑体" w:eastAsia="黑体" w:cs="黑体"/>
          <w:color w:val="000000"/>
          <w:sz w:val="24"/>
        </w:rPr>
        <w:t xml:space="preserve">、无效投标条款和废标条款</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w:t>
      </w:r>
      <w:r>
        <w:rPr>
          <w:rFonts w:ascii="宋体" w:hAnsi="宋体" w:eastAsia="宋体" w:cs="宋体"/>
          <w:color w:val="000000"/>
          <w:sz w:val="24"/>
        </w:rPr>
        <w:t xml:space="preserve">7.1无效投标条款，投标文件有下列情况之一的，应当在符合性审查时按照无效投标处理：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 投标人在苏采云系统规定的时间内未成功解密电子投标文件的。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 投标人未按照招标文件要求上传电子投标文件的。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27.1.6未通过符合性审查的，不符合招标文件中规定的实质性要求和条件的。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  投标文件含有采购人不能接受的附加条件的。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27.1.10投标文件未按照招标文件要求加盖CA电子公章的。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27.1.11其他法律、法规及本招标文件规定的属无效投标的情形。</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27.2.1符合专业条件的供应商或者对招标文件作实质响应的供应商不足三家的。27.2.2出现影响采购公正的违法、违规行为的。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 因苏采云系统系统故障原因造成开标不成功的。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 投标截止时间结束后参加投标的供应商不足三家的处理：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六、定标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u w:val="none"/>
        </w:rPr>
        <w:t xml:space="preserve">2</w:t>
      </w:r>
      <w:r>
        <w:rPr>
          <w:rFonts w:ascii="黑体" w:hAnsi="黑体" w:eastAsia="黑体" w:cs="黑体"/>
          <w:color w:val="000000"/>
          <w:sz w:val="24"/>
        </w:rPr>
        <w:t xml:space="preserve">8、确定中标单位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 采购人应根据评委会推荐的中标候选人确定中标人。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 将在“江苏政府采购网”发布中标公告，公告期限为1个工作日。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  若有充分证据证明，中标人出现下列情况之一的，一经查实，将被取消中标资格：</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 有下列情形之一的，视为投标人串通投标，投标无效：</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 不同投标人的投标文件载明的项目管理成员或者联系人员为同一人；</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29、质疑处理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29.3质疑函应当包括以下主要内容，附上相关证明材料。否则，采购人不予受理。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（1）质疑投标人的名称、地址、邮编、联系人及联系电话；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（2）质疑项目的名称、编号；</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（3）具体、明确的质疑事项和与质疑事实相关的请求；</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（4）事实依据；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（5）必要的法律依据；</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（6）提起质疑的日期；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（7）质疑函应当署名:应当由法定代表人签字并加盖单位公章。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对于内容、格式符合规定的质疑函，采购人将在五个工作日内以书面形式或者电子文件形式作出答复，但质疑答复的内容不涉及商业秘密。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采购人质疑接收人及联系方式见招标文件第一章。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未参加投标活动的供应商或在投标活动中自身权益未受到损害的供应商所提出的质疑。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30、中标通知书</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w:t>
      </w:r>
      <w:r>
        <w:rPr>
          <w:rFonts w:ascii="宋体" w:hAnsi="宋体" w:eastAsia="宋体" w:cs="宋体"/>
          <w:b/>
          <w:color w:val="000000"/>
          <w:sz w:val="24"/>
        </w:rPr>
        <w:t xml:space="preserve"> </w:t>
      </w:r>
      <w:r>
        <w:rPr>
          <w:rFonts w:ascii="宋体" w:hAnsi="宋体" w:eastAsia="宋体" w:cs="宋体"/>
          <w:color w:val="000000"/>
          <w:sz w:val="24"/>
        </w:rPr>
        <w:t xml:space="preserve">中标结果确定后，采购人将向中标人发出中标通知书。</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七、授予合同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31. 签订合同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31.l中标人应当在中标通知书发出之日起十二日内，按照招标文件确定的事项与采购人签订政府采购合同。</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w:t>
      </w:r>
      <w:r>
        <w:rPr>
          <w:rFonts w:ascii="宋体" w:hAnsi="宋体" w:eastAsia="宋体" w:cs="宋体"/>
          <w:b/>
          <w:color w:val="000000"/>
          <w:sz w:val="24"/>
        </w:rPr>
        <w:t xml:space="preserve"> </w:t>
      </w:r>
      <w:r>
        <w:rPr>
          <w:rFonts w:ascii="宋体" w:hAnsi="宋体" w:eastAsia="宋体" w:cs="宋体"/>
          <w:color w:val="000000"/>
          <w:sz w:val="24"/>
        </w:rPr>
        <w:t xml:space="preserve">招标文件、中标人的投标文件及招标过程中有关澄清、承诺文件均应作为合同附件。</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51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31.4履约保证金</w:t>
      </w:r>
      <w:r/>
    </w:p>
    <w:p>
      <w:pPr>
        <w:pStyle w:val="686"/>
        <w:rPr>
          <w:rFonts w:hint="default" w:eastAsia="宋体"/>
          <w:lang w:val="en-US" w:eastAsia="zh-CN"/>
        </w:rPr>
      </w:pPr>
      <w:r>
        <w:rPr>
          <w:rFonts w:hint="eastAsia" w:ascii="宋体" w:hAnsi="宋体" w:cs="宋体"/>
          <w:color w:val="000000"/>
          <w:sz w:val="24"/>
          <w:lang w:val="en-US" w:eastAsia="zh-CN"/>
        </w:rPr>
        <w:t xml:space="preserve">    本项目不收取履约保证金。</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32、货物（包含与货物相关的服务）的追加</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u w:val="none"/>
        </w:rPr>
        <w:t xml:space="preserve">3</w:t>
      </w:r>
      <w:r>
        <w:rPr>
          <w:rFonts w:ascii="黑体" w:hAnsi="黑体" w:eastAsia="黑体" w:cs="黑体"/>
          <w:color w:val="000000"/>
          <w:sz w:val="24"/>
        </w:rPr>
        <w:t xml:space="preserve">3、政府采购履约资金扶持政策</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34、政府采购政策功能落实</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34.1政策功能落实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本项目为非预留份额的采购项目，对小微企业报价给予扣除，用扣除后的价格参加评审。</w:t>
      </w:r>
      <w:r/>
      <w:r/>
      <w:r/>
      <w:r>
        <w:rPr>
          <w:sz w:val="21"/>
        </w:rP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34.2联合体及分包</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本项目不接受联合体投标，不允许分包。</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34.3中小微型企业</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（1）投标人须按照招标文件的要求提供相应的《企业声明函》，详见招标文件示范格式。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（2）企业标准请参照《政府采购促进中小企业发展管理办法》（财库【2020】46号）文件规定自行填写。</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34.4残疾人福利单位</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（1）残疾人福利单位需按照招标文件的要求提供《残疾人福利性单位声明函》，详见招标文件示范格式。</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（2）残疾人福利单位标准请参照《关于促进残疾人就业政府采购政策的通知》（财库〔2017〕141号）。</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34.5监狱和戒毒企业</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（1）监狱企业参加政府采购活动时，需提供由省级以上监狱管理局、戒毒管理局（含新疆生产建设兵团）出具的属于监狱企业的证明文件）（投标文件中编入加盖出具单位公章的件）。</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（2）监狱企业标准请参照《关于政府采购支持监狱企业发展有关问题的通知》（财库[2014]68号）。</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34.6对于同时属于小型、微型企业、残疾人福利单位、监狱企业的，不重复享受政策。</w:t>
      </w:r>
      <w:r/>
    </w:p>
    <w:p>
      <w:pPr>
        <w:ind w:left="0" w:right="0"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34.7符合中小企业划分标准的个体工商户，在政府采购活动中视同中小企业，享受政府采购支持中小企业发展。</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34.8.节能、环保价格扣除</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满足采购基本要求的前提下，所报产品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给予投标报价1%价格扣除。 </w:t>
      </w:r>
      <w:r/>
    </w:p>
    <w:p>
      <w:pPr>
        <w:ind w:left="0" w:right="0" w:firstLine="4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满足采购基本要求的前提下，所报产品在财政部、发展改革委公布的“节能产品政府采购品目清单”内，且提供国家市场监督管理局确定的列入“参与实施政府采购节能产品认证机构名录”内的认证机构出具的、有效期内的该产品的节能产品认证证书电子件的给予投标报价1%价格扣除。</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bookmarkStart w:id="0" w:name="_Toc3995"/>
      <w:r>
        <w:rPr>
          <w:rFonts w:ascii="黑体" w:hAnsi="黑体" w:eastAsia="黑体" w:cs="黑体"/>
          <w:color w:val="000000"/>
          <w:sz w:val="44"/>
        </w:rPr>
        <w:t xml:space="preserve">第三章合同文本</w:t>
      </w:r>
      <w:r/>
    </w:p>
    <w:p>
      <w:pPr>
        <w:pStyle w:val="706"/>
      </w:pPr>
      <w:r>
        <w:rPr>
          <w:rFonts w:hint="eastAsia"/>
        </w:rPr>
        <w:t xml:space="preserve">一、合同前附表</w:t>
      </w:r>
      <w:r/>
    </w:p>
    <w:tbl>
      <w:tblPr>
        <w:tblStyle w:val="68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7547"/>
      </w:tblGrid>
      <w:tr>
        <w:trPr>
          <w:jc w:val="center"/>
          <w:tblCellSpacing w:w="0" w:type="dxa"/>
          <w:trHeight w:val="52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06"/>
            </w:pPr>
            <w:r>
              <w:rPr>
                <w:rFonts w:hint="eastAsia"/>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706"/>
            </w:pPr>
            <w:r>
              <w:rPr>
                <w:rFonts w:hint="eastAsia"/>
              </w:rPr>
              <w:t xml:space="preserve">内           容</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06"/>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706"/>
            </w:pPr>
            <w:r>
              <w:rPr>
                <w:rFonts w:hint="eastAsia"/>
              </w:rPr>
              <w:t xml:space="preserve">付款均应按下列条件进行:</w:t>
            </w:r>
            <w:r/>
          </w:p>
          <w:p>
            <w:pPr>
              <w:pStyle w:val="706"/>
            </w:pPr>
            <w:r>
              <w:rPr>
                <w:rFonts w:hint="eastAsia"/>
                <w:lang w:val="en-US" w:eastAsia="zh-CN"/>
              </w:rPr>
              <w:t xml:space="preserve">合同签订后</w:t>
            </w:r>
            <w:r>
              <w:rPr>
                <w:rFonts w:hint="eastAsia"/>
              </w:rPr>
              <w:t xml:space="preserve">付合同价的40%，在设备完成验收合格，且交付正常使用后支付剩余合同价款。</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06"/>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706"/>
            </w:pPr>
            <w:r>
              <w:rPr>
                <w:rFonts w:hint="eastAsia"/>
              </w:rPr>
              <w:t xml:space="preserve">工期:合同签订后30日历日</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06"/>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706"/>
            </w:pPr>
            <w:r>
              <w:rPr>
                <w:rFonts w:hint="eastAsia"/>
              </w:rPr>
              <w:t xml:space="preserve">供货地点:由采购人指定</w:t>
            </w:r>
            <w:r/>
          </w:p>
        </w:tc>
      </w:tr>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706"/>
            </w:pPr>
            <w:r>
              <w:rPr>
                <w:rFonts w:hint="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54" w:type="dxa"/>
            <w:vAlign w:val="center"/>
            <w:textDirection w:val="lrTb"/>
            <w:noWrap w:val="false"/>
          </w:tcPr>
          <w:p>
            <w:pPr>
              <w:pStyle w:val="706"/>
            </w:pPr>
            <w:r>
              <w:rPr>
                <w:rFonts w:hint="eastAsia"/>
              </w:rPr>
              <w:t xml:space="preserve">质保期：免费质保5年</w:t>
            </w:r>
            <w:r/>
          </w:p>
        </w:tc>
      </w:tr>
    </w:tbl>
    <w:p>
      <w:pPr>
        <w:pStyle w:val="690"/>
        <w:jc w:val="both"/>
        <w:spacing w:after="0"/>
        <w:rPr>
          <w:rFonts w:ascii="宋体" w:hAnsi="宋体" w:cs="宋体"/>
          <w:b/>
          <w:bCs/>
          <w:spacing w:val="-20"/>
          <w:sz w:val="48"/>
          <w:szCs w:val="48"/>
        </w:rPr>
      </w:pPr>
      <w:r>
        <w:rPr>
          <w:rFonts w:ascii="宋体" w:hAnsi="宋体" w:cs="宋体"/>
          <w:b/>
          <w:bCs/>
          <w:spacing w:val="-20"/>
          <w:sz w:val="48"/>
          <w:szCs w:val="48"/>
        </w:rPr>
      </w:r>
      <w:r/>
    </w:p>
    <w:p>
      <w:pPr>
        <w:pStyle w:val="690"/>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p>
    <w:p>
      <w:pPr>
        <w:pStyle w:val="690"/>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eastAsia="黑体"/>
          <w:sz w:val="44"/>
          <w:szCs w:val="44"/>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bookmarkEnd w:id="0"/>
      <w:r/>
      <w:r/>
    </w:p>
    <w:p>
      <w:pPr>
        <w:pStyle w:val="676"/>
        <w:jc w:val="both"/>
        <w:spacing w:line="400" w:lineRule="exact"/>
        <w:rPr>
          <w:rFonts w:hint="eastAsia" w:ascii="黑体" w:hAnsi="黑体" w:eastAsia="黑体"/>
          <w:sz w:val="28"/>
          <w:szCs w:val="28"/>
        </w:rPr>
      </w:pPr>
      <w:r/>
      <w:bookmarkStart w:id="1" w:name="_Toc22209"/>
      <w:r/>
      <w:r/>
    </w:p>
    <w:p>
      <w:pPr>
        <w:pStyle w:val="676"/>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
      <w:r/>
      <w:r/>
    </w:p>
    <w:p>
      <w:pPr>
        <w:pStyle w:val="676"/>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p>
    <w:p>
      <w:pPr>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default" w:eastAsia="宋体"/>
          <w:lang w:val="en-US" w:eastAsia="zh-CN"/>
        </w:rPr>
      </w:pPr>
      <w:r>
        <w:rPr>
          <w:rFonts w:hint="default" w:eastAsia="宋体"/>
          <w:lang w:val="en-US" w:eastAsia="zh-CN"/>
        </w:rPr>
      </w:r>
      <w:r/>
    </w:p>
    <w:p>
      <w:pPr>
        <w:pStyle w:val="691"/>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2"/>
        </w:numPr>
        <w:ind w:firstLine="422"/>
        <w:spacing w:before="0" w:line="400" w:lineRule="exact"/>
        <w:rPr>
          <w:rFonts w:ascii="宋体" w:hAnsi="宋体"/>
          <w:b/>
          <w:szCs w:val="21"/>
        </w:rPr>
      </w:pPr>
      <w:r>
        <w:rPr>
          <w:rFonts w:hint="eastAsia" w:ascii="宋体" w:hAnsi="宋体"/>
          <w:b/>
          <w:szCs w:val="21"/>
        </w:rPr>
        <w:t xml:space="preserve">项目信息</w:t>
      </w:r>
      <w:r/>
    </w:p>
    <w:p>
      <w:pPr>
        <w:pStyle w:val="691"/>
        <w:numPr>
          <w:ilvl w:val="0"/>
          <w:numId w:val="3"/>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691"/>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691"/>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863"/>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863"/>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863"/>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63"/>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863"/>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863"/>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863"/>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863"/>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863"/>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863"/>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863"/>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63"/>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863"/>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863"/>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863"/>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2"/>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864"/>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863"/>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863"/>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2"/>
        </w:numPr>
        <w:ind w:firstLine="422"/>
        <w:spacing w:before="0"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863"/>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863"/>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864"/>
        <w:spacing w:line="400" w:lineRule="exact"/>
      </w:pPr>
      <w:r/>
      <w:r/>
    </w:p>
    <w:p>
      <w:pPr>
        <w:pStyle w:val="676"/>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864"/>
        <w:rPr>
          <w:rFonts w:hint="eastAsia"/>
        </w:rPr>
      </w:pPr>
      <w:r>
        <w:rPr>
          <w:rFonts w:hint="eastAsia"/>
        </w:rPr>
      </w:r>
      <w:r/>
    </w:p>
    <w:tbl>
      <w:tblPr>
        <w:tblStyle w:val="68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2709"/>
        <w:gridCol w:w="2222"/>
        <w:gridCol w:w="237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9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76"/>
        <w:jc w:val="center"/>
        <w:spacing w:before="156"/>
        <w:rPr>
          <w:rFonts w:ascii="黑体" w:hAnsi="黑体" w:eastAsia="黑体"/>
          <w:sz w:val="28"/>
          <w:szCs w:val="28"/>
        </w:rPr>
      </w:pPr>
      <w:r>
        <w:rPr>
          <w:rFonts w:ascii="宋体" w:hAnsi="宋体"/>
          <w:sz w:val="21"/>
          <w:szCs w:val="21"/>
          <w:u w:val="single"/>
        </w:rPr>
        <w:br w:type="page" w:clear="all"/>
      </w:r>
      <w:bookmarkStart w:id="2" w:name="_Toc27624"/>
      <w:r>
        <w:rPr>
          <w:rFonts w:hint="eastAsia" w:ascii="黑体" w:hAnsi="黑体" w:eastAsia="黑体"/>
          <w:b w:val="0"/>
          <w:bCs w:val="0"/>
          <w:sz w:val="28"/>
          <w:szCs w:val="28"/>
        </w:rPr>
        <w:t xml:space="preserve">第二节 政府采购合同通用条款</w:t>
      </w:r>
      <w:bookmarkEnd w:id="2"/>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690"/>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690"/>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863"/>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694"/>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694"/>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jc w:val="left"/>
        <w:spacing w:before="0"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690"/>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863"/>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863"/>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863"/>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863"/>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863"/>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863"/>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63"/>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690"/>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863"/>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863"/>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863"/>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863"/>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8"/>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4"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676"/>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4"/>
      <w:r/>
      <w:r/>
    </w:p>
    <w:tbl>
      <w:tblPr>
        <w:tblStyle w:val="68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863"/>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pStyle w:val="863"/>
        <w:rPr>
          <w:rFonts w:ascii="黑体" w:hAnsi="黑体" w:eastAsia="黑体" w:cs="黑体"/>
          <w:color w:val="000000"/>
          <w:sz w:val="44"/>
        </w:rPr>
      </w:pPr>
      <w:r>
        <w:rPr>
          <w:rFonts w:ascii="黑体" w:hAnsi="黑体" w:eastAsia="黑体" w:cs="黑体"/>
          <w:color w:val="000000"/>
          <w:sz w:val="44"/>
        </w:rPr>
      </w:r>
      <w:r/>
    </w:p>
    <w:p>
      <w:pPr>
        <w:pStyle w:val="863"/>
        <w:rPr>
          <w:rFonts w:ascii="黑体" w:hAnsi="黑体" w:eastAsia="黑体" w:cs="黑体"/>
          <w:color w:val="000000"/>
          <w:sz w:val="44"/>
        </w:rPr>
      </w:pPr>
      <w:r>
        <w:rPr>
          <w:rFonts w:ascii="黑体" w:hAnsi="黑体" w:eastAsia="黑体" w:cs="黑体"/>
          <w:color w:val="000000"/>
          <w:sz w:val="44"/>
        </w:rPr>
      </w:r>
      <w:r/>
    </w:p>
    <w:p>
      <w:pPr>
        <w:pStyle w:val="863"/>
        <w:rPr>
          <w:rFonts w:ascii="黑体" w:hAnsi="黑体" w:eastAsia="黑体" w:cs="黑体"/>
          <w:color w:val="000000"/>
          <w:sz w:val="44"/>
        </w:rPr>
      </w:pPr>
      <w:r>
        <w:rPr>
          <w:rFonts w:ascii="黑体" w:hAnsi="黑体" w:eastAsia="黑体" w:cs="黑体"/>
          <w:color w:val="000000"/>
          <w:sz w:val="44"/>
        </w:r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06"/>
        <w:jc w:val="both"/>
        <w:keepLines w:val="0"/>
        <w:keepNext w:val="0"/>
        <w:spacing w:before="12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一、采购清单</w:t>
      </w:r>
      <w:r/>
    </w:p>
    <w:tbl>
      <w:tblPr>
        <w:tblStyle w:val="685"/>
        <w:tblW w:w="85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7"/>
        <w:gridCol w:w="2120"/>
        <w:gridCol w:w="3654"/>
        <w:gridCol w:w="992"/>
        <w:gridCol w:w="993"/>
      </w:tblGrid>
      <w:tr>
        <w:trPr>
          <w:jc w:val="center"/>
          <w:trHeight w:val="39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ascii="仿宋" w:hAnsi="仿宋" w:eastAsia="仿宋" w:cs="宋体"/>
                <w:b/>
                <w:bCs/>
                <w:color w:val="000000"/>
                <w:sz w:val="24"/>
              </w:rPr>
            </w:pPr>
            <w:r>
              <w:rPr>
                <w:rFonts w:hint="eastAsia" w:ascii="仿宋" w:hAnsi="仿宋" w:eastAsia="仿宋" w:cs="宋体"/>
                <w:b/>
                <w:bCs/>
                <w:color w:val="000000"/>
                <w:sz w:val="24"/>
              </w:rPr>
              <w:t xml:space="preserve">序列</w:t>
            </w:r>
            <w:r/>
          </w:p>
        </w:tc>
        <w:tc>
          <w:tcPr>
            <w:tcBorders>
              <w:top w:val="single" w:color="auto" w:sz="4" w:space="0"/>
              <w:left w:val="none" w:color="000000" w:sz="4" w:space="0"/>
              <w:bottom w:val="single" w:color="auto" w:sz="4" w:space="0"/>
              <w:right w:val="single" w:color="auto" w:sz="4" w:space="0"/>
            </w:tcBorders>
            <w:tcW w:w="2120" w:type="dxa"/>
            <w:vAlign w:val="center"/>
            <w:textDirection w:val="lrTb"/>
            <w:noWrap w:val="false"/>
          </w:tcPr>
          <w:p>
            <w:pPr>
              <w:jc w:val="center"/>
              <w:rPr>
                <w:rFonts w:hint="eastAsia" w:ascii="仿宋" w:hAnsi="仿宋" w:eastAsia="仿宋" w:cs="宋体"/>
                <w:b/>
                <w:bCs/>
                <w:color w:val="000000"/>
                <w:sz w:val="24"/>
              </w:rPr>
            </w:pPr>
            <w:r>
              <w:rPr>
                <w:rFonts w:hint="eastAsia" w:ascii="仿宋" w:hAnsi="仿宋" w:eastAsia="仿宋" w:cs="宋体"/>
                <w:b/>
                <w:bCs/>
                <w:color w:val="000000"/>
                <w:sz w:val="24"/>
              </w:rPr>
              <w:t xml:space="preserve">名称</w:t>
            </w:r>
            <w:r/>
          </w:p>
        </w:tc>
        <w:tc>
          <w:tcPr>
            <w:tcBorders>
              <w:top w:val="single" w:color="auto" w:sz="4" w:space="0"/>
              <w:left w:val="none" w:color="000000" w:sz="4" w:space="0"/>
              <w:bottom w:val="single" w:color="auto" w:sz="4" w:space="0"/>
              <w:right w:val="single" w:color="auto" w:sz="4" w:space="0"/>
            </w:tcBorders>
            <w:tcW w:w="3654" w:type="dxa"/>
            <w:vAlign w:val="center"/>
            <w:textDirection w:val="lrTb"/>
            <w:noWrap w:val="false"/>
          </w:tcPr>
          <w:p>
            <w:pPr>
              <w:jc w:val="center"/>
              <w:rPr>
                <w:rFonts w:hint="eastAsia" w:ascii="仿宋" w:hAnsi="仿宋" w:eastAsia="仿宋" w:cs="宋体"/>
                <w:b/>
                <w:bCs/>
                <w:color w:val="000000"/>
                <w:sz w:val="24"/>
              </w:rPr>
            </w:pPr>
            <w:r>
              <w:rPr>
                <w:rFonts w:hint="eastAsia" w:ascii="仿宋" w:hAnsi="仿宋" w:eastAsia="仿宋" w:cs="宋体"/>
                <w:b/>
                <w:bCs/>
                <w:color w:val="000000"/>
                <w:sz w:val="24"/>
              </w:rPr>
              <w:t xml:space="preserve">技术参数</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b/>
                <w:bCs/>
                <w:color w:val="000000"/>
                <w:sz w:val="24"/>
              </w:rPr>
            </w:pPr>
            <w:r>
              <w:rPr>
                <w:rFonts w:hint="eastAsia" w:ascii="仿宋" w:hAnsi="仿宋" w:eastAsia="仿宋" w:cs="宋体"/>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b/>
                <w:bCs/>
                <w:color w:val="000000"/>
                <w:sz w:val="24"/>
              </w:rPr>
            </w:pPr>
            <w:r>
              <w:rPr>
                <w:rFonts w:hint="eastAsia" w:ascii="仿宋" w:hAnsi="仿宋" w:eastAsia="仿宋" w:cs="宋体"/>
                <w:b/>
                <w:bCs/>
                <w:color w:val="000000"/>
                <w:sz w:val="24"/>
              </w:rPr>
              <w:t xml:space="preserve">单位</w:t>
            </w:r>
            <w:r/>
          </w:p>
        </w:tc>
      </w:tr>
      <w:tr>
        <w:trPr>
          <w:jc w:val="center"/>
          <w:trHeight w:val="399"/>
        </w:trPr>
        <w:tc>
          <w:tcPr>
            <w:tcBorders>
              <w:top w:val="none" w:color="000000"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2120" w:type="dxa"/>
            <w:vAlign w:val="center"/>
            <w:textDirection w:val="lrTb"/>
            <w:noWrap w:val="false"/>
          </w:tcPr>
          <w:p>
            <w:pPr>
              <w:rPr>
                <w:rFonts w:hint="eastAsia" w:ascii="仿宋" w:hAnsi="仿宋" w:eastAsia="仿宋" w:cs="宋体"/>
                <w:color w:val="000000"/>
                <w:sz w:val="24"/>
              </w:rPr>
            </w:pPr>
            <w:r>
              <w:rPr>
                <w:rFonts w:hint="eastAsia"/>
                <w:sz w:val="20"/>
                <w:szCs w:val="20"/>
              </w:rPr>
              <w:t xml:space="preserve">信创云桌面</w:t>
            </w:r>
            <w:r>
              <w:rPr>
                <w:rFonts w:hint="eastAsia"/>
                <w:sz w:val="20"/>
                <w:szCs w:val="20"/>
                <w:lang w:eastAsia="zh-CN"/>
              </w:rPr>
              <w:t xml:space="preserve">服务器</w:t>
            </w:r>
            <w:r/>
          </w:p>
        </w:tc>
        <w:tc>
          <w:tcPr>
            <w:tcBorders>
              <w:top w:val="none" w:color="000000" w:sz="4" w:space="0"/>
              <w:left w:val="none" w:color="000000" w:sz="4" w:space="0"/>
              <w:bottom w:val="single" w:color="auto" w:sz="4" w:space="0"/>
              <w:right w:val="single" w:color="auto" w:sz="4" w:space="0"/>
            </w:tcBorders>
            <w:tcW w:w="3654" w:type="dxa"/>
            <w:vAlign w:val="center"/>
            <w:textDirection w:val="lrTb"/>
            <w:noWrap w:val="false"/>
          </w:tcPr>
          <w:p>
            <w:pPr>
              <w:rPr>
                <w:rFonts w:hint="eastAsia" w:ascii="仿宋" w:hAnsi="仿宋" w:eastAsia="仿宋" w:cs="宋体"/>
                <w:color w:val="000000"/>
                <w:sz w:val="24"/>
              </w:rPr>
            </w:pPr>
            <w:r>
              <w:rPr>
                <w:rFonts w:hint="eastAsia" w:ascii="仿宋" w:hAnsi="仿宋" w:eastAsia="仿宋" w:cs="宋体"/>
                <w:color w:val="000000"/>
                <w:sz w:val="24"/>
              </w:rPr>
              <w:t xml:space="preserve">详见技术参数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台</w:t>
            </w:r>
            <w:r/>
          </w:p>
        </w:tc>
      </w:tr>
      <w:tr>
        <w:trPr>
          <w:jc w:val="center"/>
          <w:trHeight w:val="399"/>
        </w:trPr>
        <w:tc>
          <w:tcPr>
            <w:tcBorders>
              <w:top w:val="none" w:color="000000"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2120" w:type="dxa"/>
            <w:vAlign w:val="center"/>
            <w:textDirection w:val="lrTb"/>
            <w:noWrap w:val="false"/>
          </w:tcPr>
          <w:p>
            <w:pPr>
              <w:rPr>
                <w:rFonts w:hint="eastAsia" w:ascii="仿宋" w:hAnsi="仿宋" w:eastAsia="仿宋" w:cs="宋体"/>
                <w:color w:val="000000"/>
                <w:sz w:val="24"/>
              </w:rPr>
            </w:pPr>
            <w:r>
              <w:rPr>
                <w:rFonts w:hint="eastAsia"/>
                <w:sz w:val="20"/>
                <w:szCs w:val="20"/>
              </w:rPr>
              <w:t xml:space="preserve">信创云桌面</w:t>
            </w:r>
            <w:r>
              <w:rPr>
                <w:rFonts w:hint="eastAsia"/>
                <w:sz w:val="20"/>
                <w:szCs w:val="20"/>
                <w:lang w:eastAsia="zh-CN"/>
              </w:rPr>
              <w:t xml:space="preserve">终端</w:t>
            </w:r>
            <w:r/>
          </w:p>
        </w:tc>
        <w:tc>
          <w:tcPr>
            <w:tcBorders>
              <w:top w:val="none" w:color="000000" w:sz="4" w:space="0"/>
              <w:left w:val="none" w:color="000000" w:sz="4" w:space="0"/>
              <w:bottom w:val="single" w:color="auto" w:sz="4" w:space="0"/>
              <w:right w:val="single" w:color="auto" w:sz="4" w:space="0"/>
            </w:tcBorders>
            <w:tcW w:w="3654" w:type="dxa"/>
            <w:vAlign w:val="center"/>
            <w:textDirection w:val="lrTb"/>
            <w:noWrap w:val="false"/>
          </w:tcPr>
          <w:p>
            <w:pPr>
              <w:rPr>
                <w:rFonts w:hint="eastAsia" w:ascii="仿宋" w:hAnsi="仿宋" w:eastAsia="仿宋" w:cs="宋体"/>
                <w:color w:val="000000"/>
                <w:sz w:val="24"/>
              </w:rPr>
            </w:pPr>
            <w:r>
              <w:rPr>
                <w:rFonts w:hint="eastAsia" w:ascii="仿宋" w:hAnsi="仿宋" w:eastAsia="仿宋" w:cs="宋体"/>
                <w:color w:val="000000"/>
                <w:sz w:val="24"/>
              </w:rPr>
              <w:t xml:space="preserve">详见技术参数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val="en-US" w:eastAsia="zh-CN"/>
              </w:rPr>
              <w:t xml:space="preserve">200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台</w:t>
            </w:r>
            <w:r/>
          </w:p>
        </w:tc>
      </w:tr>
      <w:tr>
        <w:trPr>
          <w:jc w:val="center"/>
          <w:trHeight w:val="399"/>
        </w:trPr>
        <w:tc>
          <w:tcPr>
            <w:tcBorders>
              <w:top w:val="none" w:color="000000"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2120" w:type="dxa"/>
            <w:vAlign w:val="center"/>
            <w:textDirection w:val="lrTb"/>
            <w:noWrap w:val="false"/>
          </w:tcPr>
          <w:p>
            <w:pPr>
              <w:rPr>
                <w:rFonts w:hint="eastAsia" w:ascii="仿宋" w:hAnsi="仿宋" w:eastAsia="仿宋" w:cs="宋体"/>
                <w:color w:val="000000"/>
                <w:sz w:val="24"/>
              </w:rPr>
            </w:pPr>
            <w:r>
              <w:rPr>
                <w:rFonts w:hint="eastAsia"/>
                <w:sz w:val="20"/>
                <w:szCs w:val="20"/>
              </w:rPr>
              <w:t xml:space="preserve">护理PDA</w:t>
            </w:r>
            <w:r/>
          </w:p>
        </w:tc>
        <w:tc>
          <w:tcPr>
            <w:tcBorders>
              <w:top w:val="none" w:color="000000" w:sz="4" w:space="0"/>
              <w:left w:val="none" w:color="000000" w:sz="4" w:space="0"/>
              <w:bottom w:val="single" w:color="auto" w:sz="4" w:space="0"/>
              <w:right w:val="single" w:color="auto" w:sz="4" w:space="0"/>
            </w:tcBorders>
            <w:tcW w:w="3654" w:type="dxa"/>
            <w:vAlign w:val="center"/>
            <w:textDirection w:val="lrTb"/>
            <w:noWrap w:val="false"/>
          </w:tcPr>
          <w:p>
            <w:pPr>
              <w:rPr>
                <w:rFonts w:hint="eastAsia" w:ascii="仿宋" w:hAnsi="仿宋" w:eastAsia="仿宋" w:cs="宋体"/>
                <w:color w:val="000000"/>
                <w:sz w:val="24"/>
              </w:rPr>
            </w:pPr>
            <w:r>
              <w:rPr>
                <w:rFonts w:hint="eastAsia" w:ascii="仿宋" w:hAnsi="仿宋" w:eastAsia="仿宋" w:cs="宋体"/>
                <w:color w:val="000000"/>
                <w:sz w:val="24"/>
              </w:rPr>
              <w:t xml:space="preserve">详见技术参数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val="en-US" w:eastAsia="zh-CN"/>
              </w:rPr>
              <w:t xml:space="preserve">200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台</w:t>
            </w:r>
            <w:r/>
          </w:p>
        </w:tc>
      </w:tr>
      <w:tr>
        <w:trPr>
          <w:jc w:val="center"/>
          <w:trHeight w:val="399"/>
        </w:trPr>
        <w:tc>
          <w:tcPr>
            <w:tcBorders>
              <w:top w:val="none" w:color="000000"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2120" w:type="dxa"/>
            <w:vAlign w:val="center"/>
            <w:textDirection w:val="lrTb"/>
            <w:noWrap w:val="false"/>
          </w:tcPr>
          <w:p>
            <w:pPr>
              <w:rPr>
                <w:rFonts w:hint="eastAsia" w:ascii="仿宋" w:hAnsi="仿宋" w:eastAsia="仿宋" w:cs="宋体"/>
                <w:color w:val="000000"/>
                <w:sz w:val="24"/>
              </w:rPr>
            </w:pPr>
            <w:r>
              <w:rPr>
                <w:rFonts w:hint="eastAsia"/>
                <w:sz w:val="20"/>
                <w:szCs w:val="20"/>
              </w:rPr>
              <w:t xml:space="preserve">PDA</w:t>
            </w:r>
            <w:r>
              <w:rPr>
                <w:rFonts w:hint="eastAsia"/>
                <w:color w:val="000000"/>
                <w:sz w:val="20"/>
                <w:szCs w:val="20"/>
              </w:rPr>
              <w:t xml:space="preserve">平台管理软件</w:t>
            </w:r>
            <w:r/>
          </w:p>
        </w:tc>
        <w:tc>
          <w:tcPr>
            <w:tcBorders>
              <w:top w:val="none" w:color="000000" w:sz="4" w:space="0"/>
              <w:left w:val="none" w:color="000000" w:sz="4" w:space="0"/>
              <w:bottom w:val="single" w:color="auto" w:sz="4" w:space="0"/>
              <w:right w:val="single" w:color="auto" w:sz="4" w:space="0"/>
            </w:tcBorders>
            <w:tcW w:w="3654" w:type="dxa"/>
            <w:vAlign w:val="center"/>
            <w:textDirection w:val="lrTb"/>
            <w:noWrap w:val="false"/>
          </w:tcPr>
          <w:p>
            <w:pPr>
              <w:rPr>
                <w:rFonts w:hint="eastAsia" w:ascii="仿宋" w:hAnsi="仿宋" w:eastAsia="仿宋" w:cs="宋体"/>
                <w:color w:val="000000"/>
                <w:sz w:val="24"/>
              </w:rPr>
            </w:pPr>
            <w:r>
              <w:rPr>
                <w:rFonts w:hint="eastAsia" w:ascii="仿宋" w:hAnsi="仿宋" w:eastAsia="仿宋" w:cs="宋体"/>
                <w:color w:val="000000"/>
                <w:sz w:val="24"/>
              </w:rPr>
              <w:t xml:space="preserve">详见技术参数</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台</w:t>
            </w:r>
            <w:r/>
          </w:p>
        </w:tc>
      </w:tr>
      <w:tr>
        <w:trPr>
          <w:jc w:val="center"/>
          <w:trHeight w:val="39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rPr>
                <w:rFonts w:hint="eastAsia"/>
                <w:color w:val="000000"/>
                <w:sz w:val="20"/>
                <w:szCs w:val="20"/>
                <w:lang w:eastAsia="zh-CN"/>
              </w:rPr>
            </w:pPr>
            <w:r>
              <w:rPr>
                <w:rFonts w:hint="eastAsia"/>
                <w:color w:val="000000"/>
                <w:sz w:val="20"/>
                <w:szCs w:val="20"/>
                <w:lang w:eastAsia="zh-CN"/>
              </w:rPr>
              <w:t xml:space="preserve">流量费</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rPr>
                <w:rFonts w:hint="eastAsia" w:ascii="仿宋" w:hAnsi="仿宋" w:eastAsia="仿宋" w:cs="宋体"/>
                <w:color w:val="000000"/>
                <w:sz w:val="24"/>
              </w:rPr>
            </w:pPr>
            <w:r>
              <w:rPr>
                <w:rFonts w:hint="eastAsia" w:ascii="仿宋" w:hAnsi="仿宋" w:eastAsia="仿宋" w:cs="宋体"/>
                <w:color w:val="000000"/>
                <w:sz w:val="24"/>
              </w:rPr>
              <w:t xml:space="preserve">详见技术参数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年</w:t>
            </w:r>
            <w:r/>
          </w:p>
        </w:tc>
      </w:tr>
      <w:tr>
        <w:trPr>
          <w:jc w:val="center"/>
          <w:trHeight w:val="39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rPr>
                <w:rFonts w:hint="eastAsia"/>
                <w:color w:val="000000"/>
                <w:sz w:val="20"/>
                <w:szCs w:val="20"/>
              </w:rPr>
            </w:pPr>
            <w:r>
              <w:rPr>
                <w:rFonts w:hint="eastAsia"/>
                <w:color w:val="000000"/>
                <w:sz w:val="20"/>
                <w:szCs w:val="20"/>
              </w:rPr>
              <w:t xml:space="preserve">CA证书</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rPr>
                <w:rFonts w:hint="eastAsia" w:ascii="仿宋" w:hAnsi="仿宋" w:eastAsia="仿宋" w:cs="宋体"/>
                <w:color w:val="000000"/>
                <w:sz w:val="24"/>
              </w:rPr>
            </w:pPr>
            <w:r>
              <w:rPr>
                <w:rFonts w:hint="eastAsia" w:ascii="仿宋" w:hAnsi="仿宋" w:eastAsia="仿宋" w:cs="宋体"/>
                <w:color w:val="000000"/>
                <w:sz w:val="24"/>
              </w:rPr>
              <w:t xml:space="preserve">详见技术参数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val="en-US" w:eastAsia="zh-CN"/>
              </w:rPr>
              <w:t xml:space="preserve">2500</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个</w:t>
            </w:r>
            <w:r/>
          </w:p>
        </w:tc>
      </w:tr>
      <w:tr>
        <w:trPr>
          <w:jc w:val="center"/>
          <w:trHeight w:val="39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仿宋" w:hAnsi="仿宋" w:eastAsia="仿宋" w:cs="宋体"/>
                <w:color w:val="000000"/>
                <w:sz w:val="24"/>
                <w:lang w:eastAsia="zh-CN"/>
              </w:rPr>
            </w:pPr>
            <w:r>
              <w:rPr>
                <w:rFonts w:hint="eastAsia" w:ascii="仿宋" w:hAnsi="仿宋" w:eastAsia="仿宋" w:cs="宋体"/>
                <w:color w:val="000000"/>
                <w:sz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rPr>
                <w:rFonts w:hint="eastAsia"/>
                <w:color w:val="000000"/>
                <w:sz w:val="20"/>
                <w:szCs w:val="20"/>
              </w:rPr>
            </w:pPr>
            <w:r>
              <w:rPr>
                <w:rFonts w:hint="eastAsia"/>
                <w:color w:val="000000"/>
                <w:sz w:val="20"/>
                <w:szCs w:val="20"/>
              </w:rPr>
              <w:t xml:space="preserve">安装调试</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rPr>
                <w:rFonts w:hint="eastAsia" w:ascii="仿宋" w:hAnsi="仿宋" w:eastAsia="仿宋" w:cs="宋体"/>
                <w:color w:val="000000"/>
                <w:sz w:val="24"/>
              </w:rPr>
            </w:pPr>
            <w:r>
              <w:rPr>
                <w:rFonts w:hint="eastAsia" w:ascii="仿宋" w:hAnsi="仿宋" w:eastAsia="仿宋" w:cs="宋体"/>
                <w:color w:val="000000"/>
                <w:sz w:val="24"/>
                <w:lang w:val="en-US" w:eastAsia="zh-CN"/>
              </w:rPr>
              <w:t xml:space="preserve">完成设备安装调试并且</w:t>
            </w:r>
            <w:r>
              <w:rPr>
                <w:rFonts w:hint="eastAsia" w:ascii="仿宋" w:hAnsi="仿宋" w:eastAsia="仿宋" w:cs="宋体"/>
                <w:color w:val="000000"/>
                <w:sz w:val="24"/>
              </w:rPr>
              <w:t xml:space="preserve">包含一次设备搬迁调试费用</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宋体"/>
                <w:color w:val="000000"/>
                <w:sz w:val="24"/>
              </w:rPr>
            </w:pPr>
            <w:r>
              <w:rPr>
                <w:rFonts w:hint="eastAsia" w:ascii="仿宋" w:hAnsi="仿宋" w:eastAsia="仿宋" w:cs="宋体"/>
                <w:color w:val="000000"/>
                <w:sz w:val="24"/>
              </w:rPr>
              <w:t xml:space="preserve">项</w:t>
            </w:r>
            <w:r/>
          </w:p>
        </w:tc>
      </w:tr>
      <w:tr>
        <w:trPr>
          <w:jc w:val="center"/>
          <w:trHeight w:val="399"/>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2120" w:type="dxa"/>
            <w:vAlign w:val="center"/>
            <w:textDirection w:val="lrTb"/>
            <w:noWrap w:val="false"/>
          </w:tcPr>
          <w:p>
            <w:pPr>
              <w:rPr>
                <w:rFonts w:hint="default"/>
                <w:color w:val="000000"/>
                <w:sz w:val="20"/>
                <w:szCs w:val="20"/>
                <w:lang w:val="en-US" w:eastAsia="zh-CN"/>
              </w:rPr>
            </w:pPr>
            <w:r>
              <w:rPr>
                <w:rFonts w:hint="eastAsia"/>
                <w:color w:val="000000"/>
                <w:sz w:val="20"/>
                <w:szCs w:val="20"/>
                <w:lang w:val="en-US" w:eastAsia="zh-CN"/>
              </w:rPr>
              <w:t xml:space="preserve">项目集成</w:t>
            </w:r>
            <w:r/>
          </w:p>
        </w:tc>
        <w:tc>
          <w:tcPr>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rPr>
                <w:rFonts w:hint="default" w:ascii="仿宋" w:hAnsi="仿宋" w:eastAsia="仿宋" w:cs="宋体"/>
                <w:color w:val="000000"/>
                <w:sz w:val="24"/>
                <w:lang w:val="en-US" w:eastAsia="zh-CN"/>
              </w:rPr>
            </w:pPr>
            <w:r>
              <w:rPr>
                <w:rFonts w:hint="eastAsia" w:ascii="仿宋" w:hAnsi="仿宋" w:eastAsia="仿宋" w:cs="宋体"/>
                <w:color w:val="000000"/>
                <w:sz w:val="24"/>
              </w:rPr>
              <w:t xml:space="preserve">详见技术参数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套</w:t>
            </w:r>
            <w:r/>
          </w:p>
        </w:tc>
      </w:tr>
    </w:tbl>
    <w:p>
      <w:pPr>
        <w:ind w:right="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 </w:t>
      </w:r>
      <w:r/>
    </w:p>
    <w:p>
      <w:pPr>
        <w:numPr>
          <w:ilvl w:val="0"/>
          <w:numId w:val="0"/>
        </w:numPr>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二、</w:t>
      </w:r>
      <w:r>
        <w:rPr>
          <w:rFonts w:ascii="宋体" w:hAnsi="宋体" w:eastAsia="宋体" w:cs="宋体"/>
          <w:b/>
          <w:color w:val="000000"/>
          <w:sz w:val="24"/>
        </w:rPr>
        <w:t xml:space="preserve">技术要求</w:t>
      </w:r>
      <w:r/>
    </w:p>
    <w:tbl>
      <w:tblPr>
        <w:tblStyle w:val="685"/>
        <w:tblW w:w="93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5"/>
        <w:gridCol w:w="675"/>
        <w:gridCol w:w="663"/>
        <w:gridCol w:w="6462"/>
        <w:gridCol w:w="613"/>
        <w:gridCol w:w="359"/>
        <w:gridCol w:w="236"/>
      </w:tblGrid>
      <w:tr>
        <w:trPr>
          <w:gridAfter w:val="1"/>
          <w:jc w:val="center"/>
          <w:trHeight w:val="323"/>
        </w:trPr>
        <w:tc>
          <w:tcPr>
            <w:tcW w:w="345" w:type="dxa"/>
            <w:vAlign w:val="center"/>
            <w:textDirection w:val="lrTb"/>
            <w:noWrap w:val="false"/>
          </w:tcPr>
          <w:p>
            <w:pPr>
              <w:jc w:val="left"/>
              <w:rPr>
                <w:sz w:val="20"/>
                <w:szCs w:val="20"/>
              </w:rPr>
            </w:pPr>
            <w:r>
              <w:rPr>
                <w:rFonts w:hint="eastAsia"/>
                <w:sz w:val="20"/>
                <w:szCs w:val="20"/>
              </w:rPr>
              <w:t xml:space="preserve">序号</w:t>
            </w:r>
            <w:r/>
          </w:p>
        </w:tc>
        <w:tc>
          <w:tcPr>
            <w:gridSpan w:val="2"/>
            <w:tcW w:w="1338" w:type="dxa"/>
            <w:vAlign w:val="center"/>
            <w:textDirection w:val="lrTb"/>
            <w:noWrap w:val="false"/>
          </w:tcPr>
          <w:p>
            <w:pPr>
              <w:jc w:val="left"/>
              <w:rPr>
                <w:rFonts w:hint="eastAsia"/>
                <w:sz w:val="20"/>
                <w:szCs w:val="20"/>
              </w:rPr>
            </w:pPr>
            <w:r>
              <w:rPr>
                <w:rFonts w:hint="eastAsia"/>
                <w:sz w:val="20"/>
                <w:szCs w:val="20"/>
              </w:rPr>
              <w:t xml:space="preserve">产品名称</w:t>
            </w:r>
            <w:r/>
          </w:p>
        </w:tc>
        <w:tc>
          <w:tcPr>
            <w:tcW w:w="6462" w:type="dxa"/>
            <w:vAlign w:val="center"/>
            <w:textDirection w:val="lrTb"/>
            <w:noWrap w:val="false"/>
          </w:tcPr>
          <w:p>
            <w:pPr>
              <w:jc w:val="left"/>
              <w:rPr>
                <w:sz w:val="20"/>
                <w:szCs w:val="20"/>
              </w:rPr>
            </w:pPr>
            <w:r>
              <w:rPr>
                <w:rFonts w:hint="eastAsia"/>
                <w:sz w:val="20"/>
                <w:szCs w:val="20"/>
              </w:rPr>
              <w:t xml:space="preserve">技术参数</w:t>
            </w:r>
            <w:r/>
          </w:p>
        </w:tc>
        <w:tc>
          <w:tcPr>
            <w:tcW w:w="613" w:type="dxa"/>
            <w:vAlign w:val="center"/>
            <w:textDirection w:val="lrTb"/>
            <w:noWrap w:val="false"/>
          </w:tcPr>
          <w:p>
            <w:pPr>
              <w:jc w:val="left"/>
              <w:rPr>
                <w:sz w:val="20"/>
                <w:szCs w:val="20"/>
              </w:rPr>
            </w:pPr>
            <w:r>
              <w:rPr>
                <w:rFonts w:hint="eastAsia"/>
                <w:sz w:val="20"/>
                <w:szCs w:val="20"/>
              </w:rPr>
              <w:t xml:space="preserve">数量</w:t>
            </w:r>
            <w:r/>
          </w:p>
        </w:tc>
        <w:tc>
          <w:tcPr>
            <w:tcW w:w="359" w:type="dxa"/>
            <w:vAlign w:val="center"/>
            <w:textDirection w:val="lrTb"/>
            <w:noWrap w:val="false"/>
          </w:tcPr>
          <w:p>
            <w:pPr>
              <w:jc w:val="left"/>
              <w:rPr>
                <w:sz w:val="20"/>
                <w:szCs w:val="20"/>
              </w:rPr>
            </w:pPr>
            <w:r>
              <w:rPr>
                <w:rFonts w:hint="eastAsia"/>
                <w:sz w:val="20"/>
                <w:szCs w:val="20"/>
              </w:rPr>
              <w:t xml:space="preserve">单位</w:t>
            </w:r>
            <w:r/>
          </w:p>
        </w:tc>
      </w:tr>
      <w:tr>
        <w:trPr>
          <w:gridAfter w:val="1"/>
          <w:jc w:val="center"/>
          <w:trHeight w:val="765"/>
        </w:trPr>
        <w:tc>
          <w:tcPr>
            <w:tcW w:w="345" w:type="dxa"/>
            <w:vAlign w:val="center"/>
            <w:vMerge w:val="restart"/>
            <w:textDirection w:val="lrTb"/>
            <w:noWrap w:val="false"/>
          </w:tcPr>
          <w:p>
            <w:pPr>
              <w:jc w:val="left"/>
              <w:rPr>
                <w:sz w:val="20"/>
                <w:szCs w:val="20"/>
              </w:rPr>
            </w:pPr>
            <w:r>
              <w:rPr>
                <w:rFonts w:hint="eastAsia"/>
                <w:sz w:val="20"/>
                <w:szCs w:val="20"/>
              </w:rPr>
              <w:t xml:space="preserve">1</w:t>
            </w:r>
            <w:r/>
          </w:p>
        </w:tc>
        <w:tc>
          <w:tcPr>
            <w:tcW w:w="675" w:type="dxa"/>
            <w:vAlign w:val="center"/>
            <w:vMerge w:val="restart"/>
            <w:textDirection w:val="lrTb"/>
            <w:noWrap w:val="false"/>
          </w:tcPr>
          <w:p>
            <w:pPr>
              <w:jc w:val="left"/>
              <w:rPr>
                <w:sz w:val="20"/>
                <w:szCs w:val="20"/>
              </w:rPr>
            </w:pPr>
            <w:r>
              <w:rPr>
                <w:rFonts w:hint="eastAsia"/>
                <w:sz w:val="20"/>
                <w:szCs w:val="20"/>
              </w:rPr>
              <w:t xml:space="preserve">信创云桌面</w:t>
            </w:r>
            <w:r/>
          </w:p>
        </w:tc>
        <w:tc>
          <w:tcPr>
            <w:tcW w:w="663" w:type="dxa"/>
            <w:vAlign w:val="center"/>
            <w:textDirection w:val="lrTb"/>
            <w:noWrap w:val="false"/>
          </w:tcPr>
          <w:p>
            <w:pPr>
              <w:jc w:val="left"/>
              <w:rPr>
                <w:sz w:val="20"/>
                <w:szCs w:val="20"/>
              </w:rPr>
            </w:pPr>
            <w:r>
              <w:rPr>
                <w:rFonts w:hint="eastAsia"/>
                <w:sz w:val="20"/>
                <w:szCs w:val="20"/>
              </w:rPr>
              <w:t xml:space="preserve">信创服务器</w:t>
            </w:r>
            <w:r/>
          </w:p>
        </w:tc>
        <w:tc>
          <w:tcPr>
            <w:tcW w:w="6462" w:type="dxa"/>
            <w:vAlign w:val="center"/>
            <w:textDirection w:val="lrTb"/>
            <w:noWrap w:val="false"/>
          </w:tcPr>
          <w:p>
            <w:pPr>
              <w:jc w:val="left"/>
              <w:rPr>
                <w:rFonts w:hint="eastAsia"/>
                <w:sz w:val="20"/>
                <w:szCs w:val="20"/>
                <w:lang w:val="en-US" w:eastAsia="zh-CN"/>
              </w:rPr>
            </w:pPr>
            <w:r>
              <w:rPr>
                <w:rFonts w:hint="eastAsia"/>
                <w:sz w:val="20"/>
                <w:szCs w:val="20"/>
                <w:lang w:eastAsia="zh-CN"/>
              </w:rPr>
              <w:t xml:space="preserve">国产</w:t>
            </w:r>
            <w:r>
              <w:rPr>
                <w:rFonts w:hint="eastAsia"/>
                <w:sz w:val="20"/>
                <w:szCs w:val="20"/>
                <w:lang w:val="en-US" w:eastAsia="zh-CN"/>
              </w:rPr>
              <w:t xml:space="preserve">CPU，X86架构，不低于8核3.0GHZ,国产操作系统；</w:t>
            </w:r>
            <w:r>
              <w:rPr>
                <w:rFonts w:hint="eastAsia"/>
                <w:sz w:val="20"/>
                <w:szCs w:val="20"/>
              </w:rPr>
              <w:t xml:space="preserve">板载双口千兆RJ45网卡</w:t>
            </w:r>
            <w:r>
              <w:rPr>
                <w:rFonts w:hint="eastAsia"/>
                <w:sz w:val="20"/>
                <w:szCs w:val="20"/>
                <w:lang w:eastAsia="zh-CN"/>
              </w:rPr>
              <w:t xml:space="preserve">；内存</w:t>
            </w:r>
            <w:r>
              <w:rPr>
                <w:rFonts w:hint="eastAsia"/>
                <w:sz w:val="20"/>
                <w:szCs w:val="20"/>
              </w:rPr>
              <w:t xml:space="preserve">DDR4 </w:t>
            </w:r>
            <w:r>
              <w:rPr>
                <w:rFonts w:hint="default" w:ascii="Arial" w:hAnsi="Arial" w:cs="Arial"/>
                <w:sz w:val="20"/>
                <w:szCs w:val="20"/>
              </w:rPr>
              <w:t xml:space="preserve">≥</w:t>
            </w:r>
            <w:r>
              <w:rPr>
                <w:rFonts w:hint="eastAsia"/>
                <w:sz w:val="20"/>
                <w:szCs w:val="20"/>
              </w:rPr>
              <w:t xml:space="preserve">32G</w:t>
            </w:r>
            <w:r>
              <w:rPr>
                <w:rFonts w:hint="eastAsia"/>
                <w:sz w:val="20"/>
                <w:szCs w:val="20"/>
                <w:lang w:eastAsia="zh-CN"/>
              </w:rPr>
              <w:t xml:space="preserve">；硬盘</w:t>
            </w:r>
            <w:r>
              <w:rPr>
                <w:rFonts w:hint="default" w:ascii="Arial" w:hAnsi="Arial" w:cs="Arial"/>
                <w:sz w:val="20"/>
                <w:szCs w:val="20"/>
              </w:rPr>
              <w:t xml:space="preserve">≥</w:t>
            </w:r>
            <w:r>
              <w:rPr>
                <w:rFonts w:hint="eastAsia"/>
                <w:sz w:val="20"/>
                <w:szCs w:val="20"/>
                <w:lang w:val="en-US" w:eastAsia="zh-CN"/>
              </w:rPr>
              <w:t xml:space="preserve">480G *2块SSD；</w:t>
            </w:r>
            <w:r>
              <w:rPr>
                <w:rFonts w:hint="default" w:ascii="Arial" w:hAnsi="Arial" w:cs="Arial"/>
                <w:sz w:val="20"/>
                <w:szCs w:val="20"/>
              </w:rPr>
              <w:t xml:space="preserve">≥</w:t>
            </w:r>
            <w:r>
              <w:rPr>
                <w:rFonts w:hint="eastAsia"/>
                <w:sz w:val="20"/>
                <w:szCs w:val="20"/>
              </w:rPr>
              <w:t xml:space="preserve">2</w:t>
            </w:r>
            <w:r>
              <w:rPr>
                <w:rFonts w:hint="eastAsia"/>
                <w:sz w:val="20"/>
                <w:szCs w:val="20"/>
                <w:lang w:eastAsia="zh-CN"/>
              </w:rPr>
              <w:t xml:space="preserve">张</w:t>
            </w:r>
            <w:r>
              <w:rPr>
                <w:rFonts w:hint="eastAsia"/>
                <w:sz w:val="20"/>
                <w:szCs w:val="20"/>
              </w:rPr>
              <w:t xml:space="preserve"> RAID卡</w:t>
            </w:r>
            <w:r>
              <w:rPr>
                <w:rFonts w:hint="eastAsia"/>
                <w:sz w:val="20"/>
                <w:szCs w:val="20"/>
                <w:lang w:eastAsia="zh-CN"/>
              </w:rPr>
              <w:t xml:space="preserve">；包含相应的物理</w:t>
            </w:r>
            <w:r>
              <w:rPr>
                <w:rFonts w:hint="eastAsia"/>
                <w:sz w:val="20"/>
                <w:szCs w:val="20"/>
                <w:lang w:val="en-US" w:eastAsia="zh-CN"/>
              </w:rPr>
              <w:t xml:space="preserve">CPU的激活与授权。</w:t>
            </w:r>
            <w:r/>
          </w:p>
          <w:p>
            <w:pPr>
              <w:jc w:val="left"/>
              <w:rPr>
                <w:sz w:val="20"/>
                <w:szCs w:val="20"/>
              </w:rPr>
            </w:pPr>
            <w:r>
              <w:rPr>
                <w:sz w:val="20"/>
                <w:szCs w:val="20"/>
              </w:rPr>
            </w:r>
            <w:r/>
          </w:p>
        </w:tc>
        <w:tc>
          <w:tcPr>
            <w:tcW w:w="613" w:type="dxa"/>
            <w:vAlign w:val="center"/>
            <w:textDirection w:val="lrTb"/>
            <w:noWrap w:val="false"/>
          </w:tcPr>
          <w:p>
            <w:pPr>
              <w:jc w:val="left"/>
              <w:rPr>
                <w:sz w:val="20"/>
                <w:szCs w:val="20"/>
              </w:rPr>
            </w:pPr>
            <w:r>
              <w:rPr>
                <w:rFonts w:hint="eastAsia"/>
                <w:sz w:val="20"/>
                <w:szCs w:val="20"/>
              </w:rPr>
              <w:t xml:space="preserve">1</w:t>
            </w:r>
            <w:r/>
          </w:p>
        </w:tc>
        <w:tc>
          <w:tcPr>
            <w:tcW w:w="359" w:type="dxa"/>
            <w:vAlign w:val="center"/>
            <w:textDirection w:val="lrTb"/>
            <w:noWrap w:val="false"/>
          </w:tcPr>
          <w:p>
            <w:pPr>
              <w:jc w:val="left"/>
              <w:rPr>
                <w:sz w:val="20"/>
                <w:szCs w:val="20"/>
              </w:rPr>
            </w:pPr>
            <w:r>
              <w:rPr>
                <w:rFonts w:hint="eastAsia"/>
                <w:sz w:val="20"/>
                <w:szCs w:val="20"/>
              </w:rPr>
              <w:t xml:space="preserve">台</w:t>
            </w:r>
            <w:r/>
          </w:p>
        </w:tc>
      </w:tr>
      <w:tr>
        <w:trPr>
          <w:gridAfter w:val="1"/>
          <w:jc w:val="center"/>
          <w:trHeight w:val="3570"/>
        </w:trPr>
        <w:tc>
          <w:tcPr>
            <w:tcW w:w="345" w:type="dxa"/>
            <w:vAlign w:val="center"/>
            <w:vMerge w:val="continue"/>
            <w:textDirection w:val="lrTb"/>
            <w:noWrap w:val="false"/>
          </w:tcPr>
          <w:p>
            <w:pPr>
              <w:jc w:val="left"/>
              <w:rPr>
                <w:sz w:val="20"/>
                <w:szCs w:val="20"/>
              </w:rPr>
              <w:outlineLvl w:val="0"/>
            </w:pPr>
            <w:r>
              <w:rPr>
                <w:sz w:val="20"/>
                <w:szCs w:val="20"/>
              </w:rPr>
            </w:r>
            <w:r/>
          </w:p>
        </w:tc>
        <w:tc>
          <w:tcPr>
            <w:tcW w:w="675" w:type="dxa"/>
            <w:vAlign w:val="center"/>
            <w:vMerge w:val="continue"/>
            <w:textDirection w:val="lrTb"/>
            <w:noWrap w:val="false"/>
          </w:tcPr>
          <w:p>
            <w:pPr>
              <w:jc w:val="left"/>
              <w:rPr>
                <w:sz w:val="20"/>
                <w:szCs w:val="20"/>
              </w:rPr>
              <w:outlineLvl w:val="0"/>
            </w:pPr>
            <w:r>
              <w:rPr>
                <w:sz w:val="20"/>
                <w:szCs w:val="20"/>
              </w:rPr>
            </w:r>
            <w:r/>
          </w:p>
        </w:tc>
        <w:tc>
          <w:tcPr>
            <w:tcW w:w="663" w:type="dxa"/>
            <w:vAlign w:val="center"/>
            <w:textDirection w:val="lrTb"/>
            <w:noWrap w:val="false"/>
          </w:tcPr>
          <w:p>
            <w:pPr>
              <w:jc w:val="left"/>
              <w:rPr>
                <w:sz w:val="20"/>
                <w:szCs w:val="20"/>
              </w:rPr>
              <w:outlineLvl w:val="0"/>
            </w:pPr>
            <w:r>
              <w:rPr>
                <w:rFonts w:hint="eastAsia"/>
                <w:sz w:val="20"/>
                <w:szCs w:val="20"/>
              </w:rPr>
              <w:t xml:space="preserve">云计算平台</w:t>
            </w:r>
            <w:r/>
          </w:p>
        </w:tc>
        <w:tc>
          <w:tcPr>
            <w:tcW w:w="6462" w:type="dxa"/>
            <w:vAlign w:val="center"/>
            <w:textDirection w:val="lrTb"/>
            <w:noWrap w:val="false"/>
          </w:tcPr>
          <w:p>
            <w:pPr>
              <w:jc w:val="left"/>
              <w:rPr>
                <w:sz w:val="20"/>
                <w:szCs w:val="20"/>
              </w:rPr>
              <w:outlineLvl w:val="0"/>
            </w:pPr>
            <w:r>
              <w:rPr>
                <w:rFonts w:hint="eastAsia"/>
                <w:sz w:val="20"/>
                <w:szCs w:val="20"/>
              </w:rPr>
              <w:t xml:space="preserve">1、要求采用超融合基础架构，在同一管理平台内至少包含计算资源、存储资源、网络资源等功能管理模块。所有功能模块需要通过一个厂家的一套软件实现超融合部署，不可以使用多套软件或产品叠加实现。</w:t>
            </w:r>
            <w:r>
              <w:rPr>
                <w:rFonts w:hint="eastAsia"/>
                <w:sz w:val="20"/>
                <w:szCs w:val="20"/>
              </w:rPr>
              <w:br/>
            </w:r>
            <w:r>
              <w:rPr>
                <w:rFonts w:hint="eastAsia"/>
                <w:sz w:val="20"/>
                <w:szCs w:val="20"/>
              </w:rPr>
              <w:t xml:space="preserve">2、支持主机性能状态监控，能以小时、天、周、月、季度、半年、一年或自定义时间维度，对主机CPU使用率、内存使用率、磁盘速率、磁盘IOPS、网卡错误数、丢包率、网卡带宽等性能进行监控记录。</w:t>
            </w:r>
            <w:r>
              <w:rPr>
                <w:rFonts w:hint="eastAsia"/>
                <w:sz w:val="20"/>
                <w:szCs w:val="20"/>
              </w:rPr>
              <w:br/>
            </w:r>
            <w:r>
              <w:rPr>
                <w:rFonts w:hint="eastAsia"/>
                <w:sz w:val="20"/>
                <w:szCs w:val="20"/>
              </w:rPr>
              <w:t xml:space="preserve">3、支持将服务器主机节点添加为计算集群，为上层业务平台提供统一的计算、存储、网络资源调度，形成基础计算平台支撑。</w:t>
            </w:r>
            <w:r>
              <w:rPr>
                <w:rFonts w:hint="eastAsia"/>
                <w:sz w:val="20"/>
                <w:szCs w:val="20"/>
              </w:rPr>
              <w:br/>
            </w:r>
            <w:r>
              <w:rPr>
                <w:rFonts w:hint="eastAsia"/>
                <w:sz w:val="20"/>
                <w:szCs w:val="20"/>
              </w:rPr>
              <w:t xml:space="preserve">4、支持按需创建多个存储池，支持配置每个存储池所需使用的冗余策略，每个存储池的容量盘可从服务器集群中任意几个节点中的一块或多块磁盘中选择。</w:t>
            </w:r>
            <w:r>
              <w:rPr>
                <w:rFonts w:hint="eastAsia"/>
                <w:sz w:val="20"/>
                <w:szCs w:val="20"/>
              </w:rPr>
              <w:br/>
            </w:r>
            <w:r>
              <w:rPr>
                <w:rFonts w:hint="eastAsia"/>
                <w:sz w:val="20"/>
                <w:szCs w:val="20"/>
              </w:rPr>
              <w:t xml:space="preserve">★5、为保证云桌面的使用体验，要求三节点集群模式下4KB块大小全随机100%读IOPS</w:t>
            </w:r>
            <w:r>
              <w:rPr>
                <w:rFonts w:hint="default" w:ascii="Arial" w:hAnsi="Arial" w:cs="Arial"/>
                <w:sz w:val="20"/>
                <w:szCs w:val="20"/>
              </w:rPr>
              <w:t xml:space="preserve">≥</w:t>
            </w:r>
            <w:r>
              <w:rPr>
                <w:rFonts w:hint="eastAsia"/>
                <w:sz w:val="20"/>
                <w:szCs w:val="20"/>
              </w:rPr>
              <w:t xml:space="preserve">170万。（提供国家认可的第三方检测机构出具的检测报告电子件或复印件或扫描件并加盖投标人公章）</w:t>
            </w:r>
            <w:r>
              <w:rPr>
                <w:rFonts w:hint="eastAsia"/>
                <w:sz w:val="20"/>
                <w:szCs w:val="20"/>
              </w:rPr>
              <w:br/>
            </w:r>
            <w:r>
              <w:rPr>
                <w:rFonts w:hint="eastAsia"/>
                <w:sz w:val="20"/>
                <w:szCs w:val="20"/>
              </w:rPr>
              <w:t xml:space="preserve">★6、为保证硬盘故障后，数据可以快速重构，要求所投产品在分布式存储的方案下，1T数据重构时间≤15分钟。（提供国家认可的第三方检测机构出具的检测报告电子件或复印件或扫描件并加盖投标人公章）</w:t>
            </w:r>
            <w:r>
              <w:rPr>
                <w:rFonts w:hint="eastAsia"/>
                <w:sz w:val="20"/>
                <w:szCs w:val="20"/>
              </w:rPr>
              <w:br/>
            </w:r>
            <w:r>
              <w:rPr>
                <w:rFonts w:hint="eastAsia"/>
                <w:sz w:val="20"/>
                <w:szCs w:val="20"/>
              </w:rPr>
              <w:t xml:space="preserve">7、在硬盘故障维修等需要交出硬盘的场景，为避免用户数据外泄，要求分布式存储采用块虚拟化技术。</w:t>
            </w:r>
            <w:r>
              <w:rPr>
                <w:rFonts w:hint="eastAsia"/>
                <w:sz w:val="20"/>
                <w:szCs w:val="20"/>
              </w:rPr>
              <w:br/>
            </w:r>
            <w:r>
              <w:rPr>
                <w:rFonts w:hint="eastAsia"/>
                <w:sz w:val="20"/>
                <w:szCs w:val="20"/>
              </w:rPr>
              <w:t xml:space="preserve">8、支持创建虚拟交换机，支持FLAT虚拟机交换机，支持VLAN虚拟交换机。</w:t>
            </w:r>
            <w:r/>
          </w:p>
        </w:tc>
        <w:tc>
          <w:tcPr>
            <w:tcW w:w="613" w:type="dxa"/>
            <w:vAlign w:val="center"/>
            <w:textDirection w:val="lrTb"/>
            <w:noWrap w:val="false"/>
          </w:tcPr>
          <w:p>
            <w:pPr>
              <w:jc w:val="left"/>
              <w:rPr>
                <w:sz w:val="20"/>
                <w:szCs w:val="20"/>
              </w:rPr>
              <w:outlineLvl w:val="0"/>
            </w:pPr>
            <w:r>
              <w:rPr>
                <w:rFonts w:hint="eastAsia"/>
                <w:sz w:val="20"/>
                <w:szCs w:val="20"/>
              </w:rPr>
              <w:t xml:space="preserve">2</w:t>
            </w:r>
            <w:r/>
          </w:p>
        </w:tc>
        <w:tc>
          <w:tcPr>
            <w:tcW w:w="359" w:type="dxa"/>
            <w:vAlign w:val="center"/>
            <w:textDirection w:val="lrTb"/>
            <w:noWrap w:val="false"/>
          </w:tcPr>
          <w:p>
            <w:pPr>
              <w:jc w:val="left"/>
              <w:rPr>
                <w:sz w:val="20"/>
                <w:szCs w:val="20"/>
              </w:rPr>
              <w:outlineLvl w:val="0"/>
            </w:pPr>
            <w:r>
              <w:rPr>
                <w:rFonts w:hint="eastAsia"/>
                <w:sz w:val="20"/>
                <w:szCs w:val="20"/>
              </w:rPr>
              <w:t xml:space="preserve">套</w:t>
            </w:r>
            <w:r/>
          </w:p>
        </w:tc>
      </w:tr>
      <w:tr>
        <w:trPr>
          <w:jc w:val="center"/>
          <w:trHeight w:val="4845"/>
        </w:trPr>
        <w:tc>
          <w:tcPr>
            <w:tcW w:w="345" w:type="dxa"/>
            <w:vAlign w:val="center"/>
            <w:vMerge w:val="continue"/>
            <w:textDirection w:val="lrTb"/>
            <w:noWrap w:val="false"/>
          </w:tcPr>
          <w:p>
            <w:pPr>
              <w:jc w:val="left"/>
              <w:rPr>
                <w:sz w:val="20"/>
                <w:szCs w:val="20"/>
              </w:rPr>
              <w:outlineLvl w:val="0"/>
            </w:pPr>
            <w:r>
              <w:rPr>
                <w:sz w:val="20"/>
                <w:szCs w:val="20"/>
              </w:rPr>
            </w:r>
            <w:r/>
          </w:p>
        </w:tc>
        <w:tc>
          <w:tcPr>
            <w:tcW w:w="675" w:type="dxa"/>
            <w:vAlign w:val="center"/>
            <w:vMerge w:val="continue"/>
            <w:textDirection w:val="lrTb"/>
            <w:noWrap w:val="false"/>
          </w:tcPr>
          <w:p>
            <w:pPr>
              <w:jc w:val="left"/>
              <w:rPr>
                <w:sz w:val="20"/>
                <w:szCs w:val="20"/>
              </w:rPr>
              <w:outlineLvl w:val="0"/>
            </w:pPr>
            <w:r>
              <w:rPr>
                <w:sz w:val="20"/>
                <w:szCs w:val="20"/>
              </w:rPr>
            </w:r>
            <w:r/>
          </w:p>
        </w:tc>
        <w:tc>
          <w:tcPr>
            <w:tcW w:w="663" w:type="dxa"/>
            <w:vAlign w:val="center"/>
            <w:textDirection w:val="lrTb"/>
            <w:noWrap w:val="false"/>
          </w:tcPr>
          <w:p>
            <w:pPr>
              <w:jc w:val="left"/>
              <w:rPr>
                <w:sz w:val="20"/>
                <w:szCs w:val="20"/>
              </w:rPr>
              <w:outlineLvl w:val="0"/>
            </w:pPr>
            <w:r>
              <w:rPr>
                <w:rFonts w:hint="eastAsia"/>
                <w:sz w:val="20"/>
                <w:szCs w:val="20"/>
              </w:rPr>
              <w:t xml:space="preserve">终端</w:t>
            </w:r>
            <w:r/>
          </w:p>
        </w:tc>
        <w:tc>
          <w:tcPr>
            <w:tcW w:w="6462" w:type="dxa"/>
            <w:vAlign w:val="center"/>
            <w:textDirection w:val="lrTb"/>
            <w:noWrap w:val="false"/>
          </w:tcPr>
          <w:p>
            <w:pPr>
              <w:jc w:val="left"/>
              <w:rPr>
                <w:sz w:val="20"/>
                <w:szCs w:val="20"/>
              </w:rPr>
              <w:outlineLvl w:val="0"/>
            </w:pPr>
            <w:r>
              <w:rPr>
                <w:rFonts w:hint="eastAsia"/>
                <w:sz w:val="20"/>
                <w:szCs w:val="20"/>
              </w:rPr>
              <w:t xml:space="preserve">★1、终端</w:t>
            </w:r>
            <w:r>
              <w:rPr>
                <w:rFonts w:hint="eastAsia"/>
                <w:sz w:val="20"/>
                <w:szCs w:val="20"/>
                <w:lang w:val="en-US" w:eastAsia="zh-CN"/>
              </w:rPr>
              <w:t xml:space="preserve">CPU为国产品牌，</w:t>
            </w:r>
            <w:r>
              <w:rPr>
                <w:rFonts w:hint="eastAsia"/>
                <w:sz w:val="20"/>
                <w:szCs w:val="20"/>
              </w:rPr>
              <w:t xml:space="preserve">采用x86架构</w:t>
            </w:r>
            <w:r>
              <w:rPr>
                <w:rFonts w:hint="eastAsia"/>
                <w:sz w:val="20"/>
                <w:szCs w:val="20"/>
                <w:lang w:eastAsia="zh-CN"/>
              </w:rPr>
              <w:t xml:space="preserve">；</w:t>
            </w:r>
            <w:r>
              <w:rPr>
                <w:rFonts w:hint="default" w:ascii="Arial" w:hAnsi="Arial" w:cs="Arial"/>
                <w:sz w:val="20"/>
                <w:szCs w:val="20"/>
              </w:rPr>
              <w:t xml:space="preserve">≥</w:t>
            </w:r>
            <w:r>
              <w:rPr>
                <w:rFonts w:hint="eastAsia" w:ascii="Arial" w:hAnsi="Arial" w:cs="Arial"/>
                <w:sz w:val="20"/>
                <w:szCs w:val="20"/>
                <w:lang w:val="en-US" w:eastAsia="zh-CN"/>
              </w:rPr>
              <w:t xml:space="preserve">8核，</w:t>
            </w:r>
            <w:r>
              <w:rPr>
                <w:rFonts w:hint="eastAsia"/>
                <w:sz w:val="20"/>
                <w:szCs w:val="20"/>
              </w:rPr>
              <w:t xml:space="preserve">处理器主频≥3.0GHz</w:t>
            </w:r>
            <w:r>
              <w:rPr>
                <w:rFonts w:hint="eastAsia"/>
                <w:sz w:val="20"/>
                <w:szCs w:val="20"/>
              </w:rPr>
              <w:br/>
            </w:r>
            <w:r>
              <w:rPr>
                <w:rFonts w:hint="eastAsia"/>
                <w:sz w:val="20"/>
                <w:szCs w:val="20"/>
              </w:rPr>
              <w:t xml:space="preserve">（提供官网链接和截图证明）</w:t>
            </w:r>
            <w:r>
              <w:rPr>
                <w:rFonts w:hint="eastAsia"/>
                <w:sz w:val="20"/>
                <w:szCs w:val="20"/>
              </w:rPr>
              <w:br/>
            </w:r>
            <w:r>
              <w:rPr>
                <w:rFonts w:hint="eastAsia"/>
                <w:sz w:val="20"/>
                <w:szCs w:val="20"/>
              </w:rPr>
              <w:t xml:space="preserve">3、配置内存容量≥8GB；本地存储容量≥256 GB（NVME SSD）。</w:t>
            </w:r>
            <w:r>
              <w:rPr>
                <w:rFonts w:hint="eastAsia"/>
                <w:sz w:val="20"/>
                <w:szCs w:val="20"/>
              </w:rPr>
              <w:br/>
            </w:r>
            <w:r>
              <w:rPr>
                <w:rFonts w:hint="eastAsia"/>
                <w:sz w:val="20"/>
                <w:szCs w:val="20"/>
              </w:rPr>
              <w:t xml:space="preserve">4、为减少桌面空间的占用，终端主体体积≤10L。（提供官网链接和截图证明）</w:t>
            </w:r>
            <w:r/>
          </w:p>
          <w:p>
            <w:pPr>
              <w:jc w:val="left"/>
              <w:rPr>
                <w:sz w:val="20"/>
                <w:szCs w:val="20"/>
              </w:rPr>
              <w:outlineLvl w:val="0"/>
            </w:pPr>
            <w:r>
              <w:rPr>
                <w:rFonts w:hint="eastAsia"/>
                <w:sz w:val="20"/>
                <w:szCs w:val="20"/>
              </w:rPr>
              <w:t xml:space="preserve">★5、USB3.0接口≥8个，USB2.0接口≥2个，Type-C接口≥1，千兆网口≥2个，VGA接口≥1个，HDMI接口≥1个，COM口≥2个，提供清晰的产品外观图片并展示各接口位置及说明。（提供官网链接和截图证明） </w:t>
            </w:r>
            <w:r>
              <w:rPr>
                <w:rFonts w:hint="eastAsia"/>
                <w:sz w:val="20"/>
                <w:szCs w:val="20"/>
              </w:rPr>
              <w:br/>
            </w:r>
            <w:r>
              <w:rPr>
                <w:rFonts w:hint="eastAsia"/>
                <w:sz w:val="20"/>
                <w:szCs w:val="20"/>
              </w:rPr>
              <w:t xml:space="preserve">★6、为了外设扩展要求，除显卡占用的插槽外，额外配置PCIEx8插槽≥1个、PCIEx4插槽≥1个，针对此参数需提供清晰的产品图片。（提供官网链接和截图证明）</w:t>
            </w:r>
            <w:r>
              <w:rPr>
                <w:rFonts w:hint="eastAsia"/>
                <w:sz w:val="20"/>
                <w:szCs w:val="20"/>
              </w:rPr>
              <w:br/>
            </w:r>
            <w:r>
              <w:rPr>
                <w:rFonts w:hint="eastAsia"/>
                <w:sz w:val="20"/>
                <w:szCs w:val="20"/>
              </w:rPr>
              <w:t xml:space="preserve">★7、为确保原有数据有足够空间进行迁移，支持SATA硬盘接口≥2个进行扩展，M.2插槽≥1个进行扩展；支持内存扩展槽位≥3个，针对此参数需提供清晰的产品图片。</w:t>
            </w:r>
            <w:r>
              <w:rPr>
                <w:rFonts w:hint="eastAsia"/>
                <w:sz w:val="20"/>
                <w:szCs w:val="20"/>
              </w:rPr>
              <w:br/>
            </w:r>
            <w:r>
              <w:rPr>
                <w:rFonts w:hint="eastAsia"/>
                <w:sz w:val="20"/>
                <w:szCs w:val="20"/>
              </w:rPr>
              <w:t xml:space="preserve">8、配置独立显卡，显存≥2GB。</w:t>
            </w:r>
            <w:r>
              <w:rPr>
                <w:rFonts w:hint="eastAsia"/>
                <w:sz w:val="20"/>
                <w:szCs w:val="20"/>
              </w:rPr>
              <w:br/>
            </w:r>
            <w:r>
              <w:rPr>
                <w:rFonts w:hint="eastAsia"/>
                <w:sz w:val="20"/>
                <w:szCs w:val="20"/>
              </w:rPr>
              <w:t xml:space="preserve">★9、为保障所投设备质量优异、可靠性高，要求所投设备平均故障间隔时间（MTBF）≥30万小时。（提供第三方测试机构出具的测试报告和证书复印件并加盖厂商公章，并提供证书官方查询链接和截图）</w:t>
            </w:r>
            <w:r>
              <w:rPr>
                <w:rFonts w:hint="eastAsia"/>
                <w:sz w:val="20"/>
                <w:szCs w:val="20"/>
              </w:rPr>
              <w:br/>
            </w:r>
            <w:r>
              <w:rPr>
                <w:rFonts w:hint="eastAsia"/>
                <w:sz w:val="20"/>
                <w:szCs w:val="20"/>
              </w:rPr>
              <w:t xml:space="preserve">★10、为防止人体触电，要求所投终端产品满足抗电强度要求：（1）电源初级与地之间施加AC1500V产品无击穿现象；（2）电源初级与次级之间施加AC3000V产品无击穿现象；（3）电源初级与机壳之间施加AC3000V产品无击穿现象。（需提供国家级权威测试机构出具的证书复印件）</w:t>
            </w:r>
            <w:r/>
          </w:p>
        </w:tc>
        <w:tc>
          <w:tcPr>
            <w:tcW w:w="613" w:type="dxa"/>
            <w:vAlign w:val="center"/>
            <w:textDirection w:val="lrTb"/>
            <w:noWrap w:val="false"/>
          </w:tcPr>
          <w:p>
            <w:pPr>
              <w:jc w:val="left"/>
              <w:rPr>
                <w:sz w:val="20"/>
                <w:szCs w:val="20"/>
              </w:rPr>
              <w:outlineLvl w:val="0"/>
            </w:pPr>
            <w:r>
              <w:rPr>
                <w:rFonts w:hint="eastAsia"/>
                <w:sz w:val="20"/>
                <w:szCs w:val="20"/>
              </w:rPr>
              <w:t xml:space="preserve">200</w:t>
            </w:r>
            <w:r/>
          </w:p>
        </w:tc>
        <w:tc>
          <w:tcPr>
            <w:tcW w:w="359" w:type="dxa"/>
            <w:vAlign w:val="center"/>
            <w:textDirection w:val="lrTb"/>
            <w:noWrap w:val="false"/>
          </w:tcPr>
          <w:p>
            <w:pPr>
              <w:jc w:val="left"/>
              <w:rPr>
                <w:sz w:val="20"/>
                <w:szCs w:val="20"/>
              </w:rPr>
              <w:outlineLvl w:val="0"/>
            </w:pPr>
            <w:r>
              <w:rPr>
                <w:rFonts w:hint="eastAsia"/>
                <w:sz w:val="20"/>
                <w:szCs w:val="20"/>
              </w:rPr>
              <w:t xml:space="preserve">台</w:t>
            </w:r>
            <w:r/>
          </w:p>
        </w:tc>
        <w:tc>
          <w:tcPr>
            <w:tcW w:w="236" w:type="dxa"/>
            <w:vAlign w:val="center"/>
            <w:textDirection w:val="lrTb"/>
            <w:noWrap w:val="false"/>
          </w:tcPr>
          <w:p>
            <w:pPr>
              <w:jc w:val="left"/>
              <w:rPr>
                <w:sz w:val="20"/>
                <w:szCs w:val="20"/>
              </w:rPr>
              <w:outlineLvl w:val="0"/>
            </w:pPr>
            <w:r>
              <w:rPr>
                <w:rFonts w:hint="eastAsia"/>
                <w:sz w:val="20"/>
                <w:szCs w:val="20"/>
              </w:rPr>
              <w:t xml:space="preserve">　</w:t>
            </w:r>
            <w:r/>
          </w:p>
        </w:tc>
      </w:tr>
      <w:tr>
        <w:trPr>
          <w:jc w:val="center"/>
          <w:trHeight w:val="1975"/>
        </w:trPr>
        <w:tc>
          <w:tcPr>
            <w:tcW w:w="345" w:type="dxa"/>
            <w:vAlign w:val="center"/>
            <w:vMerge w:val="continue"/>
            <w:textDirection w:val="lrTb"/>
            <w:noWrap w:val="false"/>
          </w:tcPr>
          <w:p>
            <w:pPr>
              <w:jc w:val="left"/>
              <w:rPr>
                <w:sz w:val="20"/>
                <w:szCs w:val="20"/>
              </w:rPr>
              <w:outlineLvl w:val="0"/>
            </w:pPr>
            <w:r>
              <w:rPr>
                <w:sz w:val="20"/>
                <w:szCs w:val="20"/>
              </w:rPr>
            </w:r>
            <w:r/>
          </w:p>
        </w:tc>
        <w:tc>
          <w:tcPr>
            <w:tcW w:w="675" w:type="dxa"/>
            <w:vAlign w:val="center"/>
            <w:vMerge w:val="continue"/>
            <w:textDirection w:val="lrTb"/>
            <w:noWrap w:val="false"/>
          </w:tcPr>
          <w:p>
            <w:pPr>
              <w:jc w:val="left"/>
              <w:rPr>
                <w:sz w:val="20"/>
                <w:szCs w:val="20"/>
              </w:rPr>
              <w:outlineLvl w:val="0"/>
            </w:pPr>
            <w:r>
              <w:rPr>
                <w:sz w:val="20"/>
                <w:szCs w:val="20"/>
              </w:rPr>
            </w:r>
            <w:r/>
          </w:p>
        </w:tc>
        <w:tc>
          <w:tcPr>
            <w:tcW w:w="663" w:type="dxa"/>
            <w:vAlign w:val="center"/>
            <w:textDirection w:val="lrTb"/>
            <w:noWrap w:val="false"/>
          </w:tcPr>
          <w:p>
            <w:pPr>
              <w:jc w:val="left"/>
              <w:rPr>
                <w:sz w:val="20"/>
                <w:szCs w:val="20"/>
              </w:rPr>
              <w:outlineLvl w:val="0"/>
            </w:pPr>
            <w:r>
              <w:rPr>
                <w:rFonts w:hint="eastAsia"/>
                <w:sz w:val="20"/>
                <w:szCs w:val="20"/>
              </w:rPr>
              <w:t xml:space="preserve">终端授权</w:t>
            </w:r>
            <w:r/>
          </w:p>
        </w:tc>
        <w:tc>
          <w:tcPr>
            <w:tcW w:w="6462" w:type="dxa"/>
            <w:vAlign w:val="center"/>
            <w:textDirection w:val="lrTb"/>
            <w:noWrap w:val="false"/>
          </w:tcPr>
          <w:p>
            <w:pPr>
              <w:jc w:val="left"/>
              <w:rPr>
                <w:sz w:val="20"/>
                <w:szCs w:val="20"/>
              </w:rPr>
              <w:outlineLvl w:val="0"/>
            </w:pPr>
            <w:r>
              <w:rPr>
                <w:rFonts w:hint="eastAsia"/>
                <w:sz w:val="20"/>
                <w:szCs w:val="20"/>
              </w:rPr>
              <w:t xml:space="preserve">1、云桌面控制平台软件，采用B/S（Broswer/Server）架构，提供云桌面管理、镜像管理、用户管理、终端管理、策略管理等功能模块。</w:t>
            </w:r>
            <w:r>
              <w:rPr>
                <w:rFonts w:hint="eastAsia"/>
                <w:sz w:val="20"/>
                <w:szCs w:val="20"/>
              </w:rPr>
              <w:br/>
            </w:r>
            <w:r>
              <w:rPr>
                <w:rFonts w:hint="eastAsia"/>
                <w:sz w:val="20"/>
                <w:szCs w:val="20"/>
              </w:rPr>
              <w:t xml:space="preserve">2、支持以下三种类型云桌面：（1）、关闭云桌面后用户的个性化配置与数据不会丢失；（2）、每次关闭云桌面后自动还原系统盘到初始状态；（3）、用户桌面统一升级安装应用软件，但用户的个性数据不受影响。</w:t>
            </w:r>
            <w:r>
              <w:rPr>
                <w:rFonts w:hint="eastAsia"/>
                <w:sz w:val="20"/>
                <w:szCs w:val="20"/>
              </w:rPr>
              <w:br/>
            </w:r>
            <w:r>
              <w:rPr>
                <w:rFonts w:hint="eastAsia"/>
                <w:sz w:val="20"/>
                <w:szCs w:val="20"/>
              </w:rPr>
              <w:t xml:space="preserve">★3、可以根据用户名、云桌面IP、云桌面名称等信息分页查询云桌面信息。（提供产品功能界面截图）</w:t>
            </w:r>
            <w:r>
              <w:rPr>
                <w:rFonts w:hint="eastAsia"/>
                <w:sz w:val="20"/>
                <w:szCs w:val="20"/>
              </w:rPr>
              <w:br/>
            </w:r>
            <w:r>
              <w:rPr>
                <w:rFonts w:hint="eastAsia"/>
                <w:sz w:val="20"/>
                <w:szCs w:val="20"/>
              </w:rPr>
              <w:t xml:space="preserve">4、支持用户桌面个性化数据(包括应用程序配置文件、注册表、系统的修改和配置等用户个性化文件)重向至定个人磁盘中，管理员在统一更新、升级镜像后不会影响个人数据。</w:t>
            </w:r>
            <w:r>
              <w:rPr>
                <w:rFonts w:hint="eastAsia"/>
                <w:sz w:val="20"/>
                <w:szCs w:val="20"/>
              </w:rPr>
              <w:br/>
            </w:r>
            <w:r>
              <w:rPr>
                <w:rFonts w:hint="eastAsia"/>
                <w:sz w:val="20"/>
                <w:szCs w:val="20"/>
              </w:rPr>
              <w:t xml:space="preserve">★5、为满足在桌面故障后能在3分钟内快速恢复桌面环境，并确保原C盘（系统盘）文件不被删除，便于用户恢复数据；支持在桌面还原后，保留历史系统盘的能力；能够在还原桌面后，自动将故障系统盘作为数据盘挂载到新桌面内，便于用户拷贝数据。（提供产品功能界面截图）</w:t>
            </w:r>
            <w:r>
              <w:rPr>
                <w:rFonts w:hint="eastAsia"/>
                <w:sz w:val="20"/>
                <w:szCs w:val="20"/>
              </w:rPr>
              <w:br/>
            </w:r>
            <w:r>
              <w:rPr>
                <w:rFonts w:hint="eastAsia"/>
                <w:sz w:val="20"/>
                <w:szCs w:val="20"/>
              </w:rPr>
              <w:t xml:space="preserve">★6、支持胖终端（TCI/IDV）镜像静默下载功能，镜像下载过程中可中断下载，进入桌面，无需等待镜像下载完毕后才能启动桌面，以免对使用者使用终端造成影响。（提供产品功能界面截图）</w:t>
            </w:r>
            <w:r>
              <w:rPr>
                <w:rFonts w:hint="eastAsia"/>
                <w:sz w:val="20"/>
                <w:szCs w:val="20"/>
              </w:rPr>
              <w:br/>
            </w:r>
            <w:r>
              <w:rPr>
                <w:rFonts w:hint="eastAsia"/>
                <w:sz w:val="20"/>
                <w:szCs w:val="20"/>
              </w:rPr>
              <w:t xml:space="preserve">★7、支持灵活配置多种用户安全访问策略，包括但不限于本地密码安全策略、动态口令认证、硬件特征码认证等，动态口令依托微信小程序，无需额外下载客户端。（提供产品功能界面截图）</w:t>
            </w:r>
            <w:r>
              <w:rPr>
                <w:rFonts w:hint="eastAsia"/>
                <w:sz w:val="20"/>
                <w:szCs w:val="20"/>
              </w:rPr>
              <w:br/>
            </w:r>
            <w:r>
              <w:rPr>
                <w:rFonts w:hint="eastAsia"/>
                <w:sz w:val="20"/>
                <w:szCs w:val="20"/>
              </w:rPr>
              <w:t xml:space="preserve">★8、支持定时及远程开启IDV/TCI终端，使用WOL和WOW两种技术可以同时实现局域网和跨三层网络的终端开机，通过远程开机功能可以使针对终端本地的配置快速生效，同时也可根据岗位需求设置定时任务使得终端在使用者到岗前即完成启动，提升使用体验。（提供产品功能界面截图）</w:t>
            </w:r>
            <w:r>
              <w:rPr>
                <w:rFonts w:hint="eastAsia"/>
                <w:sz w:val="20"/>
                <w:szCs w:val="20"/>
              </w:rPr>
              <w:br/>
            </w:r>
            <w:r>
              <w:rPr>
                <w:rFonts w:hint="eastAsia"/>
                <w:sz w:val="20"/>
                <w:szCs w:val="20"/>
              </w:rPr>
              <w:t xml:space="preserve">★9、支持通过推送安装包、应用磁盘的方式，为桌面提供应用管理能力，同时推送安装包、应用磁盘的能力需包含VDI、IDV、TCI三种类型。（提供产品功能界面截图）</w:t>
            </w:r>
            <w:r>
              <w:rPr>
                <w:rFonts w:hint="eastAsia"/>
                <w:sz w:val="20"/>
                <w:szCs w:val="20"/>
              </w:rPr>
              <w:br/>
            </w:r>
            <w:r>
              <w:rPr>
                <w:rFonts w:hint="eastAsia"/>
                <w:sz w:val="20"/>
                <w:szCs w:val="20"/>
              </w:rPr>
              <w:t xml:space="preserve">★10、提供物理PC桌面管理工具，可安装在PC或虚拟机环境中，管理工具可显示基本硬件信息，支持用户端可以主动报障功能，并高亮显示报障信息。（提供产品功能界面截图）</w:t>
            </w:r>
            <w:r>
              <w:rPr>
                <w:rFonts w:hint="eastAsia"/>
                <w:sz w:val="20"/>
                <w:szCs w:val="20"/>
              </w:rPr>
              <w:br/>
            </w:r>
            <w:r>
              <w:rPr>
                <w:rFonts w:hint="eastAsia"/>
                <w:sz w:val="20"/>
                <w:szCs w:val="20"/>
              </w:rPr>
              <w:t xml:space="preserve">★11、集成云盘功能：（1）在用户登录云桌面时自动登录云盘；（2）支持自动或手动创建用户群组，群成员可在组内分享文件；（3）为实现分级管理，管理员可设置不同权限的管理员角色；（4）可通过配置支持通过互联网访问内网云盘数据（非VPN）；（5）提供文件收集功能，用户可以发起文件收集任务，收集任务可以设置截止时间和催收时间；</w:t>
            </w:r>
            <w:r/>
          </w:p>
          <w:p>
            <w:pPr>
              <w:jc w:val="left"/>
              <w:rPr>
                <w:sz w:val="20"/>
                <w:szCs w:val="20"/>
              </w:rPr>
              <w:outlineLvl w:val="0"/>
            </w:pPr>
            <w:r>
              <w:rPr>
                <w:rFonts w:hint="eastAsia"/>
                <w:sz w:val="20"/>
                <w:szCs w:val="20"/>
              </w:rPr>
              <w:t xml:space="preserve">（6）支持在异地电脑上安装云盘客户端，网络可达条件下，实现和云桌面同步获取云盘数据。（以上功能提供官网链接和截图证明）</w:t>
            </w:r>
            <w:r/>
          </w:p>
        </w:tc>
        <w:tc>
          <w:tcPr>
            <w:tcW w:w="613" w:type="dxa"/>
            <w:vAlign w:val="center"/>
            <w:textDirection w:val="lrTb"/>
            <w:noWrap w:val="false"/>
          </w:tcPr>
          <w:p>
            <w:pPr>
              <w:jc w:val="left"/>
              <w:rPr>
                <w:sz w:val="20"/>
                <w:szCs w:val="20"/>
              </w:rPr>
              <w:outlineLvl w:val="0"/>
            </w:pPr>
            <w:r>
              <w:rPr>
                <w:rFonts w:hint="eastAsia"/>
                <w:sz w:val="20"/>
                <w:szCs w:val="20"/>
              </w:rPr>
              <w:t xml:space="preserve">200</w:t>
            </w:r>
            <w:r/>
          </w:p>
        </w:tc>
        <w:tc>
          <w:tcPr>
            <w:tcW w:w="359" w:type="dxa"/>
            <w:vAlign w:val="center"/>
            <w:textDirection w:val="lrTb"/>
            <w:noWrap w:val="false"/>
          </w:tcPr>
          <w:p>
            <w:pPr>
              <w:jc w:val="left"/>
              <w:rPr>
                <w:sz w:val="20"/>
                <w:szCs w:val="20"/>
              </w:rPr>
              <w:outlineLvl w:val="0"/>
            </w:pPr>
            <w:r>
              <w:rPr>
                <w:rFonts w:hint="eastAsia"/>
                <w:sz w:val="20"/>
                <w:szCs w:val="20"/>
              </w:rPr>
              <w:t xml:space="preserve">项</w:t>
            </w:r>
            <w:r/>
          </w:p>
        </w:tc>
        <w:tc>
          <w:tcPr>
            <w:tcW w:w="236" w:type="dxa"/>
            <w:vAlign w:val="center"/>
            <w:textDirection w:val="lrTb"/>
            <w:noWrap w:val="false"/>
          </w:tcPr>
          <w:p>
            <w:pPr>
              <w:jc w:val="left"/>
              <w:rPr>
                <w:sz w:val="20"/>
                <w:szCs w:val="20"/>
              </w:rPr>
              <w:outlineLvl w:val="0"/>
            </w:pPr>
            <w:r>
              <w:rPr>
                <w:rFonts w:hint="eastAsia"/>
                <w:sz w:val="20"/>
                <w:szCs w:val="20"/>
              </w:rPr>
              <w:t xml:space="preserve">　</w:t>
            </w:r>
            <w:r/>
          </w:p>
        </w:tc>
      </w:tr>
      <w:tr>
        <w:trPr>
          <w:jc w:val="center"/>
          <w:trHeight w:val="323"/>
        </w:trPr>
        <w:tc>
          <w:tcPr>
            <w:tcW w:w="345" w:type="dxa"/>
            <w:vAlign w:val="center"/>
            <w:vMerge w:val="continue"/>
            <w:textDirection w:val="lrTb"/>
            <w:noWrap w:val="false"/>
          </w:tcPr>
          <w:p>
            <w:pPr>
              <w:jc w:val="left"/>
              <w:rPr>
                <w:sz w:val="20"/>
                <w:szCs w:val="20"/>
              </w:rPr>
              <w:outlineLvl w:val="0"/>
            </w:pPr>
            <w:r>
              <w:rPr>
                <w:sz w:val="20"/>
                <w:szCs w:val="20"/>
              </w:rPr>
            </w:r>
            <w:r/>
          </w:p>
        </w:tc>
        <w:tc>
          <w:tcPr>
            <w:tcW w:w="675" w:type="dxa"/>
            <w:vAlign w:val="center"/>
            <w:vMerge w:val="continue"/>
            <w:textDirection w:val="lrTb"/>
            <w:noWrap w:val="false"/>
          </w:tcPr>
          <w:p>
            <w:pPr>
              <w:jc w:val="left"/>
              <w:rPr>
                <w:sz w:val="20"/>
                <w:szCs w:val="20"/>
              </w:rPr>
              <w:outlineLvl w:val="0"/>
            </w:pPr>
            <w:r>
              <w:rPr>
                <w:sz w:val="20"/>
                <w:szCs w:val="20"/>
              </w:rPr>
            </w:r>
            <w:r/>
          </w:p>
        </w:tc>
        <w:tc>
          <w:tcPr>
            <w:tcW w:w="663" w:type="dxa"/>
            <w:vAlign w:val="center"/>
            <w:textDirection w:val="lrTb"/>
            <w:noWrap w:val="false"/>
          </w:tcPr>
          <w:p>
            <w:pPr>
              <w:jc w:val="left"/>
              <w:rPr>
                <w:sz w:val="20"/>
                <w:szCs w:val="20"/>
              </w:rPr>
              <w:outlineLvl w:val="0"/>
            </w:pPr>
            <w:r>
              <w:rPr>
                <w:rFonts w:hint="eastAsia"/>
                <w:sz w:val="20"/>
                <w:szCs w:val="20"/>
              </w:rPr>
              <w:t xml:space="preserve">键鼠</w:t>
            </w:r>
            <w:r/>
          </w:p>
        </w:tc>
        <w:tc>
          <w:tcPr>
            <w:tcW w:w="6462" w:type="dxa"/>
            <w:vAlign w:val="center"/>
            <w:textDirection w:val="lrTb"/>
            <w:noWrap w:val="false"/>
          </w:tcPr>
          <w:p>
            <w:pPr>
              <w:jc w:val="left"/>
              <w:rPr>
                <w:sz w:val="20"/>
                <w:szCs w:val="20"/>
              </w:rPr>
              <w:outlineLvl w:val="0"/>
            </w:pPr>
            <w:r>
              <w:rPr>
                <w:rFonts w:hint="eastAsia"/>
                <w:sz w:val="20"/>
                <w:szCs w:val="20"/>
              </w:rPr>
              <w:t xml:space="preserve">云桌面有线键鼠套装，内含有线键盘、鼠标、鼠标垫。</w:t>
            </w:r>
            <w:r/>
          </w:p>
        </w:tc>
        <w:tc>
          <w:tcPr>
            <w:tcW w:w="613" w:type="dxa"/>
            <w:vAlign w:val="center"/>
            <w:textDirection w:val="lrTb"/>
            <w:noWrap w:val="false"/>
          </w:tcPr>
          <w:p>
            <w:pPr>
              <w:jc w:val="left"/>
              <w:rPr>
                <w:sz w:val="20"/>
                <w:szCs w:val="20"/>
              </w:rPr>
              <w:outlineLvl w:val="0"/>
            </w:pPr>
            <w:r>
              <w:rPr>
                <w:rFonts w:hint="eastAsia"/>
                <w:sz w:val="20"/>
                <w:szCs w:val="20"/>
              </w:rPr>
              <w:t xml:space="preserve">200</w:t>
            </w:r>
            <w:r/>
          </w:p>
        </w:tc>
        <w:tc>
          <w:tcPr>
            <w:tcW w:w="359" w:type="dxa"/>
            <w:vAlign w:val="center"/>
            <w:textDirection w:val="lrTb"/>
            <w:noWrap w:val="false"/>
          </w:tcPr>
          <w:p>
            <w:pPr>
              <w:jc w:val="left"/>
              <w:rPr>
                <w:sz w:val="20"/>
                <w:szCs w:val="20"/>
              </w:rPr>
              <w:outlineLvl w:val="0"/>
            </w:pPr>
            <w:r>
              <w:rPr>
                <w:rFonts w:hint="eastAsia"/>
                <w:sz w:val="20"/>
                <w:szCs w:val="20"/>
              </w:rPr>
              <w:t xml:space="preserve">套</w:t>
            </w:r>
            <w:r/>
          </w:p>
        </w:tc>
        <w:tc>
          <w:tcPr>
            <w:tcW w:w="236" w:type="dxa"/>
            <w:vAlign w:val="center"/>
            <w:textDirection w:val="lrTb"/>
            <w:noWrap w:val="false"/>
          </w:tcPr>
          <w:p>
            <w:pPr>
              <w:jc w:val="left"/>
              <w:rPr>
                <w:sz w:val="20"/>
                <w:szCs w:val="20"/>
              </w:rPr>
              <w:outlineLvl w:val="0"/>
            </w:pPr>
            <w:r>
              <w:rPr>
                <w:rFonts w:hint="eastAsia"/>
                <w:sz w:val="20"/>
                <w:szCs w:val="20"/>
              </w:rPr>
              <w:t xml:space="preserve">　</w:t>
            </w:r>
            <w:r/>
          </w:p>
        </w:tc>
      </w:tr>
      <w:tr>
        <w:trPr>
          <w:jc w:val="center"/>
          <w:trHeight w:val="2053"/>
        </w:trPr>
        <w:tc>
          <w:tcPr>
            <w:tcW w:w="345" w:type="dxa"/>
            <w:vAlign w:val="center"/>
            <w:vMerge w:val="restart"/>
            <w:textDirection w:val="lrTb"/>
            <w:noWrap w:val="false"/>
          </w:tcPr>
          <w:p>
            <w:pPr>
              <w:jc w:val="left"/>
              <w:rPr>
                <w:sz w:val="20"/>
                <w:szCs w:val="20"/>
              </w:rPr>
            </w:pPr>
            <w:r>
              <w:rPr>
                <w:rFonts w:hint="eastAsia"/>
                <w:sz w:val="20"/>
                <w:szCs w:val="20"/>
              </w:rPr>
              <w:t xml:space="preserve">2</w:t>
            </w:r>
            <w:r/>
          </w:p>
        </w:tc>
        <w:tc>
          <w:tcPr>
            <w:tcW w:w="675" w:type="dxa"/>
            <w:vAlign w:val="center"/>
            <w:vMerge w:val="restart"/>
            <w:textDirection w:val="lrTb"/>
            <w:noWrap w:val="false"/>
          </w:tcPr>
          <w:p>
            <w:pPr>
              <w:jc w:val="left"/>
              <w:rPr>
                <w:sz w:val="20"/>
                <w:szCs w:val="20"/>
              </w:rPr>
            </w:pPr>
            <w:r>
              <w:rPr>
                <w:rFonts w:hint="eastAsia"/>
                <w:sz w:val="20"/>
                <w:szCs w:val="20"/>
              </w:rPr>
              <w:t xml:space="preserve">护理PDA</w:t>
            </w:r>
            <w:r/>
          </w:p>
        </w:tc>
        <w:tc>
          <w:tcPr>
            <w:tcW w:w="663" w:type="dxa"/>
            <w:vAlign w:val="center"/>
            <w:textDirection w:val="lrTb"/>
            <w:noWrap w:val="false"/>
          </w:tcPr>
          <w:p>
            <w:pPr>
              <w:jc w:val="left"/>
              <w:rPr>
                <w:sz w:val="20"/>
                <w:szCs w:val="20"/>
              </w:rPr>
            </w:pPr>
            <w:r>
              <w:rPr>
                <w:rFonts w:hint="eastAsia"/>
                <w:sz w:val="20"/>
                <w:szCs w:val="20"/>
              </w:rPr>
              <w:t xml:space="preserve">5G-PDA</w:t>
            </w:r>
            <w:r/>
          </w:p>
        </w:tc>
        <w:tc>
          <w:tcPr>
            <w:tcW w:w="6462" w:type="dxa"/>
            <w:vAlign w:val="center"/>
            <w:textDirection w:val="lrTb"/>
            <w:noWrap w:val="false"/>
          </w:tcPr>
          <w:p>
            <w:pPr>
              <w:jc w:val="left"/>
              <w:spacing w:after="240"/>
              <w:rPr>
                <w:color w:val="000000"/>
                <w:sz w:val="20"/>
                <w:szCs w:val="20"/>
              </w:rPr>
            </w:pPr>
            <w:r>
              <w:rPr>
                <w:rFonts w:hint="eastAsia"/>
                <w:sz w:val="20"/>
                <w:szCs w:val="20"/>
              </w:rPr>
              <w:t xml:space="preserve">★</w:t>
            </w:r>
            <w:r>
              <w:rPr>
                <w:rFonts w:hint="eastAsia"/>
                <w:color w:val="000000"/>
                <w:sz w:val="20"/>
                <w:szCs w:val="20"/>
              </w:rPr>
              <w:t xml:space="preserve">1、处理器≥</w:t>
            </w:r>
            <w:r>
              <w:rPr>
                <w:rFonts w:hint="eastAsia"/>
                <w:color w:val="000000"/>
                <w:sz w:val="20"/>
                <w:szCs w:val="20"/>
                <w:lang w:val="en-US" w:eastAsia="zh-CN"/>
              </w:rPr>
              <w:t xml:space="preserve">8</w:t>
            </w:r>
            <w:r>
              <w:rPr>
                <w:rFonts w:hint="eastAsia"/>
                <w:color w:val="000000"/>
                <w:sz w:val="20"/>
                <w:szCs w:val="20"/>
              </w:rPr>
              <w:t xml:space="preserve">核及以上处理器，CPU主频≥2.0GHz;</w:t>
            </w:r>
            <w:r>
              <w:rPr>
                <w:rFonts w:hint="eastAsia"/>
                <w:color w:val="000000"/>
                <w:sz w:val="20"/>
                <w:szCs w:val="20"/>
              </w:rPr>
              <w:br/>
            </w:r>
            <w:r>
              <w:rPr>
                <w:rFonts w:hint="eastAsia"/>
                <w:color w:val="000000"/>
                <w:sz w:val="20"/>
                <w:szCs w:val="20"/>
              </w:rPr>
              <w:t xml:space="preserve">2、操作系统:Android11及以上;</w:t>
            </w:r>
            <w:r>
              <w:rPr>
                <w:rFonts w:hint="eastAsia"/>
                <w:color w:val="000000"/>
                <w:sz w:val="20"/>
                <w:szCs w:val="20"/>
              </w:rPr>
              <w:br/>
            </w:r>
            <w:r>
              <w:rPr>
                <w:rFonts w:hint="eastAsia"/>
                <w:color w:val="000000"/>
                <w:sz w:val="20"/>
                <w:szCs w:val="20"/>
              </w:rPr>
              <w:t xml:space="preserve">3、RAM≥6GB;</w:t>
            </w:r>
            <w:r>
              <w:rPr>
                <w:rFonts w:hint="eastAsia"/>
                <w:color w:val="000000"/>
                <w:sz w:val="20"/>
                <w:szCs w:val="20"/>
              </w:rPr>
              <w:br/>
            </w:r>
            <w:r>
              <w:rPr>
                <w:rFonts w:hint="eastAsia"/>
                <w:color w:val="000000"/>
                <w:sz w:val="20"/>
                <w:szCs w:val="20"/>
              </w:rPr>
              <w:t xml:space="preserve">4、ROM≥64GB，支持存储扩展最大到128GB;</w:t>
            </w:r>
            <w:r>
              <w:rPr>
                <w:rFonts w:hint="eastAsia"/>
                <w:color w:val="000000"/>
                <w:sz w:val="20"/>
                <w:szCs w:val="20"/>
              </w:rPr>
              <w:br/>
            </w:r>
            <w:r>
              <w:rPr>
                <w:rFonts w:hint="eastAsia"/>
                <w:color w:val="000000"/>
                <w:sz w:val="20"/>
                <w:szCs w:val="20"/>
              </w:rPr>
              <w:t xml:space="preserve">5、重量≤270g；</w:t>
            </w:r>
            <w:r>
              <w:rPr>
                <w:rFonts w:hint="eastAsia"/>
                <w:color w:val="000000"/>
                <w:sz w:val="20"/>
                <w:szCs w:val="20"/>
              </w:rPr>
              <w:br/>
            </w:r>
            <w:r>
              <w:rPr>
                <w:rFonts w:hint="eastAsia"/>
                <w:color w:val="000000"/>
                <w:sz w:val="20"/>
                <w:szCs w:val="20"/>
              </w:rPr>
              <w:t xml:space="preserve">6、屏幕≥5.9英寸FHD显示屏，电容式触摸，支持戴手套/带水触摸；</w:t>
            </w:r>
            <w:r>
              <w:rPr>
                <w:rFonts w:hint="eastAsia"/>
                <w:color w:val="000000"/>
                <w:sz w:val="20"/>
                <w:szCs w:val="20"/>
              </w:rPr>
              <w:br/>
            </w:r>
            <w:r>
              <w:rPr>
                <w:rFonts w:hint="eastAsia"/>
                <w:color w:val="000000"/>
                <w:sz w:val="20"/>
                <w:szCs w:val="20"/>
              </w:rPr>
              <w:t xml:space="preserve">7、分辨率≥1080×2160;设备尺寸≤165mm*79mm*15mm;</w:t>
            </w:r>
            <w:r>
              <w:rPr>
                <w:rFonts w:hint="eastAsia"/>
                <w:color w:val="000000"/>
                <w:sz w:val="20"/>
                <w:szCs w:val="20"/>
              </w:rPr>
              <w:br/>
            </w:r>
            <w:r>
              <w:rPr>
                <w:rFonts w:hint="eastAsia"/>
                <w:color w:val="000000"/>
                <w:sz w:val="20"/>
                <w:szCs w:val="20"/>
              </w:rPr>
              <w:t xml:space="preserve">8、电源≥4950mAh锂离子充电电池，电池不借助任何第三方工具可拆卸更换,内置备份电功能，在更换电池状态下设备不关机;</w:t>
            </w:r>
            <w:r>
              <w:rPr>
                <w:rFonts w:hint="eastAsia"/>
                <w:color w:val="000000"/>
                <w:sz w:val="20"/>
                <w:szCs w:val="20"/>
              </w:rPr>
              <w:br/>
            </w:r>
            <w:r>
              <w:rPr>
                <w:rFonts w:hint="eastAsia"/>
                <w:color w:val="000000"/>
                <w:sz w:val="20"/>
                <w:szCs w:val="20"/>
              </w:rPr>
              <w:t xml:space="preserve">9、数据通信接口标准的TYPE-C USB接口，支持OTG，支持正反随便插拔。为防止药水浸入USB接口，USB接口需标配胶塞;</w:t>
            </w:r>
            <w:r>
              <w:rPr>
                <w:rFonts w:hint="eastAsia"/>
                <w:color w:val="000000"/>
                <w:sz w:val="20"/>
                <w:szCs w:val="20"/>
              </w:rPr>
              <w:br/>
            </w:r>
            <w:r>
              <w:rPr>
                <w:rFonts w:hint="eastAsia"/>
                <w:color w:val="000000"/>
                <w:sz w:val="20"/>
                <w:szCs w:val="20"/>
              </w:rPr>
              <w:t xml:space="preserve">★10、防水防尘工业等级≥IP68（提供第三方机构出具IP等级测试报告）;</w:t>
            </w:r>
            <w:r>
              <w:rPr>
                <w:rFonts w:hint="eastAsia"/>
                <w:color w:val="000000"/>
                <w:sz w:val="20"/>
                <w:szCs w:val="20"/>
              </w:rPr>
              <w:br/>
            </w:r>
            <w:r>
              <w:rPr>
                <w:rFonts w:hint="eastAsia"/>
                <w:color w:val="000000"/>
                <w:sz w:val="20"/>
                <w:szCs w:val="20"/>
              </w:rPr>
              <w:t xml:space="preserve">11、跌落测试能经受多次从1.5米高度坠落;</w:t>
            </w:r>
            <w:r>
              <w:rPr>
                <w:rFonts w:hint="eastAsia"/>
                <w:color w:val="000000"/>
                <w:sz w:val="20"/>
                <w:szCs w:val="20"/>
              </w:rPr>
              <w:br/>
            </w:r>
            <w:r>
              <w:rPr>
                <w:rFonts w:hint="eastAsia"/>
                <w:color w:val="000000"/>
                <w:sz w:val="20"/>
                <w:szCs w:val="20"/>
              </w:rPr>
              <w:t xml:space="preserve">★12、扫描引擎:专业条码解码引擎，支持一维条码和二维条码读取，扫描引擎要求由PDA厂家生产。（所投产品通过GB 7247.1-2012激光产品的安全检测，并提供具有CNAS标识的检测报告复印件，要求投标型号与检测报告中“型号”一致;）</w:t>
            </w:r>
            <w:r>
              <w:rPr>
                <w:rFonts w:hint="eastAsia"/>
                <w:color w:val="000000"/>
                <w:sz w:val="20"/>
                <w:szCs w:val="20"/>
              </w:rPr>
              <w:br/>
            </w:r>
            <w:r>
              <w:rPr>
                <w:rFonts w:hint="eastAsia"/>
                <w:color w:val="000000"/>
                <w:sz w:val="20"/>
                <w:szCs w:val="20"/>
              </w:rPr>
              <w:t xml:space="preserve">13、条码读取:支持GS1条码识别，扫描工具同步支持设置GS1应用标识分隔符开关功能（提供功能截图证明文件）；</w:t>
            </w:r>
            <w:r>
              <w:rPr>
                <w:rFonts w:hint="eastAsia"/>
                <w:color w:val="000000"/>
                <w:sz w:val="20"/>
                <w:szCs w:val="20"/>
              </w:rPr>
              <w:br/>
            </w:r>
            <w:r>
              <w:rPr>
                <w:rFonts w:hint="eastAsia"/>
                <w:color w:val="000000"/>
                <w:sz w:val="20"/>
                <w:szCs w:val="20"/>
              </w:rPr>
              <w:t xml:space="preserve">14、 扫描按键：同时支持左右两侧实体扫描按键和屏幕悬浮式扫描按键（须提供悬浮扫描按键功能截图证明）；</w:t>
            </w:r>
            <w:r>
              <w:rPr>
                <w:rFonts w:hint="eastAsia"/>
                <w:color w:val="000000"/>
                <w:sz w:val="20"/>
                <w:szCs w:val="20"/>
              </w:rPr>
              <w:br/>
            </w:r>
            <w:r>
              <w:rPr>
                <w:rFonts w:hint="eastAsia"/>
                <w:color w:val="000000"/>
                <w:sz w:val="20"/>
                <w:szCs w:val="20"/>
              </w:rPr>
              <w:t xml:space="preserve">15、准心模式：可实现PDA准心扫描，防止相邻条码的误读（提供功能截图证明）；</w:t>
            </w:r>
            <w:r>
              <w:rPr>
                <w:rFonts w:hint="eastAsia"/>
                <w:color w:val="000000"/>
                <w:sz w:val="20"/>
                <w:szCs w:val="20"/>
              </w:rPr>
              <w:br/>
            </w:r>
            <w:r>
              <w:rPr>
                <w:rFonts w:hint="eastAsia"/>
                <w:color w:val="000000"/>
                <w:sz w:val="20"/>
                <w:szCs w:val="20"/>
              </w:rPr>
              <w:t xml:space="preserve">16、拍照：后置≥1600万像，前置≥800万像素；</w:t>
            </w:r>
            <w:r>
              <w:rPr>
                <w:rFonts w:hint="eastAsia"/>
                <w:color w:val="000000"/>
                <w:sz w:val="20"/>
                <w:szCs w:val="20"/>
              </w:rPr>
              <w:br/>
            </w:r>
            <w:r>
              <w:rPr>
                <w:rFonts w:hint="eastAsia"/>
                <w:color w:val="000000"/>
                <w:sz w:val="20"/>
                <w:szCs w:val="20"/>
              </w:rPr>
              <w:t xml:space="preserve">17、手电筒：双手电筒设置，分别方便护士察看病人瞳孔和夜间查房，其中瞳孔手电支持自定义按键一键开启；</w:t>
            </w:r>
            <w:r>
              <w:rPr>
                <w:rFonts w:hint="eastAsia"/>
                <w:color w:val="000000"/>
                <w:sz w:val="20"/>
                <w:szCs w:val="20"/>
              </w:rPr>
              <w:br/>
            </w:r>
            <w:r>
              <w:rPr>
                <w:rFonts w:hint="eastAsia"/>
                <w:color w:val="000000"/>
                <w:sz w:val="20"/>
                <w:szCs w:val="20"/>
              </w:rPr>
              <w:t xml:space="preserve">18、RFID支持NFC模块，方便读取操作；</w:t>
            </w:r>
            <w:r>
              <w:rPr>
                <w:rFonts w:hint="eastAsia"/>
                <w:color w:val="000000"/>
                <w:sz w:val="20"/>
                <w:szCs w:val="20"/>
              </w:rPr>
              <w:br/>
            </w:r>
            <w:r>
              <w:rPr>
                <w:rFonts w:hint="eastAsia"/>
                <w:color w:val="000000"/>
                <w:sz w:val="20"/>
                <w:szCs w:val="20"/>
              </w:rPr>
              <w:t xml:space="preserve">19、材质医疗专用白色款式，外壳为抑菌材料，并具备耐医院酒精、过氧化氢等化学品擦拭消毒；</w:t>
            </w:r>
            <w:r>
              <w:rPr>
                <w:rFonts w:hint="eastAsia"/>
                <w:color w:val="000000"/>
                <w:sz w:val="20"/>
                <w:szCs w:val="20"/>
              </w:rPr>
              <w:br/>
            </w:r>
            <w:r>
              <w:rPr>
                <w:rFonts w:hint="eastAsia"/>
                <w:color w:val="000000"/>
                <w:sz w:val="20"/>
                <w:szCs w:val="20"/>
              </w:rPr>
              <w:t xml:space="preserve">20、键盘为便于消毒清洗，设备正面必须为触控按键，不得有实体按键；</w:t>
            </w:r>
            <w:r>
              <w:rPr>
                <w:rFonts w:hint="eastAsia"/>
                <w:color w:val="000000"/>
                <w:sz w:val="20"/>
                <w:szCs w:val="20"/>
              </w:rPr>
              <w:br/>
            </w:r>
            <w:r>
              <w:rPr>
                <w:rFonts w:hint="eastAsia"/>
                <w:color w:val="000000"/>
                <w:sz w:val="20"/>
                <w:szCs w:val="20"/>
              </w:rPr>
              <w:t xml:space="preserve">21、指纹在机身侧面，方便临床解锁设备；</w:t>
            </w:r>
            <w:r>
              <w:rPr>
                <w:rFonts w:hint="eastAsia"/>
                <w:color w:val="000000"/>
                <w:sz w:val="20"/>
                <w:szCs w:val="20"/>
              </w:rPr>
              <w:br/>
            </w:r>
            <w:r>
              <w:rPr>
                <w:rFonts w:hint="eastAsia"/>
                <w:color w:val="000000"/>
                <w:sz w:val="20"/>
                <w:szCs w:val="20"/>
              </w:rPr>
              <w:t xml:space="preserve">22、WIFI传输支持IEEE802.11a/b/g/n/ac/ax，支持WIFI6；</w:t>
            </w:r>
            <w:r>
              <w:rPr>
                <w:rFonts w:hint="eastAsia"/>
                <w:color w:val="000000"/>
                <w:sz w:val="20"/>
                <w:szCs w:val="20"/>
              </w:rPr>
              <w:br/>
            </w:r>
            <w:r>
              <w:rPr>
                <w:rFonts w:hint="eastAsia"/>
                <w:color w:val="000000"/>
                <w:sz w:val="20"/>
                <w:szCs w:val="20"/>
              </w:rPr>
              <w:t xml:space="preserve">23、数据传输5G全网通，支持双卡双待，可通过拨号设定MTU值，适配网络数据传输要求（提供可设置MTU值截图证明）；</w:t>
            </w:r>
            <w:r>
              <w:rPr>
                <w:rFonts w:hint="eastAsia"/>
                <w:color w:val="000000"/>
                <w:sz w:val="20"/>
                <w:szCs w:val="20"/>
              </w:rPr>
              <w:br/>
            </w:r>
            <w:r>
              <w:rPr>
                <w:rFonts w:hint="eastAsia"/>
                <w:color w:val="000000"/>
                <w:sz w:val="20"/>
                <w:szCs w:val="20"/>
              </w:rPr>
              <w:t xml:space="preserve">24、蓝牙Bluetooth5.1及以上；</w:t>
            </w:r>
            <w:r>
              <w:rPr>
                <w:rFonts w:hint="eastAsia"/>
                <w:color w:val="000000"/>
                <w:sz w:val="20"/>
                <w:szCs w:val="20"/>
              </w:rPr>
              <w:br/>
            </w:r>
            <w:r>
              <w:rPr>
                <w:rFonts w:hint="eastAsia"/>
                <w:color w:val="000000"/>
                <w:sz w:val="20"/>
                <w:szCs w:val="20"/>
              </w:rPr>
              <w:t xml:space="preserve">25、设备快捷配置：设备配置可生成二维码，方便快捷配置；</w:t>
            </w:r>
            <w:r>
              <w:rPr>
                <w:rFonts w:hint="eastAsia"/>
                <w:color w:val="000000"/>
                <w:sz w:val="20"/>
                <w:szCs w:val="20"/>
              </w:rPr>
              <w:br/>
            </w:r>
            <w:r>
              <w:rPr>
                <w:rFonts w:hint="eastAsia"/>
                <w:color w:val="000000"/>
                <w:sz w:val="20"/>
                <w:szCs w:val="20"/>
              </w:rPr>
              <w:t xml:space="preserve">26、网络安全管理具有添加网络白（黑）名单功能，屏蔽非法网络，可绑定医院WLAN指定AP，确保设备只能在院内使用；</w:t>
            </w:r>
            <w:r>
              <w:rPr>
                <w:rFonts w:hint="eastAsia"/>
                <w:color w:val="000000"/>
                <w:sz w:val="20"/>
                <w:szCs w:val="20"/>
              </w:rPr>
              <w:br/>
            </w:r>
            <w:r>
              <w:rPr>
                <w:rFonts w:hint="eastAsia"/>
                <w:color w:val="000000"/>
                <w:sz w:val="20"/>
                <w:szCs w:val="20"/>
              </w:rPr>
              <w:t xml:space="preserve">27、静电放电抗扰度测试：投标产品通过GB/T 17626.2-2018静电放电抗扰度测试。（提供第三方CNAS实验室出具检测报告复印件）</w:t>
            </w:r>
            <w:r>
              <w:rPr>
                <w:rFonts w:hint="eastAsia"/>
                <w:color w:val="000000"/>
                <w:sz w:val="20"/>
                <w:szCs w:val="20"/>
              </w:rPr>
              <w:br/>
            </w:r>
            <w:r>
              <w:rPr>
                <w:rFonts w:hint="eastAsia"/>
                <w:color w:val="000000"/>
                <w:sz w:val="20"/>
                <w:szCs w:val="20"/>
              </w:rPr>
              <w:t xml:space="preserve">★28、电磁兼容测试：投标产品符合YY9706.102-2021医用电气设备电磁兼容要求。（提供具有CNAS或CMA标识的第三方检测报告）</w:t>
            </w:r>
            <w:r/>
          </w:p>
          <w:p>
            <w:pPr>
              <w:jc w:val="left"/>
              <w:spacing w:after="240"/>
              <w:rPr>
                <w:color w:val="000000"/>
                <w:sz w:val="20"/>
                <w:szCs w:val="20"/>
              </w:rPr>
            </w:pPr>
            <w:r>
              <w:rPr>
                <w:rFonts w:hint="eastAsia"/>
                <w:color w:val="000000"/>
                <w:sz w:val="20"/>
                <w:szCs w:val="20"/>
              </w:rPr>
              <w:t xml:space="preserve">★29、安规检测：投标产品符合GB9706.1-2020医用电气设备基本安全通用要求。（提供具有CNAS或CMA标识的第三方检测报告）；</w:t>
            </w:r>
            <w:r>
              <w:rPr>
                <w:rFonts w:hint="eastAsia"/>
                <w:color w:val="000000"/>
                <w:sz w:val="20"/>
                <w:szCs w:val="20"/>
              </w:rPr>
              <w:br/>
            </w:r>
            <w:r>
              <w:rPr>
                <w:rFonts w:hint="eastAsia"/>
                <w:color w:val="000000"/>
                <w:sz w:val="20"/>
                <w:szCs w:val="20"/>
              </w:rPr>
              <w:t xml:space="preserve">30、通过认证：CCC；</w:t>
            </w:r>
            <w:r>
              <w:rPr>
                <w:rFonts w:hint="eastAsia"/>
                <w:color w:val="000000"/>
                <w:sz w:val="20"/>
                <w:szCs w:val="20"/>
              </w:rPr>
              <w:br/>
            </w:r>
            <w:r>
              <w:rPr>
                <w:rFonts w:hint="eastAsia"/>
                <w:color w:val="000000"/>
                <w:sz w:val="20"/>
                <w:szCs w:val="20"/>
              </w:rPr>
              <w:t xml:space="preserve">31、所投设备厂商必须提供认证信息安全管理体系认证； </w:t>
            </w:r>
            <w:r/>
          </w:p>
        </w:tc>
        <w:tc>
          <w:tcPr>
            <w:tcW w:w="613" w:type="dxa"/>
            <w:vAlign w:val="center"/>
            <w:textDirection w:val="lrTb"/>
            <w:noWrap w:val="false"/>
          </w:tcPr>
          <w:p>
            <w:pPr>
              <w:jc w:val="left"/>
              <w:rPr>
                <w:rFonts w:hint="eastAsia"/>
                <w:sz w:val="20"/>
                <w:szCs w:val="20"/>
              </w:rPr>
            </w:pPr>
            <w:r>
              <w:rPr>
                <w:rFonts w:hint="eastAsia"/>
                <w:sz w:val="20"/>
                <w:szCs w:val="20"/>
              </w:rPr>
              <w:t xml:space="preserve">200</w:t>
            </w:r>
            <w:r/>
          </w:p>
        </w:tc>
        <w:tc>
          <w:tcPr>
            <w:tcW w:w="359" w:type="dxa"/>
            <w:vAlign w:val="center"/>
            <w:textDirection w:val="lrTb"/>
            <w:noWrap w:val="false"/>
          </w:tcPr>
          <w:p>
            <w:pPr>
              <w:jc w:val="left"/>
              <w:rPr>
                <w:color w:val="000000"/>
                <w:sz w:val="20"/>
                <w:szCs w:val="20"/>
              </w:rPr>
            </w:pPr>
            <w:r>
              <w:rPr>
                <w:rFonts w:hint="eastAsia"/>
                <w:color w:val="000000"/>
                <w:sz w:val="20"/>
                <w:szCs w:val="20"/>
              </w:rPr>
              <w:t xml:space="preserve">台</w:t>
            </w:r>
            <w:r/>
          </w:p>
        </w:tc>
        <w:tc>
          <w:tcPr>
            <w:tcW w:w="236" w:type="dxa"/>
            <w:vAlign w:val="center"/>
            <w:vMerge w:val="restart"/>
            <w:textDirection w:val="lrTb"/>
            <w:noWrap w:val="false"/>
          </w:tcPr>
          <w:p>
            <w:pPr>
              <w:jc w:val="left"/>
              <w:rPr>
                <w:color w:val="000000"/>
                <w:sz w:val="20"/>
                <w:szCs w:val="20"/>
              </w:rPr>
            </w:pPr>
            <w:r>
              <w:rPr>
                <w:color w:val="000000"/>
                <w:sz w:val="20"/>
                <w:szCs w:val="20"/>
              </w:rPr>
            </w:r>
            <w:r/>
          </w:p>
        </w:tc>
      </w:tr>
      <w:tr>
        <w:trPr>
          <w:jc w:val="center"/>
          <w:trHeight w:val="323"/>
        </w:trPr>
        <w:tc>
          <w:tcPr>
            <w:tcW w:w="345" w:type="dxa"/>
            <w:vAlign w:val="center"/>
            <w:vMerge w:val="continue"/>
            <w:textDirection w:val="lrTb"/>
            <w:noWrap w:val="false"/>
          </w:tcPr>
          <w:p>
            <w:pPr>
              <w:jc w:val="left"/>
              <w:rPr>
                <w:sz w:val="20"/>
                <w:szCs w:val="20"/>
              </w:rPr>
            </w:pPr>
            <w:r>
              <w:rPr>
                <w:sz w:val="20"/>
                <w:szCs w:val="20"/>
              </w:rPr>
            </w:r>
            <w:r/>
          </w:p>
        </w:tc>
        <w:tc>
          <w:tcPr>
            <w:tcW w:w="675" w:type="dxa"/>
            <w:vAlign w:val="center"/>
            <w:vMerge w:val="continue"/>
            <w:textDirection w:val="lrTb"/>
            <w:noWrap w:val="false"/>
          </w:tcPr>
          <w:p>
            <w:pPr>
              <w:jc w:val="left"/>
              <w:rPr>
                <w:sz w:val="20"/>
                <w:szCs w:val="20"/>
              </w:rPr>
            </w:pPr>
            <w:r>
              <w:rPr>
                <w:sz w:val="20"/>
                <w:szCs w:val="20"/>
              </w:rPr>
            </w:r>
            <w:r/>
          </w:p>
        </w:tc>
        <w:tc>
          <w:tcPr>
            <w:tcW w:w="663" w:type="dxa"/>
            <w:vAlign w:val="center"/>
            <w:textDirection w:val="lrTb"/>
            <w:noWrap w:val="false"/>
          </w:tcPr>
          <w:p>
            <w:pPr>
              <w:jc w:val="left"/>
              <w:rPr>
                <w:color w:val="000000"/>
                <w:sz w:val="20"/>
                <w:szCs w:val="20"/>
              </w:rPr>
            </w:pPr>
            <w:r>
              <w:rPr>
                <w:rFonts w:hint="eastAsia"/>
                <w:color w:val="000000"/>
                <w:sz w:val="20"/>
                <w:szCs w:val="20"/>
              </w:rPr>
              <w:t xml:space="preserve">平台管理软件</w:t>
            </w:r>
            <w:r/>
          </w:p>
        </w:tc>
        <w:tc>
          <w:tcPr>
            <w:tcW w:w="6462" w:type="dxa"/>
            <w:vAlign w:val="center"/>
            <w:textDirection w:val="lrTb"/>
            <w:noWrap w:val="false"/>
          </w:tcPr>
          <w:p>
            <w:pPr>
              <w:jc w:val="left"/>
              <w:rPr>
                <w:sz w:val="20"/>
                <w:szCs w:val="20"/>
              </w:rPr>
            </w:pPr>
            <w:r>
              <w:rPr>
                <w:sz w:val="20"/>
                <w:szCs w:val="20"/>
              </w:rPr>
              <w:t xml:space="preserve">1、设备管理</w:t>
            </w:r>
            <w:r/>
          </w:p>
          <w:p>
            <w:pPr>
              <w:jc w:val="left"/>
              <w:rPr>
                <w:sz w:val="20"/>
                <w:szCs w:val="20"/>
              </w:rPr>
            </w:pPr>
            <w:r>
              <w:rPr>
                <w:rFonts w:hint="eastAsia"/>
                <w:sz w:val="20"/>
                <w:szCs w:val="20"/>
              </w:rPr>
              <w:t xml:space="preserve">设备查询：查看常用信息：设备序列号、</w:t>
            </w:r>
            <w:r>
              <w:rPr>
                <w:sz w:val="20"/>
                <w:szCs w:val="20"/>
              </w:rPr>
              <w:t xml:space="preserve">IMEI号、MEID号、ip地址、设备型号、功能号、组名称、使用人、注册时间、系统版本、已安装应用相关信息、设备使用详情(包含屏幕亮屏时间、应用使用次数、使用时长等)等</w:t>
            </w:r>
            <w:r/>
          </w:p>
          <w:p>
            <w:pPr>
              <w:jc w:val="left"/>
              <w:rPr>
                <w:sz w:val="20"/>
                <w:szCs w:val="20"/>
              </w:rPr>
            </w:pPr>
            <w:r>
              <w:rPr>
                <w:rFonts w:hint="eastAsia"/>
                <w:sz w:val="20"/>
                <w:szCs w:val="20"/>
              </w:rPr>
              <w:t xml:space="preserve">设备操作：远程启用</w:t>
            </w:r>
            <w:r>
              <w:rPr>
                <w:sz w:val="20"/>
                <w:szCs w:val="20"/>
              </w:rPr>
              <w:t xml:space="preserve">/禁用WIFI，启用/禁用相机功能，启用/禁用NFC功能，启用/禁用移动数据，启用/禁用蓝牙，远程推送消息，远程截屏，远程控制设备、远程启用/禁用设备等</w:t>
            </w:r>
            <w:r/>
          </w:p>
          <w:p>
            <w:pPr>
              <w:jc w:val="left"/>
              <w:rPr>
                <w:sz w:val="20"/>
                <w:szCs w:val="20"/>
              </w:rPr>
            </w:pPr>
            <w:r>
              <w:rPr>
                <w:rFonts w:hint="eastAsia"/>
                <w:sz w:val="20"/>
                <w:szCs w:val="20"/>
              </w:rPr>
              <w:t xml:space="preserve">设备注册：批量注册：通过</w:t>
            </w:r>
            <w:r>
              <w:rPr>
                <w:sz w:val="20"/>
                <w:szCs w:val="20"/>
              </w:rPr>
              <w:t xml:space="preserve">sn号批量导入到管理平台。扫码注册：打开移动端扫码注册到管理平台</w:t>
            </w:r>
            <w:r/>
          </w:p>
          <w:p>
            <w:pPr>
              <w:jc w:val="left"/>
              <w:rPr>
                <w:sz w:val="20"/>
                <w:szCs w:val="20"/>
              </w:rPr>
            </w:pPr>
            <w:r>
              <w:rPr>
                <w:rFonts w:hint="eastAsia"/>
                <w:sz w:val="20"/>
                <w:szCs w:val="20"/>
              </w:rPr>
              <w:t xml:space="preserve">设备信息：图表分析可用内存、电池电量、电池温度等。设备其他信息：</w:t>
            </w:r>
            <w:r>
              <w:rPr>
                <w:sz w:val="20"/>
                <w:szCs w:val="20"/>
              </w:rPr>
              <w:t xml:space="preserve">wifi名称、信号值、ip地址、运营商、流量统计、电量、电压、系统版本、温度、cpu使用量等</w:t>
            </w:r>
            <w:r/>
          </w:p>
          <w:p>
            <w:pPr>
              <w:jc w:val="left"/>
              <w:rPr>
                <w:sz w:val="20"/>
                <w:szCs w:val="20"/>
              </w:rPr>
            </w:pPr>
            <w:r>
              <w:rPr>
                <w:rFonts w:hint="eastAsia"/>
                <w:sz w:val="20"/>
                <w:szCs w:val="20"/>
              </w:rPr>
              <w:t xml:space="preserve">远程配置</w:t>
            </w:r>
            <w:r>
              <w:rPr>
                <w:sz w:val="20"/>
                <w:szCs w:val="20"/>
              </w:rPr>
              <w:t xml:space="preserve">wifi：通过后台生成wifi二维码，设备扫码链接wifi</w:t>
            </w:r>
            <w:r/>
          </w:p>
          <w:p>
            <w:pPr>
              <w:jc w:val="left"/>
              <w:rPr>
                <w:sz w:val="20"/>
                <w:szCs w:val="20"/>
              </w:rPr>
            </w:pPr>
            <w:r>
              <w:rPr>
                <w:sz w:val="20"/>
                <w:szCs w:val="20"/>
              </w:rPr>
              <w:t xml:space="preserve">2、策略管理</w:t>
            </w:r>
            <w:r/>
          </w:p>
          <w:p>
            <w:pPr>
              <w:jc w:val="left"/>
              <w:rPr>
                <w:sz w:val="20"/>
                <w:szCs w:val="20"/>
              </w:rPr>
            </w:pPr>
            <w:r>
              <w:rPr>
                <w:rFonts w:hint="eastAsia"/>
                <w:sz w:val="20"/>
                <w:szCs w:val="20"/>
              </w:rPr>
              <w:t xml:space="preserve">策略查询：配置设备网络相关设置：设置</w:t>
            </w:r>
            <w:r>
              <w:rPr>
                <w:sz w:val="20"/>
                <w:szCs w:val="20"/>
              </w:rPr>
              <w:t xml:space="preserve">wifi开关，指定设备连接固定wifi、设置省电模式、wifi频带、wifi黑白名单显示规则、设置漫游阈值、漫游增量、设置wifi黑白名单等。配置设备系统相关设置：设置屏幕亮度、设置休眠时间、设置MDM服务器地址、设置设备时区、设置开发者选项等</w:t>
            </w:r>
            <w:r/>
          </w:p>
          <w:p>
            <w:pPr>
              <w:jc w:val="left"/>
              <w:rPr>
                <w:sz w:val="20"/>
                <w:szCs w:val="20"/>
              </w:rPr>
            </w:pPr>
            <w:r>
              <w:rPr>
                <w:rFonts w:hint="eastAsia"/>
                <w:sz w:val="20"/>
                <w:szCs w:val="20"/>
              </w:rPr>
              <w:t xml:space="preserve">自定义桌面：</w:t>
            </w:r>
            <w:r>
              <w:rPr>
                <w:sz w:val="20"/>
                <w:szCs w:val="20"/>
              </w:rPr>
              <w:t xml:space="preserve">MDM安全管理桌面</w:t>
            </w:r>
            <w:r/>
          </w:p>
          <w:p>
            <w:pPr>
              <w:jc w:val="left"/>
              <w:rPr>
                <w:sz w:val="20"/>
                <w:szCs w:val="20"/>
              </w:rPr>
            </w:pPr>
            <w:r>
              <w:rPr>
                <w:sz w:val="20"/>
                <w:szCs w:val="20"/>
              </w:rPr>
              <w:t xml:space="preserve">3、应用管理</w:t>
            </w:r>
            <w:r/>
          </w:p>
          <w:p>
            <w:pPr>
              <w:jc w:val="left"/>
              <w:rPr>
                <w:sz w:val="20"/>
                <w:szCs w:val="20"/>
              </w:rPr>
            </w:pPr>
            <w:r>
              <w:rPr>
                <w:rFonts w:hint="eastAsia"/>
                <w:sz w:val="20"/>
                <w:szCs w:val="20"/>
              </w:rPr>
              <w:t xml:space="preserve">应用查询：上传应用，发布应用</w:t>
            </w:r>
            <w:r/>
          </w:p>
          <w:p>
            <w:pPr>
              <w:jc w:val="left"/>
              <w:rPr>
                <w:sz w:val="20"/>
                <w:szCs w:val="20"/>
              </w:rPr>
            </w:pPr>
            <w:r>
              <w:rPr>
                <w:rFonts w:hint="eastAsia"/>
                <w:sz w:val="20"/>
                <w:szCs w:val="20"/>
              </w:rPr>
              <w:t xml:space="preserve">发布查询：按组或选定设备远程推送静默安装：新安装或升级、定时升级、强制覆盖安装</w:t>
            </w:r>
            <w:r/>
          </w:p>
          <w:p>
            <w:pPr>
              <w:jc w:val="left"/>
              <w:rPr>
                <w:sz w:val="20"/>
                <w:szCs w:val="20"/>
              </w:rPr>
            </w:pPr>
            <w:r>
              <w:rPr>
                <w:sz w:val="20"/>
                <w:szCs w:val="20"/>
              </w:rPr>
              <w:t xml:space="preserve">4、数据管理</w:t>
            </w:r>
            <w:r/>
          </w:p>
          <w:p>
            <w:pPr>
              <w:jc w:val="left"/>
              <w:rPr>
                <w:sz w:val="20"/>
                <w:szCs w:val="20"/>
              </w:rPr>
            </w:pPr>
            <w:r>
              <w:rPr>
                <w:rFonts w:hint="eastAsia"/>
                <w:sz w:val="20"/>
                <w:szCs w:val="20"/>
              </w:rPr>
              <w:t xml:space="preserve">日志查询：查询用户操作日志</w:t>
            </w:r>
            <w:r/>
          </w:p>
          <w:p>
            <w:pPr>
              <w:jc w:val="left"/>
              <w:rPr>
                <w:sz w:val="20"/>
                <w:szCs w:val="20"/>
              </w:rPr>
            </w:pPr>
            <w:r>
              <w:rPr>
                <w:rFonts w:hint="eastAsia"/>
                <w:sz w:val="20"/>
                <w:szCs w:val="20"/>
              </w:rPr>
              <w:t xml:space="preserve">消息推送：批量远程发送消息</w:t>
            </w:r>
            <w:r/>
          </w:p>
          <w:p>
            <w:pPr>
              <w:jc w:val="left"/>
              <w:rPr>
                <w:sz w:val="20"/>
                <w:szCs w:val="20"/>
              </w:rPr>
            </w:pPr>
            <w:r>
              <w:rPr>
                <w:sz w:val="20"/>
                <w:szCs w:val="20"/>
              </w:rPr>
              <w:t xml:space="preserve">5、系统设置</w:t>
            </w:r>
            <w:r/>
          </w:p>
          <w:p>
            <w:pPr>
              <w:jc w:val="left"/>
              <w:rPr>
                <w:sz w:val="20"/>
                <w:szCs w:val="20"/>
              </w:rPr>
            </w:pPr>
            <w:r>
              <w:rPr>
                <w:rFonts w:hint="eastAsia"/>
                <w:sz w:val="20"/>
                <w:szCs w:val="20"/>
              </w:rPr>
              <w:t xml:space="preserve">异常管理配置：设置异常设备显示的配置项：电池温度异常、长时间未上线（可设置离线时间）等</w:t>
            </w:r>
            <w:r/>
          </w:p>
        </w:tc>
        <w:tc>
          <w:tcPr>
            <w:tcW w:w="613" w:type="dxa"/>
            <w:vAlign w:val="center"/>
            <w:textDirection w:val="lrTb"/>
            <w:noWrap w:val="false"/>
          </w:tcPr>
          <w:p>
            <w:pPr>
              <w:jc w:val="left"/>
              <w:rPr>
                <w:sz w:val="20"/>
                <w:szCs w:val="20"/>
              </w:rPr>
            </w:pPr>
            <w:r>
              <w:rPr>
                <w:rFonts w:hint="eastAsia"/>
                <w:sz w:val="20"/>
                <w:szCs w:val="20"/>
              </w:rPr>
              <w:t xml:space="preserve">1</w:t>
            </w:r>
            <w:r/>
          </w:p>
        </w:tc>
        <w:tc>
          <w:tcPr>
            <w:tcW w:w="359" w:type="dxa"/>
            <w:vAlign w:val="center"/>
            <w:textDirection w:val="lrTb"/>
            <w:noWrap w:val="false"/>
          </w:tcPr>
          <w:p>
            <w:pPr>
              <w:jc w:val="left"/>
              <w:rPr>
                <w:color w:val="000000"/>
                <w:sz w:val="20"/>
                <w:szCs w:val="20"/>
              </w:rPr>
            </w:pPr>
            <w:r>
              <w:rPr>
                <w:rFonts w:hint="eastAsia"/>
                <w:color w:val="000000"/>
                <w:sz w:val="20"/>
                <w:szCs w:val="20"/>
              </w:rPr>
              <w:t xml:space="preserve">套</w:t>
            </w:r>
            <w:r/>
          </w:p>
        </w:tc>
        <w:tc>
          <w:tcPr>
            <w:tcW w:w="236" w:type="dxa"/>
            <w:vAlign w:val="center"/>
            <w:vMerge w:val="continue"/>
            <w:textDirection w:val="lrTb"/>
            <w:noWrap w:val="false"/>
          </w:tcPr>
          <w:p>
            <w:pPr>
              <w:jc w:val="left"/>
              <w:rPr>
                <w:color w:val="000000"/>
                <w:sz w:val="20"/>
                <w:szCs w:val="20"/>
              </w:rPr>
            </w:pPr>
            <w:r>
              <w:rPr>
                <w:color w:val="000000"/>
                <w:sz w:val="20"/>
                <w:szCs w:val="20"/>
              </w:rPr>
            </w:r>
            <w:r/>
          </w:p>
        </w:tc>
      </w:tr>
      <w:tr>
        <w:trPr>
          <w:jc w:val="center"/>
          <w:trHeight w:val="323"/>
        </w:trPr>
        <w:tc>
          <w:tcPr>
            <w:tcW w:w="345" w:type="dxa"/>
            <w:vAlign w:val="center"/>
            <w:vMerge w:val="continue"/>
            <w:textDirection w:val="lrTb"/>
            <w:noWrap w:val="false"/>
          </w:tcPr>
          <w:p>
            <w:pPr>
              <w:jc w:val="left"/>
              <w:rPr>
                <w:sz w:val="20"/>
                <w:szCs w:val="20"/>
              </w:rPr>
            </w:pPr>
            <w:r>
              <w:rPr>
                <w:sz w:val="20"/>
                <w:szCs w:val="20"/>
              </w:rPr>
            </w:r>
            <w:r/>
          </w:p>
        </w:tc>
        <w:tc>
          <w:tcPr>
            <w:tcW w:w="675" w:type="dxa"/>
            <w:vAlign w:val="center"/>
            <w:vMerge w:val="continue"/>
            <w:textDirection w:val="lrTb"/>
            <w:noWrap w:val="false"/>
          </w:tcPr>
          <w:p>
            <w:pPr>
              <w:jc w:val="left"/>
              <w:rPr>
                <w:sz w:val="20"/>
                <w:szCs w:val="20"/>
              </w:rPr>
            </w:pPr>
            <w:r>
              <w:rPr>
                <w:sz w:val="20"/>
                <w:szCs w:val="20"/>
              </w:rPr>
            </w:r>
            <w:r/>
          </w:p>
        </w:tc>
        <w:tc>
          <w:tcPr>
            <w:tcW w:w="663" w:type="dxa"/>
            <w:vAlign w:val="center"/>
            <w:textDirection w:val="lrTb"/>
            <w:noWrap w:val="false"/>
          </w:tcPr>
          <w:p>
            <w:pPr>
              <w:jc w:val="left"/>
              <w:rPr>
                <w:sz w:val="20"/>
                <w:szCs w:val="20"/>
              </w:rPr>
            </w:pPr>
            <w:r>
              <w:rPr>
                <w:rFonts w:hint="eastAsia"/>
                <w:sz w:val="20"/>
                <w:szCs w:val="20"/>
              </w:rPr>
              <w:t xml:space="preserve">流量费</w:t>
            </w:r>
            <w:r/>
          </w:p>
        </w:tc>
        <w:tc>
          <w:tcPr>
            <w:tcW w:w="6462" w:type="dxa"/>
            <w:vAlign w:val="center"/>
            <w:textDirection w:val="lrTb"/>
            <w:noWrap w:val="false"/>
          </w:tcPr>
          <w:p>
            <w:pPr>
              <w:jc w:val="left"/>
              <w:rPr>
                <w:sz w:val="20"/>
                <w:szCs w:val="20"/>
              </w:rPr>
            </w:pPr>
            <w:r>
              <w:rPr>
                <w:rFonts w:hint="eastAsia"/>
                <w:sz w:val="20"/>
                <w:szCs w:val="20"/>
              </w:rPr>
              <w:t xml:space="preserve">不低于1G/张/月，组成流量池实现流量共享</w:t>
            </w:r>
            <w:r>
              <w:rPr>
                <w:rFonts w:hint="eastAsia"/>
                <w:sz w:val="20"/>
                <w:szCs w:val="20"/>
                <w:lang w:eastAsia="zh-CN"/>
              </w:rPr>
              <w:t xml:space="preserve">，含</w:t>
            </w:r>
            <w:r>
              <w:rPr>
                <w:rFonts w:hint="eastAsia"/>
                <w:sz w:val="20"/>
                <w:szCs w:val="20"/>
                <w:lang w:val="en-US" w:eastAsia="zh-CN"/>
              </w:rPr>
              <w:t xml:space="preserve">5年总费用。</w:t>
            </w:r>
            <w:r/>
          </w:p>
        </w:tc>
        <w:tc>
          <w:tcPr>
            <w:tcW w:w="613" w:type="dxa"/>
            <w:vAlign w:val="center"/>
            <w:textDirection w:val="lrTb"/>
            <w:noWrap w:val="false"/>
          </w:tcPr>
          <w:p>
            <w:pPr>
              <w:jc w:val="left"/>
              <w:rPr>
                <w:sz w:val="20"/>
                <w:szCs w:val="20"/>
              </w:rPr>
            </w:pPr>
            <w:r>
              <w:rPr>
                <w:rFonts w:hint="eastAsia"/>
                <w:sz w:val="20"/>
                <w:szCs w:val="20"/>
              </w:rPr>
              <w:t xml:space="preserve">200</w:t>
            </w:r>
            <w:r/>
          </w:p>
        </w:tc>
        <w:tc>
          <w:tcPr>
            <w:tcW w:w="359" w:type="dxa"/>
            <w:vAlign w:val="center"/>
            <w:textDirection w:val="lrTb"/>
            <w:noWrap w:val="false"/>
          </w:tcPr>
          <w:p>
            <w:pPr>
              <w:jc w:val="left"/>
              <w:rPr>
                <w:sz w:val="20"/>
                <w:szCs w:val="20"/>
              </w:rPr>
            </w:pPr>
            <w:r>
              <w:rPr>
                <w:rFonts w:hint="eastAsia"/>
                <w:sz w:val="20"/>
                <w:szCs w:val="20"/>
              </w:rPr>
              <w:t xml:space="preserve">张</w:t>
            </w:r>
            <w:r/>
          </w:p>
        </w:tc>
        <w:tc>
          <w:tcPr>
            <w:tcW w:w="236" w:type="dxa"/>
            <w:vAlign w:val="center"/>
            <w:textDirection w:val="lrTb"/>
            <w:noWrap w:val="false"/>
          </w:tcPr>
          <w:p>
            <w:pPr>
              <w:jc w:val="left"/>
              <w:rPr>
                <w:sz w:val="20"/>
                <w:szCs w:val="20"/>
              </w:rPr>
            </w:pPr>
            <w:r>
              <w:rPr>
                <w:rFonts w:hint="eastAsia"/>
                <w:sz w:val="20"/>
                <w:szCs w:val="20"/>
              </w:rPr>
              <w:t xml:space="preserve">　</w:t>
            </w:r>
            <w:r/>
          </w:p>
        </w:tc>
      </w:tr>
      <w:tr>
        <w:trPr>
          <w:jc w:val="center"/>
          <w:trHeight w:val="3315"/>
        </w:trPr>
        <w:tc>
          <w:tcPr>
            <w:tcW w:w="345" w:type="dxa"/>
            <w:vAlign w:val="center"/>
            <w:textDirection w:val="lrTb"/>
            <w:noWrap w:val="false"/>
          </w:tcPr>
          <w:p>
            <w:pPr>
              <w:jc w:val="left"/>
              <w:rPr>
                <w:sz w:val="20"/>
                <w:szCs w:val="20"/>
              </w:rPr>
            </w:pPr>
            <w:r>
              <w:rPr>
                <w:rFonts w:hint="eastAsia"/>
                <w:sz w:val="20"/>
                <w:szCs w:val="20"/>
              </w:rPr>
              <w:t xml:space="preserve">3</w:t>
            </w:r>
            <w:r/>
          </w:p>
        </w:tc>
        <w:tc>
          <w:tcPr>
            <w:tcW w:w="675" w:type="dxa"/>
            <w:vAlign w:val="center"/>
            <w:textDirection w:val="lrTb"/>
            <w:noWrap w:val="false"/>
          </w:tcPr>
          <w:p>
            <w:pPr>
              <w:jc w:val="left"/>
              <w:rPr>
                <w:sz w:val="20"/>
                <w:szCs w:val="20"/>
              </w:rPr>
            </w:pPr>
            <w:r>
              <w:rPr>
                <w:rFonts w:hint="eastAsia"/>
                <w:sz w:val="20"/>
                <w:szCs w:val="20"/>
              </w:rPr>
              <w:t xml:space="preserve">CA证书</w:t>
            </w:r>
            <w:r/>
          </w:p>
        </w:tc>
        <w:tc>
          <w:tcPr>
            <w:tcW w:w="663" w:type="dxa"/>
            <w:vAlign w:val="center"/>
            <w:textDirection w:val="lrTb"/>
            <w:noWrap w:val="false"/>
          </w:tcPr>
          <w:p>
            <w:pPr>
              <w:jc w:val="left"/>
              <w:rPr>
                <w:sz w:val="20"/>
                <w:szCs w:val="20"/>
              </w:rPr>
            </w:pPr>
            <w:r>
              <w:rPr>
                <w:rFonts w:hint="eastAsia"/>
                <w:sz w:val="20"/>
                <w:szCs w:val="20"/>
              </w:rPr>
              <w:t xml:space="preserve">功能要求</w:t>
            </w:r>
            <w:r/>
          </w:p>
        </w:tc>
        <w:tc>
          <w:tcPr>
            <w:tcW w:w="6462" w:type="dxa"/>
            <w:vAlign w:val="center"/>
            <w:textDirection w:val="lrTb"/>
            <w:noWrap w:val="false"/>
          </w:tcPr>
          <w:p>
            <w:pPr>
              <w:jc w:val="left"/>
              <w:rPr>
                <w:sz w:val="20"/>
                <w:szCs w:val="20"/>
              </w:rPr>
            </w:pPr>
            <w:r>
              <w:rPr>
                <w:rFonts w:hint="eastAsia"/>
                <w:sz w:val="20"/>
                <w:szCs w:val="20"/>
              </w:rPr>
              <w:t xml:space="preserve">1、用于标识个人、单位、服务器等网络实体身份</w:t>
            </w:r>
            <w:r>
              <w:rPr>
                <w:rFonts w:hint="eastAsia"/>
                <w:sz w:val="20"/>
                <w:szCs w:val="20"/>
              </w:rPr>
              <w:br/>
            </w:r>
            <w:r>
              <w:rPr>
                <w:rFonts w:hint="eastAsia"/>
                <w:sz w:val="20"/>
                <w:szCs w:val="20"/>
              </w:rPr>
              <w:t xml:space="preserve">2、符合卫生部《卫生系统数字证书格式规范（试行）》</w:t>
            </w:r>
            <w:r>
              <w:rPr>
                <w:rFonts w:hint="eastAsia"/>
                <w:sz w:val="20"/>
                <w:szCs w:val="20"/>
              </w:rPr>
              <w:br/>
            </w:r>
            <w:r>
              <w:rPr>
                <w:rFonts w:hint="eastAsia"/>
                <w:sz w:val="20"/>
                <w:szCs w:val="20"/>
              </w:rPr>
              <w:t xml:space="preserve">3、符合卫生部《卫生系统电子认证服务规范（试行）》</w:t>
            </w:r>
            <w:r>
              <w:rPr>
                <w:rFonts w:hint="eastAsia"/>
                <w:sz w:val="20"/>
                <w:szCs w:val="20"/>
              </w:rPr>
              <w:br/>
            </w:r>
            <w:r>
              <w:rPr>
                <w:rFonts w:hint="eastAsia"/>
                <w:sz w:val="20"/>
                <w:szCs w:val="20"/>
              </w:rPr>
              <w:t xml:space="preserve">4、证书格式标准遵循x．509v3标准</w:t>
            </w:r>
            <w:r>
              <w:rPr>
                <w:rFonts w:hint="eastAsia"/>
                <w:sz w:val="20"/>
                <w:szCs w:val="20"/>
                <w:lang w:eastAsia="zh-CN"/>
              </w:rPr>
              <w:t xml:space="preserve">；</w:t>
            </w:r>
            <w:r>
              <w:rPr>
                <w:rFonts w:hint="eastAsia"/>
                <w:sz w:val="20"/>
                <w:szCs w:val="20"/>
              </w:rPr>
              <w:br/>
            </w:r>
            <w:r>
              <w:rPr>
                <w:rFonts w:hint="eastAsia"/>
                <w:sz w:val="20"/>
                <w:szCs w:val="20"/>
              </w:rPr>
              <w:t xml:space="preserve">5、支持存放介质：智能USBKey、智能手机、PAD、PDA等智能移动设备；</w:t>
            </w:r>
            <w:r>
              <w:rPr>
                <w:rFonts w:hint="eastAsia"/>
                <w:sz w:val="20"/>
                <w:szCs w:val="20"/>
              </w:rPr>
              <w:br/>
            </w:r>
            <w:r>
              <w:rPr>
                <w:rFonts w:hint="eastAsia"/>
                <w:sz w:val="20"/>
                <w:szCs w:val="20"/>
              </w:rPr>
              <w:t xml:space="preserve">6、医护个人长效证书授权服务周期一年，自启用时计算；</w:t>
            </w:r>
            <w:r>
              <w:rPr>
                <w:rFonts w:hint="eastAsia"/>
                <w:sz w:val="20"/>
                <w:szCs w:val="20"/>
              </w:rPr>
              <w:br/>
            </w:r>
            <w:r>
              <w:rPr>
                <w:rFonts w:hint="eastAsia"/>
                <w:sz w:val="20"/>
                <w:szCs w:val="20"/>
              </w:rPr>
              <w:t xml:space="preserve">7、证书制作和颁发服务，乙方应及时受理甲方所提出的数字证书申请，并根据甲方提供的信息制作和颁发数字证书；</w:t>
            </w:r>
            <w:r>
              <w:rPr>
                <w:rFonts w:hint="eastAsia"/>
                <w:sz w:val="20"/>
                <w:szCs w:val="20"/>
              </w:rPr>
              <w:br/>
            </w:r>
            <w:r>
              <w:rPr>
                <w:rFonts w:hint="eastAsia"/>
                <w:sz w:val="20"/>
                <w:szCs w:val="20"/>
              </w:rPr>
              <w:t xml:space="preserve">8、证书吊销服务应及时受理证书吊销申请，经审核后吊销相应的数字证书；</w:t>
            </w:r>
            <w:r>
              <w:rPr>
                <w:rFonts w:hint="eastAsia"/>
                <w:sz w:val="20"/>
                <w:szCs w:val="20"/>
              </w:rPr>
              <w:br/>
            </w:r>
            <w:r>
              <w:rPr>
                <w:rFonts w:hint="eastAsia"/>
                <w:sz w:val="20"/>
                <w:szCs w:val="20"/>
              </w:rPr>
              <w:t xml:space="preserve">9、证书更新服务，数字证书有效日期届满前，提出数字证书更新申请，应及时协助完成数字证书的更新工作；</w:t>
            </w:r>
            <w:r>
              <w:rPr>
                <w:rFonts w:hint="eastAsia"/>
                <w:sz w:val="20"/>
                <w:szCs w:val="20"/>
              </w:rPr>
              <w:br/>
            </w:r>
            <w:r>
              <w:rPr>
                <w:rFonts w:hint="eastAsia"/>
                <w:sz w:val="20"/>
                <w:szCs w:val="20"/>
              </w:rPr>
              <w:t xml:space="preserve">10、证书管理服务，实现证书管理后台对本次扩容人员数字证书全生命周期的管理服务，需兼容并延续现有上海CA证书管理平台服务</w:t>
            </w:r>
            <w:r/>
          </w:p>
        </w:tc>
        <w:tc>
          <w:tcPr>
            <w:tcW w:w="613" w:type="dxa"/>
            <w:vAlign w:val="center"/>
            <w:textDirection w:val="lrTb"/>
            <w:noWrap w:val="false"/>
          </w:tcPr>
          <w:p>
            <w:pPr>
              <w:jc w:val="left"/>
              <w:rPr>
                <w:rFonts w:hint="eastAsia"/>
                <w:sz w:val="20"/>
                <w:szCs w:val="20"/>
              </w:rPr>
            </w:pPr>
            <w:r>
              <w:rPr>
                <w:rFonts w:hint="eastAsia"/>
                <w:sz w:val="16"/>
                <w:szCs w:val="16"/>
              </w:rPr>
              <w:t xml:space="preserve">2500</w:t>
            </w:r>
            <w:r/>
          </w:p>
        </w:tc>
        <w:tc>
          <w:tcPr>
            <w:tcW w:w="359" w:type="dxa"/>
            <w:vAlign w:val="center"/>
            <w:textDirection w:val="lrTb"/>
            <w:noWrap w:val="false"/>
          </w:tcPr>
          <w:p>
            <w:pPr>
              <w:jc w:val="left"/>
              <w:rPr>
                <w:sz w:val="20"/>
                <w:szCs w:val="20"/>
              </w:rPr>
            </w:pPr>
            <w:r>
              <w:rPr>
                <w:rFonts w:hint="eastAsia"/>
                <w:sz w:val="20"/>
                <w:szCs w:val="20"/>
              </w:rPr>
              <w:t xml:space="preserve">套</w:t>
            </w:r>
            <w:r/>
          </w:p>
        </w:tc>
        <w:tc>
          <w:tcPr>
            <w:tcW w:w="236" w:type="dxa"/>
            <w:vAlign w:val="center"/>
            <w:textDirection w:val="lrTb"/>
            <w:noWrap w:val="false"/>
          </w:tcPr>
          <w:p>
            <w:pPr>
              <w:jc w:val="left"/>
              <w:rPr>
                <w:sz w:val="20"/>
                <w:szCs w:val="20"/>
              </w:rPr>
            </w:pPr>
            <w:r>
              <w:rPr>
                <w:rFonts w:hint="eastAsia"/>
                <w:sz w:val="20"/>
                <w:szCs w:val="20"/>
              </w:rPr>
              <w:t xml:space="preserve">　</w:t>
            </w:r>
            <w:r/>
          </w:p>
        </w:tc>
      </w:tr>
      <w:tr>
        <w:trPr>
          <w:jc w:val="center"/>
          <w:trHeight w:val="870"/>
        </w:trPr>
        <w:tc>
          <w:tcPr>
            <w:tcW w:w="345" w:type="dxa"/>
            <w:vAlign w:val="center"/>
            <w:vMerge w:val="restart"/>
            <w:textDirection w:val="lrTb"/>
            <w:noWrap w:val="false"/>
          </w:tcPr>
          <w:p>
            <w:pPr>
              <w:jc w:val="left"/>
              <w:rPr>
                <w:rFonts w:hint="eastAsia" w:eastAsia="宋体"/>
                <w:sz w:val="20"/>
                <w:szCs w:val="20"/>
                <w:lang w:val="en-US" w:eastAsia="zh-CN"/>
              </w:rPr>
            </w:pPr>
            <w:r>
              <w:rPr>
                <w:rFonts w:hint="eastAsia"/>
                <w:sz w:val="20"/>
                <w:szCs w:val="20"/>
                <w:lang w:val="en-US" w:eastAsia="zh-CN"/>
              </w:rPr>
              <w:t xml:space="preserve">4</w:t>
            </w:r>
            <w:r/>
          </w:p>
        </w:tc>
        <w:tc>
          <w:tcPr>
            <w:tcW w:w="675" w:type="dxa"/>
            <w:vAlign w:val="center"/>
            <w:vMerge w:val="restart"/>
            <w:textDirection w:val="lrTb"/>
            <w:noWrap w:val="false"/>
          </w:tcPr>
          <w:p>
            <w:pPr>
              <w:jc w:val="left"/>
              <w:rPr>
                <w:rFonts w:hint="eastAsia" w:eastAsia="宋体"/>
                <w:sz w:val="20"/>
                <w:szCs w:val="20"/>
                <w:lang w:eastAsia="zh-CN"/>
              </w:rPr>
            </w:pPr>
            <w:r>
              <w:rPr>
                <w:rFonts w:hint="eastAsia"/>
                <w:sz w:val="20"/>
                <w:szCs w:val="20"/>
                <w:lang w:eastAsia="zh-CN"/>
              </w:rPr>
              <w:t xml:space="preserve">系统集成要求</w:t>
            </w:r>
            <w:r/>
          </w:p>
        </w:tc>
        <w:tc>
          <w:tcPr>
            <w:tcW w:w="663" w:type="dxa"/>
            <w:vAlign w:val="center"/>
            <w:textDirection w:val="lrTb"/>
            <w:noWrap w:val="false"/>
          </w:tcPr>
          <w:p>
            <w:pPr>
              <w:jc w:val="left"/>
              <w:rPr>
                <w:rFonts w:hint="eastAsia" w:eastAsia="宋体"/>
                <w:sz w:val="20"/>
                <w:szCs w:val="20"/>
                <w:lang w:eastAsia="zh-CN"/>
              </w:rPr>
            </w:pPr>
            <w:r>
              <w:rPr>
                <w:rFonts w:hint="eastAsia"/>
                <w:sz w:val="20"/>
                <w:szCs w:val="20"/>
                <w:lang w:eastAsia="zh-CN"/>
              </w:rPr>
              <w:t xml:space="preserve">安装要求</w:t>
            </w:r>
            <w:r/>
          </w:p>
        </w:tc>
        <w:tc>
          <w:tcPr>
            <w:tcW w:w="6462" w:type="dxa"/>
            <w:vAlign w:val="center"/>
            <w:textDirection w:val="lrTb"/>
            <w:noWrap w:val="false"/>
          </w:tcPr>
          <w:p>
            <w:pPr>
              <w:jc w:val="left"/>
              <w:rPr>
                <w:rFonts w:hint="eastAsia"/>
                <w:sz w:val="20"/>
                <w:szCs w:val="20"/>
              </w:rPr>
            </w:pPr>
            <w:r>
              <w:rPr>
                <w:rFonts w:hint="eastAsia"/>
                <w:color w:val="000000"/>
                <w:sz w:val="20"/>
                <w:szCs w:val="20"/>
              </w:rPr>
              <w:t xml:space="preserve">★</w:t>
            </w:r>
            <w:r>
              <w:rPr>
                <w:rFonts w:hint="eastAsia"/>
                <w:sz w:val="20"/>
                <w:szCs w:val="20"/>
                <w:lang w:val="en-US" w:eastAsia="zh-CN"/>
              </w:rPr>
              <w:t xml:space="preserve">完成设备安装调试并且</w:t>
            </w:r>
            <w:r>
              <w:rPr>
                <w:rFonts w:hint="eastAsia"/>
                <w:sz w:val="20"/>
                <w:szCs w:val="20"/>
              </w:rPr>
              <w:t xml:space="preserve">包含一次设备</w:t>
            </w:r>
            <w:r>
              <w:rPr>
                <w:rFonts w:hint="eastAsia"/>
                <w:sz w:val="20"/>
                <w:szCs w:val="20"/>
                <w:lang w:eastAsia="zh-CN"/>
              </w:rPr>
              <w:t xml:space="preserve">异机房</w:t>
            </w:r>
            <w:r>
              <w:rPr>
                <w:rFonts w:hint="eastAsia"/>
                <w:sz w:val="20"/>
                <w:szCs w:val="20"/>
              </w:rPr>
              <w:t xml:space="preserve">搬迁调试费用</w:t>
            </w:r>
            <w:r>
              <w:rPr>
                <w:rFonts w:hint="eastAsia"/>
                <w:sz w:val="20"/>
                <w:szCs w:val="20"/>
                <w:lang w:eastAsia="zh-CN"/>
              </w:rPr>
              <w:t xml:space="preserve">。</w:t>
            </w:r>
            <w:r/>
          </w:p>
        </w:tc>
        <w:tc>
          <w:tcPr>
            <w:tcW w:w="613" w:type="dxa"/>
            <w:vAlign w:val="center"/>
            <w:textDirection w:val="lrTb"/>
            <w:noWrap w:val="false"/>
          </w:tcPr>
          <w:p>
            <w:pPr>
              <w:jc w:val="left"/>
              <w:rPr>
                <w:rFonts w:hint="eastAsia"/>
                <w:sz w:val="20"/>
                <w:szCs w:val="20"/>
              </w:rPr>
            </w:pPr>
            <w:r>
              <w:rPr>
                <w:rFonts w:hint="eastAsia"/>
                <w:sz w:val="20"/>
                <w:szCs w:val="20"/>
              </w:rPr>
            </w:r>
            <w:r/>
          </w:p>
        </w:tc>
        <w:tc>
          <w:tcPr>
            <w:tcW w:w="359" w:type="dxa"/>
            <w:vAlign w:val="center"/>
            <w:textDirection w:val="lrTb"/>
            <w:noWrap w:val="false"/>
          </w:tcPr>
          <w:p>
            <w:pPr>
              <w:jc w:val="left"/>
              <w:rPr>
                <w:rFonts w:hint="eastAsia"/>
                <w:sz w:val="20"/>
                <w:szCs w:val="20"/>
              </w:rPr>
            </w:pPr>
            <w:r>
              <w:rPr>
                <w:rFonts w:hint="eastAsia"/>
                <w:sz w:val="20"/>
                <w:szCs w:val="20"/>
              </w:rPr>
            </w:r>
            <w:r/>
          </w:p>
        </w:tc>
        <w:tc>
          <w:tcPr>
            <w:tcW w:w="236" w:type="dxa"/>
            <w:vAlign w:val="center"/>
            <w:textDirection w:val="lrTb"/>
            <w:noWrap w:val="false"/>
          </w:tcPr>
          <w:p>
            <w:pPr>
              <w:jc w:val="left"/>
              <w:rPr>
                <w:rFonts w:hint="eastAsia"/>
                <w:sz w:val="20"/>
                <w:szCs w:val="20"/>
              </w:rPr>
            </w:pPr>
            <w:r>
              <w:rPr>
                <w:rFonts w:hint="eastAsia"/>
                <w:sz w:val="20"/>
                <w:szCs w:val="20"/>
              </w:rPr>
            </w:r>
            <w:r/>
          </w:p>
        </w:tc>
      </w:tr>
      <w:tr>
        <w:trPr>
          <w:jc w:val="center"/>
          <w:trHeight w:val="1052"/>
        </w:trPr>
        <w:tc>
          <w:tcPr>
            <w:tcW w:w="345" w:type="dxa"/>
            <w:vAlign w:val="center"/>
            <w:vMerge w:val="continue"/>
            <w:textDirection w:val="lrTb"/>
            <w:noWrap w:val="false"/>
          </w:tcPr>
          <w:p>
            <w:pPr>
              <w:jc w:val="left"/>
              <w:rPr>
                <w:rFonts w:hint="eastAsia"/>
                <w:sz w:val="20"/>
                <w:szCs w:val="20"/>
                <w:lang w:val="en-US" w:eastAsia="zh-CN"/>
              </w:rPr>
            </w:pPr>
            <w:r>
              <w:rPr>
                <w:rFonts w:hint="eastAsia"/>
                <w:sz w:val="20"/>
                <w:szCs w:val="20"/>
                <w:lang w:val="en-US" w:eastAsia="zh-CN"/>
              </w:rPr>
            </w:r>
            <w:r/>
          </w:p>
        </w:tc>
        <w:tc>
          <w:tcPr>
            <w:tcW w:w="675" w:type="dxa"/>
            <w:vAlign w:val="center"/>
            <w:vMerge w:val="continue"/>
            <w:textDirection w:val="lrTb"/>
            <w:noWrap w:val="false"/>
          </w:tcPr>
          <w:p>
            <w:pPr>
              <w:jc w:val="left"/>
              <w:rPr>
                <w:rFonts w:hint="eastAsia"/>
                <w:sz w:val="20"/>
                <w:szCs w:val="20"/>
                <w:lang w:eastAsia="zh-CN"/>
              </w:rPr>
            </w:pPr>
            <w:r>
              <w:rPr>
                <w:rFonts w:hint="eastAsia"/>
                <w:sz w:val="20"/>
                <w:szCs w:val="20"/>
                <w:lang w:eastAsia="zh-CN"/>
              </w:rPr>
            </w:r>
            <w:r/>
          </w:p>
        </w:tc>
        <w:tc>
          <w:tcPr>
            <w:tcW w:w="663" w:type="dxa"/>
            <w:vAlign w:val="center"/>
            <w:textDirection w:val="lrTb"/>
            <w:noWrap w:val="false"/>
          </w:tcPr>
          <w:p>
            <w:pPr>
              <w:jc w:val="left"/>
              <w:rPr>
                <w:rFonts w:hint="eastAsia" w:eastAsia="宋体"/>
                <w:sz w:val="20"/>
                <w:szCs w:val="20"/>
                <w:lang w:eastAsia="zh-CN"/>
              </w:rPr>
            </w:pPr>
            <w:r>
              <w:rPr>
                <w:rFonts w:hint="eastAsia"/>
                <w:sz w:val="20"/>
                <w:szCs w:val="20"/>
                <w:lang w:eastAsia="zh-CN"/>
              </w:rPr>
              <w:t xml:space="preserve">集成要求</w:t>
            </w:r>
            <w:r/>
          </w:p>
        </w:tc>
        <w:tc>
          <w:tcPr>
            <w:tcW w:w="6462" w:type="dxa"/>
            <w:vAlign w:val="center"/>
            <w:textDirection w:val="lrTb"/>
            <w:noWrap w:val="false"/>
          </w:tcPr>
          <w:p>
            <w:pPr>
              <w:jc w:val="left"/>
              <w:rPr>
                <w:rFonts w:hint="eastAsia"/>
                <w:sz w:val="20"/>
                <w:szCs w:val="20"/>
              </w:rPr>
            </w:pPr>
            <w:r>
              <w:rPr>
                <w:rFonts w:hint="eastAsia"/>
                <w:color w:val="000000"/>
                <w:sz w:val="20"/>
                <w:szCs w:val="20"/>
              </w:rPr>
              <w:t xml:space="preserve">★</w:t>
            </w:r>
            <w:r>
              <w:rPr>
                <w:rFonts w:hint="eastAsia"/>
                <w:sz w:val="20"/>
                <w:szCs w:val="20"/>
              </w:rPr>
              <w:t xml:space="preserve">中标人所投PDA能无缝对接医院移动护理系统</w:t>
            </w:r>
            <w:r>
              <w:rPr>
                <w:rFonts w:hint="eastAsia"/>
                <w:sz w:val="20"/>
                <w:szCs w:val="20"/>
                <w:lang w:eastAsia="zh-CN"/>
              </w:rPr>
              <w:t xml:space="preserve">、</w:t>
            </w:r>
            <w:r>
              <w:rPr>
                <w:rFonts w:hint="eastAsia"/>
                <w:sz w:val="20"/>
                <w:szCs w:val="20"/>
              </w:rPr>
              <w:t xml:space="preserve">门诊输液系统</w:t>
            </w:r>
            <w:r>
              <w:rPr>
                <w:rFonts w:hint="eastAsia"/>
                <w:sz w:val="20"/>
                <w:szCs w:val="20"/>
                <w:lang w:eastAsia="zh-CN"/>
              </w:rPr>
              <w:t xml:space="preserve">、电子病历系统、</w:t>
            </w:r>
            <w:r>
              <w:rPr>
                <w:rFonts w:hint="eastAsia"/>
                <w:sz w:val="20"/>
                <w:szCs w:val="20"/>
              </w:rPr>
              <w:t xml:space="preserve">手术麻醉系统</w:t>
            </w:r>
            <w:r>
              <w:rPr>
                <w:rFonts w:hint="eastAsia"/>
                <w:sz w:val="20"/>
                <w:szCs w:val="20"/>
                <w:lang w:eastAsia="zh-CN"/>
              </w:rPr>
              <w:t xml:space="preserve">、</w:t>
            </w:r>
            <w:r>
              <w:rPr>
                <w:rFonts w:hint="eastAsia"/>
                <w:sz w:val="20"/>
                <w:szCs w:val="20"/>
              </w:rPr>
              <w:t xml:space="preserve">静脉配药系统</w:t>
            </w:r>
            <w:r>
              <w:rPr>
                <w:rFonts w:hint="eastAsia"/>
                <w:sz w:val="20"/>
                <w:szCs w:val="20"/>
                <w:lang w:eastAsia="zh-CN"/>
              </w:rPr>
              <w:t xml:space="preserve">、</w:t>
            </w:r>
            <w:r>
              <w:rPr>
                <w:rFonts w:hint="eastAsia"/>
                <w:sz w:val="20"/>
                <w:szCs w:val="20"/>
              </w:rPr>
              <w:t xml:space="preserve">重症监护系统</w:t>
            </w:r>
            <w:r>
              <w:rPr>
                <w:rFonts w:hint="eastAsia"/>
                <w:sz w:val="20"/>
                <w:szCs w:val="20"/>
                <w:lang w:eastAsia="zh-CN"/>
              </w:rPr>
              <w:t xml:space="preserve">、</w:t>
            </w:r>
            <w:r>
              <w:rPr>
                <w:rFonts w:hint="eastAsia"/>
                <w:sz w:val="20"/>
                <w:szCs w:val="20"/>
              </w:rPr>
              <w:t xml:space="preserve">消毒供应管理系统等，产生费用由中标方承担</w:t>
            </w:r>
            <w:r>
              <w:rPr>
                <w:rFonts w:hint="eastAsia"/>
                <w:sz w:val="20"/>
                <w:szCs w:val="20"/>
                <w:lang w:eastAsia="zh-CN"/>
              </w:rPr>
              <w:t xml:space="preserve">。</w:t>
            </w:r>
            <w:r/>
          </w:p>
        </w:tc>
        <w:tc>
          <w:tcPr>
            <w:tcW w:w="613" w:type="dxa"/>
            <w:vAlign w:val="center"/>
            <w:textDirection w:val="lrTb"/>
            <w:noWrap w:val="false"/>
          </w:tcPr>
          <w:p>
            <w:pPr>
              <w:jc w:val="left"/>
              <w:rPr>
                <w:rFonts w:hint="eastAsia"/>
                <w:sz w:val="20"/>
                <w:szCs w:val="20"/>
              </w:rPr>
            </w:pPr>
            <w:r>
              <w:rPr>
                <w:rFonts w:hint="eastAsia"/>
                <w:sz w:val="20"/>
                <w:szCs w:val="20"/>
              </w:rPr>
            </w:r>
            <w:r/>
          </w:p>
        </w:tc>
        <w:tc>
          <w:tcPr>
            <w:tcW w:w="359" w:type="dxa"/>
            <w:vAlign w:val="center"/>
            <w:textDirection w:val="lrTb"/>
            <w:noWrap w:val="false"/>
          </w:tcPr>
          <w:p>
            <w:pPr>
              <w:jc w:val="left"/>
              <w:rPr>
                <w:rFonts w:hint="eastAsia"/>
                <w:sz w:val="20"/>
                <w:szCs w:val="20"/>
              </w:rPr>
            </w:pPr>
            <w:r>
              <w:rPr>
                <w:rFonts w:hint="eastAsia"/>
                <w:sz w:val="20"/>
                <w:szCs w:val="20"/>
              </w:rPr>
            </w:r>
            <w:r/>
          </w:p>
        </w:tc>
        <w:tc>
          <w:tcPr>
            <w:tcW w:w="236" w:type="dxa"/>
            <w:vAlign w:val="center"/>
            <w:textDirection w:val="lrTb"/>
            <w:noWrap w:val="false"/>
          </w:tcPr>
          <w:p>
            <w:pPr>
              <w:jc w:val="left"/>
              <w:rPr>
                <w:rFonts w:hint="eastAsia"/>
                <w:sz w:val="20"/>
                <w:szCs w:val="20"/>
              </w:rPr>
            </w:pPr>
            <w:r>
              <w:rPr>
                <w:rFonts w:hint="eastAsia"/>
                <w:sz w:val="20"/>
                <w:szCs w:val="20"/>
              </w:rPr>
            </w:r>
            <w:r/>
          </w:p>
        </w:tc>
      </w:tr>
    </w:tbl>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注：本项目要落实《江苏省财政厅关于加强政府绿色采购有关事项的通知》（苏财购〔2023〕65号）要求，具体如下：</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w:t>
      </w:r>
      <w:r>
        <w:rPr>
          <w:rFonts w:ascii="黑体" w:hAnsi="黑体" w:eastAsia="黑体" w:cs="黑体"/>
          <w:b/>
          <w:color w:val="000000"/>
          <w:sz w:val="4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439"/>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宋体" w:hAnsi="宋体" w:eastAsia="宋体" w:cs="宋体"/>
          <w:color w:val="000000"/>
          <w:sz w:val="24"/>
        </w:rPr>
        <w:t xml:space="preserve">名中标候选人。</w:t>
      </w:r>
      <w:r/>
    </w:p>
    <w:tbl>
      <w:tblPr>
        <w:tblStyle w:val="685"/>
        <w:tblW w:w="92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4"/>
        <w:gridCol w:w="753"/>
        <w:gridCol w:w="753"/>
        <w:gridCol w:w="6949"/>
      </w:tblGrid>
      <w:tr>
        <w:trPr>
          <w:trHeight w:val="270"/>
        </w:trPr>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sz w:val="20"/>
                <w:szCs w:val="20"/>
              </w:rPr>
            </w:pPr>
            <w:r>
              <w:rPr>
                <w:rFonts w:hint="eastAsia"/>
                <w:sz w:val="20"/>
                <w:szCs w:val="20"/>
              </w:rPr>
              <w:t xml:space="preserve">评分因素</w:t>
            </w:r>
            <w:r/>
          </w:p>
        </w:tc>
        <w:tc>
          <w:tcPr>
            <w:tcBorders>
              <w:top w:val="single" w:color="auto" w:sz="4" w:space="0"/>
              <w:left w:val="none" w:color="000000" w:sz="4" w:space="0"/>
              <w:bottom w:val="single" w:color="auto" w:sz="4" w:space="0"/>
              <w:right w:val="single" w:color="auto" w:sz="4" w:space="0"/>
            </w:tcBorders>
            <w:tcW w:w="753" w:type="dxa"/>
            <w:vAlign w:val="center"/>
            <w:textDirection w:val="lrTb"/>
            <w:noWrap w:val="false"/>
          </w:tcPr>
          <w:p>
            <w:pPr>
              <w:jc w:val="center"/>
              <w:rPr>
                <w:sz w:val="20"/>
                <w:szCs w:val="20"/>
              </w:rPr>
            </w:pPr>
            <w:r>
              <w:rPr>
                <w:rFonts w:hint="eastAsia"/>
                <w:sz w:val="20"/>
                <w:szCs w:val="20"/>
              </w:rPr>
              <w:t xml:space="preserve">分值</w:t>
            </w:r>
            <w:r/>
          </w:p>
        </w:tc>
        <w:tc>
          <w:tcPr>
            <w:tcBorders>
              <w:top w:val="single" w:color="auto" w:sz="4" w:space="0"/>
              <w:left w:val="none" w:color="000000" w:sz="4" w:space="0"/>
              <w:bottom w:val="single" w:color="auto" w:sz="4" w:space="0"/>
              <w:right w:val="single" w:color="auto" w:sz="4" w:space="0"/>
            </w:tcBorders>
            <w:tcW w:w="6949" w:type="dxa"/>
            <w:vAlign w:val="center"/>
            <w:textDirection w:val="lrTb"/>
            <w:noWrap w:val="false"/>
          </w:tcPr>
          <w:p>
            <w:pPr>
              <w:jc w:val="center"/>
              <w:rPr>
                <w:sz w:val="20"/>
                <w:szCs w:val="20"/>
              </w:rPr>
            </w:pPr>
            <w:r>
              <w:rPr>
                <w:rFonts w:hint="eastAsia"/>
                <w:sz w:val="20"/>
                <w:szCs w:val="20"/>
              </w:rPr>
              <w:t xml:space="preserve">说明</w:t>
            </w:r>
            <w:r/>
          </w:p>
        </w:tc>
      </w:tr>
      <w:tr>
        <w:trPr>
          <w:trHeight w:val="1001"/>
        </w:trPr>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sz w:val="20"/>
                <w:szCs w:val="20"/>
              </w:rPr>
            </w:pPr>
            <w:r>
              <w:rPr>
                <w:rFonts w:hint="eastAsia"/>
                <w:sz w:val="20"/>
                <w:szCs w:val="20"/>
              </w:rPr>
              <w:t xml:space="preserve">投标报价</w:t>
            </w:r>
            <w:r/>
          </w:p>
        </w:tc>
        <w:tc>
          <w:tcPr>
            <w:tcBorders>
              <w:top w:val="none" w:color="000000" w:sz="4" w:space="0"/>
              <w:left w:val="single" w:color="auto" w:sz="4" w:space="0"/>
              <w:bottom w:val="single" w:color="auto" w:sz="4" w:space="0"/>
              <w:right w:val="single" w:color="auto" w:sz="4" w:space="0"/>
            </w:tcBorders>
            <w:tcW w:w="753" w:type="dxa"/>
            <w:vAlign w:val="center"/>
            <w:textDirection w:val="lrTb"/>
            <w:noWrap w:val="false"/>
          </w:tcPr>
          <w:p>
            <w:pPr>
              <w:jc w:val="center"/>
              <w:rPr>
                <w:sz w:val="20"/>
                <w:szCs w:val="20"/>
              </w:rPr>
            </w:pPr>
            <w:r>
              <w:rPr>
                <w:rFonts w:hint="eastAsia"/>
                <w:sz w:val="20"/>
                <w:szCs w:val="20"/>
              </w:rPr>
              <w:t xml:space="preserve">30分</w:t>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jc w:val="left"/>
              <w:rPr>
                <w:sz w:val="20"/>
                <w:szCs w:val="20"/>
              </w:rPr>
            </w:pPr>
            <w:r>
              <w:rPr>
                <w:rFonts w:hint="eastAsia"/>
                <w:sz w:val="20"/>
                <w:szCs w:val="20"/>
              </w:rPr>
              <w:t xml:space="preserve">采用低价优先法计算，即满足招标文件要求且投标价格最低的投标报价为评标基准价，其价格分为满分30分。其他投标人的价格分统一按照下列公式计算：投标报价得分=（评标基准价／投标报价）×30</w:t>
            </w:r>
            <w:r/>
          </w:p>
        </w:tc>
      </w:tr>
      <w:tr>
        <w:trPr>
          <w:trHeight w:val="525"/>
        </w:trPr>
        <w:tc>
          <w:tcPr>
            <w:gridSpan w:val="2"/>
            <w:tcBorders>
              <w:top w:val="single" w:color="auto" w:sz="4" w:space="0"/>
              <w:left w:val="single" w:color="auto" w:sz="4" w:space="0"/>
              <w:bottom w:val="single" w:color="000000" w:sz="4" w:space="0"/>
              <w:right w:val="single" w:color="000000" w:sz="4" w:space="0"/>
            </w:tcBorders>
            <w:tcW w:w="1507" w:type="dxa"/>
            <w:vAlign w:val="center"/>
            <w:vMerge w:val="restart"/>
            <w:textDirection w:val="lrTb"/>
            <w:noWrap w:val="false"/>
          </w:tcPr>
          <w:p>
            <w:pPr>
              <w:jc w:val="center"/>
              <w:rPr>
                <w:sz w:val="20"/>
                <w:szCs w:val="20"/>
              </w:rPr>
            </w:pPr>
            <w:r>
              <w:rPr>
                <w:rFonts w:hint="eastAsia"/>
                <w:sz w:val="20"/>
                <w:szCs w:val="20"/>
              </w:rPr>
              <w:t xml:space="preserve">技术参数</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rPr>
                <w:sz w:val="20"/>
                <w:szCs w:val="20"/>
              </w:rPr>
            </w:pPr>
            <w:r>
              <w:rPr>
                <w:rFonts w:hint="eastAsia"/>
                <w:sz w:val="20"/>
                <w:szCs w:val="20"/>
              </w:rPr>
              <w:t xml:space="preserve">30分</w:t>
            </w:r>
            <w:r/>
          </w:p>
        </w:tc>
        <w:tc>
          <w:tcPr>
            <w:tcBorders>
              <w:top w:val="none" w:color="000000" w:sz="4" w:space="0"/>
              <w:left w:val="none" w:color="000000" w:sz="4" w:space="0"/>
              <w:bottom w:val="single" w:color="auto" w:sz="4" w:space="0"/>
              <w:right w:val="single" w:color="auto" w:sz="4" w:space="0"/>
            </w:tcBorders>
            <w:tcW w:w="6949" w:type="dxa"/>
            <w:vAlign w:val="center"/>
            <w:vMerge w:val="restart"/>
            <w:textDirection w:val="lrTb"/>
            <w:noWrap w:val="false"/>
          </w:tcPr>
          <w:p>
            <w:pPr>
              <w:jc w:val="left"/>
              <w:rPr>
                <w:sz w:val="20"/>
                <w:szCs w:val="20"/>
              </w:rPr>
            </w:pPr>
            <w:r>
              <w:rPr>
                <w:rFonts w:hint="eastAsia"/>
                <w:sz w:val="20"/>
                <w:szCs w:val="20"/>
              </w:rPr>
              <w:t xml:space="preserve">1、投标人需按技术参数要求中的编号逐条对应答复，并且应提供相应的技术说明予以证明其有能力和技术来保证。</w:t>
            </w:r>
            <w:r/>
          </w:p>
        </w:tc>
      </w:tr>
      <w:tr>
        <w:trPr>
          <w:trHeight w:val="1050"/>
        </w:trPr>
        <w:tc>
          <w:tcPr>
            <w:gridSpan w:val="2"/>
            <w:tcBorders>
              <w:top w:val="single" w:color="auto" w:sz="4" w:space="0"/>
              <w:left w:val="single" w:color="auto" w:sz="4" w:space="0"/>
              <w:bottom w:val="single" w:color="000000" w:sz="4" w:space="0"/>
              <w:right w:val="single" w:color="000000" w:sz="4" w:space="0"/>
            </w:tcBorders>
            <w:tcW w:w="1507"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jc w:val="left"/>
              <w:rPr>
                <w:sz w:val="20"/>
                <w:szCs w:val="20"/>
              </w:rPr>
            </w:pPr>
            <w:r>
              <w:rPr>
                <w:rFonts w:hint="eastAsia"/>
                <w:sz w:val="20"/>
                <w:szCs w:val="20"/>
              </w:rPr>
              <w:t xml:space="preserve">2、各项技术参数指标及要求全部满足的得30分，带“★”为重要参数，每负偏离一项扣2分，其他每负偏离一项扣1分，扣完为止。（如需要求提供相关证明的，未提供材料的视为负偏离进行扣分处理）</w:t>
            </w:r>
            <w:r/>
          </w:p>
        </w:tc>
      </w:tr>
      <w:tr>
        <w:trPr>
          <w:trHeight w:val="788"/>
        </w:trPr>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sz w:val="20"/>
                <w:szCs w:val="20"/>
              </w:rPr>
            </w:pPr>
            <w:r>
              <w:rPr>
                <w:rFonts w:hint="eastAsia"/>
                <w:sz w:val="20"/>
                <w:szCs w:val="20"/>
              </w:rPr>
              <w:t xml:space="preserve">企业资信</w:t>
            </w:r>
            <w:r/>
          </w:p>
        </w:tc>
        <w:tc>
          <w:tcPr>
            <w:tcBorders>
              <w:top w:val="none" w:color="000000" w:sz="4" w:space="0"/>
              <w:left w:val="single" w:color="auto" w:sz="4" w:space="0"/>
              <w:bottom w:val="single" w:color="auto" w:sz="4" w:space="0"/>
              <w:right w:val="single" w:color="auto" w:sz="4" w:space="0"/>
            </w:tcBorders>
            <w:tcW w:w="753" w:type="dxa"/>
            <w:vAlign w:val="center"/>
            <w:textDirection w:val="lrTb"/>
            <w:noWrap w:val="false"/>
          </w:tcPr>
          <w:p>
            <w:pPr>
              <w:jc w:val="center"/>
              <w:rPr>
                <w:sz w:val="20"/>
                <w:szCs w:val="20"/>
              </w:rPr>
            </w:pPr>
            <w:r>
              <w:rPr>
                <w:rFonts w:hint="eastAsia"/>
                <w:sz w:val="20"/>
                <w:szCs w:val="20"/>
              </w:rPr>
              <w:t xml:space="preserve">3分</w:t>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供应商信用等级为AAA级的得3分，信用等级为AA级的得2分，信用等级为A级的得1分。</w:t>
            </w:r>
            <w:r/>
          </w:p>
        </w:tc>
      </w:tr>
      <w:tr>
        <w:trPr>
          <w:trHeight w:val="788"/>
        </w:trPr>
        <w:tc>
          <w:tcPr>
            <w:tcBorders>
              <w:top w:val="none" w:color="000000" w:sz="4" w:space="0"/>
              <w:left w:val="single" w:color="auto" w:sz="4" w:space="0"/>
              <w:bottom w:val="single" w:color="auto" w:sz="4" w:space="0"/>
              <w:right w:val="single" w:color="auto" w:sz="4" w:space="0"/>
            </w:tcBorders>
            <w:tcW w:w="754" w:type="dxa"/>
            <w:vAlign w:val="center"/>
            <w:vMerge w:val="restart"/>
            <w:textDirection w:val="lrTb"/>
            <w:noWrap w:val="false"/>
          </w:tcPr>
          <w:p>
            <w:pPr>
              <w:jc w:val="center"/>
              <w:rPr>
                <w:sz w:val="20"/>
                <w:szCs w:val="20"/>
              </w:rPr>
            </w:pPr>
            <w:r>
              <w:rPr>
                <w:rFonts w:hint="eastAsia"/>
                <w:sz w:val="20"/>
                <w:szCs w:val="20"/>
              </w:rPr>
              <w:t xml:space="preserve">商务评分</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rPr>
                <w:sz w:val="20"/>
                <w:szCs w:val="20"/>
              </w:rPr>
            </w:pPr>
            <w:r>
              <w:rPr>
                <w:rFonts w:hint="eastAsia"/>
                <w:sz w:val="20"/>
                <w:szCs w:val="20"/>
              </w:rPr>
              <w:t xml:space="preserve">企业资质</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rPr>
                <w:sz w:val="20"/>
                <w:szCs w:val="20"/>
              </w:rPr>
            </w:pPr>
            <w:r>
              <w:rPr>
                <w:rFonts w:hint="eastAsia"/>
                <w:sz w:val="20"/>
                <w:szCs w:val="20"/>
              </w:rPr>
              <w:t xml:space="preserve">18分</w:t>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1、投标人具有ISO9001质量管理体系认证证书、ISO27001信息安全体系认证证书、ISO20000信息技术服务管理体系认证证书、ISO14001环境管理体系认证、ISO27017云服务信息安全管理体系认证证书的有一个得1分，最高得5分</w:t>
            </w:r>
            <w:r/>
          </w:p>
        </w:tc>
      </w:tr>
      <w:tr>
        <w:trPr>
          <w:trHeight w:val="525"/>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2、投标人具有信息系统建设和服务能力CS4证书的得2分，CS3及以下的得1分，没有不得分。（提供证书扫描件加盖投标人电子签章）</w:t>
            </w:r>
            <w:r/>
          </w:p>
        </w:tc>
      </w:tr>
      <w:tr>
        <w:trPr>
          <w:trHeight w:val="525"/>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3、投标人具有信息技术服务运行维护标准符合性证书（ITSS）壹级的得2分，贰级及以下的得1分，没有不得分。（提供证书扫描件加盖投标人电子签章）</w:t>
            </w:r>
            <w:r/>
          </w:p>
        </w:tc>
      </w:tr>
      <w:tr>
        <w:trPr>
          <w:trHeight w:val="525"/>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4、投标人同时具有信息安全服务资质认证CCRC运维壹级、集成壹级和软件安全开发壹级的得2分，二级的得1分，不提供不得分。（提供证书扫描件加盖投标人电子签章）</w:t>
            </w:r>
            <w:r/>
          </w:p>
        </w:tc>
      </w:tr>
      <w:tr>
        <w:trPr>
          <w:trHeight w:val="1050"/>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5、投标人所投云桌面产品品牌售后服务体系须通过符合GB/T27922标准、GB/T16868标准的售后服务完善程度认证，满足10星级得2分，7星级得1分，5星得0.5分，其余酌情给分，没有不得分；（提供证书复印件、全国认证认可信息公共服务平台查询链接及截图证明）</w:t>
            </w:r>
            <w:r/>
          </w:p>
        </w:tc>
      </w:tr>
      <w:tr>
        <w:trPr>
          <w:trHeight w:val="1313"/>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6、投标人所投护理PDA产品符合电子产品有害物限制使用的要求，提供CQC（中国质量认证中心）出具的认证证书复印件的得1分、所投产品厂商符合 ISO/IEC 17025:2017《检测和校准实验室能力的通用要求 》 并提供证书的得1分、所投PDA品牌具有国产化能力，提供《信息技术应用创新工作委员会会员单位》证书的得1分，最高得3分</w:t>
            </w:r>
            <w:r/>
          </w:p>
        </w:tc>
      </w:tr>
      <w:tr>
        <w:trPr>
          <w:trHeight w:val="788"/>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7、投标人所投CA证书厂商具有工信部《电子认证服务许可证》、国密局《电子认证服务使用密码许可证》并通过国家卫生部（卫健委）复审、测试的得2分，提供不全不得分</w:t>
            </w:r>
            <w:r/>
          </w:p>
        </w:tc>
      </w:tr>
      <w:tr>
        <w:trPr>
          <w:trHeight w:val="525"/>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sz w:val="20"/>
                <w:szCs w:val="20"/>
              </w:rPr>
            </w:pPr>
            <w:r>
              <w:rPr>
                <w:rFonts w:hint="eastAsia"/>
                <w:sz w:val="20"/>
                <w:szCs w:val="20"/>
              </w:rPr>
              <w:t xml:space="preserve">业绩</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sz w:val="20"/>
                <w:szCs w:val="20"/>
              </w:rPr>
            </w:pPr>
            <w:r>
              <w:rPr>
                <w:rFonts w:hint="eastAsia"/>
                <w:sz w:val="20"/>
                <w:szCs w:val="20"/>
              </w:rPr>
              <w:t xml:space="preserve">4分</w:t>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jc w:val="center"/>
              <w:rPr>
                <w:sz w:val="20"/>
                <w:szCs w:val="20"/>
              </w:rPr>
            </w:pPr>
            <w:r>
              <w:rPr>
                <w:rFonts w:hint="eastAsia"/>
                <w:sz w:val="20"/>
                <w:szCs w:val="20"/>
              </w:rPr>
              <w:t xml:space="preserve">投标人2021年1月1日至今承接过类似项目合同，一个得2分，最高得4分。需提供的中标通知书、合同上传至电子标书，每页加盖公章，缺一不可</w:t>
            </w:r>
            <w:r/>
          </w:p>
        </w:tc>
      </w:tr>
      <w:tr>
        <w:trPr>
          <w:trHeight w:val="788"/>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rPr>
                <w:sz w:val="20"/>
                <w:szCs w:val="20"/>
              </w:rPr>
            </w:pPr>
            <w:r>
              <w:rPr>
                <w:rFonts w:hint="eastAsia"/>
                <w:sz w:val="20"/>
                <w:szCs w:val="20"/>
              </w:rPr>
              <w:t xml:space="preserve">项目团队</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rPr>
                <w:sz w:val="20"/>
                <w:szCs w:val="20"/>
              </w:rPr>
            </w:pPr>
            <w:r>
              <w:rPr>
                <w:rFonts w:hint="eastAsia"/>
                <w:sz w:val="20"/>
                <w:szCs w:val="20"/>
              </w:rPr>
              <w:t xml:space="preserve">4分</w:t>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1）投标人针对本项目拟派出的项目负责人具有信息系统项目管理师（高级）、CCSC网络安全能力认证（技术1级）、PMP证书、IT服务项目经理证书（ITSS）、注册信息安全专业人员（CISP）证书的，得2分，提供不全不得分。</w:t>
            </w:r>
            <w:r/>
          </w:p>
        </w:tc>
      </w:tr>
      <w:tr>
        <w:trPr>
          <w:trHeight w:val="788"/>
        </w:trPr>
        <w:tc>
          <w:tcPr>
            <w:tcBorders>
              <w:top w:val="none" w:color="000000" w:sz="4" w:space="0"/>
              <w:left w:val="single" w:color="auto" w:sz="4" w:space="0"/>
              <w:bottom w:val="single" w:color="auto" w:sz="4" w:space="0"/>
              <w:right w:val="single" w:color="auto" w:sz="4" w:space="0"/>
            </w:tcBorders>
            <w:tcW w:w="754"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（2）投标人拟配备的信息安全负责人具有信息系统业务安全服务工程师、信创规划管理师（高级）、IT服务工程师(ITSS)、CISAW信息安全保障人员（安全软件）证书的，得2分，提供不全不得分。</w:t>
            </w:r>
            <w:r/>
          </w:p>
        </w:tc>
      </w:tr>
      <w:tr>
        <w:trPr>
          <w:trHeight w:val="788"/>
        </w:trPr>
        <w:tc>
          <w:tcPr>
            <w:gridSpan w:val="2"/>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rPr>
                <w:sz w:val="20"/>
                <w:szCs w:val="20"/>
              </w:rPr>
            </w:pPr>
            <w:r>
              <w:rPr>
                <w:rFonts w:hint="eastAsia"/>
                <w:sz w:val="20"/>
                <w:szCs w:val="20"/>
              </w:rPr>
              <w:t xml:space="preserve">项目方案</w:t>
            </w:r>
            <w:r/>
          </w:p>
        </w:tc>
        <w:tc>
          <w:tcPr>
            <w:tcBorders>
              <w:top w:val="none" w:color="000000" w:sz="4" w:space="0"/>
              <w:left w:val="none" w:color="000000" w:sz="4" w:space="0"/>
              <w:bottom w:val="single" w:color="auto" w:sz="4" w:space="0"/>
              <w:right w:val="single" w:color="auto" w:sz="4" w:space="0"/>
            </w:tcBorders>
            <w:tcW w:w="753" w:type="dxa"/>
            <w:vAlign w:val="center"/>
            <w:textDirection w:val="lrTb"/>
            <w:noWrap w:val="false"/>
          </w:tcPr>
          <w:p>
            <w:pPr>
              <w:jc w:val="center"/>
              <w:rPr>
                <w:sz w:val="20"/>
                <w:szCs w:val="20"/>
              </w:rPr>
            </w:pPr>
            <w:r>
              <w:rPr>
                <w:rFonts w:hint="eastAsia"/>
                <w:sz w:val="20"/>
                <w:szCs w:val="20"/>
              </w:rPr>
              <w:t xml:space="preserve">5分</w:t>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实施方案的完整性与合理性，进度安排是否合理，现场项目管理措施是否得当，培训计划是否合理等。承诺与医院移动系统3日内完成适配得5分；与HIS系统5日内完成适配得3分；超过5日不能完成适配的不得分。</w:t>
            </w:r>
            <w:r/>
          </w:p>
        </w:tc>
      </w:tr>
      <w:tr>
        <w:trPr>
          <w:trHeight w:val="788"/>
        </w:trPr>
        <w:tc>
          <w:tcPr>
            <w:gridSpan w:val="2"/>
            <w:tcBorders>
              <w:top w:val="single" w:color="auto" w:sz="4" w:space="0"/>
              <w:left w:val="single" w:color="auto" w:sz="4" w:space="0"/>
              <w:bottom w:val="single" w:color="auto" w:sz="4" w:space="0"/>
              <w:right w:val="single" w:color="auto" w:sz="4" w:space="0"/>
            </w:tcBorders>
            <w:tcW w:w="1507" w:type="dxa"/>
            <w:vAlign w:val="center"/>
            <w:vMerge w:val="restart"/>
            <w:textDirection w:val="lrTb"/>
            <w:noWrap w:val="false"/>
          </w:tcPr>
          <w:p>
            <w:pPr>
              <w:jc w:val="center"/>
              <w:rPr>
                <w:sz w:val="20"/>
                <w:szCs w:val="20"/>
              </w:rPr>
            </w:pPr>
            <w:r>
              <w:rPr>
                <w:rFonts w:hint="eastAsia"/>
                <w:sz w:val="20"/>
                <w:szCs w:val="20"/>
              </w:rPr>
              <w:t xml:space="preserve">售后服务</w:t>
            </w:r>
            <w:r/>
          </w:p>
        </w:tc>
        <w:tc>
          <w:tcPr>
            <w:tcBorders>
              <w:top w:val="none" w:color="000000" w:sz="4" w:space="0"/>
              <w:left w:val="single" w:color="auto" w:sz="4" w:space="0"/>
              <w:bottom w:val="single" w:color="auto" w:sz="4" w:space="0"/>
              <w:right w:val="single" w:color="auto" w:sz="4" w:space="0"/>
            </w:tcBorders>
            <w:tcW w:w="753" w:type="dxa"/>
            <w:vAlign w:val="center"/>
            <w:vMerge w:val="restart"/>
            <w:textDirection w:val="lrTb"/>
            <w:noWrap w:val="false"/>
          </w:tcPr>
          <w:p>
            <w:pPr>
              <w:jc w:val="center"/>
              <w:rPr>
                <w:sz w:val="20"/>
                <w:szCs w:val="20"/>
              </w:rPr>
            </w:pPr>
            <w:r>
              <w:rPr>
                <w:rFonts w:hint="eastAsia"/>
                <w:sz w:val="20"/>
                <w:szCs w:val="20"/>
              </w:rPr>
              <w:t xml:space="preserve">6分</w:t>
            </w:r>
            <w:r/>
          </w:p>
        </w:tc>
        <w:tc>
          <w:tcPr>
            <w:tcBorders>
              <w:top w:val="none" w:color="000000" w:sz="4" w:space="0"/>
              <w:left w:val="none" w:color="000000" w:sz="4" w:space="0"/>
              <w:bottom w:val="single" w:color="auto" w:sz="4" w:space="0"/>
              <w:right w:val="single" w:color="auto" w:sz="4" w:space="0"/>
            </w:tcBorders>
            <w:tcW w:w="6949" w:type="dxa"/>
            <w:vAlign w:val="center"/>
            <w:vMerge w:val="restart"/>
            <w:textDirection w:val="lrTb"/>
            <w:noWrap w:val="false"/>
          </w:tcPr>
          <w:p>
            <w:pPr>
              <w:rPr>
                <w:sz w:val="20"/>
                <w:szCs w:val="20"/>
              </w:rPr>
            </w:pPr>
            <w:r>
              <w:rPr>
                <w:rFonts w:hint="eastAsia"/>
                <w:sz w:val="20"/>
                <w:szCs w:val="20"/>
              </w:rPr>
              <w:t xml:space="preserve">1、投标人具有全国商品售后服务评价达标认证评审委员会颁发的售后服务认证证书，达到五星级的得3分，四星级的得2分，三星级的得1分。本项最高得3分，没有不得分。</w:t>
            </w:r>
            <w:r/>
          </w:p>
        </w:tc>
      </w:tr>
      <w:tr>
        <w:trPr>
          <w:trHeight w:val="788"/>
        </w:trPr>
        <w:tc>
          <w:tcPr>
            <w:gridSpan w:val="2"/>
            <w:tcBorders>
              <w:top w:val="single" w:color="auto" w:sz="4" w:space="0"/>
              <w:left w:val="single" w:color="auto" w:sz="4" w:space="0"/>
              <w:bottom w:val="single" w:color="auto" w:sz="4" w:space="0"/>
              <w:right w:val="single" w:color="auto" w:sz="4" w:space="0"/>
            </w:tcBorders>
            <w:tcW w:w="1507" w:type="dxa"/>
            <w:vAlign w:val="center"/>
            <w:vMerge w:val="continue"/>
            <w:textDirection w:val="lrTb"/>
            <w:noWrap w:val="false"/>
          </w:tcPr>
          <w:p>
            <w:pPr>
              <w:rPr>
                <w:sz w:val="20"/>
                <w:szCs w:val="20"/>
              </w:rPr>
            </w:pPr>
            <w:r>
              <w:rPr>
                <w:sz w:val="20"/>
                <w:szCs w:val="20"/>
              </w:rPr>
            </w:r>
            <w:r/>
          </w:p>
        </w:tc>
        <w:tc>
          <w:tcPr>
            <w:tcBorders>
              <w:top w:val="none" w:color="000000" w:sz="4" w:space="0"/>
              <w:left w:val="single" w:color="auto" w:sz="4" w:space="0"/>
              <w:bottom w:val="single" w:color="auto" w:sz="4" w:space="0"/>
              <w:right w:val="single" w:color="auto" w:sz="4" w:space="0"/>
            </w:tcBorders>
            <w:tcW w:w="753" w:type="dxa"/>
            <w:vAlign w:val="center"/>
            <w:vMerge w:val="continue"/>
            <w:textDirection w:val="lrTb"/>
            <w:noWrap w:val="false"/>
          </w:tcPr>
          <w:p>
            <w:pPr>
              <w:rPr>
                <w:sz w:val="20"/>
                <w:szCs w:val="20"/>
              </w:rPr>
            </w:pPr>
            <w:r>
              <w:rPr>
                <w:sz w:val="20"/>
                <w:szCs w:val="20"/>
              </w:rPr>
            </w:r>
            <w:r/>
          </w:p>
        </w:tc>
        <w:tc>
          <w:tcPr>
            <w:tcBorders>
              <w:top w:val="none" w:color="000000" w:sz="4" w:space="0"/>
              <w:left w:val="none" w:color="000000" w:sz="4" w:space="0"/>
              <w:bottom w:val="single" w:color="auto" w:sz="4" w:space="0"/>
              <w:right w:val="single" w:color="auto" w:sz="4" w:space="0"/>
            </w:tcBorders>
            <w:tcW w:w="6949" w:type="dxa"/>
            <w:vAlign w:val="center"/>
            <w:textDirection w:val="lrTb"/>
            <w:noWrap w:val="false"/>
          </w:tcPr>
          <w:p>
            <w:pPr>
              <w:rPr>
                <w:sz w:val="20"/>
                <w:szCs w:val="20"/>
              </w:rPr>
            </w:pPr>
            <w:r>
              <w:rPr>
                <w:rFonts w:hint="eastAsia"/>
                <w:sz w:val="20"/>
                <w:szCs w:val="20"/>
              </w:rPr>
              <w:t xml:space="preserve">2、售后服务方案的完整性与合理性，售后人员配备是否充足，管理措施是否得当，应急管理及响应是否科学合理可执行。方案科学合理且承诺2小时内相应并解决故障得3分，方案一般或响应时间超过2小时解决故障得1分；最高得3分，不提供不得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color w:val="000000"/>
          <w:spacing w:val="-1"/>
          <w:sz w:val="24"/>
        </w:rPr>
        <w:t xml:space="preserve">相关</w:t>
      </w:r>
      <w:r>
        <w:rPr>
          <w:rFonts w:ascii="宋体" w:hAnsi="宋体" w:eastAsia="宋体" w:cs="宋体"/>
          <w:color w:val="000000"/>
          <w:spacing w:val="-10"/>
          <w:sz w:val="24"/>
        </w:rPr>
        <w:t xml:space="preserve">材料扫描件上传投标文件，未上传</w:t>
      </w:r>
      <w:r>
        <w:rPr>
          <w:rFonts w:ascii="宋体" w:hAnsi="宋体" w:eastAsia="宋体" w:cs="宋体"/>
          <w:color w:val="000000"/>
          <w:spacing w:val="1"/>
          <w:sz w:val="24"/>
        </w:rPr>
        <w:t xml:space="preserve">不得分</w:t>
      </w:r>
      <w:r>
        <w:rPr>
          <w:rFonts w:ascii="宋体" w:hAnsi="宋体" w:eastAsia="宋体" w:cs="宋体"/>
          <w:color w:val="000000"/>
          <w:spacing w:val="-1"/>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76"/>
        <w:rPr>
          <w:rFonts w:ascii="宋体" w:hAnsi="宋体" w:eastAsia="宋体" w:cs="宋体"/>
          <w:color w:val="000000"/>
          <w:sz w:val="22"/>
        </w:rPr>
      </w:pPr>
      <w:r>
        <w:rPr>
          <w:rFonts w:ascii="宋体" w:hAnsi="宋体" w:eastAsia="宋体" w:cs="宋体"/>
          <w:color w:val="000000"/>
          <w:sz w:val="22"/>
        </w:rPr>
      </w:r>
      <w:r/>
    </w:p>
    <w:p>
      <w:pPr>
        <w:rPr>
          <w:rFonts w:ascii="宋体" w:hAnsi="宋体" w:eastAsia="宋体" w:cs="宋体"/>
          <w:color w:val="000000"/>
          <w:sz w:val="22"/>
        </w:rPr>
      </w:pPr>
      <w:r>
        <w:rPr>
          <w:rFonts w:ascii="宋体" w:hAnsi="宋体" w:eastAsia="宋体" w:cs="宋体"/>
          <w:color w:val="000000"/>
          <w:sz w:val="22"/>
        </w:rPr>
      </w:r>
      <w:r/>
    </w:p>
    <w:p>
      <w:pPr>
        <w:pStyle w:val="676"/>
        <w:rPr>
          <w:rFonts w:ascii="宋体" w:hAnsi="宋体" w:eastAsia="宋体" w:cs="宋体"/>
          <w:color w:val="000000"/>
          <w:sz w:val="22"/>
        </w:rPr>
      </w:pPr>
      <w:r>
        <w:rPr>
          <w:rFonts w:ascii="宋体" w:hAnsi="宋体" w:eastAsia="宋体" w:cs="宋体"/>
          <w:color w:val="000000"/>
          <w:sz w:val="22"/>
        </w:rPr>
      </w:r>
      <w:r/>
    </w:p>
    <w:p>
      <w:pPr>
        <w:rPr>
          <w:rFonts w:ascii="宋体" w:hAnsi="宋体" w:eastAsia="宋体" w:cs="宋体"/>
          <w:color w:val="000000"/>
          <w:sz w:val="22"/>
        </w:rPr>
      </w:pPr>
      <w:r>
        <w:rPr>
          <w:rFonts w:ascii="宋体" w:hAnsi="宋体" w:eastAsia="宋体" w:cs="宋体"/>
          <w:color w:val="000000"/>
          <w:sz w:val="22"/>
        </w:rPr>
      </w:r>
      <w:r/>
    </w:p>
    <w:p>
      <w:pPr>
        <w:pStyle w:val="676"/>
        <w:rPr>
          <w:rFonts w:ascii="宋体" w:hAnsi="宋体" w:eastAsia="宋体" w:cs="宋体"/>
          <w:color w:val="000000"/>
          <w:sz w:val="22"/>
        </w:rPr>
      </w:pPr>
      <w:r>
        <w:rPr>
          <w:rFonts w:ascii="宋体" w:hAnsi="宋体" w:eastAsia="宋体" w:cs="宋体"/>
          <w:color w:val="000000"/>
          <w:sz w:val="22"/>
        </w:rPr>
      </w:r>
      <w:r/>
    </w:p>
    <w:p>
      <w:pPr>
        <w:rPr>
          <w:rFonts w:ascii="宋体" w:hAnsi="宋体" w:eastAsia="宋体" w:cs="宋体"/>
          <w:color w:val="000000"/>
          <w:sz w:val="22"/>
        </w:rPr>
      </w:pPr>
      <w:r>
        <w:rPr>
          <w:rFonts w:ascii="宋体" w:hAnsi="宋体" w:eastAsia="宋体" w:cs="宋体"/>
          <w:color w:val="000000"/>
          <w:sz w:val="22"/>
        </w:rPr>
      </w:r>
      <w:r/>
    </w:p>
    <w:p>
      <w:pPr>
        <w:pStyle w:val="676"/>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第六章投标文件格式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投标人名称 ：</w:t>
      </w:r>
      <w:r>
        <w:rPr>
          <w:rFonts w:ascii="宋体" w:hAnsi="宋体" w:eastAsia="宋体" w:cs="宋体"/>
          <w:b/>
          <w:color w:val="000000"/>
          <w:sz w:val="36"/>
          <w:u w:val="single"/>
        </w:rPr>
        <w:t xml:space="preserve">（加盖CA电子公章）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投标文件目录</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w:t>
      </w:r>
      <w:r>
        <w:rPr>
          <w:rFonts w:ascii="黑体" w:hAnsi="黑体" w:eastAsia="黑体" w:cs="黑体"/>
          <w:color w:val="000000"/>
          <w:sz w:val="32"/>
          <w:u w:val="single"/>
        </w:rPr>
        <w:t xml:space="preserve">开标一览表</w:t>
      </w:r>
      <w:r/>
    </w:p>
    <w:p>
      <w:pPr>
        <w:ind w:left="0" w:right="0" w:firstLine="4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（此表以电子响应文件格式为准）</w:t>
      </w:r>
      <w:r/>
    </w:p>
    <w:p>
      <w:pPr>
        <w:ind w:left="0" w:right="0" w:firstLine="0"/>
        <w:jc w:val="center"/>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ind w:left="0" w:right="0" w:firstLine="240"/>
        <w:jc w:val="center"/>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一、投标函</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盱眙县人民医院</w:t>
      </w:r>
      <w:r>
        <w:rPr>
          <w:rFonts w:hint="eastAsia" w:ascii="宋体" w:hAnsi="宋体" w:eastAsia="宋体" w:cs="宋体"/>
          <w:color w:val="000000"/>
          <w:sz w:val="24"/>
        </w:rPr>
        <w:t xml:space="preserve">：</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          采购项目（项目编号：           ）招标文件（包括更正公告、如果有的话）收悉，我们经详细审阅和研究，现决定参加投标。同时，正式授权下述签字人      （姓名和职务）代表           （投标人单位名称），全权处理本次项目投标的有关事宜。</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1、我公司没有</w:t>
      </w:r>
      <w:r>
        <w:rPr>
          <w:rFonts w:ascii="宋体" w:hAnsi="宋体" w:eastAsia="宋体" w:cs="宋体"/>
          <w:color w:val="000000"/>
          <w:sz w:val="24"/>
        </w:rPr>
        <w:t xml:space="preserve">为</w:t>
      </w:r>
      <w:r>
        <w:rPr>
          <w:rFonts w:hint="eastAsia" w:ascii="宋体" w:hAnsi="宋体" w:eastAsia="宋体" w:cs="宋体"/>
          <w:color w:val="000000"/>
          <w:sz w:val="24"/>
        </w:rPr>
        <w:t xml:space="preserve">本</w:t>
      </w:r>
      <w:r>
        <w:rPr>
          <w:rFonts w:ascii="宋体" w:hAnsi="宋体" w:eastAsia="宋体" w:cs="宋体"/>
          <w:color w:val="000000"/>
          <w:sz w:val="24"/>
        </w:rPr>
        <w:t xml:space="preserve">项目提供整体设计、规范编制或者项目管理、监理、检测等服务。</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2、参加本次采购活动前，我方没有被“信用中国”网站、“中国政府采购网”列入失信被执行人名单、重大税收违法案件当事人名单、政府采购严重违法失信行为记录名单。</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3、我们接受招标文件的所有的条款和规定。</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我们同意按照招标文件第二章第15条的规定，本投标文件的有效期为从开标之日起计算的六十天，在此期间，本投标文件将始终对我们具有约束力，并可随时被接受。如果我们中标，本投标文件在此期间之后将继续保持有效。</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5、我们理解，你们无义务必须接受投标价最低的投标。同时也理解你们不承担我们本次投标的费用。</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6、我们同意向贵方提供贵方可能要求的与投标有关的任何证据或资料，并保证所提供的都是真实的、准确的。</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7、一旦我方中标，我方将根据招标文件的规定，严格履行合同的责任和义务，并保证在招标文件中规定的时间内供货，并完成项目的施工、调试、交付买方验收、使用。</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投标人名称（电子签章）：             </w:t>
      </w:r>
      <w:r/>
    </w:p>
    <w:p>
      <w:pPr>
        <w:ind w:left="0" w:right="0" w:firstLine="240"/>
        <w:jc w:val="left"/>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地址：            </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邮编：             </w:t>
      </w:r>
      <w:r/>
    </w:p>
    <w:p>
      <w:pPr>
        <w:ind w:left="0" w:right="0" w:firstLine="240"/>
        <w:jc w:val="left"/>
        <w:spacing w:before="0" w:after="0" w:line="55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电话：           </w:t>
      </w:r>
      <w:r/>
    </w:p>
    <w:p>
      <w:pPr>
        <w:ind w:left="0"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传真：           </w:t>
      </w:r>
      <w:r/>
    </w:p>
    <w:p>
      <w:pPr>
        <w:ind w:right="0" w:firstLine="240"/>
        <w:jc w:val="left"/>
        <w:spacing w:before="0" w:after="0" w:line="55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       年     月     日</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w:t>
      </w:r>
      <w:r>
        <w:rPr>
          <w:rFonts w:ascii="宋体" w:hAnsi="宋体" w:eastAsia="宋体" w:cs="宋体"/>
          <w:b/>
          <w:color w:val="000000"/>
          <w:sz w:val="32"/>
        </w:rPr>
        <w:t xml:space="preserve">报价明细表</w:t>
      </w:r>
      <w:r/>
    </w:p>
    <w:p>
      <w:pPr>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（按清单所给项目报价，每一项内容都要报价）</w:t>
      </w:r>
      <w:r/>
    </w:p>
    <w:p>
      <w:pPr>
        <w:pStyle w:val="677"/>
        <w:ind w:left="0" w:right="0" w:firstLine="0"/>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注：以上报价含所有费用，供应商不得再以其他任何理由要求采购人支付其他任何费用。</w:t>
      </w:r>
      <w:r/>
    </w:p>
    <w:p>
      <w:pPr>
        <w:ind w:left="0"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（加盖公章）</w:t>
      </w:r>
      <w:r/>
    </w:p>
    <w:p>
      <w:pPr>
        <w:ind w:left="0" w:right="0" w:firstLine="0"/>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法定代表人或其委托受托人签字：</w:t>
      </w:r>
      <w:r/>
    </w:p>
    <w:p>
      <w:pPr>
        <w:ind w:left="0" w:right="0" w:firstLine="0"/>
        <w:jc w:val="center"/>
        <w:spacing w:before="120" w:after="240" w:line="439"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w:t>
      </w:r>
      <w:r>
        <w:rPr>
          <w:rFonts w:ascii="宋体" w:hAnsi="宋体" w:eastAsia="宋体" w:cs="宋体"/>
          <w:b/>
          <w:color w:val="000000"/>
          <w:sz w:val="32"/>
        </w:rPr>
        <w:t xml:space="preserve">技术响应偏离表</w:t>
      </w:r>
      <w:r/>
    </w:p>
    <w:p>
      <w:pPr>
        <w:ind w:left="0" w:right="0" w:firstLine="0"/>
        <w:jc w:val="both"/>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981"/>
        <w:gridCol w:w="2209"/>
        <w:gridCol w:w="1030"/>
        <w:gridCol w:w="1288"/>
        <w:gridCol w:w="1056"/>
        <w:gridCol w:w="1051"/>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19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招标技术要求</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1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none" w:color="000000" w:sz="4"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none" w:color="000000" w:sz="4"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209"/>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w:t>
      </w:r>
      <w:r>
        <w:rPr>
          <w:rFonts w:ascii="宋体" w:hAnsi="宋体" w:eastAsia="宋体" w:cs="宋体"/>
          <w:color w:val="000000"/>
          <w:sz w:val="28"/>
          <w:u w:val="single"/>
        </w:rPr>
        <w:t xml:space="preserve">    （加盖公章）</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法定代表人或其委托受托人签字：</w:t>
      </w:r>
      <w:r/>
    </w:p>
    <w:p>
      <w:pPr>
        <w:ind w:left="0" w:right="0" w:firstLine="0"/>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3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numPr>
          <w:ilvl w:val="0"/>
          <w:numId w:val="9"/>
        </w:numPr>
        <w:jc w:val="center"/>
        <w:spacing w:before="0" w:after="0" w:line="559" w:lineRule="atLeast"/>
        <w:pBdr>
          <w:top w:val="none" w:color="000000" w:sz="0" w:space="0"/>
          <w:left w:val="none" w:color="000000" w:sz="0" w:space="0"/>
          <w:bottom w:val="none" w:color="000000" w:sz="0" w:space="0"/>
          <w:right w:val="none" w:color="000000" w:sz="0" w:space="0"/>
        </w:pBdr>
      </w:pPr>
      <w:r>
        <w:br w:type="page" w:clear="all"/>
      </w:r>
      <w:r/>
    </w:p>
    <w:p>
      <w:pPr>
        <w:numPr>
          <w:ilvl w:val="0"/>
          <w:numId w:val="0"/>
        </w:numPr>
        <w:jc w:val="both"/>
        <w:spacing w:before="0" w:after="0"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五、</w:t>
      </w:r>
      <w:r>
        <w:rPr>
          <w:rFonts w:ascii="黑体" w:hAnsi="黑体" w:eastAsia="黑体" w:cs="黑体"/>
          <w:b/>
          <w:color w:val="000000"/>
          <w:sz w:val="32"/>
        </w:rPr>
        <w:t xml:space="preserve">服务承诺</w:t>
      </w:r>
      <w:r/>
    </w:p>
    <w:p>
      <w:pPr>
        <w:numPr>
          <w:ilvl w:val="0"/>
          <w:numId w:val="0"/>
        </w:numPr>
        <w:jc w:val="both"/>
        <w:spacing w:before="0" w:after="0"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六、</w:t>
      </w:r>
      <w:r>
        <w:rPr>
          <w:rFonts w:ascii="黑体" w:hAnsi="黑体" w:eastAsia="黑体" w:cs="黑体"/>
          <w:b/>
          <w:color w:val="000000"/>
          <w:sz w:val="32"/>
        </w:rPr>
        <w:t xml:space="preserve">投标供应商必须提交的资格证明文件</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（详见</w:t>
      </w:r>
      <w:r>
        <w:rPr>
          <w:rFonts w:hint="eastAsia" w:ascii="黑体" w:hAnsi="黑体" w:eastAsia="黑体" w:cs="黑体"/>
          <w:b/>
          <w:color w:val="000000"/>
          <w:sz w:val="32"/>
          <w:lang w:val="en-US" w:eastAsia="zh-CN"/>
        </w:rPr>
        <w:t xml:space="preserve">招标</w:t>
      </w:r>
      <w:r>
        <w:rPr>
          <w:rFonts w:ascii="黑体" w:hAnsi="黑体" w:eastAsia="黑体" w:cs="黑体"/>
          <w:b/>
          <w:color w:val="000000"/>
          <w:sz w:val="32"/>
        </w:rPr>
        <w:t xml:space="preserve">公告要求）</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七、投标供应商认为有必要提供并说明的其它资料</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（格式由磋供应商自定、加盖公章）</w:t>
      </w:r>
      <w:r/>
    </w:p>
    <w:p>
      <w:pPr>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友情提醒</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投标供应商所提供的资格证明材料应真实、有效，采购人保留对投标供应商提供的资格证明材料进行核查的权利。如发现投标供应商提供虚假资格证明材料，监管部门将对其进行严肃处理。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示范格式一</w:t>
      </w:r>
      <w:r/>
    </w:p>
    <w:p>
      <w:pPr>
        <w:ind w:left="0" w:right="0" w:firstLine="255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法定代表人资格证明</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单位名称：</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地址：</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姓名：性别：年龄：职务：</w:t>
      </w:r>
      <w:r/>
    </w:p>
    <w:p>
      <w:pPr>
        <w:ind w:left="1"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系</w:t>
      </w:r>
      <w:r>
        <w:rPr>
          <w:rFonts w:ascii="宋体" w:hAnsi="宋体" w:eastAsia="宋体" w:cs="宋体"/>
          <w:color w:val="000000"/>
          <w:sz w:val="28"/>
          <w:u w:val="single"/>
        </w:rPr>
        <w:t xml:space="preserve">（磋商供应商名称）</w:t>
      </w:r>
      <w:r>
        <w:rPr>
          <w:rFonts w:ascii="宋体" w:hAnsi="宋体" w:eastAsia="宋体" w:cs="宋体"/>
          <w:color w:val="000000"/>
          <w:sz w:val="28"/>
        </w:rPr>
        <w:t xml:space="preserve">的法定代表人。为参与项目，签署上述项目的响应文件、进行磋商、签署合同和处理与之有关的一切事务。</w:t>
      </w:r>
      <w:r/>
    </w:p>
    <w:p>
      <w:pPr>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2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特此证明。</w:t>
      </w:r>
      <w:r/>
    </w:p>
    <w:p>
      <w:pPr>
        <w:ind w:left="0" w:right="0" w:firstLine="560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7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磋商供应商：</w:t>
      </w:r>
      <w:r>
        <w:rPr>
          <w:rFonts w:ascii="宋体" w:hAnsi="宋体" w:eastAsia="宋体" w:cs="宋体"/>
          <w:color w:val="000000"/>
          <w:sz w:val="28"/>
          <w:u w:val="single"/>
        </w:rPr>
        <w:t xml:space="preserve">（加盖公章）</w:t>
      </w:r>
      <w:r/>
    </w:p>
    <w:p>
      <w:pPr>
        <w:ind w:left="0" w:right="0" w:firstLine="532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年月日</w:t>
      </w:r>
      <w:r/>
    </w:p>
    <w:p>
      <w:pPr>
        <w:ind w:left="0" w:right="0" w:firstLine="532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320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320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320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320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3204"/>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62"/>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注：磋商供应商法定代表人参加磋商的，必须附法定代表人身份证复印件。法定代表人授权其他人参加磋商的，仅需填写“授权委托书”。</w:t>
      </w:r>
      <w:r>
        <w:rPr>
          <w:rFonts w:ascii="宋体" w:hAnsi="宋体" w:eastAsia="宋体" w:cs="宋体"/>
          <w:b/>
          <w:color w:val="000000"/>
          <w:sz w:val="24"/>
        </w:rP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示范格式二</w:t>
      </w:r>
      <w:r/>
    </w:p>
    <w:p>
      <w:pPr>
        <w:ind w:left="0" w:right="0" w:firstLine="3357"/>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授权委托书</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致</w:t>
      </w:r>
      <w:r>
        <w:rPr>
          <w:rFonts w:ascii="宋体" w:hAnsi="宋体" w:eastAsia="宋体" w:cs="宋体"/>
          <w:b/>
          <w:color w:val="000000"/>
          <w:sz w:val="24"/>
          <w:u w:val="single"/>
        </w:rPr>
        <w:t xml:space="preserve">（采购单位）</w:t>
      </w:r>
      <w:r>
        <w:rPr>
          <w:rFonts w:ascii="宋体" w:hAnsi="宋体" w:eastAsia="宋体" w:cs="宋体"/>
          <w:b/>
          <w:color w:val="000000"/>
          <w:sz w:val="24"/>
        </w:rPr>
        <w:t xml:space="preserve">：</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本授权书宣告：</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委托方：地址：</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受托人：姓名性别：出生日期：年月日</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所在单位：职务：</w:t>
      </w:r>
      <w:r/>
    </w:p>
    <w:p>
      <w:pPr>
        <w:ind w:left="0" w:right="0" w:firstLine="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身份证：联系方式：</w:t>
      </w:r>
      <w:r/>
    </w:p>
    <w:p>
      <w:pPr>
        <w:ind w:left="0" w:right="0" w:firstLine="48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兹委托受托人代表我公司参加采购人的</w:t>
      </w:r>
      <w:r>
        <w:rPr>
          <w:rFonts w:ascii="宋体" w:hAnsi="宋体" w:eastAsia="宋体" w:cs="宋体"/>
          <w:color w:val="000000"/>
          <w:sz w:val="24"/>
          <w:u w:val="single"/>
        </w:rPr>
        <w:t xml:space="preserve">      （项目名称）</w:t>
      </w:r>
      <w:r>
        <w:rPr>
          <w:rFonts w:ascii="宋体" w:hAnsi="宋体" w:eastAsia="宋体" w:cs="宋体"/>
          <w:color w:val="000000"/>
          <w:sz w:val="24"/>
        </w:rPr>
        <w:t xml:space="preserve">（项目编号：）的政府采购活动，受托人有权在该磋商活动中，以我单位的名义签署磋商函和响应文件，与交易中心协商、澄清、解释，签订合同书并执行一切与此有关的事项。</w:t>
      </w:r>
      <w:r/>
    </w:p>
    <w:p>
      <w:pPr>
        <w:ind w:left="0" w:right="0" w:firstLine="48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受托人在办理上述事宜过程中以其自己的名义所签署的所有文件我公司均予以承认。受托人无转委托权。</w:t>
      </w:r>
      <w:r/>
    </w:p>
    <w:p>
      <w:pPr>
        <w:ind w:left="0" w:right="0" w:firstLine="480"/>
        <w:jc w:val="both"/>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委托期限：至上述事宜处理完毕止。</w:t>
      </w:r>
      <w:r/>
    </w:p>
    <w:p>
      <w:pPr>
        <w:ind w:left="0" w:right="0" w:firstLine="43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委托单位</w:t>
      </w:r>
      <w:r>
        <w:rPr>
          <w:rFonts w:ascii="宋体" w:hAnsi="宋体" w:eastAsia="宋体" w:cs="宋体"/>
          <w:color w:val="000000"/>
          <w:sz w:val="24"/>
          <w:u w:val="single"/>
        </w:rPr>
        <w:t xml:space="preserve">（公章）</w:t>
      </w:r>
      <w:r/>
    </w:p>
    <w:p>
      <w:pPr>
        <w:ind w:left="0" w:right="0" w:firstLine="46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年月日</w:t>
      </w:r>
      <w:r/>
    </w:p>
    <w:p>
      <w:pPr>
        <w:ind w:left="0" w:right="0" w:firstLine="5481"/>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81"/>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5481"/>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注：磋商供应商委托受托人参加磋商的，必须附受托人身份证复印件。法定代表人直接参加磋商的，仅需填写“法定代表人资格证明”。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承诺书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（采购单位）</w:t>
      </w:r>
      <w:r>
        <w:rPr>
          <w:rFonts w:ascii="宋体" w:hAnsi="宋体" w:eastAsia="宋体" w:cs="宋体"/>
          <w:color w:val="000000"/>
          <w:sz w:val="22"/>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我公司在</w:t>
      </w:r>
      <w:r>
        <w:rPr>
          <w:rFonts w:ascii="宋体" w:hAnsi="宋体" w:eastAsia="宋体" w:cs="宋体"/>
          <w:color w:val="000000"/>
          <w:sz w:val="22"/>
          <w:u w:val="single"/>
        </w:rPr>
        <w:t xml:space="preserve">                项目（编号：         ）</w:t>
      </w:r>
      <w:r>
        <w:rPr>
          <w:rFonts w:ascii="宋体" w:hAnsi="宋体" w:eastAsia="宋体" w:cs="宋体"/>
          <w:color w:val="000000"/>
          <w:sz w:val="22"/>
        </w:rPr>
        <w:t xml:space="preserve">投标过程中，作如下承诺：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一、我方企业完全具备履行合同所必须的设备和专业技术能力；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二、我方参加政府采购活动前3年内在经营活动中没有重大违法记录（因违法经营受到刑事处罚或者责令停产停业、吊销许可证或者执照、较大数额罚款等行政处罚）。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三、我公司与参加本次采购活动的其他单位不存在单位负责人为同一人的情况，也不存在控股、管理关系的情况；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四、我公司没有为本采购项目提供整体设计、规范编制或者项目管理、监理、检测等服务；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五、我方保证上述信息的真实和准确，并愿意承担因我方就此弄虚作假所引起的一切法律后果，并自愿接受相关监管部门作出的任何处罚。我公司主动承诺以上内容，如有违反，自愿接受任何处罚。</w:t>
      </w:r>
      <w:r/>
    </w:p>
    <w:p>
      <w:pPr>
        <w:ind w:left="0" w:right="0" w:firstLine="476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磋商供应商：</w:t>
      </w:r>
      <w:r>
        <w:rPr>
          <w:rFonts w:ascii="宋体" w:hAnsi="宋体" w:eastAsia="宋体" w:cs="宋体"/>
          <w:color w:val="000000"/>
          <w:sz w:val="22"/>
          <w:u w:val="single"/>
        </w:rPr>
        <w:t xml:space="preserve">（加盖公章）</w:t>
      </w:r>
      <w:r/>
    </w:p>
    <w:p>
      <w:pPr>
        <w:ind w:left="0" w:right="0" w:firstLine="532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年</w:t>
      </w:r>
      <w:r>
        <w:rPr>
          <w:rFonts w:ascii="宋体" w:hAnsi="宋体" w:eastAsia="宋体" w:cs="宋体"/>
          <w:color w:val="000000"/>
          <w:sz w:val="21"/>
        </w:rPr>
        <w:t xml:space="preserve">   </w:t>
      </w:r>
      <w:r>
        <w:rPr>
          <w:rFonts w:ascii="宋体" w:hAnsi="宋体" w:eastAsia="宋体" w:cs="宋体"/>
          <w:color w:val="000000"/>
          <w:sz w:val="22"/>
        </w:rPr>
        <w:t xml:space="preserve">月</w:t>
      </w:r>
      <w:r>
        <w:rPr>
          <w:rFonts w:ascii="宋体" w:hAnsi="宋体" w:eastAsia="宋体" w:cs="宋体"/>
          <w:color w:val="000000"/>
          <w:sz w:val="21"/>
        </w:rPr>
        <w:t xml:space="preserve">   </w:t>
      </w:r>
      <w:r>
        <w:rPr>
          <w:rFonts w:ascii="宋体" w:hAnsi="宋体" w:eastAsia="宋体" w:cs="宋体"/>
          <w:color w:val="000000"/>
          <w:sz w:val="22"/>
        </w:rPr>
        <w:t xml:space="preserve">日</w:t>
      </w: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符合《政府采购法》第二十二条规定条件的声明函</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u w:val="single"/>
        </w:rPr>
        <w:t xml:space="preserve">        （采购单位） </w:t>
      </w:r>
      <w:r>
        <w:rPr>
          <w:rFonts w:ascii="宋体" w:hAnsi="宋体" w:eastAsia="宋体" w:cs="宋体"/>
          <w:color w:val="000000"/>
          <w:sz w:val="30"/>
        </w:rPr>
        <w:t xml:space="preserve">：</w:t>
      </w:r>
      <w:r/>
    </w:p>
    <w:p>
      <w:pPr>
        <w:ind w:left="0" w:right="0" w:firstLine="6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我公司在项目（编号：）投标过程中，作如下承诺：</w:t>
      </w:r>
      <w:r/>
    </w:p>
    <w:p>
      <w:pPr>
        <w:ind w:left="0" w:right="0" w:firstLine="28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1、我单位具有独立承担民事责任的能力；</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2、我单位具有良好的商业信誉和健全的财务会计制度；</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3、我单位具有履行合同所必需的设备和专业技术能力；</w:t>
      </w:r>
      <w:r/>
    </w:p>
    <w:p>
      <w:pPr>
        <w:ind w:left="0" w:right="0" w:firstLine="56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4、我单位有依法缴纳税收和社会保障资金的良好记录；</w:t>
      </w:r>
      <w:r/>
    </w:p>
    <w:p>
      <w:pPr>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5、参加本次政府采购活动前三年内，我公司在经营活动中没有因违法经营受到刑事处罚或者责令停产停业、吊销许可证或者执照、较大数额罚款等行政处罚。</w:t>
      </w:r>
      <w:r/>
    </w:p>
    <w:p>
      <w:pPr>
        <w:ind w:left="0" w:right="0" w:firstLine="638"/>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6、我单位满足法律、行政法规规定的其他条件。</w:t>
      </w:r>
      <w:r/>
    </w:p>
    <w:p>
      <w:pPr>
        <w:ind w:left="0" w:right="0" w:firstLine="476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rPr>
          <w:rFonts w:ascii="宋体" w:hAnsi="宋体" w:eastAsia="宋体" w:cs="宋体"/>
          <w:color w:val="000000"/>
          <w:sz w:val="28"/>
        </w:rPr>
        <w:t xml:space="preserve">磋商供应商：</w:t>
      </w:r>
      <w:r>
        <w:rPr>
          <w:rFonts w:ascii="宋体" w:hAnsi="宋体" w:eastAsia="宋体" w:cs="宋体"/>
          <w:color w:val="000000"/>
          <w:sz w:val="28"/>
          <w:u w:val="single"/>
        </w:rPr>
        <w:t xml:space="preserve">（加盖公章）</w:t>
      </w:r>
      <w:r/>
    </w:p>
    <w:p>
      <w:pPr>
        <w:ind w:left="0" w:right="0" w:firstLine="600"/>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年   月   日</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562" w:right="0" w:hanging="56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示范格式五</w:t>
      </w:r>
      <w:r/>
    </w:p>
    <w:p>
      <w:pPr>
        <w:ind w:left="0" w:right="0" w:firstLine="321"/>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中小企业声明函（货物）</w:t>
      </w:r>
      <w:r/>
    </w:p>
    <w:p>
      <w:pPr>
        <w:ind w:left="0" w:right="0" w:firstLine="36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本公司郑重声明，根据《政府采购促进中小企业发展管理办法》(财库[2020]46号)的规定，本公司参加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的</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采购活动，提供的货物全部由符合政策要求的中小企业制造。相关企业的具体情况如下：</w:t>
      </w:r>
      <w:r/>
    </w:p>
    <w:p>
      <w:pPr>
        <w:numPr>
          <w:ilvl w:val="0"/>
          <w:numId w:val="10"/>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行业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numPr>
          <w:ilvl w:val="0"/>
          <w:numId w:val="10"/>
        </w:numPr>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（标的名称）</w:t>
      </w:r>
      <w:r>
        <w:rPr>
          <w:rFonts w:ascii="宋体" w:hAnsi="宋体" w:eastAsia="宋体" w:cs="宋体"/>
          <w:color w:val="000000"/>
          <w:sz w:val="24"/>
        </w:rPr>
        <w:t xml:space="preserve">，属于</w:t>
      </w:r>
      <w:r>
        <w:rPr>
          <w:rFonts w:ascii="宋体" w:hAnsi="宋体" w:eastAsia="宋体" w:cs="宋体"/>
          <w:color w:val="000000"/>
          <w:sz w:val="24"/>
          <w:u w:val="single"/>
        </w:rPr>
        <w:t xml:space="preserve">行业</w:t>
      </w:r>
      <w:r>
        <w:rPr>
          <w:rFonts w:ascii="宋体" w:hAnsi="宋体" w:eastAsia="宋体" w:cs="宋体"/>
          <w:color w:val="000000"/>
          <w:sz w:val="24"/>
        </w:rPr>
        <w:t xml:space="preserve">；制造商为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，从业人员人，营业收入为万元，资产总额为万元，属于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pStyle w:val="676"/>
        <w:ind w:left="0" w:right="0" w:firstLine="0"/>
        <w:jc w:val="both"/>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52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企业名称（盖章）：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注：1.</w:t>
      </w:r>
      <w:r>
        <w:rPr>
          <w:rFonts w:ascii="宋体" w:hAnsi="宋体" w:eastAsia="宋体" w:cs="宋体"/>
          <w:color w:val="000000"/>
          <w:sz w:val="18"/>
          <w:vertAlign w:val="superscript"/>
        </w:rPr>
        <w:t xml:space="preserve">1</w:t>
      </w:r>
      <w:r>
        <w:rPr>
          <w:rFonts w:ascii="宋体" w:hAnsi="宋体" w:eastAsia="宋体" w:cs="宋体"/>
          <w:color w:val="000000"/>
          <w:sz w:val="18"/>
        </w:rPr>
        <w:t xml:space="preserve">从业人员、营业收入、资产总额填报上一年度数据，无上一年度数据的新成立企业可不填报。</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2.在采购项目中，供应商提供的工程既有中小企业，也有大型企业的，不享受本办法规定的中小企业扶持政策。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3.供应商应根据采购文件明确的行业所对应的划分标准，判断是否属于中小企业，并提交《中小企业声明函》</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示范格式六</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5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残疾人福利性单位声明函</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 </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本单位在本次政府采购活动中提供的残疾人福利单位产品报价合计为人民币（大写）圆整（￥：）。</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（备注：1、中标供应商为残疾人福利单位的，此声明函将随中标结果同时公告，接受社会监督）。</w:t>
      </w:r>
      <w:r/>
    </w:p>
    <w:p>
      <w:pPr>
        <w:ind w:left="0" w:right="0" w:firstLine="504"/>
        <w:jc w:val="both"/>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1560" w:firstLine="480"/>
        <w:jc w:val="center"/>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供应商全称（盖章）：</w:t>
      </w:r>
      <w:r/>
    </w:p>
    <w:p>
      <w:pPr>
        <w:ind w:left="0" w:right="1560" w:firstLine="480"/>
        <w:jc w:val="center"/>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示范格式七</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32"/>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监狱单位声明函（格式自拟）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rPr>
        <w:t xml:space="preserve"> </w:t>
      </w:r>
      <w:r/>
    </w:p>
    <w:p>
      <w:pPr>
        <w:rPr>
          <w:highlight w:val="white"/>
        </w:rPr>
      </w:pPr>
      <w:r>
        <w:rPr>
          <w:highlight w:val="whit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华文楷体">
    <w:panose1 w:val="02010600040101010101"/>
  </w:font>
  <w:font w:name="Adobe 仿宋 Std R">
    <w:panose1 w:val="020B050302020202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1"/>
  </w:num>
  <w:num w:numId="4">
    <w:abstractNumId w:val="7"/>
  </w:num>
  <w:num w:numId="5">
    <w:abstractNumId w:val="5"/>
  </w:num>
  <w:num w:numId="6">
    <w:abstractNumId w:val="4"/>
  </w:num>
  <w:num w:numId="7">
    <w:abstractNumId w:val="0"/>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default="1">
    <w:name w:val="Normal"/>
    <w:next w:val="686"/>
    <w:uiPriority w:val="0"/>
    <w:qFormat/>
    <w:rPr>
      <w:rFonts w:ascii="Times New Roman" w:hAnsi="Times New Roman" w:eastAsia="宋体" w:cs="Times New Roman"/>
      <w:sz w:val="21"/>
      <w:szCs w:val="22"/>
    </w:rPr>
  </w:style>
  <w:style w:type="paragraph" w:styleId="675">
    <w:name w:val="Heading 1"/>
    <w:link w:val="712"/>
    <w:uiPriority w:val="9"/>
    <w:qFormat/>
    <w:pPr>
      <w:keepLines/>
      <w:keepNext/>
      <w:spacing w:before="480" w:after="200"/>
      <w:outlineLvl w:val="0"/>
    </w:pPr>
    <w:rPr>
      <w:rFonts w:ascii="Arial" w:hAnsi="Arial" w:eastAsia="Arial" w:cs="Arial"/>
      <w:sz w:val="40"/>
      <w:szCs w:val="40"/>
    </w:rPr>
  </w:style>
  <w:style w:type="paragraph" w:styleId="676">
    <w:name w:val="Heading 2"/>
    <w:basedOn w:val="674"/>
    <w:next w:val="674"/>
    <w:link w:val="713"/>
    <w:uiPriority w:val="9"/>
    <w:unhideWhenUsed/>
    <w:qFormat/>
    <w:pPr>
      <w:keepLines/>
      <w:keepNext/>
      <w:spacing w:before="360" w:after="200"/>
      <w:outlineLvl w:val="1"/>
    </w:pPr>
    <w:rPr>
      <w:rFonts w:ascii="Arial" w:hAnsi="Arial" w:eastAsia="Arial" w:cs="Arial"/>
      <w:sz w:val="34"/>
      <w:szCs w:val="22"/>
    </w:rPr>
  </w:style>
  <w:style w:type="paragraph" w:styleId="677">
    <w:name w:val="Heading 3"/>
    <w:link w:val="714"/>
    <w:uiPriority w:val="9"/>
    <w:unhideWhenUsed/>
    <w:qFormat/>
    <w:pPr>
      <w:keepLines/>
      <w:keepNext/>
      <w:spacing w:before="320" w:after="200"/>
      <w:outlineLvl w:val="2"/>
    </w:pPr>
    <w:rPr>
      <w:rFonts w:ascii="Arial" w:hAnsi="Arial" w:eastAsia="Arial" w:cs="Arial"/>
      <w:sz w:val="30"/>
      <w:szCs w:val="30"/>
    </w:rPr>
  </w:style>
  <w:style w:type="paragraph" w:styleId="678">
    <w:name w:val="Heading 4"/>
    <w:link w:val="715"/>
    <w:uiPriority w:val="9"/>
    <w:unhideWhenUsed/>
    <w:qFormat/>
    <w:pPr>
      <w:keepLines/>
      <w:keepNext/>
      <w:spacing w:before="320" w:after="200"/>
      <w:outlineLvl w:val="3"/>
    </w:pPr>
    <w:rPr>
      <w:rFonts w:ascii="Arial" w:hAnsi="Arial" w:eastAsia="Arial" w:cs="Arial"/>
      <w:b/>
      <w:bCs/>
      <w:sz w:val="26"/>
      <w:szCs w:val="26"/>
    </w:rPr>
  </w:style>
  <w:style w:type="paragraph" w:styleId="679">
    <w:name w:val="Heading 5"/>
    <w:link w:val="716"/>
    <w:uiPriority w:val="9"/>
    <w:unhideWhenUsed/>
    <w:qFormat/>
    <w:pPr>
      <w:keepLines/>
      <w:keepNext/>
      <w:spacing w:before="320" w:after="200"/>
      <w:outlineLvl w:val="4"/>
    </w:pPr>
    <w:rPr>
      <w:rFonts w:ascii="Arial" w:hAnsi="Arial" w:eastAsia="Arial" w:cs="Arial"/>
      <w:b/>
      <w:bCs/>
      <w:sz w:val="24"/>
      <w:szCs w:val="24"/>
    </w:rPr>
  </w:style>
  <w:style w:type="paragraph" w:styleId="680">
    <w:name w:val="Heading 6"/>
    <w:link w:val="717"/>
    <w:uiPriority w:val="9"/>
    <w:unhideWhenUsed/>
    <w:qFormat/>
    <w:pPr>
      <w:keepLines/>
      <w:keepNext/>
      <w:spacing w:before="320" w:after="200"/>
      <w:outlineLvl w:val="5"/>
    </w:pPr>
    <w:rPr>
      <w:rFonts w:ascii="Arial" w:hAnsi="Arial" w:eastAsia="Arial" w:cs="Arial"/>
      <w:b/>
      <w:bCs/>
      <w:sz w:val="22"/>
      <w:szCs w:val="22"/>
    </w:rPr>
  </w:style>
  <w:style w:type="paragraph" w:styleId="681">
    <w:name w:val="Heading 7"/>
    <w:link w:val="718"/>
    <w:uiPriority w:val="9"/>
    <w:unhideWhenUsed/>
    <w:qFormat/>
    <w:pPr>
      <w:keepLines/>
      <w:keepNext/>
      <w:spacing w:before="320" w:after="200"/>
      <w:outlineLvl w:val="6"/>
    </w:pPr>
    <w:rPr>
      <w:rFonts w:ascii="Arial" w:hAnsi="Arial" w:eastAsia="Arial" w:cs="Arial"/>
      <w:b/>
      <w:bCs/>
      <w:i/>
      <w:iCs/>
      <w:sz w:val="22"/>
      <w:szCs w:val="22"/>
    </w:rPr>
  </w:style>
  <w:style w:type="paragraph" w:styleId="682">
    <w:name w:val="Heading 8"/>
    <w:link w:val="719"/>
    <w:uiPriority w:val="9"/>
    <w:unhideWhenUsed/>
    <w:qFormat/>
    <w:pPr>
      <w:keepLines/>
      <w:keepNext/>
      <w:spacing w:before="320" w:after="200"/>
      <w:outlineLvl w:val="7"/>
    </w:pPr>
    <w:rPr>
      <w:rFonts w:ascii="Arial" w:hAnsi="Arial" w:eastAsia="Arial" w:cs="Arial"/>
      <w:i/>
      <w:iCs/>
      <w:sz w:val="22"/>
      <w:szCs w:val="22"/>
    </w:rPr>
  </w:style>
  <w:style w:type="paragraph" w:styleId="683">
    <w:name w:val="Heading 9"/>
    <w:link w:val="720"/>
    <w:uiPriority w:val="9"/>
    <w:unhideWhenUsed/>
    <w:qFormat/>
    <w:pPr>
      <w:keepLines/>
      <w:keepNext/>
      <w:spacing w:before="320" w:after="200"/>
      <w:outlineLvl w:val="8"/>
    </w:pPr>
    <w:rPr>
      <w:rFonts w:ascii="Arial" w:hAnsi="Arial" w:eastAsia="Arial" w:cs="Arial"/>
      <w:i/>
      <w:iCs/>
      <w:sz w:val="21"/>
      <w:szCs w:val="21"/>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Footer"/>
    <w:basedOn w:val="674"/>
    <w:next w:val="674"/>
    <w:link w:val="731"/>
    <w:uiPriority w:val="99"/>
    <w:unhideWhenUsed/>
    <w:qFormat/>
    <w:pPr>
      <w:spacing w:after="0" w:line="240" w:lineRule="auto"/>
      <w:tabs>
        <w:tab w:val="center" w:pos="7143" w:leader="none"/>
        <w:tab w:val="right" w:pos="14287" w:leader="none"/>
      </w:tabs>
    </w:pPr>
    <w:rPr>
      <w:sz w:val="21"/>
      <w:szCs w:val="22"/>
    </w:rPr>
  </w:style>
  <w:style w:type="paragraph" w:styleId="687">
    <w:name w:val="toc 7"/>
    <w:uiPriority w:val="39"/>
    <w:unhideWhenUsed/>
    <w:qFormat/>
    <w:pPr>
      <w:ind w:left="1701" w:right="0" w:firstLine="0"/>
      <w:spacing w:after="57"/>
    </w:pPr>
    <w:rPr>
      <w:rFonts w:ascii="Times New Roman" w:hAnsi="Times New Roman" w:eastAsia="宋体" w:cs="Times New Roman"/>
      <w:sz w:val="21"/>
      <w:szCs w:val="22"/>
    </w:rPr>
  </w:style>
  <w:style w:type="paragraph" w:styleId="688">
    <w:name w:val="Caption"/>
    <w:uiPriority w:val="35"/>
    <w:semiHidden/>
    <w:unhideWhenUsed/>
    <w:qFormat/>
    <w:pPr>
      <w:spacing w:line="276" w:lineRule="auto"/>
    </w:pPr>
    <w:rPr>
      <w:rFonts w:ascii="Times New Roman" w:hAnsi="Times New Roman" w:eastAsia="宋体" w:cs="Times New Roman"/>
      <w:b/>
      <w:bCs/>
      <w:color w:val="4f81bd" w:themeColor="accent1"/>
      <w:sz w:val="18"/>
      <w:szCs w:val="18"/>
      <w14:textFill>
        <w14:solidFill>
          <w14:schemeClr w14:val="accent1"/>
        </w14:solidFill>
      </w14:textFill>
    </w:rPr>
  </w:style>
  <w:style w:type="paragraph" w:styleId="689">
    <w:name w:val="toa heading"/>
    <w:basedOn w:val="674"/>
    <w:next w:val="674"/>
    <w:uiPriority w:val="0"/>
    <w:qFormat/>
    <w:pPr>
      <w:spacing w:before="120"/>
    </w:pPr>
    <w:rPr>
      <w:rFonts w:ascii="Arial" w:hAnsi="Arial"/>
      <w:sz w:val="24"/>
    </w:rPr>
  </w:style>
  <w:style w:type="paragraph" w:styleId="690">
    <w:name w:val="Body Text"/>
    <w:basedOn w:val="674"/>
    <w:next w:val="674"/>
    <w:uiPriority w:val="0"/>
    <w:unhideWhenUsed/>
    <w:qFormat/>
    <w:pPr>
      <w:spacing w:after="120"/>
    </w:pPr>
    <w:rPr>
      <w:rFonts w:ascii="Calibri" w:hAnsi="Calibri"/>
      <w:szCs w:val="22"/>
    </w:rPr>
  </w:style>
  <w:style w:type="paragraph" w:styleId="691">
    <w:name w:val="Body Text Indent"/>
    <w:basedOn w:val="674"/>
    <w:uiPriority w:val="0"/>
    <w:qFormat/>
    <w:pPr>
      <w:ind w:left="420"/>
      <w:spacing w:after="120"/>
    </w:pPr>
  </w:style>
  <w:style w:type="paragraph" w:styleId="692">
    <w:name w:val="toc 5"/>
    <w:uiPriority w:val="39"/>
    <w:unhideWhenUsed/>
    <w:qFormat/>
    <w:pPr>
      <w:ind w:left="1134" w:right="0" w:firstLine="0"/>
      <w:spacing w:after="57"/>
    </w:pPr>
    <w:rPr>
      <w:rFonts w:ascii="Times New Roman" w:hAnsi="Times New Roman" w:eastAsia="宋体" w:cs="Times New Roman"/>
      <w:sz w:val="21"/>
      <w:szCs w:val="22"/>
    </w:rPr>
  </w:style>
  <w:style w:type="paragraph" w:styleId="693">
    <w:name w:val="toc 3"/>
    <w:uiPriority w:val="39"/>
    <w:unhideWhenUsed/>
    <w:qFormat/>
    <w:pPr>
      <w:ind w:left="567" w:right="0" w:firstLine="0"/>
      <w:spacing w:after="57"/>
    </w:pPr>
    <w:rPr>
      <w:rFonts w:ascii="Times New Roman" w:hAnsi="Times New Roman" w:eastAsia="宋体" w:cs="Times New Roman"/>
      <w:sz w:val="21"/>
      <w:szCs w:val="22"/>
    </w:rPr>
  </w:style>
  <w:style w:type="paragraph" w:styleId="694">
    <w:name w:val="Plain Text"/>
    <w:basedOn w:val="674"/>
    <w:uiPriority w:val="0"/>
    <w:qFormat/>
    <w:rPr>
      <w:rFonts w:ascii="宋体" w:hAnsi="Courier New" w:cs="Courier New"/>
      <w:szCs w:val="21"/>
    </w:rPr>
  </w:style>
  <w:style w:type="paragraph" w:styleId="695">
    <w:name w:val="toc 8"/>
    <w:uiPriority w:val="39"/>
    <w:unhideWhenUsed/>
    <w:qFormat/>
    <w:pPr>
      <w:ind w:left="1984" w:right="0" w:firstLine="0"/>
      <w:spacing w:after="57"/>
    </w:pPr>
    <w:rPr>
      <w:rFonts w:ascii="Times New Roman" w:hAnsi="Times New Roman" w:eastAsia="宋体" w:cs="Times New Roman"/>
      <w:sz w:val="21"/>
      <w:szCs w:val="22"/>
    </w:rPr>
  </w:style>
  <w:style w:type="paragraph" w:styleId="696">
    <w:name w:val="endnote text"/>
    <w:link w:val="858"/>
    <w:uiPriority w:val="99"/>
    <w:semiHidden/>
    <w:unhideWhenUsed/>
    <w:qFormat/>
    <w:pPr>
      <w:spacing w:after="0" w:line="240" w:lineRule="auto"/>
    </w:pPr>
    <w:rPr>
      <w:rFonts w:ascii="Times New Roman" w:hAnsi="Times New Roman" w:eastAsia="宋体" w:cs="Times New Roman"/>
      <w:sz w:val="20"/>
      <w:szCs w:val="22"/>
    </w:rPr>
  </w:style>
  <w:style w:type="paragraph" w:styleId="697">
    <w:name w:val="Header"/>
    <w:basedOn w:val="674"/>
    <w:link w:val="729"/>
    <w:uiPriority w:val="99"/>
    <w:unhideWhenUsed/>
    <w:qFormat/>
    <w:pPr>
      <w:spacing w:after="0" w:line="240" w:lineRule="auto"/>
      <w:tabs>
        <w:tab w:val="center" w:pos="7143" w:leader="none"/>
        <w:tab w:val="right" w:pos="14287" w:leader="none"/>
      </w:tabs>
    </w:pPr>
    <w:rPr>
      <w:rFonts w:ascii="Times New Roman" w:hAnsi="Times New Roman" w:eastAsia="宋体" w:cs="Times New Roman"/>
      <w:sz w:val="21"/>
      <w:szCs w:val="22"/>
    </w:rPr>
  </w:style>
  <w:style w:type="paragraph" w:styleId="698">
    <w:name w:val="toc 1"/>
    <w:uiPriority w:val="39"/>
    <w:unhideWhenUsed/>
    <w:qFormat/>
    <w:pPr>
      <w:ind w:left="0" w:right="0" w:firstLine="0"/>
      <w:spacing w:after="57"/>
    </w:pPr>
    <w:rPr>
      <w:rFonts w:ascii="Times New Roman" w:hAnsi="Times New Roman" w:eastAsia="宋体" w:cs="Times New Roman"/>
      <w:sz w:val="21"/>
      <w:szCs w:val="22"/>
    </w:rPr>
  </w:style>
  <w:style w:type="paragraph" w:styleId="699">
    <w:name w:val="toc 4"/>
    <w:uiPriority w:val="39"/>
    <w:unhideWhenUsed/>
    <w:qFormat/>
    <w:pPr>
      <w:ind w:left="850" w:right="0" w:firstLine="0"/>
      <w:spacing w:after="57"/>
    </w:pPr>
    <w:rPr>
      <w:rFonts w:ascii="Times New Roman" w:hAnsi="Times New Roman" w:eastAsia="宋体" w:cs="Times New Roman"/>
      <w:sz w:val="21"/>
      <w:szCs w:val="22"/>
    </w:rPr>
  </w:style>
  <w:style w:type="paragraph" w:styleId="700">
    <w:name w:val="Subtitle"/>
    <w:link w:val="724"/>
    <w:uiPriority w:val="11"/>
    <w:qFormat/>
    <w:pPr>
      <w:spacing w:before="200" w:after="200"/>
    </w:pPr>
    <w:rPr>
      <w:rFonts w:ascii="Times New Roman" w:hAnsi="Times New Roman" w:eastAsia="宋体" w:cs="Times New Roman"/>
      <w:sz w:val="24"/>
      <w:szCs w:val="24"/>
    </w:rPr>
  </w:style>
  <w:style w:type="paragraph" w:styleId="701">
    <w:name w:val="footnote text"/>
    <w:link w:val="857"/>
    <w:uiPriority w:val="99"/>
    <w:semiHidden/>
    <w:unhideWhenUsed/>
    <w:qFormat/>
    <w:pPr>
      <w:spacing w:after="40" w:line="240" w:lineRule="auto"/>
    </w:pPr>
    <w:rPr>
      <w:rFonts w:ascii="Times New Roman" w:hAnsi="Times New Roman" w:eastAsia="宋体" w:cs="Times New Roman"/>
      <w:sz w:val="18"/>
      <w:szCs w:val="22"/>
    </w:rPr>
  </w:style>
  <w:style w:type="paragraph" w:styleId="702">
    <w:name w:val="toc 6"/>
    <w:uiPriority w:val="39"/>
    <w:unhideWhenUsed/>
    <w:qFormat/>
    <w:pPr>
      <w:ind w:left="1417" w:right="0" w:firstLine="0"/>
      <w:spacing w:after="57"/>
    </w:pPr>
    <w:rPr>
      <w:rFonts w:ascii="Times New Roman" w:hAnsi="Times New Roman" w:eastAsia="宋体" w:cs="Times New Roman"/>
      <w:sz w:val="21"/>
      <w:szCs w:val="22"/>
    </w:rPr>
  </w:style>
  <w:style w:type="paragraph" w:styleId="703">
    <w:name w:val="table of figures"/>
    <w:uiPriority w:val="99"/>
    <w:unhideWhenUsed/>
    <w:qFormat/>
    <w:pPr>
      <w:spacing w:after="0" w:afterAutospacing="0"/>
    </w:pPr>
    <w:rPr>
      <w:rFonts w:ascii="Times New Roman" w:hAnsi="Times New Roman" w:eastAsia="宋体" w:cs="Times New Roman"/>
      <w:sz w:val="21"/>
      <w:szCs w:val="22"/>
    </w:rPr>
  </w:style>
  <w:style w:type="paragraph" w:styleId="704">
    <w:name w:val="toc 2"/>
    <w:uiPriority w:val="39"/>
    <w:unhideWhenUsed/>
    <w:qFormat/>
    <w:pPr>
      <w:ind w:left="283" w:right="0" w:firstLine="0"/>
      <w:spacing w:after="57"/>
    </w:pPr>
    <w:rPr>
      <w:rFonts w:ascii="Times New Roman" w:hAnsi="Times New Roman" w:eastAsia="宋体" w:cs="Times New Roman"/>
      <w:sz w:val="21"/>
      <w:szCs w:val="22"/>
    </w:rPr>
  </w:style>
  <w:style w:type="paragraph" w:styleId="705">
    <w:name w:val="toc 9"/>
    <w:uiPriority w:val="39"/>
    <w:unhideWhenUsed/>
    <w:qFormat/>
    <w:pPr>
      <w:ind w:left="2268" w:right="0" w:firstLine="0"/>
      <w:spacing w:after="57"/>
    </w:pPr>
    <w:rPr>
      <w:rFonts w:ascii="Times New Roman" w:hAnsi="Times New Roman" w:eastAsia="宋体" w:cs="Times New Roman"/>
      <w:sz w:val="21"/>
      <w:szCs w:val="22"/>
    </w:rPr>
  </w:style>
  <w:style w:type="paragraph" w:styleId="706">
    <w:name w:val="Normal (Web)"/>
    <w:basedOn w:val="674"/>
    <w:uiPriority w:val="99"/>
    <w:semiHidden/>
    <w:unhideWhenUsed/>
    <w:qFormat/>
    <w:pPr>
      <w:ind w:left="0" w:right="0"/>
      <w:jc w:val="left"/>
      <w:spacing w:before="0" w:beforeAutospacing="1" w:after="0" w:afterAutospacing="1"/>
    </w:pPr>
    <w:rPr>
      <w:sz w:val="24"/>
      <w:lang w:val="en-US" w:eastAsia="zh-CN" w:bidi="ar"/>
    </w:rPr>
  </w:style>
  <w:style w:type="paragraph" w:styleId="707">
    <w:name w:val="Title"/>
    <w:link w:val="723"/>
    <w:uiPriority w:val="10"/>
    <w:qFormat/>
    <w:pPr>
      <w:contextualSpacing/>
      <w:spacing w:before="300" w:after="200"/>
    </w:pPr>
    <w:rPr>
      <w:rFonts w:ascii="Times New Roman" w:hAnsi="Times New Roman" w:eastAsia="宋体" w:cs="Times New Roman"/>
      <w:sz w:val="48"/>
      <w:szCs w:val="48"/>
    </w:rPr>
  </w:style>
  <w:style w:type="table" w:styleId="7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uiPriority w:val="99"/>
    <w:semiHidden/>
    <w:unhideWhenUsed/>
    <w:qFormat/>
    <w:rPr>
      <w:vertAlign w:val="superscript"/>
    </w:rPr>
  </w:style>
  <w:style w:type="character" w:styleId="710">
    <w:name w:val="Hyperlink"/>
    <w:uiPriority w:val="99"/>
    <w:unhideWhenUsed/>
    <w:qFormat/>
    <w:rPr>
      <w:color w:val="0000ff"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character" w:styleId="712" w:customStyle="1">
    <w:name w:val="Heading 1 Char"/>
    <w:link w:val="675"/>
    <w:uiPriority w:val="9"/>
    <w:qFormat/>
    <w:rPr>
      <w:rFonts w:ascii="Arial" w:hAnsi="Arial" w:eastAsia="Arial" w:cs="Arial"/>
      <w:sz w:val="40"/>
      <w:szCs w:val="40"/>
    </w:rPr>
  </w:style>
  <w:style w:type="character" w:styleId="713" w:customStyle="1">
    <w:name w:val="Heading 2 Char"/>
    <w:link w:val="676"/>
    <w:uiPriority w:val="9"/>
    <w:qFormat/>
    <w:rPr>
      <w:rFonts w:ascii="Arial" w:hAnsi="Arial" w:eastAsia="Arial" w:cs="Arial"/>
      <w:sz w:val="34"/>
    </w:rPr>
  </w:style>
  <w:style w:type="character" w:styleId="714" w:customStyle="1">
    <w:name w:val="Heading 3 Char"/>
    <w:link w:val="677"/>
    <w:uiPriority w:val="9"/>
    <w:qFormat/>
    <w:rPr>
      <w:rFonts w:ascii="Arial" w:hAnsi="Arial" w:eastAsia="Arial" w:cs="Arial"/>
      <w:sz w:val="30"/>
      <w:szCs w:val="30"/>
    </w:rPr>
  </w:style>
  <w:style w:type="character" w:styleId="715" w:customStyle="1">
    <w:name w:val="Heading 4 Char"/>
    <w:link w:val="678"/>
    <w:uiPriority w:val="9"/>
    <w:qFormat/>
    <w:rPr>
      <w:rFonts w:ascii="Arial" w:hAnsi="Arial" w:eastAsia="Arial" w:cs="Arial"/>
      <w:b/>
      <w:bCs/>
      <w:sz w:val="26"/>
      <w:szCs w:val="26"/>
    </w:rPr>
  </w:style>
  <w:style w:type="character" w:styleId="716" w:customStyle="1">
    <w:name w:val="Heading 5 Char"/>
    <w:link w:val="679"/>
    <w:uiPriority w:val="9"/>
    <w:qFormat/>
    <w:rPr>
      <w:rFonts w:ascii="Arial" w:hAnsi="Arial" w:eastAsia="Arial" w:cs="Arial"/>
      <w:b/>
      <w:bCs/>
      <w:sz w:val="24"/>
      <w:szCs w:val="24"/>
    </w:rPr>
  </w:style>
  <w:style w:type="character" w:styleId="717" w:customStyle="1">
    <w:name w:val="Heading 6 Char"/>
    <w:link w:val="680"/>
    <w:uiPriority w:val="9"/>
    <w:qFormat/>
    <w:rPr>
      <w:rFonts w:ascii="Arial" w:hAnsi="Arial" w:eastAsia="Arial" w:cs="Arial"/>
      <w:b/>
      <w:bCs/>
      <w:sz w:val="22"/>
      <w:szCs w:val="22"/>
    </w:rPr>
  </w:style>
  <w:style w:type="character" w:styleId="718" w:customStyle="1">
    <w:name w:val="Heading 7 Char"/>
    <w:link w:val="681"/>
    <w:uiPriority w:val="9"/>
    <w:qFormat/>
    <w:rPr>
      <w:rFonts w:ascii="Arial" w:hAnsi="Arial" w:eastAsia="Arial" w:cs="Arial"/>
      <w:b/>
      <w:bCs/>
      <w:i/>
      <w:iCs/>
      <w:sz w:val="22"/>
      <w:szCs w:val="22"/>
    </w:rPr>
  </w:style>
  <w:style w:type="character" w:styleId="719" w:customStyle="1">
    <w:name w:val="Heading 8 Char"/>
    <w:link w:val="682"/>
    <w:uiPriority w:val="9"/>
    <w:qFormat/>
    <w:rPr>
      <w:rFonts w:ascii="Arial" w:hAnsi="Arial" w:eastAsia="Arial" w:cs="Arial"/>
      <w:i/>
      <w:iCs/>
      <w:sz w:val="22"/>
      <w:szCs w:val="22"/>
    </w:rPr>
  </w:style>
  <w:style w:type="character" w:styleId="720" w:customStyle="1">
    <w:name w:val="Heading 9 Char"/>
    <w:link w:val="683"/>
    <w:uiPriority w:val="9"/>
    <w:qFormat/>
    <w:rPr>
      <w:rFonts w:ascii="Arial" w:hAnsi="Arial" w:eastAsia="Arial" w:cs="Arial"/>
      <w:i/>
      <w:iCs/>
      <w:sz w:val="21"/>
      <w:szCs w:val="21"/>
    </w:rPr>
  </w:style>
  <w:style w:type="paragraph" w:styleId="721">
    <w:name w:val="List Paragraph"/>
    <w:uiPriority w:val="34"/>
    <w:qFormat/>
    <w:pPr>
      <w:contextualSpacing/>
      <w:ind w:left="720"/>
    </w:pPr>
    <w:rPr>
      <w:rFonts w:ascii="Times New Roman" w:hAnsi="Times New Roman" w:eastAsia="宋体" w:cs="Times New Roman"/>
      <w:sz w:val="21"/>
      <w:szCs w:val="22"/>
    </w:rPr>
  </w:style>
  <w:style w:type="paragraph" w:styleId="722">
    <w:name w:val="No Spacing"/>
    <w:uiPriority w:val="1"/>
    <w:qFormat/>
    <w:pPr>
      <w:spacing w:before="0" w:after="0" w:line="240" w:lineRule="auto"/>
    </w:pPr>
    <w:rPr>
      <w:rFonts w:ascii="Times New Roman" w:hAnsi="Times New Roman" w:eastAsia="宋体" w:cs="Times New Roman"/>
      <w:sz w:val="21"/>
      <w:szCs w:val="22"/>
    </w:rPr>
  </w:style>
  <w:style w:type="character" w:styleId="723" w:customStyle="1">
    <w:name w:val="Title Char"/>
    <w:link w:val="707"/>
    <w:uiPriority w:val="10"/>
    <w:qFormat/>
    <w:rPr>
      <w:sz w:val="48"/>
      <w:szCs w:val="48"/>
    </w:rPr>
  </w:style>
  <w:style w:type="character" w:styleId="724" w:customStyle="1">
    <w:name w:val="Subtitle Char"/>
    <w:link w:val="700"/>
    <w:uiPriority w:val="11"/>
    <w:qFormat/>
    <w:rPr>
      <w:sz w:val="24"/>
      <w:szCs w:val="24"/>
    </w:rPr>
  </w:style>
  <w:style w:type="paragraph" w:styleId="725">
    <w:name w:val="Quote"/>
    <w:link w:val="726"/>
    <w:uiPriority w:val="29"/>
    <w:qFormat/>
    <w:pPr>
      <w:ind w:left="720" w:right="720"/>
    </w:pPr>
    <w:rPr>
      <w:rFonts w:ascii="Times New Roman" w:hAnsi="Times New Roman" w:eastAsia="宋体" w:cs="Times New Roman"/>
      <w:i/>
      <w:sz w:val="21"/>
      <w:szCs w:val="22"/>
    </w:rPr>
  </w:style>
  <w:style w:type="character" w:styleId="726" w:customStyle="1">
    <w:name w:val="Quote Char"/>
    <w:link w:val="725"/>
    <w:uiPriority w:val="29"/>
    <w:qFormat/>
    <w:rPr>
      <w:i/>
    </w:rPr>
  </w:style>
  <w:style w:type="paragraph" w:styleId="727">
    <w:name w:val="Intense Quote"/>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rPr>
  </w:style>
  <w:style w:type="character" w:styleId="728" w:customStyle="1">
    <w:name w:val="Intense Quote Char"/>
    <w:link w:val="727"/>
    <w:uiPriority w:val="30"/>
    <w:qFormat/>
    <w:rPr>
      <w:i/>
    </w:rPr>
  </w:style>
  <w:style w:type="character" w:styleId="729" w:customStyle="1">
    <w:name w:val="Header Char"/>
    <w:link w:val="697"/>
    <w:uiPriority w:val="99"/>
    <w:qFormat/>
  </w:style>
  <w:style w:type="character" w:styleId="730" w:customStyle="1">
    <w:name w:val="Footer Char"/>
    <w:link w:val="686"/>
    <w:uiPriority w:val="99"/>
    <w:qFormat/>
  </w:style>
  <w:style w:type="character" w:styleId="731" w:customStyle="1">
    <w:name w:val="Caption Char"/>
    <w:link w:val="686"/>
    <w:uiPriority w:val="99"/>
    <w:qFormat/>
  </w:style>
  <w:style w:type="table" w:styleId="7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7" w:customStyle="1">
    <w:name w:val="Footnote Text Char"/>
    <w:link w:val="701"/>
    <w:uiPriority w:val="99"/>
    <w:qFormat/>
    <w:rPr>
      <w:sz w:val="18"/>
    </w:rPr>
  </w:style>
  <w:style w:type="character" w:styleId="858" w:customStyle="1">
    <w:name w:val="Endnote Text Char"/>
    <w:link w:val="696"/>
    <w:uiPriority w:val="99"/>
    <w:qFormat/>
    <w:rPr>
      <w:sz w:val="20"/>
    </w:rPr>
  </w:style>
  <w:style w:type="paragraph" w:styleId="859" w:customStyle="1">
    <w:name w:val="TOC Heading"/>
    <w:uiPriority w:val="39"/>
    <w:unhideWhenUsed/>
    <w:qFormat/>
    <w:rPr>
      <w:rFonts w:ascii="Times New Roman" w:hAnsi="Times New Roman" w:eastAsia="宋体" w:cs="Times New Roman"/>
      <w:sz w:val="21"/>
      <w:szCs w:val="22"/>
    </w:rPr>
  </w:style>
  <w:style w:type="paragraph" w:styleId="860" w:customStyle="1">
    <w:name w:val="正文1"/>
    <w:next w:val="674"/>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61" w:customStyle="1">
    <w:name w:val="纯文本1"/>
    <w:basedOn w:val="674"/>
    <w:uiPriority w:val="0"/>
    <w:qFormat/>
    <w:rPr>
      <w:rFonts w:ascii="宋体" w:hAnsi="Courier New"/>
      <w:szCs w:val="20"/>
    </w:rPr>
  </w:style>
  <w:style w:type="paragraph" w:styleId="862" w:customStyle="1">
    <w:name w:val="普通正文"/>
    <w:basedOn w:val="674"/>
    <w:uiPriority w:val="0"/>
    <w:qFormat/>
    <w:pPr>
      <w:ind w:firstLine="480"/>
      <w:jc w:val="left"/>
      <w:spacing w:before="120" w:after="120" w:line="360" w:lineRule="auto"/>
    </w:pPr>
    <w:rPr>
      <w:rFonts w:ascii="Arial" w:hAnsi="Arial"/>
      <w:sz w:val="24"/>
    </w:rPr>
  </w:style>
  <w:style w:type="paragraph" w:styleId="86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4" w:customStyle="1">
    <w:name w:val="列出段落1"/>
    <w:basedOn w:val="674"/>
    <w:uiPriority w:val="0"/>
    <w:qFormat/>
    <w:pPr>
      <w:ind w:firstLine="420"/>
    </w:pPr>
    <w:rPr>
      <w:szCs w:val="21"/>
    </w:rPr>
  </w:style>
  <w:style w:type="numbering" w:styleId="8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王雁</cp:lastModifiedBy>
  <cp:revision>5</cp:revision>
  <dcterms:created xsi:type="dcterms:W3CDTF">2024-06-25T02:03:00Z</dcterms:created>
  <dcterms:modified xsi:type="dcterms:W3CDTF">2024-07-09T01:38:10Z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2052-12.1.0.16364</vt:lpwstr>
  </property>
  <property fmtid="{D5CDD505-2E9C-101B-9397-08002B2CF9AE}" pid="3" name="ICV">
    <vt:lpwstr>F65B4391FFAF4501B99899F63E562653_13</vt:lpwstr>
  </property>
</Properties>
</file>