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3"/>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项目名称：南京航空航天大学附属高级中学物业管理服务</w:t>
      </w:r>
      <w:r>
        <w:rPr>
          <w:rFonts w:hint="eastAsia" w:ascii="Arial" w:hAnsi="Arial" w:eastAsia="宋体" w:cs="Times New Roman"/>
          <w:b/>
          <w:bCs/>
          <w:sz w:val="32"/>
          <w:szCs w:val="24"/>
          <w:lang w:val="en-US" w:eastAsia="zh-CN"/>
        </w:rPr>
        <w:t xml:space="preserve"> </w:t>
      </w:r>
      <w:r/>
    </w:p>
    <w:p>
      <w:pPr>
        <w:ind w:firstLine="1606"/>
        <w:jc w:val="left"/>
        <w:spacing w:before="120" w:after="120" w:line="360" w:lineRule="auto"/>
        <w:rPr>
          <w:color w:val="000000"/>
          <w:lang w:val="en-US"/>
        </w:rPr>
      </w:pPr>
      <w:r>
        <w:rPr>
          <w:rFonts w:hint="eastAsia" w:ascii="Arial" w:hAnsi="Arial" w:eastAsia="宋体" w:cs="Times New Roman"/>
          <w:b/>
          <w:bCs/>
          <w:sz w:val="32"/>
          <w:szCs w:val="24"/>
          <w:lang w:eastAsia="zh-CN"/>
        </w:rPr>
        <w:t xml:space="preserve">项目编号：</w:t>
      </w:r>
      <w:r>
        <w:rPr>
          <w:rFonts w:hint="eastAsia" w:cs="Times New Roman"/>
          <w:b/>
          <w:bCs w:val="0"/>
          <w:color w:val="000000"/>
          <w:sz w:val="32"/>
          <w:szCs w:val="32"/>
          <w:u w:val="none"/>
          <w:lang w:val="en-US" w:eastAsia="zh-CN"/>
        </w:rPr>
        <w:t xml:space="preserve">JSZC-320100-JZCG-C2025-0571</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63"/>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ascii="Times New Roman" w:hAnsi="Times New Roman"/>
          <w:szCs w:val="21"/>
        </w:rPr>
        <w:outlineLvl w:val="0"/>
      </w:pPr>
      <w:r>
        <w:rPr>
          <w:rFonts w:ascii="Times New Roman" w:hAnsi="Times New Roman"/>
          <w:szCs w:val="21"/>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31</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00"/>
          <w:sz w:val="24"/>
          <w:szCs w:val="24"/>
        </w:rPr>
        <w:t xml:space="preserve">南京航空航天大学附属高级中学</w:t>
      </w:r>
      <w:r>
        <w:rPr>
          <w:rFonts w:hint="eastAsia" w:ascii="宋体" w:hAnsi="宋体"/>
          <w:sz w:val="24"/>
          <w:szCs w:val="24"/>
        </w:rPr>
        <w:t xml:space="preserve">委托</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就南京航空航天大学附属高级中学物业管理服务</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w:t>
      </w:r>
      <w:r>
        <w:rPr>
          <w:rFonts w:hint="eastAsia" w:ascii="宋体" w:hAnsi="宋体" w:eastAsia="宋体" w:cs="Times New Roman"/>
          <w:sz w:val="24"/>
          <w:szCs w:val="24"/>
          <w:lang w:val="en-US" w:eastAsia="zh-CN"/>
        </w:rPr>
        <w:t xml:space="preserve">采购，欢迎符合条件的供应商参加磋商。</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ascii="宋体" w:hAnsi="宋体"/>
          <w:color w:val="000000"/>
          <w:sz w:val="24"/>
          <w:szCs w:val="24"/>
          <w:lang w:val="en-US"/>
        </w:rPr>
      </w:pPr>
      <w:r/>
      <w:bookmarkStart w:id="12" w:name="_Toc35393791"/>
      <w:r/>
      <w:bookmarkStart w:id="13" w:name="_Toc35393622"/>
      <w:r/>
      <w:bookmarkStart w:id="14" w:name="_Toc28359080"/>
      <w:r/>
      <w:bookmarkStart w:id="15" w:name="_Toc28359003"/>
      <w:r/>
      <w:bookmarkStart w:id="16" w:name="_Toc38985264"/>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JSZC-320100-JZCG-C2025-0571</w:t>
      </w:r>
      <w:r/>
    </w:p>
    <w:p>
      <w:pPr>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南京航空航天大学附属高级中学物业管理服务</w:t>
      </w:r>
      <w:r/>
    </w:p>
    <w:p>
      <w:pPr>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135万元 </w:t>
      </w:r>
      <w:r/>
    </w:p>
    <w:p>
      <w:pPr>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p>
    <w:p>
      <w:pPr>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为南京航空航天大学附属高级中学提供物业服务（主要包括保洁、宿管、校医、综管、弱电、教务员、实验员等）</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p>
    <w:p>
      <w:pPr>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合同生效之日起一年。</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合体参加磋商。</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000000"/>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olor w:val="0000ff"/>
          <w:sz w:val="24"/>
          <w:szCs w:val="24"/>
          <w:lang w:val="en-US"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color w:val="000000"/>
          <w:lang w:eastAsia="zh-CN"/>
        </w:rPr>
        <w:t xml:space="preserve">。</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无</w:t>
      </w:r>
      <w:r>
        <w:rPr>
          <w:rFonts w:hint="eastAsia" w:ascii="宋体" w:hAnsi="宋体" w:eastAsia="宋体"/>
          <w:color w:val="000000"/>
          <w:sz w:val="24"/>
          <w:szCs w:val="24"/>
          <w:lang w:val="zh-CN"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p>
    <w:p>
      <w:pPr>
        <w:ind w:firstLine="480"/>
        <w:pageBreakBefore w:val="0"/>
        <w:spacing w:line="264" w:lineRule="auto"/>
        <w:widowControl w:val="off"/>
        <w:rPr>
          <w:rFonts w:hint="eastAsia" w:ascii="宋体" w:hAnsi="宋体" w:eastAsia="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sz w:val="24"/>
          <w:szCs w:val="24"/>
        </w:rPr>
        <w:t xml:space="preserve">1.时间：自磋商文件公告发布之日起。</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
    </w:p>
    <w:p>
      <w:pPr>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35393625"/>
      <w:r/>
      <w:bookmarkStart w:id="28" w:name="_Toc38985267"/>
      <w:r/>
      <w:bookmarkStart w:id="29" w:name="_Toc35393794"/>
      <w:r/>
      <w:bookmarkStart w:id="30" w:name="_Toc28359084"/>
      <w:r/>
      <w:bookmarkStart w:id="31" w:name="_Toc28359007"/>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 w:val="0"/>
          <w:bCs w:val="0"/>
          <w:color w:val="000000" w:themeColor="text1"/>
          <w:sz w:val="24"/>
          <w:szCs w:val="24"/>
          <w:u w:val="none"/>
          <w14:textFill>
            <w14:solidFill>
              <w14:schemeClr w14:val="tx1"/>
            </w14:solidFill>
          </w14:textFill>
        </w:rPr>
        <w:t xml:space="preserve">年</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b w:val="0"/>
          <w:bCs w:val="0"/>
          <w:color w:val="000000" w:themeColor="text1"/>
          <w:sz w:val="24"/>
          <w:szCs w:val="24"/>
          <w:u w:val="none"/>
          <w14:textFill>
            <w14:solidFill>
              <w14:schemeClr w14:val="tx1"/>
            </w14:solidFill>
          </w14:textFill>
        </w:rPr>
        <w:t xml:space="preserve">月</w:t>
      </w:r>
      <w:r>
        <w:rPr>
          <w:rFonts w:hint="eastAsia" w:ascii="宋体" w:hAnsi="宋体"/>
          <w:b w:val="0"/>
          <w:bCs w:val="0"/>
          <w:color w:val="000000" w:themeColor="text1"/>
          <w:sz w:val="24"/>
          <w:szCs w:val="24"/>
          <w:u w:val="none"/>
          <w14:textFill>
            <w14:solidFill>
              <w14:schemeClr w14:val="tx1"/>
            </w14:solidFill>
          </w14:textFill>
        </w:rPr>
        <w:t xml:space="preserve">7</w:t>
      </w:r>
      <w:r>
        <w:rPr>
          <w:rFonts w:hint="eastAsia" w:ascii="宋体" w:hAnsi="宋体"/>
          <w:b w:val="0"/>
          <w:bCs w:val="0"/>
          <w:color w:val="000000" w:themeColor="text1"/>
          <w:sz w:val="24"/>
          <w:szCs w:val="24"/>
          <w:u w:val="none"/>
          <w14:textFill>
            <w14:solidFill>
              <w14:schemeClr w14:val="tx1"/>
            </w14:solidFill>
          </w14:textFill>
        </w:rPr>
        <w:t xml:space="preserve">日</w:t>
      </w:r>
      <w:r>
        <w:rPr>
          <w:rFonts w:hint="eastAsia" w:ascii="宋体" w:hAnsi="宋体"/>
          <w:b w:val="0"/>
          <w:bCs w:val="0"/>
          <w:color w:val="000000" w:themeColor="text1"/>
          <w:sz w:val="24"/>
          <w:szCs w:val="24"/>
          <w:u w:val="none"/>
          <w14:textFill>
            <w14:solidFill>
              <w14:schemeClr w14:val="tx1"/>
            </w14:solidFill>
          </w14:textFill>
        </w:rPr>
        <w:t xml:space="preserve">9</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时</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3</w:t>
      </w:r>
      <w:r>
        <w:rPr>
          <w:rFonts w:hint="eastAsia" w:ascii="Times New Roman" w:hAnsi="Times New Roman" w:eastAsia="宋体" w:cs="Times New Roman"/>
          <w:b w:val="0"/>
          <w:bCs w:val="0"/>
          <w:color w:val="000000" w:themeColor="text1"/>
          <w:sz w:val="24"/>
          <w:szCs w:val="24"/>
          <w:u w:val="none"/>
          <w:lang w:val="en-US" w:eastAsia="zh-CN"/>
          <w14:textFill>
            <w14:solidFill>
              <w14:schemeClr w14:val="tx1"/>
            </w14:solidFill>
          </w14:textFill>
        </w:rPr>
        <w:t xml:space="preserve">0</w:t>
      </w:r>
      <w:r>
        <w:rPr>
          <w:rFonts w:hint="eastAsia" w:ascii="宋体" w:hAnsi="宋体"/>
          <w:b w:val="0"/>
          <w:bCs w:val="0"/>
          <w:color w:val="000000" w:themeColor="text1"/>
          <w:sz w:val="24"/>
          <w:szCs w:val="24"/>
          <w:u w:val="none"/>
          <w14:textFill>
            <w14:solidFill>
              <w14:schemeClr w14:val="tx1"/>
            </w14:solidFill>
          </w14:textFill>
        </w:rPr>
        <w:t xml:space="preserve">分（</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公告期限为自本公告发布之日起3个工作日。</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64" w:lineRule="auto"/>
        <w:widowControl w:val="off"/>
        <w:rPr>
          <w:rFonts w:hint="eastAsia" w:ascii="宋体" w:hAnsi="宋体" w:eastAsia="宋体" w:cs="宋体"/>
          <w:sz w:val="24"/>
          <w:szCs w:val="24"/>
        </w:rPr>
      </w:pPr>
      <w:r/>
      <w:bookmarkStart w:id="35" w:name="_Toc35393627"/>
      <w:r/>
      <w:bookmarkStart w:id="36" w:name="_Toc28359085"/>
      <w:r/>
      <w:bookmarkStart w:id="37" w:name="_Toc38985269"/>
      <w:r/>
      <w:bookmarkStart w:id="38" w:name="_Toc28359008"/>
      <w:r/>
      <w:bookmarkStart w:id="39" w:name="_Toc35393796"/>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w:t>
      </w:r>
      <w:r>
        <w:rPr>
          <w:rFonts w:hint="eastAsia" w:ascii="宋体" w:hAnsi="宋体" w:eastAsia="宋体" w:cs="宋体"/>
          <w:sz w:val="24"/>
          <w:szCs w:val="24"/>
          <w:highlight w:val="none"/>
          <w:lang w:val="en-US" w:eastAsia="zh-CN"/>
        </w:rPr>
        <w:t xml:space="preserve">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8"/>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p>
    <w:p>
      <w:pPr>
        <w:pStyle w:val="8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w:t>
      </w:r>
      <w:r>
        <w:rPr>
          <w:rFonts w:hint="eastAsia" w:ascii="宋体" w:hAnsi="宋体" w:eastAsia="宋体" w:cs="Times New Roman"/>
          <w:color w:val="000000"/>
          <w:sz w:val="24"/>
          <w:szCs w:val="24"/>
        </w:rPr>
        <w:t xml:space="preserve">南京航空航天大学附属高级中学</w:t>
      </w:r>
      <w:r>
        <w:rPr>
          <w:rFonts w:hint="eastAsia" w:ascii="宋体" w:hAnsi="宋体" w:eastAsia="宋体" w:cs="Times New Roman"/>
          <w:color w:val="000000"/>
          <w:sz w:val="24"/>
          <w:szCs w:val="24"/>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地  址：</w:t>
      </w:r>
      <w:r>
        <w:rPr>
          <w:rFonts w:hint="eastAsia" w:ascii="宋体" w:hAnsi="宋体" w:eastAsia="宋体" w:cs="Times New Roman"/>
          <w:color w:val="000000"/>
          <w:sz w:val="24"/>
          <w:szCs w:val="24"/>
        </w:rPr>
        <w:t xml:space="preserve">南京市御道街35号</w:t>
      </w:r>
      <w:r/>
    </w:p>
    <w:p>
      <w:pPr>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lang w:val="en-US" w:eastAsia="zh-CN"/>
        </w:rPr>
        <w:t xml:space="preserve">王</w:t>
      </w:r>
      <w:r>
        <w:rPr>
          <w:rFonts w:hint="eastAsia" w:ascii="宋体" w:hAnsi="宋体" w:eastAsia="宋体" w:cs="Times New Roman"/>
          <w:color w:val="000000"/>
          <w:sz w:val="24"/>
          <w:szCs w:val="24"/>
        </w:rPr>
        <w:t xml:space="preserve">老师</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联系电话：025-84602406</w:t>
      </w:r>
      <w:r>
        <w:rPr>
          <w:rFonts w:hint="eastAsia" w:ascii="宋体" w:hAnsi="宋体" w:eastAsia="宋体" w:cs="Times New Roman"/>
          <w:color w:val="000000"/>
          <w:sz w:val="24"/>
          <w:szCs w:val="24"/>
          <w:lang w:val="en-US" w:eastAsia="zh-CN"/>
        </w:rPr>
        <w:t xml:space="preserve"> </w:t>
      </w:r>
      <w:bookmarkStart w:id="40" w:name="_Toc28359009"/>
      <w:r/>
      <w:bookmarkStart w:id="41" w:name="_Toc28359086"/>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p>
    <w:p>
      <w:pPr>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9"/>
      </w:pPr>
      <w:r/>
      <w:bookmarkStart w:id="42" w:name="_Toc120614211"/>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513029203"/>
      <w:r/>
      <w:bookmarkStart w:id="44" w:name="_Toc16938519"/>
      <w:r/>
      <w:bookmarkStart w:id="45" w:name="_Toc20823275"/>
      <w:r/>
      <w:bookmarkStart w:id="46" w:name="_Toc120614214"/>
      <w:r>
        <w:rPr>
          <w:rFonts w:hint="eastAsia" w:ascii="方正黑体_GBK" w:hAnsi="方正黑体_GBK" w:eastAsia="方正黑体_GBK" w:cs="方正黑体_GBK"/>
          <w:b w:val="0"/>
          <w:bCs w:val="0"/>
          <w:color w:val="000000"/>
          <w:sz w:val="30"/>
          <w:szCs w:val="30"/>
        </w:rPr>
        <w:t xml:space="preserve">一、总则</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0"/>
        <w:keepLines w:val="0"/>
        <w:keepNext w:val="0"/>
        <w:pageBreakBefore w:val="0"/>
        <w:spacing w:line="240"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zh-CN" w:eastAsia="zh-CN"/>
        </w:rPr>
        <w:t xml:space="preserve">25.4 如出现25.</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或25.3</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情形，</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活动失败，</w:t>
      </w:r>
      <w:r>
        <w:rPr>
          <w:rFonts w:hint="eastAsia" w:ascii="宋体" w:hAnsi="宋体" w:eastAsia="宋体" w:cs="Times New Roman"/>
          <w:color w:val="000000"/>
          <w:sz w:val="24"/>
          <w:szCs w:val="21"/>
          <w:lang w:val="en-US" w:eastAsia="zh-CN"/>
        </w:rPr>
        <w:t xml:space="preserve">磋商小组应对磋商</w:t>
      </w:r>
      <w:r>
        <w:rPr>
          <w:rFonts w:hint="eastAsia" w:ascii="宋体" w:hAnsi="宋体" w:eastAsia="宋体" w:cs="Times New Roman"/>
          <w:color w:val="000000"/>
          <w:sz w:val="24"/>
          <w:szCs w:val="21"/>
          <w:lang w:val="zh-CN" w:eastAsia="zh-CN"/>
        </w:rPr>
        <w:t xml:space="preserve">文件是否存在不合理条款</w:t>
      </w:r>
      <w:r>
        <w:rPr>
          <w:rFonts w:hint="eastAsia" w:ascii="宋体" w:hAnsi="宋体" w:eastAsia="宋体" w:cs="Times New Roman"/>
          <w:color w:val="000000"/>
          <w:sz w:val="24"/>
          <w:szCs w:val="21"/>
          <w:lang w:val="en-US" w:eastAsia="zh-CN"/>
        </w:rPr>
        <w:t xml:space="preserve">进行论证，并在评审报告中写明</w:t>
      </w:r>
      <w:r>
        <w:rPr>
          <w:rFonts w:hint="eastAsia" w:ascii="宋体" w:hAnsi="宋体" w:eastAsia="宋体" w:cs="Times New Roman"/>
          <w:color w:val="000000"/>
          <w:sz w:val="24"/>
          <w:szCs w:val="21"/>
          <w:lang w:val="zh-CN" w:eastAsia="zh-CN"/>
        </w:rPr>
        <w:t xml:space="preserve">论证意见。</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7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采购人质疑接收人及联系方式为南京航空航天大学附属高级中学，联系地址：南京市秦淮区御道街35号，联系人：王老师，联系电话：025-84602406。</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7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78"/>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43"/>
      <w:r/>
      <w:bookmarkEnd w:id="44"/>
      <w:r/>
      <w:bookmarkEnd w:id="45"/>
      <w:r/>
      <w:bookmarkEnd w:id="46"/>
      <w:r/>
      <w:r/>
    </w:p>
    <w:p>
      <w:pPr>
        <w:ind w:firstLine="420"/>
        <w:rPr>
          <w:rFonts w:hint="eastAsia" w:ascii="宋体" w:hAnsi="宋体" w:eastAsia="宋体" w:cs="Times New Roman"/>
          <w:color w:val="000000"/>
          <w:sz w:val="24"/>
          <w:lang w:val="en-US"/>
        </w:rPr>
      </w:pPr>
      <w:r/>
      <w:bookmarkStart w:id="47" w:name="_Toc120614221"/>
      <w:r/>
      <w:bookmarkStart w:id="48" w:name="_Toc479757207"/>
      <w:r/>
      <w:bookmarkStart w:id="49" w:name="_Toc513029242"/>
      <w:r/>
      <w:bookmarkStart w:id="50" w:name="_Toc16938558"/>
      <w:r/>
      <w:bookmarkStart w:id="51" w:name="_Toc20823314"/>
      <w:r/>
      <w:r/>
    </w:p>
    <w:p>
      <w:pPr>
        <w:pStyle w:val="951"/>
        <w:ind w:left="0"/>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pStyle w:val="907"/>
        <w:rPr>
          <w:rFonts w:hint="eastAsia"/>
          <w:lang w:val="zh-CN"/>
        </w:rPr>
      </w:pPr>
      <w:r>
        <w:rPr>
          <w:rFonts w:hint="eastAsia"/>
          <w:lang w:val="zh-CN"/>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br w:type="page" w:clear="all"/>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2" w:name="_Hlt16619369"/>
      <w:r/>
      <w:bookmarkEnd w:id="52"/>
      <w:r/>
      <w:bookmarkStart w:id="53" w:name="_Toc20823315"/>
      <w:r/>
      <w:bookmarkStart w:id="54" w:name="_Toc513029243"/>
      <w:r/>
      <w:bookmarkStart w:id="55" w:name="_Toc16938559"/>
      <w:r/>
      <w:bookmarkStart w:id="56" w:name="_Hlt16619350"/>
      <w:r/>
      <w:bookmarkStart w:id="57" w:name="_Toc16938590"/>
      <w:r/>
      <w:bookmarkStart w:id="58" w:name="_Toc20823346"/>
      <w:r/>
      <w:bookmarkStart w:id="59" w:name="_Toc120614244"/>
      <w:r/>
      <w:bookmarkStart w:id="60" w:name="_Toc479757211"/>
      <w:r/>
      <w:bookmarkStart w:id="6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5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lang w:val="en-US" w:eastAsia="zh-CN"/>
        </w:rPr>
        <w:t xml:space="preserve">合同签订之日起一年。</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91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Times New Roman"/>
          <w:color w:val="000000"/>
          <w:sz w:val="24"/>
          <w:szCs w:val="24"/>
          <w:lang w:val="en-US" w:eastAsia="zh-CN"/>
        </w:rPr>
        <w:t xml:space="preserve">甲方于合同签订后支付</w:t>
      </w:r>
      <w:r>
        <w:rPr>
          <w:rFonts w:hint="eastAsia" w:ascii="宋体" w:hAnsi="宋体" w:cs="Times New Roman"/>
          <w:color w:val="000000"/>
          <w:sz w:val="24"/>
          <w:szCs w:val="24"/>
          <w:lang w:val="en-US" w:eastAsia="zh-CN"/>
        </w:rPr>
        <w:t xml:space="preserve">年</w:t>
      </w:r>
      <w:r>
        <w:rPr>
          <w:rFonts w:hint="eastAsia" w:ascii="宋体" w:hAnsi="宋体" w:eastAsia="宋体" w:cs="Times New Roman"/>
          <w:color w:val="000000"/>
          <w:sz w:val="24"/>
          <w:szCs w:val="24"/>
          <w:lang w:val="en-US" w:eastAsia="zh-CN"/>
        </w:rPr>
        <w:t xml:space="preserve">度合同款的30%作为预付款，该预付款在支付合同款时分次扣回。甲方于合同签订后每月考核，按季度支付合同款的25%，考核扣除的费用从应支付的合同款中扣除。</w:t>
      </w:r>
      <w:r/>
    </w:p>
    <w:p>
      <w:pPr>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p>
    <w:p>
      <w:pPr>
        <w:pStyle w:val="913"/>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53"/>
      <w:r/>
      <w:bookmarkEnd w:id="54"/>
      <w:r/>
      <w:bookmarkEnd w:id="55"/>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913"/>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p>
    <w:p>
      <w:pPr>
        <w:jc w:val="center"/>
        <w:keepLines w:val="0"/>
        <w:keepNext w:val="0"/>
        <w:pageBreakBefore w:val="0"/>
        <w:spacing w:line="252" w:lineRule="auto"/>
        <w:widowControl w:val="off"/>
        <w:rPr>
          <w:rFonts w:hint="eastAsia" w:ascii="方正小标宋简体" w:hAnsi="方正小标宋简体" w:eastAsia="方正小标宋简体" w:cs="方正小标宋简体"/>
          <w:color w:val="000000"/>
          <w:sz w:val="36"/>
          <w:szCs w:val="36"/>
          <w:lang w:val="en-US" w:eastAsia="zh-CN" w:bidi="ar-SA"/>
        </w:rPr>
        <w:outlineLvl w:val="9"/>
      </w:pPr>
      <w:r>
        <w:rPr>
          <w:rFonts w:hint="eastAsia" w:ascii="方正小标宋简体" w:hAnsi="方正小标宋简体" w:eastAsia="方正小标宋简体" w:cs="方正小标宋简体"/>
          <w:color w:val="000000"/>
          <w:sz w:val="36"/>
          <w:szCs w:val="36"/>
          <w:lang w:val="en-US" w:eastAsia="zh-CN" w:bidi="ar-SA"/>
        </w:rPr>
      </w:r>
      <w:r/>
    </w:p>
    <w:p>
      <w:pP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p>
    <w:p>
      <w:pPr>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5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7"/>
      <w:r/>
      <w:bookmarkEnd w:id="58"/>
      <w:r/>
      <w:bookmarkEnd w:id="59"/>
      <w:r/>
      <w:bookmarkStart w:id="62" w:name="_Toc49090575"/>
      <w:r/>
      <w:bookmarkStart w:id="63" w:name="_Toc26554093"/>
      <w:r/>
      <w:r/>
    </w:p>
    <w:p>
      <w:pPr>
        <w:ind w:firstLine="480"/>
        <w:keepLines w:val="0"/>
        <w:keepNext w:val="0"/>
        <w:pageBreakBefore w:val="0"/>
        <w:spacing w:line="240" w:lineRule="auto"/>
        <w:widowControl w:val="off"/>
        <w:rPr>
          <w:rFonts w:hint="eastAsia" w:ascii="宋体" w:hAnsi="宋体"/>
          <w:color w:val="000000"/>
          <w:sz w:val="24"/>
          <w:szCs w:val="24"/>
        </w:rPr>
      </w:pPr>
      <w:r/>
      <w:bookmarkStart w:id="6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1.坐落位置</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南京航空航天大学附属高级中学共两个校区：南京市秦淮区御道街35号（蓝旗街校区）、光华东街17号（光华门校区），占地面积约43000m</w:t>
      </w:r>
      <w:r>
        <w:rPr>
          <w:rFonts w:hint="eastAsia" w:ascii="宋体" w:hAnsi="宋体" w:eastAsia="宋体" w:cs="宋体"/>
          <w:color w:val="00000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pt;height:15.1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hint="eastAsia" w:ascii="宋体" w:hAnsi="宋体" w:eastAsia="宋体" w:cs="宋体"/>
          <w:color w:val="000000"/>
          <w:sz w:val="24"/>
          <w:szCs w:val="24"/>
        </w:rPr>
        <w:t xml:space="preserve">，师生人数约为2100人。</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2.使用面积</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物业管理范围包含教学楼三栋5层约12500平方米，学生公寓一栋约3000平方米，综合楼约7000平方米，露天运动场两处约14000（含操场）平方米，体艺楼的篮球馆乒乓馆及厕所等处约1200平方米，实验楼约1000平方米，校园内道路广场面积约1万平方米，绿化面积约13000平方米。</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采购人提供的保障条件</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（1）采购人免费提供必要的物业办公用房（如电脑、文件柜、桌椅），该房屋不得从事任何与本物业服务无关活动，产权归采购人所有，采购人有权对该房屋用途进行调整与变更。</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（2）根据需要在适合的楼层配备的洁具堆放间、员工休息室、更衣室等；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（3）学校承担因工作消耗的水电费用。</w:t>
      </w:r>
      <w:r/>
    </w:p>
    <w:p>
      <w:pPr>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p>
    <w:tbl>
      <w:tblPr>
        <w:tblStyle w:val="999"/>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序号</w:t>
            </w:r>
            <w:r/>
          </w:p>
        </w:tc>
        <w:tc>
          <w:tcPr>
            <w:tcW w:w="1413"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名称</w:t>
            </w:r>
            <w:r/>
          </w:p>
        </w:tc>
        <w:tc>
          <w:tcPr>
            <w:tcW w:w="418"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数量</w:t>
            </w:r>
            <w:r/>
          </w:p>
        </w:tc>
        <w:tc>
          <w:tcPr>
            <w:tcW w:w="424"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单位</w:t>
            </w:r>
            <w:r/>
          </w:p>
        </w:tc>
        <w:tc>
          <w:tcPr>
            <w:tcW w:w="1067"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所属行业类型</w:t>
            </w:r>
            <w:r/>
          </w:p>
        </w:tc>
        <w:tc>
          <w:tcPr>
            <w:tcW w:w="569" w:type="dxa"/>
            <w:vAlign w:val="center"/>
            <w:textDirection w:val="lrTb"/>
            <w:noWrap w:val="false"/>
          </w:tcPr>
          <w:p>
            <w:pPr>
              <w:jc w:val="center"/>
              <w:keepLines w:val="0"/>
              <w:keepNext w:val="0"/>
              <w:pageBreakBefore w:val="0"/>
              <w:spacing w:line="0" w:lineRule="atLeast"/>
              <w:widowControl w:val="off"/>
              <w:rPr>
                <w:rStyle w:val="884"/>
                <w:rFonts w:ascii="宋体" w:hAnsi="宋体" w:eastAsia="宋体"/>
                <w:sz w:val="24"/>
                <w:szCs w:val="24"/>
              </w:rPr>
            </w:pPr>
            <w:r>
              <w:rPr>
                <w:rStyle w:val="884"/>
                <w:rFonts w:cs="Times New Roman"/>
                <w:color w:val="000000"/>
                <w:sz w:val="24"/>
                <w:szCs w:val="24"/>
              </w:rPr>
              <w:t xml:space="preserve">属性</w:t>
            </w:r>
            <w:r/>
          </w:p>
        </w:tc>
        <w:tc>
          <w:tcPr>
            <w:tcW w:w="685"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Style w:val="884"/>
                <w:rFonts w:ascii="宋体" w:hAnsi="宋体" w:eastAsia="宋体" w:cs="Times New Roman"/>
                <w:sz w:val="24"/>
                <w:szCs w:val="24"/>
              </w:rPr>
              <w:t xml:space="preserve">备注</w:t>
            </w:r>
            <w:r/>
          </w:p>
        </w:tc>
      </w:tr>
      <w:tr>
        <w:trPr>
          <w:trHeight w:val="597"/>
        </w:trPr>
        <w:tc>
          <w:tcPr>
            <w:tcW w:w="421"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1413" w:type="dxa"/>
            <w:vAlign w:val="center"/>
            <w:textDirection w:val="lrTb"/>
            <w:noWrap w:val="false"/>
          </w:tcPr>
          <w:p>
            <w:pPr>
              <w:jc w:val="both"/>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p>
        </w:tc>
        <w:tc>
          <w:tcPr>
            <w:tcW w:w="418"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p>
        </w:tc>
        <w:tc>
          <w:tcPr>
            <w:tcW w:w="424"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p>
        </w:tc>
        <w:tc>
          <w:tcPr>
            <w:tcW w:w="1067"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p>
        </w:tc>
        <w:tc>
          <w:tcPr>
            <w:tcW w:w="56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p>
        </w:tc>
        <w:tc>
          <w:tcPr>
            <w:tcW w:w="685" w:type="dxa"/>
            <w:vAlign w:val="center"/>
            <w:textDirection w:val="lrTb"/>
            <w:noWrap w:val="false"/>
          </w:tcPr>
          <w:p>
            <w:pPr>
              <w:jc w:val="center"/>
              <w:spacing w:line="0" w:lineRule="atLeast"/>
              <w:widowControl w:val="off"/>
              <w:rPr>
                <w:rStyle w:val="884"/>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1.人员数量（不少于20人）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（1）项目主管：1人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（2）卫生保洁：两个校区共7人，其中蓝旗街校区 5人（综合楼1人、体艺楼1人、室外环境1人、教学楼2人）、光华门校区 2人（教学楼1人、室外环境1人）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（3）宿舍管理员：3人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（4）校医：2人（光华门校区、校医两个校区各一人）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（5）综合管理：2人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（6）弱电管理维修：1人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（7）食堂管理员：1人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（8）实验员：2人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（9）教务员：1人</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2.主要内容、服务要求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项目主管</w:t>
      </w:r>
      <w:r/>
    </w:p>
    <w:tbl>
      <w:tblPr>
        <w:tblStyle w:val="701"/>
        <w:tblW w:w="48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61"/>
        <w:gridCol w:w="6198"/>
      </w:tblGrid>
      <w:tr>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w:t>
            </w:r>
            <w:r/>
          </w:p>
        </w:tc>
        <w:tc>
          <w:tcPr>
            <w:tcW w:w="226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服务内容</w:t>
            </w:r>
            <w:r/>
          </w:p>
        </w:tc>
        <w:tc>
          <w:tcPr>
            <w:tcW w:w="59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工作职责要求</w:t>
            </w:r>
            <w:r/>
          </w:p>
        </w:tc>
      </w:tr>
      <w:tr>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项目主管（1人）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负责本项目组织管理工作。</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1.负责本项目岗位制度的建立，人员职责的划分，工作计划的指定，各类文件的起草、审核、上报和落实工作。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2.定期与采购人进行沟通，听取意见，了解采购人需求，维护双方良好关系。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3.做好员工业务知识和专业技能的培训工作，不断提高员工综合素质，定期召开工作例会，做好员工之前的协调和沟通工作。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4.每日不定时的检查各岗位工作，并做好检查记录，及时向上级及采购人反馈信息。</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5.组织、安排好校内各设备的使用、维护和保养，对紧急任务做好预案。</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6.建立完备的档案资料及考核标准，对本项目工作人员按制度进行考核。</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7.完成上级有关部门和学校领导交办的其它工作。</w:t>
            </w:r>
            <w:r/>
          </w:p>
        </w:tc>
      </w:tr>
    </w:tbl>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 卫生保洁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（1）蓝旗街校区 </w:t>
      </w:r>
      <w:r/>
    </w:p>
    <w:tbl>
      <w:tblPr>
        <w:tblStyle w:val="701"/>
        <w:tblW w:w="48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61"/>
        <w:gridCol w:w="6198"/>
      </w:tblGrid>
      <w:tr>
        <w:trPr>
          <w:trHeight w:val="268"/>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w:t>
            </w:r>
            <w:r/>
          </w:p>
        </w:tc>
        <w:tc>
          <w:tcPr>
            <w:tcW w:w="2268"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服务内容</w:t>
            </w:r>
            <w:r/>
          </w:p>
        </w:tc>
        <w:tc>
          <w:tcPr>
            <w:tcW w:w="59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工作职责要求</w:t>
            </w:r>
            <w:r/>
          </w:p>
        </w:tc>
      </w:tr>
      <w:tr>
        <w:trPr>
          <w:trHeight w:val="841"/>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综合楼 （1人）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办公楼区域内大厅、楼梯、过道、栏杆、墙壁、窗户、天花板、保洁间、卫生间、五楼的部分办公室。</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1.办公楼区域内大厅、楼梯、过道、栏杆每日集中保洁3次（放假期间可减少保洁次数）；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2.天花板、墙壁、窗户每周保洁1次，其他区域随时巡回保洁，确保无积灰、无污迹、无垃圾、无积水，天花板上无蜘蛛网；</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3.五楼的部分办公室每天保洁1次；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4.工具间、卫生间每天保洁3次以上，要保持地面清洁、无杂物、无积水，便池、水池下水道要畅通；</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5.根据学校需要及时开、关好水、电、门、窗。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 完成上级有关部门和学校领导交办的其它工作。</w:t>
            </w:r>
            <w:r/>
          </w:p>
        </w:tc>
      </w:tr>
      <w:tr>
        <w:trPr>
          <w:trHeight w:val="60"/>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体艺楼 （1人）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体育馆、乒乓馆、航模馆的卫生间、观众席、运动场、体育器材、墙壁、窗户等。</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1.体育馆、乒乓馆的墙壁、窗户每周保洁1次，运动场和观众席使用过后及时保洁维护，体育器材的整理收纳，其他区域随时巡回保洁，确保无积灰、无污迹、无垃圾、无积水，天花板上无蜘蛛网；</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2.航模馆、健身房每周打扫一次；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3.卫生间每天拖洗2次，每堂课上课铃后保洁，要保持地面清洁、无杂物、无积水，便池、水池下水道要畅通等；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4.根据学校需要及时开、关好水、电、门、窗。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5.体育馆内大型活动的保障服务工作。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6.完成上级有关部门和学校领导交办的其它工作。</w:t>
            </w:r>
            <w:r/>
          </w:p>
        </w:tc>
      </w:tr>
      <w:tr>
        <w:trPr>
          <w:trHeight w:val="573"/>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室外环境（1人）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生活区和教学区内道路地面、道路标识、垃圾桶、绿化带、车库、停车场、水池、花坛、雕塑、露天运动场、明沟、窨井、化粪池、垃圾临时存放处。</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1.校园内道路、车库、运动场每日清扫3次（放假期间可减少保洁次数），其他区域保洁每天不少于1次；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2.垃圾篓、箱不得有外溢，保持垃圾篓、箱外部清洁；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校园内巡回保洁，确保无垃圾、纸屑、瓜果皮等杂物，确保校内硬化地面无痰渍、污渍，花坛、雕塑、橱窗每天擦抹1次，无积灰、无污迹，水池水质清澈见底，无漂浮物，明沟、窨井每日巡查一次，保持校园管道畅通；</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4.发现水电气等跑冒滴漏及时向物业公司领导及采购人负责人反映，以便及时及时处理。；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5.校园内每月一次大扫除；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6.遇接待、参观等重大活动，应服从学校安排。</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7.完成上级有关部门和学校领导交办的其它工作。</w:t>
            </w:r>
            <w:r/>
          </w:p>
        </w:tc>
      </w:tr>
      <w:tr>
        <w:trPr>
          <w:trHeight w:val="573"/>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教学楼 （2人）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教室外走廊地面、楼梯、栏杆，墙壁、窗户、天花板，卫生间。</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1.教室外走廊地面、楼梯、栏杆每天清扫不少于3次（放假期间可减少保洁次数）；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2.走廊墙壁、窗户、天花板每周保洁一次，其他区域随时巡回保洁，确保无积灰、无污迹、无垃圾、无积水，地面无灰尘、污迹、无纸屑等；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3.卫生间每天拖洗2次，每堂课上课铃后保洁，要保持地面清洁、无杂物、无积水，便池、水池下水道要畅通等；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4.报告厅、会议室每天打扫一次；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5.根据学校需要及时开、关好水、电、门、窗。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 完成上级有关部门和学校领导交办的其它工作。</w:t>
            </w:r>
            <w:r/>
          </w:p>
        </w:tc>
      </w:tr>
    </w:tbl>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（2）光华门校区</w:t>
      </w:r>
      <w:r/>
    </w:p>
    <w:tbl>
      <w:tblPr>
        <w:tblStyle w:val="701"/>
        <w:tblW w:w="48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61"/>
        <w:gridCol w:w="6198"/>
      </w:tblGrid>
      <w:tr>
        <w:trPr>
          <w:trHeight w:val="259"/>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服务内容</w:t>
            </w:r>
            <w:r/>
          </w:p>
        </w:tc>
        <w:tc>
          <w:tcPr>
            <w:tcW w:w="59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工作职责要求</w:t>
            </w:r>
            <w:r/>
          </w:p>
        </w:tc>
      </w:tr>
      <w:tr>
        <w:trPr>
          <w:trHeight w:val="2348"/>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教学楼 （1人）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教室外走廊地面、楼梯、栏杆，墙壁、窗户、天花板，卫生间。</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1.教室外走廊地面、楼梯、栏杆每天清扫不少于3次（放假期间可减少保洁次数）；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2.走廊墙壁、窗户、天花板每周保洁一次，其他区域随时巡回保洁，确保无积灰、无污迹、无垃圾、无积水，地面无灰尘、污迹、无纸屑等；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3.卫生间每天拖洗2次，每堂课上课铃后保洁，要保持地面清洁、无杂物、无积水，便池、水池下水道要畅通等；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4.报告厅、会议室每天打扫一次；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5.根据学校需要及时开、关好水、电、门、窗。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6.完成上级有关部门和学校领导交办的其它工作。</w:t>
            </w:r>
            <w:r/>
          </w:p>
        </w:tc>
      </w:tr>
      <w:tr>
        <w:trPr>
          <w:trHeight w:val="3140"/>
        </w:trPr>
        <w:tc>
          <w:tcPr>
            <w:tcW w:w="113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室外环境（1人）</w:t>
            </w:r>
            <w:r/>
          </w:p>
        </w:tc>
        <w:tc>
          <w:tcPr>
            <w:tcW w:w="2268"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校园内道路地面、道路标识、垃圾桶、绿化带、停车场、水池、花坛、雕塑、露天运动场、明沟、窨井、化粪池、垃圾临时存放处。</w:t>
            </w:r>
            <w:r/>
          </w:p>
        </w:tc>
        <w:tc>
          <w:tcPr>
            <w:tcW w:w="5954"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1.校园内道路、车库、运动场每日清扫3次（放假期间可减少保洁次数），其他区域保洁每天不少于1次；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2.垃圾篓、垃圾箱不得有垃圾外溢，保持垃圾篓、垃圾箱外部清洁；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3.校园内巡回保洁，确保无垃圾、纸屑、瓜果皮等杂物，确保校内硬化地面无痰渍、污渍，花坛、橱窗、雕塑每天擦抹1次，无积灰、无污迹，水池水质清澈见底，无漂浮物，明沟、窨井每日巡查一次；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4.发现水电气等跑冒漏要及时向物业公司领导及采购人负责人反映，以便及时处理。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5.校园内每月一次大扫除；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6.遇接待、参观等重大活动，应服从学校安排。</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7.完成上级有关部门和学校领导交办的其它工作。</w:t>
            </w:r>
            <w:r/>
          </w:p>
        </w:tc>
      </w:tr>
    </w:tbl>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bookmarkStart w:id="65" w:name="_Hlt509650351"/>
      <w:r/>
      <w:bookmarkEnd w:id="65"/>
      <w:r/>
      <w:bookmarkStart w:id="66" w:name="_Hlt516969057"/>
      <w:r/>
      <w:bookmarkEnd w:id="66"/>
      <w:r>
        <w:rPr>
          <w:rFonts w:hint="eastAsia" w:ascii="宋体" w:hAnsi="宋体" w:eastAsia="宋体" w:cs="宋体"/>
          <w:color w:val="000000"/>
          <w:sz w:val="24"/>
          <w:szCs w:val="24"/>
          <w:lang w:val="en-US" w:eastAsia="zh-CN" w:bidi="ar-SA"/>
        </w:rPr>
        <w:t xml:space="preserve">    2.3 宿舍管理、校医、综合管理、弱电管理维修、食堂管理员、实验员、教务员</w:t>
      </w:r>
      <w:r/>
    </w:p>
    <w:tbl>
      <w:tblPr>
        <w:tblStyle w:val="701"/>
        <w:tblW w:w="48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2361"/>
        <w:gridCol w:w="6198"/>
      </w:tblGrid>
      <w:tr>
        <w:trPr>
          <w:trHeight w:val="266"/>
        </w:trPr>
        <w:tc>
          <w:tcPr>
            <w:tcW w:w="11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w:t>
            </w:r>
            <w:r/>
          </w:p>
        </w:tc>
        <w:tc>
          <w:tcPr>
            <w:tcW w:w="230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服务内容</w:t>
            </w:r>
            <w:r/>
          </w:p>
        </w:tc>
        <w:tc>
          <w:tcPr>
            <w:tcW w:w="6057"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工作职责要求</w:t>
            </w:r>
            <w:r/>
          </w:p>
        </w:tc>
      </w:tr>
      <w:tr>
        <w:trPr>
          <w:trHeight w:val="131"/>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宿舍管理员（3人）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宿舍设施设备的检查及住校生的日常管理。</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1.工作认真严谨，执行学校管理制度；</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2.做好水、电、监控、灭火器等设施设备的安全检查；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3.根据住校生的管理制度做好寝室管理工作；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4.负责宿舍区域的公共卫生打扫；</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5.配合做好住校生自习的管理；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6.完成上级有关部门和学校领导交办的其它工作。</w:t>
            </w:r>
            <w:r/>
          </w:p>
        </w:tc>
      </w:tr>
      <w:tr>
        <w:trPr>
          <w:trHeight w:val="3397"/>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校医   （2人）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学校卫生工作、学生健康工作、卫生监督、校医室工作、卫生宣传工作、一般伤病处理及其他相关工作。</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1.做好学生因病缺课、传染病防控、学校计生、爱卫等相关学校卫生工作。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2.开展学生健康及特异体质的调查，并建立学生健康档案，对体弱、残疾学生加强医学照顾、健康指导和心理卫生工作。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3.做好卫生监督检查及跟进工作（含环境、食堂、饮水、个人等）。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4.药品进出有台帐，严防过期药品存在。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5.结合学校工作和季节特点，采取多种形式积极开展各项卫生宣传教育及培训工作，培养学生良好的卫生行为习惯。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6.做好学生一般伤病事故的处理及突发公共卫生事件应急处置工作。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 食品安全督查及食谱修改，完成阳光食堂平台相关工作。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8.完成教职工（含退休教职工）医药费报销工作。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9.学校大型活动医疗保障工作。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10.校园正常值班轮转和假期值班等工作，必要时可参与晚值班工作。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11.如有外勤工作时，必须到总务处做好登记工作。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12.完成上级有关部门和学校领导交办的其它工作。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光华门综合管理（1人）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光华门校区物品保管与发放，校区检查，活动接待等。</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1.按照要求做好物品的保管与发放。</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2.保管好各专用室内的相关设施设备，及时做好报修工作。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3.各专用教室设备的开启和关闭操作，做好各专用教室的使用记录。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4.做好光华门校区的每日巡查工作，确保校园安全和设施设备的完好，并做好及时报修和相关记录。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5.做好光华门校区的学校活动和会务接待工作。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6.光华门食堂验菜及两校区食堂库房管理。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7.如有外勤工作时，必须到总务处做好登记工作。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8.完成上级有关部门和学校领导交办的其它工作。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cs="宋体"/>
                <w:sz w:val="24"/>
                <w:szCs w:val="24"/>
              </w:rPr>
              <w:t xml:space="preserve">蓝旗街</w:t>
            </w:r>
            <w:r>
              <w:rPr>
                <w:rFonts w:hint="eastAsia" w:ascii="宋体" w:hAnsi="宋体" w:eastAsia="宋体" w:cs="宋体"/>
                <w:color w:val="000000"/>
                <w:sz w:val="24"/>
                <w:szCs w:val="24"/>
                <w:lang w:val="en-US" w:eastAsia="zh-CN" w:bidi="ar-SA"/>
              </w:rPr>
              <w:t xml:space="preserve">综合管理（1人）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体艺楼一楼过道大厅及所有专用室（第一、第二、第三阶梯教室，贵宾厅、会议室、智慧教室等），综合楼内第一、第二、第三、第四会议室卫生保洁及相关接待等。</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 按照要求做好分管场所的卫生保洁工作。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 保管好各专用室内的相关设施设备，及时做好报修工作。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各专用室内设备及看台的开启和关闭操作。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 严格遵守各项规章制度，做好各专用室的使用记录。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 做好各专用室的会务接待工作。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 体艺楼大门的开关门及安全巡视工作。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7.学校大型活动的保障及后勤服务工作。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8.完成上级有关部门和学校交办的其它工作。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弱电管理维修（1人）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负责学校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蓝旗街、光华门两校区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网络、电脑及光华门校区广播等的维护、使用工作。</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1.对学校网络进行维护、维修；</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2.对学校电脑、多媒体、监控等弱电设备进行维护；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3.光华门校区运动场和会议室的广播播放；</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4.完成上级有关部门和学校领导交办的其它工作。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食堂管理员（1人）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负责学校食堂会计相关工作</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每日工作内容：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1.6：20到校开始收菜验菜。核对品牌规格重量需与送货单一致。核对货品检测报告。</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2.手工录入Excel入库及汇总。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3.阳光食堂录入当天食材出入库。（两个校区)</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4.阳光食堂食材出库明细倒出打印交厨师长签字。（两个校区）</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5.收厨师长开出食材申购单，上订货平台下单订购次日食材。（两个校区）</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6.一卡通系统内统计营业额，核算入口率。及时掌控食材订购数量。</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7.一卡通系统错误刷卡记录进行纠正。</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8.每天关注食堂刷卡机是否有脱机现象，如出现饭卡余额为负数，通知班主任提醒学生充值。</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每周工作内容：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1.每周账目汇总。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2.不固定期定订购洗涤用品。</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3.每周送货单据交张校、夏主任签字。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4.配合劳务公司制定下周菜谱。</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每月工作内容：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1.月末与供货商对账。</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2.收供货商发票初审后交会计室审核。</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3.发票逐级签字完成后交会计室。</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4.阳光食堂对账单打印，审核签字。</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5.阳光食堂月末食材入库，食材出库汇总对账打印。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6.阳光食堂盘点。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7.洗涤用品入、出库汇总。</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8.核算月末营业额，食材成本等账目。</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不定期工作：例阳光食堂合同录入、价格调整阳光食堂同步调整录入。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9.完成上级有关部门和学校领导交办的其它工作。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实验员（2人）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负责学校实验室管理</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1.管理学校物理实验室，维护、整理实验室器材，保证实验室卫生环境整洁干净；</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2.做好教师演示实验和学生分组实验的保障；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3.与实验室相关的其他工作；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4.完成学校交代的其它工作。</w:t>
            </w:r>
            <w:r/>
          </w:p>
        </w:tc>
      </w:tr>
      <w:tr>
        <w:trPr>
          <w:trHeight w:val="60"/>
        </w:trPr>
        <w:tc>
          <w:tcPr>
            <w:tcW w:w="1154"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教务员（1人）</w:t>
            </w:r>
            <w:r/>
          </w:p>
        </w:tc>
        <w:tc>
          <w:tcPr>
            <w:tcW w:w="230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负责学校广播、文印等教务工作</w:t>
            </w:r>
            <w:r/>
          </w:p>
        </w:tc>
        <w:tc>
          <w:tcPr>
            <w:tcW w:w="6057"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1.学校文印工作；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2.学校广播播放工作；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3.与教务相关的其他工作；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4.学校交代的其他工作。</w:t>
            </w:r>
            <w:r/>
          </w:p>
        </w:tc>
      </w:tr>
    </w:tbl>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3.岗位要求（</w:t>
      </w:r>
      <w:r>
        <w:rPr>
          <w:rFonts w:hint="eastAsia" w:ascii="宋体" w:hAnsi="宋体" w:eastAsia="宋体" w:cs="宋体"/>
          <w:color w:val="000000"/>
          <w:sz w:val="24"/>
          <w:szCs w:val="24"/>
          <w:lang w:val="en-US" w:eastAsia="zh-CN"/>
        </w:rPr>
        <w:t xml:space="preserve">人员年龄在法定退休年龄以内，采购文件另有要求的，按要求执行</w:t>
      </w:r>
      <w:r>
        <w:rPr>
          <w:rFonts w:hint="eastAsia" w:ascii="宋体" w:hAnsi="宋体" w:eastAsia="宋体" w:cs="宋体"/>
          <w:color w:val="000000"/>
          <w:sz w:val="24"/>
          <w:szCs w:val="24"/>
          <w:lang w:val="en-US" w:eastAsia="zh-CN" w:bidi="ar-SA"/>
        </w:rPr>
        <w:t xml:space="preserve">）</w:t>
      </w:r>
      <w:r/>
    </w:p>
    <w:tbl>
      <w:tblPr>
        <w:tblStyle w:val="701"/>
        <w:tblW w:w="503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4727"/>
        <w:gridCol w:w="1319"/>
        <w:gridCol w:w="2786"/>
      </w:tblGrid>
      <w:tr>
        <w:trPr>
          <w:trHeight w:val="95"/>
        </w:trPr>
        <w:tc>
          <w:tcPr>
            <w:tcW w:w="1171"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w:t>
            </w:r>
            <w:r/>
          </w:p>
        </w:tc>
        <w:tc>
          <w:tcPr>
            <w:tcW w:w="4620"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素质要求</w:t>
            </w:r>
            <w:r/>
          </w:p>
        </w:tc>
        <w:tc>
          <w:tcPr>
            <w:tcW w:w="128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学历</w:t>
            </w:r>
            <w:r/>
          </w:p>
        </w:tc>
        <w:tc>
          <w:tcPr>
            <w:tcW w:w="2722" w:type="dxa"/>
            <w:vAlign w:val="top"/>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工作时间</w:t>
            </w:r>
            <w:r/>
          </w:p>
        </w:tc>
      </w:tr>
      <w:tr>
        <w:trPr>
          <w:trHeight w:val="60"/>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项目主管</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良好的个人形象与气质，有高度的责任感，团队协作能力强，身体健康，品行端正，有很强的物业管理理论水平。</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大专（含）以上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rHeight w:val="60"/>
        </w:trPr>
        <w:tc>
          <w:tcPr>
            <w:tcW w:w="11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卫生保洁</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较高的个人素质，有高度的责任感，团队协作能力强，有不怕脏不怕累的精神，身体健康。</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小学（含）以上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6：00～17：00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宿舍管理员</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良好的个人形象与气质，有高度的责任感，团队协作能力强，有较强的沟通协调能力，具有较强的亲和力及洞察力，善于处置一些纠纷，能及时疏导学生心理不良情绪。</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初中（含）以上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5：00～次日8:00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8:00～次日8:00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校医</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校医专业背景需为全科、内科、外科等医学相关领域，具备《 医师执业证书》、《医师资格证书》且在有效期内。</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光华门校医具备护士执业证书，且在有效期内。</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大专（含）以上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综合管理</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较高的个人素质，有高度的责任感，团队协作能力强，身体健康，树立为师生服务的思想。</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初中（含）以上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7:00～17:30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弱电管理维修</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较高的个人素质，有高度的责任感，团队协作能力强，身体健康，具备“特种作业上岗操作证（电工）”。</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大专（含）以上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食堂管理员</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较高的个人素质，有高度的责任感，团队协作能力强，身体健康，具备相应的专业能力，具有1年（含）以上工作经验。</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高中（含）以上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实验员</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较高的个人素质和相关专业知识，有高度的责任感，团队协作能力强，身体健康，具备实验室管理的相关专业能力，具有1年（含）以上工作经验，能够熟练使用“南京市中小学实验与实验室管理平台”，能够认真执行采购人实验员管理工作要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2.生物实验员须熟悉高中生物教材，掌握每一项高中生物实验的实验要求、原理、实验器材配置，积极配合部门和老师开展相关工作，同时具备危险化学品管理经验；</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物理实验员物理实验员须熟悉高中物理教材，掌握每一项高中物理实验的实验要求、原理、实验器材配置，积极配合部门和老师开展相关工作。</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3.教务部门会组织专家当天进行考核，具体录用情况以当天考核为准。</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大专（含）以上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r>
        <w:trPr/>
        <w:tc>
          <w:tcPr>
            <w:tcW w:w="1171"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教务员</w:t>
            </w:r>
            <w:r/>
          </w:p>
        </w:tc>
        <w:tc>
          <w:tcPr>
            <w:tcW w:w="4620"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较高的个人素质，有高度的责任感，团队协作能力强，身体健康，具备相关专业能力，具有1年（含）以上工作经验。能够胜任智学网软硬件工作、使用数字式一体速印机和文印一体机、使用广播室调音台中控以及铃声，具体要求如下：</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一、智学网软硬件的使用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 使用智学网系统，制作平时三个年级9门学科的各类型答题卡。</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 做好的答题卡需提前新建考试，设置好模版、阅卷老师名单、答案以及分值。知道不同学科试卷设置的特殊需求。</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使用智学网系统，扫描平时三个年级9门学科的各类型答题卡，知道扫描试卷过程中出现的各种问题，并能够解决。</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 考试过程中，要保持随时在线，及时生成报告。</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 能及时回复老师们发的信息，及时解决遇到的问题。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6.熟练使用并解决其余相关问题。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二、数字式一体速印机和文印一体机的使用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1.数字式一体速印机，印制几个年级的各类型试卷和答题卡，要会熟练操作速印机，根据A3、A4文印资料的文字大小，进行比例的缩放。</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2.知道一体机使用过程中常出现的问题，并能够及时解决。</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3.会更换数字式一体速印机的版纸和油墨。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4.和送印试卷的老师做好良好的沟通交流，信息登记准确。</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5.熟练使用并解决其余相关问题。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三、广播室调音台中控的使用以及考试调试铃声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1.广播室调音台中控的使用，要会熟练操作调音台。能区分模拟音源和数字音源。</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2.周一早上9:00室外升旗仪式，电脑上需播放多首音乐，能够选择好模拟轨道播放、话筒轨道、教室和操场轨道。中控箱内打开升旗的三个按键，以及打开升旗音量。跟团委对接，在1-2秒内完成不同类型音频切换。</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3.周一早上室内（雨天）升旗仪式，能够熟练迅速切换音频，保证报告厅、教室能够正常收听。广播室内做好音频监听。</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4.周二至周五是广播操，上午9:00，下午15:30，几首音乐按照不同的时间节点播放。能够配合体育老师迅速切换不同轨道的音频。</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5.考试（月考、期中、期末）期间不使用调音台，广播操暂停。铃声需调整到考试时间使用的铃声。</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6.考试调试铃声，会使用广播系统，需要提前设置好铃声，高一高二考试时间不同，铃声分别设置、控制。考试铃声需手动调整时间。</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7.校内如有活动，需要主动询问，确定铃声如何跟随调整。</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高考播放听力，需要使用电脑音源和DVD播放英语听力，责任重大。保证每门考试音频的正常播放、调音台熟练切换；高考英语听力考试，需能够同时准备两种不同的播放方式，一套正常播放，一套备用播放，如果正常播放的音频出现故障，备用方案需在极短时间内切换、无缝衔接。</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9.熟练使用并解决其余相关问题。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教务部门会组织专家当天进行考核，具体录用情况以当天考核为准。</w:t>
            </w:r>
            <w:r/>
          </w:p>
        </w:tc>
        <w:tc>
          <w:tcPr>
            <w:tcW w:w="128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大专（含）以上</w:t>
            </w:r>
            <w:r/>
          </w:p>
        </w:tc>
        <w:tc>
          <w:tcPr>
            <w:tcW w:w="2722"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8:00～17:30</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（按工作需求节假日或周末学校有活动需加班应服从安排）</w:t>
            </w:r>
            <w:r/>
          </w:p>
        </w:tc>
      </w:tr>
    </w:tbl>
    <w:p>
      <w:pPr>
        <w:ind w:firstLine="24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4.管理服务应达到的各项指标</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杜绝责任事故，杜绝刑事案件，全年零事故。</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5.其他事项说明</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（1）学校电梯年审、维保费用采购人承担，电梯卫生保洁由供应商负责；</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（2）保洁用垃圾袋、垃圾桶、抹布由成交供应商提供；卷纸、洗手液由采购人提供；</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（3）学校举办重大活动时如需物业人员承担额外工作，相关人员的报酬由供应商支付。</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6.节假日及寒暑假须服从采购人安排，相关加班费用由供应商承担。</w:t>
      </w:r>
      <w:r/>
    </w:p>
    <w:p>
      <w:pPr>
        <w:ind w:firstLine="24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7.项目实施要求</w:t>
      </w:r>
      <w:r/>
    </w:p>
    <w:tbl>
      <w:tblPr>
        <w:tblStyle w:val="945"/>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left"/>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p>
        </w:tc>
      </w:tr>
    </w:tbl>
    <w:p>
      <w:pPr>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p>
    <w:p>
      <w:p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p>
    <w:p>
      <w:pPr>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根据省级人社部门文件规定，最低工资不包含劳动者按下限缴存的住房公积金，由用人单位按规定另行支付，供应商须测算在公积金报价中，否则按照无效响应处理。</w:t>
      </w:r>
      <w:r/>
    </w:p>
    <w:p>
      <w:pPr>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3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p>
    <w:p>
      <w:pPr>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如供应商投入本项目服务人员中有依法享受社保公积金减免政策、退休返聘等不缴纳社保公积金人员的，须在《磋商报价明细表》后附相应说明，未提供说明且报价中社保公积金费用测算不符合法律法规、相关政策和采购文件规定的，将按照无效响应处理。成交结果发布后签订合同前，供应商应向采购人提供上述人员不缴纳社保公积金的相应证明材料，未提供证明材料或证明材料与《磋商报价明细表》所附说明不符的将被视为虚假响应，采购人有权取消其成交资格，并依法追究相应责任。</w:t>
      </w:r>
      <w:r/>
    </w:p>
    <w:p>
      <w:pPr>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不少于15人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（13天）</w:t>
      </w:r>
      <w:r>
        <w:rPr>
          <w:rFonts w:hint="eastAsia" w:ascii="宋体" w:hAnsi="宋体" w:cs="宋体"/>
          <w:b/>
          <w:bCs/>
          <w:i w:val="0"/>
          <w:iCs w:val="0"/>
          <w:color w:val="000000"/>
          <w:sz w:val="24"/>
          <w:szCs w:val="24"/>
          <w:u w:val="none"/>
          <w:lang w:val="en-US" w:eastAsia="zh-CN"/>
        </w:rPr>
        <w:t xml:space="preserve">进行测算，否则</w:t>
      </w:r>
      <w:r>
        <w:rPr>
          <w:rFonts w:hint="eastAsia" w:ascii="宋体" w:hAnsi="宋体" w:eastAsia="宋体" w:cs="宋体"/>
          <w:b/>
          <w:bCs/>
          <w:i w:val="0"/>
          <w:iCs w:val="0"/>
          <w:color w:val="000000"/>
          <w:sz w:val="24"/>
          <w:szCs w:val="24"/>
          <w:u w:val="none"/>
          <w:lang w:val="en-US" w:eastAsia="zh-CN"/>
        </w:rPr>
        <w:t xml:space="preserve">按照无效响应处理。</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bCs/>
          <w:sz w:val="24"/>
          <w:szCs w:val="24"/>
          <w:lang w:val="en-US" w:eastAsia="zh-CN"/>
        </w:rPr>
        <w:t xml:space="preserve">。</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其他费用：供应商认为完成本项目物业管理服务可能产生的其他相关费用。</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（2）报价中还应包含以下费用，在《磋商报价明细表》中列明，结算时按实支付，否则做无效响应处理：</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①清洁耗材费。清洁耗材包括但不限于扫把、地推、垃圾袋、垃圾桶、消毒液、洁厕灵等。供应商自行测算考虑到报价中。</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②服装费。供应商须为卫生保洁人员配备统一的着装，每人夏冬装各不少于2套，服装款式须经采购人认可后定制、着装。供应商自行测算考虑到报价中。</w:t>
      </w:r>
      <w:r/>
    </w:p>
    <w:p>
      <w:p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（3）供应商未按</w:t>
      </w:r>
      <w:r>
        <w:rPr>
          <w:rFonts w:hint="eastAsia" w:ascii="宋体" w:hAnsi="宋体" w:eastAsia="宋体" w:cs="Times New Roman"/>
          <w:color w:val="000000"/>
          <w:sz w:val="24"/>
          <w:szCs w:val="24"/>
        </w:rPr>
        <w:t xml:space="preserve">政策</w:t>
      </w:r>
      <w:r>
        <w:rPr>
          <w:rFonts w:hint="eastAsia" w:ascii="宋体" w:hAnsi="宋体" w:eastAsia="宋体" w:cs="Times New Roman"/>
          <w:color w:val="000000"/>
          <w:sz w:val="24"/>
          <w:szCs w:val="24"/>
          <w:lang w:eastAsia="zh-CN"/>
        </w:rPr>
        <w:t xml:space="preserve">规定</w:t>
      </w:r>
      <w:r>
        <w:rPr>
          <w:rFonts w:hint="eastAsia" w:ascii="宋体" w:hAnsi="宋体" w:eastAsia="宋体" w:cs="Times New Roman"/>
          <w:color w:val="000000"/>
          <w:sz w:val="24"/>
          <w:szCs w:val="24"/>
        </w:rPr>
        <w:t xml:space="preserve">报价</w:t>
      </w:r>
      <w:r>
        <w:rPr>
          <w:rFonts w:hint="eastAsia" w:ascii="宋体" w:hAnsi="宋体" w:eastAsia="宋体" w:cs="Times New Roman"/>
          <w:color w:val="000000"/>
          <w:sz w:val="24"/>
          <w:szCs w:val="24"/>
          <w:lang w:eastAsia="zh-CN"/>
        </w:rPr>
        <w:t xml:space="preserve">、未依法缴纳税费，</w:t>
      </w:r>
      <w:r>
        <w:rPr>
          <w:rFonts w:hint="eastAsia" w:ascii="宋体" w:hAnsi="宋体" w:eastAsia="宋体" w:cs="Times New Roman"/>
          <w:color w:val="000000"/>
          <w:sz w:val="24"/>
          <w:szCs w:val="24"/>
          <w:lang w:val="en-US" w:eastAsia="zh-CN"/>
        </w:rPr>
        <w:t xml:space="preserve">或者《磋商报价明细表》中列明的</w:t>
      </w:r>
      <w:r>
        <w:rPr>
          <w:rFonts w:hint="eastAsia" w:ascii="宋体" w:hAnsi="宋体" w:eastAsia="宋体" w:cs="Times New Roman"/>
          <w:color w:val="000000"/>
          <w:sz w:val="24"/>
          <w:szCs w:val="24"/>
        </w:rPr>
        <w:t xml:space="preserve">分项报价为“零”</w:t>
      </w:r>
      <w:r>
        <w:rPr>
          <w:rFonts w:hint="eastAsia" w:ascii="宋体" w:hAnsi="宋体" w:eastAsia="宋体" w:cs="Times New Roman"/>
          <w:color w:val="000000"/>
          <w:sz w:val="24"/>
          <w:szCs w:val="24"/>
          <w:lang w:val="en-US" w:eastAsia="zh-CN"/>
        </w:rPr>
        <w:t xml:space="preserve">或负数的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其他费用可以为</w:t>
      </w:r>
      <w:r>
        <w:rPr>
          <w:rFonts w:hint="eastAsia" w:ascii="宋体" w:hAnsi="宋体" w:eastAsia="宋体" w:cs="Times New Roman"/>
          <w:color w:val="000000"/>
          <w:sz w:val="24"/>
          <w:szCs w:val="24"/>
        </w:rPr>
        <w:t xml:space="preserve">“零”</w:t>
      </w:r>
      <w:r>
        <w:rPr>
          <w:rFonts w:hint="eastAsia" w:ascii="宋体" w:hAnsi="宋体" w:eastAsia="宋体" w:cs="Times New Roman"/>
          <w:color w:val="000000"/>
          <w:sz w:val="24"/>
          <w:szCs w:val="24"/>
          <w:lang w:val="en-US" w:eastAsia="zh-CN"/>
        </w:rPr>
        <w:t xml:space="preserve">但不得为负数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p>
    <w:p>
      <w:pPr>
        <w:ind w:firstLine="480"/>
        <w:keepLines w:val="0"/>
        <w:keepNext w:val="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（2）合同履约期间，费用包干，采购人不再支付任何费用。</w:t>
      </w:r>
      <w:r/>
    </w:p>
    <w:p>
      <w:pPr>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p>
    <w:p>
      <w:pPr>
        <w:numPr>
          <w:ilvl w:val="0"/>
          <w:numId w:val="0"/>
        </w:numPr>
        <w:ind w:firstLine="480"/>
        <w:jc w:val="left"/>
        <w:spacing w:after="0"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4.考核要求（考核细则见附件）</w:t>
      </w:r>
      <w:r/>
    </w:p>
    <w:p>
      <w:pPr>
        <w:numPr>
          <w:ilvl w:val="0"/>
          <w:numId w:val="0"/>
        </w:numPr>
        <w:ind w:firstLine="482"/>
        <w:jc w:val="left"/>
        <w:keepLines w:val="0"/>
        <w:keepNext w:val="0"/>
        <w:pageBreakBefore w:val="0"/>
        <w:spacing w:after="0" w:line="24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采购人在每个合同期间内对</w:t>
      </w:r>
      <w:r>
        <w:rPr>
          <w:rFonts w:hint="eastAsia" w:ascii="宋体" w:hAnsi="宋体" w:eastAsia="宋体" w:cs="宋体"/>
          <w:b w:val="0"/>
          <w:bCs w:val="0"/>
          <w:color w:val="000000"/>
          <w:sz w:val="24"/>
          <w:szCs w:val="24"/>
          <w:lang w:eastAsia="zh-CN"/>
        </w:rPr>
        <w:t xml:space="preserve">成交</w:t>
      </w:r>
      <w:r>
        <w:rPr>
          <w:rFonts w:hint="eastAsia" w:ascii="宋体" w:hAnsi="宋体" w:eastAsia="宋体" w:cs="宋体"/>
          <w:b w:val="0"/>
          <w:bCs w:val="0"/>
          <w:color w:val="000000"/>
          <w:sz w:val="24"/>
          <w:szCs w:val="24"/>
        </w:rPr>
        <w:t xml:space="preserve">供应商的服务质量开展二次</w:t>
      </w:r>
      <w:r>
        <w:rPr>
          <w:rFonts w:hint="eastAsia" w:ascii="宋体" w:hAnsi="宋体" w:eastAsia="宋体" w:cs="宋体"/>
          <w:b w:val="0"/>
          <w:bCs w:val="0"/>
          <w:color w:val="000000"/>
          <w:sz w:val="24"/>
          <w:szCs w:val="24"/>
          <w:lang w:val="en-US" w:eastAsia="zh-CN"/>
        </w:rPr>
        <w:t xml:space="preserve">以上</w:t>
      </w:r>
      <w:r>
        <w:rPr>
          <w:rFonts w:hint="eastAsia" w:ascii="宋体" w:hAnsi="宋体" w:eastAsia="宋体" w:cs="宋体"/>
          <w:b w:val="0"/>
          <w:bCs w:val="0"/>
          <w:color w:val="000000"/>
          <w:sz w:val="24"/>
          <w:szCs w:val="24"/>
        </w:rPr>
        <w:t xml:space="preserve">满意度调查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见附件</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rPr>
        <w:t xml:space="preserve">，满意度不低于</w:t>
      </w:r>
      <w:r>
        <w:rPr>
          <w:rFonts w:hint="eastAsia" w:ascii="宋体" w:hAnsi="宋体" w:eastAsia="宋体" w:cs="宋体"/>
          <w:b w:val="0"/>
          <w:bCs w:val="0"/>
          <w:color w:val="000000"/>
          <w:sz w:val="24"/>
          <w:szCs w:val="24"/>
          <w:lang w:val="en-US" w:eastAsia="zh-CN"/>
        </w:rPr>
        <w:t xml:space="preserve">80</w:t>
      </w:r>
      <w:r>
        <w:rPr>
          <w:rFonts w:hint="eastAsia" w:ascii="宋体" w:hAnsi="宋体" w:eastAsia="宋体" w:cs="宋体"/>
          <w:b w:val="0"/>
          <w:bCs w:val="0"/>
          <w:color w:val="000000"/>
          <w:sz w:val="24"/>
          <w:szCs w:val="24"/>
        </w:rPr>
        <w:t xml:space="preserve">%（含），每低1%扣减服务费2000元，员工</w:t>
      </w:r>
      <w:r>
        <w:rPr>
          <w:rFonts w:hint="eastAsia" w:ascii="宋体" w:hAnsi="宋体" w:eastAsia="宋体" w:cs="宋体"/>
          <w:b w:val="0"/>
          <w:bCs w:val="0"/>
          <w:color w:val="000000"/>
          <w:sz w:val="24"/>
          <w:szCs w:val="24"/>
          <w:lang w:val="en-US" w:eastAsia="zh-CN"/>
        </w:rPr>
        <w:t xml:space="preserve">对服务</w:t>
      </w:r>
      <w:r>
        <w:rPr>
          <w:rFonts w:hint="eastAsia" w:ascii="宋体" w:hAnsi="宋体" w:eastAsia="宋体" w:cs="宋体"/>
          <w:b w:val="0"/>
          <w:bCs w:val="0"/>
          <w:color w:val="000000"/>
          <w:sz w:val="24"/>
          <w:szCs w:val="24"/>
        </w:rPr>
        <w:t xml:space="preserve">满意度低于</w:t>
      </w:r>
      <w:r>
        <w:rPr>
          <w:rFonts w:hint="eastAsia" w:ascii="宋体" w:hAnsi="宋体" w:eastAsia="宋体" w:cs="宋体"/>
          <w:b w:val="0"/>
          <w:bCs w:val="0"/>
          <w:color w:val="000000"/>
          <w:sz w:val="24"/>
          <w:szCs w:val="24"/>
          <w:lang w:val="en-US" w:eastAsia="zh-CN"/>
        </w:rPr>
        <w:t xml:space="preserve">70</w:t>
      </w:r>
      <w:r>
        <w:rPr>
          <w:rFonts w:hint="eastAsia" w:ascii="宋体" w:hAnsi="宋体" w:eastAsia="宋体" w:cs="宋体"/>
          <w:b w:val="0"/>
          <w:bCs w:val="0"/>
          <w:color w:val="000000"/>
          <w:sz w:val="24"/>
          <w:szCs w:val="24"/>
        </w:rPr>
        <w:t xml:space="preserve">%的，采购人有权终止采购合同。</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）采购人对供应商的服务质量</w:t>
      </w:r>
      <w:r>
        <w:rPr>
          <w:rFonts w:hint="eastAsia" w:ascii="宋体" w:hAnsi="宋体" w:eastAsia="宋体" w:cs="宋体"/>
          <w:color w:val="000000"/>
          <w:sz w:val="24"/>
          <w:szCs w:val="24"/>
          <w:lang w:val="en-US" w:eastAsia="zh-CN"/>
        </w:rPr>
        <w:t xml:space="preserve">按月</w:t>
      </w:r>
      <w:r>
        <w:rPr>
          <w:rFonts w:hint="eastAsia" w:ascii="宋体" w:hAnsi="宋体" w:eastAsia="宋体" w:cs="宋体"/>
          <w:color w:val="000000"/>
          <w:sz w:val="24"/>
          <w:szCs w:val="24"/>
        </w:rPr>
        <w:t xml:space="preserve">进行考核，</w:t>
      </w:r>
      <w:r>
        <w:rPr>
          <w:rFonts w:hint="eastAsia" w:ascii="宋体" w:hAnsi="宋体" w:eastAsia="宋体" w:cs="宋体"/>
          <w:color w:val="000000"/>
          <w:sz w:val="24"/>
          <w:szCs w:val="24"/>
          <w:lang w:val="en-US" w:eastAsia="zh-CN"/>
        </w:rPr>
        <w:t xml:space="preserve">根据考核结果进行费用结算。</w:t>
      </w:r>
      <w:r>
        <w:rPr>
          <w:rFonts w:hint="eastAsia" w:ascii="宋体" w:hAnsi="宋体" w:eastAsia="宋体" w:cs="宋体"/>
          <w:color w:val="000000"/>
          <w:sz w:val="24"/>
          <w:szCs w:val="24"/>
        </w:rPr>
        <w:t xml:space="preserve">考核细则详见附件。</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其他要求</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br w:type="page" w:clear="all"/>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p>
    <w:p>
      <w:pPr>
        <w:numPr>
          <w:ilvl w:val="0"/>
          <w:numId w:val="5"/>
        </w:num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考核细则</w:t>
      </w:r>
      <w:r/>
    </w:p>
    <w:p>
      <w:pPr>
        <w:jc w:val="center"/>
        <w:rPr>
          <w:rFonts w:hint="eastAsia" w:ascii="宋体" w:hAnsi="宋体" w:eastAsia="宋体"/>
          <w:b/>
          <w:bCs/>
          <w:sz w:val="28"/>
          <w:szCs w:val="28"/>
          <w:lang w:eastAsia="zh-CN"/>
        </w:rPr>
      </w:pPr>
      <w:r>
        <w:rPr>
          <w:rFonts w:ascii="宋体" w:hAnsi="宋体" w:eastAsia="宋体"/>
          <w:b/>
          <w:bCs/>
          <w:sz w:val="28"/>
          <w:szCs w:val="28"/>
        </w:rPr>
        <w:t xml:space="preserve">物业管理服务</w:t>
      </w:r>
      <w:r>
        <w:rPr>
          <w:rFonts w:hint="eastAsia" w:ascii="宋体" w:hAnsi="宋体" w:eastAsia="宋体"/>
          <w:b/>
          <w:bCs/>
          <w:sz w:val="28"/>
          <w:szCs w:val="28"/>
        </w:rPr>
        <w:t xml:space="preserve">考核</w:t>
      </w:r>
      <w:r>
        <w:rPr>
          <w:rFonts w:hint="eastAsia" w:ascii="宋体" w:hAnsi="宋体" w:eastAsia="宋体"/>
          <w:b/>
          <w:bCs/>
          <w:sz w:val="28"/>
          <w:szCs w:val="28"/>
          <w:lang w:val="en-US" w:eastAsia="zh-CN"/>
        </w:rPr>
        <w:t xml:space="preserve">细则</w:t>
      </w:r>
      <w:r/>
    </w:p>
    <w:tbl>
      <w:tblPr>
        <w:tblStyle w:val="701"/>
        <w:tblW w:w="10031" w:type="dxa"/>
        <w:jc w:val="center"/>
        <w:tblLayout w:type="autofit"/>
        <w:tblCellMar>
          <w:left w:w="108" w:type="dxa"/>
          <w:top w:w="0" w:type="dxa"/>
          <w:right w:w="108" w:type="dxa"/>
          <w:bottom w:w="0" w:type="dxa"/>
        </w:tblCellMar>
        <w:tblLook w:val="04A0" w:firstRow="1" w:lastRow="0" w:firstColumn="1" w:lastColumn="0" w:noHBand="0" w:noVBand="1"/>
      </w:tblPr>
      <w:tblGrid>
        <w:gridCol w:w="428"/>
        <w:gridCol w:w="567"/>
        <w:gridCol w:w="567"/>
        <w:gridCol w:w="2123"/>
        <w:gridCol w:w="4953"/>
        <w:gridCol w:w="1393"/>
      </w:tblGrid>
      <w:tr>
        <w:trPr>
          <w:jc w:val="center"/>
          <w:trHeight w:val="561"/>
        </w:trPr>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jc w:val="center"/>
              <w:rPr>
                <w:rFonts w:hint="eastAsia" w:ascii="宋体" w:hAnsi="宋体" w:eastAsia="宋体"/>
                <w:b/>
                <w:bCs/>
                <w:sz w:val="21"/>
                <w:szCs w:val="21"/>
              </w:rPr>
            </w:pPr>
            <w:r>
              <w:rPr>
                <w:rFonts w:ascii="宋体" w:hAnsi="宋体" w:eastAsia="宋体"/>
                <w:b/>
                <w:bCs/>
                <w:sz w:val="21"/>
                <w:szCs w:val="21"/>
              </w:rPr>
              <w:t xml:space="preserve">序号</w:t>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jc w:val="center"/>
              <w:rPr>
                <w:rFonts w:hint="eastAsia" w:ascii="宋体" w:hAnsi="宋体" w:eastAsia="宋体"/>
                <w:b/>
                <w:bCs/>
                <w:sz w:val="21"/>
                <w:szCs w:val="21"/>
              </w:rPr>
            </w:pPr>
            <w:r>
              <w:rPr>
                <w:rFonts w:hint="eastAsia" w:ascii="宋体" w:hAnsi="宋体" w:eastAsia="宋体"/>
                <w:b/>
                <w:bCs/>
                <w:sz w:val="21"/>
                <w:szCs w:val="21"/>
              </w:rPr>
              <w:t xml:space="preserve">考核岗位</w:t>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jc w:val="center"/>
              <w:rPr>
                <w:rFonts w:hint="eastAsia" w:ascii="宋体" w:hAnsi="宋体" w:eastAsia="宋体"/>
                <w:b/>
                <w:bCs/>
                <w:sz w:val="21"/>
                <w:szCs w:val="21"/>
              </w:rPr>
            </w:pPr>
            <w:r>
              <w:rPr>
                <w:rFonts w:hint="eastAsia" w:ascii="宋体" w:hAnsi="宋体" w:eastAsia="宋体"/>
                <w:b/>
                <w:bCs/>
                <w:sz w:val="21"/>
                <w:szCs w:val="21"/>
              </w:rPr>
              <w:t xml:space="preserve">人员数量</w:t>
            </w:r>
            <w:r/>
          </w:p>
        </w:tc>
        <w:tc>
          <w:tcPr>
            <w:tcBorders>
              <w:top w:val="single" w:color="000000" w:sz="8" w:space="0"/>
              <w:left w:val="none" w:color="000000" w:sz="4" w:space="0"/>
              <w:bottom w:val="single" w:color="000000" w:sz="8" w:space="0"/>
              <w:right w:val="single" w:color="000000" w:sz="8" w:space="0"/>
            </w:tcBorders>
            <w:tcW w:w="2123" w:type="dxa"/>
            <w:vAlign w:val="center"/>
            <w:textDirection w:val="lrTb"/>
            <w:noWrap w:val="false"/>
          </w:tcPr>
          <w:p>
            <w:pPr>
              <w:jc w:val="center"/>
              <w:rPr>
                <w:rFonts w:hint="eastAsia" w:ascii="宋体" w:hAnsi="宋体" w:eastAsia="宋体"/>
                <w:b/>
                <w:bCs/>
                <w:sz w:val="21"/>
                <w:szCs w:val="21"/>
              </w:rPr>
            </w:pPr>
            <w:r>
              <w:rPr>
                <w:rFonts w:hint="eastAsia" w:ascii="宋体" w:hAnsi="宋体" w:eastAsia="宋体"/>
                <w:b/>
                <w:bCs/>
                <w:sz w:val="21"/>
                <w:szCs w:val="21"/>
              </w:rPr>
              <w:t xml:space="preserve">服务内容/考核条目</w:t>
            </w:r>
            <w:r/>
          </w:p>
        </w:tc>
        <w:tc>
          <w:tcPr>
            <w:tcBorders>
              <w:top w:val="single" w:color="000000" w:sz="8" w:space="0"/>
              <w:left w:val="none" w:color="000000" w:sz="4" w:space="0"/>
              <w:bottom w:val="single" w:color="000000" w:sz="8" w:space="0"/>
              <w:right w:val="single" w:color="000000" w:sz="8" w:space="0"/>
            </w:tcBorders>
            <w:tcW w:w="4953" w:type="dxa"/>
            <w:vAlign w:val="center"/>
            <w:textDirection w:val="lrTb"/>
            <w:noWrap w:val="false"/>
          </w:tcPr>
          <w:p>
            <w:pPr>
              <w:jc w:val="center"/>
              <w:rPr>
                <w:rFonts w:hint="eastAsia" w:ascii="宋体" w:hAnsi="宋体" w:eastAsia="宋体"/>
                <w:b/>
                <w:bCs/>
                <w:sz w:val="21"/>
                <w:szCs w:val="21"/>
              </w:rPr>
            </w:pPr>
            <w:r>
              <w:rPr>
                <w:rFonts w:hint="eastAsia" w:ascii="宋体" w:hAnsi="宋体" w:eastAsia="宋体"/>
                <w:b/>
                <w:bCs/>
                <w:sz w:val="21"/>
                <w:szCs w:val="21"/>
              </w:rPr>
              <w:t xml:space="preserve">考核标准/工作职责要求</w:t>
            </w:r>
            <w:r/>
          </w:p>
        </w:tc>
        <w:tc>
          <w:tcPr>
            <w:tcBorders>
              <w:top w:val="single" w:color="000000" w:sz="8" w:space="0"/>
              <w:left w:val="none" w:color="000000" w:sz="4" w:space="0"/>
              <w:bottom w:val="single" w:color="000000" w:sz="8" w:space="0"/>
              <w:right w:val="single" w:color="000000" w:sz="8" w:space="0"/>
            </w:tcBorders>
            <w:tcW w:w="1393" w:type="dxa"/>
            <w:vAlign w:val="center"/>
            <w:textDirection w:val="lrTb"/>
            <w:noWrap w:val="false"/>
          </w:tcPr>
          <w:p>
            <w:pPr>
              <w:jc w:val="center"/>
              <w:rPr>
                <w:rFonts w:hint="eastAsia" w:ascii="宋体" w:hAnsi="宋体" w:eastAsia="宋体"/>
                <w:b/>
                <w:bCs/>
                <w:sz w:val="21"/>
                <w:szCs w:val="21"/>
              </w:rPr>
            </w:pPr>
            <w:r>
              <w:rPr>
                <w:rFonts w:hint="eastAsia" w:ascii="宋体" w:hAnsi="宋体" w:eastAsia="宋体"/>
                <w:b/>
                <w:bCs/>
                <w:sz w:val="21"/>
                <w:szCs w:val="21"/>
              </w:rPr>
              <w:t xml:space="preserve">奖惩金额（次）</w:t>
            </w:r>
            <w:r/>
          </w:p>
        </w:tc>
      </w:tr>
      <w:tr>
        <w:trPr>
          <w:jc w:val="center"/>
          <w:trHeight w:val="643"/>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1</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项目主管</w:t>
            </w:r>
            <w:r/>
          </w:p>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1人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组织管理与计划执行</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岗位制度健全，工作计划明确，沟通及时，档案资料完备。</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根据具体问题罚50-1000元</w:t>
            </w:r>
            <w:r/>
          </w:p>
        </w:tc>
      </w:tr>
      <w:tr>
        <w:trPr>
          <w:jc w:val="center"/>
          <w:trHeight w:val="552"/>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员工培训与协调</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定期组织培训与例会，员工协调良好。</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647"/>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日常检查与反馈</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每日不定时检查各岗位，记录完整，反馈及时。</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622"/>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4. 临时任务与总体责任</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完成上级和学校交办的其他工作，整体服务达标。</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05"/>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2</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保洁</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7人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卫生间保洁</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无脏污、水渍、杂物，无异味，通风良好。</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617"/>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楼道保洁</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无纸屑、污渍、积灰，窗台玻璃干净。</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73"/>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外场保洁</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无可见垃圾，绿化带整洁，工具摆放规范。</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18"/>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4. 垃圾收集点保洁</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垃圾桶外观清洁，周边无垃圾、无臭味。</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613"/>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5. 设施维护</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根据要求及时开关及维护设施设备。</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33"/>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3</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宿舍管理员</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3人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安全管理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认真执行制度，做好水电、消防等设施安全检查。</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474"/>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学生管理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按要求做好住校生寝室管理和自习配合。</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01"/>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区域保洁</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负责宿舍区域公共卫生打扫。</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30"/>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4.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完成上级和学校交办的其他工作。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8"/>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4</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校医</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2人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卫生与健康管理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做好传染病防控、学生健康档案、卫生监督等。</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117"/>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医疗事务处理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药品管理规范，伤病处理及时，活动保障到位。</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37"/>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行政与值班</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完成医药费报销、平台操作、值班及外勤登记。</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317"/>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4.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完成上级和学校交办的其他工作。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637"/>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5</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弱电管理维修</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1人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网络、设备、监控维护</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学校网络、电脑、多媒体、监控等弱电设备运行正常。</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503"/>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广播系统管理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光华门校区运动场和会议室广播播放正常。</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27"/>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完成上级和学校交办的其他工作。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93"/>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6</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教务员</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1人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文印与广播服务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学校文印、广播播放工作按时保质完成。</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260"/>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相关教务工作</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妥善完成其他教务相关工作。</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1"/>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完成学校交代的其他工作。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411"/>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7</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实验员</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2人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实验室管理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实验室器材维护良好，危化品管理，环境整洁。</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450"/>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实验保障</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教师演示实验和学生分组实验保障有力。</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393"/>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完成学校交代的其他工作。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600"/>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8</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食堂管理员</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1人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日常运营管理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验菜、入库、平台录入、订菜、系统监控等流程规范准确。</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353"/>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周期账务管理</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周汇总、月对账、开发票、盘点等账目清晰无误。</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45"/>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完成上级和学校交办的其他工作（如合同录入）。</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547"/>
        </w:trPr>
        <w:tc>
          <w:tcPr>
            <w:tcBorders>
              <w:top w:val="none" w:color="000000" w:sz="4" w:space="0"/>
              <w:left w:val="single" w:color="000000" w:sz="8" w:space="0"/>
              <w:bottom w:val="none" w:color="000000" w:sz="4" w:space="0"/>
              <w:right w:val="single" w:color="000000" w:sz="8" w:space="0"/>
            </w:tcBorders>
            <w:tcW w:w="428"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9</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综合管理员</w:t>
            </w:r>
            <w:r/>
          </w:p>
        </w:tc>
        <w:tc>
          <w:tcPr>
            <w:tcBorders>
              <w:top w:val="none" w:color="000000" w:sz="4" w:space="0"/>
              <w:left w:val="none" w:color="000000" w:sz="4" w:space="0"/>
              <w:bottom w:val="none" w:color="000000" w:sz="4" w:space="0"/>
              <w:right w:val="single" w:color="000000" w:sz="8" w:space="0"/>
            </w:tcBorders>
            <w:tcW w:w="567" w:type="dxa"/>
            <w:vAlign w:val="center"/>
            <w:vMerge w:val="restart"/>
            <w:textDirection w:val="lrTb"/>
            <w:noWrap w:val="false"/>
          </w:tcPr>
          <w:p>
            <w:pPr>
              <w:rPr>
                <w:rFonts w:hint="eastAsia" w:ascii="宋体" w:hAnsi="宋体" w:eastAsia="宋体"/>
                <w:b/>
                <w:bCs/>
                <w:sz w:val="21"/>
                <w:szCs w:val="21"/>
              </w:rPr>
            </w:pPr>
            <w:r>
              <w:rPr>
                <w:rFonts w:hint="eastAsia" w:ascii="宋体" w:hAnsi="宋体" w:eastAsia="宋体"/>
                <w:b/>
                <w:bCs/>
                <w:sz w:val="21"/>
                <w:szCs w:val="21"/>
              </w:rPr>
              <w:t xml:space="preserve">2人</w:t>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1. 光华门校区综合岗</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物品保管发放、校区巡查、活动接待、食堂验菜及库房管理规范。</w:t>
            </w:r>
            <w:r/>
          </w:p>
        </w:tc>
        <w:tc>
          <w:tcPr>
            <w:tcBorders>
              <w:top w:val="none" w:color="000000" w:sz="4" w:space="0"/>
              <w:left w:val="none" w:color="000000" w:sz="4" w:space="0"/>
              <w:bottom w:val="none" w:color="000000" w:sz="4" w:space="0"/>
              <w:right w:val="single" w:color="000000" w:sz="8" w:space="0"/>
            </w:tcBorders>
            <w:tcW w:w="1393" w:type="dxa"/>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根据具体问题罚50-200元</w:t>
            </w:r>
            <w:r/>
          </w:p>
        </w:tc>
      </w:tr>
      <w:tr>
        <w:trPr>
          <w:jc w:val="center"/>
          <w:trHeight w:val="48"/>
        </w:trPr>
        <w:tc>
          <w:tcPr>
            <w:tcBorders>
              <w:top w:val="none" w:color="000000" w:sz="4" w:space="0"/>
              <w:left w:val="single" w:color="000000" w:sz="8" w:space="0"/>
              <w:bottom w:val="none" w:color="000000" w:sz="4"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none" w:color="000000" w:sz="4"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2. 本部综合岗</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分管场所保洁、设备保管与报修、会务接待、体艺楼安全巡视到位。</w:t>
            </w:r>
            <w:r/>
          </w:p>
        </w:tc>
        <w:tc>
          <w:tcPr>
            <w:tcBorders>
              <w:top w:val="none" w:color="000000" w:sz="4" w:space="0"/>
              <w:left w:val="none" w:color="000000" w:sz="4" w:space="0"/>
              <w:bottom w:val="none" w:color="000000" w:sz="4"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271"/>
        </w:trPr>
        <w:tc>
          <w:tcPr>
            <w:tcBorders>
              <w:top w:val="none" w:color="000000" w:sz="4" w:space="0"/>
              <w:left w:val="single" w:color="000000" w:sz="8" w:space="0"/>
              <w:bottom w:val="single" w:color="000000" w:sz="8" w:space="0"/>
              <w:right w:val="single" w:color="000000" w:sz="8" w:space="0"/>
            </w:tcBorders>
            <w:tcW w:w="428"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vMerge w:val="continue"/>
            <w:textDirection w:val="lrTb"/>
            <w:noWrap w:val="false"/>
          </w:tcPr>
          <w:p>
            <w:pPr>
              <w:rPr>
                <w:rFonts w:hint="eastAsia" w:ascii="宋体" w:hAnsi="宋体" w:eastAsia="宋体"/>
                <w:b/>
                <w:bCs/>
                <w:sz w:val="21"/>
                <w:szCs w:val="21"/>
              </w:rPr>
            </w:pPr>
            <w:r>
              <w:rPr>
                <w:rFonts w:hint="eastAsia" w:ascii="宋体" w:hAnsi="宋体" w:eastAsia="宋体"/>
                <w:b/>
                <w:bCs/>
                <w:sz w:val="21"/>
                <w:szCs w:val="21"/>
              </w:rPr>
            </w:r>
            <w:r/>
          </w:p>
        </w:tc>
        <w:tc>
          <w:tcPr>
            <w:tcBorders>
              <w:top w:val="none" w:color="000000" w:sz="4" w:space="0"/>
              <w:left w:val="none" w:color="000000" w:sz="4" w:space="0"/>
              <w:bottom w:val="single" w:color="000000" w:sz="8" w:space="0"/>
              <w:right w:val="single" w:color="000000" w:sz="8" w:space="0"/>
            </w:tcBorders>
            <w:tcW w:w="212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3. 外勤与临时任务</w:t>
            </w:r>
            <w:r/>
          </w:p>
        </w:tc>
        <w:tc>
          <w:tcPr>
            <w:tcBorders>
              <w:top w:val="none" w:color="000000" w:sz="4" w:space="0"/>
              <w:left w:val="none" w:color="000000" w:sz="4" w:space="0"/>
              <w:bottom w:val="single" w:color="000000" w:sz="8" w:space="0"/>
              <w:right w:val="single" w:color="000000" w:sz="8" w:space="0"/>
            </w:tcBorders>
            <w:tcW w:w="495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外勤登记，完成上级和学校交办的其他工作。</w:t>
            </w:r>
            <w:r/>
          </w:p>
        </w:tc>
        <w:tc>
          <w:tcPr>
            <w:tcBorders>
              <w:top w:val="none" w:color="000000" w:sz="4" w:space="0"/>
              <w:left w:val="none" w:color="000000" w:sz="4" w:space="0"/>
              <w:bottom w:val="single" w:color="000000" w:sz="8" w:space="0"/>
              <w:right w:val="single" w:color="000000" w:sz="8" w:space="0"/>
            </w:tcBorders>
            <w:tcW w:w="1393" w:type="dxa"/>
            <w:vAlign w:val="center"/>
            <w:vMerge w:val="continue"/>
            <w:textDirection w:val="lrTb"/>
            <w:noWrap w:val="false"/>
          </w:tcPr>
          <w:p>
            <w:pPr>
              <w:rPr>
                <w:rFonts w:hint="eastAsia" w:ascii="宋体" w:hAnsi="宋体" w:eastAsia="宋体"/>
                <w:sz w:val="21"/>
                <w:szCs w:val="21"/>
              </w:rPr>
            </w:pPr>
            <w:r>
              <w:rPr>
                <w:rFonts w:hint="eastAsia" w:ascii="宋体" w:hAnsi="宋体" w:eastAsia="宋体"/>
                <w:sz w:val="21"/>
                <w:szCs w:val="21"/>
              </w:rPr>
            </w:r>
            <w:r/>
          </w:p>
        </w:tc>
      </w:tr>
      <w:tr>
        <w:trPr>
          <w:jc w:val="center"/>
          <w:trHeight w:val="1337"/>
        </w:trPr>
        <w:tc>
          <w:tcPr>
            <w:gridSpan w:val="5"/>
            <w:tcBorders>
              <w:top w:val="none" w:color="000000" w:sz="4" w:space="0"/>
              <w:left w:val="single" w:color="000000" w:sz="8" w:space="0"/>
              <w:bottom w:val="single" w:color="000000" w:sz="8" w:space="0"/>
              <w:right w:val="single" w:color="000000" w:sz="8" w:space="0"/>
            </w:tcBorders>
            <w:tcW w:w="8638" w:type="dxa"/>
            <w:vAlign w:val="center"/>
            <w:textDirection w:val="lrTb"/>
            <w:noWrap w:val="false"/>
          </w:tcPr>
          <w:p>
            <w:pPr>
              <w:rPr>
                <w:rFonts w:ascii="宋体" w:hAnsi="宋体" w:eastAsia="宋体"/>
                <w:b w:val="0"/>
                <w:bCs w:val="0"/>
                <w:sz w:val="21"/>
                <w:szCs w:val="21"/>
                <w:lang w:val="en-US"/>
              </w:rPr>
            </w:pPr>
            <w:r>
              <w:rPr>
                <w:rFonts w:hint="eastAsia" w:ascii="宋体" w:hAnsi="宋体" w:eastAsia="宋体"/>
                <w:b w:val="0"/>
                <w:bCs w:val="0"/>
                <w:sz w:val="21"/>
                <w:szCs w:val="21"/>
                <w:lang w:eastAsia="zh-CN"/>
              </w:rPr>
              <w:t xml:space="preserve">（</w:t>
            </w:r>
            <w:r>
              <w:rPr>
                <w:rFonts w:hint="eastAsia" w:ascii="宋体" w:hAnsi="宋体" w:eastAsia="宋体"/>
                <w:b w:val="0"/>
                <w:bCs w:val="0"/>
                <w:sz w:val="21"/>
                <w:szCs w:val="21"/>
                <w:lang w:val="en-US" w:eastAsia="zh-CN"/>
              </w:rPr>
              <w:t xml:space="preserve">1）工作表现</w:t>
            </w:r>
            <w:r>
              <w:rPr>
                <w:rFonts w:hint="eastAsia" w:ascii="宋体" w:hAnsi="宋体" w:eastAsia="宋体"/>
                <w:b w:val="0"/>
                <w:bCs w:val="0"/>
                <w:sz w:val="21"/>
                <w:szCs w:val="21"/>
              </w:rPr>
              <w:t xml:space="preserve">优异</w:t>
            </w:r>
            <w:r>
              <w:rPr>
                <w:rFonts w:hint="eastAsia" w:ascii="宋体" w:hAnsi="宋体" w:eastAsia="宋体"/>
                <w:b w:val="0"/>
                <w:bCs w:val="0"/>
                <w:sz w:val="21"/>
                <w:szCs w:val="21"/>
                <w:lang w:eastAsia="zh-CN"/>
              </w:rPr>
              <w:t xml:space="preserve">，</w:t>
            </w:r>
            <w:r>
              <w:rPr>
                <w:rFonts w:hint="eastAsia" w:ascii="宋体" w:hAnsi="宋体" w:eastAsia="宋体"/>
                <w:b w:val="0"/>
                <w:bCs w:val="0"/>
                <w:sz w:val="21"/>
                <w:szCs w:val="21"/>
                <w:lang w:val="en-US" w:eastAsia="zh-CN"/>
              </w:rPr>
              <w:t xml:space="preserve">受到师生好评或上级表扬表彰；</w:t>
            </w:r>
            <w:r/>
          </w:p>
          <w:p>
            <w:pPr>
              <w:rPr>
                <w:rFonts w:hint="eastAsia" w:ascii="宋体" w:hAnsi="宋体" w:eastAsia="宋体"/>
                <w:sz w:val="21"/>
                <w:szCs w:val="21"/>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2）处理突发事件得当，减少学校损失或赢得良好声誉</w:t>
            </w:r>
            <w:r>
              <w:rPr>
                <w:rFonts w:hint="eastAsia" w:ascii="宋体" w:hAnsi="宋体" w:eastAsia="宋体"/>
                <w:sz w:val="21"/>
                <w:szCs w:val="21"/>
              </w:rPr>
              <w:t xml:space="preserve">。</w:t>
            </w:r>
            <w:r/>
          </w:p>
        </w:tc>
        <w:tc>
          <w:tcPr>
            <w:tcBorders>
              <w:top w:val="none" w:color="000000" w:sz="4" w:space="0"/>
              <w:left w:val="none" w:color="000000" w:sz="4" w:space="0"/>
              <w:bottom w:val="single" w:color="000000" w:sz="8" w:space="0"/>
              <w:right w:val="single" w:color="000000" w:sz="8" w:space="0"/>
            </w:tcBorders>
            <w:tcW w:w="1393"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奖励50-2000元</w:t>
            </w:r>
            <w:r/>
          </w:p>
        </w:tc>
      </w:tr>
    </w:tbl>
    <w:p>
      <w:pPr>
        <w:rPr>
          <w:rFonts w:hint="eastAsia" w:ascii="宋体" w:hAnsi="宋体" w:eastAsia="宋体"/>
          <w:sz w:val="21"/>
          <w:szCs w:val="21"/>
        </w:rPr>
      </w:pPr>
      <w:r>
        <w:rPr>
          <w:rFonts w:hint="eastAsia" w:ascii="宋体" w:hAnsi="宋体" w:eastAsia="宋体"/>
          <w:sz w:val="21"/>
          <w:szCs w:val="21"/>
        </w:rPr>
      </w:r>
      <w:r/>
    </w:p>
    <w:p>
      <w:pPr>
        <w:rPr>
          <w:rFonts w:hint="eastAsia" w:ascii="宋体" w:hAnsi="宋体" w:eastAsia="宋体"/>
          <w:sz w:val="15"/>
          <w:szCs w:val="15"/>
        </w:rPr>
      </w:pPr>
      <w:r>
        <w:rPr>
          <w:rFonts w:hint="eastAsia" w:ascii="宋体" w:hAnsi="宋体" w:eastAsia="宋体"/>
          <w:sz w:val="15"/>
          <w:szCs w:val="15"/>
        </w:rPr>
      </w:r>
      <w:r/>
    </w:p>
    <w:p>
      <w:pPr>
        <w:pStyle w:val="702"/>
        <w:numPr>
          <w:ilvl w:val="0"/>
          <w:numId w:val="0"/>
        </w:numPr>
        <w:ind w:left="420"/>
        <w:rPr>
          <w:rFonts w:hint="eastAsia"/>
          <w:lang w:val="en-US" w:eastAsia="zh-CN"/>
        </w:rPr>
      </w:pPr>
      <w:r>
        <w:rPr>
          <w:rFonts w:hint="eastAsia"/>
          <w:lang w:val="en-US" w:eastAsia="zh-CN"/>
        </w:rPr>
      </w:r>
      <w:r/>
    </w:p>
    <w:p>
      <w:pPr>
        <w:numPr>
          <w:ilvl w:val="0"/>
          <w:numId w:val="0"/>
        </w:numPr>
        <w:ind w:firstLine="0"/>
        <w:spacing w:line="264" w:lineRule="auto"/>
        <w:rPr>
          <w:rFonts w:hint="eastAsia" w:ascii="宋体" w:hAnsi="宋体" w:cs="宋体"/>
          <w:sz w:val="24"/>
          <w:szCs w:val="24"/>
        </w:rPr>
      </w:pPr>
      <w:r>
        <w:rPr>
          <w:rFonts w:hint="eastAsia" w:ascii="宋体" w:hAnsi="宋体" w:cs="宋体"/>
          <w:sz w:val="24"/>
          <w:szCs w:val="24"/>
          <w:lang w:val="en-US" w:eastAsia="zh-CN"/>
        </w:rPr>
        <w:t xml:space="preserve">附件2.</w:t>
      </w:r>
      <w:r>
        <w:rPr>
          <w:rFonts w:hint="eastAsia" w:ascii="宋体" w:hAnsi="宋体" w:cs="宋体"/>
          <w:sz w:val="24"/>
          <w:szCs w:val="24"/>
        </w:rPr>
        <w:t xml:space="preserve">满意度调查</w:t>
      </w:r>
      <w:r/>
    </w:p>
    <w:p>
      <w:pPr>
        <w:jc w:val="center"/>
        <w:rPr>
          <w:rFonts w:ascii="宋体" w:hAnsi="宋体"/>
          <w:b/>
          <w:bCs/>
          <w:sz w:val="28"/>
          <w:szCs w:val="28"/>
        </w:rPr>
      </w:pPr>
      <w:r/>
      <w:bookmarkStart w:id="67" w:name="_Hlk215674568"/>
      <w:r>
        <w:rPr>
          <w:rFonts w:ascii="宋体" w:hAnsi="宋体"/>
          <w:b/>
          <w:bCs/>
          <w:sz w:val="28"/>
          <w:szCs w:val="28"/>
        </w:rPr>
        <w:t xml:space="preserve">物业管理服务满意度调查表</w:t>
      </w:r>
      <w:r/>
    </w:p>
    <w:p>
      <w:pPr>
        <w:jc w:val="left"/>
        <w:spacing w:after="160" w:line="278" w:lineRule="auto"/>
        <w:rPr>
          <w:rFonts w:ascii="宋体" w:hAnsi="宋体"/>
          <w:szCs w:val="21"/>
        </w:rPr>
      </w:pPr>
      <w:r>
        <w:rPr>
          <w:rFonts w:ascii="宋体" w:hAnsi="宋体"/>
          <w:szCs w:val="21"/>
        </w:rPr>
        <w:t xml:space="preserve">尊敬的老师/同学：</w:t>
      </w:r>
      <w:r/>
    </w:p>
    <w:p>
      <w:pPr>
        <w:ind w:firstLine="420"/>
        <w:jc w:val="left"/>
        <w:spacing w:after="160" w:line="278" w:lineRule="auto"/>
        <w:rPr>
          <w:rFonts w:ascii="宋体" w:hAnsi="宋体"/>
          <w:szCs w:val="21"/>
        </w:rPr>
      </w:pPr>
      <w:r>
        <w:rPr>
          <w:rFonts w:ascii="宋体" w:hAnsi="宋体"/>
          <w:szCs w:val="21"/>
        </w:rPr>
        <w:t xml:space="preserve">为持续提升本校物业管理服务</w:t>
      </w:r>
      <w:r>
        <w:rPr>
          <w:rFonts w:hint="eastAsia" w:ascii="宋体" w:hAnsi="宋体"/>
          <w:szCs w:val="21"/>
        </w:rPr>
        <w:t xml:space="preserve">（含保洁服务、宿舍管理、校医服务、信息保障、教务服务、实验服务、会议及活动支持等）的</w:t>
      </w:r>
      <w:r>
        <w:rPr>
          <w:rFonts w:ascii="宋体" w:hAnsi="宋体"/>
          <w:szCs w:val="21"/>
        </w:rPr>
        <w:t xml:space="preserve">水平，恳请您根据近期体验填写本表。感谢您的支持！</w:t>
      </w:r>
      <w:r/>
    </w:p>
    <w:p>
      <w:pPr>
        <w:jc w:val="left"/>
        <w:spacing w:after="160" w:line="278" w:lineRule="auto"/>
        <w:rPr>
          <w:rFonts w:ascii="宋体" w:hAnsi="宋体"/>
          <w:szCs w:val="21"/>
        </w:rPr>
      </w:pPr>
      <w:r>
        <w:rPr>
          <w:rFonts w:ascii="宋体" w:hAnsi="宋体"/>
          <w:szCs w:val="21"/>
        </w:rPr>
        <w:t xml:space="preserve">所在校区： □ 蓝旗街校区 □ 光华门校区</w:t>
      </w:r>
      <w:r/>
    </w:p>
    <w:p>
      <w:pPr>
        <w:jc w:val="left"/>
        <w:spacing w:after="160" w:line="278" w:lineRule="auto"/>
        <w:rPr>
          <w:rFonts w:ascii="宋体" w:hAnsi="宋体"/>
          <w:szCs w:val="21"/>
        </w:rPr>
      </w:pPr>
      <w:r>
        <w:rPr>
          <w:rFonts w:ascii="宋体" w:hAnsi="宋体"/>
          <w:szCs w:val="21"/>
        </w:rPr>
        <w:t xml:space="preserve">身份： □ 学生 □ 教师 □ 行政人员 □ 其他</w:t>
      </w:r>
      <w:r/>
    </w:p>
    <w:p>
      <w:pPr>
        <w:pStyle w:val="702"/>
        <w:rPr>
          <w:rFonts w:hint="eastAsia"/>
        </w:rPr>
      </w:pPr>
      <w:r>
        <w:rPr>
          <w:rFonts w:hint="eastAsia"/>
        </w:rPr>
      </w:r>
      <w:r/>
    </w:p>
    <w:tbl>
      <w:tblPr>
        <w:tblStyle w:val="701"/>
        <w:tblW w:w="78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936"/>
        <w:gridCol w:w="1002"/>
        <w:gridCol w:w="1236"/>
        <w:gridCol w:w="1002"/>
        <w:gridCol w:w="1236"/>
        <w:gridCol w:w="1470"/>
      </w:tblGrid>
      <w:tr>
        <w:trPr>
          <w:jc w:val="center"/>
          <w:trHeight w:val="350"/>
          <w:tblHeader/>
        </w:trPr>
        <w:tc>
          <w:tcPr>
            <w:tcMar>
              <w:left w:w="240" w:type="dxa"/>
              <w:top w:w="150" w:type="dxa"/>
              <w:right w:w="240" w:type="dxa"/>
              <w:bottom w:w="150" w:type="dxa"/>
            </w:tcMar>
            <w:tcW w:w="1936"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评价项目</w:t>
            </w:r>
            <w:r/>
          </w:p>
        </w:tc>
        <w:tc>
          <w:tcPr>
            <w:tcMar>
              <w:left w:w="240" w:type="dxa"/>
              <w:top w:w="150" w:type="dxa"/>
              <w:right w:w="240" w:type="dxa"/>
              <w:bottom w:w="150" w:type="dxa"/>
            </w:tcMar>
            <w:tcW w:w="1002"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满意</w:t>
            </w:r>
            <w:r/>
          </w:p>
        </w:tc>
        <w:tc>
          <w:tcPr>
            <w:tcMar>
              <w:left w:w="240" w:type="dxa"/>
              <w:top w:w="150" w:type="dxa"/>
              <w:right w:w="240" w:type="dxa"/>
              <w:bottom w:w="150" w:type="dxa"/>
            </w:tcMar>
            <w:tcW w:w="1236"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较满意</w:t>
            </w:r>
            <w:r/>
          </w:p>
        </w:tc>
        <w:tc>
          <w:tcPr>
            <w:tcMar>
              <w:left w:w="240" w:type="dxa"/>
              <w:top w:w="150" w:type="dxa"/>
              <w:right w:w="240" w:type="dxa"/>
              <w:bottom w:w="150" w:type="dxa"/>
            </w:tcMar>
            <w:tcW w:w="1002"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一般</w:t>
            </w:r>
            <w:r/>
          </w:p>
        </w:tc>
        <w:tc>
          <w:tcPr>
            <w:tcMar>
              <w:left w:w="240" w:type="dxa"/>
              <w:top w:w="150" w:type="dxa"/>
              <w:right w:w="240" w:type="dxa"/>
              <w:bottom w:w="150" w:type="dxa"/>
            </w:tcMar>
            <w:tcW w:w="1236"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不满意</w:t>
            </w:r>
            <w:r/>
          </w:p>
        </w:tc>
        <w:tc>
          <w:tcPr>
            <w:tcMar>
              <w:left w:w="240" w:type="dxa"/>
              <w:top w:w="150" w:type="dxa"/>
              <w:right w:w="240" w:type="dxa"/>
              <w:bottom w:w="150" w:type="dxa"/>
            </w:tcMar>
            <w:tcW w:w="1470"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很不满意</w:t>
            </w:r>
            <w:r/>
          </w:p>
        </w:tc>
      </w:tr>
      <w:tr>
        <w:trPr>
          <w:jc w:val="center"/>
          <w:trHeight w:val="337"/>
        </w:trPr>
        <w:tc>
          <w:tcPr>
            <w:tcMar>
              <w:left w:w="240" w:type="dxa"/>
              <w:top w:w="150" w:type="dxa"/>
              <w:right w:w="240" w:type="dxa"/>
              <w:bottom w:w="150" w:type="dxa"/>
            </w:tcMar>
            <w:tcW w:w="1936" w:type="dxa"/>
            <w:vAlign w:val="center"/>
            <w:textDirection w:val="lrTb"/>
            <w:noWrap w:val="false"/>
          </w:tcPr>
          <w:p>
            <w:pPr>
              <w:jc w:val="left"/>
              <w:spacing w:after="160" w:line="278" w:lineRule="auto"/>
              <w:rPr>
                <w:rFonts w:hint="eastAsia" w:ascii="宋体" w:hAnsi="宋体"/>
                <w:szCs w:val="21"/>
              </w:rPr>
            </w:pPr>
            <w:r>
              <w:rPr>
                <w:rFonts w:hint="eastAsia" w:ascii="宋体" w:hAnsi="宋体"/>
                <w:szCs w:val="21"/>
              </w:rPr>
              <w:t xml:space="preserve">物业管理服务</w:t>
            </w:r>
            <w:r/>
          </w:p>
        </w:tc>
        <w:tc>
          <w:tcPr>
            <w:tcMar>
              <w:left w:w="240" w:type="dxa"/>
              <w:top w:w="150" w:type="dxa"/>
              <w:right w:w="240" w:type="dxa"/>
              <w:bottom w:w="150" w:type="dxa"/>
            </w:tcMar>
            <w:tcW w:w="1002"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w:t>
            </w:r>
            <w:r/>
          </w:p>
        </w:tc>
        <w:tc>
          <w:tcPr>
            <w:tcMar>
              <w:left w:w="240" w:type="dxa"/>
              <w:top w:w="150" w:type="dxa"/>
              <w:right w:w="240" w:type="dxa"/>
              <w:bottom w:w="150" w:type="dxa"/>
            </w:tcMar>
            <w:tcW w:w="1236"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w:t>
            </w:r>
            <w:r/>
          </w:p>
        </w:tc>
        <w:tc>
          <w:tcPr>
            <w:tcMar>
              <w:left w:w="240" w:type="dxa"/>
              <w:top w:w="150" w:type="dxa"/>
              <w:right w:w="240" w:type="dxa"/>
              <w:bottom w:w="150" w:type="dxa"/>
            </w:tcMar>
            <w:tcW w:w="1002"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w:t>
            </w:r>
            <w:r/>
          </w:p>
        </w:tc>
        <w:tc>
          <w:tcPr>
            <w:tcMar>
              <w:left w:w="240" w:type="dxa"/>
              <w:top w:w="150" w:type="dxa"/>
              <w:right w:w="240" w:type="dxa"/>
              <w:bottom w:w="150" w:type="dxa"/>
            </w:tcMar>
            <w:tcW w:w="1236"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w:t>
            </w:r>
            <w:r/>
          </w:p>
        </w:tc>
        <w:tc>
          <w:tcPr>
            <w:tcMar>
              <w:left w:w="240" w:type="dxa"/>
              <w:top w:w="150" w:type="dxa"/>
              <w:right w:w="0" w:type="dxa"/>
              <w:bottom w:w="150" w:type="dxa"/>
            </w:tcMar>
            <w:tcW w:w="1470" w:type="dxa"/>
            <w:vAlign w:val="center"/>
            <w:textDirection w:val="lrTb"/>
            <w:noWrap w:val="false"/>
          </w:tcPr>
          <w:p>
            <w:pPr>
              <w:jc w:val="left"/>
              <w:spacing w:after="160" w:line="278" w:lineRule="auto"/>
              <w:rPr>
                <w:rFonts w:hint="eastAsia" w:ascii="宋体" w:hAnsi="宋体"/>
                <w:szCs w:val="21"/>
              </w:rPr>
            </w:pPr>
            <w:r>
              <w:rPr>
                <w:rFonts w:ascii="宋体" w:hAnsi="宋体"/>
                <w:szCs w:val="21"/>
              </w:rPr>
              <w:t xml:space="preserve">□</w:t>
            </w:r>
            <w:r/>
          </w:p>
        </w:tc>
      </w:tr>
    </w:tbl>
    <w:p>
      <w:pPr>
        <w:jc w:val="left"/>
        <w:spacing w:after="160" w:line="278" w:lineRule="auto"/>
        <w:rPr>
          <w:rFonts w:ascii="宋体" w:hAnsi="宋体"/>
          <w:szCs w:val="21"/>
        </w:rPr>
      </w:pPr>
      <w:r>
        <w:rPr>
          <w:rFonts w:ascii="宋体" w:hAnsi="宋体"/>
          <w:szCs w:val="21"/>
        </w:rPr>
      </w:r>
      <w:r/>
    </w:p>
    <w:p>
      <w:pPr>
        <w:jc w:val="left"/>
        <w:spacing w:after="160" w:line="278" w:lineRule="auto"/>
        <w:rPr>
          <w:rFonts w:ascii="宋体" w:hAnsi="宋体"/>
          <w:szCs w:val="21"/>
        </w:rPr>
      </w:pPr>
      <w:r>
        <w:rPr>
          <w:rFonts w:ascii="宋体" w:hAnsi="宋体"/>
          <w:szCs w:val="21"/>
        </w:rPr>
      </w:r>
      <w:r/>
    </w:p>
    <w:p>
      <w:pPr>
        <w:jc w:val="right"/>
        <w:spacing w:after="160" w:line="278" w:lineRule="auto"/>
        <w:rPr>
          <w:rFonts w:ascii="宋体" w:hAnsi="宋体"/>
          <w:szCs w:val="21"/>
        </w:rPr>
      </w:pPr>
      <w:r>
        <w:rPr>
          <w:rFonts w:ascii="宋体" w:hAnsi="宋体"/>
          <w:szCs w:val="21"/>
        </w:rPr>
        <w:t xml:space="preserve">日期： ____年__月__日</w:t>
      </w:r>
      <w:bookmarkEnd w:id="67"/>
      <w:r/>
      <w:r/>
    </w:p>
    <w:p>
      <w:pPr>
        <w:rPr>
          <w:rFonts w:hint="eastAsia" w:ascii="宋体" w:hAnsi="宋体"/>
          <w:sz w:val="15"/>
          <w:szCs w:val="15"/>
        </w:rPr>
      </w:pPr>
      <w:r>
        <w:rPr>
          <w:rFonts w:hint="eastAsia" w:ascii="宋体" w:hAnsi="宋体"/>
          <w:sz w:val="15"/>
          <w:szCs w:val="15"/>
        </w:rPr>
      </w:r>
      <w:r/>
    </w:p>
    <w:p>
      <w:pPr>
        <w:jc w:val="center"/>
        <w:keepNext/>
        <w:rPr>
          <w:rFonts w:hint="eastAsia" w:ascii="黑体" w:hAnsi="Times New Roman" w:eastAsia="黑体"/>
          <w:bCs/>
          <w:sz w:val="44"/>
          <w:szCs w:val="28"/>
        </w:rPr>
        <w:outlineLvl w:val="0"/>
      </w:pPr>
      <w:r>
        <w:rPr>
          <w:rFonts w:hint="eastAsia" w:ascii="黑体" w:hAnsi="Times New Roman" w:eastAsia="黑体"/>
          <w:bCs/>
          <w:color w:val="000000"/>
          <w:sz w:val="44"/>
          <w:szCs w:val="28"/>
        </w:rPr>
        <w:br w:type="page" w:clear="all"/>
      </w:r>
      <w:bookmarkStart w:id="78" w:name="_GoBack"/>
      <w:r/>
      <w:bookmarkEnd w:id="78"/>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p>
    <w:p>
      <w:pPr>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w:t>
      </w:r>
      <w:r>
        <w:rPr>
          <w:rFonts w:hint="eastAsia" w:ascii="宋体" w:hAnsi="宋体" w:eastAsia="宋体" w:cs="宋体"/>
          <w:color w:val="000000"/>
          <w:sz w:val="24"/>
          <w:szCs w:val="24"/>
        </w:rPr>
        <w:t xml:space="preserve">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2.2-2.6</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p>
    <w:tbl>
      <w:tblPr>
        <w:tblStyle w:val="999"/>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8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spacing w:val="1"/>
                <w:szCs w:val="21"/>
              </w:rPr>
              <w:t xml:space="preserve">采用低价优先</w:t>
            </w:r>
            <w:r>
              <w:rPr>
                <w:rFonts w:ascii="宋体" w:hAnsi="宋体" w:eastAsia="宋体" w:cs="宋体"/>
                <w:szCs w:val="21"/>
              </w:rPr>
              <w:t xml:space="preserve">法计算</w:t>
            </w:r>
            <w:r>
              <w:rPr>
                <w:rFonts w:hint="eastAsia" w:ascii="宋体" w:hAnsi="宋体" w:eastAsia="宋体" w:cs="宋体"/>
                <w:szCs w:val="21"/>
                <w:lang w:eastAsia="zh-CN"/>
              </w:rPr>
              <w:t xml:space="preserve">，</w:t>
            </w:r>
            <w:r>
              <w:rPr>
                <w:rFonts w:ascii="宋体" w:hAnsi="宋体" w:eastAsia="宋体" w:cs="宋体"/>
                <w:szCs w:val="21"/>
              </w:rPr>
              <w:t xml:space="preserve">即满足</w:t>
            </w:r>
            <w:r>
              <w:rPr>
                <w:rFonts w:hint="eastAsia" w:ascii="宋体" w:hAnsi="宋体" w:eastAsia="宋体" w:cs="宋体"/>
                <w:szCs w:val="21"/>
                <w:lang w:eastAsia="zh-CN"/>
              </w:rPr>
              <w:t xml:space="preserve">采购</w:t>
            </w:r>
            <w:r>
              <w:rPr>
                <w:rFonts w:ascii="宋体" w:hAnsi="宋体" w:eastAsia="宋体" w:cs="宋体"/>
                <w:szCs w:val="21"/>
              </w:rPr>
              <w:t xml:space="preserve">文件要求且</w:t>
            </w:r>
            <w:r>
              <w:rPr>
                <w:rFonts w:hint="eastAsia" w:ascii="宋体" w:hAnsi="宋体" w:eastAsia="宋体" w:cs="宋体"/>
                <w:szCs w:val="21"/>
                <w:lang w:eastAsia="zh-CN"/>
              </w:rPr>
              <w:t xml:space="preserve">最终报价</w:t>
            </w:r>
            <w:r>
              <w:rPr>
                <w:rFonts w:ascii="宋体" w:hAnsi="宋体" w:eastAsia="宋体" w:cs="宋体"/>
                <w:szCs w:val="21"/>
              </w:rPr>
              <w:t xml:space="preserve">最低的</w:t>
            </w:r>
            <w:r>
              <w:rPr>
                <w:rFonts w:hint="eastAsia" w:ascii="宋体" w:hAnsi="宋体" w:eastAsia="宋体" w:cs="宋体"/>
                <w:szCs w:val="21"/>
                <w:lang w:eastAsia="zh-CN"/>
              </w:rPr>
              <w:t xml:space="preserve">供应商</w:t>
            </w:r>
            <w:r>
              <w:rPr>
                <w:rFonts w:ascii="宋体" w:hAnsi="宋体" w:eastAsia="宋体" w:cs="宋体"/>
                <w:spacing w:val="1"/>
                <w:szCs w:val="21"/>
              </w:rPr>
              <w:t xml:space="preserve">报价为评标基准</w:t>
            </w:r>
            <w:r>
              <w:rPr>
                <w:rFonts w:ascii="宋体" w:hAnsi="宋体" w:eastAsia="宋体" w:cs="宋体"/>
                <w:szCs w:val="21"/>
              </w:rPr>
              <w:t xml:space="preserve">价</w:t>
            </w:r>
            <w:r>
              <w:rPr>
                <w:rFonts w:hint="eastAsia" w:ascii="宋体" w:hAnsi="宋体" w:eastAsia="宋体" w:cs="宋体"/>
                <w:szCs w:val="21"/>
                <w:lang w:eastAsia="zh-CN"/>
              </w:rPr>
              <w:t xml:space="preserve">，</w:t>
            </w:r>
            <w:r>
              <w:rPr>
                <w:rFonts w:ascii="宋体" w:hAnsi="宋体" w:eastAsia="宋体" w:cs="宋体"/>
                <w:szCs w:val="21"/>
              </w:rPr>
              <w:t xml:space="preserve">其价格分为满分。其他</w:t>
            </w:r>
            <w:r>
              <w:rPr>
                <w:rFonts w:hint="eastAsia" w:ascii="宋体" w:hAnsi="宋体" w:eastAsia="宋体" w:cs="宋体"/>
                <w:szCs w:val="21"/>
                <w:lang w:eastAsia="zh-CN"/>
              </w:rPr>
              <w:t xml:space="preserve">供应商</w:t>
            </w:r>
            <w:r>
              <w:rPr>
                <w:rFonts w:ascii="宋体" w:hAnsi="宋体" w:eastAsia="宋体" w:cs="宋体"/>
                <w:szCs w:val="21"/>
              </w:rPr>
              <w:t xml:space="preserve">的价格分统一按</w:t>
            </w:r>
            <w:r>
              <w:rPr>
                <w:rFonts w:ascii="宋体" w:hAnsi="宋体" w:eastAsia="宋体" w:cs="宋体"/>
                <w:spacing w:val="-1"/>
                <w:szCs w:val="21"/>
              </w:rPr>
              <w:t xml:space="preserve">照下列公</w:t>
            </w:r>
            <w:r>
              <w:rPr>
                <w:rFonts w:ascii="宋体" w:hAnsi="宋体" w:eastAsia="宋体" w:cs="宋体"/>
                <w:szCs w:val="21"/>
              </w:rPr>
              <w:t xml:space="preserve">式计算：报价得分=(评标基准价/</w:t>
            </w:r>
            <w:r>
              <w:rPr>
                <w:rFonts w:hint="eastAsia" w:ascii="宋体" w:hAnsi="宋体" w:eastAsia="宋体" w:cs="宋体"/>
                <w:szCs w:val="21"/>
                <w:lang w:eastAsia="zh-CN"/>
              </w:rPr>
              <w:t xml:space="preserve">最终</w:t>
            </w:r>
            <w:r>
              <w:rPr>
                <w:rFonts w:ascii="宋体" w:hAnsi="宋体" w:eastAsia="宋体" w:cs="宋体"/>
                <w:szCs w:val="21"/>
              </w:rPr>
              <w:t xml:space="preserve">报价)×</w:t>
            </w:r>
            <w:r>
              <w:rPr>
                <w:rFonts w:hint="eastAsia" w:ascii="宋体" w:hAnsi="宋体" w:eastAsia="宋体" w:cs="宋体"/>
                <w:szCs w:val="21"/>
                <w:lang w:val="en-US" w:eastAsia="zh-CN"/>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8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服务方案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提供的服务方案</w:t>
            </w:r>
            <w:r>
              <w:rPr>
                <w:rFonts w:hint="eastAsia" w:ascii="宋体" w:hAnsi="宋体" w:eastAsia="宋体" w:cs="宋体"/>
                <w:color w:val="000000"/>
                <w:sz w:val="21"/>
                <w:szCs w:val="21"/>
                <w:lang w:val="en-US" w:eastAsia="zh-CN" w:bidi="ar-SA"/>
              </w:rPr>
              <w:t xml:space="preserve">综合评分，包含：1.</w:t>
            </w:r>
            <w:r>
              <w:rPr>
                <w:rFonts w:ascii="宋体" w:hAnsi="宋体" w:eastAsia="宋体" w:cs="宋体"/>
                <w:color w:val="000000"/>
                <w:sz w:val="21"/>
                <w:szCs w:val="21"/>
                <w:lang w:val="en-US" w:eastAsia="zh-CN" w:bidi="ar-SA"/>
              </w:rPr>
              <w:t xml:space="preserve">保洁服务内容、工作计划、质量标准，以及本项目重点、难点把控</w:t>
            </w:r>
            <w:r>
              <w:rPr>
                <w:rFonts w:hint="eastAsia" w:ascii="宋体" w:hAnsi="宋体" w:eastAsia="宋体" w:cs="宋体"/>
                <w:color w:val="000000"/>
                <w:sz w:val="21"/>
                <w:szCs w:val="21"/>
                <w:lang w:val="en-US" w:eastAsia="zh-CN" w:bidi="ar-SA"/>
              </w:rPr>
              <w:t xml:space="preserve">；2.弱电管理维修</w:t>
            </w:r>
            <w:r>
              <w:rPr>
                <w:rFonts w:ascii="宋体" w:hAnsi="宋体" w:eastAsia="宋体" w:cs="宋体"/>
                <w:color w:val="000000"/>
                <w:sz w:val="21"/>
                <w:szCs w:val="21"/>
                <w:lang w:val="en-US" w:eastAsia="zh-CN" w:bidi="ar-SA"/>
              </w:rPr>
              <w:t xml:space="preserve">服务内容、工作计划、质量标准，以及本项目重点、难点把控</w:t>
            </w:r>
            <w:r>
              <w:rPr>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较完善、针对性较强、重点难点把握较准确、措施较有力的，得2分； </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上述每项内容基本</w:t>
            </w:r>
            <w:r>
              <w:rPr>
                <w:rFonts w:ascii="宋体" w:hAnsi="宋体" w:eastAsia="宋体" w:cs="宋体"/>
                <w:color w:val="000000"/>
                <w:sz w:val="21"/>
                <w:szCs w:val="21"/>
                <w:lang w:val="en-US" w:eastAsia="zh-CN" w:bidi="ar-SA"/>
              </w:rPr>
              <w:t xml:space="preserve">完善、</w:t>
            </w:r>
            <w:r>
              <w:rPr>
                <w:rFonts w:hint="eastAsia" w:ascii="宋体" w:hAnsi="宋体" w:eastAsia="宋体" w:cs="宋体"/>
                <w:color w:val="000000"/>
                <w:sz w:val="21"/>
                <w:szCs w:val="21"/>
                <w:lang w:val="en-US" w:eastAsia="zh-CN" w:bidi="ar-SA"/>
              </w:rPr>
              <w:t xml:space="preserve">具备一定的</w:t>
            </w:r>
            <w:r>
              <w:rPr>
                <w:rFonts w:ascii="宋体" w:hAnsi="宋体" w:eastAsia="宋体" w:cs="宋体"/>
                <w:color w:val="000000"/>
                <w:sz w:val="21"/>
                <w:szCs w:val="21"/>
                <w:lang w:val="en-US" w:eastAsia="zh-CN" w:bidi="ar-SA"/>
              </w:rPr>
              <w:t xml:space="preserve">针对性、重点难点把握</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准确、措施</w:t>
            </w:r>
            <w:r>
              <w:rPr>
                <w:rFonts w:hint="eastAsia" w:ascii="宋体" w:hAnsi="宋体" w:eastAsia="宋体" w:cs="宋体"/>
                <w:color w:val="000000"/>
                <w:sz w:val="21"/>
                <w:szCs w:val="21"/>
                <w:lang w:val="en-US" w:eastAsia="zh-CN" w:bidi="ar-SA"/>
              </w:rPr>
              <w:t xml:space="preserve">基本</w:t>
            </w:r>
            <w:r>
              <w:rPr>
                <w:rFonts w:ascii="宋体" w:hAnsi="宋体" w:eastAsia="宋体" w:cs="宋体"/>
                <w:color w:val="000000"/>
                <w:sz w:val="21"/>
                <w:szCs w:val="21"/>
                <w:lang w:val="en-US" w:eastAsia="zh-CN" w:bidi="ar-SA"/>
              </w:rPr>
              <w:t xml:space="preserve">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6</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center"/>
            <w:textDirection w:val="lrTb"/>
            <w:noWrap w:val="false"/>
          </w:tcPr>
          <w:p>
            <w:pPr>
              <w:jc w:val="left"/>
              <w:spacing w:before="68" w:line="264" w:lineRule="auto"/>
              <w:rPr>
                <w:rFonts w:ascii="宋体" w:hAnsi="宋体" w:cs="宋体"/>
                <w:color w:val="000000"/>
                <w:spacing w:val="-2"/>
                <w:sz w:val="21"/>
                <w:szCs w:val="22"/>
                <w:lang w:val="en-US" w:eastAsia="zh-CN" w:bidi="ar-SA"/>
              </w:rPr>
            </w:pPr>
            <w:r>
              <w:rPr>
                <w:rFonts w:hint="eastAsia" w:ascii="宋体" w:hAnsi="宋体" w:cs="宋体"/>
                <w:color w:val="000000"/>
                <w:spacing w:val="-2"/>
              </w:rPr>
              <w:t xml:space="preserve">管理方案</w:t>
            </w:r>
            <w:r/>
          </w:p>
        </w:tc>
        <w:tc>
          <w:tcPr>
            <w:tcW w:w="6616" w:type="dxa"/>
            <w:vAlign w:val="center"/>
            <w:textDirection w:val="lrTb"/>
            <w:noWrap w:val="false"/>
          </w:tcPr>
          <w:p>
            <w:pPr>
              <w:jc w:val="left"/>
              <w:spacing w:line="264" w:lineRule="auto"/>
              <w:rPr>
                <w:rFonts w:hint="eastAsia" w:ascii="宋体" w:hAnsi="宋体" w:eastAsia="宋体" w:cs="宋体"/>
                <w:szCs w:val="21"/>
                <w:lang w:eastAsia="zh-CN"/>
              </w:rPr>
            </w:pPr>
            <w:r>
              <w:rPr>
                <w:rFonts w:ascii="宋体" w:hAnsi="宋体" w:cs="宋体"/>
                <w:szCs w:val="21"/>
              </w:rPr>
              <w:t xml:space="preserve">评委根据</w:t>
            </w:r>
            <w:r>
              <w:rPr>
                <w:rFonts w:hint="eastAsia" w:ascii="宋体" w:hAnsi="宋体" w:cs="宋体"/>
                <w:szCs w:val="21"/>
              </w:rPr>
              <w:t xml:space="preserve">供应商</w:t>
            </w:r>
            <w:r>
              <w:rPr>
                <w:rFonts w:ascii="宋体" w:hAnsi="宋体" w:cs="宋体"/>
                <w:szCs w:val="21"/>
              </w:rPr>
              <w:t xml:space="preserve">提供的</w:t>
            </w:r>
            <w:r>
              <w:rPr>
                <w:rFonts w:hint="eastAsia" w:ascii="宋体" w:hAnsi="宋体" w:cs="宋体"/>
                <w:szCs w:val="21"/>
              </w:rPr>
              <w:t xml:space="preserve">管理</w:t>
            </w:r>
            <w:r>
              <w:rPr>
                <w:rFonts w:ascii="宋体" w:hAnsi="宋体" w:cs="宋体"/>
                <w:szCs w:val="21"/>
              </w:rPr>
              <w:t xml:space="preserve">方案</w:t>
            </w:r>
            <w:r>
              <w:rPr>
                <w:rFonts w:hint="eastAsia" w:ascii="宋体" w:hAnsi="宋体" w:cs="宋体"/>
                <w:szCs w:val="21"/>
                <w:lang w:val="en-US" w:eastAsia="zh-CN"/>
              </w:rPr>
              <w:t xml:space="preserve">综合</w:t>
            </w:r>
            <w:r>
              <w:rPr>
                <w:rFonts w:hint="eastAsia" w:ascii="宋体" w:hAnsi="宋体" w:cs="宋体"/>
                <w:szCs w:val="21"/>
              </w:rPr>
              <w:t xml:space="preserve">评分，</w:t>
            </w:r>
            <w:r>
              <w:rPr>
                <w:rFonts w:hint="eastAsia" w:ascii="宋体" w:hAnsi="宋体" w:cs="宋体"/>
                <w:szCs w:val="21"/>
                <w:lang w:val="en-US" w:eastAsia="zh-CN"/>
              </w:rPr>
              <w:t xml:space="preserve">包含：</w:t>
            </w:r>
            <w:r>
              <w:rPr>
                <w:rFonts w:hint="eastAsia" w:ascii="宋体" w:hAnsi="宋体" w:cs="宋体"/>
                <w:szCs w:val="21"/>
              </w:rPr>
              <w:t xml:space="preserve">1.管理架构；2.</w:t>
            </w:r>
            <w:r>
              <w:rPr>
                <w:rFonts w:ascii="宋体" w:hAnsi="宋体" w:cs="宋体"/>
              </w:rPr>
              <w:t xml:space="preserve">专业技能及安全意识培训</w:t>
            </w:r>
            <w:r>
              <w:rPr>
                <w:rFonts w:hint="eastAsia" w:ascii="宋体" w:hAnsi="宋体" w:cs="宋体"/>
                <w:szCs w:val="21"/>
              </w:rPr>
              <w:t xml:space="preserve">；3.考核机制</w:t>
            </w:r>
            <w:r>
              <w:rPr>
                <w:rFonts w:hint="eastAsia" w:ascii="宋体" w:hAnsi="宋体" w:cs="宋体"/>
                <w:szCs w:val="21"/>
                <w:lang w:eastAsia="zh-CN"/>
              </w:rPr>
              <w:t xml:space="preserve">。</w:t>
            </w:r>
            <w:r>
              <w:rPr>
                <w:rFonts w:hint="eastAsia" w:ascii="宋体" w:hAnsi="宋体" w:eastAsia="宋体" w:cs="宋体"/>
                <w:color w:val="000000"/>
                <w:sz w:val="21"/>
                <w:szCs w:val="21"/>
                <w:lang w:val="en-US" w:eastAsia="zh-CN" w:bidi="ar-SA"/>
              </w:rPr>
              <w:t xml:space="preserve">以上每项内容逐条阐述。</w:t>
            </w:r>
            <w:r/>
          </w:p>
          <w:p>
            <w:pPr>
              <w:jc w:val="left"/>
              <w:spacing w:line="264"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上述每项内容</w:t>
            </w:r>
            <w:r>
              <w:rPr>
                <w:rFonts w:ascii="宋体" w:hAnsi="宋体" w:cs="宋体"/>
              </w:rPr>
              <w:t xml:space="preserve">措施全面、针对性强、可操作性强的</w:t>
            </w:r>
            <w:r>
              <w:rPr>
                <w:rFonts w:hint="eastAsia" w:ascii="宋体" w:hAnsi="宋体" w:cs="宋体"/>
                <w:szCs w:val="21"/>
              </w:rPr>
              <w:t xml:space="preserve">，</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w:t>
            </w:r>
            <w:r/>
          </w:p>
          <w:p>
            <w:pPr>
              <w:jc w:val="left"/>
              <w:spacing w:line="264" w:lineRule="auto"/>
              <w:rPr>
                <w:rFonts w:hint="eastAsia" w:ascii="宋体" w:hAnsi="宋体" w:cs="宋体"/>
                <w:szCs w:val="21"/>
              </w:rPr>
            </w:pPr>
            <w:r>
              <w:rPr>
                <w:rFonts w:hint="eastAsia" w:ascii="宋体" w:hAnsi="宋体" w:cs="宋体"/>
                <w:szCs w:val="21"/>
              </w:rPr>
              <w:t xml:space="preserve">（2）上述每项内容</w:t>
            </w:r>
            <w:r>
              <w:rPr>
                <w:rFonts w:ascii="宋体" w:hAnsi="宋体" w:cs="宋体"/>
              </w:rPr>
              <w:t xml:space="preserve">措施较全面、针对性较强、可操作性较强</w:t>
            </w:r>
            <w:r>
              <w:rPr>
                <w:rFonts w:hint="eastAsia" w:ascii="宋体" w:hAnsi="宋体" w:cs="宋体"/>
                <w:szCs w:val="21"/>
              </w:rPr>
              <w:t xml:space="preserve">，</w:t>
            </w:r>
            <w:r>
              <w:rPr>
                <w:rFonts w:ascii="宋体" w:hAnsi="宋体" w:cs="宋体"/>
                <w:szCs w:val="21"/>
              </w:rPr>
              <w:t xml:space="preserve">得</w:t>
            </w:r>
            <w:r>
              <w:rPr>
                <w:rFonts w:hint="eastAsia" w:ascii="宋体" w:hAnsi="宋体" w:cs="宋体"/>
                <w:szCs w:val="21"/>
              </w:rPr>
              <w:t xml:space="preserve">0.5</w:t>
            </w:r>
            <w:r>
              <w:rPr>
                <w:rFonts w:ascii="宋体" w:hAnsi="宋体" w:cs="宋体"/>
                <w:szCs w:val="21"/>
              </w:rPr>
              <w:t xml:space="preserve">分；</w:t>
            </w:r>
            <w:r/>
          </w:p>
          <w:p>
            <w:pPr>
              <w:jc w:val="left"/>
              <w:spacing w:line="264" w:lineRule="auto"/>
              <w:rPr>
                <w:rFonts w:hint="eastAsia" w:ascii="宋体" w:hAnsi="宋体" w:cs="宋体"/>
                <w:sz w:val="21"/>
                <w:szCs w:val="21"/>
                <w:lang w:val="en-US" w:eastAsia="zh-CN" w:bidi="ar-SA"/>
              </w:rPr>
            </w:pPr>
            <w:r>
              <w:rPr>
                <w:rFonts w:hint="eastAsia" w:ascii="宋体" w:hAnsi="宋体" w:cs="宋体"/>
                <w:szCs w:val="21"/>
              </w:rPr>
              <w:t xml:space="preserve">（3）上述每项内容阐述不</w:t>
            </w:r>
            <w:r>
              <w:rPr>
                <w:rFonts w:ascii="宋体" w:hAnsi="宋体" w:cs="宋体"/>
                <w:szCs w:val="21"/>
              </w:rPr>
              <w:t xml:space="preserve">完整，</w:t>
            </w:r>
            <w:r>
              <w:rPr>
                <w:rFonts w:hint="eastAsia" w:ascii="宋体" w:hAnsi="宋体" w:cs="宋体"/>
                <w:szCs w:val="21"/>
              </w:rPr>
              <w:t xml:space="preserve">缺乏针对性、可操作性的，</w:t>
            </w:r>
            <w:r>
              <w:rPr>
                <w:rFonts w:ascii="宋体" w:hAnsi="宋体" w:cs="宋体"/>
                <w:szCs w:val="21"/>
              </w:rPr>
              <w:t xml:space="preserve">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规章制度</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w:t>
            </w:r>
            <w:r>
              <w:rPr>
                <w:rFonts w:hint="eastAsia" w:ascii="宋体" w:hAnsi="宋体" w:eastAsia="宋体" w:cs="宋体"/>
                <w:sz w:val="21"/>
                <w:szCs w:val="21"/>
                <w:lang w:val="en-US" w:eastAsia="zh-CN" w:bidi="ar-SA"/>
              </w:rPr>
              <w:t xml:space="preserve">供应商</w:t>
            </w:r>
            <w:r>
              <w:rPr>
                <w:rFonts w:ascii="宋体" w:hAnsi="宋体" w:eastAsia="宋体" w:cs="宋体"/>
                <w:sz w:val="21"/>
                <w:szCs w:val="21"/>
                <w:lang w:val="en-US" w:eastAsia="zh-CN" w:bidi="ar-SA"/>
              </w:rPr>
              <w:t xml:space="preserve">提供的规章制度</w:t>
            </w:r>
            <w:r>
              <w:rPr>
                <w:rFonts w:hint="eastAsia" w:ascii="宋体" w:hAnsi="宋体" w:eastAsia="宋体" w:cs="宋体"/>
                <w:sz w:val="21"/>
                <w:szCs w:val="21"/>
                <w:lang w:val="en-US" w:eastAsia="zh-CN" w:bidi="ar-SA"/>
              </w:rPr>
              <w:t xml:space="preserve">综合</w:t>
            </w:r>
            <w:r>
              <w:rPr>
                <w:rFonts w:ascii="宋体" w:hAnsi="宋体" w:eastAsia="宋体" w:cs="宋体"/>
                <w:sz w:val="21"/>
                <w:szCs w:val="21"/>
                <w:lang w:val="en-US" w:eastAsia="zh-CN" w:bidi="ar-SA"/>
              </w:rPr>
              <w:t xml:space="preserve">评分，</w:t>
            </w:r>
            <w:r>
              <w:rPr>
                <w:rFonts w:hint="eastAsia" w:ascii="宋体" w:hAnsi="宋体" w:eastAsia="宋体" w:cs="宋体"/>
                <w:sz w:val="21"/>
                <w:szCs w:val="21"/>
                <w:lang w:val="en-US" w:eastAsia="zh-CN" w:bidi="ar-SA"/>
              </w:rPr>
              <w:t xml:space="preserve">包含：1.物业服务人员编制、部门及岗位职责；2.工作流程。以上每项内容逐条阐述。</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完善、科学合理、执行力强的，得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较完善、较科学合理、执行力较强的，得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不合理或未提供</w:t>
            </w:r>
            <w:r>
              <w:rPr>
                <w:rFonts w:hint="eastAsia" w:ascii="宋体" w:hAnsi="宋体" w:eastAsia="宋体" w:cs="宋体"/>
                <w:sz w:val="21"/>
                <w:szCs w:val="21"/>
                <w:lang w:val="en-US" w:eastAsia="zh-CN" w:bidi="ar-SA"/>
              </w:rPr>
              <w:t xml:space="preserve">规章制度</w:t>
            </w:r>
            <w:r>
              <w:rPr>
                <w:rFonts w:ascii="宋体" w:hAnsi="宋体" w:eastAsia="宋体" w:cs="宋体"/>
                <w:sz w:val="21"/>
                <w:szCs w:val="21"/>
                <w:lang w:val="en-US" w:eastAsia="zh-CN" w:bidi="ar-SA"/>
              </w:rPr>
              <w:t xml:space="preserve">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档案资料管理方案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评委根据供应商提供的档案资料管理方案综合评分，包括：1.物业档案台账登记、保存、移交；2.使用信息化管理系统。以上每项内容逐条阐述。</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（1）上述每项物业档案台账登记、保存、移交规范，使用信息化管理系统等方面内容全面，得1分；</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（2）上述每项物业档案台账登记、保存、移交较规范，使用信息化管理系统等方面内容较全面，得0.5分；</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（3）上述每项物业档案台账登记、保存、移交不规范，使用信息化管理系统等方面内容不全面或未提供方案的不得分。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2"/>
                <w:lang w:val="en-US" w:eastAsia="zh-CN" w:bidi="ar-SA"/>
              </w:rPr>
              <w:t xml:space="preserve">物资装备</w:t>
            </w:r>
            <w:r>
              <w:rPr>
                <w:rFonts w:hint="eastAsia" w:ascii="宋体" w:hAnsi="宋体" w:cs="宋体"/>
                <w:color w:val="000000"/>
                <w:spacing w:val="-2"/>
                <w:sz w:val="21"/>
                <w:szCs w:val="22"/>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评委根据供应商提供的</w:t>
            </w:r>
            <w:r>
              <w:rPr>
                <w:rFonts w:hint="eastAsia" w:ascii="宋体" w:hAnsi="宋体" w:eastAsia="宋体" w:cs="宋体"/>
                <w:color w:val="000000"/>
                <w:spacing w:val="-2"/>
                <w:sz w:val="21"/>
                <w:szCs w:val="22"/>
                <w:lang w:val="en-US" w:eastAsia="zh-CN" w:bidi="ar-SA"/>
              </w:rPr>
              <w:t xml:space="preserve">物资装备</w:t>
            </w:r>
            <w:r>
              <w:rPr>
                <w:rFonts w:hint="eastAsia" w:ascii="宋体" w:hAnsi="宋体" w:cs="宋体"/>
                <w:color w:val="000000"/>
                <w:spacing w:val="-2"/>
                <w:sz w:val="21"/>
                <w:szCs w:val="22"/>
                <w:lang w:val="en-US" w:eastAsia="zh-CN" w:bidi="ar-SA"/>
              </w:rPr>
              <w:t xml:space="preserve">方案综合</w:t>
            </w:r>
            <w:r>
              <w:rPr>
                <w:rFonts w:hint="eastAsia" w:ascii="宋体" w:hAnsi="宋体" w:eastAsia="宋体" w:cs="宋体"/>
                <w:color w:val="000000"/>
                <w:sz w:val="21"/>
                <w:szCs w:val="21"/>
                <w:lang w:val="en-US" w:eastAsia="zh-CN" w:bidi="ar-SA"/>
              </w:rPr>
              <w:t xml:space="preserve">评分，包含：1.物业办公设备、机具、用具分列；2.清洁保洁设备、机具、用具分列；3.易耗品设备、机具、用具分列。</w:t>
            </w:r>
            <w:r>
              <w:rPr>
                <w:rFonts w:hint="eastAsia" w:ascii="宋体" w:hAnsi="宋体" w:eastAsia="宋体" w:cs="宋体"/>
                <w:sz w:val="21"/>
                <w:szCs w:val="21"/>
                <w:lang w:val="en-US" w:eastAsia="zh-CN" w:bidi="ar-SA"/>
              </w:rPr>
              <w:t xml:space="preserve">以上每项内容逐条阐述。</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（1）上述每项物业办公、清洁保洁、易耗品等设备、机具、用具分列完整详细合理，得1分；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（2）上述每项物业办公、清洁保洁、易耗品等设备、机具、用具分列较完整详细合理，得0.5分；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（3）上述每项所列设备无法满足物业服务的要求，测算分摊不合理、不合规或未提供方案的不得分。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2.6</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ff"/>
                <w:spacing w:val="-2"/>
                <w:sz w:val="21"/>
                <w:szCs w:val="22"/>
                <w:lang w:val="en-US" w:eastAsia="zh-CN" w:bidi="ar-SA"/>
              </w:rPr>
            </w:pPr>
            <w:r>
              <w:rPr>
                <w:rFonts w:hint="eastAsia" w:ascii="宋体" w:hAnsi="宋体" w:cs="宋体"/>
                <w:spacing w:val="-2"/>
              </w:rPr>
              <w:t xml:space="preserve">突发事件</w:t>
            </w:r>
            <w:r>
              <w:rPr>
                <w:rFonts w:ascii="宋体" w:hAnsi="宋体" w:eastAsia="宋体" w:cs="宋体"/>
                <w:color w:val="000000"/>
                <w:spacing w:val="-2"/>
                <w:sz w:val="21"/>
                <w:szCs w:val="22"/>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sz w:val="21"/>
                <w:szCs w:val="21"/>
                <w:lang w:val="en-US" w:eastAsia="zh-CN" w:bidi="ar-SA"/>
              </w:rPr>
              <w:t xml:space="preserve">评委根据</w:t>
            </w:r>
            <w:r>
              <w:rPr>
                <w:rFonts w:hint="eastAsia" w:ascii="宋体" w:hAnsi="宋体" w:eastAsia="宋体" w:cs="宋体"/>
                <w:sz w:val="21"/>
                <w:szCs w:val="21"/>
                <w:lang w:val="en-US" w:eastAsia="zh-CN" w:bidi="ar-SA"/>
              </w:rPr>
              <w:t xml:space="preserve">供应</w:t>
            </w:r>
            <w:r>
              <w:rPr>
                <w:rFonts w:hint="eastAsia" w:ascii="宋体" w:hAnsi="宋体" w:eastAsia="宋体" w:cs="宋体"/>
                <w:color w:val="000000"/>
                <w:spacing w:val="-2"/>
                <w:sz w:val="21"/>
                <w:szCs w:val="22"/>
                <w:lang w:val="en-US" w:eastAsia="zh-CN" w:bidi="ar-SA"/>
              </w:rPr>
              <w:t xml:space="preserve">商</w:t>
            </w:r>
            <w:r>
              <w:rPr>
                <w:rFonts w:ascii="宋体" w:hAnsi="宋体" w:eastAsia="宋体" w:cs="宋体"/>
                <w:color w:val="000000"/>
                <w:spacing w:val="-2"/>
                <w:sz w:val="21"/>
                <w:szCs w:val="22"/>
                <w:lang w:val="en-US" w:eastAsia="zh-CN" w:bidi="ar-SA"/>
              </w:rPr>
              <w:t xml:space="preserve">提供的</w:t>
            </w:r>
            <w:r>
              <w:rPr>
                <w:rFonts w:hint="eastAsia" w:ascii="宋体" w:hAnsi="宋体" w:eastAsia="宋体" w:cs="宋体"/>
                <w:color w:val="000000"/>
                <w:spacing w:val="-2"/>
                <w:sz w:val="21"/>
                <w:szCs w:val="22"/>
                <w:lang w:val="en-US" w:eastAsia="zh-CN" w:bidi="ar-SA"/>
              </w:rPr>
              <w:t xml:space="preserve">突发事件</w:t>
            </w:r>
            <w:r>
              <w:rPr>
                <w:rFonts w:ascii="宋体" w:hAnsi="宋体" w:eastAsia="宋体" w:cs="宋体"/>
                <w:color w:val="000000"/>
                <w:spacing w:val="-2"/>
                <w:sz w:val="21"/>
                <w:szCs w:val="22"/>
                <w:lang w:val="en-US" w:eastAsia="zh-CN" w:bidi="ar-SA"/>
              </w:rPr>
              <w:t xml:space="preserve">应急处理预案</w:t>
            </w:r>
            <w:r>
              <w:rPr>
                <w:rFonts w:hint="eastAsia" w:ascii="宋体" w:hAnsi="宋体" w:eastAsia="宋体" w:cs="宋体"/>
                <w:color w:val="000000"/>
                <w:spacing w:val="-2"/>
                <w:sz w:val="21"/>
                <w:szCs w:val="22"/>
                <w:lang w:val="en-US" w:eastAsia="zh-CN" w:bidi="ar-SA"/>
              </w:rPr>
              <w:t xml:space="preserve">综合</w:t>
            </w:r>
            <w:r>
              <w:rPr>
                <w:rFonts w:ascii="宋体" w:hAnsi="宋体" w:eastAsia="宋体" w:cs="宋体"/>
                <w:color w:val="000000"/>
                <w:spacing w:val="-2"/>
                <w:sz w:val="21"/>
                <w:szCs w:val="22"/>
                <w:lang w:val="en-US" w:eastAsia="zh-CN" w:bidi="ar-SA"/>
              </w:rPr>
              <w:t xml:space="preserve">评分</w:t>
            </w:r>
            <w:r>
              <w:rPr>
                <w:rFonts w:hint="eastAsia" w:ascii="宋体" w:hAnsi="宋体" w:eastAsia="宋体" w:cs="宋体"/>
                <w:color w:val="000000"/>
                <w:spacing w:val="-2"/>
                <w:sz w:val="21"/>
                <w:szCs w:val="22"/>
                <w:lang w:val="en-US" w:eastAsia="zh-CN" w:bidi="ar-SA"/>
              </w:rPr>
              <w:t xml:space="preserve">，包含：1.自然灾害、事故灾难应急预案；2.公共卫生事件应急预案；3.社会安全事件应急预案；4.公用设施设备应急预案（含消防、电梯等方面）。以上每项内容逐条阐述。</w:t>
            </w:r>
            <w:r/>
          </w:p>
          <w:p>
            <w:pPr>
              <w:jc w:val="left"/>
              <w:keepLines w:val="0"/>
              <w:keepNext w:val="0"/>
              <w:pageBreakBefore w:val="0"/>
              <w:spacing w:line="264" w:lineRule="auto"/>
              <w:widowControl w:val="off"/>
              <w:rPr>
                <w:rStyle w:val="884"/>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884"/>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完备健全、针对性强、可操作性强的，得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p>
          <w:p>
            <w:pPr>
              <w:jc w:val="left"/>
              <w:keepLines w:val="0"/>
              <w:keepNext w:val="0"/>
              <w:pageBreakBefore w:val="0"/>
              <w:spacing w:line="264" w:lineRule="auto"/>
              <w:widowControl w:val="off"/>
              <w:rPr>
                <w:rStyle w:val="884"/>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884"/>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较完备健全、针对性较强、可操作性较强的，得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884"/>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884"/>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8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供应商</w:t>
            </w:r>
            <w:r>
              <w:rPr>
                <w:rFonts w:ascii="Times New Roman" w:hAnsi="Times New Roman" w:eastAsia="宋体" w:cs="Times New Roman"/>
                <w:lang w:val="en-US" w:eastAsia="zh-CN"/>
              </w:rPr>
              <w:t xml:space="preserve">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供应商提供2021年1月1日（含）以来，承接的类似物业项目（非住宅项目，服务内容不少于卫生保洁、宿舍管理及弱电管理维修；以合同签订时间为准，合同服务期限不少于一年）业绩，并提供业主单位出具的履约优秀（或好评或满意或最高档次）评价材料。每提供一个业绩得3分，最多得6分，未提供不得分。</w:t>
            </w:r>
            <w:r/>
          </w:p>
          <w:p>
            <w:p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（2）同一业主单位的多个业绩仅作为一个业绩，不累计得分。</w:t>
            </w:r>
            <w:r/>
          </w:p>
          <w:p>
            <w:pPr>
              <w:jc w:val="left"/>
              <w:keepLines w:val="0"/>
              <w:keepNext w:val="0"/>
              <w:pageBreakBefore w:val="0"/>
              <w:spacing w:line="264" w:lineRule="auto"/>
              <w:widowControl w:val="off"/>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（3）“3.1供应商业绩”“4.1履约能力1”不可重复得分。</w:t>
            </w:r>
            <w:r/>
          </w:p>
        </w:tc>
        <w:tc>
          <w:tcPr>
            <w:tcW w:w="573"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783" w:type="dxa"/>
            <w:vAlign w:val="center"/>
            <w:textDirection w:val="lrTb"/>
            <w:noWrap w:val="false"/>
          </w:tcPr>
          <w:p>
            <w:pPr>
              <w:jc w:val="center"/>
              <w:keepLines w:val="0"/>
              <w:keepNext w:val="0"/>
              <w:pageBreakBefore w:val="0"/>
              <w:spacing w:before="68" w:line="264" w:lineRule="auto"/>
              <w:widowControl w:val="off"/>
              <w:rPr>
                <w:rStyle w:val="884"/>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8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供应商拟派项目主管具有</w:t>
            </w:r>
            <w:r>
              <w:rPr>
                <w:rFonts w:hint="eastAsia" w:ascii="宋体" w:hAnsi="宋体" w:eastAsia="宋体" w:cs="宋体"/>
                <w:color w:val="000000"/>
                <w:spacing w:val="-2"/>
                <w:sz w:val="21"/>
                <w:szCs w:val="22"/>
                <w:lang w:val="en-US" w:eastAsia="zh-CN" w:bidi="ar-SA"/>
              </w:rPr>
              <w:t xml:space="preserve">3年及以上类似校园</w:t>
            </w:r>
            <w:r>
              <w:rPr>
                <w:rFonts w:hint="eastAsia" w:ascii="宋体" w:hAnsi="宋体" w:eastAsia="宋体" w:cs="宋体"/>
                <w:color w:val="000000"/>
                <w:sz w:val="21"/>
                <w:szCs w:val="21"/>
                <w:lang w:val="en-US" w:eastAsia="zh-CN" w:bidi="ar-SA"/>
              </w:rPr>
              <w:t xml:space="preserve">物业项目经理（或负责人）工作经验的得4分，未提供不得分。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注：（1）提供加盖业主单位公章的工作经验证明材料，需体现人员姓名、岗位、工作年限、服务内容。</w:t>
            </w:r>
            <w:r/>
          </w:p>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Times New Roman" w:hAnsi="Times New Roman" w:eastAsia="宋体" w:cs="Times New Roman"/>
                <w:color w:val="000000"/>
                <w:lang w:val="en-US" w:eastAsia="zh-CN"/>
              </w:rPr>
              <w:t xml:space="preserve">“4.1履约能力1”“3.1供应商业绩”不可重复得分。</w:t>
            </w:r>
            <w:r/>
          </w:p>
        </w:tc>
        <w:tc>
          <w:tcPr>
            <w:tcW w:w="57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w:t>
            </w:r>
            <w:r>
              <w:rPr>
                <w:rFonts w:hint="eastAsia" w:ascii="宋体" w:hAnsi="宋体" w:cs="宋体"/>
                <w:color w:val="000000"/>
              </w:rPr>
              <w:t xml:space="preserve">卫生保洁</w:t>
            </w:r>
            <w:r>
              <w:rPr>
                <w:rFonts w:hint="eastAsia" w:ascii="宋体" w:hAnsi="宋体" w:cs="宋体"/>
                <w:color w:val="000000"/>
                <w:lang w:val="en-US" w:eastAsia="zh-CN"/>
              </w:rPr>
              <w:t xml:space="preserve">人员</w:t>
            </w:r>
            <w:r>
              <w:rPr>
                <w:rFonts w:hint="eastAsia" w:ascii="宋体" w:hAnsi="宋体" w:eastAsia="宋体" w:cs="宋体"/>
                <w:color w:val="000000"/>
                <w:sz w:val="21"/>
                <w:szCs w:val="21"/>
                <w:lang w:val="en-US" w:eastAsia="zh-CN" w:bidi="ar-SA"/>
              </w:rPr>
              <w:t xml:space="preserve">具有类似</w:t>
            </w:r>
            <w:r>
              <w:rPr>
                <w:rFonts w:hint="eastAsia" w:ascii="宋体" w:hAnsi="宋体" w:eastAsia="宋体" w:cs="宋体"/>
                <w:color w:val="000000"/>
                <w:spacing w:val="-2"/>
                <w:sz w:val="21"/>
                <w:szCs w:val="22"/>
                <w:lang w:val="en-US" w:eastAsia="zh-CN" w:bidi="ar-SA"/>
              </w:rPr>
              <w:t xml:space="preserve">校园</w:t>
            </w:r>
            <w:r>
              <w:rPr>
                <w:rFonts w:hint="eastAsia" w:ascii="宋体" w:hAnsi="宋体" w:eastAsia="宋体" w:cs="宋体"/>
                <w:color w:val="000000"/>
                <w:sz w:val="21"/>
                <w:szCs w:val="21"/>
                <w:lang w:val="en-US" w:eastAsia="zh-CN" w:bidi="ar-SA"/>
              </w:rPr>
              <w:t xml:space="preserve">物业项目保洁工作经验的，每提供1人得1分，最多得5分，未提供不得分。</w:t>
            </w:r>
            <w:r/>
          </w:p>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注：提供加盖业主单位公章的工作经验证明材料，需体现人员姓名、岗位、工作年限、服务内容。</w:t>
            </w:r>
            <w:r/>
          </w:p>
        </w:tc>
        <w:tc>
          <w:tcPr>
            <w:tcW w:w="57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78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w:t>
            </w:r>
            <w:r>
              <w:rPr>
                <w:rFonts w:hint="eastAsia" w:ascii="宋体" w:hAnsi="宋体" w:eastAsia="宋体" w:cs="宋体"/>
                <w:color w:val="000000"/>
                <w:lang w:val="en-US" w:eastAsia="zh-CN"/>
              </w:rPr>
              <w:t xml:space="preserve">宿舍管理</w:t>
            </w:r>
            <w:r>
              <w:rPr>
                <w:rFonts w:hint="eastAsia" w:ascii="宋体" w:hAnsi="宋体" w:cs="宋体"/>
                <w:color w:val="000000"/>
                <w:lang w:val="en-US" w:eastAsia="zh-CN"/>
              </w:rPr>
              <w:t xml:space="preserve">员</w:t>
            </w:r>
            <w:r>
              <w:rPr>
                <w:rFonts w:hint="eastAsia" w:ascii="宋体" w:hAnsi="宋体" w:eastAsia="宋体" w:cs="宋体"/>
                <w:color w:val="000000"/>
                <w:sz w:val="21"/>
                <w:szCs w:val="21"/>
                <w:lang w:val="en-US" w:eastAsia="zh-CN" w:bidi="ar-SA"/>
              </w:rPr>
              <w:t xml:space="preserve">具有2年及以上类似</w:t>
            </w:r>
            <w:r>
              <w:rPr>
                <w:rFonts w:hint="eastAsia" w:ascii="宋体" w:hAnsi="宋体" w:eastAsia="宋体" w:cs="宋体"/>
                <w:color w:val="000000"/>
                <w:spacing w:val="-2"/>
                <w:sz w:val="21"/>
                <w:szCs w:val="22"/>
                <w:lang w:val="en-US" w:eastAsia="zh-CN" w:bidi="ar-SA"/>
              </w:rPr>
              <w:t xml:space="preserve">校园</w:t>
            </w:r>
            <w:r>
              <w:rPr>
                <w:rFonts w:hint="eastAsia" w:ascii="宋体" w:hAnsi="宋体" w:eastAsia="宋体" w:cs="宋体"/>
                <w:color w:val="000000"/>
                <w:sz w:val="21"/>
                <w:szCs w:val="21"/>
                <w:lang w:val="en-US" w:eastAsia="zh-CN" w:bidi="ar-SA"/>
              </w:rPr>
              <w:t xml:space="preserve">物业项目宿管工作经验的，每提供1人得1分，最多得2分，未提供不得分。</w:t>
            </w:r>
            <w:r/>
          </w:p>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注：提供加盖业主单位公章的工作经验证明材料，需体现人员姓名、岗位、工作年限、服务内容。</w:t>
            </w:r>
            <w:r/>
          </w:p>
        </w:tc>
        <w:tc>
          <w:tcPr>
            <w:tcW w:w="57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W w:w="78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884"/>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w:t>
            </w:r>
            <w:r>
              <w:rPr>
                <w:rFonts w:hint="eastAsia" w:ascii="宋体" w:hAnsi="宋体" w:eastAsia="宋体" w:cs="宋体"/>
                <w:color w:val="000000"/>
                <w:lang w:val="en-US" w:eastAsia="zh-CN"/>
              </w:rPr>
              <w:t xml:space="preserve">校医</w:t>
            </w:r>
            <w:r>
              <w:rPr>
                <w:rFonts w:hint="eastAsia" w:ascii="宋体" w:hAnsi="宋体" w:eastAsia="宋体" w:cs="宋体"/>
                <w:color w:val="000000"/>
                <w:sz w:val="21"/>
                <w:szCs w:val="21"/>
                <w:lang w:val="en-US" w:eastAsia="zh-CN" w:bidi="ar-SA"/>
              </w:rPr>
              <w:t xml:space="preserve">具有1年及以上</w:t>
            </w:r>
            <w:r>
              <w:rPr>
                <w:rFonts w:hint="eastAsia" w:ascii="宋体" w:hAnsi="宋体" w:eastAsia="宋体" w:cs="宋体"/>
                <w:color w:val="000000"/>
                <w:spacing w:val="-2"/>
                <w:sz w:val="21"/>
                <w:szCs w:val="22"/>
                <w:lang w:val="en-US" w:eastAsia="zh-CN" w:bidi="ar-SA"/>
              </w:rPr>
              <w:t xml:space="preserve">校医</w:t>
            </w:r>
            <w:r>
              <w:rPr>
                <w:rFonts w:hint="eastAsia" w:ascii="宋体" w:hAnsi="宋体" w:eastAsia="宋体" w:cs="宋体"/>
                <w:color w:val="000000"/>
                <w:sz w:val="21"/>
                <w:szCs w:val="21"/>
                <w:lang w:val="en-US" w:eastAsia="zh-CN" w:bidi="ar-SA"/>
              </w:rPr>
              <w:t xml:space="preserve">工作经验的，得3分，未提供不得分。</w:t>
            </w:r>
            <w:r/>
          </w:p>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注：提供加盖业主单位公章的工作经验证明材料，需体现人员姓名、岗位、工作年限、服务内容。</w:t>
            </w:r>
            <w:r/>
          </w:p>
        </w:tc>
        <w:tc>
          <w:tcPr>
            <w:tcW w:w="57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w:t>
            </w:r>
            <w:r>
              <w:rPr>
                <w:rFonts w:hint="eastAsia" w:ascii="宋体" w:hAnsi="宋体" w:cs="宋体"/>
                <w:color w:val="000000"/>
              </w:rPr>
              <w:t xml:space="preserve">弱电管理维修人员</w:t>
            </w:r>
            <w:r>
              <w:rPr>
                <w:rFonts w:hint="eastAsia" w:ascii="宋体" w:hAnsi="宋体" w:eastAsia="宋体" w:cs="宋体"/>
                <w:color w:val="000000"/>
                <w:sz w:val="21"/>
                <w:szCs w:val="21"/>
                <w:lang w:val="en-US" w:eastAsia="zh-CN" w:bidi="ar-SA"/>
              </w:rPr>
              <w:t xml:space="preserve">具有类似</w:t>
            </w:r>
            <w:r>
              <w:rPr>
                <w:rFonts w:hint="eastAsia" w:ascii="宋体" w:hAnsi="宋体" w:eastAsia="宋体" w:cs="宋体"/>
                <w:color w:val="000000"/>
                <w:spacing w:val="-2"/>
                <w:sz w:val="21"/>
                <w:szCs w:val="22"/>
                <w:lang w:val="en-US" w:eastAsia="zh-CN" w:bidi="ar-SA"/>
              </w:rPr>
              <w:t xml:space="preserve">校园</w:t>
            </w:r>
            <w:r>
              <w:rPr>
                <w:rFonts w:hint="eastAsia" w:ascii="宋体" w:hAnsi="宋体" w:eastAsia="宋体" w:cs="宋体"/>
                <w:color w:val="000000"/>
                <w:sz w:val="21"/>
                <w:szCs w:val="21"/>
                <w:lang w:val="en-US" w:eastAsia="zh-CN" w:bidi="ar-SA"/>
              </w:rPr>
              <w:t xml:space="preserve">物业项目</w:t>
            </w:r>
            <w:r>
              <w:rPr>
                <w:rFonts w:hint="eastAsia" w:ascii="宋体" w:hAnsi="宋体" w:cs="宋体"/>
                <w:color w:val="000000"/>
              </w:rPr>
              <w:t xml:space="preserve">弱电管理维修</w:t>
            </w:r>
            <w:r>
              <w:rPr>
                <w:rFonts w:hint="eastAsia" w:ascii="宋体" w:hAnsi="宋体" w:eastAsia="宋体" w:cs="宋体"/>
                <w:color w:val="000000"/>
                <w:sz w:val="21"/>
                <w:szCs w:val="21"/>
                <w:lang w:val="en-US" w:eastAsia="zh-CN" w:bidi="ar-SA"/>
              </w:rPr>
              <w:t xml:space="preserve">工作经验的，得3分，未提供不得分。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注：提供加盖业主单位公章的工作经验证明材料，需体现人员姓名、岗位、工作年限、服务内容。</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履约能力6</w:t>
            </w:r>
            <w:r/>
          </w:p>
        </w:tc>
        <w:tc>
          <w:tcPr>
            <w:tcW w:w="6616" w:type="dxa"/>
            <w:vAlign w:val="center"/>
            <w:textDirection w:val="lrTb"/>
            <w:noWrap w:val="false"/>
          </w:tcPr>
          <w:p>
            <w:pPr>
              <w:jc w:val="left"/>
              <w:keepLines w:val="0"/>
              <w:keepNext w:val="0"/>
              <w:pageBreakBefore w:val="0"/>
              <w:spacing w:line="264" w:lineRule="auto"/>
              <w:widowControl w:val="off"/>
              <w:rPr>
                <w:rStyle w:val="884"/>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供应商拟派</w:t>
            </w:r>
            <w:r>
              <w:rPr>
                <w:rFonts w:hint="eastAsia" w:ascii="宋体" w:hAnsi="宋体" w:cs="宋体"/>
              </w:rPr>
              <w:t xml:space="preserve">综合管理人员</w:t>
            </w:r>
            <w:r>
              <w:rPr>
                <w:rFonts w:hint="eastAsia" w:ascii="宋体" w:hAnsi="宋体" w:eastAsia="宋体" w:cs="宋体"/>
                <w:sz w:val="21"/>
                <w:szCs w:val="21"/>
                <w:lang w:val="en-US" w:eastAsia="zh-CN" w:bidi="ar-SA"/>
              </w:rPr>
              <w:t xml:space="preserve">具有类</w:t>
            </w:r>
            <w:r>
              <w:rPr>
                <w:rFonts w:hint="eastAsia" w:ascii="宋体" w:hAnsi="宋体" w:eastAsia="宋体" w:cs="宋体"/>
                <w:color w:val="000000"/>
                <w:sz w:val="21"/>
                <w:szCs w:val="21"/>
                <w:lang w:val="en-US" w:eastAsia="zh-CN" w:bidi="ar-SA"/>
              </w:rPr>
              <w:t xml:space="preserve">似</w:t>
            </w:r>
            <w:r>
              <w:rPr>
                <w:rFonts w:hint="eastAsia" w:ascii="宋体" w:hAnsi="宋体" w:eastAsia="宋体" w:cs="宋体"/>
                <w:color w:val="000000"/>
                <w:spacing w:val="-2"/>
                <w:sz w:val="21"/>
                <w:szCs w:val="22"/>
                <w:lang w:val="en-US" w:eastAsia="zh-CN" w:bidi="ar-SA"/>
              </w:rPr>
              <w:t xml:space="preserve">校园</w:t>
            </w:r>
            <w:r>
              <w:rPr>
                <w:rFonts w:hint="eastAsia" w:ascii="宋体" w:hAnsi="宋体" w:eastAsia="宋体" w:cs="宋体"/>
                <w:color w:val="000000"/>
                <w:sz w:val="21"/>
                <w:szCs w:val="21"/>
                <w:lang w:val="en-US" w:eastAsia="zh-CN" w:bidi="ar-SA"/>
              </w:rPr>
              <w:t xml:space="preserve">物业</w:t>
            </w:r>
            <w:r>
              <w:rPr>
                <w:rFonts w:hint="eastAsia" w:ascii="宋体" w:hAnsi="宋体" w:eastAsia="宋体" w:cs="宋体"/>
                <w:sz w:val="21"/>
                <w:szCs w:val="21"/>
                <w:lang w:val="en-US" w:eastAsia="zh-CN" w:bidi="ar-SA"/>
              </w:rPr>
              <w:t xml:space="preserve">项目</w:t>
            </w:r>
            <w:r>
              <w:rPr>
                <w:rFonts w:hint="eastAsia" w:ascii="宋体" w:hAnsi="宋体" w:cs="宋体"/>
              </w:rPr>
              <w:t xml:space="preserve">综合管理</w:t>
            </w:r>
            <w:r>
              <w:rPr>
                <w:rFonts w:hint="eastAsia" w:ascii="宋体" w:hAnsi="宋体" w:eastAsia="宋体" w:cs="宋体"/>
                <w:sz w:val="21"/>
                <w:szCs w:val="21"/>
                <w:lang w:val="en-US" w:eastAsia="zh-CN" w:bidi="ar-SA"/>
              </w:rPr>
              <w:t xml:space="preserve">工作经验的，每提供1人得1分，最多得2分，未提供不得分。</w:t>
            </w:r>
            <w:r/>
          </w:p>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注：提供加盖业主单位公章的工作经验证明材料，需体现人员姓名、岗位、工作年限、服务内容。</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2"/>
                <w:sz w:val="21"/>
                <w:szCs w:val="21"/>
                <w:lang w:val="en-US" w:eastAsia="zh-CN" w:bidi="ar-SA"/>
              </w:rPr>
            </w:pPr>
            <w:r>
              <w:rPr>
                <w:rStyle w:val="884"/>
                <w:rFonts w:hint="eastAsia" w:ascii="宋体" w:hAnsi="宋体" w:eastAsia="宋体" w:cs="宋体"/>
                <w:color w:val="000000"/>
                <w:spacing w:val="-2"/>
                <w:sz w:val="21"/>
                <w:szCs w:val="21"/>
                <w:lang w:val="en-US" w:eastAsia="zh-CN" w:bidi="ar-SA"/>
              </w:rPr>
              <w:t xml:space="preserve">4.7</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履约能力7</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2分，未提供不得分。（</w:t>
            </w:r>
            <w:r>
              <w:rPr>
                <w:rFonts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884"/>
                <w:rFonts w:ascii="宋体" w:hAnsi="宋体" w:eastAsia="宋体" w:cs="宋体"/>
                <w:color w:val="000000"/>
                <w:spacing w:val="-2"/>
                <w:sz w:val="21"/>
                <w:szCs w:val="21"/>
                <w:lang w:val="en-US" w:eastAsia="zh-CN" w:bidi="ar-SA"/>
              </w:rPr>
            </w:pPr>
            <w:r>
              <w:rPr>
                <w:rStyle w:val="884"/>
                <w:rFonts w:hint="eastAsia" w:ascii="宋体" w:hAnsi="宋体" w:eastAsia="宋体" w:cs="宋体"/>
                <w:color w:val="000000"/>
                <w:spacing w:val="-2"/>
                <w:sz w:val="21"/>
                <w:szCs w:val="21"/>
                <w:lang w:val="en-US" w:eastAsia="zh-CN" w:bidi="ar-SA"/>
              </w:rPr>
              <w:t xml:space="preserve">4.8</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履约能力8</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rPr>
            </w:pPr>
            <w:r>
              <w:rPr>
                <w:rFonts w:hint="eastAsia" w:ascii="宋体" w:hAnsi="宋体" w:cs="宋体"/>
              </w:rPr>
              <w:t xml:space="preserve">供应商承诺在采购人协调原物业单位的前提下留用原物业服务人员（17人，不包括项目主管）比例达40%或以上的，得3分；30%（含）-40%（不含），得1分；其他不得分。(提供承诺书，格式自拟）</w:t>
            </w:r>
            <w:r/>
          </w:p>
          <w:p>
            <w:pPr>
              <w:jc w:val="left"/>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cs="宋体"/>
                <w:lang w:val="en-US" w:eastAsia="zh-CN"/>
              </w:rPr>
              <w:t xml:space="preserve">备注：原物业服务人员有3人缴纳社保、公积金。其余为享受政策人员。</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8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8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8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2"/>
      <w:r/>
      <w:bookmarkEnd w:id="63"/>
      <w:r/>
      <w:bookmarkEnd w:id="64"/>
      <w:r>
        <w:rPr>
          <w:rFonts w:hint="eastAsia" w:ascii="方正小标宋简体" w:hAnsi="方正小标宋简体" w:eastAsia="方正小标宋简体" w:cs="方正小标宋简体"/>
          <w:color w:val="000000"/>
          <w:sz w:val="36"/>
          <w:szCs w:val="36"/>
          <w:lang w:val="en-US" w:eastAsia="zh-CN" w:bidi="ar-SA"/>
        </w:rPr>
        <w:t xml:space="preserve">响应文件格式 </w:t>
      </w:r>
      <w:r/>
    </w:p>
    <w:p>
      <w:pPr>
        <w:jc w:val="center"/>
        <w:rPr>
          <w:rFonts w:hint="eastAsia" w:ascii="宋体" w:hAnsi="宋体"/>
          <w:b/>
          <w:sz w:val="72"/>
          <w:szCs w:val="21"/>
        </w:rPr>
      </w:pPr>
      <w:r/>
      <w:bookmarkStart w:id="68" w:name="_Hlt26955039"/>
      <w:r/>
      <w:bookmarkEnd w:id="68"/>
      <w:r/>
      <w:bookmarkStart w:id="69" w:name="_Hlt26671244"/>
      <w:r/>
      <w:bookmarkEnd w:id="69"/>
      <w:r/>
      <w:bookmarkStart w:id="70" w:name="_Toc49090576"/>
      <w:r/>
      <w:bookmarkStart w:id="71" w:name="_Toc26554094"/>
      <w:r/>
      <w:bookmarkStart w:id="72"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bookmarkEnd w:id="60"/>
      <w:r/>
      <w:bookmarkEnd w:id="61"/>
      <w:r/>
      <w:bookmarkEnd w:id="70"/>
      <w:r/>
      <w:bookmarkEnd w:id="71"/>
      <w:r/>
      <w:bookmarkEnd w:id="72"/>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51"/>
        <w:rPr>
          <w:rFonts w:hint="eastAsia"/>
          <w:lang w:eastAsia="zh-CN"/>
        </w:rPr>
      </w:pPr>
      <w:r>
        <w:rPr>
          <w:rFonts w:hint="eastAsia"/>
          <w:lang w:eastAsia="zh-CN"/>
        </w:rPr>
      </w:r>
      <w:r/>
    </w:p>
    <w:p>
      <w:pPr>
        <w:pStyle w:val="951"/>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p>
    <w:p>
      <w:pPr>
        <w:pStyle w:val="961"/>
        <w:spacing w:line="480" w:lineRule="auto"/>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spacing w:line="460" w:lineRule="exact"/>
        <w:rPr>
          <w:rFonts w:hint="eastAsia" w:ascii="宋体" w:hAnsi="宋体"/>
          <w:bCs/>
          <w:sz w:val="24"/>
          <w:szCs w:val="21"/>
        </w:rPr>
      </w:pPr>
      <w:r/>
      <w:bookmarkStart w:id="73" w:name="_Toc120614284"/>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61"/>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61"/>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61"/>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61"/>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61"/>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1"/>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61"/>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4" w:name="_Hlt26671380"/>
      <w:r/>
      <w:bookmarkEnd w:id="74"/>
      <w:r/>
      <w:bookmarkStart w:id="75" w:name="_Hlt26955070"/>
      <w:r/>
      <w:bookmarkEnd w:id="75"/>
      <w:r/>
      <w:bookmarkStart w:id="76" w:name="_格式3__银行出具的资信证明"/>
      <w:r/>
      <w:bookmarkEnd w:id="76"/>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63"/>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3"/>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3"/>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3"/>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951"/>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70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3"/>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六、磋商报价明细表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磋商报价明细表</w:t>
      </w:r>
      <w:r/>
    </w:p>
    <w:p>
      <w:pPr>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p>
    <w:p>
      <w:pPr>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p>
    <w:p>
      <w:pPr>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p>
    <w:tbl>
      <w:tblPr>
        <w:tblStyle w:val="701"/>
        <w:tblW w:w="519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jc w:val="center"/>
          <w:trHeight w:val="819"/>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W w:w="76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302"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p>
        </w:tc>
        <w:tc>
          <w:tcPr>
            <w:tcW w:w="482"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W w:w="469" w:type="dxa"/>
            <w:vAlign w:val="center"/>
            <w:textDirection w:val="lrTb"/>
            <w:noWrap w:val="false"/>
          </w:tcPr>
          <w:p>
            <w:pPr>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489"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p>
        </w:tc>
        <w:tc>
          <w:tcPr>
            <w:tcW w:w="642"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W w:w="1519"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82"/>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W w:w="6522"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W w:w="1519" w:type="dxa"/>
            <w:vAlign w:val="center"/>
            <w:vMerge w:val="restart"/>
            <w:textDirection w:val="lrTb"/>
            <w:noWrap w:val="false"/>
          </w:tcPr>
          <w:p>
            <w:pPr>
              <w:jc w:val="left"/>
              <w:keepLines w:val="0"/>
              <w:keepNext w:val="0"/>
              <w:widowControl/>
              <w:rPr>
                <w:rStyle w:val="884"/>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20人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884"/>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347"/>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W w:w="6522"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W w:w="151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p>
          <w:p>
            <w:pPr>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3人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15"/>
        </w:trPr>
        <w:tc>
          <w:tcPr>
            <w:tcW w:w="331" w:type="dxa"/>
            <w:vAlign w:val="center"/>
            <w:textDirection w:val="lrTb"/>
            <w:noWrap w:val="false"/>
          </w:tcPr>
          <w:p>
            <w:pPr>
              <w:jc w:val="center"/>
              <w:keepLines w:val="0"/>
              <w:keepNext w:val="0"/>
              <w:widowControl/>
              <w:rPr>
                <w:rStyle w:val="884"/>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W w:w="65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W w:w="1519" w:type="dxa"/>
            <w:vAlign w:val="center"/>
            <w:vMerge w:val="restart"/>
            <w:textDirection w:val="lrTb"/>
            <w:noWrap w:val="false"/>
          </w:tcPr>
          <w:p>
            <w:pPr>
              <w:jc w:val="left"/>
              <w:keepLines w:val="0"/>
              <w:keepNext w:val="0"/>
              <w:widowControl/>
              <w:rPr>
                <w:rStyle w:val="884"/>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67"/>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05"/>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83"/>
        </w:trPr>
        <w:tc>
          <w:tcPr>
            <w:tcW w:w="331" w:type="dxa"/>
            <w:vAlign w:val="center"/>
            <w:textDirection w:val="lrTb"/>
            <w:noWrap w:val="false"/>
          </w:tcPr>
          <w:p>
            <w:pPr>
              <w:jc w:val="center"/>
              <w:keepLines w:val="0"/>
              <w:keepNext w:val="0"/>
              <w:widowControl/>
              <w:rPr>
                <w:rStyle w:val="884"/>
                <w:rFonts w:ascii="宋体" w:hAnsi="宋体" w:eastAsia="宋体" w:cs="宋体"/>
                <w:b/>
                <w:bCs/>
                <w:i w:val="0"/>
                <w:iCs w:val="0"/>
                <w:color w:val="000000"/>
                <w:sz w:val="18"/>
                <w:szCs w:val="18"/>
                <w:u w:val="none"/>
                <w:lang w:val="en-US" w:eastAsia="zh-CN" w:bidi="ar-SA"/>
              </w:rPr>
              <w:suppressLineNumbers w:val="0"/>
            </w:pPr>
            <w:r>
              <w:rPr>
                <w:rStyle w:val="884"/>
                <w:rFonts w:hint="eastAsia" w:ascii="宋体" w:hAnsi="宋体" w:cs="宋体"/>
                <w:b/>
                <w:bCs/>
                <w:i w:val="0"/>
                <w:iCs w:val="0"/>
                <w:color w:val="000000"/>
                <w:sz w:val="18"/>
                <w:szCs w:val="18"/>
                <w:u w:val="none"/>
                <w:lang w:val="en-US" w:eastAsia="zh-CN" w:bidi="ar-SA"/>
              </w:rPr>
              <w:t xml:space="preserve">2.2</w:t>
            </w:r>
            <w:r/>
          </w:p>
        </w:tc>
        <w:tc>
          <w:tcPr>
            <w:gridSpan w:val="6"/>
            <w:tcW w:w="652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W w:w="1519" w:type="dxa"/>
            <w:vAlign w:val="center"/>
            <w:vMerge w:val="restart"/>
            <w:textDirection w:val="lrTb"/>
            <w:noWrap w:val="false"/>
          </w:tcPr>
          <w:p>
            <w:pPr>
              <w:jc w:val="left"/>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p>
        </w:tc>
      </w:tr>
      <w:tr>
        <w:trPr>
          <w:jc w:val="center"/>
          <w:trHeight w:val="426"/>
        </w:trPr>
        <w:tc>
          <w:tcPr>
            <w:tcW w:w="331" w:type="dxa"/>
            <w:vAlign w:val="center"/>
            <w:textDirection w:val="lrTb"/>
            <w:noWrap w:val="false"/>
          </w:tcPr>
          <w:p>
            <w:pPr>
              <w:jc w:val="center"/>
              <w:keepLines w:val="0"/>
              <w:keepNext w:val="0"/>
              <w:widowControl/>
              <w:rPr>
                <w:rStyle w:val="88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16"/>
        </w:trPr>
        <w:tc>
          <w:tcPr>
            <w:tcW w:w="331" w:type="dxa"/>
            <w:vAlign w:val="center"/>
            <w:textDirection w:val="lrTb"/>
            <w:noWrap w:val="false"/>
          </w:tcPr>
          <w:p>
            <w:pPr>
              <w:jc w:val="center"/>
              <w:keepLines w:val="0"/>
              <w:keepNext w:val="0"/>
              <w:widowControl/>
              <w:rPr>
                <w:rStyle w:val="88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7"/>
        </w:trPr>
        <w:tc>
          <w:tcPr>
            <w:tcW w:w="331" w:type="dxa"/>
            <w:vAlign w:val="center"/>
            <w:textDirection w:val="lrTb"/>
            <w:noWrap w:val="false"/>
          </w:tcPr>
          <w:p>
            <w:pPr>
              <w:jc w:val="center"/>
              <w:keepLines w:val="0"/>
              <w:keepNext w:val="0"/>
              <w:widowControl/>
              <w:rPr>
                <w:rStyle w:val="884"/>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24"/>
        </w:trPr>
        <w:tc>
          <w:tcPr>
            <w:tcW w:w="331" w:type="dxa"/>
            <w:vAlign w:val="center"/>
            <w:textDirection w:val="lrTb"/>
            <w:noWrap w:val="false"/>
          </w:tcPr>
          <w:p>
            <w:pPr>
              <w:jc w:val="center"/>
              <w:keepLines w:val="0"/>
              <w:keepNext w:val="0"/>
              <w:widowControl/>
              <w:rPr>
                <w:rStyle w:val="884"/>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239"/>
        </w:trPr>
        <w:tc>
          <w:tcPr>
            <w:tcW w:w="331" w:type="dxa"/>
            <w:vAlign w:val="center"/>
            <w:vMerge w:val="restart"/>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W w:w="761"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W w:w="302" w:type="dxa"/>
            <w:vAlign w:val="center"/>
            <w:textDirection w:val="lrTb"/>
            <w:noWrap w:val="false"/>
          </w:tcPr>
          <w:p>
            <w:pPr>
              <w:jc w:val="center"/>
              <w:keepLines w:val="0"/>
              <w:keepNext w:val="0"/>
              <w:widowControl/>
              <w:rPr>
                <w:rStyle w:val="884"/>
                <w:rFonts w:ascii="宋体" w:hAnsi="宋体" w:eastAsia="宋体" w:cs="宋体"/>
                <w:i w:val="0"/>
                <w:iCs w:val="0"/>
                <w:color w:val="000000"/>
                <w:sz w:val="18"/>
                <w:szCs w:val="18"/>
                <w:u w:val="none"/>
                <w:lang w:val="en-US" w:eastAsia="zh-CN" w:bidi="ar-SA"/>
              </w:rPr>
              <w:suppressLineNumbers w:val="0"/>
            </w:pPr>
            <w:r>
              <w:rPr>
                <w:rStyle w:val="884"/>
                <w:rFonts w:hint="eastAsia" w:ascii="宋体" w:hAnsi="宋体" w:cs="宋体"/>
                <w:i w:val="0"/>
                <w:iCs w:val="0"/>
                <w:color w:val="000000"/>
                <w:sz w:val="18"/>
                <w:szCs w:val="18"/>
                <w:u w:val="none"/>
                <w:lang w:val="en-US" w:eastAsia="zh-CN" w:bidi="ar-SA"/>
              </w:rPr>
              <w:t xml:space="preserve">人数</w:t>
            </w:r>
            <w:r/>
          </w:p>
        </w:tc>
        <w:tc>
          <w:tcPr>
            <w:tcW w:w="482" w:type="dxa"/>
            <w:vAlign w:val="center"/>
            <w:textDirection w:val="lrTb"/>
            <w:noWrap w:val="false"/>
          </w:tcPr>
          <w:p>
            <w:pPr>
              <w:jc w:val="center"/>
              <w:keepLines w:val="0"/>
              <w:keepNext w:val="0"/>
              <w:widowControl/>
              <w:rPr>
                <w:rStyle w:val="884"/>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W w:w="469" w:type="dxa"/>
            <w:vAlign w:val="center"/>
            <w:textDirection w:val="lrTb"/>
            <w:noWrap w:val="false"/>
          </w:tcPr>
          <w:p>
            <w:pPr>
              <w:jc w:val="center"/>
              <w:keepLines w:val="0"/>
              <w:keepNext w:val="0"/>
              <w:widowControl/>
              <w:rPr>
                <w:rStyle w:val="884"/>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W w:w="489" w:type="dxa"/>
            <w:vAlign w:val="center"/>
            <w:textDirection w:val="lrTb"/>
            <w:noWrap w:val="false"/>
          </w:tcPr>
          <w:p>
            <w:pPr>
              <w:jc w:val="center"/>
              <w:keepLines w:val="0"/>
              <w:keepNext w:val="0"/>
              <w:widowControl/>
              <w:rPr>
                <w:rStyle w:val="884"/>
                <w:rFonts w:ascii="宋体" w:hAnsi="宋体" w:eastAsia="宋体" w:cs="宋体"/>
                <w:b w:val="0"/>
                <w:bCs w:val="0"/>
                <w:i w:val="0"/>
                <w:iCs w:val="0"/>
                <w:color w:val="000000"/>
                <w:sz w:val="18"/>
                <w:szCs w:val="18"/>
                <w:u w:val="none"/>
                <w:lang w:val="en-US" w:eastAsia="zh-CN" w:bidi="ar-SA"/>
              </w:rPr>
              <w:suppressLineNumbers w:val="0"/>
            </w:pPr>
            <w:r>
              <w:rPr>
                <w:rStyle w:val="884"/>
                <w:rFonts w:hint="eastAsia" w:ascii="宋体" w:hAnsi="宋体" w:eastAsia="宋体" w:cs="宋体"/>
                <w:b w:val="0"/>
                <w:bCs w:val="0"/>
                <w:i w:val="0"/>
                <w:iCs w:val="0"/>
                <w:color w:val="000000"/>
                <w:sz w:val="18"/>
                <w:szCs w:val="18"/>
                <w:u w:val="none"/>
                <w:lang w:val="en-US" w:eastAsia="zh-CN" w:bidi="ar-SA"/>
              </w:rPr>
              <w:t xml:space="preserve">分项小计（元）</w:t>
            </w:r>
            <w:r/>
          </w:p>
        </w:tc>
        <w:tc>
          <w:tcPr>
            <w:tcW w:w="64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W w:w="1519" w:type="dxa"/>
            <w:vAlign w:val="center"/>
            <w:textDirection w:val="lrTb"/>
            <w:noWrap w:val="false"/>
          </w:tcPr>
          <w:p>
            <w:pPr>
              <w:jc w:val="left"/>
              <w:keepLines w:val="0"/>
              <w:keepNext w:val="0"/>
              <w:widowControl/>
              <w:rPr>
                <w:rStyle w:val="884"/>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15人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p>
        </w:tc>
      </w:tr>
      <w:tr>
        <w:trPr>
          <w:jc w:val="center"/>
          <w:trHeight w:val="517"/>
        </w:trPr>
        <w:tc>
          <w:tcPr>
            <w:tcW w:w="33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jc w:val="center"/>
              <w:keepLines w:val="0"/>
              <w:keepNext w:val="0"/>
              <w:widowControl/>
              <w:rPr>
                <w:rStyle w:val="884"/>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eastAsia="宋体" w:cs="宋体"/>
                <w:b/>
                <w:bCs/>
                <w:i w:val="0"/>
                <w:iCs w:val="0"/>
                <w:color w:val="000000"/>
                <w:sz w:val="18"/>
                <w:szCs w:val="18"/>
                <w:u w:val="none"/>
                <w:lang w:val="en-US" w:eastAsia="zh-CN"/>
              </w:rPr>
              <w:t xml:space="preserve">(13天）</w:t>
            </w:r>
            <w:r/>
          </w:p>
        </w:tc>
      </w:tr>
      <w:tr>
        <w:trPr>
          <w:jc w:val="center"/>
          <w:trHeight w:val="424"/>
        </w:trPr>
        <w:tc>
          <w:tcPr>
            <w:tcW w:w="331" w:type="dxa"/>
            <w:vAlign w:val="center"/>
            <w:textDirection w:val="lrTb"/>
            <w:noWrap w:val="false"/>
          </w:tcPr>
          <w:p>
            <w:pPr>
              <w:jc w:val="center"/>
              <w:keepLines w:val="0"/>
              <w:keepNext w:val="0"/>
              <w:widowControl/>
              <w:rPr>
                <w:rStyle w:val="884"/>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W w:w="9670" w:type="dxa"/>
            <w:vAlign w:val="center"/>
            <w:textDirection w:val="lrTb"/>
            <w:noWrap w:val="false"/>
          </w:tcPr>
          <w:p>
            <w:pPr>
              <w:jc w:val="left"/>
              <w:keepLines w:val="0"/>
              <w:keepNext w:val="0"/>
              <w:widowControl/>
              <w:rPr>
                <w:rStyle w:val="884"/>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W w:w="49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jc w:val="left"/>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ff"/>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bidi="ar-SA"/>
              </w:rPr>
            </w:r>
            <w:r/>
          </w:p>
        </w:tc>
        <w:tc>
          <w:tcPr>
            <w:gridSpan w:val="5"/>
            <w:tcW w:w="4944" w:type="dxa"/>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19"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W w:w="9670"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W w:w="4944" w:type="dxa"/>
            <w:vAlign w:val="center"/>
            <w:textDirection w:val="lrTb"/>
            <w:noWrap w:val="false"/>
          </w:tcPr>
          <w:p>
            <w:pPr>
              <w:jc w:val="center"/>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jc w:val="center"/>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W w:w="4944" w:type="dxa"/>
            <w:vAlign w:val="center"/>
            <w:textDirection w:val="lrTb"/>
            <w:noWrap w:val="false"/>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W w:w="4944" w:type="dxa"/>
            <w:vAlign w:val="center"/>
            <w:textDirection w:val="lrTb"/>
            <w:noWrap w:val="false"/>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W w:w="4944" w:type="dxa"/>
            <w:vAlign w:val="center"/>
            <w:textDirection w:val="lrTb"/>
            <w:noWrap w:val="false"/>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W w:w="4944" w:type="dxa"/>
            <w:vAlign w:val="center"/>
            <w:textDirection w:val="lrTb"/>
            <w:noWrap w:val="false"/>
          </w:tcPr>
          <w:p>
            <w:pPr>
              <w:jc w:val="both"/>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供应商须为卫生保洁人员配备统一的着装，每人夏冬装各不少于2套，服装款式须经采购人认可后定制、着装。</w:t>
            </w:r>
            <w:r/>
          </w:p>
        </w:tc>
      </w:tr>
      <w:tr>
        <w:trPr>
          <w:jc w:val="center"/>
          <w:trHeight w:val="526"/>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W w:w="9670" w:type="dxa"/>
            <w:vAlign w:val="center"/>
            <w:textDirection w:val="lrTb"/>
            <w:noWrap w:val="false"/>
          </w:tcPr>
          <w:p>
            <w:pPr>
              <w:jc w:val="left"/>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p>
        </w:tc>
        <w:tc>
          <w:tcPr>
            <w:gridSpan w:val="5"/>
            <w:tcW w:w="4944" w:type="dxa"/>
            <w:vAlign w:val="center"/>
            <w:textDirection w:val="lrTb"/>
            <w:noWrap w:val="false"/>
          </w:tcPr>
          <w:p>
            <w:pPr>
              <w:jc w:val="left"/>
              <w:keepLines w:val="0"/>
              <w:keepNext w:val="0"/>
              <w:widowControl/>
              <w:rPr>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r>
            <w:r/>
          </w:p>
        </w:tc>
        <w:tc>
          <w:tcPr>
            <w:tcW w:w="1519" w:type="dxa"/>
            <w:vAlign w:val="center"/>
            <w:textDirection w:val="lrTb"/>
            <w:noWrap w:val="false"/>
          </w:tcPr>
          <w:p>
            <w:pPr>
              <w:jc w:val="left"/>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清洁耗材包括但不限于扫把、地推、垃圾袋、垃圾桶、消毒液、洁厕灵等。供应商自行测算考虑到报价中。</w:t>
            </w:r>
            <w:r/>
          </w:p>
        </w:tc>
      </w:tr>
      <w:tr>
        <w:trPr>
          <w:jc w:val="center"/>
          <w:trHeight w:val="499"/>
        </w:trPr>
        <w:tc>
          <w:tcPr>
            <w:tcW w:w="33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Style w:val="884"/>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W w:w="4944" w:type="dxa"/>
            <w:vAlign w:val="center"/>
            <w:textDirection w:val="lrTb"/>
            <w:noWrap w:val="false"/>
          </w:tcPr>
          <w:p>
            <w:pPr>
              <w:jc w:val="center"/>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jc w:val="center"/>
              <w:widowControl w:val="off"/>
              <w:rPr>
                <w:rStyle w:val="884"/>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W w:w="331" w:type="dxa"/>
            <w:vAlign w:val="center"/>
            <w:textDirection w:val="lrTb"/>
            <w:noWrap w:val="false"/>
          </w:tcPr>
          <w:p>
            <w:pPr>
              <w:jc w:val="center"/>
              <w:keepLines w:val="0"/>
              <w:keepNext w:val="0"/>
              <w:widowControl/>
              <w:rPr>
                <w:rStyle w:val="884"/>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W w:w="494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W w:w="494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884"/>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W w:w="4944"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19"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填报税费。</w:t>
            </w:r>
            <w:r/>
          </w:p>
        </w:tc>
      </w:tr>
      <w:tr>
        <w:trPr>
          <w:jc w:val="center"/>
          <w:trHeight w:val="970"/>
        </w:trPr>
        <w:tc>
          <w:tcPr>
            <w:tcW w:w="331" w:type="dxa"/>
            <w:vAlign w:val="center"/>
            <w:textDirection w:val="lrTb"/>
            <w:noWrap w:val="false"/>
          </w:tcPr>
          <w:p>
            <w:pPr>
              <w:jc w:val="center"/>
              <w:keepLines w:val="0"/>
              <w:keepNext w:val="0"/>
              <w:widowControl/>
              <w:rPr>
                <w:rStyle w:val="884"/>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W w:w="4944"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19" w:type="dxa"/>
            <w:vAlign w:val="center"/>
            <w:textDirection w:val="lrTb"/>
            <w:noWrap/>
          </w:tcPr>
          <w:p>
            <w:pPr>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549"/>
        </w:trPr>
        <w:tc>
          <w:tcPr>
            <w:tcW w:w="331" w:type="dxa"/>
            <w:vAlign w:val="center"/>
            <w:textDirection w:val="lrTb"/>
            <w:noWrap w:val="false"/>
          </w:tcPr>
          <w:p>
            <w:pPr>
              <w:jc w:val="center"/>
              <w:widowControl w:val="off"/>
              <w:rPr>
                <w:rStyle w:val="884"/>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11</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p>
        </w:tc>
        <w:tc>
          <w:tcPr>
            <w:gridSpan w:val="6"/>
            <w:tcW w:w="8092" w:type="dxa"/>
            <w:vAlign w:val="center"/>
            <w:textDirection w:val="lrTb"/>
            <w:noWrap w:val="false"/>
          </w:tcPr>
          <w:p>
            <w:pPr>
              <w:jc w:val="center"/>
              <w:widowControl w:val="off"/>
              <w:rPr>
                <w:rStyle w:val="884"/>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881"/>
        </w:trPr>
        <w:tc>
          <w:tcPr>
            <w:gridSpan w:val="8"/>
            <w:tcW w:w="10356" w:type="dxa"/>
            <w:vAlign w:val="center"/>
            <w:textDirection w:val="lrTb"/>
            <w:noWrap w:val="false"/>
          </w:tcPr>
          <w:p>
            <w:pPr>
              <w:jc w:val="left"/>
              <w:widowControl w:val="off"/>
              <w:rPr>
                <w:rStyle w:val="884"/>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01"/>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488" w:type="dxa"/>
            <w:vAlign w:val="center"/>
            <w:textDirection w:val="lrTb"/>
            <w:noWrap/>
          </w:tcPr>
          <w:p>
            <w:pPr>
              <w:jc w:val="center"/>
              <w:keepLines w:val="0"/>
              <w:keepNext w:val="0"/>
              <w:pageBreakBefore w:val="0"/>
              <w:spacing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53" w:type="dxa"/>
            <w:vAlign w:val="center"/>
            <w:textDirection w:val="lrTb"/>
            <w:noWrap/>
          </w:tcPr>
          <w:p>
            <w:pPr>
              <w:jc w:val="center"/>
              <w:keepLines w:val="0"/>
              <w:keepNext w:val="0"/>
              <w:pageBreakBefore w:val="0"/>
              <w:spacing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488"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p>
        </w:tc>
        <w:tc>
          <w:tcPr>
            <w:tcW w:w="1553"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p>
        </w:tc>
        <w:tc>
          <w:tcPr>
            <w:tcW w:w="148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53"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W w:w="148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W w:w="1553"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W w:w="148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W w:w="1553" w:type="dxa"/>
            <w:vAlign w:val="center"/>
            <w:textDirection w:val="lrTb"/>
            <w:noWrap/>
          </w:tcPr>
          <w:p>
            <w:pPr>
              <w:jc w:val="left"/>
              <w:keepLines w:val="0"/>
              <w:keepNext w:val="0"/>
              <w:pageBreakBefore w:val="0"/>
              <w:spacing w:line="240" w:lineRule="auto"/>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488"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≥3962.144</w:t>
            </w:r>
            <w:r/>
          </w:p>
        </w:tc>
        <w:tc>
          <w:tcPr>
            <w:tcW w:w="1553"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488"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p>
        </w:tc>
        <w:tc>
          <w:tcPr>
            <w:tcW w:w="1553"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表2：社会保险最低缴费比例（参考）</w:t>
      </w:r>
      <w:r/>
    </w:p>
    <w:tbl>
      <w:tblPr>
        <w:tblStyle w:val="945"/>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jc w:val="center"/>
              <w:keepLines w:val="0"/>
              <w:keepNext w:val="0"/>
              <w:spacing w:after="0"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2935" w:type="dxa"/>
            <w:vAlign w:val="top"/>
            <w:textDirection w:val="lrTb"/>
            <w:noWrap w:val="false"/>
          </w:tcPr>
          <w:p>
            <w:pPr>
              <w:jc w:val="center"/>
              <w:keepLines w:val="0"/>
              <w:keepNext w:val="0"/>
              <w:spacing w:after="0" w:line="240" w:lineRule="auto"/>
              <w:widowControl/>
              <w:rPr>
                <w:rStyle w:val="88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2935" w:type="dxa"/>
            <w:vAlign w:val="top"/>
            <w:textDirection w:val="lrTb"/>
            <w:noWrap w:val="false"/>
          </w:tcPr>
          <w:p>
            <w:pPr>
              <w:jc w:val="center"/>
              <w:spacing w:after="0" w:line="240" w:lineRule="auto"/>
              <w:widowControl w:val="off"/>
              <w:rPr>
                <w:rStyle w:val="88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951"/>
        <w:rPr>
          <w:rFonts w:ascii="宋体" w:hAnsi="宋体" w:eastAsia="宋体"/>
          <w:sz w:val="24"/>
          <w:szCs w:val="24"/>
          <w:lang w:val="en-US" w:eastAsia="zh-CN"/>
        </w:rPr>
      </w:pPr>
      <w:r>
        <w:rPr>
          <w:rFonts w:ascii="宋体" w:hAnsi="宋体" w:eastAsia="宋体"/>
          <w:sz w:val="24"/>
          <w:szCs w:val="24"/>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p>
    <w:p>
      <w:pPr>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w:t>
      </w:r>
      <w:bookmarkEnd w:id="73"/>
      <w:r/>
      <w:r/>
    </w:p>
    <w:p>
      <w:pPr>
        <w:spacing w:line="480" w:lineRule="exact"/>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ff"/>
          <w:sz w:val="32"/>
          <w:szCs w:val="32"/>
          <w:u w:val="none"/>
          <w:lang w:val="en-US" w:eastAsia="zh-CN"/>
        </w:rPr>
      </w:pPr>
      <w:r/>
      <w:bookmarkStart w:id="77" w:name="_Hlt26955054"/>
      <w:r/>
      <w:bookmarkEnd w:id="77"/>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51"/>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5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5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43"/>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51"/>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51"/>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３９</w:t>
    </w:r>
    <w:r>
      <w:rPr>
        <w:rFonts w:ascii="宋体" w:hAnsi="宋体"/>
      </w:rPr>
      <w:fldChar w:fldCharType="end"/>
    </w:r>
    <w:r/>
  </w:p>
  <w:p>
    <w:pPr>
      <w:pStyle w:val="9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首行缩进 21"/>
    <w:basedOn w:val="703"/>
    <w:next w:val="690"/>
    <w:uiPriority w:val="0"/>
    <w:qFormat/>
    <w:pPr>
      <w:ind w:left="0" w:firstLine="420"/>
      <w:spacing w:after="0" w:line="360" w:lineRule="auto"/>
    </w:pPr>
    <w:rPr>
      <w:rFonts w:ascii="宋体" w:hAnsi="宋体"/>
      <w:szCs w:val="20"/>
    </w:rPr>
  </w:style>
  <w:style w:type="paragraph" w:styleId="703" w:customStyle="1">
    <w:name w:val="正文文本缩进11"/>
    <w:basedOn w:val="690"/>
    <w:next w:val="704"/>
    <w:uiPriority w:val="0"/>
    <w:unhideWhenUsed/>
    <w:qFormat/>
    <w:pPr>
      <w:ind w:left="420"/>
      <w:spacing w:after="120"/>
    </w:pPr>
  </w:style>
  <w:style w:type="paragraph" w:styleId="704" w:customStyle="1">
    <w:name w:val="寄信人地址1"/>
    <w:basedOn w:val="690"/>
    <w:uiPriority w:val="0"/>
    <w:qFormat/>
    <w:rPr>
      <w:rFonts w:ascii="Arial" w:hAnsi="Arial" w:cs="宋体"/>
    </w:rPr>
  </w:style>
  <w:style w:type="paragraph" w:styleId="705">
    <w:name w:val="toc 7"/>
    <w:basedOn w:val="690"/>
    <w:next w:val="690"/>
    <w:uiPriority w:val="39"/>
    <w:unhideWhenUsed/>
    <w:pPr>
      <w:ind w:left="1701" w:right="0" w:firstLine="0"/>
      <w:spacing w:after="57"/>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0"/>
    <w:next w:val="690"/>
    <w:uiPriority w:val="39"/>
    <w:unhideWhenUsed/>
    <w:pPr>
      <w:ind w:left="1134" w:right="0" w:firstLine="0"/>
      <w:spacing w:after="57"/>
    </w:pPr>
  </w:style>
  <w:style w:type="paragraph" w:styleId="708">
    <w:name w:val="toc 3"/>
    <w:basedOn w:val="690"/>
    <w:next w:val="690"/>
    <w:uiPriority w:val="39"/>
    <w:unhideWhenUsed/>
    <w:pPr>
      <w:ind w:left="567" w:right="0" w:firstLine="0"/>
      <w:spacing w:after="57"/>
    </w:pPr>
  </w:style>
  <w:style w:type="paragraph" w:styleId="709">
    <w:name w:val="toc 8"/>
    <w:basedOn w:val="690"/>
    <w:next w:val="690"/>
    <w:uiPriority w:val="39"/>
    <w:unhideWhenUsed/>
    <w:pPr>
      <w:ind w:left="1984" w:right="0" w:firstLine="0"/>
      <w:spacing w:after="57"/>
    </w:pPr>
  </w:style>
  <w:style w:type="paragraph" w:styleId="710">
    <w:name w:val="endnote text"/>
    <w:basedOn w:val="690"/>
    <w:link w:val="872"/>
    <w:uiPriority w:val="99"/>
    <w:semiHidden/>
    <w:unhideWhenUsed/>
    <w:pPr>
      <w:spacing w:after="0" w:line="240" w:lineRule="auto"/>
    </w:pPr>
    <w:rPr>
      <w:sz w:val="20"/>
    </w:rPr>
  </w:style>
  <w:style w:type="paragraph" w:styleId="711">
    <w:name w:val="Footer"/>
    <w:basedOn w:val="690"/>
    <w:link w:val="745"/>
    <w:uiPriority w:val="99"/>
    <w:unhideWhenUsed/>
    <w:qFormat/>
    <w:pPr>
      <w:spacing w:after="0" w:line="240" w:lineRule="auto"/>
      <w:tabs>
        <w:tab w:val="center" w:pos="7143" w:leader="none"/>
        <w:tab w:val="right" w:pos="14287" w:leader="none"/>
      </w:tabs>
    </w:pPr>
  </w:style>
  <w:style w:type="paragraph" w:styleId="712">
    <w:name w:val="Header"/>
    <w:basedOn w:val="690"/>
    <w:link w:val="743"/>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pPr>
      <w:ind w:left="0" w:right="0" w:firstLine="0"/>
      <w:spacing w:after="57"/>
    </w:pPr>
  </w:style>
  <w:style w:type="paragraph" w:styleId="714">
    <w:name w:val="toc 4"/>
    <w:basedOn w:val="690"/>
    <w:next w:val="690"/>
    <w:uiPriority w:val="39"/>
    <w:unhideWhenUsed/>
    <w:pPr>
      <w:ind w:left="850" w:right="0" w:firstLine="0"/>
      <w:spacing w:after="57"/>
    </w:pPr>
  </w:style>
  <w:style w:type="paragraph" w:styleId="715">
    <w:name w:val="Subtitle"/>
    <w:basedOn w:val="690"/>
    <w:next w:val="690"/>
    <w:link w:val="738"/>
    <w:uiPriority w:val="11"/>
    <w:qFormat/>
    <w:pPr>
      <w:spacing w:before="200" w:after="200"/>
    </w:pPr>
    <w:rPr>
      <w:sz w:val="24"/>
      <w:szCs w:val="24"/>
    </w:rPr>
  </w:style>
  <w:style w:type="paragraph" w:styleId="716">
    <w:name w:val="footnote text"/>
    <w:basedOn w:val="690"/>
    <w:link w:val="871"/>
    <w:uiPriority w:val="99"/>
    <w:semiHidden/>
    <w:unhideWhenUsed/>
    <w:pPr>
      <w:spacing w:after="40" w:line="240" w:lineRule="auto"/>
    </w:pPr>
    <w:rPr>
      <w:sz w:val="18"/>
    </w:rPr>
  </w:style>
  <w:style w:type="paragraph" w:styleId="717">
    <w:name w:val="toc 6"/>
    <w:basedOn w:val="690"/>
    <w:next w:val="690"/>
    <w:uiPriority w:val="39"/>
    <w:unhideWhenUsed/>
    <w:pPr>
      <w:ind w:left="1417" w:right="0" w:firstLine="0"/>
      <w:spacing w:after="57"/>
    </w:pPr>
  </w:style>
  <w:style w:type="paragraph" w:styleId="718">
    <w:name w:val="table of figures"/>
    <w:basedOn w:val="690"/>
    <w:next w:val="690"/>
    <w:uiPriority w:val="99"/>
    <w:unhideWhenUsed/>
    <w:pPr>
      <w:spacing w:after="0" w:afterAutospacing="0"/>
    </w:pPr>
  </w:style>
  <w:style w:type="paragraph" w:styleId="719">
    <w:name w:val="toc 2"/>
    <w:basedOn w:val="690"/>
    <w:next w:val="690"/>
    <w:uiPriority w:val="39"/>
    <w:unhideWhenUsed/>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rPr>
      <w:color w:val="0000ff" w:themeColor="hyperlink"/>
      <w:u w:val="single"/>
      <w14:textFill>
        <w14:solidFill>
          <w14:schemeClr w14:val="hlink"/>
        </w14:solidFill>
      </w14:textFill>
    </w:rPr>
  </w:style>
  <w:style w:type="character" w:styleId="725">
    <w:name w:val="footnote reference"/>
    <w:uiPriority w:val="99"/>
    <w:unhideWhenUsed/>
    <w:rPr>
      <w:vertAlign w:val="superscript"/>
    </w:rPr>
  </w:style>
  <w:style w:type="character" w:styleId="726" w:customStyle="1">
    <w:name w:val="Heading 1 Char"/>
    <w:link w:val="691"/>
    <w:uiPriority w:val="9"/>
    <w:qFormat/>
    <w:rPr>
      <w:rFonts w:ascii="Arial" w:hAnsi="Arial" w:eastAsia="Arial" w:cs="Arial"/>
      <w:sz w:val="40"/>
      <w:szCs w:val="40"/>
    </w:rPr>
  </w:style>
  <w:style w:type="character" w:styleId="727" w:customStyle="1">
    <w:name w:val="Heading 2 Char"/>
    <w:link w:val="692"/>
    <w:uiPriority w:val="9"/>
    <w:qFormat/>
    <w:rPr>
      <w:rFonts w:ascii="Arial" w:hAnsi="Arial" w:eastAsia="Arial" w:cs="Arial"/>
      <w:sz w:val="34"/>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qFormat/>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rPr>
      <w:sz w:val="18"/>
    </w:rPr>
  </w:style>
  <w:style w:type="character" w:styleId="872" w:customStyle="1">
    <w:name w:val="Endnote Text Char"/>
    <w:link w:val="710"/>
    <w:uiPriority w:val="99"/>
    <w:rPr>
      <w:sz w:val="20"/>
    </w:rPr>
  </w:style>
  <w:style w:type="paragraph" w:styleId="873" w:customStyle="1">
    <w:name w:val="TOC Heading"/>
    <w:uiPriority w:val="39"/>
    <w:unhideWhenUsed/>
    <w:rPr>
      <w:rFonts w:hint="default" w:ascii="Times New Roman" w:hAnsi="Times New Roman" w:eastAsia="宋体" w:cs="Times New Roman"/>
    </w:rPr>
  </w:style>
  <w:style w:type="paragraph" w:styleId="874" w:customStyle="1">
    <w:name w:val="标题 11"/>
    <w:basedOn w:val="690"/>
    <w:next w:val="690"/>
    <w:link w:val="886"/>
    <w:uiPriority w:val="0"/>
    <w:qFormat/>
    <w:pPr>
      <w:jc w:val="center"/>
      <w:keepNext/>
      <w:outlineLvl w:val="0"/>
    </w:pPr>
    <w:rPr>
      <w:rFonts w:ascii="楷体_GB2312" w:hAnsi="Times New Roman" w:eastAsia="楷体_GB2312" w:cs="Times New Roman"/>
      <w:sz w:val="28"/>
      <w:szCs w:val="28"/>
    </w:rPr>
  </w:style>
  <w:style w:type="paragraph" w:styleId="875" w:customStyle="1">
    <w:name w:val="标题 21"/>
    <w:basedOn w:val="690"/>
    <w:next w:val="876"/>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90"/>
    <w:link w:val="888"/>
    <w:uiPriority w:val="0"/>
    <w:pPr>
      <w:ind w:firstLine="420"/>
    </w:pPr>
    <w:rPr>
      <w:szCs w:val="21"/>
    </w:rPr>
  </w:style>
  <w:style w:type="paragraph" w:styleId="877" w:customStyle="1">
    <w:name w:val="标题 31"/>
    <w:basedOn w:val="690"/>
    <w:next w:val="876"/>
    <w:link w:val="88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8" w:customStyle="1">
    <w:name w:val="标题 41"/>
    <w:basedOn w:val="690"/>
    <w:next w:val="876"/>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0"/>
    <w:next w:val="876"/>
    <w:link w:val="891"/>
    <w:uiPriority w:val="0"/>
    <w:qFormat/>
    <w:pPr>
      <w:keepNext/>
      <w:outlineLvl w:val="4"/>
    </w:pPr>
    <w:rPr>
      <w:rFonts w:ascii="宋体" w:hAnsi="Times New Roman" w:eastAsia="宋体" w:cs="Times New Roman"/>
      <w:color w:val="000000"/>
      <w:sz w:val="28"/>
      <w:szCs w:val="28"/>
    </w:rPr>
  </w:style>
  <w:style w:type="paragraph" w:styleId="880" w:customStyle="1">
    <w:name w:val="标题 61"/>
    <w:basedOn w:val="690"/>
    <w:next w:val="690"/>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1" w:customStyle="1">
    <w:name w:val="标题 71"/>
    <w:basedOn w:val="690"/>
    <w:next w:val="690"/>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2" w:customStyle="1">
    <w:name w:val="标题 81"/>
    <w:basedOn w:val="690"/>
    <w:next w:val="690"/>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3" w:customStyle="1">
    <w:name w:val="标题 91"/>
    <w:basedOn w:val="690"/>
    <w:next w:val="690"/>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4" w:customStyle="1">
    <w:name w:val="默认段落字体1"/>
    <w:link w:val="690"/>
    <w:uiPriority w:val="1"/>
    <w:unhideWhenUsed/>
  </w:style>
  <w:style w:type="table" w:styleId="885" w:customStyle="1">
    <w:name w:val="普通表格11"/>
    <w:uiPriority w:val="99"/>
    <w:unhideWhenUsed/>
    <w:tblPr/>
  </w:style>
  <w:style w:type="character" w:styleId="886" w:customStyle="1">
    <w:name w:val="标题 1 Char"/>
    <w:link w:val="874"/>
    <w:uiPriority w:val="0"/>
    <w:rPr>
      <w:rFonts w:ascii="楷体_GB2312" w:hAnsi="Times New Roman" w:eastAsia="楷体_GB2312" w:cs="Times New Roman"/>
      <w:sz w:val="28"/>
      <w:szCs w:val="28"/>
    </w:rPr>
  </w:style>
  <w:style w:type="character" w:styleId="887" w:customStyle="1">
    <w:name w:val="标题 2 Char"/>
    <w:link w:val="875"/>
    <w:uiPriority w:val="0"/>
    <w:rPr>
      <w:rFonts w:ascii="Arial" w:hAnsi="Arial" w:eastAsia="幼圆" w:cs="Arial"/>
      <w:b/>
      <w:bCs/>
      <w:sz w:val="44"/>
      <w:szCs w:val="44"/>
    </w:rPr>
  </w:style>
  <w:style w:type="character" w:styleId="888" w:customStyle="1">
    <w:name w:val="正文缩进 Char"/>
    <w:link w:val="876"/>
    <w:uiPriority w:val="0"/>
    <w:rPr>
      <w:szCs w:val="21"/>
    </w:rPr>
  </w:style>
  <w:style w:type="character" w:styleId="889" w:customStyle="1">
    <w:name w:val="标题 3 Char"/>
    <w:link w:val="877"/>
    <w:uiPriority w:val="0"/>
    <w:rPr>
      <w:rFonts w:ascii="Times New Roman" w:hAnsi="Times New Roman" w:eastAsia="宋体" w:cs="Times New Roman"/>
      <w:b/>
      <w:bCs/>
      <w:sz w:val="32"/>
      <w:szCs w:val="32"/>
    </w:rPr>
  </w:style>
  <w:style w:type="character" w:styleId="890" w:customStyle="1">
    <w:name w:val="标题 4 Char"/>
    <w:link w:val="878"/>
    <w:uiPriority w:val="0"/>
    <w:rPr>
      <w:rFonts w:ascii="Arial" w:hAnsi="Arial" w:eastAsia="黑体" w:cs="Arial"/>
      <w:b/>
      <w:bCs/>
      <w:sz w:val="28"/>
      <w:szCs w:val="28"/>
    </w:rPr>
  </w:style>
  <w:style w:type="character" w:styleId="891" w:customStyle="1">
    <w:name w:val="标题 5 Char"/>
    <w:link w:val="879"/>
    <w:uiPriority w:val="0"/>
    <w:rPr>
      <w:rFonts w:ascii="宋体" w:hAnsi="Times New Roman" w:eastAsia="宋体" w:cs="Times New Roman"/>
      <w:color w:val="000000"/>
      <w:sz w:val="28"/>
      <w:szCs w:val="28"/>
    </w:rPr>
  </w:style>
  <w:style w:type="character" w:styleId="892" w:customStyle="1">
    <w:name w:val="标题 6 Char"/>
    <w:link w:val="880"/>
    <w:uiPriority w:val="0"/>
    <w:rPr>
      <w:rFonts w:ascii="Arial" w:hAnsi="Arial" w:eastAsia="黑体" w:cs="Times New Roman"/>
      <w:b/>
      <w:bCs/>
      <w:sz w:val="24"/>
      <w:szCs w:val="24"/>
    </w:rPr>
  </w:style>
  <w:style w:type="character" w:styleId="893" w:customStyle="1">
    <w:name w:val="标题 7 Char"/>
    <w:link w:val="881"/>
    <w:uiPriority w:val="0"/>
    <w:rPr>
      <w:rFonts w:ascii="Times New Roman" w:hAnsi="Times New Roman" w:eastAsia="宋体" w:cs="Times New Roman"/>
      <w:b/>
      <w:bCs/>
      <w:sz w:val="24"/>
      <w:szCs w:val="24"/>
    </w:rPr>
  </w:style>
  <w:style w:type="character" w:styleId="894" w:customStyle="1">
    <w:name w:val="标题 8 Char"/>
    <w:link w:val="882"/>
    <w:uiPriority w:val="0"/>
    <w:rPr>
      <w:rFonts w:ascii="Arial" w:hAnsi="Arial" w:eastAsia="黑体" w:cs="Times New Roman"/>
      <w:sz w:val="24"/>
      <w:szCs w:val="24"/>
    </w:rPr>
  </w:style>
  <w:style w:type="character" w:styleId="895" w:customStyle="1">
    <w:name w:val="标题 9 Char"/>
    <w:link w:val="883"/>
    <w:uiPriority w:val="0"/>
    <w:rPr>
      <w:rFonts w:ascii="Arial" w:hAnsi="Arial" w:eastAsia="黑体" w:cs="Times New Roman"/>
      <w:szCs w:val="21"/>
    </w:rPr>
  </w:style>
  <w:style w:type="paragraph" w:styleId="896" w:customStyle="1">
    <w:name w:val="列表 31"/>
    <w:basedOn w:val="690"/>
    <w:uiPriority w:val="0"/>
    <w:pPr>
      <w:ind w:left="100" w:hanging="200"/>
    </w:pPr>
    <w:rPr>
      <w:rFonts w:ascii="Times New Roman" w:hAnsi="Times New Roman" w:eastAsia="宋体" w:cs="Times New Roman"/>
      <w:szCs w:val="21"/>
    </w:rPr>
  </w:style>
  <w:style w:type="paragraph" w:styleId="897" w:customStyle="1">
    <w:name w:val="目录 71"/>
    <w:basedOn w:val="690"/>
    <w:next w:val="690"/>
    <w:uiPriority w:val="0"/>
    <w:semiHidden/>
    <w:pPr>
      <w:ind w:left="1260"/>
      <w:jc w:val="left"/>
    </w:pPr>
    <w:rPr>
      <w:rFonts w:ascii="Times New Roman" w:hAnsi="Times New Roman" w:eastAsia="宋体" w:cs="Times New Roman"/>
      <w:szCs w:val="21"/>
    </w:rPr>
  </w:style>
  <w:style w:type="paragraph" w:styleId="898" w:customStyle="1">
    <w:name w:val="文档结构图1"/>
    <w:basedOn w:val="690"/>
    <w:link w:val="899"/>
    <w:uiPriority w:val="0"/>
    <w:semiHidden/>
    <w:pPr>
      <w:shd w:val="clear" w:color="auto" w:fill="000080"/>
    </w:pPr>
    <w:rPr>
      <w:rFonts w:ascii="Times New Roman" w:hAnsi="Times New Roman" w:eastAsia="宋体" w:cs="Times New Roman"/>
      <w:szCs w:val="21"/>
    </w:rPr>
  </w:style>
  <w:style w:type="character" w:styleId="899" w:customStyle="1">
    <w:name w:val="文档结构图 Char"/>
    <w:link w:val="898"/>
    <w:uiPriority w:val="0"/>
    <w:semiHidden/>
    <w:rPr>
      <w:rFonts w:ascii="Times New Roman" w:hAnsi="Times New Roman" w:eastAsia="宋体" w:cs="Times New Roman"/>
      <w:szCs w:val="21"/>
      <w:shd w:val="clear" w:color="auto" w:fill="000080"/>
    </w:rPr>
  </w:style>
  <w:style w:type="paragraph" w:styleId="900" w:customStyle="1">
    <w:name w:val="批注文字1"/>
    <w:basedOn w:val="690"/>
    <w:link w:val="901"/>
    <w:uiPriority w:val="0"/>
    <w:unhideWhenUsed/>
    <w:pPr>
      <w:jc w:val="left"/>
    </w:pPr>
  </w:style>
  <w:style w:type="character" w:styleId="901" w:customStyle="1">
    <w:name w:val="批注文字 Char"/>
    <w:basedOn w:val="884"/>
    <w:link w:val="900"/>
    <w:uiPriority w:val="99"/>
    <w:semiHidden/>
  </w:style>
  <w:style w:type="paragraph" w:styleId="902" w:customStyle="1">
    <w:name w:val="正文文本 31"/>
    <w:basedOn w:val="690"/>
    <w:link w:val="903"/>
    <w:uiPriority w:val="0"/>
    <w:rPr>
      <w:rFonts w:ascii="仿宋_GB2312" w:hAnsi="Arial" w:eastAsia="仿宋_GB2312" w:cs="Times New Roman"/>
      <w:sz w:val="32"/>
      <w:szCs w:val="32"/>
    </w:rPr>
  </w:style>
  <w:style w:type="character" w:styleId="903" w:customStyle="1">
    <w:name w:val="正文文本 3 Char"/>
    <w:link w:val="902"/>
    <w:uiPriority w:val="0"/>
    <w:rPr>
      <w:rFonts w:ascii="仿宋_GB2312" w:hAnsi="Arial" w:eastAsia="仿宋_GB2312" w:cs="Times New Roman"/>
      <w:sz w:val="32"/>
      <w:szCs w:val="32"/>
    </w:rPr>
  </w:style>
  <w:style w:type="paragraph" w:styleId="904" w:customStyle="1">
    <w:name w:val="正文文本11"/>
    <w:basedOn w:val="690"/>
    <w:link w:val="905"/>
    <w:uiPriority w:val="0"/>
    <w:rPr>
      <w:rFonts w:ascii="楷体_GB2312" w:hAnsi="Arial" w:eastAsia="楷体_GB2312" w:cs="Times New Roman"/>
      <w:sz w:val="28"/>
      <w:szCs w:val="28"/>
    </w:rPr>
  </w:style>
  <w:style w:type="character" w:styleId="905" w:customStyle="1">
    <w:name w:val="正文文本 Char"/>
    <w:link w:val="904"/>
    <w:uiPriority w:val="0"/>
    <w:rPr>
      <w:rFonts w:ascii="楷体_GB2312" w:hAnsi="Arial" w:eastAsia="楷体_GB2312" w:cs="Times New Roman"/>
      <w:sz w:val="28"/>
      <w:szCs w:val="28"/>
    </w:rPr>
  </w:style>
  <w:style w:type="paragraph" w:styleId="906" w:customStyle="1">
    <w:name w:val="正文文本缩进12"/>
    <w:basedOn w:val="690"/>
    <w:next w:val="907"/>
    <w:link w:val="908"/>
    <w:uiPriority w:val="0"/>
    <w:unhideWhenUsed/>
    <w:pPr>
      <w:ind w:left="420"/>
      <w:spacing w:after="120"/>
    </w:pPr>
  </w:style>
  <w:style w:type="paragraph" w:styleId="907" w:customStyle="1">
    <w:name w:val="寄信人地址2"/>
    <w:basedOn w:val="690"/>
    <w:uiPriority w:val="0"/>
    <w:qFormat/>
    <w:rPr>
      <w:rFonts w:ascii="Arial" w:hAnsi="Arial" w:eastAsia="宋体" w:cs="宋体"/>
    </w:rPr>
  </w:style>
  <w:style w:type="character" w:styleId="908" w:customStyle="1">
    <w:name w:val="正文文本缩进 Char"/>
    <w:basedOn w:val="884"/>
    <w:link w:val="906"/>
    <w:uiPriority w:val="99"/>
    <w:semiHidden/>
  </w:style>
  <w:style w:type="paragraph" w:styleId="909" w:customStyle="1">
    <w:name w:val="列表 21"/>
    <w:basedOn w:val="690"/>
    <w:uiPriority w:val="0"/>
    <w:pPr>
      <w:ind w:left="100" w:hanging="200"/>
    </w:pPr>
    <w:rPr>
      <w:rFonts w:ascii="Times New Roman" w:hAnsi="Times New Roman" w:eastAsia="宋体" w:cs="Times New Roman"/>
      <w:szCs w:val="21"/>
    </w:rPr>
  </w:style>
  <w:style w:type="paragraph" w:styleId="910" w:customStyle="1">
    <w:name w:val="索引 411"/>
    <w:basedOn w:val="690"/>
    <w:next w:val="690"/>
    <w:uiPriority w:val="0"/>
    <w:semiHidden/>
    <w:qFormat/>
    <w:pPr>
      <w:ind w:left="1260"/>
    </w:pPr>
    <w:rPr>
      <w:rFonts w:ascii="Calibri" w:hAnsi="Calibri" w:eastAsia="Calibri" w:cs="宋体"/>
      <w:sz w:val="20"/>
      <w:lang w:val="zh-CN"/>
    </w:rPr>
  </w:style>
  <w:style w:type="paragraph" w:styleId="911"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2" w:customStyle="1">
    <w:name w:val="目录 31"/>
    <w:basedOn w:val="690"/>
    <w:next w:val="690"/>
    <w:uiPriority w:val="0"/>
    <w:semiHidden/>
    <w:pPr>
      <w:ind w:left="420"/>
      <w:jc w:val="left"/>
    </w:pPr>
    <w:rPr>
      <w:rFonts w:ascii="Times New Roman" w:hAnsi="Times New Roman" w:eastAsia="宋体" w:cs="Times New Roman"/>
      <w:i/>
      <w:iCs/>
      <w:szCs w:val="24"/>
    </w:rPr>
  </w:style>
  <w:style w:type="paragraph" w:styleId="913" w:customStyle="1">
    <w:name w:val="纯文本1"/>
    <w:basedOn w:val="690"/>
    <w:link w:val="914"/>
    <w:uiPriority w:val="0"/>
    <w:rPr>
      <w:rFonts w:ascii="宋体" w:hAnsi="Courier New" w:eastAsia="宋体" w:cs="Courier New"/>
      <w:szCs w:val="21"/>
    </w:rPr>
  </w:style>
  <w:style w:type="character" w:styleId="914" w:customStyle="1">
    <w:name w:val="纯文本 Char"/>
    <w:link w:val="913"/>
    <w:uiPriority w:val="0"/>
    <w:rPr>
      <w:rFonts w:ascii="宋体" w:hAnsi="Courier New" w:eastAsia="宋体" w:cs="Courier New"/>
      <w:szCs w:val="21"/>
    </w:rPr>
  </w:style>
  <w:style w:type="paragraph" w:styleId="915" w:customStyle="1">
    <w:name w:val="目录 81"/>
    <w:basedOn w:val="690"/>
    <w:next w:val="690"/>
    <w:uiPriority w:val="0"/>
    <w:semiHidden/>
    <w:pPr>
      <w:ind w:left="1470"/>
      <w:jc w:val="left"/>
    </w:pPr>
    <w:rPr>
      <w:rFonts w:ascii="Times New Roman" w:hAnsi="Times New Roman" w:eastAsia="宋体" w:cs="Times New Roman"/>
      <w:szCs w:val="21"/>
    </w:rPr>
  </w:style>
  <w:style w:type="paragraph" w:styleId="916" w:customStyle="1">
    <w:name w:val="日期1"/>
    <w:basedOn w:val="690"/>
    <w:next w:val="690"/>
    <w:link w:val="917"/>
    <w:uiPriority w:val="0"/>
    <w:rPr>
      <w:rFonts w:ascii="Times New Roman" w:hAnsi="Times New Roman" w:eastAsia="宋体" w:cs="Times New Roman"/>
      <w:sz w:val="24"/>
      <w:szCs w:val="24"/>
    </w:rPr>
  </w:style>
  <w:style w:type="character" w:styleId="917" w:customStyle="1">
    <w:name w:val="日期 Char"/>
    <w:link w:val="916"/>
    <w:uiPriority w:val="0"/>
    <w:rPr>
      <w:rFonts w:ascii="Times New Roman" w:hAnsi="Times New Roman" w:eastAsia="宋体" w:cs="Times New Roman"/>
      <w:sz w:val="24"/>
      <w:szCs w:val="24"/>
    </w:rPr>
  </w:style>
  <w:style w:type="paragraph" w:styleId="918" w:customStyle="1">
    <w:name w:val="正文文本缩进 21"/>
    <w:basedOn w:val="690"/>
    <w:link w:val="919"/>
    <w:uiPriority w:val="0"/>
    <w:qFormat/>
    <w:pPr>
      <w:ind w:left="630" w:firstLine="645"/>
    </w:pPr>
    <w:rPr>
      <w:rFonts w:ascii="Arial" w:hAnsi="Arial" w:eastAsia="仿宋_GB2312" w:cs="Arial"/>
      <w:sz w:val="32"/>
      <w:szCs w:val="32"/>
    </w:rPr>
  </w:style>
  <w:style w:type="character" w:styleId="919" w:customStyle="1">
    <w:name w:val="正文文本缩进 2 Char"/>
    <w:link w:val="918"/>
    <w:uiPriority w:val="0"/>
    <w:rPr>
      <w:rFonts w:ascii="Arial" w:hAnsi="Arial" w:eastAsia="仿宋_GB2312" w:cs="Arial"/>
      <w:sz w:val="32"/>
      <w:szCs w:val="32"/>
    </w:rPr>
  </w:style>
  <w:style w:type="paragraph" w:styleId="920" w:customStyle="1">
    <w:name w:val="批注框文本1"/>
    <w:basedOn w:val="690"/>
    <w:link w:val="921"/>
    <w:uiPriority w:val="0"/>
    <w:semiHidden/>
    <w:rPr>
      <w:rFonts w:ascii="Times New Roman" w:hAnsi="Times New Roman" w:eastAsia="宋体" w:cs="Times New Roman"/>
      <w:sz w:val="18"/>
      <w:szCs w:val="18"/>
    </w:rPr>
  </w:style>
  <w:style w:type="character" w:styleId="921" w:customStyle="1">
    <w:name w:val="批注框文本 Char"/>
    <w:link w:val="920"/>
    <w:uiPriority w:val="0"/>
    <w:semiHidden/>
    <w:qFormat/>
    <w:rPr>
      <w:rFonts w:ascii="Times New Roman" w:hAnsi="Times New Roman" w:eastAsia="宋体" w:cs="Times New Roman"/>
      <w:sz w:val="18"/>
      <w:szCs w:val="18"/>
    </w:rPr>
  </w:style>
  <w:style w:type="paragraph" w:styleId="922" w:customStyle="1">
    <w:name w:val="页脚1"/>
    <w:basedOn w:val="690"/>
    <w:link w:val="923"/>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23" w:customStyle="1">
    <w:name w:val="页脚 Char"/>
    <w:link w:val="922"/>
    <w:uiPriority w:val="0"/>
    <w:rPr>
      <w:rFonts w:ascii="Times New Roman" w:hAnsi="Times New Roman" w:eastAsia="宋体" w:cs="Times New Roman"/>
      <w:sz w:val="18"/>
      <w:szCs w:val="18"/>
    </w:rPr>
  </w:style>
  <w:style w:type="paragraph" w:styleId="924" w:customStyle="1">
    <w:name w:val="页眉1"/>
    <w:basedOn w:val="690"/>
    <w:link w:val="9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customStyle="1">
    <w:name w:val="页眉 Char"/>
    <w:link w:val="924"/>
    <w:uiPriority w:val="0"/>
    <w:rPr>
      <w:rFonts w:ascii="Times New Roman" w:hAnsi="Times New Roman" w:eastAsia="宋体" w:cs="Times New Roman"/>
      <w:sz w:val="18"/>
      <w:szCs w:val="18"/>
    </w:rPr>
  </w:style>
  <w:style w:type="paragraph" w:styleId="926" w:customStyle="1">
    <w:name w:val="目录 11"/>
    <w:basedOn w:val="690"/>
    <w:next w:val="690"/>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customStyle="1">
    <w:name w:val="目录 41"/>
    <w:basedOn w:val="690"/>
    <w:next w:val="690"/>
    <w:uiPriority w:val="0"/>
    <w:semiHidden/>
    <w:pPr>
      <w:ind w:left="630"/>
      <w:jc w:val="left"/>
    </w:pPr>
    <w:rPr>
      <w:rFonts w:ascii="Times New Roman" w:hAnsi="Times New Roman" w:eastAsia="宋体" w:cs="Times New Roman"/>
      <w:szCs w:val="21"/>
    </w:rPr>
  </w:style>
  <w:style w:type="paragraph" w:styleId="928" w:customStyle="1">
    <w:name w:val="列表1"/>
    <w:basedOn w:val="690"/>
    <w:uiPriority w:val="0"/>
    <w:qFormat/>
    <w:pPr>
      <w:ind w:left="200" w:hanging="200"/>
    </w:pPr>
    <w:rPr>
      <w:rFonts w:ascii="Times New Roman" w:hAnsi="Times New Roman" w:eastAsia="宋体" w:cs="Times New Roman"/>
      <w:szCs w:val="21"/>
    </w:rPr>
  </w:style>
  <w:style w:type="paragraph" w:styleId="929"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0" w:customStyle="1">
    <w:name w:val="正文文本缩进 31"/>
    <w:basedOn w:val="690"/>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qFormat/>
    <w:rPr>
      <w:rFonts w:ascii="Arial" w:hAnsi="Arial" w:eastAsia="仿宋_GB2312" w:cs="Arial"/>
      <w:color w:val="ffff00"/>
      <w:sz w:val="32"/>
      <w:szCs w:val="32"/>
    </w:rPr>
  </w:style>
  <w:style w:type="paragraph" w:styleId="932"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3"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4"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5" w:customStyle="1">
    <w:name w:val="正文文本 21"/>
    <w:basedOn w:val="690"/>
    <w:link w:val="936"/>
    <w:uiPriority w:val="0"/>
    <w:qFormat/>
    <w:pPr>
      <w:jc w:val="center"/>
      <w:widowControl/>
    </w:pPr>
    <w:rPr>
      <w:rFonts w:ascii="楷体_GB2312" w:hAnsi="Times New Roman" w:eastAsia="楷体_GB2312" w:cs="Times New Roman"/>
      <w:sz w:val="28"/>
      <w:szCs w:val="28"/>
    </w:rPr>
  </w:style>
  <w:style w:type="character" w:styleId="936" w:customStyle="1">
    <w:name w:val="正文文本 2 Char"/>
    <w:link w:val="935"/>
    <w:uiPriority w:val="0"/>
    <w:qFormat/>
    <w:rPr>
      <w:rFonts w:ascii="楷体_GB2312" w:hAnsi="Times New Roman" w:eastAsia="楷体_GB2312" w:cs="Times New Roman"/>
      <w:sz w:val="28"/>
      <w:szCs w:val="28"/>
    </w:rPr>
  </w:style>
  <w:style w:type="paragraph" w:styleId="937"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9" w:customStyle="1">
    <w:name w:val="批注主题1"/>
    <w:basedOn w:val="900"/>
    <w:next w:val="900"/>
    <w:link w:val="940"/>
    <w:uiPriority w:val="0"/>
    <w:semiHidden/>
    <w:qFormat/>
    <w:rPr>
      <w:rFonts w:ascii="Times New Roman" w:hAnsi="Times New Roman" w:eastAsia="宋体" w:cs="Times New Roman"/>
      <w:b/>
      <w:bCs/>
      <w:szCs w:val="21"/>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正文首行缩进1"/>
    <w:basedOn w:val="690"/>
    <w:link w:val="942"/>
    <w:uiPriority w:val="0"/>
    <w:qFormat/>
    <w:pPr>
      <w:ind w:firstLine="200"/>
      <w:spacing w:line="360" w:lineRule="auto"/>
    </w:pPr>
    <w:rPr>
      <w:rFonts w:ascii="仿宋_GB2312" w:hAnsi="Times New Roman" w:eastAsia="仿宋_GB2312" w:cs="Times New Roman"/>
      <w:sz w:val="30"/>
      <w:szCs w:val="30"/>
    </w:rPr>
  </w:style>
  <w:style w:type="character" w:styleId="942" w:customStyle="1">
    <w:name w:val="正文首行缩进 Char"/>
    <w:link w:val="941"/>
    <w:uiPriority w:val="0"/>
    <w:qFormat/>
    <w:rPr>
      <w:rFonts w:ascii="仿宋_GB2312" w:hAnsi="Times New Roman" w:eastAsia="仿宋_GB2312" w:cs="Times New Roman"/>
      <w:sz w:val="30"/>
      <w:szCs w:val="30"/>
    </w:rPr>
  </w:style>
  <w:style w:type="paragraph" w:styleId="943" w:customStyle="1">
    <w:name w:val="正文首行缩进 22"/>
    <w:basedOn w:val="906"/>
    <w:next w:val="690"/>
    <w:link w:val="944"/>
    <w:uiPriority w:val="0"/>
    <w:qFormat/>
    <w:pPr>
      <w:ind w:left="0" w:firstLine="420"/>
      <w:spacing w:after="0" w:line="360" w:lineRule="auto"/>
    </w:pPr>
    <w:rPr>
      <w:rFonts w:ascii="宋体" w:hAnsi="宋体" w:eastAsia="宋体" w:cs="Times New Roman"/>
      <w:szCs w:val="20"/>
    </w:rPr>
  </w:style>
  <w:style w:type="character" w:styleId="944" w:customStyle="1">
    <w:name w:val="正文首行缩进 2 Char"/>
    <w:link w:val="943"/>
    <w:uiPriority w:val="0"/>
    <w:qFormat/>
    <w:rPr>
      <w:rFonts w:ascii="宋体" w:hAnsi="宋体" w:eastAsia="宋体" w:cs="Times New Roman"/>
      <w:szCs w:val="20"/>
    </w:rPr>
  </w:style>
  <w:style w:type="table" w:styleId="945"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90"/>
    <w:uiPriority w:val="0"/>
    <w:qFormat/>
    <w:rPr>
      <w:b/>
      <w:bCs/>
    </w:rPr>
  </w:style>
  <w:style w:type="character" w:styleId="947" w:customStyle="1">
    <w:name w:val="页码1"/>
    <w:link w:val="690"/>
    <w:uiPriority w:val="0"/>
    <w:qFormat/>
  </w:style>
  <w:style w:type="character" w:styleId="948" w:customStyle="1">
    <w:name w:val="已访问的超链接1"/>
    <w:link w:val="690"/>
    <w:uiPriority w:val="0"/>
    <w:qFormat/>
    <w:rPr>
      <w:color w:val="800080"/>
      <w:u w:val="single"/>
    </w:rPr>
  </w:style>
  <w:style w:type="character" w:styleId="949" w:customStyle="1">
    <w:name w:val="超链接1"/>
    <w:link w:val="690"/>
    <w:uiPriority w:val="0"/>
    <w:qFormat/>
    <w:rPr>
      <w:color w:val="0000ff"/>
      <w:u w:val="single"/>
    </w:rPr>
  </w:style>
  <w:style w:type="character" w:styleId="950" w:customStyle="1">
    <w:name w:val="批注引用1"/>
    <w:link w:val="690"/>
    <w:uiPriority w:val="0"/>
    <w:semiHidden/>
    <w:qFormat/>
    <w:rPr>
      <w:sz w:val="21"/>
      <w:szCs w:val="21"/>
    </w:rPr>
  </w:style>
  <w:style w:type="paragraph" w:styleId="951" w:customStyle="1">
    <w:name w:val="索引 41"/>
    <w:basedOn w:val="690"/>
    <w:next w:val="690"/>
    <w:uiPriority w:val="0"/>
    <w:semiHidden/>
    <w:qFormat/>
    <w:pPr>
      <w:ind w:left="1260"/>
    </w:pPr>
    <w:rPr>
      <w:rFonts w:ascii="Calibri" w:hAnsi="Calibri" w:eastAsia="Calibri" w:cs="宋体"/>
      <w:sz w:val="20"/>
      <w:lang w:val="zh-CN"/>
    </w:rPr>
  </w:style>
  <w:style w:type="paragraph" w:styleId="952" w:customStyle="1">
    <w:name w:val="正文文本121"/>
    <w:basedOn w:val="690"/>
    <w:uiPriority w:val="0"/>
    <w:qFormat/>
    <w:pPr>
      <w:ind w:left="120"/>
    </w:pPr>
    <w:rPr>
      <w:rFonts w:ascii="宋体" w:eastAsia="宋体" w:cs="宋体"/>
      <w:sz w:val="21"/>
      <w:szCs w:val="21"/>
      <w:lang w:val="zh-CN" w:eastAsia="zh-CN" w:bidi="zh-CN"/>
    </w:rPr>
  </w:style>
  <w:style w:type="character" w:styleId="953" w:customStyle="1">
    <w:name w:val="font5 Char"/>
    <w:link w:val="690"/>
    <w:uiPriority w:val="0"/>
    <w:qFormat/>
    <w:rPr>
      <w:rFonts w:ascii="宋体" w:hAnsi="宋体" w:eastAsia="宋体"/>
      <w:sz w:val="28"/>
      <w:szCs w:val="28"/>
      <w:lang w:val="en-US" w:eastAsia="zh-CN" w:bidi="ar-SA"/>
    </w:rPr>
  </w:style>
  <w:style w:type="character" w:styleId="954" w:customStyle="1">
    <w:name w:val="二级目录 Char"/>
    <w:link w:val="955"/>
    <w:uiPriority w:val="0"/>
    <w:qFormat/>
    <w:rPr>
      <w:b/>
      <w:sz w:val="30"/>
      <w:szCs w:val="28"/>
    </w:rPr>
  </w:style>
  <w:style w:type="paragraph" w:styleId="955" w:customStyle="1">
    <w:name w:val="二级目录"/>
    <w:next w:val="690"/>
    <w:link w:val="9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690"/>
    <w:link w:val="956"/>
    <w:uiPriority w:val="0"/>
    <w:qFormat/>
    <w:pPr>
      <w:contextualSpacing/>
      <w:ind w:left="720"/>
      <w:jc w:val="left"/>
      <w:widowControl/>
    </w:pPr>
    <w:rPr>
      <w:rFonts w:ascii="Calibri" w:hAnsi="Calibri"/>
      <w:sz w:val="24"/>
      <w:szCs w:val="24"/>
      <w:lang w:eastAsia="en-US" w:bidi="en-US"/>
    </w:rPr>
  </w:style>
  <w:style w:type="paragraph" w:styleId="958" w:customStyle="1">
    <w:name w:val="Body Text(ch)"/>
    <w:basedOn w:val="690"/>
    <w:next w:val="904"/>
    <w:uiPriority w:val="0"/>
    <w:qFormat/>
    <w:pPr>
      <w:spacing w:after="120"/>
    </w:pPr>
    <w:rPr>
      <w:rFonts w:ascii="宋体" w:hAnsi="Arial" w:eastAsia="宋体" w:cs="Times New Roman"/>
      <w:bCs/>
      <w:iCs/>
      <w:szCs w:val="24"/>
    </w:rPr>
  </w:style>
  <w:style w:type="paragraph" w:styleId="9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2" w:customStyle="1">
    <w:name w:val=" Char"/>
    <w:basedOn w:val="898"/>
    <w:uiPriority w:val="0"/>
    <w:qFormat/>
    <w:rPr>
      <w:rFonts w:ascii="Tahoma" w:hAnsi="Tahoma"/>
      <w:sz w:val="24"/>
      <w:szCs w:val="24"/>
    </w:rPr>
  </w:style>
  <w:style w:type="paragraph" w:styleId="963"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64"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6"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7" w:customStyle="1">
    <w:name w:val=" Char Char Char Char"/>
    <w:basedOn w:val="898"/>
    <w:uiPriority w:val="0"/>
    <w:qFormat/>
    <w:pPr>
      <w:spacing w:line="360" w:lineRule="auto"/>
    </w:pPr>
    <w:rPr>
      <w:rFonts w:ascii="Tahoma" w:hAnsi="Tahoma"/>
      <w:sz w:val="24"/>
      <w:szCs w:val="24"/>
    </w:rPr>
  </w:style>
  <w:style w:type="paragraph" w:styleId="968"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9" w:customStyle="1">
    <w:name w:val="4"/>
    <w:basedOn w:val="690"/>
    <w:next w:val="930"/>
    <w:uiPriority w:val="0"/>
    <w:qFormat/>
    <w:pPr>
      <w:ind w:firstLine="420"/>
      <w:spacing w:line="360" w:lineRule="auto"/>
    </w:pPr>
    <w:rPr>
      <w:rFonts w:ascii="Times New Roman" w:hAnsi="Times New Roman" w:eastAsia="宋体" w:cs="Times New Roman"/>
      <w:color w:val="ff0000"/>
      <w:sz w:val="24"/>
      <w:szCs w:val="24"/>
    </w:rPr>
  </w:style>
  <w:style w:type="paragraph" w:styleId="970"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1"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2" w:customStyle="1">
    <w:name w:val="样式1"/>
    <w:basedOn w:val="690"/>
    <w:uiPriority w:val="0"/>
    <w:qFormat/>
    <w:pPr>
      <w:numPr>
        <w:ilvl w:val="0"/>
        <w:numId w:val="3"/>
      </w:numPr>
    </w:pPr>
    <w:rPr>
      <w:rFonts w:ascii="宋体" w:hAnsi="宋体" w:eastAsia="宋体" w:cs="Times New Roman"/>
      <w:szCs w:val="21"/>
    </w:rPr>
  </w:style>
  <w:style w:type="paragraph" w:styleId="973"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7"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3" w:customStyle="1">
    <w:name w:val="Char Char Char Char"/>
    <w:basedOn w:val="898"/>
    <w:uiPriority w:val="0"/>
    <w:qFormat/>
    <w:pPr>
      <w:spacing w:line="360" w:lineRule="auto"/>
    </w:pPr>
    <w:rPr>
      <w:rFonts w:ascii="Tahoma" w:hAnsi="Tahoma"/>
      <w:sz w:val="24"/>
      <w:szCs w:val="24"/>
    </w:rPr>
  </w:style>
  <w:style w:type="paragraph" w:styleId="984"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5"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6"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9" w:customStyle="1">
    <w:name w:val="Table Normal"/>
    <w:uiPriority w:val="0"/>
    <w:qFormat/>
    <w:tblPr/>
  </w:style>
  <w:style w:type="paragraph" w:styleId="990" w:customStyle="1">
    <w:name w:val="正文文本 211"/>
    <w:basedOn w:val="690"/>
    <w:uiPriority w:val="99"/>
    <w:qFormat/>
    <w:pPr>
      <w:jc w:val="center"/>
    </w:pPr>
    <w:rPr>
      <w:b/>
      <w:bCs/>
      <w:sz w:val="20"/>
      <w:szCs w:val="20"/>
    </w:rPr>
  </w:style>
  <w:style w:type="paragraph" w:styleId="991" w:customStyle="1">
    <w:name w:val="正文文本1"/>
    <w:basedOn w:val="690"/>
    <w:next w:val="690"/>
    <w:uiPriority w:val="0"/>
    <w:semiHidden/>
    <w:qFormat/>
    <w:rPr>
      <w:rFonts w:ascii="Arial" w:hAnsi="Arial" w:eastAsia="Arial" w:cs="Arial"/>
      <w:sz w:val="21"/>
      <w:szCs w:val="21"/>
      <w:lang w:val="en-US" w:eastAsia="en-US" w:bidi="ar-SA"/>
    </w:rPr>
  </w:style>
  <w:style w:type="paragraph" w:styleId="992" w:customStyle="1">
    <w:name w:val="正文文本12"/>
    <w:basedOn w:val="690"/>
    <w:uiPriority w:val="1"/>
    <w:qFormat/>
    <w:pPr>
      <w:ind w:left="120"/>
    </w:pPr>
    <w:rPr>
      <w:rFonts w:ascii="宋体" w:hAnsi="宋体" w:eastAsia="宋体" w:cs="宋体"/>
      <w:sz w:val="21"/>
      <w:szCs w:val="21"/>
      <w:lang w:val="zh-CN" w:eastAsia="zh-CN" w:bidi="zh-CN"/>
    </w:rPr>
  </w:style>
  <w:style w:type="paragraph" w:styleId="993" w:customStyle="1">
    <w:name w:val="Table Text"/>
    <w:basedOn w:val="690"/>
    <w:uiPriority w:val="0"/>
    <w:semiHidden/>
    <w:qFormat/>
    <w:rPr>
      <w:rFonts w:ascii="宋体" w:hAnsi="宋体" w:eastAsia="宋体" w:cs="宋体"/>
      <w:sz w:val="21"/>
      <w:szCs w:val="21"/>
      <w:lang w:val="en-US" w:eastAsia="en-US" w:bidi="ar-SA"/>
    </w:rPr>
  </w:style>
  <w:style w:type="table" w:styleId="994" w:customStyle="1">
    <w:name w:val="网格型1"/>
    <w:basedOn w:val="995"/>
    <w:uiPriority w:val="0"/>
    <w:qFormat/>
    <w:pPr>
      <w:jc w:val="both"/>
      <w:widowControl w:val="off"/>
    </w:pPr>
    <w:rPr>
      <w:rFonts w:ascii="Times New Roman" w:hAnsi="Times New Roman" w:eastAsia="宋体" w:cs="Times New Roman"/>
      <w:sz w:val="20"/>
      <w:szCs w:val="20"/>
    </w:rPr>
    <w:tblPr/>
  </w:style>
  <w:style w:type="table" w:styleId="995" w:customStyle="1">
    <w:name w:val="普通表格1"/>
    <w:uiPriority w:val="99"/>
    <w:unhideWhenUsed/>
    <w:qFormat/>
    <w:tblPr/>
  </w:style>
  <w:style w:type="character" w:styleId="996" w:customStyle="1">
    <w:name w:val="font31"/>
    <w:basedOn w:val="884"/>
    <w:link w:val="690"/>
    <w:uiPriority w:val="0"/>
    <w:qFormat/>
    <w:rPr>
      <w:rFonts w:hint="eastAsia" w:ascii="宋体" w:hAnsi="宋体" w:eastAsia="宋体" w:cs="宋体"/>
      <w:b/>
      <w:bCs/>
      <w:color w:val="000000"/>
      <w:sz w:val="21"/>
      <w:szCs w:val="21"/>
      <w:u w:val="none"/>
    </w:rPr>
  </w:style>
  <w:style w:type="character" w:styleId="997" w:customStyle="1">
    <w:name w:val="font21"/>
    <w:basedOn w:val="884"/>
    <w:link w:val="690"/>
    <w:uiPriority w:val="0"/>
    <w:qFormat/>
    <w:rPr>
      <w:rFonts w:hint="eastAsia" w:ascii="宋体" w:hAnsi="宋体" w:eastAsia="宋体" w:cs="宋体"/>
      <w:b/>
      <w:bCs/>
      <w:color w:val="000000"/>
      <w:sz w:val="21"/>
      <w:szCs w:val="21"/>
      <w:u w:val="single"/>
    </w:rPr>
  </w:style>
  <w:style w:type="paragraph" w:styleId="998" w:customStyle="1">
    <w:name w:val="Table Paragraph"/>
    <w:basedOn w:val="690"/>
    <w:uiPriority w:val="1"/>
    <w:qFormat/>
  </w:style>
  <w:style w:type="table" w:styleId="999" w:customStyle="1">
    <w:name w:val="Table Normal_0"/>
    <w:uiPriority w:val="0"/>
    <w:qFormat/>
    <w:tblPr/>
  </w:style>
  <w:style w:type="paragraph" w:styleId="1000" w:customStyle="1">
    <w:name w:val="正文文本缩进1"/>
    <w:basedOn w:val="690"/>
    <w:next w:val="1001"/>
    <w:uiPriority w:val="0"/>
    <w:unhideWhenUsed/>
    <w:qFormat/>
    <w:pPr>
      <w:ind w:left="420"/>
      <w:spacing w:after="120"/>
    </w:pPr>
  </w:style>
  <w:style w:type="paragraph" w:styleId="1001" w:customStyle="1">
    <w:name w:val="正文文本首行缩进 2"/>
    <w:basedOn w:val="1000"/>
    <w:uiPriority w:val="0"/>
    <w:qFormat/>
    <w:pPr>
      <w:ind w:left="0" w:firstLine="420"/>
      <w:spacing w:after="0" w:line="360" w:lineRule="auto"/>
    </w:pPr>
    <w:rPr>
      <w:rFonts w:ascii="宋体" w:hAnsi="宋体"/>
      <w:sz w:val="20"/>
      <w:szCs w:val="20"/>
      <w:lang w:val="en-US" w:eastAsia="en-US"/>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6</cp:revision>
  <dcterms:created xsi:type="dcterms:W3CDTF">2023-03-27T07:28:00Z</dcterms:created>
  <dcterms:modified xsi:type="dcterms:W3CDTF">2025-12-23T01:22:50Z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eyJoZGlkIjoiMzEwNTM5NzYwMDRjMzkwZTVkZjY2ODkwMGIxNGU0OTUiLCJ1c2VySWQiOiI0MDQyNTAyOTQifQ==</vt:lpwstr>
  </property>
  <property fmtid="{D5CDD505-2E9C-101B-9397-08002B2CF9AE}" pid="3" name="KSOProductBuildVer">
    <vt:lpwstr>2052-12.1.0.24034</vt:lpwstr>
  </property>
  <property fmtid="{D5CDD505-2E9C-101B-9397-08002B2CF9AE}" pid="4" name="ICV">
    <vt:lpwstr>9927602BA4984641A03A9E6C5C7C77D7_13</vt:lpwstr>
  </property>
</Properties>
</file>