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10580">
      <w:pPr>
        <w:jc w:val="center"/>
        <w:rPr>
          <w:rFonts w:hint="eastAsia"/>
          <w:sz w:val="52"/>
          <w:szCs w:val="52"/>
          <w:highlight w:val="none"/>
          <w:lang w:val="en-US" w:eastAsia="zh-CN"/>
        </w:rPr>
      </w:pPr>
      <w:r>
        <w:rPr>
          <w:rFonts w:hint="eastAsia"/>
          <w:sz w:val="52"/>
          <w:szCs w:val="52"/>
          <w:highlight w:val="none"/>
          <w:lang w:val="en-US" w:eastAsia="zh-CN"/>
        </w:rPr>
        <w:t>中标公告</w:t>
      </w:r>
    </w:p>
    <w:p w14:paraId="023D24D5">
      <w:pPr>
        <w:pStyle w:val="2"/>
        <w:rPr>
          <w:rFonts w:hint="eastAsia"/>
          <w:lang w:val="en-US" w:eastAsia="zh-CN"/>
        </w:rPr>
      </w:pPr>
    </w:p>
    <w:p w14:paraId="3D8613C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30" w:lineRule="exact"/>
        <w:ind w:firstLine="482"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highlight w:val="none"/>
          <w:lang w:val="en-US" w:eastAsia="zh-CN"/>
        </w:rPr>
        <w:t>项目编号：</w:t>
      </w:r>
      <w:r>
        <w:rPr>
          <w:rFonts w:hint="eastAsia" w:ascii="宋体" w:hAnsi="宋体" w:cs="Arial"/>
          <w:bCs/>
          <w:color w:val="000000"/>
          <w:sz w:val="24"/>
          <w:szCs w:val="24"/>
          <w:highlight w:val="none"/>
          <w:lang w:eastAsia="zh-CN"/>
        </w:rPr>
        <w:t>JSZC-320925-JSTX-G2025-0017</w:t>
      </w:r>
    </w:p>
    <w:p w14:paraId="7C2562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30" w:lineRule="exact"/>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二、项目名称：</w:t>
      </w:r>
      <w:r>
        <w:rPr>
          <w:rFonts w:hint="eastAsia" w:ascii="宋体" w:hAnsi="宋体" w:eastAsia="宋体" w:cs="宋体"/>
          <w:b w:val="0"/>
          <w:bCs w:val="0"/>
          <w:sz w:val="24"/>
          <w:szCs w:val="24"/>
          <w:highlight w:val="none"/>
          <w:lang w:val="en-US" w:eastAsia="zh-CN"/>
        </w:rPr>
        <w:t>开发区绿色工业园区创建申报项目</w:t>
      </w:r>
    </w:p>
    <w:p w14:paraId="6448839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3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三、中标</w:t>
      </w:r>
      <w:r>
        <w:rPr>
          <w:rFonts w:hint="eastAsia" w:ascii="宋体" w:hAnsi="宋体" w:cs="宋体"/>
          <w:b/>
          <w:bCs/>
          <w:sz w:val="24"/>
          <w:szCs w:val="24"/>
          <w:highlight w:val="none"/>
          <w:lang w:val="en-US" w:eastAsia="zh-CN"/>
        </w:rPr>
        <w:t>（成交）</w:t>
      </w:r>
      <w:r>
        <w:rPr>
          <w:rFonts w:hint="eastAsia" w:ascii="宋体" w:hAnsi="宋体" w:eastAsia="宋体" w:cs="宋体"/>
          <w:b/>
          <w:bCs/>
          <w:sz w:val="24"/>
          <w:szCs w:val="24"/>
          <w:highlight w:val="none"/>
          <w:lang w:val="en-US" w:eastAsia="zh-CN"/>
        </w:rPr>
        <w:t>信息</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61"/>
        <w:gridCol w:w="1834"/>
        <w:gridCol w:w="1710"/>
        <w:gridCol w:w="2082"/>
        <w:gridCol w:w="1620"/>
        <w:gridCol w:w="1899"/>
      </w:tblGrid>
      <w:tr w14:paraId="1067D7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37" w:type="pct"/>
            <w:shd w:val="clear" w:color="auto" w:fill="auto"/>
            <w:vAlign w:val="center"/>
          </w:tcPr>
          <w:p w14:paraId="79838302">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序号</w:t>
            </w:r>
          </w:p>
        </w:tc>
        <w:tc>
          <w:tcPr>
            <w:tcW w:w="935" w:type="pct"/>
            <w:shd w:val="clear" w:color="auto" w:fill="auto"/>
            <w:vAlign w:val="center"/>
          </w:tcPr>
          <w:p w14:paraId="3711EEA8">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供应商名称</w:t>
            </w:r>
          </w:p>
        </w:tc>
        <w:tc>
          <w:tcPr>
            <w:tcW w:w="871" w:type="pct"/>
            <w:shd w:val="clear" w:color="auto" w:fill="auto"/>
            <w:vAlign w:val="center"/>
          </w:tcPr>
          <w:p w14:paraId="2A5B78E5">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社会信用代码</w:t>
            </w:r>
          </w:p>
        </w:tc>
        <w:tc>
          <w:tcPr>
            <w:tcW w:w="1061" w:type="pct"/>
            <w:shd w:val="clear" w:color="auto" w:fill="auto"/>
            <w:vAlign w:val="center"/>
          </w:tcPr>
          <w:p w14:paraId="1DDD6F41">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供应商地址</w:t>
            </w:r>
          </w:p>
        </w:tc>
        <w:tc>
          <w:tcPr>
            <w:tcW w:w="826" w:type="pct"/>
            <w:shd w:val="clear" w:color="auto" w:fill="auto"/>
            <w:vAlign w:val="center"/>
          </w:tcPr>
          <w:p w14:paraId="4FC75D91">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评审总得分</w:t>
            </w:r>
          </w:p>
        </w:tc>
        <w:tc>
          <w:tcPr>
            <w:tcW w:w="968" w:type="pct"/>
            <w:shd w:val="clear" w:color="auto" w:fill="auto"/>
            <w:vAlign w:val="center"/>
          </w:tcPr>
          <w:p w14:paraId="1EDE3A9C">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中标/成交金额</w:t>
            </w:r>
          </w:p>
        </w:tc>
      </w:tr>
      <w:tr w14:paraId="5A00B6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37" w:type="pct"/>
            <w:shd w:val="clear" w:color="auto" w:fill="auto"/>
            <w:vAlign w:val="center"/>
          </w:tcPr>
          <w:p w14:paraId="596DFD4F">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935" w:type="pct"/>
            <w:shd w:val="clear" w:color="auto" w:fill="auto"/>
            <w:vAlign w:val="center"/>
          </w:tcPr>
          <w:p w14:paraId="314337E8">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南京大学环境规划设计研究院集团股份公司</w:t>
            </w:r>
          </w:p>
        </w:tc>
        <w:tc>
          <w:tcPr>
            <w:tcW w:w="871" w:type="pct"/>
            <w:shd w:val="clear" w:color="auto" w:fill="auto"/>
            <w:vAlign w:val="center"/>
          </w:tcPr>
          <w:p w14:paraId="5BBF03AF">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b w:val="0"/>
                <w:bCs w:val="0"/>
                <w:color w:val="000000"/>
                <w:kern w:val="0"/>
                <w:sz w:val="24"/>
                <w:highlight w:val="none"/>
                <w:lang w:val="en-US" w:eastAsia="zh-CN"/>
              </w:rPr>
            </w:pPr>
            <w:r>
              <w:rPr>
                <w:rFonts w:hint="eastAsia" w:ascii="宋体" w:hAnsi="宋体" w:cs="宋体"/>
                <w:b w:val="0"/>
                <w:bCs w:val="0"/>
                <w:color w:val="000000"/>
                <w:kern w:val="0"/>
                <w:sz w:val="24"/>
                <w:highlight w:val="none"/>
                <w:lang w:val="en-US" w:eastAsia="zh-CN"/>
              </w:rPr>
              <w:t>91320116598034087A</w:t>
            </w:r>
          </w:p>
        </w:tc>
        <w:tc>
          <w:tcPr>
            <w:tcW w:w="1061" w:type="pct"/>
            <w:shd w:val="clear" w:color="auto" w:fill="auto"/>
            <w:vAlign w:val="center"/>
          </w:tcPr>
          <w:p w14:paraId="67690D4C">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南京市鼓楼区汉口路 22 号逸夫管理科学楼 14 层</w:t>
            </w:r>
          </w:p>
        </w:tc>
        <w:tc>
          <w:tcPr>
            <w:tcW w:w="826" w:type="pct"/>
            <w:shd w:val="clear" w:color="auto" w:fill="auto"/>
            <w:vAlign w:val="center"/>
          </w:tcPr>
          <w:p w14:paraId="60240D4E">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95.94（均分制）</w:t>
            </w:r>
          </w:p>
        </w:tc>
        <w:tc>
          <w:tcPr>
            <w:tcW w:w="968" w:type="pct"/>
            <w:shd w:val="clear" w:color="auto" w:fill="auto"/>
            <w:vAlign w:val="center"/>
          </w:tcPr>
          <w:p w14:paraId="25648E6D">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center"/>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680000元</w:t>
            </w:r>
          </w:p>
        </w:tc>
      </w:tr>
    </w:tbl>
    <w:p w14:paraId="0008B8B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30" w:lineRule="exact"/>
        <w:ind w:firstLine="482" w:firstLineChars="200"/>
        <w:textAlignment w:val="auto"/>
        <w:rPr>
          <w:rFonts w:hint="eastAsia"/>
          <w:b/>
          <w:bCs/>
          <w:highlight w:val="none"/>
          <w:lang w:val="en-US" w:eastAsia="zh-CN"/>
        </w:rPr>
      </w:pPr>
      <w:r>
        <w:rPr>
          <w:rFonts w:hint="eastAsia" w:ascii="宋体" w:hAnsi="宋体" w:eastAsia="宋体" w:cs="宋体"/>
          <w:b/>
          <w:bCs/>
          <w:sz w:val="24"/>
          <w:szCs w:val="24"/>
          <w:highlight w:val="none"/>
          <w:lang w:val="en-US" w:eastAsia="zh-CN"/>
        </w:rPr>
        <w:t>四、主要标的信息</w:t>
      </w:r>
    </w:p>
    <w:tbl>
      <w:tblPr>
        <w:tblStyle w:val="9"/>
        <w:tblW w:w="5089" w:type="pct"/>
        <w:jc w:val="center"/>
        <w:tblLayout w:type="autofit"/>
        <w:tblCellMar>
          <w:top w:w="0" w:type="dxa"/>
          <w:left w:w="0" w:type="dxa"/>
          <w:bottom w:w="0" w:type="dxa"/>
          <w:right w:w="0" w:type="dxa"/>
        </w:tblCellMar>
      </w:tblPr>
      <w:tblGrid>
        <w:gridCol w:w="9944"/>
      </w:tblGrid>
      <w:tr w14:paraId="7907AE3A">
        <w:tblPrEx>
          <w:tblCellMar>
            <w:top w:w="0" w:type="dxa"/>
            <w:left w:w="0" w:type="dxa"/>
            <w:bottom w:w="0" w:type="dxa"/>
            <w:right w:w="0" w:type="dxa"/>
          </w:tblCellMar>
        </w:tblPrEx>
        <w:trPr>
          <w:trHeight w:val="532" w:hRule="atLeast"/>
          <w:jc w:val="center"/>
        </w:trPr>
        <w:tc>
          <w:tcPr>
            <w:tcW w:w="5000"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14:paraId="67C561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服务类</w:t>
            </w:r>
          </w:p>
        </w:tc>
      </w:tr>
      <w:tr w14:paraId="061000D8">
        <w:tblPrEx>
          <w:tblCellMar>
            <w:top w:w="0" w:type="dxa"/>
            <w:left w:w="0" w:type="dxa"/>
            <w:bottom w:w="0" w:type="dxa"/>
            <w:right w:w="0" w:type="dxa"/>
          </w:tblCellMar>
        </w:tblPrEx>
        <w:trPr>
          <w:trHeight w:val="2233" w:hRule="atLeast"/>
          <w:jc w:val="center"/>
        </w:trPr>
        <w:tc>
          <w:tcPr>
            <w:tcW w:w="5000"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14:paraId="6092FD6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名称：</w:t>
            </w:r>
            <w:r>
              <w:rPr>
                <w:rFonts w:hint="eastAsia" w:ascii="宋体" w:hAnsi="宋体" w:eastAsia="宋体" w:cs="宋体"/>
                <w:b w:val="0"/>
                <w:bCs w:val="0"/>
                <w:sz w:val="24"/>
                <w:szCs w:val="24"/>
                <w:lang w:val="en-US" w:eastAsia="zh-CN"/>
              </w:rPr>
              <w:t>开发区绿色工业园区创建申报项目；</w:t>
            </w:r>
          </w:p>
          <w:p w14:paraId="25B455A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服务范围：</w:t>
            </w:r>
            <w:r>
              <w:rPr>
                <w:rFonts w:hint="eastAsia" w:ascii="宋体" w:hAnsi="宋体" w:cs="宋体"/>
                <w:b w:val="0"/>
                <w:bCs w:val="0"/>
                <w:sz w:val="24"/>
                <w:szCs w:val="24"/>
                <w:lang w:val="en-US" w:eastAsia="zh-CN"/>
              </w:rPr>
              <w:t>建湖县</w:t>
            </w:r>
          </w:p>
          <w:p w14:paraId="402DC29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color w:val="000000"/>
                <w:sz w:val="24"/>
                <w:lang w:eastAsia="zh-CN"/>
              </w:rPr>
            </w:pPr>
            <w:r>
              <w:rPr>
                <w:rFonts w:hint="eastAsia" w:ascii="宋体" w:hAnsi="宋体" w:eastAsia="宋体" w:cs="宋体"/>
                <w:b/>
                <w:bCs/>
                <w:sz w:val="24"/>
                <w:szCs w:val="24"/>
                <w:lang w:val="en-US" w:eastAsia="zh-CN"/>
              </w:rPr>
              <w:t>服务要求</w:t>
            </w:r>
            <w:r>
              <w:rPr>
                <w:rFonts w:hint="eastAsia" w:ascii="宋体" w:hAnsi="宋体" w:cs="宋体"/>
                <w:b/>
                <w:bCs/>
                <w:sz w:val="24"/>
                <w:szCs w:val="24"/>
                <w:lang w:val="en-US" w:eastAsia="zh-CN"/>
              </w:rPr>
              <w:t>：</w:t>
            </w:r>
            <w:r>
              <w:rPr>
                <w:rFonts w:hint="eastAsia" w:ascii="宋体" w:hAnsi="宋体" w:eastAsia="宋体" w:cs="Arial"/>
                <w:bCs/>
                <w:color w:val="000000"/>
                <w:kern w:val="0"/>
                <w:sz w:val="24"/>
                <w:szCs w:val="20"/>
                <w:highlight w:val="none"/>
                <w:lang w:val="en-US" w:eastAsia="zh-CN" w:bidi="ar-SA"/>
              </w:rPr>
              <w:t>根据工信部发布的《绿色工业园区评价要求》以及江苏省工信厅《关于开展2024年度绿色制造名单选推荐工作的通知》，建湖开发区拟聘请具备评价资格的绿色评价第三方机构，对照要求并结合园区实际情况</w:t>
            </w:r>
            <w:bookmarkStart w:id="0" w:name="OLE_LINK9"/>
            <w:r>
              <w:rPr>
                <w:rFonts w:hint="eastAsia" w:ascii="宋体" w:hAnsi="宋体" w:cs="Arial"/>
                <w:bCs/>
                <w:color w:val="000000"/>
                <w:kern w:val="0"/>
                <w:sz w:val="24"/>
              </w:rPr>
              <w:t>（省级园区范围内在产工业生产企业155家）</w:t>
            </w:r>
            <w:bookmarkEnd w:id="0"/>
            <w:r>
              <w:rPr>
                <w:rFonts w:hint="eastAsia" w:ascii="宋体" w:hAnsi="宋体" w:eastAsia="宋体" w:cs="Arial"/>
                <w:bCs/>
                <w:color w:val="000000"/>
                <w:kern w:val="0"/>
                <w:sz w:val="24"/>
                <w:szCs w:val="20"/>
                <w:highlight w:val="none"/>
                <w:lang w:val="en-US" w:eastAsia="zh-CN" w:bidi="ar-SA"/>
              </w:rPr>
              <w:t>，服务我区绿色工业园区创建申报工作，2025年申报成功省级绿色工业园区，2026年申报成功国家级绿色工业园区，具体内容详见招标文件</w:t>
            </w:r>
            <w:r>
              <w:rPr>
                <w:rFonts w:hint="eastAsia" w:ascii="宋体" w:hAnsi="宋体"/>
                <w:b w:val="0"/>
                <w:bCs w:val="0"/>
                <w:color w:val="000000"/>
                <w:sz w:val="24"/>
                <w:lang w:eastAsia="zh-CN"/>
              </w:rPr>
              <w:t>；</w:t>
            </w:r>
          </w:p>
          <w:p w14:paraId="340095B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宋体" w:hAnsi="宋体" w:eastAsia="宋体" w:cs="宋体"/>
                <w:sz w:val="24"/>
                <w:szCs w:val="24"/>
                <w:lang w:val="en-US" w:eastAsia="zh-CN"/>
              </w:rPr>
            </w:pPr>
            <w:r>
              <w:rPr>
                <w:rFonts w:hint="eastAsia" w:ascii="宋体" w:hAnsi="宋体" w:cs="宋体"/>
                <w:b/>
                <w:bCs/>
                <w:sz w:val="24"/>
                <w:szCs w:val="24"/>
                <w:lang w:val="en-US" w:eastAsia="zh-CN"/>
              </w:rPr>
              <w:t>合同履行期限</w:t>
            </w:r>
            <w:r>
              <w:rPr>
                <w:rFonts w:hint="eastAsia" w:ascii="宋体" w:hAnsi="宋体" w:eastAsia="宋体" w:cs="宋体"/>
                <w:b/>
                <w:bCs/>
                <w:sz w:val="24"/>
                <w:szCs w:val="24"/>
                <w:lang w:val="en-US" w:eastAsia="zh-CN"/>
              </w:rPr>
              <w:t>：</w:t>
            </w:r>
            <w:r>
              <w:rPr>
                <w:rFonts w:hint="eastAsia" w:ascii="宋体" w:hAnsi="宋体" w:cs="宋体"/>
                <w:sz w:val="24"/>
                <w:szCs w:val="24"/>
                <w:highlight w:val="none"/>
                <w:lang w:val="en-US" w:eastAsia="zh-CN"/>
              </w:rPr>
              <w:t>1年</w:t>
            </w:r>
          </w:p>
          <w:p w14:paraId="28BD8BE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lang w:val="en-US" w:eastAsia="zh-CN"/>
              </w:rPr>
              <w:t>服务标准</w:t>
            </w:r>
            <w:r>
              <w:rPr>
                <w:rFonts w:hint="eastAsia" w:ascii="宋体" w:hAnsi="宋体" w:cs="宋体"/>
                <w:b/>
                <w:bCs/>
                <w:sz w:val="24"/>
                <w:szCs w:val="24"/>
                <w:lang w:val="en-US" w:eastAsia="zh-CN"/>
              </w:rPr>
              <w:t>：</w:t>
            </w:r>
            <w:r>
              <w:rPr>
                <w:rFonts w:hint="eastAsia" w:ascii="宋体" w:hAnsi="宋体" w:cs="宋体"/>
                <w:b w:val="0"/>
                <w:bCs w:val="0"/>
                <w:sz w:val="24"/>
                <w:szCs w:val="24"/>
                <w:lang w:val="en-US" w:eastAsia="zh-CN"/>
              </w:rPr>
              <w:t>符合国家现行规定相关标准。</w:t>
            </w:r>
          </w:p>
        </w:tc>
      </w:tr>
    </w:tbl>
    <w:p w14:paraId="672DAEF2">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五、评审专家名单：</w:t>
      </w:r>
    </w:p>
    <w:p w14:paraId="45F139F5">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陶为华、孙磊、张冬梅、陈正江、陈军（采购人代表）</w:t>
      </w:r>
    </w:p>
    <w:p w14:paraId="15860347">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六、代理服务收费标准及金额：</w:t>
      </w:r>
    </w:p>
    <w:p w14:paraId="3AC857A9">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default"/>
          <w:color w:val="000000"/>
          <w:sz w:val="24"/>
          <w:highlight w:val="none"/>
          <w:lang w:val="en-US" w:eastAsia="zh-CN"/>
        </w:rPr>
      </w:pPr>
      <w:r>
        <w:rPr>
          <w:rFonts w:hint="eastAsia" w:ascii="宋体" w:hAnsi="宋体" w:cs="宋体"/>
          <w:bCs/>
          <w:color w:val="000000"/>
          <w:sz w:val="24"/>
          <w:szCs w:val="24"/>
          <w:highlight w:val="none"/>
        </w:rPr>
        <w:t>如中标人响应成交，中标人领取中标通知书签订合同后向招标代理机构交纳招标代理服务费（通过数字人民币方式交款），</w:t>
      </w:r>
      <w:r>
        <w:rPr>
          <w:rFonts w:hint="eastAsia"/>
          <w:color w:val="000000"/>
          <w:sz w:val="24"/>
          <w:highlight w:val="none"/>
        </w:rPr>
        <w:t>费用</w:t>
      </w:r>
      <w:r>
        <w:rPr>
          <w:rFonts w:hint="eastAsia"/>
          <w:color w:val="000000"/>
          <w:sz w:val="24"/>
          <w:highlight w:val="none"/>
          <w:lang w:val="en-US" w:eastAsia="zh-CN"/>
        </w:rPr>
        <w:t>为</w:t>
      </w:r>
      <w:r>
        <w:rPr>
          <w:rFonts w:hint="eastAsia" w:ascii="宋体" w:hAnsi="宋体" w:cs="宋体"/>
          <w:color w:val="000000"/>
          <w:sz w:val="24"/>
          <w:highlight w:val="none"/>
          <w:lang w:val="en-US" w:eastAsia="zh-CN"/>
        </w:rPr>
        <w:t>12700</w:t>
      </w:r>
      <w:r>
        <w:rPr>
          <w:rFonts w:hint="eastAsia"/>
          <w:color w:val="000000"/>
          <w:sz w:val="24"/>
          <w:highlight w:val="none"/>
          <w:lang w:val="en-US" w:eastAsia="zh-CN"/>
        </w:rPr>
        <w:t>元。</w:t>
      </w:r>
    </w:p>
    <w:p w14:paraId="14B881F9">
      <w:pPr>
        <w:keepNext w:val="0"/>
        <w:keepLines w:val="0"/>
        <w:pageBreakBefore w:val="0"/>
        <w:kinsoku/>
        <w:wordWrap/>
        <w:overflowPunct/>
        <w:topLinePunct w:val="0"/>
        <w:autoSpaceDE/>
        <w:autoSpaceDN/>
        <w:bidi w:val="0"/>
        <w:adjustRightInd w:val="0"/>
        <w:snapToGrid w:val="0"/>
        <w:spacing w:line="480" w:lineRule="exact"/>
        <w:ind w:firstLine="420" w:firstLineChars="200"/>
        <w:textAlignment w:val="auto"/>
        <w:rPr>
          <w:rFonts w:hint="default" w:ascii="宋体" w:hAnsi="宋体" w:eastAsia="宋体" w:cs="宋体"/>
          <w:sz w:val="24"/>
          <w:szCs w:val="24"/>
          <w:highlight w:val="none"/>
          <w:lang w:val="en-US" w:eastAsia="zh-CN"/>
        </w:rPr>
      </w:pPr>
      <w:bookmarkStart w:id="1" w:name="_GoBack"/>
      <w:r>
        <w:drawing>
          <wp:anchor distT="0" distB="0" distL="114300" distR="114300" simplePos="0" relativeHeight="251659264" behindDoc="0" locked="0" layoutInCell="1" allowOverlap="1">
            <wp:simplePos x="0" y="0"/>
            <wp:positionH relativeFrom="column">
              <wp:posOffset>353060</wp:posOffset>
            </wp:positionH>
            <wp:positionV relativeFrom="paragraph">
              <wp:posOffset>48260</wp:posOffset>
            </wp:positionV>
            <wp:extent cx="5372735" cy="7580630"/>
            <wp:effectExtent l="0" t="0" r="698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72735" cy="7580630"/>
                    </a:xfrm>
                    <a:prstGeom prst="rect">
                      <a:avLst/>
                    </a:prstGeom>
                    <a:noFill/>
                    <a:ln>
                      <a:noFill/>
                    </a:ln>
                  </pic:spPr>
                </pic:pic>
              </a:graphicData>
            </a:graphic>
          </wp:anchor>
        </w:drawing>
      </w:r>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ZGFhNjQ0MTAxZDJiYmU2Y2E5ZWNhNGJkMmFjZTEifQ=="/>
  </w:docVars>
  <w:rsids>
    <w:rsidRoot w:val="7AF129A7"/>
    <w:rsid w:val="000025B1"/>
    <w:rsid w:val="00086BE3"/>
    <w:rsid w:val="01DB71EE"/>
    <w:rsid w:val="03832751"/>
    <w:rsid w:val="039279A0"/>
    <w:rsid w:val="03BA1395"/>
    <w:rsid w:val="08F57ACE"/>
    <w:rsid w:val="0C645063"/>
    <w:rsid w:val="0E0D7CC7"/>
    <w:rsid w:val="11705417"/>
    <w:rsid w:val="124A3D9D"/>
    <w:rsid w:val="125E3D41"/>
    <w:rsid w:val="16521C9F"/>
    <w:rsid w:val="1867006C"/>
    <w:rsid w:val="1D1635D1"/>
    <w:rsid w:val="26236BA0"/>
    <w:rsid w:val="288226C8"/>
    <w:rsid w:val="29945D61"/>
    <w:rsid w:val="2B19522C"/>
    <w:rsid w:val="2B891305"/>
    <w:rsid w:val="2CE818B5"/>
    <w:rsid w:val="2F565901"/>
    <w:rsid w:val="2FA83919"/>
    <w:rsid w:val="31DD281F"/>
    <w:rsid w:val="34125532"/>
    <w:rsid w:val="35BB558B"/>
    <w:rsid w:val="38B2099B"/>
    <w:rsid w:val="39185A76"/>
    <w:rsid w:val="3A283645"/>
    <w:rsid w:val="3A5A593A"/>
    <w:rsid w:val="3D157F3B"/>
    <w:rsid w:val="3F116028"/>
    <w:rsid w:val="41DF65CA"/>
    <w:rsid w:val="4473378E"/>
    <w:rsid w:val="4662227E"/>
    <w:rsid w:val="47C1557F"/>
    <w:rsid w:val="492D5972"/>
    <w:rsid w:val="4A3C3C84"/>
    <w:rsid w:val="4B0A101D"/>
    <w:rsid w:val="4C0D189C"/>
    <w:rsid w:val="4C7D1D4A"/>
    <w:rsid w:val="4E084F37"/>
    <w:rsid w:val="50042BB3"/>
    <w:rsid w:val="543B35DA"/>
    <w:rsid w:val="575930F1"/>
    <w:rsid w:val="584902D3"/>
    <w:rsid w:val="59CC7CB5"/>
    <w:rsid w:val="59FE3602"/>
    <w:rsid w:val="5D77185F"/>
    <w:rsid w:val="5F744EA2"/>
    <w:rsid w:val="61B74BE3"/>
    <w:rsid w:val="625C5F34"/>
    <w:rsid w:val="63C616C8"/>
    <w:rsid w:val="63CF3929"/>
    <w:rsid w:val="645B2A5B"/>
    <w:rsid w:val="65B56945"/>
    <w:rsid w:val="674B194C"/>
    <w:rsid w:val="6A7C4ACE"/>
    <w:rsid w:val="6E194661"/>
    <w:rsid w:val="6E5942A6"/>
    <w:rsid w:val="6E8E40AA"/>
    <w:rsid w:val="72C46A43"/>
    <w:rsid w:val="74077675"/>
    <w:rsid w:val="74D86DA5"/>
    <w:rsid w:val="76BD6F6D"/>
    <w:rsid w:val="780E0561"/>
    <w:rsid w:val="789E54D2"/>
    <w:rsid w:val="79566999"/>
    <w:rsid w:val="7AF1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next w:val="5"/>
    <w:qFormat/>
    <w:uiPriority w:val="0"/>
    <w:pPr>
      <w:tabs>
        <w:tab w:val="left" w:pos="180"/>
      </w:tabs>
      <w:ind w:firstLine="480" w:firstLineChars="200"/>
    </w:pPr>
    <w:rPr>
      <w:sz w:val="24"/>
    </w:rPr>
  </w:style>
  <w:style w:type="paragraph" w:styleId="5">
    <w:name w:val="envelope return"/>
    <w:basedOn w:val="1"/>
    <w:qFormat/>
    <w:uiPriority w:val="0"/>
    <w:pPr>
      <w:snapToGrid w:val="0"/>
    </w:pPr>
    <w:rPr>
      <w:rFonts w:ascii="Arial" w:hAnsi="Arial" w:eastAsia="宋体" w:cs="Times New Roman"/>
    </w:rPr>
  </w:style>
  <w:style w:type="paragraph" w:styleId="6">
    <w:name w:val="index heading"/>
    <w:basedOn w:val="1"/>
    <w:next w:val="7"/>
    <w:unhideWhenUsed/>
    <w:qFormat/>
    <w:uiPriority w:val="99"/>
    <w:pPr>
      <w:spacing w:line="500" w:lineRule="exact"/>
    </w:pPr>
    <w:rPr>
      <w:rFonts w:ascii="仿宋_GB2312" w:hAnsi="Calibri"/>
      <w:sz w:val="28"/>
    </w:rPr>
  </w:style>
  <w:style w:type="paragraph" w:styleId="7">
    <w:name w:val="index 1"/>
    <w:basedOn w:val="1"/>
    <w:next w:val="1"/>
    <w:unhideWhenUsed/>
    <w:qFormat/>
    <w:uiPriority w:val="99"/>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34"/>
    <w:pPr>
      <w:ind w:firstLine="420" w:firstLineChars="200"/>
    </w:pPr>
  </w:style>
  <w:style w:type="paragraph" w:customStyle="1" w:styleId="12">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782</Words>
  <Characters>888</Characters>
  <Lines>0</Lines>
  <Paragraphs>0</Paragraphs>
  <TotalTime>1</TotalTime>
  <ScaleCrop>false</ScaleCrop>
  <LinksUpToDate>false</LinksUpToDate>
  <CharactersWithSpaces>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2024-04-07T02:52:00Z</dcterms:created>
  <dc:creator>空白</dc:creator>
  <cp:lastModifiedBy>空白</cp:lastModifiedBy>
  <cp:lastPrinted>2024-12-03T04:05:00Z</cp:lastPrinted>
  <dcterms:modified xsi:type="dcterms:W3CDTF">2025-06-10T02:34:37Z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0913360EF02E45FBBC376574D5C7CA3F_11</vt:lpwstr>
  </property>
  <property fmtid="{D5CDD505-2E9C-101B-9397-08002B2CF9AE}" pid="4" name="KSOTemplateDocerSaveRecord">
    <vt:lpwstr>eyJoZGlkIjoiOWU2MmYyZThkZjA1NjY3MTU5ZWMzMjhiZTk1MmY5M2MiLCJ1c2VySWQiOiIzNjE0NjEwODUifQ==</vt:lpwstr>
  </property>
</Properties>
</file>