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
          <w:color w:val="auto"/>
          <w:sz w:val="84"/>
          <w:szCs w:val="84"/>
          <w:highlight w:val="none"/>
        </w:rPr>
      </w:pPr>
    </w:p>
    <w:p>
      <w:pPr>
        <w:jc w:val="center"/>
        <w:rPr>
          <w:rFonts w:hint="eastAsia" w:ascii="黑体" w:hAnsi="黑体" w:eastAsia="黑体"/>
          <w:b/>
          <w:color w:val="auto"/>
          <w:sz w:val="84"/>
          <w:szCs w:val="84"/>
          <w:highlight w:val="none"/>
        </w:rPr>
      </w:pP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招标文件</w:t>
      </w:r>
    </w:p>
    <w:p>
      <w:pPr>
        <w:spacing w:line="480" w:lineRule="auto"/>
        <w:ind w:firstLine="2249"/>
        <w:jc w:val="left"/>
        <w:rPr>
          <w:rFonts w:ascii="Arial" w:hAnsi="Arial" w:eastAsia="宋体" w:cs="Times New Roman"/>
          <w:b/>
          <w:bCs/>
          <w:color w:val="auto"/>
          <w:sz w:val="32"/>
          <w:szCs w:val="24"/>
          <w:highlight w:val="none"/>
        </w:rPr>
      </w:pPr>
    </w:p>
    <w:p>
      <w:pPr>
        <w:spacing w:line="480" w:lineRule="auto"/>
        <w:ind w:firstLine="2249"/>
        <w:jc w:val="left"/>
        <w:rPr>
          <w:rFonts w:ascii="Arial" w:hAnsi="Arial" w:eastAsia="宋体" w:cs="Times New Roman"/>
          <w:b/>
          <w:bCs/>
          <w:color w:val="auto"/>
          <w:sz w:val="32"/>
          <w:szCs w:val="24"/>
          <w:highlight w:val="none"/>
        </w:rPr>
      </w:pPr>
    </w:p>
    <w:p>
      <w:pPr>
        <w:spacing w:line="480" w:lineRule="auto"/>
        <w:jc w:val="left"/>
        <w:rPr>
          <w:rFonts w:ascii="Arial" w:hAnsi="Arial" w:eastAsia="宋体" w:cs="Times New Roman"/>
          <w:b/>
          <w:bCs/>
          <w:color w:val="auto"/>
          <w:sz w:val="32"/>
          <w:szCs w:val="24"/>
          <w:highlight w:val="none"/>
        </w:rPr>
      </w:pPr>
    </w:p>
    <w:p>
      <w:pPr>
        <w:spacing w:line="480" w:lineRule="auto"/>
        <w:jc w:val="left"/>
        <w:rPr>
          <w:rFonts w:ascii="Arial" w:hAnsi="Arial" w:eastAsia="宋体" w:cs="Times New Roman"/>
          <w:b/>
          <w:bCs/>
          <w:color w:val="auto"/>
          <w:sz w:val="32"/>
          <w:szCs w:val="24"/>
          <w:highlight w:val="none"/>
        </w:rPr>
      </w:pPr>
    </w:p>
    <w:p>
      <w:pPr>
        <w:spacing w:line="480" w:lineRule="auto"/>
        <w:ind w:firstLine="2249"/>
        <w:jc w:val="left"/>
        <w:rPr>
          <w:rFonts w:ascii="Arial" w:hAnsi="Arial" w:eastAsia="宋体" w:cs="Times New Roman"/>
          <w:b/>
          <w:bCs/>
          <w:color w:val="auto"/>
          <w:sz w:val="32"/>
          <w:szCs w:val="24"/>
          <w:highlight w:val="none"/>
        </w:rPr>
      </w:pPr>
    </w:p>
    <w:p>
      <w:pPr>
        <w:spacing w:line="480" w:lineRule="auto"/>
        <w:ind w:firstLine="1285"/>
        <w:rPr>
          <w:rFonts w:ascii="黑体" w:hAnsi="Arial" w:eastAsia="宋体" w:cs="Times New Roman"/>
          <w:b/>
          <w:bCs/>
          <w:color w:val="auto"/>
          <w:sz w:val="32"/>
          <w:szCs w:val="32"/>
          <w:highlight w:val="none"/>
          <w:u w:val="none"/>
        </w:rPr>
      </w:pPr>
      <w:r>
        <w:rPr>
          <w:rFonts w:hint="eastAsia" w:ascii="Arial" w:hAnsi="Arial" w:eastAsia="宋体" w:cs="Times New Roman"/>
          <w:b/>
          <w:bCs/>
          <w:color w:val="auto"/>
          <w:sz w:val="32"/>
          <w:szCs w:val="32"/>
          <w:highlight w:val="none"/>
          <w:u w:val="none"/>
        </w:rPr>
        <w:t>项目名称：</w:t>
      </w:r>
      <w:r>
        <w:rPr>
          <w:rFonts w:hint="eastAsia" w:ascii="宋体" w:hAnsi="宋体" w:eastAsia="宋体" w:cs="宋体"/>
          <w:b/>
          <w:bCs/>
          <w:i w:val="0"/>
          <w:color w:val="333333"/>
          <w:sz w:val="32"/>
          <w:szCs w:val="32"/>
          <w:u w:val="none"/>
          <w:lang w:eastAsia="zh-CN"/>
        </w:rPr>
        <w:t>临港产业园区绿化养护项目（2025）</w:t>
      </w:r>
    </w:p>
    <w:p>
      <w:pPr>
        <w:spacing w:line="480" w:lineRule="auto"/>
        <w:ind w:firstLine="1285"/>
        <w:rPr>
          <w:rFonts w:hint="eastAsia" w:ascii="宋体" w:hAnsi="宋体" w:eastAsia="宋体" w:cs="宋体"/>
          <w:b/>
          <w:bCs/>
          <w:color w:val="auto"/>
          <w:sz w:val="32"/>
          <w:szCs w:val="32"/>
          <w:highlight w:val="none"/>
          <w:u w:val="none"/>
          <w:lang w:eastAsia="zh-CN"/>
        </w:rPr>
      </w:pPr>
      <w:r>
        <w:rPr>
          <w:rFonts w:hint="eastAsia" w:ascii="宋体" w:hAnsi="宋体" w:eastAsia="宋体" w:cs="宋体"/>
          <w:b/>
          <w:bCs/>
          <w:color w:val="auto"/>
          <w:sz w:val="32"/>
          <w:szCs w:val="32"/>
          <w:highlight w:val="none"/>
          <w:u w:val="none"/>
        </w:rPr>
        <w:t>项目编号：</w:t>
      </w:r>
      <w:r>
        <w:rPr>
          <w:rFonts w:hint="eastAsia" w:ascii="宋体" w:hAnsi="宋体" w:eastAsia="宋体" w:cs="宋体"/>
          <w:b/>
          <w:bCs/>
          <w:i w:val="0"/>
          <w:iCs w:val="0"/>
          <w:caps w:val="0"/>
          <w:spacing w:val="0"/>
          <w:sz w:val="32"/>
          <w:szCs w:val="32"/>
          <w:shd w:val="clear" w:fill="FFFFFF"/>
        </w:rPr>
        <w:t>JSZC-320723-SHAN-G2025-0015</w:t>
      </w:r>
    </w:p>
    <w:p>
      <w:pPr>
        <w:spacing w:line="480" w:lineRule="auto"/>
        <w:jc w:val="left"/>
        <w:rPr>
          <w:rFonts w:hint="eastAsia" w:ascii="宋体" w:hAnsi="宋体" w:eastAsia="宋体" w:cs="宋体"/>
          <w:b/>
          <w:bCs/>
          <w:color w:val="auto"/>
          <w:sz w:val="32"/>
          <w:szCs w:val="32"/>
          <w:highlight w:val="none"/>
        </w:rPr>
      </w:pPr>
    </w:p>
    <w:p>
      <w:pPr>
        <w:spacing w:line="480" w:lineRule="auto"/>
        <w:rPr>
          <w:rFonts w:ascii="黑体" w:hAnsi="Arial" w:eastAsia="黑体" w:cs="Times New Roman"/>
          <w:b/>
          <w:color w:val="auto"/>
          <w:sz w:val="44"/>
          <w:szCs w:val="21"/>
          <w:highlight w:val="none"/>
        </w:rPr>
      </w:pPr>
    </w:p>
    <w:p>
      <w:pPr>
        <w:pStyle w:val="2"/>
        <w:rPr>
          <w:rFonts w:ascii="黑体" w:hAnsi="Arial" w:eastAsia="黑体" w:cs="Times New Roman"/>
          <w:b/>
          <w:color w:val="auto"/>
          <w:sz w:val="44"/>
          <w:szCs w:val="21"/>
          <w:highlight w:val="none"/>
        </w:rPr>
      </w:pPr>
    </w:p>
    <w:p>
      <w:pPr>
        <w:pStyle w:val="2"/>
        <w:rPr>
          <w:rFonts w:ascii="黑体" w:hAnsi="Arial" w:eastAsia="黑体" w:cs="Times New Roman"/>
          <w:b/>
          <w:color w:val="auto"/>
          <w:sz w:val="44"/>
          <w:szCs w:val="21"/>
          <w:highlight w:val="none"/>
        </w:rPr>
      </w:pPr>
    </w:p>
    <w:p>
      <w:pPr>
        <w:spacing w:before="120" w:after="120" w:line="360" w:lineRule="auto"/>
        <w:jc w:val="left"/>
        <w:rPr>
          <w:rFonts w:hint="eastAsia" w:ascii="宋体" w:hAnsi="宋体" w:eastAsia="宋体" w:cs="宋体"/>
          <w:b/>
          <w:bCs/>
          <w:color w:val="auto"/>
          <w:sz w:val="36"/>
          <w:szCs w:val="36"/>
          <w:highlight w:val="none"/>
          <w:u w:val="none"/>
        </w:rPr>
      </w:pPr>
      <w:r>
        <w:rPr>
          <w:rFonts w:hint="eastAsia" w:ascii="宋体" w:hAnsi="宋体" w:eastAsia="宋体" w:cs="宋体"/>
          <w:b/>
          <w:bCs/>
          <w:color w:val="auto"/>
          <w:sz w:val="36"/>
          <w:szCs w:val="36"/>
          <w:highlight w:val="none"/>
          <w:u w:val="none"/>
        </w:rPr>
        <w:t>采购人：</w:t>
      </w:r>
      <w:r>
        <w:rPr>
          <w:rFonts w:hint="eastAsia" w:ascii="宋体" w:hAnsi="宋体" w:eastAsia="宋体" w:cs="宋体"/>
          <w:b/>
          <w:bCs/>
          <w:sz w:val="36"/>
          <w:szCs w:val="36"/>
          <w:u w:val="none"/>
          <w:lang w:val="en-US" w:eastAsia="zh-CN"/>
        </w:rPr>
        <w:t xml:space="preserve">灌云县临港产业区管理办公室 </w:t>
      </w:r>
    </w:p>
    <w:p>
      <w:pPr>
        <w:spacing w:before="120" w:after="120" w:line="360" w:lineRule="auto"/>
        <w:jc w:val="left"/>
        <w:rPr>
          <w:rFonts w:hint="eastAsia" w:ascii="宋体" w:hAnsi="宋体" w:eastAsia="宋体" w:cs="宋体"/>
          <w:b/>
          <w:bCs/>
          <w:color w:val="auto"/>
          <w:sz w:val="36"/>
          <w:szCs w:val="36"/>
          <w:highlight w:val="none"/>
          <w:u w:val="none"/>
        </w:rPr>
      </w:pPr>
      <w:r>
        <w:rPr>
          <w:rFonts w:hint="eastAsia" w:ascii="宋体" w:hAnsi="宋体" w:eastAsia="宋体" w:cs="宋体"/>
          <w:b/>
          <w:bCs/>
          <w:color w:val="auto"/>
          <w:sz w:val="36"/>
          <w:szCs w:val="36"/>
          <w:highlight w:val="none"/>
          <w:u w:val="none"/>
        </w:rPr>
        <w:t>采购代理机构：</w:t>
      </w:r>
      <w:r>
        <w:rPr>
          <w:rFonts w:hint="eastAsia" w:ascii="宋体" w:hAnsi="宋体" w:eastAsia="宋体" w:cs="宋体"/>
          <w:b/>
          <w:bCs/>
          <w:sz w:val="36"/>
          <w:szCs w:val="36"/>
          <w:u w:val="none"/>
          <w:lang w:val="en-US" w:eastAsia="zh-CN"/>
        </w:rPr>
        <w:t>江苏博凯隆工程咨询有限公司</w:t>
      </w:r>
    </w:p>
    <w:p>
      <w:pPr>
        <w:jc w:val="center"/>
        <w:rPr>
          <w:rFonts w:hint="eastAsia" w:ascii="宋体" w:hAnsi="宋体" w:eastAsia="宋体" w:cs="宋体"/>
          <w:b/>
          <w:bCs/>
          <w:color w:val="auto"/>
          <w:sz w:val="30"/>
          <w:szCs w:val="30"/>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b/>
          <w:bCs/>
          <w:color w:val="auto"/>
          <w:sz w:val="30"/>
          <w:szCs w:val="30"/>
          <w:highlight w:val="none"/>
        </w:rPr>
        <w:t>2025年</w:t>
      </w:r>
      <w:r>
        <w:rPr>
          <w:rFonts w:hint="eastAsia" w:ascii="宋体" w:hAnsi="宋体" w:cs="宋体"/>
          <w:b/>
          <w:bCs/>
          <w:color w:val="auto"/>
          <w:sz w:val="30"/>
          <w:szCs w:val="30"/>
          <w:highlight w:val="none"/>
          <w:lang w:val="en-US" w:eastAsia="zh-CN"/>
        </w:rPr>
        <w:t>06</w:t>
      </w:r>
      <w:r>
        <w:rPr>
          <w:rFonts w:hint="eastAsia" w:ascii="宋体" w:hAnsi="宋体" w:eastAsia="宋体" w:cs="宋体"/>
          <w:b/>
          <w:bCs/>
          <w:color w:val="auto"/>
          <w:sz w:val="30"/>
          <w:szCs w:val="30"/>
          <w:highlight w:val="none"/>
        </w:rPr>
        <w:t>月</w:t>
      </w:r>
    </w:p>
    <w:p>
      <w:pPr>
        <w:pStyle w:val="4"/>
        <w:bidi w:val="0"/>
        <w:rPr>
          <w:rFonts w:hint="eastAsia"/>
          <w:lang w:val="en-US" w:eastAsia="zh-CN"/>
        </w:rPr>
      </w:pPr>
      <w:bookmarkStart w:id="0" w:name="_Toc14703"/>
      <w:r>
        <w:rPr>
          <w:rFonts w:hint="eastAsia"/>
          <w:lang w:val="en-US" w:eastAsia="zh-CN"/>
        </w:rPr>
        <w:t>目录</w:t>
      </w:r>
      <w:bookmarkEnd w:id="0"/>
    </w:p>
    <w:p>
      <w:pPr>
        <w:rPr>
          <w:rFonts w:hint="eastAsia"/>
          <w:lang w:val="en-US" w:eastAsia="zh-CN"/>
        </w:rPr>
      </w:pPr>
    </w:p>
    <w:p>
      <w:pPr>
        <w:pStyle w:val="13"/>
        <w:keepNext w:val="0"/>
        <w:keepLines w:val="0"/>
        <w:pageBreakBefore w:val="0"/>
        <w:widowControl w:val="0"/>
        <w:tabs>
          <w:tab w:val="right" w:leader="dot" w:pos="8306"/>
        </w:tabs>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\l _Toc813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_Toc813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\l _Toc485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_Toc485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\l _Toc23096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第三章  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_Toc23096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\l _Toc21756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第四章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_Toc21756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\l _Toc8556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_Toc8556 \h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val="0"/>
        <w:snapToGrid w:val="0"/>
        <w:spacing w:line="360" w:lineRule="auto"/>
        <w:textAlignment w:val="auto"/>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\l _Toc16149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eastAsia="zh-CN"/>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_Toc16149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fldChar w:fldCharType="end"/>
      </w:r>
    </w:p>
    <w:p>
      <w:pPr>
        <w:pStyle w:val="9"/>
        <w:tabs>
          <w:tab w:val="right" w:leader="dot" w:pos="8306"/>
        </w:tabs>
      </w:pPr>
    </w:p>
    <w:p>
      <w:pPr>
        <w:bidi w:val="0"/>
        <w:rPr>
          <w:rFonts w:hint="eastAsia"/>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lang w:val="en-US" w:eastAsia="zh-CN"/>
        </w:rPr>
        <w:fldChar w:fldCharType="end"/>
      </w:r>
    </w:p>
    <w:p>
      <w:pPr>
        <w:pStyle w:val="4"/>
        <w:bidi w:val="0"/>
        <w:rPr>
          <w:lang w:val="en-US" w:eastAsia="zh-CN"/>
        </w:rPr>
      </w:pPr>
      <w:bookmarkStart w:id="1" w:name="_Toc813"/>
      <w:bookmarkStart w:id="2" w:name="_Toc165205794"/>
      <w:r>
        <w:rPr>
          <w:rFonts w:hint="eastAsia"/>
          <w:lang w:val="en-US" w:eastAsia="zh-CN"/>
        </w:rPr>
        <w:t>第一章  投标邀请</w:t>
      </w:r>
      <w:bookmarkEnd w:id="1"/>
      <w:bookmarkEnd w:id="2"/>
    </w:p>
    <w:p>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b/>
          <w:bCs/>
          <w:sz w:val="24"/>
          <w:szCs w:val="24"/>
          <w:u w:val="single"/>
          <w:lang w:val="en-US" w:eastAsia="zh-CN"/>
        </w:rPr>
        <w:t>灌云县临港产业区管理办公室</w:t>
      </w:r>
      <w:r>
        <w:rPr>
          <w:rFonts w:hint="eastAsia" w:ascii="宋体" w:hAnsi="宋体" w:eastAsia="宋体" w:cs="宋体"/>
          <w:color w:val="auto"/>
          <w:sz w:val="24"/>
          <w:szCs w:val="24"/>
          <w:highlight w:val="none"/>
        </w:rPr>
        <w:t>的委托，</w:t>
      </w:r>
      <w:r>
        <w:rPr>
          <w:rFonts w:hint="eastAsia" w:ascii="宋体" w:hAnsi="宋体" w:eastAsia="宋体" w:cs="宋体"/>
          <w:b/>
          <w:bCs/>
          <w:sz w:val="24"/>
          <w:szCs w:val="24"/>
          <w:u w:val="single"/>
          <w:lang w:val="en-US" w:eastAsia="zh-CN"/>
        </w:rPr>
        <w:t>江苏博凯隆工程咨询有限公司</w:t>
      </w:r>
      <w:r>
        <w:rPr>
          <w:rFonts w:hint="eastAsia" w:ascii="宋体" w:hAnsi="宋体" w:eastAsia="宋体" w:cs="宋体"/>
          <w:color w:val="auto"/>
          <w:sz w:val="24"/>
          <w:szCs w:val="24"/>
          <w:highlight w:val="none"/>
        </w:rPr>
        <w:t>就</w:t>
      </w:r>
      <w:r>
        <w:rPr>
          <w:rFonts w:hint="eastAsia" w:ascii="宋体" w:hAnsi="宋体" w:eastAsia="宋体" w:cs="宋体"/>
          <w:b/>
          <w:bCs/>
          <w:i w:val="0"/>
          <w:color w:val="333333"/>
          <w:sz w:val="24"/>
          <w:szCs w:val="24"/>
          <w:u w:val="single"/>
          <w:lang w:eastAsia="zh-CN"/>
        </w:rPr>
        <w:t>临港产业园区绿化养护项目（2025）</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项目编号:</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i w:val="0"/>
          <w:iCs w:val="0"/>
          <w:caps w:val="0"/>
          <w:spacing w:val="0"/>
          <w:sz w:val="24"/>
          <w:szCs w:val="24"/>
          <w:highlight w:val="none"/>
          <w:shd w:val="clear" w:fill="FFFFFF"/>
        </w:rPr>
        <w:t>JSZC-320723-SHAN-G2025-0015</w:t>
      </w:r>
      <w:r>
        <w:rPr>
          <w:rFonts w:hint="eastAsia" w:ascii="宋体" w:hAnsi="宋体" w:eastAsia="宋体" w:cs="宋体"/>
          <w:color w:val="auto"/>
          <w:sz w:val="24"/>
          <w:szCs w:val="24"/>
          <w:highlight w:val="none"/>
        </w:rPr>
        <w:t>）项目进行公开招标采购，欢迎符合条件的供应商投标。</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47" w:type="dxa"/>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i w:val="0"/>
                <w:color w:val="333333"/>
                <w:sz w:val="24"/>
                <w:szCs w:val="24"/>
                <w:highlight w:val="none"/>
                <w:u w:val="single"/>
                <w:lang w:eastAsia="zh-CN"/>
              </w:rPr>
              <w:t>临港产业园区绿化养护项目（2025）</w:t>
            </w:r>
            <w:r>
              <w:rPr>
                <w:rFonts w:hint="eastAsia" w:ascii="宋体" w:hAnsi="宋体" w:eastAsia="宋体" w:cs="宋体"/>
                <w:color w:val="auto"/>
                <w:sz w:val="24"/>
                <w:szCs w:val="24"/>
                <w:highlight w:val="none"/>
                <w:lang w:val="en-US" w:eastAsia="zh-CN" w:bidi="ar-SA"/>
              </w:rPr>
              <w:t>招标项目的潜在投标人应在</w:t>
            </w:r>
            <w:r>
              <w:rPr>
                <w:rFonts w:hint="eastAsia" w:ascii="宋体" w:hAnsi="宋体" w:eastAsia="宋体" w:cs="宋体"/>
                <w:b/>
                <w:color w:val="auto"/>
                <w:sz w:val="24"/>
                <w:szCs w:val="24"/>
                <w:highlight w:val="none"/>
                <w:u w:val="single"/>
                <w:lang w:val="en-US" w:eastAsia="zh-CN" w:bidi="ar-SA"/>
              </w:rPr>
              <w:t>江苏政府采购网</w:t>
            </w:r>
            <w:r>
              <w:rPr>
                <w:rFonts w:hint="eastAsia" w:ascii="宋体" w:hAnsi="宋体" w:eastAsia="宋体" w:cs="宋体"/>
                <w:color w:val="auto"/>
                <w:sz w:val="24"/>
                <w:szCs w:val="24"/>
                <w:highlight w:val="none"/>
                <w:lang w:val="en-US" w:eastAsia="zh-CN" w:bidi="ar-SA"/>
              </w:rPr>
              <w:t>自行免费下载招标文件，并于</w:t>
            </w:r>
            <w:r>
              <w:rPr>
                <w:rFonts w:hint="eastAsia" w:ascii="宋体" w:hAnsi="宋体" w:eastAsia="宋体" w:cs="宋体"/>
                <w:b/>
                <w:color w:val="auto"/>
                <w:sz w:val="24"/>
                <w:szCs w:val="24"/>
                <w:highlight w:val="none"/>
                <w:u w:val="single"/>
                <w:lang w:val="en-US" w:eastAsia="zh-CN" w:bidi="ar-SA"/>
              </w:rPr>
              <w:t>2025年</w:t>
            </w:r>
            <w:r>
              <w:rPr>
                <w:rFonts w:hint="eastAsia" w:ascii="宋体" w:hAnsi="宋体" w:cs="宋体"/>
                <w:b/>
                <w:color w:val="auto"/>
                <w:sz w:val="24"/>
                <w:szCs w:val="24"/>
                <w:highlight w:val="none"/>
                <w:u w:val="single"/>
                <w:lang w:val="en-US" w:eastAsia="zh-CN" w:bidi="ar-SA"/>
              </w:rPr>
              <w:t>07</w:t>
            </w:r>
            <w:r>
              <w:rPr>
                <w:rFonts w:hint="eastAsia" w:ascii="宋体" w:hAnsi="宋体" w:eastAsia="宋体" w:cs="宋体"/>
                <w:b/>
                <w:color w:val="auto"/>
                <w:sz w:val="24"/>
                <w:szCs w:val="24"/>
                <w:highlight w:val="none"/>
                <w:u w:val="single"/>
                <w:lang w:val="en-US" w:eastAsia="zh-CN" w:bidi="ar-SA"/>
              </w:rPr>
              <w:t>月</w:t>
            </w:r>
            <w:r>
              <w:rPr>
                <w:rFonts w:hint="eastAsia" w:ascii="宋体" w:hAnsi="宋体" w:cs="宋体"/>
                <w:b/>
                <w:color w:val="auto"/>
                <w:sz w:val="24"/>
                <w:szCs w:val="24"/>
                <w:highlight w:val="none"/>
                <w:u w:val="single"/>
                <w:lang w:val="en-US" w:eastAsia="zh-CN" w:bidi="ar-SA"/>
              </w:rPr>
              <w:t>15</w:t>
            </w:r>
            <w:r>
              <w:rPr>
                <w:rFonts w:hint="eastAsia" w:ascii="宋体" w:hAnsi="宋体" w:eastAsia="宋体" w:cs="宋体"/>
                <w:b/>
                <w:color w:val="auto"/>
                <w:sz w:val="24"/>
                <w:szCs w:val="24"/>
                <w:highlight w:val="none"/>
                <w:u w:val="single"/>
                <w:lang w:val="en-US" w:eastAsia="zh-CN" w:bidi="ar-SA"/>
              </w:rPr>
              <w:t>日10:00:00</w:t>
            </w:r>
            <w:r>
              <w:rPr>
                <w:rFonts w:hint="eastAsia" w:ascii="宋体" w:hAnsi="宋体" w:eastAsia="宋体" w:cs="宋体"/>
                <w:color w:val="auto"/>
                <w:sz w:val="24"/>
                <w:szCs w:val="24"/>
                <w:highlight w:val="none"/>
                <w:lang w:val="en-US" w:eastAsia="zh-CN" w:bidi="ar-SA"/>
              </w:rPr>
              <w:t>（北京时间）前递交（上传）投标文件。</w:t>
            </w:r>
          </w:p>
        </w:tc>
      </w:tr>
    </w:tbl>
    <w:p>
      <w:pPr>
        <w:pStyle w:val="2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3" w:name="_Toc22967"/>
      <w:r>
        <w:rPr>
          <w:rFonts w:hint="eastAsia" w:ascii="宋体" w:hAnsi="宋体" w:eastAsia="宋体" w:cs="宋体"/>
          <w:color w:val="auto"/>
          <w:sz w:val="24"/>
          <w:szCs w:val="24"/>
          <w:highlight w:val="none"/>
        </w:rPr>
        <w:t>一、项目基本情况</w:t>
      </w:r>
      <w:bookmarkEnd w:id="3"/>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i w:val="0"/>
          <w:iCs w:val="0"/>
          <w:caps w:val="0"/>
          <w:spacing w:val="0"/>
          <w:sz w:val="24"/>
          <w:szCs w:val="24"/>
          <w:highlight w:val="none"/>
          <w:shd w:val="clear" w:fill="FFFFFF"/>
        </w:rPr>
        <w:t>JSZC-320723-SHAN-G2025-0015</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项目名称：</w:t>
      </w:r>
      <w:r>
        <w:rPr>
          <w:rFonts w:hint="eastAsia" w:ascii="宋体" w:hAnsi="宋体" w:eastAsia="宋体" w:cs="宋体"/>
          <w:b w:val="0"/>
          <w:bCs w:val="0"/>
          <w:i w:val="0"/>
          <w:color w:val="333333"/>
          <w:sz w:val="24"/>
          <w:szCs w:val="24"/>
          <w:highlight w:val="none"/>
          <w:u w:val="none"/>
          <w:lang w:eastAsia="zh-CN"/>
        </w:rPr>
        <w:t>临港产业园区绿化养护项目（2025</w:t>
      </w:r>
      <w:r>
        <w:rPr>
          <w:rFonts w:hint="eastAsia" w:ascii="宋体" w:hAnsi="宋体" w:eastAsia="宋体" w:cs="宋体"/>
          <w:b w:val="0"/>
          <w:bCs w:val="0"/>
          <w:i w:val="0"/>
          <w:color w:val="333333"/>
          <w:sz w:val="24"/>
          <w:szCs w:val="24"/>
          <w:u w:val="none"/>
          <w:lang w:eastAsia="zh-CN"/>
        </w:rPr>
        <w:t>）</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采购方式：公开招标</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975</w:t>
      </w:r>
      <w:r>
        <w:rPr>
          <w:rFonts w:hint="eastAsia" w:ascii="宋体" w:hAnsi="宋体" w:eastAsia="宋体" w:cs="宋体"/>
          <w:color w:val="auto"/>
          <w:sz w:val="24"/>
          <w:szCs w:val="24"/>
          <w:highlight w:val="none"/>
        </w:rPr>
        <w:t>万元。</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975</w:t>
      </w:r>
      <w:r>
        <w:rPr>
          <w:rFonts w:hint="eastAsia" w:ascii="宋体" w:hAnsi="宋体" w:eastAsia="宋体" w:cs="宋体"/>
          <w:color w:val="auto"/>
          <w:sz w:val="24"/>
          <w:szCs w:val="24"/>
          <w:highlight w:val="none"/>
        </w:rPr>
        <w:t>万元，投标报价不得超过最高限价，否则投标无效。</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w:t>
      </w:r>
      <w:r>
        <w:rPr>
          <w:rFonts w:hint="eastAsia" w:ascii="宋体" w:hAnsi="宋体" w:eastAsia="宋体" w:cs="宋体"/>
          <w:b w:val="0"/>
          <w:bCs w:val="0"/>
          <w:i w:val="0"/>
          <w:iCs w:val="0"/>
          <w:color w:val="auto"/>
          <w:sz w:val="24"/>
          <w:szCs w:val="24"/>
          <w:highlight w:val="none"/>
          <w:u w:val="none"/>
          <w:lang w:val="en-US" w:eastAsia="zh-CN"/>
        </w:rPr>
        <w:t>灌云县临港产业园区</w:t>
      </w:r>
      <w:r>
        <w:rPr>
          <w:rFonts w:hint="eastAsia" w:ascii="宋体" w:hAnsi="宋体" w:eastAsia="宋体" w:cs="宋体"/>
          <w:b w:val="0"/>
          <w:i w:val="0"/>
          <w:color w:val="333333"/>
          <w:sz w:val="24"/>
          <w:szCs w:val="24"/>
          <w:u w:val="none"/>
          <w:lang w:eastAsia="zh-CN"/>
        </w:rPr>
        <w:t>324省道绿化（黄海桥至柴门大桥)、</w:t>
      </w:r>
      <w:bookmarkStart w:id="4" w:name="OLE_LINK5"/>
      <w:r>
        <w:rPr>
          <w:rFonts w:hint="eastAsia" w:ascii="宋体" w:hAnsi="宋体" w:cs="宋体"/>
          <w:b w:val="0"/>
          <w:i w:val="0"/>
          <w:color w:val="333333"/>
          <w:sz w:val="24"/>
          <w:szCs w:val="24"/>
          <w:u w:val="none"/>
          <w:lang w:val="en-US" w:eastAsia="zh-CN"/>
        </w:rPr>
        <w:t>新纬九路</w:t>
      </w:r>
      <w:r>
        <w:rPr>
          <w:rFonts w:hint="eastAsia" w:ascii="宋体" w:hAnsi="宋体" w:eastAsia="宋体" w:cs="宋体"/>
          <w:b w:val="0"/>
          <w:i w:val="0"/>
          <w:color w:val="333333"/>
          <w:sz w:val="24"/>
          <w:szCs w:val="24"/>
          <w:u w:val="none"/>
          <w:lang w:eastAsia="zh-CN"/>
        </w:rPr>
        <w:t>、创业路绿化、</w:t>
      </w:r>
      <w:r>
        <w:rPr>
          <w:rFonts w:hint="eastAsia" w:ascii="宋体" w:hAnsi="宋体" w:cs="宋体"/>
          <w:b w:val="0"/>
          <w:i w:val="0"/>
          <w:color w:val="333333"/>
          <w:sz w:val="24"/>
          <w:szCs w:val="24"/>
          <w:u w:val="none"/>
          <w:lang w:val="en-US" w:eastAsia="zh-CN"/>
        </w:rPr>
        <w:t>中小企业园、新纬八路</w:t>
      </w:r>
      <w:bookmarkEnd w:id="4"/>
      <w:r>
        <w:rPr>
          <w:rFonts w:hint="eastAsia" w:ascii="宋体" w:hAnsi="宋体" w:eastAsia="宋体" w:cs="宋体"/>
          <w:b w:val="0"/>
          <w:i w:val="0"/>
          <w:color w:val="333333"/>
          <w:sz w:val="24"/>
          <w:szCs w:val="24"/>
          <w:u w:val="none"/>
          <w:lang w:eastAsia="zh-CN"/>
        </w:rPr>
        <w:t>、上堤路、经八路北段等绿化养护，总绿化面积约 32.5万平方米</w:t>
      </w:r>
      <w:r>
        <w:rPr>
          <w:rFonts w:hint="eastAsia" w:ascii="宋体" w:hAnsi="宋体" w:eastAsia="宋体" w:cs="宋体"/>
          <w:color w:val="auto"/>
          <w:sz w:val="24"/>
          <w:szCs w:val="24"/>
          <w:highlight w:val="none"/>
          <w:u w:val="none"/>
        </w:rPr>
        <w:t>等。具体服务要求详见第四部分采购需求</w:t>
      </w:r>
      <w:r>
        <w:rPr>
          <w:rFonts w:hint="eastAsia" w:ascii="宋体" w:hAnsi="宋体" w:eastAsia="宋体" w:cs="宋体"/>
          <w:color w:val="auto"/>
          <w:sz w:val="24"/>
          <w:szCs w:val="24"/>
          <w:highlight w:val="none"/>
          <w:u w:val="none"/>
          <w:lang w:eastAsia="zh-CN"/>
        </w:rPr>
        <w:t>。</w:t>
      </w:r>
    </w:p>
    <w:p>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对本项目资格要求、采购需求、评标方法与评标标准等部分的询问、质疑请与采购人联系，由采购人负责答复。</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eastAsia="zh-CN"/>
        </w:rPr>
        <w:t>三年，</w:t>
      </w:r>
      <w:r>
        <w:rPr>
          <w:rFonts w:hint="eastAsia" w:ascii="宋体" w:hAnsi="宋体" w:eastAsia="宋体" w:cs="宋体"/>
          <w:color w:val="000000"/>
          <w:sz w:val="24"/>
          <w:szCs w:val="24"/>
          <w:highlight w:val="none"/>
        </w:rPr>
        <w:t>（合同约定时间起算）</w:t>
      </w:r>
      <w:r>
        <w:rPr>
          <w:rFonts w:hint="eastAsia" w:ascii="宋体" w:hAnsi="宋体" w:eastAsia="宋体" w:cs="宋体"/>
          <w:color w:val="000000"/>
          <w:sz w:val="24"/>
          <w:szCs w:val="24"/>
          <w:highlight w:val="none"/>
          <w:lang w:eastAsia="zh-CN"/>
        </w:rPr>
        <w:t>。</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p>
      <w:pPr>
        <w:pStyle w:val="2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5" w:name="_Toc23163"/>
      <w:r>
        <w:rPr>
          <w:rFonts w:hint="eastAsia" w:ascii="宋体" w:hAnsi="宋体" w:eastAsia="宋体" w:cs="宋体"/>
          <w:color w:val="auto"/>
          <w:sz w:val="24"/>
          <w:szCs w:val="24"/>
          <w:highlight w:val="none"/>
        </w:rPr>
        <w:t>二、申请人的资格要求</w:t>
      </w:r>
      <w:bookmarkEnd w:id="5"/>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（一）满足《中华人民共和国政府采购法》第二十二条规定，并提供下列材料：</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2.具有良好的商业信誉和健全的财务会计制度（成立不满一年无需提供）；</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根据连财购〔2023〕4号文件精神，2、3项可以提供《财务状况报告及税收、社会保障资金缴纳情况承诺函》，详见投标文件格式。</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6.法律、行政法规规定的其他条件。（如有，请按要求提供）</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auto"/>
          <w:sz w:val="24"/>
          <w:szCs w:val="24"/>
          <w:lang w:val="en-US" w:bidi="ar-SA"/>
        </w:rPr>
      </w:pPr>
      <w:r>
        <w:rPr>
          <w:rFonts w:hint="eastAsia" w:ascii="宋体" w:hAnsi="宋体" w:eastAsia="宋体" w:cs="宋体"/>
          <w:b w:val="0"/>
          <w:bCs w:val="0"/>
          <w:color w:val="auto"/>
          <w:sz w:val="24"/>
          <w:szCs w:val="24"/>
          <w:lang w:val="en-US" w:bidi="ar-SA"/>
        </w:rPr>
        <w:t>（二）落实政府采购政策需满足的资格要求：</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本项目属于预留部分份额专门面向中小微企业采购。对于预留份额，提供的货物或服务由符合政策要求的中小微企业制造或承接，具体符合条件的情形详见</w:t>
      </w:r>
      <w:r>
        <w:rPr>
          <w:rFonts w:hint="eastAsia" w:ascii="宋体" w:hAnsi="宋体" w:eastAsia="宋体" w:cs="宋体"/>
          <w:b w:val="0"/>
          <w:bCs w:val="0"/>
          <w:color w:val="auto"/>
          <w:sz w:val="24"/>
          <w:szCs w:val="24"/>
          <w:lang w:val="en-US" w:eastAsia="zh-CN" w:bidi="ar"/>
        </w:rPr>
        <w:t>《政府采购促进中小企业发展管理办法》。</w:t>
      </w:r>
      <w:r>
        <w:rPr>
          <w:rFonts w:hint="eastAsia" w:ascii="宋体" w:hAnsi="宋体" w:eastAsia="宋体" w:cs="宋体"/>
          <w:b w:val="0"/>
          <w:bCs w:val="0"/>
          <w:color w:val="auto"/>
          <w:sz w:val="24"/>
          <w:szCs w:val="24"/>
          <w:shd w:val="clear" w:color="auto" w:fill="FFFFFF"/>
          <w:lang w:val="en-US" w:eastAsia="zh-CN" w:bidi="ar"/>
        </w:rPr>
        <w:t xml:space="preserve">预留份额通过以下措施进行,投标人可选择以下其中任意一种方式参与： </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1.投标人不属于中小微企业的，必须将本项目合同分包给一家或者多家中小微企业，中小微企业承担的合同份额占合同金额的比例不低于40%（其中预留给小微企业的部分不低于60%），接受分包合同的中小微企业与分包企业之间不得存在直接控股、管理关系。（投标文件中同时提供：1.符合上述比例的《分包意向协议书》；2.分包企业提供《中小企业声明函》</w:t>
      </w:r>
      <w:r>
        <w:rPr>
          <w:rFonts w:hint="eastAsia" w:ascii="宋体" w:hAnsi="宋体" w:eastAsia="宋体" w:cs="宋体"/>
          <w:b w:val="0"/>
          <w:bCs w:val="0"/>
          <w:color w:val="auto"/>
          <w:sz w:val="24"/>
          <w:szCs w:val="24"/>
          <w:lang w:val="en-US" w:eastAsia="zh-CN" w:bidi="ar"/>
        </w:rPr>
        <w:t>，</w:t>
      </w:r>
      <w:r>
        <w:rPr>
          <w:rFonts w:hint="eastAsia" w:ascii="宋体" w:hAnsi="宋体" w:eastAsia="宋体" w:cs="宋体"/>
          <w:b w:val="0"/>
          <w:bCs w:val="0"/>
          <w:color w:val="auto"/>
          <w:sz w:val="24"/>
          <w:szCs w:val="24"/>
          <w:shd w:val="clear" w:color="auto" w:fill="FFFFFF"/>
          <w:lang w:val="en-US" w:eastAsia="zh-CN" w:bidi="ar"/>
        </w:rPr>
        <w:t>《中小企业声明函》中须填写签订分包意向协议的中小微企业相关信息，</w:t>
      </w:r>
      <w:r>
        <w:rPr>
          <w:rFonts w:hint="eastAsia" w:ascii="宋体" w:hAnsi="宋体" w:eastAsia="宋体" w:cs="宋体"/>
          <w:b w:val="0"/>
          <w:bCs w:val="0"/>
          <w:color w:val="auto"/>
          <w:sz w:val="24"/>
          <w:szCs w:val="24"/>
          <w:lang w:val="en-US" w:eastAsia="zh-CN" w:bidi="ar"/>
        </w:rPr>
        <w:t>否则投标无效）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2.投标人属于中型企业的，必须将本项目合同分包给一家或者多家小微企业，小微企业承担的份额不低于合同金额的60%，接受分包合同的小微企业与分包企业之间不得存在直接控股、管理关系。（投标文件中同时提供：1.符合上述比例的《分包意向协议书》；2.分包企业提供《中小企业声明函》</w:t>
      </w:r>
      <w:r>
        <w:rPr>
          <w:rFonts w:hint="eastAsia" w:ascii="宋体" w:hAnsi="宋体" w:eastAsia="宋体" w:cs="宋体"/>
          <w:b w:val="0"/>
          <w:bCs w:val="0"/>
          <w:color w:val="auto"/>
          <w:sz w:val="24"/>
          <w:szCs w:val="24"/>
          <w:lang w:val="en-US" w:eastAsia="zh-CN" w:bidi="ar"/>
        </w:rPr>
        <w:t>，</w:t>
      </w:r>
      <w:r>
        <w:rPr>
          <w:rFonts w:hint="eastAsia" w:ascii="宋体" w:hAnsi="宋体" w:eastAsia="宋体" w:cs="宋体"/>
          <w:b w:val="0"/>
          <w:bCs w:val="0"/>
          <w:color w:val="auto"/>
          <w:sz w:val="24"/>
          <w:szCs w:val="24"/>
          <w:shd w:val="clear" w:color="auto" w:fill="FFFFFF"/>
          <w:lang w:val="en-US" w:eastAsia="zh-CN" w:bidi="ar"/>
        </w:rPr>
        <w:t>《中小企业声明函》中须填写分包企业相关信息及签订分包意向协议的小微企业相关信息</w:t>
      </w:r>
      <w:r>
        <w:rPr>
          <w:rFonts w:hint="eastAsia" w:ascii="宋体" w:hAnsi="宋体" w:eastAsia="宋体" w:cs="宋体"/>
          <w:b w:val="0"/>
          <w:bCs w:val="0"/>
          <w:color w:val="auto"/>
          <w:sz w:val="24"/>
          <w:szCs w:val="24"/>
          <w:lang w:val="en-US" w:eastAsia="zh-CN" w:bidi="ar"/>
        </w:rPr>
        <w:t>，否则投标无效</w:t>
      </w:r>
      <w:r>
        <w:rPr>
          <w:rFonts w:hint="eastAsia" w:ascii="宋体" w:hAnsi="宋体" w:eastAsia="宋体" w:cs="宋体"/>
          <w:b w:val="0"/>
          <w:bCs w:val="0"/>
          <w:color w:val="auto"/>
          <w:sz w:val="24"/>
          <w:szCs w:val="24"/>
          <w:shd w:val="clear" w:color="auto" w:fill="FFFFFF"/>
          <w:lang w:val="en-US" w:eastAsia="zh-CN" w:bidi="ar"/>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3.投标人属于小微企业的，是否采取分包不作强制要求。</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3.1如不分包，投标文件中须提供《中小企业声明函》</w:t>
      </w:r>
      <w:r>
        <w:rPr>
          <w:rFonts w:hint="eastAsia" w:ascii="宋体" w:hAnsi="宋体" w:eastAsia="宋体" w:cs="宋体"/>
          <w:b w:val="0"/>
          <w:bCs w:val="0"/>
          <w:color w:val="auto"/>
          <w:sz w:val="24"/>
          <w:szCs w:val="24"/>
          <w:lang w:val="en-US" w:eastAsia="zh-CN" w:bidi="ar"/>
        </w:rPr>
        <w:t>，否则投标无效</w:t>
      </w:r>
      <w:r>
        <w:rPr>
          <w:rFonts w:hint="eastAsia" w:ascii="宋体" w:hAnsi="宋体" w:eastAsia="宋体" w:cs="宋体"/>
          <w:b w:val="0"/>
          <w:bCs w:val="0"/>
          <w:color w:val="auto"/>
          <w:sz w:val="24"/>
          <w:szCs w:val="24"/>
          <w:shd w:val="clear" w:color="auto" w:fill="FFFFFF"/>
          <w:lang w:val="en-US" w:eastAsia="zh-CN" w:bidi="ar"/>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3.2如采取合同分包，则只能分包给小微企业。接受分包合同的小微企业与分包企业之间不得存在直接控股、管理关系。（投标文件中同时提供：1.《分包意向协议书》；2.分包企业提供《中小企业声明函》</w:t>
      </w:r>
      <w:r>
        <w:rPr>
          <w:rFonts w:hint="eastAsia" w:ascii="宋体" w:hAnsi="宋体" w:eastAsia="宋体" w:cs="宋体"/>
          <w:b w:val="0"/>
          <w:bCs w:val="0"/>
          <w:color w:val="auto"/>
          <w:sz w:val="24"/>
          <w:szCs w:val="24"/>
          <w:lang w:val="en-US" w:eastAsia="zh-CN" w:bidi="ar"/>
        </w:rPr>
        <w:t>，</w:t>
      </w:r>
      <w:r>
        <w:rPr>
          <w:rFonts w:hint="eastAsia" w:ascii="宋体" w:hAnsi="宋体" w:eastAsia="宋体" w:cs="宋体"/>
          <w:b w:val="0"/>
          <w:bCs w:val="0"/>
          <w:color w:val="auto"/>
          <w:sz w:val="24"/>
          <w:szCs w:val="24"/>
          <w:shd w:val="clear" w:color="auto" w:fill="FFFFFF"/>
          <w:lang w:val="en-US" w:eastAsia="zh-CN" w:bidi="ar"/>
        </w:rPr>
        <w:t>《中小企业声明函》中须填写分包企业相关信息及签订分包意向协议的小微企业相关信息，否则投标无效）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注：</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1.</w:t>
      </w:r>
      <w:r>
        <w:rPr>
          <w:rFonts w:hint="eastAsia" w:ascii="宋体" w:hAnsi="宋体" w:eastAsia="宋体" w:cs="宋体"/>
          <w:b w:val="0"/>
          <w:bCs w:val="0"/>
          <w:color w:val="auto"/>
          <w:sz w:val="24"/>
          <w:szCs w:val="24"/>
          <w:shd w:val="clear" w:color="auto" w:fill="FFFFFF"/>
          <w:lang w:val="en-US" w:eastAsia="zh-CN" w:bidi="ar"/>
        </w:rPr>
        <w:t>本项目分包企业指参加政府采购活动的投标人。证明材料《分包意向协议书》、《中小企业声明函》详见第六章 投标文件格式</w:t>
      </w:r>
      <w:r>
        <w:rPr>
          <w:rFonts w:hint="eastAsia" w:ascii="宋体" w:hAnsi="宋体" w:eastAsia="宋体" w:cs="宋体"/>
          <w:b w:val="0"/>
          <w:bCs w:val="0"/>
          <w:color w:val="auto"/>
          <w:sz w:val="24"/>
          <w:szCs w:val="24"/>
          <w:lang w:val="en-US" w:eastAsia="zh-CN" w:bidi="ar"/>
        </w:rPr>
        <w:t>。</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2.享受扶持政策获得政府采购合同的，小微企业不得将合同分包给大中型企业，中型企业不得将合同分包给大型企业。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shd w:val="clear" w:color="auto" w:fill="FFFFFF"/>
          <w:lang w:val="en-US" w:eastAsia="zh-CN" w:bidi="ar"/>
        </w:rPr>
        <w:t>3.上述中小微企业应符合本项目采购标的对应的行业（</w:t>
      </w:r>
      <w:r>
        <w:rPr>
          <w:rFonts w:hint="eastAsia" w:ascii="宋体" w:hAnsi="宋体" w:eastAsia="宋体" w:cs="宋体"/>
          <w:b w:val="0"/>
          <w:bCs w:val="0"/>
          <w:color w:val="auto"/>
          <w:sz w:val="24"/>
          <w:szCs w:val="24"/>
          <w:highlight w:val="none"/>
          <w:shd w:val="clear" w:color="auto" w:fill="FFFFFF"/>
        </w:rPr>
        <w:t>其他未列明行业</w:t>
      </w:r>
      <w:r>
        <w:rPr>
          <w:rFonts w:hint="eastAsia" w:ascii="宋体" w:hAnsi="宋体" w:eastAsia="宋体" w:cs="宋体"/>
          <w:b w:val="0"/>
          <w:bCs w:val="0"/>
          <w:color w:val="auto"/>
          <w:sz w:val="24"/>
          <w:szCs w:val="24"/>
          <w:shd w:val="clear" w:color="auto" w:fill="FFFFFF"/>
          <w:lang w:val="en-US" w:eastAsia="zh-CN" w:bidi="ar"/>
        </w:rPr>
        <w:t>）政策划分标准，现场评审以投标人提供的《中小企业声明函》为判定标准。</w:t>
      </w:r>
      <w:r>
        <w:rPr>
          <w:rFonts w:hint="eastAsia" w:ascii="宋体" w:hAnsi="宋体" w:eastAsia="宋体" w:cs="宋体"/>
          <w:b w:val="0"/>
          <w:bCs w:val="0"/>
          <w:color w:val="auto"/>
          <w:sz w:val="24"/>
          <w:szCs w:val="24"/>
          <w:highlight w:val="none"/>
        </w:rPr>
        <w:t>监狱企业须提供由省级以上监狱管理局、戒毒管理局（含新疆生产建设兵团）出具的属于监狱企业证明文件，否则投标无效。</w:t>
      </w:r>
    </w:p>
    <w:p>
      <w:pPr>
        <w:bidi w:val="0"/>
        <w:adjustRightInd w:val="0"/>
        <w:snapToGrid w:val="0"/>
        <w:spacing w:line="360" w:lineRule="auto"/>
        <w:ind w:firstLine="480" w:firstLineChars="200"/>
        <w:jc w:val="left"/>
        <w:rPr>
          <w:rFonts w:hint="default" w:ascii="宋体" w:hAnsi="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lang w:val="en-US" w:bidi="ar-SA"/>
        </w:rPr>
        <w:t>（三）本项目的特定资格要求：供应商拟派项目负责人必须为投标人单位正式职员，</w:t>
      </w:r>
      <w:r>
        <w:rPr>
          <w:rFonts w:hint="eastAsia" w:ascii="宋体" w:hAnsi="宋体" w:cs="宋体"/>
          <w:color w:val="auto"/>
          <w:kern w:val="2"/>
          <w:sz w:val="24"/>
          <w:szCs w:val="24"/>
          <w:lang w:val="en-US" w:eastAsia="zh-CN" w:bidi="ar-SA"/>
        </w:rPr>
        <w:t>具备园林绿化相关专业中级及以上技术职称〔说明：如果职称证书没有明示园林绿化专业的，须同时提供相关园林绿化专业学历证书；园林绿化专业：指与园林绿化工程规划、设计、施工及养护管理相关的专业，包括园林（含园林规划设计、园林植物、风景园林、园林绿化等）、园艺、城市规划、景观、植物（含植保、森保等）、风景旅游、环境艺术等专业〕。（投标文件须提供项目负</w:t>
      </w:r>
      <w:r>
        <w:rPr>
          <w:rFonts w:hint="eastAsia" w:ascii="宋体" w:hAnsi="宋体" w:cs="宋体"/>
          <w:color w:val="auto"/>
          <w:kern w:val="2"/>
          <w:sz w:val="24"/>
          <w:szCs w:val="24"/>
          <w:highlight w:val="none"/>
          <w:lang w:val="en-US" w:eastAsia="zh-CN" w:bidi="ar-SA"/>
        </w:rPr>
        <w:t>责人职称证书及近三个月本单位为其办理的养老保险证明，（社会养老保险证明以投标人当地社会养老保险管理部门出具的证明原件扫描件为准，或者以投标人注册地社会养老保险管理部门的官方网站查询或验证结果打印件为准），证明材料原件扫描件上传至投标文件中。</w:t>
      </w:r>
    </w:p>
    <w:p>
      <w:pPr>
        <w:pStyle w:val="20"/>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4"/>
          <w:highlight w:val="none"/>
        </w:rPr>
      </w:pPr>
      <w:bookmarkStart w:id="6" w:name="_Toc11252"/>
      <w:r>
        <w:rPr>
          <w:rFonts w:hint="eastAsia" w:ascii="宋体" w:hAnsi="宋体" w:eastAsia="宋体" w:cs="宋体"/>
          <w:bCs w:val="0"/>
          <w:color w:val="auto"/>
          <w:sz w:val="24"/>
          <w:szCs w:val="24"/>
          <w:highlight w:val="none"/>
        </w:rPr>
        <w:t>三、获取招标文件</w:t>
      </w:r>
      <w:bookmarkEnd w:id="6"/>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sz w:val="24"/>
          <w:szCs w:val="24"/>
          <w:highlight w:val="none"/>
        </w:rPr>
        <w:t>自招标公告发布之日起</w:t>
      </w:r>
      <w:r>
        <w:rPr>
          <w:rFonts w:hint="eastAsia" w:ascii="宋体" w:hAnsi="宋体" w:eastAsia="宋体" w:cs="宋体"/>
          <w:sz w:val="24"/>
          <w:szCs w:val="24"/>
          <w:highlight w:val="none"/>
          <w:lang w:val="en-US" w:eastAsia="zh-CN"/>
        </w:rPr>
        <w:t>5个工作日</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地点：在“江苏政府采购网”自行下载招标文件</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方式：投标人办理江苏省政府采购交易系统CA数字证书，登录“苏采云”政府采购交易系统，自行下载。</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pPr>
        <w:pStyle w:val="2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bCs w:val="0"/>
          <w:color w:val="auto"/>
          <w:sz w:val="24"/>
          <w:szCs w:val="24"/>
          <w:highlight w:val="none"/>
        </w:rPr>
      </w:pPr>
      <w:bookmarkStart w:id="7" w:name="_Toc22889"/>
      <w:r>
        <w:rPr>
          <w:rFonts w:hint="eastAsia" w:ascii="宋体" w:hAnsi="宋体" w:eastAsia="宋体" w:cs="宋体"/>
          <w:bCs w:val="0"/>
          <w:color w:val="auto"/>
          <w:sz w:val="24"/>
          <w:szCs w:val="24"/>
          <w:highlight w:val="none"/>
        </w:rPr>
        <w:t>四、提交投标文件截止时间、开标时间和地点</w:t>
      </w:r>
      <w:bookmarkEnd w:id="7"/>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提交投标文件截止时间：2025年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:00:00（北京时间）</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开标时间：2025年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15</w:t>
      </w:r>
      <w:bookmarkStart w:id="68" w:name="_GoBack"/>
      <w:bookmarkEnd w:id="68"/>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:00:00（北京时间）</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开标地点：“苏采云”政府采购交易系统网上开标大厅</w:t>
      </w:r>
    </w:p>
    <w:p>
      <w:pPr>
        <w:pStyle w:val="2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bCs w:val="0"/>
          <w:color w:val="auto"/>
          <w:sz w:val="24"/>
          <w:szCs w:val="24"/>
          <w:highlight w:val="none"/>
        </w:rPr>
      </w:pPr>
      <w:bookmarkStart w:id="8" w:name="_Toc21468"/>
      <w:r>
        <w:rPr>
          <w:rFonts w:hint="eastAsia" w:ascii="宋体" w:hAnsi="宋体" w:eastAsia="宋体" w:cs="宋体"/>
          <w:bCs w:val="0"/>
          <w:color w:val="auto"/>
          <w:sz w:val="24"/>
          <w:szCs w:val="24"/>
          <w:highlight w:val="none"/>
        </w:rPr>
        <w:t>五、公告期限</w:t>
      </w:r>
      <w:bookmarkEnd w:id="8"/>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pStyle w:val="2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bCs w:val="0"/>
          <w:color w:val="auto"/>
          <w:sz w:val="24"/>
          <w:szCs w:val="24"/>
          <w:highlight w:val="none"/>
        </w:rPr>
      </w:pPr>
      <w:bookmarkStart w:id="9" w:name="_Toc25276"/>
      <w:r>
        <w:rPr>
          <w:rFonts w:hint="eastAsia" w:ascii="宋体" w:hAnsi="宋体" w:eastAsia="宋体" w:cs="宋体"/>
          <w:bCs w:val="0"/>
          <w:color w:val="auto"/>
          <w:sz w:val="24"/>
          <w:szCs w:val="24"/>
          <w:highlight w:val="none"/>
        </w:rPr>
        <w:t>六、其他补充事宜</w:t>
      </w:r>
      <w:bookmarkEnd w:id="9"/>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1.本次招标不收取投标保证金。</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2.本招标文件中斜体且有下划线部分为实质性要求和条件，投标人须逐条做出满足实质性要求和条件的响应，否则将按无效响应处理。</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http://www.ccgp-jiangsu.gov.cn/jiangsu/zlxz/ee/ee3a4bc5a3454aa2b0d9312230633ce9.html</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pPr>
        <w:pStyle w:val="2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bCs w:val="0"/>
          <w:color w:val="auto"/>
          <w:sz w:val="24"/>
          <w:szCs w:val="24"/>
          <w:highlight w:val="none"/>
        </w:rPr>
      </w:pPr>
      <w:bookmarkStart w:id="10" w:name="_Toc26462"/>
      <w:r>
        <w:rPr>
          <w:rFonts w:hint="eastAsia" w:ascii="宋体" w:hAnsi="宋体" w:eastAsia="宋体" w:cs="宋体"/>
          <w:bCs w:val="0"/>
          <w:color w:val="auto"/>
          <w:sz w:val="24"/>
          <w:szCs w:val="24"/>
          <w:highlight w:val="none"/>
        </w:rPr>
        <w:t>七、对本次招标提出询问，请按以下方式联系</w:t>
      </w:r>
      <w:bookmarkEnd w:id="10"/>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名    称：</w:t>
      </w:r>
      <w:bookmarkStart w:id="11" w:name="OLE_LINK1"/>
      <w:r>
        <w:rPr>
          <w:rFonts w:hint="eastAsia" w:ascii="宋体" w:hAnsi="宋体" w:eastAsia="宋体" w:cs="宋体"/>
          <w:b w:val="0"/>
          <w:bCs w:val="0"/>
          <w:sz w:val="24"/>
          <w:szCs w:val="24"/>
          <w:u w:val="none"/>
          <w:lang w:val="en-US" w:eastAsia="zh-CN"/>
        </w:rPr>
        <w:t>灌云县临港产业区管理办公室</w:t>
      </w:r>
      <w:bookmarkEnd w:id="11"/>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地    址：灌云县燕尾港镇临港产业区新区大楼</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联系方式：</w:t>
      </w:r>
      <w:r>
        <w:rPr>
          <w:rFonts w:hint="eastAsia" w:ascii="宋体" w:hAnsi="宋体" w:eastAsia="宋体" w:cs="宋体"/>
          <w:b w:val="0"/>
          <w:bCs w:val="0"/>
          <w:color w:val="auto"/>
          <w:sz w:val="24"/>
          <w:szCs w:val="24"/>
          <w:highlight w:val="none"/>
          <w:u w:val="none"/>
          <w:lang w:val="en-US" w:eastAsia="zh-CN"/>
        </w:rPr>
        <w:t>15861228067</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2.采购代理机构信息</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名    称：</w:t>
      </w:r>
      <w:r>
        <w:rPr>
          <w:rFonts w:hint="eastAsia" w:ascii="宋体" w:hAnsi="宋体" w:eastAsia="宋体" w:cs="宋体"/>
          <w:b w:val="0"/>
          <w:bCs w:val="0"/>
          <w:sz w:val="24"/>
          <w:szCs w:val="24"/>
          <w:u w:val="none"/>
          <w:lang w:val="en-US" w:eastAsia="zh-CN"/>
        </w:rPr>
        <w:t>江苏博凯隆工程咨询有限公司</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地    址：</w:t>
      </w:r>
      <w:r>
        <w:rPr>
          <w:rFonts w:hint="eastAsia" w:ascii="宋体" w:hAnsi="宋体" w:eastAsia="宋体" w:cs="宋体"/>
          <w:b w:val="0"/>
          <w:bCs w:val="0"/>
          <w:sz w:val="24"/>
          <w:szCs w:val="24"/>
          <w:u w:val="none"/>
          <w:lang w:val="en-US" w:eastAsia="zh-CN"/>
        </w:rPr>
        <w:t>连云港市海州区科苑路壹品国际B座22楼</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lang w:val="en-US"/>
        </w:rPr>
      </w:pPr>
      <w:r>
        <w:rPr>
          <w:rFonts w:hint="eastAsia" w:ascii="宋体" w:hAnsi="宋体" w:eastAsia="宋体" w:cs="宋体"/>
          <w:b w:val="0"/>
          <w:bCs w:val="0"/>
          <w:color w:val="auto"/>
          <w:sz w:val="24"/>
          <w:szCs w:val="24"/>
          <w:highlight w:val="none"/>
          <w:u w:val="none"/>
        </w:rPr>
        <w:t>联系方式：</w:t>
      </w:r>
      <w:r>
        <w:rPr>
          <w:rFonts w:hint="eastAsia" w:ascii="宋体" w:hAnsi="宋体" w:eastAsia="宋体" w:cs="宋体"/>
          <w:b w:val="0"/>
          <w:bCs w:val="0"/>
          <w:color w:val="auto"/>
          <w:sz w:val="24"/>
          <w:szCs w:val="24"/>
          <w:highlight w:val="none"/>
          <w:u w:val="none"/>
          <w:lang w:val="en-US" w:eastAsia="zh-CN"/>
        </w:rPr>
        <w:t>何工 18000197931</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3.项目联系方式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采购单位联系人：</w:t>
      </w:r>
      <w:r>
        <w:rPr>
          <w:rFonts w:hint="eastAsia" w:ascii="宋体" w:hAnsi="宋体" w:eastAsia="宋体" w:cs="宋体"/>
          <w:b w:val="0"/>
          <w:bCs w:val="0"/>
          <w:color w:val="auto"/>
          <w:sz w:val="24"/>
          <w:szCs w:val="24"/>
          <w:highlight w:val="none"/>
          <w:u w:val="none"/>
          <w:lang w:val="en-US" w:eastAsia="zh-CN"/>
        </w:rPr>
        <w:t>王科长</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u w:val="none"/>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val="0"/>
          <w:bCs w:val="0"/>
          <w:color w:val="auto"/>
          <w:sz w:val="24"/>
          <w:szCs w:val="24"/>
          <w:highlight w:val="none"/>
          <w:u w:val="none"/>
        </w:rPr>
        <w:t>电          话：</w:t>
      </w:r>
      <w:r>
        <w:rPr>
          <w:rFonts w:hint="eastAsia" w:ascii="宋体" w:hAnsi="宋体" w:eastAsia="宋体" w:cs="宋体"/>
          <w:b w:val="0"/>
          <w:bCs w:val="0"/>
          <w:color w:val="auto"/>
          <w:sz w:val="24"/>
          <w:szCs w:val="24"/>
          <w:highlight w:val="none"/>
          <w:u w:val="none"/>
          <w:lang w:val="en-US" w:eastAsia="zh-CN"/>
        </w:rPr>
        <w:t>15861228067</w:t>
      </w:r>
    </w:p>
    <w:p>
      <w:pPr>
        <w:pStyle w:val="4"/>
        <w:bidi w:val="0"/>
      </w:pPr>
      <w:bookmarkStart w:id="12" w:name="_Toc485"/>
      <w:bookmarkStart w:id="13" w:name="_Toc15273"/>
      <w:r>
        <w:rPr>
          <w:rFonts w:hint="eastAsia"/>
        </w:rPr>
        <w:t>第二章  投标人须知</w:t>
      </w:r>
      <w:bookmarkEnd w:id="12"/>
      <w:bookmarkEnd w:id="13"/>
    </w:p>
    <w:p>
      <w:pPr>
        <w:pStyle w:val="20"/>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szCs w:val="24"/>
          <w:highlight w:val="none"/>
        </w:rPr>
      </w:pPr>
      <w:bookmarkStart w:id="14" w:name="_Toc17531"/>
      <w:r>
        <w:rPr>
          <w:rFonts w:hint="eastAsia" w:ascii="宋体" w:hAnsi="宋体" w:eastAsia="宋体" w:cs="宋体"/>
          <w:color w:val="auto"/>
          <w:sz w:val="24"/>
          <w:szCs w:val="24"/>
          <w:highlight w:val="none"/>
        </w:rPr>
        <w:t>一、总则</w:t>
      </w:r>
      <w:bookmarkEnd w:id="14"/>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1.招标方式</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2.合格的投标人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满足招标公告中供应商的资格要求的规定。</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2.3满足本招标文件全部实质性要求和条件的规定。</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符合上述条件的投标人应承担投标及履约过程应承担的全部责任与义务。</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2.5单位负责人为同一人或者存在直接控股、管理关系的不同供应商，不得参加同一合同项下的政府采购活动。</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2.6除单一来源采购项目外，为采购项目提供整体设计、规范编制或者项目管理、监理、检测等服务的供应商，不得再参加该采购项目的其他采购活动。</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3.适用法律</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4.投标费用</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4.1投标人应自行承担所有与参加投标有关的费用，无论投标过程中的做法和结果如何，采购人、采购代理机构在任何情况下均无义务和责任承担这些费用。</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4.</w:t>
      </w:r>
      <w:r>
        <w:rPr>
          <w:rFonts w:hint="eastAsia" w:ascii="宋体" w:hAnsi="宋体" w:eastAsia="宋体" w:cs="宋体"/>
          <w:sz w:val="24"/>
          <w:szCs w:val="24"/>
          <w:lang w:val="en-US" w:eastAsia="zh-CN" w:bidi="ar-SA"/>
        </w:rPr>
        <w:t>2</w:t>
      </w:r>
      <w:r>
        <w:rPr>
          <w:rFonts w:hint="eastAsia" w:ascii="宋体" w:hAnsi="宋体" w:eastAsia="宋体" w:cs="宋体"/>
          <w:sz w:val="24"/>
          <w:szCs w:val="24"/>
          <w:lang w:val="en-US" w:bidi="ar-SA"/>
        </w:rPr>
        <w:t>成交后涉及的费用类型与收费标准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bidi="ar-SA"/>
        </w:rPr>
        <w:t>招标代理服务费：按江苏省招标投标协会苏招协【2022】002号文</w:t>
      </w:r>
      <w:r>
        <w:rPr>
          <w:rFonts w:hint="eastAsia" w:ascii="宋体" w:hAnsi="宋体" w:eastAsia="宋体" w:cs="宋体"/>
          <w:sz w:val="24"/>
          <w:szCs w:val="24"/>
          <w:lang w:val="en-US" w:eastAsia="zh-CN" w:bidi="ar-SA"/>
        </w:rPr>
        <w:t>计取</w:t>
      </w:r>
      <w:r>
        <w:rPr>
          <w:rFonts w:hint="eastAsia" w:ascii="宋体" w:hAnsi="宋体" w:eastAsia="宋体" w:cs="宋体"/>
          <w:sz w:val="24"/>
          <w:szCs w:val="24"/>
          <w:lang w:val="en-US" w:bidi="ar-SA"/>
        </w:rPr>
        <w:t>，上述费用由投标人综合考虑在投标报价中，由中标人领取成交通知书时一次性支付。</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5.招标文件的约束力</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二、招标文件</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6.招标文件构成</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6.1招标文件由以下部分组成：</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7.招标文件的澄清</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7.1任何要求对招标文件进行澄清的投标人，应在投标截止期十日前按招标公告中的通讯地址，以书面形式通知采购人或者采购代理机构。</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8.招标文件的修改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8.1在投标截止时间前，采购人可以对招标文件进行修改。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8.2采购人有权按照法定的要求推迟投标截止日期和开标日期。</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8.3招标文件的修改将在江苏政府采购网公布，补充文件将作为招标文件的组成部分，并对投标人具有约束力。</w:t>
      </w:r>
    </w:p>
    <w:p>
      <w:pPr>
        <w:pStyle w:val="20"/>
        <w:pageBreakBefore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15" w:name="_Toc25575"/>
      <w:r>
        <w:rPr>
          <w:rFonts w:hint="eastAsia" w:ascii="宋体" w:hAnsi="宋体" w:eastAsia="宋体" w:cs="宋体"/>
          <w:color w:val="auto"/>
          <w:sz w:val="24"/>
          <w:szCs w:val="24"/>
          <w:highlight w:val="none"/>
        </w:rPr>
        <w:t>三、投标文件的编制</w:t>
      </w:r>
      <w:bookmarkEnd w:id="15"/>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9.投标文件编写注意事项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10.投标文件的语言及度量衡单位</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除技术性能另有规定外，投标文件所使用的度量衡单位，均须采用国家法定计量单位。</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11.投标文件构成</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11.1投标人编写的投标文件应包括资格证明文件、符合性证明文件、投标分项报价表、商务要求响应及偏离表、其他证明文件、投标函、开标一览表等部分。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11.2如投标文件制作工具中格式和内容与江苏政府采购网发布的招标文件不一致，请以江苏政府采购网发布的招标文件为准。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特别提醒投标人，混乱的编排导致投标文件被误读或评标委员会（以下简称评委会）查找不到有效文件是投标人的风险。</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12.证明投标人及投标标的符合招标文件规定的文件</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12.1投标人应按照招标文件要求提交证明文件，证明其及投标标的符合招标文件规定。</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12.2招标文件对证明文件无明确形式要求的，证明文件可以以文字资料、图纸和数据等形式提交。</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投标人委托代理时应当提交授权委托书，请按招标文件第六章给定格式及要求填写并附法定代表人（单位负责人）与委托代理人身份证明。</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13.投标分项报价表</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13.1投标人应根据投标报价要求在投标分项报价表中列明各项投标单价、总价等，</w:t>
      </w:r>
      <w:r>
        <w:rPr>
          <w:rFonts w:hint="eastAsia" w:ascii="宋体" w:hAnsi="宋体" w:eastAsia="宋体" w:cs="宋体"/>
          <w:b/>
          <w:bCs/>
          <w:color w:val="auto"/>
          <w:sz w:val="24"/>
          <w:szCs w:val="24"/>
          <w:highlight w:val="none"/>
        </w:rPr>
        <w:t>未全部列示的作无效响应处理。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13.2投标货币。投标文件中的单价和总价无特殊规定的采用人民币报价，以元为单位标注。招标文件中另有规定的按规定执行。</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14.技术要求响应及偏离表、商务要求响应及偏离表</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14.2投标人可在投标文件中提供认为需要的其他技术文件或说明。</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15.服务承诺、培训计划、人员安排及其他</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15.1投标人需根据招标文件要求提供有关售后服务的管理制度，售后服务机构的分布情况，售后服务人员的数量、素质、技术水平及售后服务的反应能力等。</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15.2投标人需根据招标文件要求提供培训计划、人员安排等。</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15.3投标人需根据招标文件要求提供所投标的的主要组成部分、功能设计、实现思路及关键技术等。</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16.投标函和开标一览表</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16.1投标人应按照招标文件中提供的格式完整、正确填写投标函、开标一览表。</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16.2对于采用货币报价的项目，开标一览表中的投标总报价应与投标分项报价表中的投标总报价一致，如不一致，不做无效投标处理，但评标时以开标一览表中价格为准。</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17.投标有效期</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17.1投标有效期为开标之日后六十（60）天。投标有效期比规定短的将被视为未实质性响应招标文件而予以拒绝。</w:t>
      </w:r>
    </w:p>
    <w:p>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pPr>
        <w:pStyle w:val="20"/>
        <w:pageBreakBefore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16" w:name="_Toc14091"/>
      <w:r>
        <w:rPr>
          <w:rFonts w:hint="eastAsia" w:ascii="宋体" w:hAnsi="宋体" w:eastAsia="宋体" w:cs="宋体"/>
          <w:color w:val="auto"/>
          <w:sz w:val="24"/>
          <w:szCs w:val="24"/>
          <w:highlight w:val="none"/>
        </w:rPr>
        <w:t>四、投标文件的递交</w:t>
      </w:r>
      <w:bookmarkEnd w:id="16"/>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18.电子投标文件的递交</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18.1投标人应当按照《操作手册》规定，在投标截止时间前制作并递交（上传）电子投标文件。</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19.投标截止时间</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19.1投标人递交（上传）电子投标文件的时间不得迟于招标公告中规定的投标截止时间。</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投标人应充分考虑到计算机硬件、软件及网络环境等风险因素，如因投标人自身原因造成电子投标文件递交（上传）不成功的按照本招标文件第二章第27.1条规定做无效投标处理。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19.2采购人可以按照规定，通过修改招标文件酌情延长投标截止日期，在此情况下，投标人的所有权利和义务以及投标人受制的截止日期均应以延长后新的截止日期为准。</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20.投标文件的拒收</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采购人拒绝接收在其规定的投标截止时间后递交（上传）的任何投标文件。</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21.投标文件的撤回和修改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21.1投标文件的撤回</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21.1.1投标人可在投标截止时间前，撤回其电子投标文件，具体操作方法见《操作手册》。</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21.1.2投标人撤回电子投标文件的，则认为其不再参与本项目投标活动。</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21.2投标文件的修改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21.2.2在投标截止时间之后，投标人不得对其电子投标文件做任何修改。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21.3在投标截止时间至招标文件中规定的投标有效期满之间的这段时间内，投标人不得撤回其投标。</w:t>
      </w:r>
    </w:p>
    <w:p>
      <w:pPr>
        <w:pStyle w:val="20"/>
        <w:pageBreakBefore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17" w:name="_Toc13460"/>
      <w:r>
        <w:rPr>
          <w:rFonts w:hint="eastAsia" w:ascii="宋体" w:hAnsi="宋体" w:eastAsia="宋体" w:cs="宋体"/>
          <w:color w:val="auto"/>
          <w:sz w:val="24"/>
          <w:szCs w:val="24"/>
          <w:highlight w:val="none"/>
        </w:rPr>
        <w:t>五、开标与评标</w:t>
      </w:r>
      <w:bookmarkEnd w:id="17"/>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22.开标</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22.1采购代理机构将在招标公告中规定的时间和地点组织公开开标。投标人应当按时参加开标活动，并在“苏采云”系统规定的时间内对投标文件进行解密。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22.2开标仪式由采购代理机构组织。“苏采云”系统将自动对项目进行开标，并宣布各投标人名称和投标价格。</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22.3投标人在开标过程中涉及到的投标文件解密、开标结果确认等工作，应当按照《操作手册》规定执行。</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22.4投标人如果对开标过程和开标记录有疑义，应当按照《操作手册》规定提出，未在“苏采云”系统《开标记录表》宣布后5分钟内提出的，视同认可开标结果。</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 投标人未参加开标的，视同认可开标结果。</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23.评标委员会</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23.1开标后，采购人将立即组织评委会进行评标。</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23.2评委会由采购人代表和有关技术、经济等方面的评审专家组成，且人员构成符合政府采购有关规定。</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23.3评委会按照采购文件规定的评审程序、评审方法和评审标准进行独立评审并确定中标候选人。</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24.评标过程的保密与公正</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24.1凡是与审查、澄清、评价和比较投标的有关资料以及授标建议等，采购人、评审专家、采购代理机构均不得向投标人或与评标无关的其他人员透露。</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24.3采购人、采购代理机构和评委会不向未中标的投标人解释未中标原因，也不公布评标过程中的相关细节。</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24.4采用综合评分法的项目，未中标的投标人可于中标结果公告期限届满之日起通过“苏采云”系统查看自己的评审得分及排序情况。</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25.投标文件的澄清</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25.1评标期间，评委会对投标文件中含义不明确、同类问题表述不一致或者有明显文字和计算错误的内容 ，有权要求投标人作出必要的澄清、说明或者补正。</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评委会并非对每个投标人都做澄清、说明或者补正要求。</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25.3接到评委会澄清、说明或者补正要求的投标人如未按规定响应，其风险由投标人自行承担。</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26.对投标文件的审查</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投标文件审查分为资格审查和符合性审查。</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26.1.1资格审查：采购人依据法律法规和招标文件的规定，对投标文件中的资格证明文件进行审查。资格审查的结论，采购人以书面形式向评委会进行反馈。</w:t>
      </w:r>
    </w:p>
    <w:p>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采购人在进行资格审查的同时，将在信用中国网站（www.creditchina.gov.cn）、中国政府采购网（www.ccgp.gov.cn）查询投标人的信用记录，以确定投标人是否具备投标资格，查询结果留存并归档。</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未通过资格审查或符合性审查的投标人，将通过“苏采云”系统中告知其未通过的原因，评审结束后，将不再告知。</w:t>
      </w:r>
    </w:p>
    <w:p>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在符合性审查阶段，评委会将审查每份投标文件是否实质性响应了招标文件的要求。实质性响应的投标应当是与招标文件要求的全部条款、条件和规格相符，没有重大偏离或保留的投标。</w:t>
      </w:r>
    </w:p>
    <w:p>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采购人的权利或投标人的义务，纠正这些偏离或保留将会对其他实质性响应要求的投标人的竞争地位产生不公正的影响。</w:t>
      </w:r>
    </w:p>
    <w:p>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重大偏离的认定需经过评委会以少数服从多数的原则作出结论。评委决定投标文件的响应性只根据投标文件本身的内容，而不寻求外部的证据。</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26.3如果投标文件实质上没有响应招标文件的要求，评委会将予以拒绝，投标人不得通过修改或撤销不符合要求的偏离而使其投标成为实质性响应的投标。</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 评委会将对确定为实质性响应的投标进行进一步审核，看其是否有计算上或累加上的算术错误，修正错误的原则如下：</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评委会将按上述修正错误的方法调整投标文件中的投标报价，并通过“苏采云”系统告知投标人，调整后的价格对投标人具有约束力。如果投标人不接受修正后的价格，则其投标将被拒绝。</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非单一产品采购项目，招标文件中将载明核心产品。多家投标人提供的核心产品品牌相同的，按前两款规定处理。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26.7投标人在开、评标全过程中应保持通讯畅通，及时登录“苏采云”系统查阅、答复相关信息，并安排专人与采购代理机构及评委会联系。</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27.无效投标条款和废标条款</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27.1无效投标条款</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（1）投标人未按照招标文件要求递交（上传）电子投标文件的。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（2）投标人在“苏采云”系统规定的时间内未成功解密电子投标文件的。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（3）投标人不具备招标文件中规定的资格要求的。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（5）投标人提交两个（含两个）以上不同的投标报价的。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（6）投标人的报价超过了采购预算或者最高限价的。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（8）不符合招标文件中规定的实质性要求和条件的（本招标文件中斜体且有下划线部分为实质性要求和条件）。</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（10）投标人未通过符合性审查的。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（11）投标文件含有采购人不能接受的附加条件的。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（12）投标文件未按照招标文件要求加盖公章（CA电子公章）的。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（13）其他法律、法规及本招标文件规定的属于无效投标的情形。</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有下列情形之一的，视为投标人串通投标，投标无效：</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（1）不同投标人的投标文件由同一单位或者个人编制。</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（2）不同投标人委托同一单位或者个人办理投标事宜。</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（3）不同投标人的投标文件载明的项目管理成员或者联系人员为同一人。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（4）不同投标人的投标文件异常一致或者投标报价呈规律性差异。</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27.3废标条款</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（1）因“苏采云”系统系统故障原因造成开标不成功的。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（2）评委会认定招标文件存在歧义、重大缺陷导致评审工作无法进行的。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（3）符合专业条件的供应商或者对招标文件作实质响应的供应商不足三家的。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出现投标截止时间结束后参加投标的供应商或者在评标期间对招标文件做出实质响应的供应商不足三家情况的，按照政府采购相关规定执行。</w:t>
      </w:r>
    </w:p>
    <w:p>
      <w:pPr>
        <w:pStyle w:val="20"/>
        <w:pageBreakBefore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18" w:name="_Toc30092"/>
      <w:r>
        <w:rPr>
          <w:rFonts w:hint="eastAsia" w:ascii="宋体" w:hAnsi="宋体" w:eastAsia="宋体" w:cs="宋体"/>
          <w:color w:val="auto"/>
          <w:sz w:val="24"/>
          <w:szCs w:val="24"/>
          <w:highlight w:val="none"/>
        </w:rPr>
        <w:t>六、定标</w:t>
      </w:r>
      <w:bookmarkEnd w:id="18"/>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28.确定中标单位</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28.1中标候选人的选取原则和数量详见招标文件第五章规定。 </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28.2采购人授权评委会根据推荐的中标候选人确定中标候选人第一名为中标人。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28.3采购代理机构将在江苏政府采购网发布中标公告，公告期限为1个工作日。</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28.4若有充分证据证明，中标人存在下列情况之一的，一经查实，将被取消中标资格：</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（1）提供虚假材料谋取中标、成交的。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（2）采取不正当手段诋毁、排挤其他供应商的。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（3）与采购人、其他供应商或者采购代理机构恶意串通的。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（4）向采购人、采购代理机构行贿或者提供其他不正当利益的。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（5）在招标采购过程中与采购人进行协商谈判的。</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（6）属于本文件规定的无效条件，但在评标过程中又未被评委会发现的。</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29.中标通知书</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中标通知书将是合同的一个组成部分。对采购人和中标人均具有法律效力。中标通知书发出后，采购人改变中标结果的，或者中标人放弃中标项目的，应当依法承担法律责任。</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中标人在中标后七个工作日内，需向采购代理机构提供肆份与电子投标文件一致的纸质打印胶装投标文件，封面、骑缝需加盖公章。</w:t>
      </w:r>
    </w:p>
    <w:p>
      <w:pPr>
        <w:pStyle w:val="20"/>
        <w:pageBreakBefore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19" w:name="_Toc27296"/>
      <w:r>
        <w:rPr>
          <w:rFonts w:hint="eastAsia" w:ascii="宋体" w:hAnsi="宋体" w:eastAsia="宋体" w:cs="宋体"/>
          <w:color w:val="auto"/>
          <w:sz w:val="24"/>
          <w:szCs w:val="24"/>
          <w:highlight w:val="none"/>
        </w:rPr>
        <w:t>七、履约保证金及授予合同</w:t>
      </w:r>
      <w:bookmarkEnd w:id="19"/>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30.履约保证金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30.1履约保证金的数额不得超过政府采购合同金额的10%。中标人应当以支票、汇票、本票或者金融机构、担保机构出具的保函等非现金形式提交。</w:t>
      </w:r>
      <w:r>
        <w:rPr>
          <w:rFonts w:hint="eastAsia" w:ascii="宋体" w:hAnsi="宋体" w:eastAsia="宋体" w:cs="宋体"/>
          <w:b/>
          <w:color w:val="auto"/>
          <w:sz w:val="24"/>
          <w:szCs w:val="24"/>
          <w:highlight w:val="none"/>
        </w:rPr>
        <w:t>中标人可自愿使用履约保函（保险）代替交纳履约保证金，详情请见《关于在全省政府采购领域推行电子履约保函（保险）的通知》（苏财购〔2023〕150号）规定。</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中标人违约的，采购人将按照合同约定扣除其全部或部分履约保证金。如中标人违约给采购人造成的损失超过履约保证金的，应当依法赔偿超过部分的损失。</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履约保证金自合同生效之日起至合同约定的中标人主要义务履行完毕止，采购人应当按合同约定及时退还履约保证金。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 逾期退还履约保证金的采购人承担违约责任，按照中国人民银行同期贷款基准利率向中标人支付超期资金占用费。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 本项目履约保证金要求详见招标文件第四章 采购需求。</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31.签订合同</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中标人应当在中标通知书发出之日起三十日内，按照招标文件和中标人投标文件的规定，与采购人签订政府采购合同。</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招标文件、中标人的投标文件及招标过程中有关澄清、承诺等文件均应作为合同附件。</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签订合同后，中标人不得将合同标的转包。未经采购人同意，中标人也不得采用分包的形式履行合同，否则采购人有权终止合同。转包或分包造成采购人损失的，中标人应承担相应赔偿责任。</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32.合同标的的追加</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的，在不改变合同其他条款的前提下，可以与中标人协商签订补充合同，但所有补充合同的采购金额不超过原合同金额10%。</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33.政府采购履约资金扶持政策</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中标人可凭政府采购合同办理融资贷款，详情请见江苏政府采购网“政采贷”专栏。</w:t>
      </w:r>
    </w:p>
    <w:p>
      <w:pPr>
        <w:pStyle w:val="20"/>
        <w:pageBreakBefore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20" w:name="_Toc30049"/>
      <w:r>
        <w:rPr>
          <w:rFonts w:hint="eastAsia" w:ascii="宋体" w:hAnsi="宋体" w:eastAsia="宋体" w:cs="宋体"/>
          <w:color w:val="auto"/>
          <w:sz w:val="24"/>
          <w:szCs w:val="24"/>
          <w:highlight w:val="none"/>
        </w:rPr>
        <w:t>八、询问与质疑</w:t>
      </w:r>
      <w:bookmarkEnd w:id="20"/>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34.询问</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35.质疑提出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35.1提出质疑的供应商应当是参与所质疑项目采购活动的供应商。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供应商认为采购文件、采购过程、采购结果使自己的权益受到损害的，可以在知道或者应知其权益受到损害之日（获取采购文件之日、采购公告发布之日）起七个工作日内以书面形式向采购人、采购代理机构提出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未依照采购公告要求获取采购文件的供应商，视为未参与该项目的采购活动，不具备对该采购文件提出质疑的法定权利。</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35.4质疑函的接收方式为供应商书面原件提交。联系部门、联系电话和通讯地址详见招标文件第一章。质疑实行实名制，不得进行虚假、恶意质疑。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 质疑函应当使用范本，详见招标文件第六章。供应商提出质疑应当提交质疑函和必要的证明材料，应当包括下列内容：</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（7）必要的证明材料；</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（8）营业执照复印件及授权委托书原件、法定代表人（单位负责人）身份证复印件、委托代理人身份证复印件。</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供应商为自然人的，应当由本人签字；供应商为法人或者其他组织的，应当由法定代表人、主要负责人，或者其委托代理人签字或者盖章，并加盖单位公章。</w:t>
      </w:r>
    </w:p>
    <w:p>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36.质疑函的受理和答复</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 对不符合质疑要求的，采购人、采购代理机构有权要求其补充必要的证明材料，质疑供应商未在法定的时间内提供补充必要的证明材料的，视同放弃质疑。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36.4 以下情形的质疑不予受理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（1）内容不符合《政府采购质疑和投诉办法》第十二条规定的质疑。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（2）超出政府采购法定期限的质疑。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（3）以传真、电子邮件等方式递交的非原件形式的质疑。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（4）未参加采购活动的供应商或在采购活动中自身权益未受到损害的供应商所提出的质疑。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（5）供应商组成联合体，联合体中任何一方或多方未按要求签字（盖章）、加盖公章的质疑。</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 采购人、采购代理机构依法受理的质疑，将按照政府采购有关规定，在法定期限内答复。</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37.质疑处理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 质疑供应商未按照法定程序进行质疑投诉的，视为一般失信行为。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 质疑供应商不配合或者采用不正当手段干扰政府采购质疑、投诉处理工作的，视为一般失信行为。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 质疑供应商投诉受理期间，就同一事项多头举报，干扰财政部门投诉处理的，视为一般失信行为。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 质疑供应商在全国范围12个月内三次以上质疑查无实据的，视为一般失信行为。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37.6 质疑供应商在全国范围12个月内三次以上投诉查无实据的，视为严重失信行为。</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37.7 未尽事宜，依照有关法律、法规执行。</w:t>
      </w:r>
    </w:p>
    <w:p>
      <w:pPr>
        <w:pStyle w:val="20"/>
        <w:pageBreakBefore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宋体" w:hAnsi="宋体" w:eastAsia="宋体" w:cs="宋体"/>
          <w:color w:val="auto"/>
          <w:sz w:val="24"/>
          <w:szCs w:val="24"/>
          <w:highlight w:val="none"/>
        </w:rPr>
      </w:pPr>
      <w:bookmarkStart w:id="21" w:name="_Toc8535"/>
      <w:r>
        <w:rPr>
          <w:rFonts w:hint="eastAsia" w:ascii="宋体" w:hAnsi="宋体" w:eastAsia="宋体" w:cs="宋体"/>
          <w:color w:val="auto"/>
          <w:sz w:val="24"/>
          <w:szCs w:val="24"/>
          <w:highlight w:val="none"/>
        </w:rPr>
        <w:t>九、政府采购政策功能</w:t>
      </w:r>
      <w:bookmarkEnd w:id="21"/>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38.促进中小企业发展</w:t>
      </w:r>
    </w:p>
    <w:p>
      <w:pPr>
        <w:keepNext w:val="0"/>
        <w:keepLines w:val="0"/>
        <w:pageBreakBefore w:val="0"/>
        <w:widowControl w:val="0"/>
        <w:numPr>
          <w:ilvl w:val="0"/>
          <w:numId w:val="0"/>
        </w:numPr>
        <w:spacing w:line="360" w:lineRule="auto"/>
        <w:ind w:left="0" w:right="0" w:firstLine="480"/>
        <w:jc w:val="left"/>
        <w:outlineLvl w:val="9"/>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38.1 </w:t>
      </w:r>
      <w:r>
        <w:rPr>
          <w:rFonts w:hint="eastAsia" w:ascii="宋体" w:hAnsi="宋体" w:eastAsia="宋体" w:cs="Times New Roman"/>
          <w:b w:val="0"/>
          <w:bCs w:val="0"/>
          <w:color w:val="auto"/>
          <w:sz w:val="24"/>
          <w:szCs w:val="24"/>
          <w:highlight w:val="none"/>
          <w:lang w:val="en-US" w:eastAsia="zh-CN" w:bidi="ar-SA"/>
        </w:rPr>
        <w:t>根据财政部、工业和信息化部关于印发《政府采购促进中小企业发展管理办法》的通知（财库〔2020〕46号）、《中小企业划型标准规定》（工信部联企业〔2011〕300号）、《关于新冠肺炎疫情防控期间加大政府采购支持中小微企业力度的通知》的通知规定，对属于小型、微型企业的供应商给予评审加分：</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1、对符合条件的小微企业报价给予10%的扣除，用扣除后的价格参加评审。</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组成联合体或者接受分包的小微企业与联合体内其他企业、分包企业之间存在直接控股、管理关系的，不享受价格扣除优惠政策。价格扣除比例或者价格分加分比例对小型企业和微型企业同等对待，不作区分。</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对符合上述条件的大中型企业报价给予6%的扣除，用扣除后的价格参加评审。</w:t>
      </w:r>
    </w:p>
    <w:p>
      <w:pPr>
        <w:keepNext/>
        <w:keepLines/>
        <w:pageBreakBefore w:val="0"/>
        <w:widowControl w:val="0"/>
        <w:kinsoku/>
        <w:wordWrap/>
        <w:overflowPunct/>
        <w:topLinePunct w:val="0"/>
        <w:autoSpaceDE/>
        <w:autoSpaceDN/>
        <w:bidi w:val="0"/>
        <w:adjustRightInd w:val="0"/>
        <w:snapToGrid w:val="0"/>
        <w:spacing w:before="0" w:after="0" w:afterLines="0" w:line="360" w:lineRule="auto"/>
        <w:ind w:left="0" w:leftChars="0" w:firstLine="480" w:firstLineChars="200"/>
        <w:jc w:val="both"/>
        <w:textAlignment w:val="auto"/>
        <w:outlineLvl w:val="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以上规定未尽事项，按《政府采购促进中小企业发展管理办法》等有关制度规定执行。</w:t>
      </w:r>
    </w:p>
    <w:p>
      <w:pPr>
        <w:pStyle w:val="2"/>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lang w:val="en-US" w:eastAsia="zh-CN"/>
        </w:rPr>
        <w:t>38.2</w:t>
      </w:r>
      <w:r>
        <w:rPr>
          <w:rFonts w:hint="eastAsia" w:ascii="宋体" w:hAnsi="宋体" w:eastAsia="宋体" w:cs="宋体"/>
          <w:b w:val="0"/>
          <w:bCs w:val="0"/>
          <w:color w:val="auto"/>
          <w:sz w:val="24"/>
          <w:szCs w:val="24"/>
          <w:highlight w:val="none"/>
          <w:lang w:val="en-US" w:eastAsia="zh-CN" w:bidi="ar-SA"/>
        </w:rPr>
        <w:t>《中小企业声明函》应上传至电子投标文件中，否则不予认可。</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bidi="ar-SA"/>
        </w:rPr>
      </w:pPr>
      <w:r>
        <w:rPr>
          <w:rFonts w:hint="eastAsia" w:ascii="宋体" w:hAnsi="宋体" w:eastAsia="宋体" w:cs="宋体"/>
          <w:bCs/>
          <w:color w:val="auto"/>
          <w:sz w:val="24"/>
          <w:szCs w:val="24"/>
          <w:highlight w:val="none"/>
        </w:rPr>
        <w:t>38.3</w:t>
      </w:r>
      <w:r>
        <w:rPr>
          <w:rFonts w:hint="eastAsia" w:ascii="宋体" w:hAnsi="宋体" w:eastAsia="宋体" w:cs="宋体"/>
          <w:color w:val="auto"/>
          <w:sz w:val="24"/>
          <w:szCs w:val="24"/>
          <w:lang w:val="en-US" w:bidi="ar-SA"/>
        </w:rPr>
        <w:t xml:space="preserve">参加本项目政府采购活动的供应商享受价格评审优惠的应当提供的材料：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bidi="ar-SA"/>
        </w:rPr>
      </w:pPr>
      <w:r>
        <w:rPr>
          <w:rFonts w:hint="eastAsia" w:ascii="宋体" w:hAnsi="宋体" w:eastAsia="宋体" w:cs="宋体"/>
          <w:color w:val="auto"/>
          <w:sz w:val="24"/>
          <w:szCs w:val="24"/>
          <w:lang w:val="en-US" w:bidi="ar-SA"/>
        </w:rPr>
        <w:t>（1）提供的货物全部由小型企业、微型企业制造的，提供《中小企业声明函》（第六章 投标文件格式）。</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bidi="ar-SA"/>
        </w:rPr>
      </w:pPr>
      <w:r>
        <w:rPr>
          <w:rFonts w:hint="eastAsia" w:ascii="宋体" w:hAnsi="宋体" w:eastAsia="宋体" w:cs="宋体"/>
          <w:color w:val="auto"/>
          <w:sz w:val="24"/>
          <w:szCs w:val="24"/>
          <w:lang w:val="en-US" w:bidi="ar-SA"/>
        </w:rPr>
        <w:t>（2）符合《关于促进残疾人就业政府采购政策的通知》（财库〔2017〕141号）规定的条件并提供《残疾人福利性单位声明函》（第六章 投标文件格式）的残疾人福利性单位视同小型、微型企业。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bidi="ar-SA"/>
        </w:rPr>
        <w:t>（3）符合《关于政府采购支持监狱企业发展有关问题的通知》（财库〔2014〕68号）规定的监狱企业并提供省级以上监狱管理局、戒毒管理局（含新疆生产建设兵团）出具的属于监狱企业证明文件的，视同小型、微型企业。</w:t>
      </w:r>
    </w:p>
    <w:p>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38.4 </w:t>
      </w:r>
      <w:r>
        <w:rPr>
          <w:rFonts w:hint="eastAsia" w:ascii="宋体" w:hAnsi="宋体" w:eastAsia="宋体" w:cs="宋体"/>
          <w:color w:val="auto"/>
          <w:sz w:val="24"/>
          <w:szCs w:val="24"/>
        </w:rPr>
        <w:t>残疾人福利单位、监狱企业属于小型、微型企业的，不重复享受政策。</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eastAsia="宋体"/>
          <w:lang w:val="en-US" w:eastAsia="zh-CN"/>
        </w:rPr>
      </w:pPr>
      <w:r>
        <w:rPr>
          <w:rFonts w:hint="eastAsia" w:ascii="宋体" w:hAnsi="宋体" w:eastAsia="宋体" w:cs="宋体"/>
          <w:sz w:val="24"/>
          <w:szCs w:val="24"/>
          <w:lang w:val="en-US" w:eastAsia="zh-CN"/>
        </w:rPr>
        <w:t>38.5</w:t>
      </w:r>
      <w:r>
        <w:rPr>
          <w:rFonts w:hint="eastAsia" w:ascii="宋体" w:hAnsi="宋体" w:eastAsia="宋体" w:cs="宋体"/>
          <w:color w:val="auto"/>
          <w:sz w:val="24"/>
          <w:szCs w:val="24"/>
          <w:lang w:val="en-US" w:bidi="ar-SA"/>
        </w:rPr>
        <w:t>享受扶持政策获得政府采购合同的，小微型企业不得将合同分包给大中型企业，中型企业不得将合同分包给大型企业。</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39.支持绿色发展</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40.政府采购需求标准</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4"/>
          <w:szCs w:val="24"/>
          <w:highlight w:val="none"/>
        </w:rPr>
        <w:br w:type="page" w:clear="all"/>
      </w:r>
    </w:p>
    <w:p>
      <w:pPr>
        <w:pStyle w:val="4"/>
        <w:bidi w:val="0"/>
      </w:pPr>
      <w:bookmarkStart w:id="22" w:name="_Toc23096"/>
      <w:bookmarkStart w:id="23" w:name="_Toc30190"/>
      <w:r>
        <w:rPr>
          <w:rFonts w:hint="eastAsia"/>
        </w:rPr>
        <w:t>第三章  合同文本</w:t>
      </w:r>
      <w:bookmarkEnd w:id="22"/>
      <w:bookmarkEnd w:id="23"/>
    </w:p>
    <w:p>
      <w:pPr>
        <w:pStyle w:val="2"/>
        <w:rPr>
          <w:rFonts w:hint="eastAsia"/>
        </w:rPr>
      </w:pPr>
    </w:p>
    <w:p>
      <w:pPr>
        <w:pStyle w:val="2"/>
        <w:rPr>
          <w:rFonts w:hint="eastAsia"/>
        </w:rPr>
      </w:pPr>
    </w:p>
    <w:p>
      <w:pPr>
        <w:pStyle w:val="2"/>
        <w:rPr>
          <w:rFonts w:hint="eastAsia"/>
        </w:rPr>
      </w:pPr>
    </w:p>
    <w:p>
      <w:pPr>
        <w:pStyle w:val="2"/>
        <w:rPr>
          <w:rFonts w:hint="eastAsia"/>
        </w:rPr>
      </w:pP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rPr>
          <w:rFonts w:hint="eastAsia" w:hAnsi="宋体"/>
          <w:b/>
          <w:bCs/>
          <w:color w:val="auto"/>
          <w:sz w:val="32"/>
          <w:szCs w:val="32"/>
          <w:highlight w:val="none"/>
        </w:rPr>
      </w:pPr>
      <w:r>
        <w:rPr>
          <w:rFonts w:hint="eastAsia"/>
          <w:b/>
          <w:bCs/>
          <w:color w:val="auto"/>
          <w:sz w:val="32"/>
          <w:szCs w:val="32"/>
          <w:highlight w:val="none"/>
          <w:lang w:val="en-US" w:eastAsia="zh-CN"/>
        </w:rPr>
        <w:t>临港产业园区</w:t>
      </w:r>
      <w:r>
        <w:rPr>
          <w:rFonts w:hint="eastAsia" w:hAnsi="宋体"/>
          <w:b/>
          <w:bCs/>
          <w:color w:val="auto"/>
          <w:sz w:val="32"/>
          <w:szCs w:val="32"/>
          <w:highlight w:val="none"/>
        </w:rPr>
        <w:t>绿化养护</w:t>
      </w:r>
      <w:r>
        <w:rPr>
          <w:rFonts w:hint="eastAsia"/>
          <w:b/>
          <w:bCs/>
          <w:color w:val="auto"/>
          <w:sz w:val="32"/>
          <w:szCs w:val="32"/>
          <w:highlight w:val="none"/>
          <w:lang w:val="en-US" w:eastAsia="zh-CN"/>
        </w:rPr>
        <w:t>项目（2025）</w:t>
      </w:r>
      <w:r>
        <w:rPr>
          <w:rFonts w:hint="eastAsia" w:hAnsi="宋体"/>
          <w:b/>
          <w:bCs/>
          <w:color w:val="auto"/>
          <w:sz w:val="32"/>
          <w:szCs w:val="32"/>
          <w:highlight w:val="none"/>
        </w:rPr>
        <w:t>合同</w:t>
      </w: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rPr>
          <w:rFonts w:hint="eastAsia" w:hAnsi="宋体"/>
          <w:b/>
          <w:bCs/>
          <w:color w:val="auto"/>
          <w:sz w:val="32"/>
          <w:szCs w:val="32"/>
          <w:highlight w:val="none"/>
        </w:rPr>
      </w:pP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rPr>
          <w:rFonts w:hint="eastAsia" w:hAnsi="宋体"/>
          <w:b/>
          <w:bCs/>
          <w:color w:val="auto"/>
          <w:sz w:val="32"/>
          <w:szCs w:val="32"/>
          <w:highlight w:val="none"/>
        </w:rPr>
      </w:pP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rPr>
          <w:rFonts w:hint="eastAsia" w:hAnsi="宋体"/>
          <w:b/>
          <w:bCs/>
          <w:color w:val="auto"/>
          <w:sz w:val="32"/>
          <w:szCs w:val="32"/>
          <w:highlight w:val="none"/>
        </w:rPr>
      </w:pP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both"/>
        <w:textAlignment w:val="auto"/>
        <w:rPr>
          <w:rFonts w:hint="eastAsia" w:hAnsi="宋体"/>
          <w:b/>
          <w:bCs/>
          <w:color w:val="auto"/>
          <w:sz w:val="32"/>
          <w:szCs w:val="32"/>
          <w:highlight w:val="none"/>
        </w:rPr>
      </w:pP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rPr>
          <w:rFonts w:hint="eastAsia" w:hAnsi="宋体"/>
          <w:b/>
          <w:bCs/>
          <w:color w:val="auto"/>
          <w:sz w:val="32"/>
          <w:szCs w:val="32"/>
          <w:highlight w:val="none"/>
        </w:rPr>
      </w:pPr>
    </w:p>
    <w:p>
      <w:pPr>
        <w:widowControl/>
        <w:spacing w:line="300" w:lineRule="auto"/>
        <w:ind w:firstLine="2409"/>
        <w:jc w:val="left"/>
        <w:rPr>
          <w:rFonts w:ascii="宋体" w:hAnsi="宋体" w:cs="宋体"/>
          <w:b/>
          <w:bCs/>
          <w:color w:val="auto"/>
          <w:sz w:val="30"/>
          <w:szCs w:val="30"/>
          <w:highlight w:val="none"/>
        </w:rPr>
      </w:pPr>
      <w:r>
        <w:rPr>
          <w:rFonts w:hint="eastAsia" w:ascii="宋体" w:hAnsi="宋体" w:cs="宋体"/>
          <w:b/>
          <w:color w:val="auto"/>
          <w:sz w:val="30"/>
          <w:szCs w:val="30"/>
          <w:highlight w:val="none"/>
        </w:rPr>
        <w:t>合同编号：</w:t>
      </w: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0" w:leftChars="500"/>
        <w:jc w:val="left"/>
        <w:textAlignment w:val="auto"/>
        <w:rPr>
          <w:rFonts w:hint="eastAsia" w:hAnsi="宋体"/>
          <w:b/>
          <w:bCs/>
          <w:color w:val="auto"/>
          <w:sz w:val="30"/>
          <w:szCs w:val="30"/>
          <w:highlight w:val="none"/>
        </w:rPr>
      </w:pP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0" w:leftChars="500"/>
        <w:jc w:val="left"/>
        <w:textAlignment w:val="auto"/>
        <w:rPr>
          <w:rFonts w:hint="eastAsia" w:hAnsi="宋体"/>
          <w:b/>
          <w:bCs/>
          <w:color w:val="auto"/>
          <w:sz w:val="30"/>
          <w:szCs w:val="30"/>
          <w:highlight w:val="none"/>
        </w:rPr>
      </w:pP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0" w:leftChars="500"/>
        <w:jc w:val="left"/>
        <w:textAlignment w:val="auto"/>
        <w:rPr>
          <w:rFonts w:hint="eastAsia" w:hAnsi="宋体"/>
          <w:b/>
          <w:bCs/>
          <w:color w:val="auto"/>
          <w:sz w:val="30"/>
          <w:szCs w:val="30"/>
          <w:highlight w:val="none"/>
        </w:rPr>
      </w:pP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0" w:leftChars="500"/>
        <w:jc w:val="left"/>
        <w:textAlignment w:val="auto"/>
        <w:rPr>
          <w:rFonts w:hint="eastAsia" w:hAnsi="宋体"/>
          <w:b/>
          <w:bCs/>
          <w:color w:val="auto"/>
          <w:sz w:val="30"/>
          <w:szCs w:val="30"/>
          <w:highlight w:val="none"/>
        </w:rPr>
      </w:pP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hAnsi="宋体"/>
          <w:b/>
          <w:bCs/>
          <w:color w:val="auto"/>
          <w:sz w:val="30"/>
          <w:szCs w:val="30"/>
          <w:highlight w:val="none"/>
        </w:rPr>
      </w:pP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0" w:leftChars="500"/>
        <w:jc w:val="left"/>
        <w:textAlignment w:val="auto"/>
        <w:rPr>
          <w:rFonts w:hint="eastAsia" w:hAnsi="宋体"/>
          <w:b/>
          <w:bCs/>
          <w:color w:val="auto"/>
          <w:sz w:val="30"/>
          <w:szCs w:val="30"/>
          <w:highlight w:val="none"/>
        </w:rPr>
      </w:pPr>
      <w:r>
        <w:rPr>
          <w:rFonts w:hint="eastAsia"/>
          <w:b/>
          <w:bCs/>
          <w:color w:val="auto"/>
          <w:sz w:val="30"/>
          <w:szCs w:val="30"/>
          <w:highlight w:val="none"/>
          <w:lang w:val="en-US" w:eastAsia="zh-CN"/>
        </w:rPr>
        <w:t>采购人</w:t>
      </w:r>
      <w:r>
        <w:rPr>
          <w:rFonts w:hint="eastAsia" w:hAnsi="宋体"/>
          <w:b/>
          <w:bCs/>
          <w:color w:val="auto"/>
          <w:sz w:val="30"/>
          <w:szCs w:val="30"/>
          <w:highlight w:val="none"/>
        </w:rPr>
        <w:t>：</w:t>
      </w: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0" w:leftChars="500"/>
        <w:jc w:val="left"/>
        <w:textAlignment w:val="auto"/>
        <w:rPr>
          <w:rFonts w:hint="eastAsia" w:hAnsi="宋体"/>
          <w:b/>
          <w:bCs/>
          <w:color w:val="auto"/>
          <w:sz w:val="30"/>
          <w:szCs w:val="30"/>
          <w:highlight w:val="none"/>
        </w:rPr>
      </w:pPr>
      <w:r>
        <w:rPr>
          <w:rFonts w:hint="eastAsia"/>
          <w:b/>
          <w:bCs/>
          <w:color w:val="auto"/>
          <w:sz w:val="30"/>
          <w:szCs w:val="30"/>
          <w:highlight w:val="none"/>
          <w:lang w:val="en-US" w:eastAsia="zh-CN"/>
        </w:rPr>
        <w:t>中标人</w:t>
      </w:r>
      <w:r>
        <w:rPr>
          <w:rFonts w:hint="eastAsia" w:hAnsi="宋体"/>
          <w:b/>
          <w:bCs/>
          <w:color w:val="auto"/>
          <w:sz w:val="30"/>
          <w:szCs w:val="30"/>
          <w:highlight w:val="none"/>
        </w:rPr>
        <w:t>：</w:t>
      </w:r>
    </w:p>
    <w:p>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0" w:leftChars="500"/>
        <w:jc w:val="left"/>
        <w:textAlignment w:val="auto"/>
        <w:rPr>
          <w:rFonts w:hint="eastAsia" w:hAnsi="宋体" w:eastAsia="宋体"/>
          <w:b/>
          <w:bCs/>
          <w:color w:val="auto"/>
          <w:sz w:val="30"/>
          <w:szCs w:val="30"/>
          <w:highlight w:val="none"/>
          <w:lang w:val="en-US" w:eastAsia="zh-CN"/>
        </w:rPr>
      </w:pPr>
      <w:r>
        <w:rPr>
          <w:rFonts w:hint="eastAsia"/>
          <w:b/>
          <w:bCs/>
          <w:color w:val="auto"/>
          <w:sz w:val="30"/>
          <w:szCs w:val="30"/>
          <w:highlight w:val="none"/>
          <w:lang w:val="en-US" w:eastAsia="zh-CN"/>
        </w:rPr>
        <w:t>日期：</w:t>
      </w: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rPr>
          <w:rFonts w:hint="eastAsia" w:hAnsi="宋体"/>
          <w:b/>
          <w:bCs/>
          <w:color w:val="auto"/>
          <w:sz w:val="30"/>
          <w:szCs w:val="30"/>
          <w:highlight w:val="none"/>
        </w:rPr>
      </w:pPr>
    </w:p>
    <w:p>
      <w:pPr>
        <w:bidi w:val="0"/>
        <w:rPr>
          <w:rFonts w:hint="eastAsia"/>
        </w:rPr>
        <w:sectPr>
          <w:footerReference r:id="rId4" w:type="default"/>
          <w:pgSz w:w="11906" w:h="16838"/>
          <w:pgMar w:top="1440" w:right="1800" w:bottom="1440" w:left="1800" w:header="851" w:footer="992" w:gutter="0"/>
          <w:pgNumType w:fmt="decimal"/>
          <w:cols w:space="425" w:num="1"/>
          <w:docGrid w:type="lines" w:linePitch="312" w:charSpace="0"/>
        </w:sectPr>
      </w:pPr>
    </w:p>
    <w:p>
      <w:pPr>
        <w:pStyle w:val="16"/>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rPr>
          <w:rFonts w:hint="eastAsia" w:cs="宋体"/>
          <w:color w:val="auto"/>
          <w:sz w:val="24"/>
          <w:highlight w:val="none"/>
          <w:lang w:val="en-US" w:eastAsia="zh-CN"/>
        </w:rPr>
      </w:pPr>
      <w:r>
        <w:rPr>
          <w:rFonts w:hint="eastAsia" w:cs="宋体"/>
          <w:color w:val="auto"/>
          <w:sz w:val="24"/>
          <w:highlight w:val="none"/>
          <w:lang w:val="en-US" w:eastAsia="zh-CN"/>
        </w:rPr>
        <w:t>服务合同</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甲</w:t>
      </w:r>
      <w:r>
        <w:rPr>
          <w:rFonts w:hint="eastAsia" w:ascii="宋体" w:hAnsi="宋体" w:eastAsia="宋体" w:cs="宋体"/>
          <w:color w:val="auto"/>
          <w:sz w:val="24"/>
          <w:highlight w:val="none"/>
        </w:rPr>
        <w:t>方）：</w:t>
      </w:r>
      <w:r>
        <w:rPr>
          <w:rFonts w:hint="eastAsia" w:ascii="宋体" w:hAnsi="宋体" w:eastAsia="宋体" w:cs="宋体"/>
          <w:color w:val="auto"/>
          <w:sz w:val="24"/>
          <w:highlight w:val="none"/>
          <w:u w:val="single"/>
          <w:lang w:val="en-US" w:eastAsia="zh-CN"/>
        </w:rPr>
        <w:t xml:space="preserve"> 灌云县临港产业区管理办公室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u w:val="single"/>
          <w:lang w:val="en-US" w:eastAsia="zh-CN"/>
        </w:rPr>
        <w:t xml:space="preserve">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乙</w:t>
      </w:r>
      <w:r>
        <w:rPr>
          <w:rFonts w:hint="eastAsia" w:ascii="宋体" w:hAnsi="宋体" w:eastAsia="宋体" w:cs="宋体"/>
          <w:color w:val="auto"/>
          <w:sz w:val="24"/>
          <w:highlight w:val="none"/>
        </w:rPr>
        <w:t>方）：</w:t>
      </w:r>
      <w:r>
        <w:rPr>
          <w:rFonts w:hint="eastAsia" w:ascii="宋体" w:hAnsi="宋体" w:eastAsia="宋体" w:cs="宋体"/>
          <w:color w:val="auto"/>
          <w:sz w:val="24"/>
          <w:highlight w:val="none"/>
          <w:u w:val="single"/>
          <w:lang w:val="en-US" w:eastAsia="zh-CN"/>
        </w:rPr>
        <w:t xml:space="preserve">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u w:val="single"/>
          <w:lang w:val="en-US" w:eastAsia="zh-CN"/>
        </w:rPr>
        <w:t xml:space="preserve">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根据《中华人民共和国民法典》及相关法律法规及</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u w:val="single"/>
          <w:lang w:val="en-US" w:eastAsia="zh-CN"/>
        </w:rPr>
        <w:t>临港产业园区</w:t>
      </w:r>
      <w:r>
        <w:rPr>
          <w:rFonts w:hint="eastAsia" w:ascii="宋体" w:hAnsi="宋体" w:eastAsia="宋体" w:cs="宋体"/>
          <w:u w:val="single"/>
        </w:rPr>
        <w:t>绿化养护</w:t>
      </w:r>
      <w:r>
        <w:rPr>
          <w:rFonts w:hint="eastAsia" w:ascii="宋体" w:hAnsi="宋体" w:eastAsia="宋体" w:cs="宋体"/>
          <w:u w:val="single"/>
          <w:lang w:val="en-US" w:eastAsia="zh-CN"/>
        </w:rPr>
        <w:t>项目（2025）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项目名称</w:t>
      </w:r>
      <w:r>
        <w:rPr>
          <w:rFonts w:hint="eastAsia" w:ascii="宋体" w:hAnsi="宋体" w:eastAsia="宋体" w:cs="宋体"/>
          <w:color w:val="auto"/>
          <w:sz w:val="24"/>
          <w:highlight w:val="none"/>
        </w:rPr>
        <w:t>）项目招标结果，在遵循平等、自愿、公平和诚实信用原则的基础上，甲乙双方就园林绿化养护事项协商一致，签订本合同以供共同遵守。</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1.项目概况</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u w:val="single"/>
          <w:lang w:val="en-US" w:eastAsia="zh-CN"/>
        </w:rPr>
        <w:t>临港产业园区</w:t>
      </w:r>
      <w:r>
        <w:rPr>
          <w:rFonts w:hint="eastAsia" w:ascii="宋体" w:hAnsi="宋体" w:eastAsia="宋体" w:cs="宋体"/>
          <w:u w:val="single"/>
        </w:rPr>
        <w:t>绿化养护</w:t>
      </w:r>
      <w:r>
        <w:rPr>
          <w:rFonts w:hint="eastAsia" w:ascii="宋体" w:hAnsi="宋体" w:eastAsia="宋体" w:cs="宋体"/>
          <w:u w:val="single"/>
          <w:lang w:val="en-US" w:eastAsia="zh-CN"/>
        </w:rPr>
        <w:t>项目（2025）</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1.2.项目地点：</w:t>
      </w:r>
      <w:r>
        <w:rPr>
          <w:rFonts w:hint="eastAsia" w:ascii="宋体" w:hAnsi="宋体" w:eastAsia="宋体" w:cs="宋体"/>
          <w:color w:val="auto"/>
          <w:sz w:val="24"/>
          <w:highlight w:val="none"/>
          <w:u w:val="single"/>
          <w:lang w:val="en-US" w:eastAsia="zh-CN"/>
        </w:rPr>
        <w:t>灌云县临港产业区</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2.养护范围及养护内容</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2.1.养护范围及面积</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2.2.养护内容（以打√为准）：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去除枯死植株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植物补植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树木扶正</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病虫害防治和监测</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浇灌排水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土壤施肥</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中耕除草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花坛花境布置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地被覆盖</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植物（树木、绿篱、草坪等）修剪</w:t>
      </w:r>
      <w:r>
        <w:rPr>
          <w:rFonts w:hint="eastAsia" w:ascii="宋体" w:hAnsi="宋体" w:eastAsia="宋体" w:cs="宋体"/>
          <w:color w:val="auto"/>
          <w:sz w:val="24"/>
          <w:highlight w:val="none"/>
          <w:lang w:val="en-US" w:eastAsia="zh-CN"/>
        </w:rPr>
        <w:t xml:space="preserve">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植物防护（防寒、旱、台、涝、高温等）</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绿地内</w:t>
      </w:r>
      <w:r>
        <w:rPr>
          <w:rFonts w:hint="eastAsia" w:ascii="宋体" w:hAnsi="宋体" w:eastAsia="宋体" w:cs="宋体"/>
          <w:color w:val="auto"/>
          <w:sz w:val="24"/>
          <w:highlight w:val="none"/>
        </w:rPr>
        <w:t>栏杆、园路、桌椅、路灯、井盖和标牌、驳岸等园林设施的保洁维修</w:t>
      </w:r>
      <w:r>
        <w:rPr>
          <w:rFonts w:hint="eastAsia" w:ascii="宋体" w:hAnsi="宋体" w:eastAsia="宋体" w:cs="宋体"/>
          <w:color w:val="auto"/>
          <w:sz w:val="24"/>
          <w:highlight w:val="none"/>
          <w:lang w:eastAsia="zh-CN"/>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绿地保洁</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绿地内</w:t>
      </w:r>
      <w:r>
        <w:rPr>
          <w:rFonts w:hint="eastAsia" w:ascii="宋体" w:hAnsi="宋体" w:eastAsia="宋体" w:cs="宋体"/>
          <w:color w:val="auto"/>
          <w:sz w:val="24"/>
          <w:highlight w:val="none"/>
        </w:rPr>
        <w:t>垃圾收集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绿地内</w:t>
      </w:r>
      <w:r>
        <w:rPr>
          <w:rFonts w:hint="eastAsia" w:ascii="宋体" w:hAnsi="宋体" w:eastAsia="宋体" w:cs="宋体"/>
          <w:color w:val="auto"/>
          <w:sz w:val="24"/>
          <w:highlight w:val="none"/>
        </w:rPr>
        <w:t>垃圾清运</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水体保洁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水体清淤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治安巡逻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其它养护内容：</w:t>
      </w:r>
      <w:r>
        <w:rPr>
          <w:rFonts w:hint="eastAsia" w:ascii="宋体" w:hAnsi="宋体" w:eastAsia="宋体" w:cs="宋体"/>
          <w:color w:val="auto"/>
          <w:sz w:val="24"/>
          <w:highlight w:val="none"/>
          <w:lang w:val="en-US" w:eastAsia="zh-CN"/>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2.3.养护基本要求</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养护期限内，乙方应按照绿化养护操作规程及绿化养护质量标准，合理组织，精心养护，保质保量完成养护管理任务。</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2.3.1.修剪：根据各类植物的生长特点、立地环境、景观要求，按照操作规程适时进行。</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2.3.2.施肥：根据各类植物的生长特点及植物对肥料的需要，要求年施肥不得少于2次以上，新种植物视生长情况，适时适量进行施肥，以保持各类植物的生长旺盛达到一定景观效果。</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2.3.3.除草：各类绿地、树穴、绿带要结合松土及时清理各类杂草。</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2.3.4.抹芽：主要用于乔木、大型灌木，对不定芽要及时清除，以保持树木骨架清晰，促使生长形态美观，营养集中。</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2.3.5.病虫害防治：病虫害防治是植物养护中较为重要的手段和内容，要根据各类植物的寄生对象及时做好预测预报，及时采取措施防治。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2.3.6.抗旱、抗台、抗涝：旱季及新种植物要及时进行灌溉，防止植物因脱水而造成枯死。台汛期间要做好加固、排涝抢险工作，防止植物受损。</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2.3.7.不包括自然因素及不可抗拒等因素所造成的植被损失。</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2.4.养护操作规程</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乙方的养护操作规程应</w:t>
      </w:r>
      <w:r>
        <w:rPr>
          <w:rFonts w:hint="eastAsia" w:ascii="宋体" w:hAnsi="宋体" w:eastAsia="宋体" w:cs="宋体"/>
          <w:color w:val="auto"/>
          <w:sz w:val="24"/>
          <w:highlight w:val="none"/>
          <w:lang w:val="en-US" w:eastAsia="zh-CN"/>
        </w:rPr>
        <w:t>遵照</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质量标准来执行</w:t>
      </w:r>
      <w:r>
        <w:rPr>
          <w:rFonts w:hint="eastAsia" w:ascii="宋体" w:hAnsi="宋体" w:eastAsia="宋体" w:cs="宋体"/>
          <w:color w:val="auto"/>
          <w:sz w:val="24"/>
          <w:highlight w:val="none"/>
        </w:rPr>
        <w:t>，如本合同第二条第3项的养护基本要求与规范不一致的，乙方应及时提出，由甲乙双方协商按更有利于提高养护质量的原则确定。</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本项目招投标文件工作量清单可作为本合同约定的养护内容。双方对养护内容有详细约定的，可以另附工作量清单。</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2.5.养护工作量的确认</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养护范围及养护工作量由甲乙双方在订立合同前确定。乙方进场后，如发现实际工作量与约定不符，应在进场后</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rPr>
        <w:t>天内，向甲方提交养护工作量差异的报告。甲方接到报告后</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rPr>
        <w:t>天内对实际养护工作量进行确认，并告知乙方，乙方应为计量提供便利条件并派人参加。乙方超出约定范围和因乙方原因造成返工的养护工作，甲方不予计量。</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3.养护期限</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养护期限为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个月，自</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日起至</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自合同签订日算起</w:t>
      </w:r>
      <w:r>
        <w:rPr>
          <w:rFonts w:hint="eastAsia" w:ascii="宋体" w:hAnsi="宋体" w:eastAsia="宋体" w:cs="宋体"/>
          <w:color w:val="auto"/>
          <w:sz w:val="24"/>
          <w:highlight w:val="none"/>
          <w:lang w:eastAsia="zh-CN"/>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4.养护规范及质量、考核</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4.1.养护规范及养护质量</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4.1.1.乙方的养护规范及养护质量，应符合地方标准城市绿化养护规范及验收要求规定要求，其中养护质量要求有分级标准，应达到</w:t>
      </w:r>
      <w:r>
        <w:rPr>
          <w:rFonts w:hint="eastAsia" w:ascii="宋体" w:hAnsi="宋体" w:eastAsia="宋体" w:cs="宋体"/>
          <w:color w:val="auto"/>
          <w:sz w:val="24"/>
          <w:highlight w:val="none"/>
          <w:lang w:val="en-US" w:eastAsia="zh-CN"/>
        </w:rPr>
        <w:t>江苏省绿化</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养护</w:t>
      </w:r>
      <w:r>
        <w:rPr>
          <w:rFonts w:hint="eastAsia" w:ascii="宋体" w:hAnsi="宋体" w:eastAsia="宋体" w:cs="宋体"/>
          <w:color w:val="auto"/>
          <w:sz w:val="24"/>
          <w:highlight w:val="none"/>
        </w:rPr>
        <w:t>标准要求。</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4.1.2.服务期满后，乙方需保证甲方原有医疗区植物花卉和花盆总数以及规格大小保持不变。</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大盆规格：自然身高≧1.5m，冠幅≧1.2m。</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中盆规格：自然身高≧1.2m，冠幅≧0.8m。</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小盆规格：自然身高≧0.4m，冠幅≧0.4m。</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4.1.3.对养护质量有特殊要求时，双方可以另行约定：</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4.1.4.双方对养护质量有争议，双方同意由下列方式约定的机构进行专业鉴定：</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双方指定机构：</w:t>
      </w:r>
      <w:r>
        <w:rPr>
          <w:rFonts w:hint="eastAsia" w:ascii="宋体" w:hAnsi="宋体" w:eastAsia="宋体" w:cs="宋体"/>
          <w:color w:val="auto"/>
          <w:sz w:val="24"/>
          <w:highlight w:val="none"/>
          <w:u w:val="single"/>
          <w:lang w:eastAsia="zh-CN"/>
        </w:rPr>
        <w:t>连云港相关机构</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所需费用及因此造成的损失，由责任方承担。双方均有责任，由双方根据其责任分别承担。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4.2.养护考核</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4.2.1.乙方应认真按照园林绿化行业的标准、规范、本合同的要求以及甲方代表人依据本合同发出的指令进行养护，随时接受甲方的检查和考核，为检查、考核提供便利条件。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4.2.2.甲方可按照合同约定的时间、标准进行随机检查和定期考核，发现养护质量达不到约定标准的部分，甲方可要求乙方采取补种、更换、重做、修复等一切补救措施，直到符合约定标准。因乙方原因达不到约定标准，由乙方承担由于采取补救措施而产生的一切费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4.2.3.检查和考核的时间、奖惩措施，双方约定如下：</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（1）检查、考核方式：定期考核与平时随机检查相结合，定期考核检查每月1次，平时随机检查由甲方随机组织进行。</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（2）检查扣分：月度定期检查发现有未按照养护规范进行养护的，一处扣0.5-1分；有养护等级标准未能达到未达标准的，一项不达标扣1</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分；养护质量不能达标的，一处或一次扣5分。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质量奖惩：乙方在月度检查得分低于95分的，每低1分扣50元违约金；连续2个月低于80分的，乙方还应提交书面整改计划并进行整改；如出现检查得分低于70分或连续3个月得分低于80分的，属于乙方未按合同约定对区域内绿化进行管养，质量达不到绿化管养标准和规范的要求情节严重的情形，甲方可按照约定解除合同并追究乙方违约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平时随机检查发现乙方存在未按养护规范养护或养护质量缺陷的，乙方应立即全面整改，及时全面整改到位的一般不扣分扣款。如乙方不及时整改、整改不到位或已经3次整改仍再次发生问题的，甲方可根据情况将随机检查结果纳入月度考核，扣当月月度检查得分10-30分；如乙方连续2个月或累计4个月因平时随机检查扣分的，为乙方未按合同约定对区域内绿化进行管养，质量达不到绿化管养标准和规范的要求情节严重的情形，甲方可按照约定解除合同并追究乙方违约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检查要求：如检查时乙方代表无故不参加的，经检查组2人以上签字证明，可以作为考核依据。参加检查的乙方代表不在检查记录上签字确认的，可视为乙方未按合同约定对区域内绿化进行管养，质量达不到绿化管养标准和规范的要求情节严重情形，经通知整改仍未达标的，甲方可按照约定解除合同并追究乙方违约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4.2.4.因养护不当造成的绿化树木、花卉死亡或损坏由乙方无偿补种修复。若乙方认为造成绿化树木、花卉死亡或者损坏的责任不在乙方，由乙方承担举证责任。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4.2.5.因甲方或第三方原因造成质量不达标，乙方应尽可能采取补救措施，因此增加的费用由甲方或第三方承担。若质量不达标责任无法明确或无法追究时，由甲乙双方协商解决。</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5.双方的权利和义务</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5.1.甲方的权利和义务</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5.1.1.提供养护工程区域内的树木、草坪、花卉、绿篱、水生植物、水体、园林设施及其它需要养护的设施范围或清单，供双方进行现场确认。</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5.1.2.提供养护范围内工程地质（必要时）和地下设施资料，并对资料的真实准确性负责。</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5.1.3.提供养护所需用水、用电的接驳点或由乙方配合向相关部门申请办理接驳点，接驳费用由甲方承担，双方另有约定的，按照约定处理。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5.1.4.根据招标文件向乙方提供养护管理用房、场地及机械设备，有权限定所提供标的物的用途，并保留对标的物的监督与回收权。</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5.1.5.组织召开养护作业要求交底会。</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5.1.6.在乙方开展养护工作时，协调乙方与政府部门、相关单位和人员（包括养护范围内的游客）的关系。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5.1.7.在养护期间，甲方应及时将水电供应部门的停电、停水通知送交乙方，乙方应自行采取停电、停水期间的养护措施。甲方收悉停电、停水通知后未及时通知乙方的，由此造成养护范围内的植物或养殖物死亡，其损失由甲方承担。除此之外的停电、停水或其它异常事件，造成损失由责任方承担；不能确定责任的，由双方协商处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5.1.8.按照合同约定，检查、考核乙方的工作。</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5.1.9.按合同约定向乙方支付养护费用。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5.1.10.如遇突击性工作时甲乙双方应予以支持及配合。</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5.1.11.甲方应做的其他工作：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5.2.乙方的权利和义务</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5.2.1.在合同签订后</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rPr>
        <w:t>天内，制定养护期内相应的总体绿化养护管理方案，报请甲方审核批准，作为实施依据。甲方收到乙方方案后，应于</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rPr>
        <w:t>天内予以确认或提出修改意见，逾期不确认也不提出修改意见的，视为同意。</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5.2.2.建立完善的养护责任制度，制定养护岗位职责以及各岗位规范、操作规程、养护制度（包括节假日值班制度、防汛防台期间的值班制度和应急抢险工作制度）。根据招投标文书或相关规定，配备具备相应技术证书（等级认定）项目负责人、技术管理人员、养护操作人员、安全管理员等并将岗位规范、操作规程、管理制度及工作人员的名单交甲方备案。</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5.2.3.根据季节、气候、土壤、植物的生长习性和生长阶段及养护场地的具体情况合理安排、开展养护工作，根据甲方要求及时做好养护区域的局部调整，保证绿化观赏的整体性，并向甲方提供年、季、月度养护管理方案及相应进度统计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5.2.4.在养护过程中，须安排专人负责养护区域内的自查工作，及时处置发现的问题并记录台账，如发现各类苗木、设施有被损、被盗等情况时，应及时向甲方汇报并立即进行补缺、恢复。</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5.2.5.养护期限内，本合同养护项目设施量发生减少及毁损的，乙方应及时补齐或修复，并自行承担所需费用。合同期限届满时，乙方应保证本合同养护项目设施量完好无损。未完好的，由乙方负责补齐或修复。届时，未补齐或修复的，甲方可自行或委托他人补齐或修复，费用由乙方负责。</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开展养护工作时，严格遵守政府和有关主管部门对噪音污染、环境保护和安全生产等的管理规定，统一着装、文明施工；并设置养护铭牌，标明养护单位、养护范围、联系电话、监督电话等信息，接受社会监督。</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5.2.6.养护期间，乙方须确保养护范围内的公用设施不受养护措施的影响。</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5.2.7.发现养护区域范围内设施设备、树木、构筑物建筑物、窨井盖、井道、电力、供水、供气等异常情况应通知设施产权人并采取相应应急措施确保人身安全。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5.2.8.接受甲方的管理、监督、检查和考核，对甲方发出的整改通知，应及时按甲方的要求进行整改。乙方无正当理由拒绝整改时，甲方可以另行委托他人予以整改，所发生的费用由乙方承担。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5.2.9.负责养护工作人员的劳动保护和人身安全。除双方另有约定外，养护工作人员的餐饮、住宿由乙方自行承担。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5.2.10.建立和健全养护管理档案，对养护管理工作中采集的各种信息、资料及时做好分析整理和归档保存工作，并报送甲方备案。养护管理期满，将养护管理的所有档案资料及养护范围内的各类植物、设施完好地移交给甲方。</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5.2.11.根据相关规定，与甲方共同制定应急抢险工作流程，在规定的时限内响应各类突发事件。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5.2.12.如遇突击性工作时甲乙双方应予以支持及配合。</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5.2.13.乙方应做的其他工作：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6.养护方案及调整</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6.1.双方签订合同时，双方应对原绿化带植物及种类进行移交确认，建立相关资料档案，双方签字认可。对确认后乙方管养范围内发生的植物死亡，除不可抗力因素导致的外，死亡部分由乙方负责免费更换同样大小的同样植物，并负责养护成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6.2.乙方必须按甲方确认的养护管理方案和养护计划组织养护，接受甲方对养护质量的检查、监督和考核。</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6.3.涉及重大活动或其他原因，甲方认为确有必要暂停养护工作或调整养护方案时，应当以书面形式要求乙方调整养护时间或更改养护措施。乙方应遵从甲方要求，调整导致的费用增加由甲方承担，双方另有约定除外。</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6.4.乙方派驻本项目绿化人员共计</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人，乙方工作人员每人每月安排不少于四天休息，休息期间乙方将安排替岗保证不影响绿化工作的完成，此项情况不视为乙方人数缺岗。特殊情况要以书面形式告知甲方。</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6.5.未经甲方事前书面许可，乙方不得自行调整养护时间或更改养护措施，以及降低用工配备与等级。</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7.安全防护及事故处理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7.1.一般要求</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7.1.1.乙方在养护期间，应当严格遵守安全生产作业的有关管理制度，并随时接受行业安全检查人员依法实施的监督检查，采取必要的安全防护措施，消除事故隐患,乙方养护过程中造成自身工作人员、甲方或第三方人身、财产损失事故的责任和因此发生的费用由乙方承担，如甲方先行垫付的有权向乙方追偿。</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7.1.2.乙方应对其一线从业人员进行技能培训及安全教育，在进行风险作业时须落实相应措施，并由安全员监督指导。</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7.1.3.甲方不得要求乙方违反安全管理的规定进行养护工作。因甲方原因导致的安全事故，由甲方承担相应责任及产生的费用。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7.2.安全防范</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7.2.1.乙方在从事喷洒农药、控制有害生物、修剪树木、修理设施、清理道路或水体、防台防汛等工作时必须采取相应的安全防护措施。除双方另有约定外，安全防护费用由乙方自行承担。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7.2.2.乙方应保证养护范围内的各项设施能够安全使用，对于存在安全隐患的设施、物品，应及时予以修理或更换，相关费用由甲方承担。对养护范围内的树林、水体或其他可能造成人员伤亡的场所，乙方应提请甲方设置禁止吸烟、禁止火种、禁止游泳等安全警告铭牌，设置及更换的费用由甲方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7.2.3.乙方承担植物保护工作的，应采取预防为主，综合治理方针并优先考虑生物防治等低公害防治方法。对土壤进行消毒或防治病虫害时，须符合《中华人民共和国农药管理条例》等相关法规及技术标准的规定。喷洒药物之前，乙方须将喷洒时间、线路、药物种类提前公开告知。残留药剂和容器，乙方应按规定妥善收集和处理。未按规定使用药剂，造成的责任由乙方自行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7.3.环境保护</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7.3.1.合同期间，乙方应遵守国家有关环境保护的政策、法规。养护范围内的生活垃圾应按规定处置，植物养护产生的绿化废弃物由乙方负责进行无害化处置，费用由</w:t>
      </w:r>
      <w:r>
        <w:rPr>
          <w:rFonts w:hint="eastAsia" w:ascii="宋体" w:hAnsi="宋体" w:eastAsia="宋体" w:cs="宋体"/>
          <w:color w:val="auto"/>
          <w:sz w:val="24"/>
          <w:highlight w:val="none"/>
          <w:u w:val="single"/>
          <w:lang w:val="en-US" w:eastAsia="zh-CN"/>
        </w:rPr>
        <w:t>乙方</w:t>
      </w:r>
      <w:r>
        <w:rPr>
          <w:rFonts w:hint="eastAsia" w:ascii="宋体" w:hAnsi="宋体" w:eastAsia="宋体" w:cs="宋体"/>
          <w:color w:val="auto"/>
          <w:sz w:val="24"/>
          <w:highlight w:val="none"/>
        </w:rPr>
        <w:t>承担。污水、废水未处理达标前，不得直接排入河道、湖泊、沟渠、雨水井等其它公共设施，以免造成污染。</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7.3.2.乙方应按合同约定进行施肥、沤肥，不得造成绿化景观和周边环境污染。</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7.3.3.养护期间，在枯水季节，乙方应按合同约定的范围和内容，清理水体淤泥，挖出的淤泥应作无害化处置。</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7.3.4.养护期间，乙方应按合同约定修整水体堤岸，防止坍塌，但不能擅自挖掘堤岸以扩大水面，也不能擅自改变堤岸形状、走向。</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7.4.事故处理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养护期间，若发生重大伤亡及其他安全事故，乙方应按有关规定立即上报有关部门并通知甲方，事故按规定处置完毕后，按责任分别承担发生的费用。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8.养护施工所需管理用房、场地、材料、器具设备及人力资源</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8.1.乙方自行准备的管理用房、场地、材料、器具设备及人力</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8.1.1.乙方应根据养护要求自行配置和组织养护管理所需要的所有交通工具以及其他养护所需材料、设备、一切劳动力和服务，由此产生的一切费用由乙方承担，但甲乙双方书面约定由甲方提供的除外。</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8.1.2.乙方应保证其自行配备的管理用房、场地、材料、设备符合安全标准，因不达标而产生的损失，由乙方承担。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8.2.甲方提供的养护用管理用房、场地、材料、设备</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8.2.1.双方约定，本合同履行期间，下列管理用房、场地、材料、设备由甲方提供：</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其中：</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限定用途为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，如超出限定用途，甲方有权予以收回并追究相应责任。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8.2.2.合同期内，甲方提供的标的物的使用权限为以</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项：</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（1）有偿使用，费用为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（2）无偿使用。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8.2.3.双方商定，甲方提供管理用房、场地、材料、设备的交接时间：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，双方签收确认。</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8.2.4.甲方提供的管理用房、场地、材料、设备，乙方签收后由乙方负责保养保管，合同履行期间的运行、保养费用由乙方承担。因乙方原因发生丢失或损坏的，由乙方负责赔偿。</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9.合同价款与支付</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9.1.合同价款及调整</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9.1.1.本养护项目，双方约定合同价款为人民币（大写）</w:t>
      </w:r>
      <w:r>
        <w:rPr>
          <w:rFonts w:hint="eastAsia" w:ascii="宋体" w:hAnsi="宋体" w:eastAsia="宋体" w:cs="宋体"/>
          <w:i w:val="0"/>
          <w:iCs w:val="0"/>
          <w:color w:val="auto"/>
          <w:sz w:val="24"/>
          <w:highlight w:val="none"/>
          <w:u w:val="single"/>
        </w:rPr>
        <w:t> </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），费用已含服务人员人工费、服装费、材料费、农药化肥费、工具费、植物费用及税收和各项管理费用以及市场价格变动风险等乙方完成合同约定义务，由乙方所应支付的所有费用。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9.1.2.合同价款的计算如下：</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双方的招投标文件、确认的计算合同价款的工作量清单或预算书，可作为合同附件。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9.1.3.双方约定，因养护质量、养护工作等因素需调整合同价款，可另行签订补充合同。</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9.1.4.因乙方自身原因导致的养护变更或者养护补救措施，乙方无权要求追加合同价款。</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9.2.合同价款的支付方式</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双方约定，按照下列方式将本合同养护价款支付至乙方指定收款银行账户：</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hint="eastAsia" w:ascii="宋体" w:hAnsi="宋体" w:eastAsia="宋体" w:cs="宋体"/>
          <w:b/>
          <w:bCs/>
          <w:color w:val="auto"/>
          <w:sz w:val="24"/>
          <w:szCs w:val="22"/>
          <w:highlight w:val="none"/>
          <w:lang w:val="en-US" w:eastAsia="zh-CN"/>
        </w:rPr>
      </w:pPr>
      <w:bookmarkStart w:id="24" w:name="OLE_LINK2"/>
      <w:r>
        <w:rPr>
          <w:rFonts w:hint="eastAsia" w:ascii="宋体" w:hAnsi="宋体" w:eastAsia="宋体" w:cs="宋体"/>
          <w:b/>
          <w:bCs/>
          <w:color w:val="auto"/>
          <w:sz w:val="24"/>
          <w:szCs w:val="22"/>
          <w:highlight w:val="none"/>
          <w:lang w:eastAsia="zh-CN"/>
        </w:rPr>
        <w:t>本项目服务期限为三年，采购人根据考核结果，</w:t>
      </w:r>
      <w:r>
        <w:rPr>
          <w:rFonts w:hint="eastAsia" w:ascii="宋体" w:hAnsi="宋体" w:eastAsia="宋体" w:cs="宋体"/>
          <w:b/>
          <w:bCs/>
          <w:color w:val="auto"/>
          <w:sz w:val="24"/>
          <w:szCs w:val="22"/>
          <w:highlight w:val="none"/>
          <w:lang w:val="en-US" w:eastAsia="zh-CN"/>
        </w:rPr>
        <w:t>一年的养护费用按4个季度支付，每季度支付年养护费用的25%，支付前由中标人开具增值税专用发票，采购人在收到发票后于30个工作日内将绿化养护服务费转至中标人账户。</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每次付款时，乙方应提前10个工作日以上开具的准确无误、符合财务、税务规定的发票及书面请款报告提交给甲方，甲方收到后按合同约定向乙方支付合同价款，如因乙方提交发票和书面请款报告延误时间的，甲方付款期限顺延。</w:t>
      </w:r>
    </w:p>
    <w:bookmarkEnd w:id="24"/>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9.3.乙方指定收款银行账户信息：</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户名：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账号：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9.4.养护款的支付与养护质量挂钩</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甲方根据定期和随机检查结果支付乙方服务费用，如达不到合同约定的养护质量标准时，双方约定在合同价款的20％以内进行核减，甲方可根据考核结果扣除考核款后支付乙方剩余服务费用。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10.违约责任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10.1.甲方违约责任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10.1.1.乙方履行义务完全符合合同约定而甲方未及时支付服务费用的，应每天按照逾期付款金额的万分之五标准向乙方支付违约金。甲方逾期付款超过90天后，乙方可停止养护工作，造成的损失由甲方承担。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10.1.2.因甲方原因，造成养护范围内的植物或养殖物死亡，其损失由甲方承担。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10.1.3.甲方应承担的其他违约责任</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10.2.乙方违约责任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10.2.1.因乙方原因，养护质量未达到合同约定的养护标准，乙方应采取补救措施，并赔偿甲方损失。</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10.2.2.未经甲方同意，乙方擅自更改、调整养护方案，给甲方造成损失的，应承担赔偿责任。</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10.2.3.出现下列情形时，甲方有权选择单方解除本合同，乙方应承担违约责任，按合同总价的10%向甲方支付违约金，并赔偿因其违约给甲方造成的损失：</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（1）乙方未按合同约定对区域内绿化进行管养，质量达不到绿化管养标准和规范的要求情节严重的，；</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（2）乙方连续10日未对合同约定的区域进行绿化管理养护的；</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（3）乙方擅自将绿化管理养护工作分包、转包给第三人的；</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（4）乙方管理养护期间，植物死亡率或病虫害率超过15%的或医疗区阴生植物、花卉严重不足（缺量≧10%）的；</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（5）乙方管理养护期间发生安全事故的；</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（6）乙方发生其他使合同无法履行的行为的。</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自甲方解除合同的通知送达乙方之日起本合同解除，乙方应当在三日内与甲方完成交接手续，返还甲方提供的设备、房屋，甲方未支付的费用不再支付。乙方对解除合同有异议的，异议期为7日。</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10.2.4.乙方养护质量不符合约定标准的，乙方应按甲方要求返工，并自行承担为此支付的费用；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10.2.5.本合同签订后，乙方单方解除本合同的，应向甲方支付合同总金额20%的违约金。</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10.2.6.乙方如因触犯国家法律、法规，被有关行政部门责令停业的，本合同自行终止，已发生的费用不予结算，由乙方承担违约责任，并按照合同标的总价款的5％向甲方支付违约金并赔偿因其违约给甲方造成经济损失；</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10.2.7.乙方违反本合同约定或法律规定的，应当赔偿给甲方造成的全部损失包括但不限于直接损失、预期利益损失、甲方向第三人支付的违约金、赔偿金以及甲方为索赔支出的诉讼费、律师费、公证费、保全费、担保费、鉴定费、评估费等，甲方有权直接从未支付的服务费中扣除，不足以扣除的，就不足部分甲方有权继续向乙方追偿。</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11.合同终止</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11.1.双方如因不可抗力因素导致本合同无法履行超过一个月的，双方进行协商后可解除本合同，互不承担违约责任，按截止不可抗力发生时止乙方实际发生的工作量结算服务费。</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11.2.合同有效期间，若甲方失去养护对象所属物业的管理权的，本合同即行终止，甲方不因此承担任何违约责任，按截止合同终止时止乙方实际发生的工作量结算服务费。</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11.3.合同期满双方不再继续合作的，本合同自然终止</w:t>
      </w:r>
      <w:r>
        <w:rPr>
          <w:rFonts w:hint="eastAsia" w:ascii="宋体" w:hAnsi="宋体" w:eastAsia="宋体" w:cs="宋体"/>
          <w:color w:val="auto"/>
          <w:sz w:val="24"/>
          <w:highlight w:val="none"/>
          <w:lang w:eastAsia="zh-CN"/>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11.4.本合同终止时，乙方必须在合同终止后10日内向甲方移交全部完整的管理档案资料和甲方提供的所有设备、设施及房屋。</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12.合同联系人</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12.1.甲方代表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12.1.1.甲方指定</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为甲方代表和项目负责人。</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12.1.2.除甲方代表外，其他人员均无权向乙方发出任何指令。除双方另有约定外，甲方代表亦不得委托他人代行职权。</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12.1.3.甲方代表应按合同约定，及时向乙方提供所需指令、批准并履行约定的其他义务。由于甲方代表未能按合同约定履行义务给乙方造成的损失由甲方承担。</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12.1.4.在合同履行过程中，确有必要时，甲方可更换甲方代表。如需更换甲方代表，甲方应至少提前7天以书面形式通知乙方，后任甲方代表继续行使合同约定的职权，履行约定的义务。</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12.2.乙方代表</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12.2.1.乙方任命</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为乙方代表，作为本项目负责人。</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12.2.2.乙方依据合同发出的通知，以书面形式由乙方代表签字后送交甲方代表，甲方代表在回执上签署姓名和收到时间后生效。</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12.2.3.乙方代表按照本合同的约定及甲方代表依据合同发出的指令组织养护工作。在情况紧急且无法与甲方代表联系时，乙方代表应当采取保证人员生命、财产安全的紧急措施，并在采取措施后48小时内向甲方代表提交报告。责任在甲方的，由甲方承担由此发生的追加合同价款；责任在乙方的，由乙方承担费用，并赔偿甲方损失。</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12.2.4.乙方如需要更换乙方代表，应至少提前7天以书面形式通知甲方。后任乙方代表继续行使合同约定的职权，履行约定的义务。</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12.2.5.乙方代表不称职时，甲方可以与乙方协商，建议撤换；收到甲方要求撤换乙方代表的通知时，乙方须按甲方要求，以称职人员替代。</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13.合同组成及效力</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如本合同系根据招投标、采购程序定量的，招标采购文件（含招标答疑）、符合招标采购要求的投标文件、中标通知书、本合同履行过程中双方签章确认的协议或其他文件均为本合同的组成部分，若合同组成文件之间发生矛盾的，以下排列顺序为合同组成文件之间的优先解释顺序：</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13.1.1.合同履行过程中双方签章确认的协议或其他文件；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13.1.2.本合同及其附件；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13.1.3.中标（成交）通知书；</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13.1.4.符合招标要求的投标文件；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13.1.5.招标文件(招标答疑)；</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13.1.6.标准、规范及有关技术文件；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13.1.7.其他合同文件。</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13.2.前述文件应认为是互为补充和解释的，如有互相矛盾之处，以前述文件所列顺序作为其优先解释的顺序，但如果某一文件对甲方权利维护更有利或对乙方有更高、更严格要求的以该文件内容为准。前述各项文件包括双方就该合同组成文件所作出的补充和修改，属于同一项文件的，应以最新签署的为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14.其他约定</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14.1.合同履行过程中，双方可根据有关法律、行政法规规定，结合养护项目的实际情况，经协商一致后订立补充协议，补充协议视为本合同的组成部分。</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14.2.其他：</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15.争议解决</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15.1.本合同的签订、解释及与本合同有关的纠纷解决，均受中华人民共和国现行有效的法律约束。</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15.2.因本合同引起的或与本合同有关的任何争议，由合同各方协商解决，也可由有关部门调解。协商或调解不成的，应按下列第</w:t>
      </w:r>
      <w:r>
        <w:rPr>
          <w:rFonts w:hint="eastAsia" w:ascii="宋体" w:hAnsi="宋体" w:eastAsia="宋体" w:cs="宋体"/>
          <w:color w:val="auto"/>
          <w:sz w:val="24"/>
          <w:highlight w:val="none"/>
          <w:u w:val="single"/>
        </w:rPr>
        <w:t> （1）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种方式解决：</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提交</w:t>
      </w:r>
      <w:r>
        <w:rPr>
          <w:rFonts w:hint="eastAsia" w:ascii="宋体" w:hAnsi="宋体" w:eastAsia="宋体" w:cs="宋体"/>
          <w:color w:val="auto"/>
          <w:sz w:val="24"/>
          <w:highlight w:val="none"/>
          <w:lang w:val="en-US" w:eastAsia="zh-CN"/>
        </w:rPr>
        <w:t>项目所在地</w:t>
      </w:r>
      <w:r>
        <w:rPr>
          <w:rFonts w:hint="eastAsia" w:ascii="宋体" w:hAnsi="宋体" w:eastAsia="宋体" w:cs="宋体"/>
          <w:color w:val="auto"/>
          <w:sz w:val="24"/>
          <w:highlight w:val="none"/>
        </w:rPr>
        <w:t>仲裁委员会仲裁。仲裁裁决是终局的，对各方均有约束力；</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依法向</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所在地有管辖权的人民法院起诉。</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16.通知及送达</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履行过程中，甲乙双方按照合同首部所列通讯地址向对方发出的书面通知，以快递形式寄出的，寄出三日后视为对方收到；以邮件、电话、传真、短信、QQ形式发出的，发出当天视为对方收到；以其他方式送达的，本合同约定的联系人收到时即视为送达。</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如双方变更地址的，应当在变更当日以书面形式通知对方，否则对方按本合同地址发出的通知，一经发出并达到上述约定条件即视为送达。</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合同双方因履行合同发生争议的，本合同地址可同时作为法院送达司法文书的送达地址。本合同约定的电子送达方式适用于法院送达司法文书。</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17.附则</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17.1.本合同一式</w:t>
      </w:r>
      <w:r>
        <w:rPr>
          <w:rFonts w:hint="eastAsia" w:ascii="宋体" w:hAnsi="宋体" w:eastAsia="宋体" w:cs="宋体"/>
          <w:color w:val="auto"/>
          <w:sz w:val="24"/>
          <w:highlight w:val="none"/>
          <w:lang w:val="en-US" w:eastAsia="zh-CN"/>
        </w:rPr>
        <w:t>陆</w:t>
      </w:r>
      <w:r>
        <w:rPr>
          <w:rFonts w:hint="eastAsia" w:ascii="宋体" w:hAnsi="宋体" w:eastAsia="宋体" w:cs="宋体"/>
          <w:color w:val="auto"/>
          <w:sz w:val="24"/>
          <w:highlight w:val="none"/>
        </w:rPr>
        <w:t>份，经甲乙双方法定代表人或授权代表签字并加盖公章后生效。</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甲方（签字或盖章）：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乙方（签字或盖章）：</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法定代表人或授权代表（签字）：</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签订日期：   年  月   日 </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kern w:val="2"/>
          <w:sz w:val="24"/>
          <w:szCs w:val="24"/>
          <w:highlight w:val="none"/>
          <w:lang w:val="en-US" w:bidi="ar-SA"/>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kern w:val="2"/>
          <w:sz w:val="24"/>
          <w:szCs w:val="24"/>
          <w:highlight w:val="none"/>
          <w:lang w:val="en-US" w:bidi="ar-SA"/>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 xml:space="preserve">附件：               </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jc w:val="center"/>
        <w:textAlignment w:val="auto"/>
        <w:rPr>
          <w:rFonts w:hint="eastAsia" w:ascii="宋体" w:hAnsi="宋体" w:eastAsia="宋体" w:cs="宋体"/>
          <w:b/>
          <w:kern w:val="2"/>
          <w:sz w:val="24"/>
          <w:szCs w:val="24"/>
          <w:lang w:val="en-US" w:bidi="ar-SA"/>
        </w:rPr>
      </w:pPr>
      <w:r>
        <w:rPr>
          <w:rFonts w:hint="eastAsia" w:ascii="宋体" w:hAnsi="宋体" w:eastAsia="宋体" w:cs="宋体"/>
          <w:b/>
          <w:kern w:val="2"/>
          <w:sz w:val="24"/>
          <w:szCs w:val="24"/>
          <w:lang w:val="en-US" w:bidi="ar-SA"/>
        </w:rPr>
        <w:t>廉政合同</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根据有关部门《关于基础设施建设中加强廉政建设的若干意见》以及有关工程建设、廉政建设的规定，为做好工程建设中的党风廉政建设，保证工程建设高效优质，保证建设资金的安全和有效使用以及投资效益，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kern w:val="2"/>
          <w:sz w:val="24"/>
          <w:szCs w:val="24"/>
          <w:u w:val="single"/>
          <w:lang w:val="en-US" w:bidi="ar-SA"/>
        </w:rPr>
        <w:t xml:space="preserve"> </w:t>
      </w:r>
      <w:r>
        <w:rPr>
          <w:rFonts w:hint="eastAsia" w:ascii="宋体" w:hAnsi="宋体" w:eastAsia="宋体" w:cs="宋体"/>
          <w:kern w:val="2"/>
          <w:sz w:val="24"/>
          <w:szCs w:val="24"/>
          <w:u w:val="single"/>
          <w:lang w:val="en-US" w:bidi="ar-SA"/>
        </w:rPr>
        <w:tab/>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bidi="ar-SA"/>
        </w:rPr>
        <w:t>（以下称委托人）与</w:t>
      </w:r>
      <w:r>
        <w:rPr>
          <w:rFonts w:hint="eastAsia" w:ascii="宋体" w:hAnsi="宋体" w:eastAsia="宋体" w:cs="宋体"/>
          <w:kern w:val="2"/>
          <w:sz w:val="24"/>
          <w:szCs w:val="24"/>
          <w:u w:val="single"/>
          <w:lang w:val="en-US"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u w:val="single"/>
          <w:lang w:val="en-US" w:bidi="ar-SA"/>
        </w:rPr>
        <w:tab/>
      </w:r>
      <w:r>
        <w:rPr>
          <w:rFonts w:hint="eastAsia" w:ascii="宋体" w:hAnsi="宋体" w:eastAsia="宋体" w:cs="宋体"/>
          <w:kern w:val="2"/>
          <w:sz w:val="24"/>
          <w:szCs w:val="24"/>
          <w:lang w:val="en-US" w:bidi="ar-SA"/>
        </w:rPr>
        <w:t>（以下称受托人）， 特订立如下合同。</w:t>
      </w:r>
    </w:p>
    <w:p>
      <w:pPr>
        <w:pStyle w:val="7"/>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第一条 委托人、受托人双方的权利和义务</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（一）严格遵守党和国家有关法律法规及城乡建设建设部的有关规定。</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（二）严格遵守</w:t>
      </w:r>
      <w:r>
        <w:rPr>
          <w:rFonts w:hint="eastAsia" w:ascii="宋体" w:hAnsi="宋体" w:eastAsia="宋体" w:cs="宋体"/>
          <w:kern w:val="2"/>
          <w:sz w:val="24"/>
          <w:szCs w:val="24"/>
          <w:u w:val="single"/>
          <w:lang w:val="en-US" w:eastAsia="zh-CN" w:bidi="ar-SA"/>
        </w:rPr>
        <w:t xml:space="preserve"> 临港产业园区</w:t>
      </w:r>
      <w:r>
        <w:rPr>
          <w:rFonts w:hint="eastAsia" w:ascii="宋体" w:hAnsi="宋体" w:eastAsia="宋体" w:cs="宋体"/>
          <w:kern w:val="2"/>
          <w:sz w:val="24"/>
          <w:szCs w:val="24"/>
          <w:u w:val="single"/>
          <w:lang w:val="en-US" w:bidi="ar-SA"/>
        </w:rPr>
        <w:t>绿化养护</w:t>
      </w:r>
      <w:r>
        <w:rPr>
          <w:rFonts w:hint="eastAsia" w:ascii="宋体" w:hAnsi="宋体" w:eastAsia="宋体" w:cs="宋体"/>
          <w:kern w:val="2"/>
          <w:sz w:val="24"/>
          <w:szCs w:val="24"/>
          <w:u w:val="single"/>
          <w:lang w:val="en-US" w:eastAsia="zh-CN" w:bidi="ar-SA"/>
        </w:rPr>
        <w:t>项目（2025）</w:t>
      </w:r>
      <w:r>
        <w:rPr>
          <w:rFonts w:hint="eastAsia" w:ascii="宋体" w:hAnsi="宋体" w:eastAsia="宋体" w:cs="宋体"/>
          <w:kern w:val="2"/>
          <w:sz w:val="24"/>
          <w:szCs w:val="24"/>
          <w:lang w:val="en-US" w:bidi="ar-SA"/>
        </w:rPr>
        <w:t>（项目名称）的合同文件，自觉按合同办事。</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（三）双方的业务活动坚持公开、公正、诚信、透明的原则（除法律认定的商业秘密和合同文件另有规定之外），不得损害国家和集体利益，违反工程建设管理规章制度。</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（四）建立健全廉政制度，开展廉政教育，设立廉政告示牌，公布举报电话，监督并认真查处违法违纪行为。</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（五）发现对方在业务活动中有违反廉政规定的行为，有及时提醒对方纠正的权利和义务。</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（六）发现对方严重违反本合同义务条款的行为，有向其上级有关部门举报、建议给予处理并要求告之处理结果的权利。</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第二条 委托人的义务</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（一）委托人及其工作人员不得索要或接受受托人的礼金、有价证券和贵重物品，不得向受托人报销任何应由委托人或个人支付的费用等。</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（二）委托人工作人员不得参加受托人安排的超标准宴请和娱乐活动；不得接受受托人提供的通讯工具、交通工具和高档办公用品等。</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（三）委托人及其工作人员不得要求或者接受受托人为其住房装修、婚丧嫁娶活动、配偶子女的工作安排以及出国出境、旅游等提供方便等。</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（四）委托人及其工作人员不得以任何理由向受托人推荐分包单位，不得要求受托人购买合同规定外的材料和设备。</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第三条 受托人义务</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（一）受托人不得以任何理由向委托人及其工作人员行贿或馈赠礼金、有价证券、贵重礼品。</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（二）受托人不得以任何名义为委托人及其工作人员报销应由委托人单位或个人支付的任何费用。</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（三）受托人不得以任何理由安排委托人工作人员参加超标准宴请及娱乐活动。</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（四）受托人不得为委托人单位和个人购置或提供通讯工具、交通工具和高档办公用品等。</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（五）受托人不应接受委托审计合同约定以外的与本合同审计工作有关的任何报酬。</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（六）受托人不得参与合同规定的与委托人人利益相冲突的任何活动。  </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第四条 违约责任</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（一）委托人及其工作人员违反本合同第一、二条，按管理权限，依据有关规定给予党纪、政纪或组织处理；涉嫌犯罪的，移交司法机关追究刑事责任；给受托人单位造成经济损失的，应予以赔偿。</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二）受托人及其工作人员违反本合同第一、三条，按管理权限，依据有关规定，给予党纪、政纪或组织处理；给委托人单位造成经济损失的，应予以赔偿；情节严重的，委托人建议建设工程主管部门给予受托人一至三年内不得进入其主管的建设工程市场的处罚。</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第五条 双方约定：本合同由双方或双方上级单位的纪检监察机关负责监督。由委托人或委托人上级单位的纪检监察机关约请受托人或受托人上级单位纪检监察机关对本合同履行情况进行检查，提出在本合同规定范围内的裁定意见。</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第六条 本合同有效期为业主、受托人双方签署之日起至该工程项目竣工验收后止。</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第七条 本合同作为</w:t>
      </w:r>
      <w:r>
        <w:rPr>
          <w:rFonts w:hint="eastAsia" w:ascii="宋体" w:hAnsi="宋体" w:eastAsia="宋体" w:cs="宋体"/>
          <w:kern w:val="2"/>
          <w:sz w:val="24"/>
          <w:szCs w:val="24"/>
          <w:u w:val="single"/>
          <w:lang w:val="en-US" w:eastAsia="zh-CN" w:bidi="ar-SA"/>
        </w:rPr>
        <w:t>临港产业园区</w:t>
      </w:r>
      <w:r>
        <w:rPr>
          <w:rFonts w:hint="eastAsia" w:ascii="宋体" w:hAnsi="宋体" w:eastAsia="宋体" w:cs="宋体"/>
          <w:kern w:val="2"/>
          <w:sz w:val="24"/>
          <w:szCs w:val="24"/>
          <w:u w:val="single"/>
          <w:lang w:val="en-US" w:bidi="ar-SA"/>
        </w:rPr>
        <w:t>绿化养护</w:t>
      </w:r>
      <w:r>
        <w:rPr>
          <w:rFonts w:hint="eastAsia" w:ascii="宋体" w:hAnsi="宋体" w:eastAsia="宋体" w:cs="宋体"/>
          <w:kern w:val="2"/>
          <w:sz w:val="24"/>
          <w:szCs w:val="24"/>
          <w:u w:val="single"/>
          <w:lang w:val="en-US" w:eastAsia="zh-CN" w:bidi="ar-SA"/>
        </w:rPr>
        <w:t>项目（2025）</w:t>
      </w:r>
      <w:r>
        <w:rPr>
          <w:rFonts w:hint="eastAsia" w:ascii="宋体" w:hAnsi="宋体" w:eastAsia="宋体" w:cs="宋体"/>
          <w:kern w:val="2"/>
          <w:sz w:val="24"/>
          <w:szCs w:val="24"/>
          <w:lang w:val="en-US" w:eastAsia="zh-CN" w:bidi="ar-SA"/>
        </w:rPr>
        <w:t>（项目名称）服务合同的附件，与服务合同具有同等的法律效力，经合同双方签署立即生效。</w:t>
      </w:r>
    </w:p>
    <w:p>
      <w:pPr>
        <w:keepNext w:val="0"/>
        <w:keepLines w:val="0"/>
        <w:pageBreakBefore w:val="0"/>
        <w:widowControl w:val="0"/>
        <w:kinsoku/>
        <w:wordWrap/>
        <w:overflowPunct/>
        <w:topLinePunct w:val="0"/>
        <w:autoSpaceDE/>
        <w:autoSpaceDN/>
        <w:bidi w:val="0"/>
        <w:adjustRightInd w:val="0"/>
        <w:snapToGrid w:val="0"/>
        <w:spacing w:line="360" w:lineRule="auto"/>
        <w:ind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第八条 本合同共捌份，双方各执叁份，双方督察部门各执壹份。</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 托 人：</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(盖</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章)</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 xml:space="preserve">                  受 托 人：</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(盖</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章)</w:t>
      </w:r>
      <w:r>
        <w:rPr>
          <w:rFonts w:hint="eastAsia" w:ascii="宋体" w:hAnsi="宋体" w:eastAsia="宋体" w:cs="宋体"/>
          <w:kern w:val="2"/>
          <w:sz w:val="24"/>
          <w:szCs w:val="24"/>
          <w:lang w:val="en-US" w:eastAsia="zh-CN" w:bidi="ar-SA"/>
        </w:rPr>
        <w:tab/>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 xml:space="preserve">                         法定代表人：</w:t>
      </w:r>
      <w:r>
        <w:rPr>
          <w:rFonts w:hint="eastAsia" w:ascii="宋体" w:hAnsi="宋体" w:eastAsia="宋体" w:cs="宋体"/>
          <w:kern w:val="2"/>
          <w:sz w:val="24"/>
          <w:szCs w:val="24"/>
          <w:lang w:val="en-US" w:eastAsia="zh-CN" w:bidi="ar-SA"/>
        </w:rPr>
        <w:tab/>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或授权委托代理人：(签字)</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 xml:space="preserve">          或授权委托代理人：(签</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字）</w:t>
      </w:r>
    </w:p>
    <w:p>
      <w:pPr>
        <w:keepNext w:val="0"/>
        <w:keepLines w:val="0"/>
        <w:pageBreakBefore w:val="0"/>
        <w:widowControl w:val="0"/>
        <w:kinsoku/>
        <w:wordWrap/>
        <w:overflowPunct/>
        <w:topLinePunct w:val="0"/>
        <w:autoSpaceDE/>
        <w:autoSpaceDN/>
        <w:bidi w:val="0"/>
        <w:adjustRightInd w:val="0"/>
        <w:snapToGrid w:val="0"/>
        <w:spacing w:after="0" w:afterLines="0" w:line="360" w:lineRule="auto"/>
        <w:ind w:firstLine="464" w:firstLineChars="200"/>
        <w:jc w:val="both"/>
        <w:textAlignment w:val="auto"/>
        <w:rPr>
          <w:rFonts w:hint="eastAsia" w:ascii="宋体" w:hAnsi="宋体" w:eastAsia="宋体" w:cs="宋体"/>
          <w:spacing w:val="-4"/>
          <w:kern w:val="2"/>
          <w:sz w:val="24"/>
          <w:szCs w:val="24"/>
          <w:highlight w:val="none"/>
          <w:lang w:val="en-US" w:eastAsia="zh-CN" w:bidi="ar-SA"/>
        </w:rPr>
      </w:pPr>
      <w:r>
        <w:rPr>
          <w:rFonts w:hint="eastAsia" w:ascii="宋体" w:hAnsi="宋体" w:eastAsia="宋体" w:cs="宋体"/>
          <w:spacing w:val="-4"/>
          <w:kern w:val="2"/>
          <w:sz w:val="24"/>
          <w:szCs w:val="24"/>
          <w:lang w:val="en-US" w:eastAsia="zh-CN" w:bidi="ar-SA"/>
        </w:rPr>
        <w:t>日期：  年   月    日</w:t>
      </w:r>
    </w:p>
    <w:p>
      <w:pPr>
        <w:pStyle w:val="4"/>
        <w:bidi w:val="0"/>
      </w:pPr>
      <w:bookmarkStart w:id="25" w:name="_Toc27103"/>
      <w:bookmarkStart w:id="26" w:name="_Toc21756"/>
      <w:r>
        <w:rPr>
          <w:rFonts w:hint="eastAsia"/>
        </w:rPr>
        <w:t>第四章  采购需求</w:t>
      </w:r>
      <w:bookmarkEnd w:id="25"/>
      <w:bookmarkEnd w:id="26"/>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说明：本项目属性为服务，采购标的对应的中小企业划分标准所属行业为：</w:t>
      </w:r>
      <w:r>
        <w:rPr>
          <w:rFonts w:hint="eastAsia" w:ascii="宋体" w:hAnsi="宋体" w:cs="宋体"/>
          <w:b/>
          <w:bCs/>
          <w:color w:val="auto"/>
          <w:sz w:val="24"/>
          <w:szCs w:val="24"/>
          <w:highlight w:val="none"/>
          <w:u w:val="single"/>
        </w:rPr>
        <w:t>其他未列明行业</w:t>
      </w:r>
      <w:r>
        <w:rPr>
          <w:rFonts w:hint="eastAsia" w:ascii="宋体" w:hAnsi="宋体" w:cs="宋体"/>
          <w:b/>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宋体" w:hAnsi="宋体" w:eastAsia="宋体" w:cs="宋体"/>
          <w:b/>
          <w:color w:val="auto"/>
          <w:sz w:val="24"/>
          <w:szCs w:val="24"/>
          <w:highlight w:val="none"/>
          <w:lang w:eastAsia="zh-CN"/>
        </w:rPr>
      </w:pPr>
      <w:r>
        <w:rPr>
          <w:rFonts w:hint="eastAsia" w:ascii="宋体" w:hAnsi="宋体"/>
          <w:b/>
          <w:color w:val="auto"/>
          <w:sz w:val="24"/>
          <w:szCs w:val="24"/>
          <w:highlight w:val="none"/>
        </w:rPr>
        <w:t>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1.根据《政府采购需求管理办法》等有关规定，采购人确定采购需求。</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2.本招标文件中斜体且有下划线部分为实质性要求和条件，由采购人根据实际情况设置，投标人必须逐条明确作出满足实质性要求和条件的响应，否则将按无效投标处理。</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一、项目背景</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i w:val="0"/>
          <w:iCs w:val="0"/>
          <w:color w:val="auto"/>
          <w:sz w:val="24"/>
          <w:szCs w:val="24"/>
          <w:highlight w:val="none"/>
          <w:u w:val="none"/>
          <w:lang w:val="en-US" w:eastAsia="zh-CN"/>
        </w:rPr>
        <w:t>灌云县临港产业园区</w:t>
      </w:r>
      <w:r>
        <w:rPr>
          <w:rFonts w:hint="eastAsia" w:ascii="宋体" w:hAnsi="宋体" w:eastAsia="宋体" w:cs="宋体"/>
          <w:b w:val="0"/>
          <w:i w:val="0"/>
          <w:color w:val="333333"/>
          <w:sz w:val="24"/>
          <w:szCs w:val="24"/>
          <w:u w:val="none"/>
          <w:lang w:eastAsia="zh-CN"/>
        </w:rPr>
        <w:t>324省道绿化（黄海桥至柴门大桥)、</w:t>
      </w:r>
      <w:r>
        <w:rPr>
          <w:rFonts w:hint="eastAsia" w:ascii="宋体" w:hAnsi="宋体" w:cs="宋体"/>
          <w:b w:val="0"/>
          <w:i w:val="0"/>
          <w:color w:val="333333"/>
          <w:sz w:val="24"/>
          <w:szCs w:val="24"/>
          <w:u w:val="none"/>
          <w:lang w:val="en-US" w:eastAsia="zh-CN"/>
        </w:rPr>
        <w:t>新纬九路</w:t>
      </w:r>
      <w:r>
        <w:rPr>
          <w:rFonts w:hint="eastAsia" w:ascii="宋体" w:hAnsi="宋体" w:eastAsia="宋体" w:cs="宋体"/>
          <w:b w:val="0"/>
          <w:i w:val="0"/>
          <w:color w:val="333333"/>
          <w:sz w:val="24"/>
          <w:szCs w:val="24"/>
          <w:u w:val="none"/>
          <w:lang w:eastAsia="zh-CN"/>
        </w:rPr>
        <w:t>、创业路、</w:t>
      </w:r>
      <w:r>
        <w:rPr>
          <w:rFonts w:hint="eastAsia" w:ascii="宋体" w:hAnsi="宋体" w:cs="宋体"/>
          <w:b w:val="0"/>
          <w:i w:val="0"/>
          <w:color w:val="333333"/>
          <w:sz w:val="24"/>
          <w:szCs w:val="24"/>
          <w:u w:val="none"/>
          <w:lang w:val="en-US" w:eastAsia="zh-CN"/>
        </w:rPr>
        <w:t>中小企业园、新纬八路</w:t>
      </w:r>
      <w:r>
        <w:rPr>
          <w:rFonts w:hint="eastAsia" w:ascii="宋体" w:hAnsi="宋体" w:eastAsia="宋体" w:cs="宋体"/>
          <w:b w:val="0"/>
          <w:i w:val="0"/>
          <w:color w:val="333333"/>
          <w:sz w:val="24"/>
          <w:szCs w:val="24"/>
          <w:u w:val="none"/>
          <w:lang w:eastAsia="zh-CN"/>
        </w:rPr>
        <w:t>、上堤路、经八路北段等绿化养护，总绿化面积约 32.5万平方米</w:t>
      </w:r>
      <w:r>
        <w:rPr>
          <w:rFonts w:hint="eastAsia" w:ascii="宋体" w:hAnsi="宋体" w:eastAsia="宋体" w:cs="宋体"/>
          <w:color w:val="auto"/>
          <w:sz w:val="24"/>
          <w:szCs w:val="24"/>
          <w:highlight w:val="none"/>
          <w:u w:val="none"/>
        </w:rPr>
        <w:t>等。</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项目招标</w:t>
      </w:r>
      <w:r>
        <w:rPr>
          <w:rFonts w:hint="eastAsia" w:ascii="宋体" w:hAnsi="宋体" w:eastAsia="宋体" w:cs="宋体"/>
          <w:b/>
          <w:color w:val="auto"/>
          <w:sz w:val="24"/>
          <w:szCs w:val="24"/>
          <w:highlight w:val="none"/>
        </w:rPr>
        <w:t>范围</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i w:val="0"/>
          <w:iCs w:val="0"/>
          <w:color w:val="auto"/>
          <w:sz w:val="24"/>
          <w:szCs w:val="24"/>
          <w:highlight w:val="none"/>
          <w:u w:val="none"/>
          <w:lang w:val="en-US" w:eastAsia="zh-CN"/>
        </w:rPr>
        <w:t>灌云县临港产业园区</w:t>
      </w:r>
      <w:r>
        <w:rPr>
          <w:rFonts w:hint="eastAsia" w:ascii="宋体" w:hAnsi="宋体" w:eastAsia="宋体" w:cs="宋体"/>
          <w:b w:val="0"/>
          <w:i w:val="0"/>
          <w:color w:val="333333"/>
          <w:sz w:val="24"/>
          <w:szCs w:val="24"/>
          <w:u w:val="none"/>
          <w:lang w:eastAsia="zh-CN"/>
        </w:rPr>
        <w:t>324省道绿化（黄海桥至柴门大桥)、</w:t>
      </w:r>
      <w:r>
        <w:rPr>
          <w:rFonts w:hint="eastAsia" w:ascii="宋体" w:hAnsi="宋体" w:cs="宋体"/>
          <w:b w:val="0"/>
          <w:i w:val="0"/>
          <w:color w:val="333333"/>
          <w:sz w:val="24"/>
          <w:szCs w:val="24"/>
          <w:u w:val="none"/>
          <w:lang w:val="en-US" w:eastAsia="zh-CN"/>
        </w:rPr>
        <w:t>新纬九路</w:t>
      </w:r>
      <w:r>
        <w:rPr>
          <w:rFonts w:hint="eastAsia" w:ascii="宋体" w:hAnsi="宋体" w:eastAsia="宋体" w:cs="宋体"/>
          <w:b w:val="0"/>
          <w:i w:val="0"/>
          <w:color w:val="333333"/>
          <w:sz w:val="24"/>
          <w:szCs w:val="24"/>
          <w:u w:val="none"/>
          <w:lang w:eastAsia="zh-CN"/>
        </w:rPr>
        <w:t>、创业路、</w:t>
      </w:r>
      <w:r>
        <w:rPr>
          <w:rFonts w:hint="eastAsia" w:ascii="宋体" w:hAnsi="宋体" w:cs="宋体"/>
          <w:b w:val="0"/>
          <w:i w:val="0"/>
          <w:color w:val="333333"/>
          <w:sz w:val="24"/>
          <w:szCs w:val="24"/>
          <w:u w:val="none"/>
          <w:lang w:val="en-US" w:eastAsia="zh-CN"/>
        </w:rPr>
        <w:t>中小企业园、新纬八路</w:t>
      </w:r>
      <w:r>
        <w:rPr>
          <w:rFonts w:hint="eastAsia" w:ascii="宋体" w:hAnsi="宋体" w:eastAsia="宋体" w:cs="宋体"/>
          <w:b w:val="0"/>
          <w:i w:val="0"/>
          <w:color w:val="333333"/>
          <w:sz w:val="24"/>
          <w:szCs w:val="24"/>
          <w:u w:val="none"/>
          <w:lang w:eastAsia="zh-CN"/>
        </w:rPr>
        <w:t>、上堤路、经八路北段等绿化养护，总绿化面积约 32.5万平方米</w:t>
      </w:r>
      <w:r>
        <w:rPr>
          <w:rFonts w:hint="eastAsia" w:ascii="宋体" w:hAnsi="宋体" w:eastAsia="宋体" w:cs="宋体"/>
          <w:color w:val="auto"/>
          <w:sz w:val="24"/>
          <w:szCs w:val="24"/>
          <w:highlight w:val="none"/>
          <w:u w:val="none"/>
        </w:rPr>
        <w:t>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left"/>
        <w:textAlignment w:val="auto"/>
        <w:rPr>
          <w:rFonts w:ascii="宋体" w:hAnsi="宋体" w:eastAsia="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三、</w:t>
      </w:r>
      <w:r>
        <w:rPr>
          <w:rFonts w:hint="eastAsia" w:ascii="Times New Roman" w:hAnsi="Times New Roman" w:cs="Times New Roman"/>
          <w:b/>
          <w:sz w:val="28"/>
          <w:szCs w:val="28"/>
          <w:lang w:val="en-US" w:bidi="ar-SA"/>
        </w:rPr>
        <w:t xml:space="preserve">标的采购清单 </w:t>
      </w:r>
    </w:p>
    <w:tbl>
      <w:tblPr>
        <w:tblStyle w:val="18"/>
        <w:tblW w:w="8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6157"/>
        <w:gridCol w:w="1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6157" w:type="dxa"/>
            <w:vAlign w:val="center"/>
          </w:tcPr>
          <w:p>
            <w:p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服务地点名称</w:t>
            </w:r>
          </w:p>
        </w:tc>
        <w:tc>
          <w:tcPr>
            <w:tcW w:w="1662" w:type="dxa"/>
            <w:vAlign w:val="center"/>
          </w:tcPr>
          <w:p>
            <w:p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6157"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b w:val="0"/>
                <w:bCs w:val="0"/>
                <w:i w:val="0"/>
                <w:iCs w:val="0"/>
                <w:color w:val="auto"/>
                <w:sz w:val="24"/>
                <w:szCs w:val="24"/>
                <w:highlight w:val="none"/>
                <w:u w:val="none"/>
                <w:lang w:val="en-US" w:eastAsia="zh-CN"/>
              </w:rPr>
              <w:t>灌云县临港产业园区</w:t>
            </w:r>
            <w:r>
              <w:rPr>
                <w:rFonts w:hint="eastAsia" w:ascii="宋体" w:hAnsi="宋体" w:eastAsia="宋体" w:cs="宋体"/>
                <w:b w:val="0"/>
                <w:i w:val="0"/>
                <w:color w:val="333333"/>
                <w:sz w:val="24"/>
                <w:szCs w:val="24"/>
                <w:u w:val="none"/>
                <w:lang w:eastAsia="zh-CN"/>
              </w:rPr>
              <w:t>324省道绿化（黄海桥至柴门大桥)</w:t>
            </w:r>
          </w:p>
        </w:tc>
        <w:tc>
          <w:tcPr>
            <w:tcW w:w="1662" w:type="dxa"/>
            <w:vAlign w:val="center"/>
          </w:tcPr>
          <w:p>
            <w:pPr>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58320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6157" w:type="dxa"/>
            <w:vAlign w:val="center"/>
          </w:tcPr>
          <w:p>
            <w:pPr>
              <w:bidi w:val="0"/>
              <w:jc w:val="both"/>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中小企业园</w:t>
            </w:r>
          </w:p>
        </w:tc>
        <w:tc>
          <w:tcPr>
            <w:tcW w:w="1662" w:type="dxa"/>
            <w:vAlign w:val="center"/>
          </w:tcPr>
          <w:p>
            <w:pPr>
              <w:bidi w:val="0"/>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15321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6157"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b w:val="0"/>
                <w:i w:val="0"/>
                <w:color w:val="333333"/>
                <w:sz w:val="24"/>
                <w:szCs w:val="24"/>
                <w:u w:val="none"/>
                <w:lang w:eastAsia="zh-CN"/>
              </w:rPr>
              <w:t>创业路</w:t>
            </w:r>
          </w:p>
        </w:tc>
        <w:tc>
          <w:tcPr>
            <w:tcW w:w="1662" w:type="dxa"/>
            <w:vAlign w:val="center"/>
          </w:tcPr>
          <w:p>
            <w:pPr>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14400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6157" w:type="dxa"/>
            <w:vAlign w:val="center"/>
          </w:tcPr>
          <w:p>
            <w:pPr>
              <w:bidi w:val="0"/>
              <w:jc w:val="both"/>
              <w:rPr>
                <w:rFonts w:hint="default" w:ascii="宋体" w:hAnsi="宋体" w:eastAsia="宋体" w:cs="宋体"/>
                <w:sz w:val="24"/>
                <w:szCs w:val="24"/>
                <w:vertAlign w:val="baseline"/>
                <w:lang w:val="en-US" w:eastAsia="zh-CN"/>
              </w:rPr>
            </w:pPr>
            <w:r>
              <w:rPr>
                <w:rFonts w:hint="eastAsia" w:ascii="宋体" w:hAnsi="宋体" w:cs="宋体"/>
                <w:b w:val="0"/>
                <w:i w:val="0"/>
                <w:color w:val="333333"/>
                <w:sz w:val="24"/>
                <w:szCs w:val="24"/>
                <w:u w:val="none"/>
                <w:lang w:val="en-US" w:eastAsia="zh-CN"/>
              </w:rPr>
              <w:t>新纬九路</w:t>
            </w:r>
          </w:p>
        </w:tc>
        <w:tc>
          <w:tcPr>
            <w:tcW w:w="1662" w:type="dxa"/>
            <w:vMerge w:val="restart"/>
            <w:vAlign w:val="center"/>
          </w:tcPr>
          <w:p>
            <w:pPr>
              <w:bidi w:val="0"/>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236843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6157"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cs="宋体"/>
                <w:b w:val="0"/>
                <w:i w:val="0"/>
                <w:color w:val="333333"/>
                <w:sz w:val="24"/>
                <w:szCs w:val="24"/>
                <w:u w:val="none"/>
                <w:lang w:val="en-US" w:eastAsia="zh-CN"/>
              </w:rPr>
              <w:t>新纬八路</w:t>
            </w:r>
          </w:p>
        </w:tc>
        <w:tc>
          <w:tcPr>
            <w:tcW w:w="1662" w:type="dxa"/>
            <w:vMerge w:val="continue"/>
            <w:vAlign w:val="center"/>
          </w:tcPr>
          <w:p>
            <w:p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6157"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b w:val="0"/>
                <w:i w:val="0"/>
                <w:color w:val="333333"/>
                <w:sz w:val="24"/>
                <w:szCs w:val="24"/>
                <w:u w:val="none"/>
                <w:lang w:eastAsia="zh-CN"/>
              </w:rPr>
              <w:t>上堤路</w:t>
            </w:r>
          </w:p>
        </w:tc>
        <w:tc>
          <w:tcPr>
            <w:tcW w:w="1662" w:type="dxa"/>
            <w:vMerge w:val="continue"/>
            <w:vAlign w:val="center"/>
          </w:tcPr>
          <w:p>
            <w:p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840"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6157" w:type="dxa"/>
            <w:vAlign w:val="center"/>
          </w:tcPr>
          <w:p>
            <w:pPr>
              <w:bidi w:val="0"/>
              <w:jc w:val="both"/>
              <w:rPr>
                <w:rFonts w:hint="eastAsia" w:ascii="宋体" w:hAnsi="宋体" w:eastAsia="宋体" w:cs="宋体"/>
                <w:sz w:val="24"/>
                <w:szCs w:val="24"/>
                <w:vertAlign w:val="baseline"/>
                <w:lang w:val="en-US" w:eastAsia="zh-CN"/>
              </w:rPr>
            </w:pPr>
            <w:r>
              <w:rPr>
                <w:rFonts w:hint="eastAsia" w:ascii="宋体" w:hAnsi="宋体" w:eastAsia="宋体" w:cs="宋体"/>
                <w:b w:val="0"/>
                <w:i w:val="0"/>
                <w:color w:val="333333"/>
                <w:sz w:val="24"/>
                <w:szCs w:val="24"/>
                <w:u w:val="none"/>
                <w:lang w:eastAsia="zh-CN"/>
              </w:rPr>
              <w:t>经八路北段</w:t>
            </w:r>
          </w:p>
        </w:tc>
        <w:tc>
          <w:tcPr>
            <w:tcW w:w="1662" w:type="dxa"/>
            <w:vMerge w:val="continue"/>
            <w:vAlign w:val="center"/>
          </w:tcPr>
          <w:p>
            <w:p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40" w:type="dxa"/>
            <w:vAlign w:val="center"/>
          </w:tcPr>
          <w:p>
            <w:pPr>
              <w:bidi w:val="0"/>
              <w:jc w:val="both"/>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6157" w:type="dxa"/>
            <w:vAlign w:val="center"/>
          </w:tcPr>
          <w:p>
            <w:pPr>
              <w:bidi w:val="0"/>
              <w:jc w:val="both"/>
              <w:rPr>
                <w:rFonts w:hint="default" w:ascii="宋体" w:hAnsi="宋体" w:eastAsia="宋体" w:cs="宋体"/>
                <w:b w:val="0"/>
                <w:i w:val="0"/>
                <w:color w:val="333333"/>
                <w:sz w:val="24"/>
                <w:szCs w:val="24"/>
                <w:u w:val="none"/>
                <w:lang w:val="en-US" w:eastAsia="zh-CN"/>
              </w:rPr>
            </w:pPr>
            <w:r>
              <w:rPr>
                <w:rFonts w:hint="eastAsia" w:ascii="宋体" w:hAnsi="宋体" w:eastAsia="宋体" w:cs="宋体"/>
                <w:b w:val="0"/>
                <w:i w:val="0"/>
                <w:color w:val="333333"/>
                <w:sz w:val="24"/>
                <w:szCs w:val="24"/>
                <w:u w:val="none"/>
                <w:lang w:val="en-US" w:eastAsia="zh-CN"/>
              </w:rPr>
              <w:t>合计</w:t>
            </w:r>
          </w:p>
        </w:tc>
        <w:tc>
          <w:tcPr>
            <w:tcW w:w="1662" w:type="dxa"/>
            <w:vAlign w:val="center"/>
          </w:tcPr>
          <w:p>
            <w:pPr>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324884</w:t>
            </w:r>
          </w:p>
        </w:tc>
      </w:tr>
    </w:tbl>
    <w:p>
      <w:pPr>
        <w:bidi w:val="0"/>
        <w:rPr>
          <w:rFonts w:hint="eastAsia" w:ascii="宋体" w:hAnsi="宋体" w:eastAsia="宋体" w:cs="宋体"/>
          <w:sz w:val="24"/>
          <w:szCs w:val="24"/>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四、服务技术要求:</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★养护标准:参照《江苏省城市园林绿化养护管理分级标准》中二级管护标准执行。《江苏省城市园林绿化养护管理分级标准》中未明确内容按如下标准执行:</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(一)割草</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1、草坪割草:一般使用割草机进行，一年10次。质量:按照甲方要求和现场实际需要，草的高度保持在 10公分以下，割除的草及时清除。</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(二)除草</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1、草坪除草:草坪除草:杂草及时连根清除，清除的杂草及时清除，草坪纯度保持在90%以上。</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2、地被植物除草，视杂草生长情况决定除草次数和除草方式(削、拔)。 质量:基本控制在无杂草状态，拔、削除的杂草及时清除。</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(三)修剪 :</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1、造形树修剪:一年三次，3月底或4月初。 质量:剪下的树叶及时清除，保持造形的几何面基本平整，大部分枝条之间长短差不超过2-4cm，枯枝剪除。</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2、灈木修剪:一年两次。夏季开花的于冬季进行，春季开花的于花后进行。蜡梅、梅 花、桃花、垂丝海棠、红叶李、紫荆等必须每年一次。</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3、行道树抹芽，按现场情况及时抹芽。质量:去除四米以下不必要的半木质化不定芽，抹下的芽及时清除。</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4、增加色块的修剪和质量养护行道树修剪，一年一次，按美观原则，于冬季进行。</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一般树木修剪，必须按美观原则，随时进行。</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(四)病虫防治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1、行道树:视病虫发生情况及时进行。</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2、其他树种:视病虫发生情况及时进行。</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其他寄生性植物及病害防治对象应及时清除。草坪锈病，大叶黄杨等灈木都应及时检查及时防治。质量:喷涂冬季石硫合剂喷涂，喷洒药剂时做到均匀细致。事后要检查，对效果不好的要重新喷药，同一树种病虫株害率控制在5%以下，死亡率在1%以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(五)清除枯枝死树凡清理下的枯枝死树必须及时运走。</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1、乔木、灌木的清除枯枝工作，应随时进行，不得超过2天以上。</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2、死树:一经发现随时清除。</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(六)浇水抗旱、防寒保暖 使用消防水浇灌必须先请示后勤处，经同意后方可使用，其他一律使用绿化用水专用设施浇灌。冬季做好树木防寒保暖措施。要求:适量、及时浇灌，种植已超过一年以上的树种保存率在 99%以上。注意节约用水，不得浪费。</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(七)抗台扶正</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1、由于各种原因，行道树或其它乔木树干倾斜度超过 10%以上的必须予以扶正。确实难以扶正的，要加以支撑防止加重倾斜。</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2、抗台扶正:在台风来临之前，及时做好抗台准备工作，对易倒伏的树木予以支撑保护，己被台风倾倒的树木，在2天内子以扶正。</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(八)施肥</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1、一般树木施肥，在冬季之前施肥一次，开沟施肥，施后覆土。</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2、低矮花灌木花坛施肥:一年二次。秋季修剪后重施基肥一次，春季花前一次。</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3、地被植物施肥:一年二次，草坪可在下雨之前以化肥为主撤肥，时间在4、6月与10月。</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天晴施肥必须随后喷水，以防肥伤。</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(九)其他</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1、所有苗木移植均包含在养护范围内,不另行计费:如需进行大型基础建设施工需要移植苗木另行招标。</w:t>
      </w:r>
    </w:p>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2、各处使用草花(含移动式花盆)均包含在养护范围内，不另行计费。养护单位应按季节及时进行调整品种，确保美化效果。</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五、★商务要求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（1）服务期限:三年(自合同签订之日起)。</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b w:val="0"/>
          <w:bCs w:val="0"/>
          <w:color w:val="auto"/>
          <w:sz w:val="24"/>
          <w:szCs w:val="22"/>
          <w:highlight w:val="none"/>
          <w:lang w:val="en-US" w:eastAsia="zh-CN"/>
        </w:rPr>
      </w:pPr>
      <w:r>
        <w:rPr>
          <w:rFonts w:hint="eastAsia" w:ascii="宋体" w:hAnsi="宋体" w:eastAsia="宋体" w:cs="宋体"/>
          <w:b w:val="0"/>
          <w:bCs w:val="0"/>
          <w:color w:val="auto"/>
          <w:sz w:val="24"/>
          <w:szCs w:val="22"/>
          <w:highlight w:val="none"/>
          <w:lang w:val="en-US" w:eastAsia="zh-CN"/>
        </w:rPr>
        <w:t>（2）付款方式：</w:t>
      </w:r>
      <w:r>
        <w:rPr>
          <w:rFonts w:hint="eastAsia" w:ascii="宋体" w:hAnsi="宋体" w:eastAsia="宋体" w:cs="宋体"/>
          <w:b w:val="0"/>
          <w:bCs w:val="0"/>
          <w:color w:val="auto"/>
          <w:sz w:val="24"/>
          <w:szCs w:val="22"/>
          <w:highlight w:val="none"/>
          <w:lang w:eastAsia="zh-CN"/>
        </w:rPr>
        <w:t>本项目服务期限为三年，采购人根据考核结果，</w:t>
      </w:r>
      <w:r>
        <w:rPr>
          <w:rFonts w:hint="eastAsia" w:ascii="宋体" w:hAnsi="宋体" w:eastAsia="宋体" w:cs="宋体"/>
          <w:b w:val="0"/>
          <w:bCs w:val="0"/>
          <w:color w:val="auto"/>
          <w:sz w:val="24"/>
          <w:szCs w:val="22"/>
          <w:highlight w:val="none"/>
          <w:lang w:val="en-US" w:eastAsia="zh-CN"/>
        </w:rPr>
        <w:t>一年的养护费用按4个季度支付，每季度支付年养护费用的25%，支付前由中标人开具增值税专用发票，采购人在收到发票后于30个工作日内将绿化养护服务费转至中标人账户。</w:t>
      </w:r>
    </w:p>
    <w:p>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每次付款时，乙方应提前10个工作日以上开具的准确无误、符合财务、税务规定的发票及书面请款报告提交给甲方，甲方收到后按合同约定向乙方支付合同价款，如因乙方提交发票和书面请款报告延误时间的，甲方付款期限顺延。</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考核标准:(以下考核内容为绿化养护日常考核,根据实际情况中标单位与业主商议后,可另行增减。)</w:t>
      </w:r>
    </w:p>
    <w:tbl>
      <w:tblPr>
        <w:tblStyle w:val="18"/>
        <w:tblW w:w="8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376"/>
        <w:gridCol w:w="867"/>
        <w:gridCol w:w="1066"/>
        <w:gridCol w:w="4017"/>
        <w:gridCol w:w="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66" w:type="dxa"/>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376" w:type="dxa"/>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考核项内容</w:t>
            </w:r>
          </w:p>
        </w:tc>
        <w:tc>
          <w:tcPr>
            <w:tcW w:w="867" w:type="dxa"/>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w:t>
            </w:r>
          </w:p>
        </w:tc>
        <w:tc>
          <w:tcPr>
            <w:tcW w:w="1066" w:type="dxa"/>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分值</w:t>
            </w:r>
          </w:p>
        </w:tc>
        <w:tc>
          <w:tcPr>
            <w:tcW w:w="4017" w:type="dxa"/>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检查测试方法(按每项扣完为止方法进行)</w:t>
            </w:r>
          </w:p>
        </w:tc>
        <w:tc>
          <w:tcPr>
            <w:tcW w:w="706" w:type="dxa"/>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Merge w:val="restart"/>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376" w:type="dxa"/>
            <w:vMerge w:val="restart"/>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修剪</w:t>
            </w:r>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乔木</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无枯枝，树木不阻碍车辆和行人通过，主侧枝分布均匀。目视抽检12棵，每发现一处不合格扣 2分，直至此项不得分。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137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灌木</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成型,整齐,新长枝不超过 30 厘米目祝抽检3处共30米,每发现一处不合格扣2分，直至此项不得分。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137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草等</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草坪目祝平整目视抽检6处，每发现一处不合格扣 2分，直至此项不得分。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376" w:type="dxa"/>
            <w:vAlign w:val="center"/>
          </w:tcPr>
          <w:p>
            <w:pPr>
              <w:numPr>
                <w:ilvl w:val="0"/>
                <w:numId w:val="0"/>
              </w:numPr>
              <w:bidi w:val="0"/>
              <w:jc w:val="center"/>
              <w:rPr>
                <w:rFonts w:hint="eastAsia" w:ascii="宋体" w:hAnsi="宋体" w:eastAsia="宋体" w:cs="宋体"/>
                <w:sz w:val="24"/>
                <w:szCs w:val="24"/>
                <w:vertAlign w:val="baseline"/>
                <w:lang w:val="en-US" w:eastAsia="zh-CN"/>
              </w:rPr>
            </w:pPr>
            <w:bookmarkStart w:id="27" w:name="OLE_LINK3"/>
            <w:r>
              <w:rPr>
                <w:rFonts w:hint="eastAsia" w:ascii="宋体" w:hAnsi="宋体" w:eastAsia="宋体" w:cs="宋体"/>
                <w:sz w:val="24"/>
                <w:szCs w:val="24"/>
                <w:vertAlign w:val="baseline"/>
                <w:lang w:val="en-US" w:eastAsia="zh-CN"/>
              </w:rPr>
              <w:t>施肥</w:t>
            </w:r>
            <w:bookmarkEnd w:id="27"/>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施肥</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保证基肥,追施化肥,少量多次,不伤花草目</w:t>
            </w:r>
          </w:p>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视检查,抽检6处,每发现一处不合格扣2</w:t>
            </w:r>
          </w:p>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37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防病治虫</w:t>
            </w:r>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病虫害防治</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无明显枯枝、死权，有虫害枝条 以下目视</w:t>
            </w:r>
          </w:p>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抽查，每发现一处不合格扣2分，直至此项不得分。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Merge w:val="restart"/>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1376" w:type="dxa"/>
            <w:vMerge w:val="restart"/>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抗旱</w:t>
            </w:r>
          </w:p>
        </w:tc>
        <w:tc>
          <w:tcPr>
            <w:tcW w:w="867"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花卉、</w:t>
            </w:r>
          </w:p>
          <w:p>
            <w:pPr>
              <w:bidi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苗</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泥土不染花叶,土不压苗心,水不冲倒苗目</w:t>
            </w:r>
          </w:p>
          <w:p>
            <w:pPr>
              <w:bidi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视抽检6处共60平方米每发现一处不合格扣2分，直至此项不得分。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137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树木、</w:t>
            </w:r>
          </w:p>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草地</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bidi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冬季早晚不浇水,夏季中午不浇水,浇水时不遗漏,浇水浇透土,无早死、早枯现象；抽查5处，共60平方米，每发现一处不合格扣2分，直至此项不得分。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66" w:type="dxa"/>
            <w:vMerge w:val="restart"/>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1376" w:type="dxa"/>
            <w:vMerge w:val="restart"/>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日常养护</w:t>
            </w:r>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中耕、除杂草</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bidi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无明显杂草,草纯度在90%以上,树木底下土面层不板结,透气良好,抽查草地 60平方米3处,取平均值,每发现一处不合格扣 0.2分，直至此项不得分。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6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1376" w:type="dxa"/>
            <w:vMerge w:val="continue"/>
            <w:vAlign w:val="center"/>
          </w:tcPr>
          <w:p>
            <w:pPr>
              <w:numPr>
                <w:ilvl w:val="0"/>
                <w:numId w:val="0"/>
              </w:numPr>
              <w:bidi w:val="0"/>
              <w:jc w:val="center"/>
              <w:rPr>
                <w:rFonts w:hint="eastAsia" w:ascii="宋体" w:hAnsi="宋体" w:eastAsia="宋体" w:cs="宋体"/>
                <w:sz w:val="24"/>
                <w:szCs w:val="24"/>
                <w:vertAlign w:val="baseline"/>
                <w:lang w:val="en-US" w:eastAsia="zh-CN"/>
              </w:rPr>
            </w:pPr>
          </w:p>
        </w:tc>
        <w:tc>
          <w:tcPr>
            <w:tcW w:w="867"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防风、排涝、</w:t>
            </w:r>
          </w:p>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巡视看管</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4017" w:type="dxa"/>
            <w:vAlign w:val="center"/>
          </w:tcPr>
          <w:p>
            <w:pPr>
              <w:bidi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抽检5处,总计算,每发现一处不合格扣2分直至此项不得分。暴风雨过后12小时,草地无1平方米以上的积水,树木无倒斜,断枝落叶在半天内处理目视检查,抽检5处,每发现一处不合格扣1分，直至此项不得分。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trPr>
        <w:tc>
          <w:tcPr>
            <w:tcW w:w="7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1376" w:type="dxa"/>
            <w:vAlign w:val="center"/>
          </w:tcPr>
          <w:p>
            <w:pPr>
              <w:numPr>
                <w:ilvl w:val="0"/>
                <w:numId w:val="0"/>
              </w:numPr>
              <w:bidi w:val="0"/>
              <w:jc w:val="center"/>
              <w:rPr>
                <w:rFonts w:hint="eastAsia" w:ascii="宋体" w:hAnsi="宋体" w:eastAsia="宋体" w:cs="宋体"/>
                <w:sz w:val="24"/>
                <w:szCs w:val="24"/>
                <w:vertAlign w:val="baseline"/>
                <w:lang w:val="en-US" w:eastAsia="zh-CN"/>
              </w:rPr>
            </w:pPr>
            <w:bookmarkStart w:id="28" w:name="OLE_LINK4"/>
            <w:r>
              <w:rPr>
                <w:rFonts w:hint="eastAsia" w:ascii="宋体" w:hAnsi="宋体" w:eastAsia="宋体" w:cs="宋体"/>
                <w:sz w:val="24"/>
                <w:szCs w:val="24"/>
                <w:vertAlign w:val="baseline"/>
                <w:lang w:val="en-US" w:eastAsia="zh-CN"/>
              </w:rPr>
              <w:t>绿化保洁</w:t>
            </w:r>
            <w:bookmarkEnd w:id="28"/>
          </w:p>
        </w:tc>
        <w:tc>
          <w:tcPr>
            <w:tcW w:w="867" w:type="dxa"/>
            <w:vAlign w:val="center"/>
          </w:tcPr>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绿化保洁</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4017"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残花败叶及时清除,绿地整洁率在93%以上,绿地无大量落叶杂物,无枯枝,绿化垃圾及时清运,每发现一处不合格扣1分，直至此项不得分。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243" w:type="dxa"/>
            <w:gridSpan w:val="2"/>
            <w:vAlign w:val="center"/>
          </w:tcPr>
          <w:p>
            <w:pPr>
              <w:numPr>
                <w:ilvl w:val="0"/>
                <w:numId w:val="0"/>
              </w:numPr>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合同其他项目执行情况(含人员到位、重点绿化工作完成情况、员工培训等)</w:t>
            </w:r>
          </w:p>
        </w:tc>
        <w:tc>
          <w:tcPr>
            <w:tcW w:w="1066" w:type="dxa"/>
            <w:vAlign w:val="center"/>
          </w:tcPr>
          <w:p>
            <w:pPr>
              <w:numPr>
                <w:ilvl w:val="0"/>
                <w:numId w:val="0"/>
              </w:num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4017"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员到位情况，人员不足一次扣1分；重点绿化项目未按合同及月度计划执行，一次扣1分；员工培训不足不能满足岗位要求,一次扣1分；服务及时性(按合同约定或与管理处约定)差,一次性扣2分；按合同约定,其他不符合项目(如:未带工牌、与业主发生争执、礼仪不符合要求等)一次扣1分，直至此项不得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66" w:type="dxa"/>
            <w:vAlign w:val="center"/>
          </w:tcPr>
          <w:p>
            <w:pPr>
              <w:numPr>
                <w:ilvl w:val="0"/>
                <w:numId w:val="0"/>
              </w:numPr>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2243" w:type="dxa"/>
            <w:gridSpan w:val="2"/>
            <w:vAlign w:val="center"/>
          </w:tcPr>
          <w:p>
            <w:pPr>
              <w:numPr>
                <w:ilvl w:val="0"/>
                <w:numId w:val="0"/>
              </w:numPr>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合计</w:t>
            </w:r>
          </w:p>
        </w:tc>
        <w:tc>
          <w:tcPr>
            <w:tcW w:w="1066" w:type="dxa"/>
            <w:vAlign w:val="center"/>
          </w:tcPr>
          <w:p>
            <w:pPr>
              <w:numPr>
                <w:ilvl w:val="0"/>
                <w:numId w:val="0"/>
              </w:numPr>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100分</w:t>
            </w:r>
          </w:p>
        </w:tc>
        <w:tc>
          <w:tcPr>
            <w:tcW w:w="4017"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得分=100-扣分</w:t>
            </w:r>
          </w:p>
        </w:tc>
        <w:tc>
          <w:tcPr>
            <w:tcW w:w="706" w:type="dxa"/>
            <w:vAlign w:val="center"/>
          </w:tcPr>
          <w:p>
            <w:pPr>
              <w:numPr>
                <w:ilvl w:val="0"/>
                <w:numId w:val="0"/>
              </w:numPr>
              <w:bidi w:val="0"/>
              <w:jc w:val="center"/>
              <w:rPr>
                <w:rFonts w:hint="eastAsia" w:ascii="宋体" w:hAnsi="宋体" w:eastAsia="宋体" w:cs="宋体"/>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(4)考核办法及考核说明</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(一)成绩划分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考核成绩≥90分为优秀，85(含)-90分为良好，80(含)-85分为合格，低于 80分为不合格。甲方每月不定时抽查一次,每季度由甲方汇总季度各次检查情况，得出考核综合得分。综合得分取当季度每月检查的最低值。</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z w:val="24"/>
          <w:szCs w:val="24"/>
          <w:lang w:val="en-US" w:eastAsia="zh-CN"/>
        </w:rPr>
        <w:t>(一)考核与经费挂钩。凡当季度综合得分≥80分，达到合格的，则全划拨上季度养护费，达不到合格标准的，成绩每降低1分，划拨经费则降低1个百分点(以此类推)，同时中标人必须进行整改:季度考核综合得分连续低于70分，甲方有权解除合同，并扣除合同金额10%作为违约金。</w:t>
      </w:r>
    </w:p>
    <w:p>
      <w:pPr>
        <w:pStyle w:val="4"/>
        <w:bidi w:val="0"/>
        <w:rPr>
          <w:lang w:val="en-US" w:eastAsia="zh-CN"/>
        </w:rPr>
      </w:pPr>
      <w:bookmarkStart w:id="29" w:name="_Toc165205798"/>
      <w:bookmarkStart w:id="30" w:name="_Toc8556"/>
      <w:r>
        <w:rPr>
          <w:lang w:val="en-US" w:eastAsia="zh-CN"/>
        </w:rPr>
        <w:t>第五章</w:t>
      </w:r>
      <w:r>
        <w:rPr>
          <w:rFonts w:hint="eastAsia"/>
          <w:lang w:val="en-US" w:eastAsia="zh-CN"/>
        </w:rPr>
        <w:t xml:space="preserve">  评标方法与评标标准</w:t>
      </w:r>
      <w:bookmarkEnd w:id="29"/>
      <w:bookmarkEnd w:id="30"/>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一、评标方法</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二、评标标准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（1）评标时，评委会以招标文件为评标依据，评委会各成员独立对每个投标人的投标文件进行评价，并汇总每个投标人的得分。评标过程中，不得去掉报价中的最高报价和最低报价。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（2）本项目评分总分为100分，按四舍五入取至小数点后两位。</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（3）总得分=价格分+技术分+商务分。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center"/>
        <w:textAlignment w:val="auto"/>
        <w:rPr>
          <w:rFonts w:hint="eastAsia" w:ascii="宋体" w:hAnsi="宋体" w:eastAsia="宋体" w:cs="宋体"/>
          <w:b/>
          <w:bCs/>
          <w:sz w:val="24"/>
          <w:szCs w:val="24"/>
          <w:lang w:val="en-US" w:bidi="ar-SA"/>
        </w:rPr>
      </w:pPr>
      <w:r>
        <w:rPr>
          <w:rFonts w:hint="eastAsia" w:ascii="宋体" w:hAnsi="宋体" w:eastAsia="宋体" w:cs="宋体"/>
          <w:b/>
          <w:bCs/>
          <w:sz w:val="24"/>
          <w:szCs w:val="24"/>
          <w:lang w:val="en-US" w:bidi="ar-SA"/>
        </w:rPr>
        <w:t>综合评分法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（1）价格分（</w:t>
      </w:r>
      <w:r>
        <w:rPr>
          <w:rFonts w:hint="eastAsia" w:ascii="宋体" w:hAnsi="宋体" w:eastAsia="宋体" w:cs="宋体"/>
          <w:sz w:val="24"/>
          <w:szCs w:val="24"/>
          <w:lang w:val="en-US" w:eastAsia="zh-CN" w:bidi="ar-SA"/>
        </w:rPr>
        <w:t>10</w:t>
      </w:r>
      <w:r>
        <w:rPr>
          <w:rFonts w:hint="eastAsia" w:ascii="宋体" w:hAnsi="宋体" w:eastAsia="宋体" w:cs="宋体"/>
          <w:sz w:val="24"/>
          <w:szCs w:val="24"/>
          <w:lang w:val="en-US" w:bidi="ar-SA"/>
        </w:rPr>
        <w:t>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采用低价优先法计算，即满足招标文件要求且投标价格最低的投标报价为评标基准价，其价格分为满分。其他投标人的价格分统一按照下列公式计算：</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投标报价得分=（评标基准价／投标报价）×</w:t>
      </w:r>
      <w:r>
        <w:rPr>
          <w:rFonts w:hint="eastAsia" w:ascii="宋体" w:hAnsi="宋体" w:eastAsia="宋体" w:cs="宋体"/>
          <w:sz w:val="24"/>
          <w:szCs w:val="24"/>
          <w:lang w:val="en-US" w:eastAsia="zh-CN" w:bidi="ar-SA"/>
        </w:rPr>
        <w:t>10</w:t>
      </w:r>
      <w:r>
        <w:rPr>
          <w:rFonts w:hint="eastAsia" w:ascii="宋体" w:hAnsi="宋体" w:eastAsia="宋体" w:cs="宋体"/>
          <w:sz w:val="24"/>
          <w:szCs w:val="24"/>
          <w:lang w:val="en-US" w:bidi="ar-SA"/>
        </w:rPr>
        <w:t>分</w:t>
      </w:r>
    </w:p>
    <w:p>
      <w:pPr>
        <w:spacing w:line="500" w:lineRule="exact"/>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综合评分法</w:t>
      </w:r>
    </w:p>
    <w:p>
      <w:pPr>
        <w:spacing w:line="500" w:lineRule="exact"/>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1.价格分（10分）</w:t>
      </w:r>
    </w:p>
    <w:p>
      <w:pPr>
        <w:spacing w:line="5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采用低价优先法计算，即满足招标文件要求且投标价格最低的投标报价为评标基准价，其价格分为满分。其他投标人的价格分统一按照下列公式计算：</w:t>
      </w:r>
    </w:p>
    <w:p>
      <w:pPr>
        <w:spacing w:line="5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w:t>
      </w:r>
      <w:r>
        <w:rPr>
          <w:rFonts w:hint="eastAsia" w:ascii="宋体" w:hAnsi="宋体" w:eastAsia="宋体" w:cs="宋体"/>
          <w:bCs/>
          <w:color w:val="auto"/>
          <w:sz w:val="24"/>
          <w:szCs w:val="24"/>
          <w:highlight w:val="none"/>
        </w:rPr>
        <w:t>10分</w:t>
      </w:r>
      <w:r>
        <w:rPr>
          <w:rFonts w:hint="eastAsia" w:ascii="宋体" w:hAnsi="宋体" w:eastAsia="宋体" w:cs="宋体"/>
          <w:color w:val="auto"/>
          <w:sz w:val="24"/>
          <w:szCs w:val="24"/>
          <w:highlight w:val="none"/>
        </w:rPr>
        <w:t>。</w:t>
      </w:r>
    </w:p>
    <w:p>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2.商务部分（45分）</w:t>
      </w:r>
    </w:p>
    <w:tbl>
      <w:tblPr>
        <w:tblStyle w:val="18"/>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2"/>
        <w:gridCol w:w="777"/>
        <w:gridCol w:w="6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62" w:type="dxa"/>
            <w:noWrap w:val="0"/>
            <w:vAlign w:val="center"/>
          </w:tcPr>
          <w:p>
            <w:pPr>
              <w:pStyle w:val="15"/>
              <w:widowControl/>
              <w:tabs>
                <w:tab w:val="left" w:pos="720"/>
              </w:tabs>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评审内容</w:t>
            </w:r>
          </w:p>
        </w:tc>
        <w:tc>
          <w:tcPr>
            <w:tcW w:w="777" w:type="dxa"/>
            <w:noWrap w:val="0"/>
            <w:vAlign w:val="center"/>
          </w:tcPr>
          <w:p>
            <w:pPr>
              <w:pStyle w:val="15"/>
              <w:widowControl/>
              <w:tabs>
                <w:tab w:val="left" w:pos="720"/>
              </w:tabs>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分值</w:t>
            </w:r>
          </w:p>
        </w:tc>
        <w:tc>
          <w:tcPr>
            <w:tcW w:w="6158" w:type="dxa"/>
            <w:noWrap w:val="0"/>
            <w:vAlign w:val="center"/>
          </w:tcPr>
          <w:p>
            <w:pPr>
              <w:pStyle w:val="15"/>
              <w:widowControl/>
              <w:tabs>
                <w:tab w:val="left" w:pos="720"/>
              </w:tabs>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462" w:type="dxa"/>
            <w:noWrap w:val="0"/>
            <w:vAlign w:val="center"/>
          </w:tcPr>
          <w:p>
            <w:pPr>
              <w:pStyle w:val="15"/>
              <w:widowControl/>
              <w:tabs>
                <w:tab w:val="left" w:pos="720"/>
              </w:tabs>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机械设备配备</w:t>
            </w:r>
          </w:p>
        </w:tc>
        <w:tc>
          <w:tcPr>
            <w:tcW w:w="777" w:type="dxa"/>
            <w:noWrap w:val="0"/>
            <w:vAlign w:val="center"/>
          </w:tcPr>
          <w:p>
            <w:pPr>
              <w:pStyle w:val="15"/>
              <w:widowControl/>
              <w:tabs>
                <w:tab w:val="left" w:pos="720"/>
              </w:tabs>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11</w:t>
            </w:r>
          </w:p>
        </w:tc>
        <w:tc>
          <w:tcPr>
            <w:tcW w:w="6158" w:type="dxa"/>
            <w:noWrap w:val="0"/>
            <w:vAlign w:val="center"/>
          </w:tcPr>
          <w:p>
            <w:pPr>
              <w:widowControl w:val="0"/>
              <w:numPr>
                <w:ilvl w:val="0"/>
                <w:numId w:val="0"/>
              </w:num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1.机械设备基本要求：</w:t>
            </w:r>
          </w:p>
          <w:p>
            <w:pPr>
              <w:widowControl w:val="0"/>
              <w:numPr>
                <w:ilvl w:val="0"/>
                <w:numId w:val="0"/>
              </w:numPr>
              <w:spacing w:line="360" w:lineRule="auto"/>
              <w:ind w:firstLine="240" w:firstLineChars="1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rPr>
              <w:t>投标人应具备</w:t>
            </w:r>
            <w:r>
              <w:rPr>
                <w:rFonts w:hint="eastAsia" w:ascii="宋体" w:hAnsi="宋体" w:cs="宋体"/>
                <w:color w:val="auto"/>
                <w:sz w:val="24"/>
                <w:szCs w:val="24"/>
                <w:lang w:val="en-US" w:eastAsia="zh-CN"/>
              </w:rPr>
              <w:t>8吨及以上（核载质量）</w:t>
            </w:r>
            <w:r>
              <w:rPr>
                <w:rFonts w:hint="eastAsia" w:ascii="宋体" w:hAnsi="宋体" w:eastAsia="宋体" w:cs="宋体"/>
                <w:color w:val="auto"/>
                <w:sz w:val="24"/>
                <w:szCs w:val="24"/>
                <w:lang w:val="en-US" w:eastAsia="zh-CN"/>
              </w:rPr>
              <w:t>洒水车5辆、绿篱机</w:t>
            </w:r>
            <w:r>
              <w:rPr>
                <w:rFonts w:hint="eastAsia" w:ascii="宋体" w:hAnsi="宋体" w:cs="宋体"/>
                <w:color w:val="auto"/>
                <w:sz w:val="24"/>
                <w:szCs w:val="24"/>
                <w:lang w:val="en-US" w:eastAsia="zh-CN"/>
              </w:rPr>
              <w:t>20</w:t>
            </w:r>
            <w:r>
              <w:rPr>
                <w:rFonts w:hint="eastAsia" w:ascii="宋体" w:hAnsi="宋体" w:eastAsia="宋体" w:cs="宋体"/>
                <w:color w:val="auto"/>
                <w:sz w:val="24"/>
                <w:szCs w:val="24"/>
                <w:lang w:val="en-US" w:eastAsia="zh-CN"/>
              </w:rPr>
              <w:t>台、</w:t>
            </w:r>
            <w:r>
              <w:rPr>
                <w:rFonts w:hint="eastAsia" w:ascii="宋体" w:hAnsi="宋体" w:eastAsia="宋体" w:cs="宋体"/>
                <w:color w:val="auto"/>
                <w:kern w:val="0"/>
                <w:sz w:val="24"/>
                <w:szCs w:val="24"/>
                <w:highlight w:val="none"/>
                <w:lang w:val="en-US" w:eastAsia="zh-CN" w:bidi="ar-SA"/>
              </w:rPr>
              <w:t>割灌机</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台、</w:t>
            </w:r>
            <w:r>
              <w:rPr>
                <w:rFonts w:hint="eastAsia" w:ascii="宋体" w:hAnsi="宋体" w:eastAsia="宋体" w:cs="宋体"/>
                <w:color w:val="auto"/>
                <w:kern w:val="0"/>
                <w:sz w:val="24"/>
                <w:szCs w:val="24"/>
                <w:highlight w:val="none"/>
                <w:lang w:val="en-US" w:eastAsia="zh-CN" w:bidi="ar-SA"/>
              </w:rPr>
              <w:t>草坪机</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台、</w:t>
            </w:r>
            <w:r>
              <w:rPr>
                <w:rFonts w:hint="eastAsia" w:ascii="宋体" w:hAnsi="宋体" w:eastAsia="宋体" w:cs="宋体"/>
                <w:color w:val="auto"/>
                <w:kern w:val="0"/>
                <w:sz w:val="24"/>
                <w:szCs w:val="24"/>
                <w:highlight w:val="none"/>
                <w:lang w:val="en-US" w:eastAsia="zh-CN" w:bidi="ar-SA"/>
              </w:rPr>
              <w:t>油锯</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台，</w:t>
            </w:r>
            <w:r>
              <w:rPr>
                <w:rFonts w:hint="eastAsia" w:ascii="宋体" w:hAnsi="宋体" w:eastAsia="宋体" w:cs="宋体"/>
                <w:color w:val="auto"/>
                <w:sz w:val="24"/>
                <w:szCs w:val="24"/>
                <w:highlight w:val="none"/>
                <w:lang w:val="en-US" w:eastAsia="zh-CN" w:bidi="ar-SA"/>
              </w:rPr>
              <w:t>满足要求的得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分，上述</w:t>
            </w:r>
            <w:r>
              <w:rPr>
                <w:rFonts w:hint="eastAsia" w:ascii="宋体" w:hAnsi="宋体" w:cs="宋体"/>
                <w:color w:val="auto"/>
                <w:sz w:val="24"/>
                <w:szCs w:val="24"/>
                <w:highlight w:val="none"/>
                <w:lang w:val="en-US" w:eastAsia="zh-CN" w:bidi="ar-SA"/>
              </w:rPr>
              <w:t>机械设备每少1辆/台扣0.5分</w:t>
            </w:r>
            <w:r>
              <w:rPr>
                <w:rFonts w:hint="eastAsia" w:ascii="宋体" w:hAnsi="宋体" w:eastAsia="宋体" w:cs="宋体"/>
                <w:color w:val="auto"/>
                <w:sz w:val="24"/>
                <w:szCs w:val="24"/>
                <w:highlight w:val="none"/>
                <w:lang w:val="en-US" w:eastAsia="zh-CN" w:bidi="ar-SA"/>
              </w:rPr>
              <w:t>，扣完为止。</w:t>
            </w:r>
          </w:p>
          <w:p>
            <w:pPr>
              <w:pStyle w:val="2"/>
              <w:numPr>
                <w:ilvl w:val="0"/>
                <w:numId w:val="0"/>
              </w:numPr>
              <w:spacing w:line="360" w:lineRule="auto"/>
              <w:ind w:left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2.投标人在满足机械设备基本要求的基础上：</w:t>
            </w:r>
          </w:p>
          <w:p>
            <w:pPr>
              <w:pStyle w:val="22"/>
              <w:pageBreakBefore w:val="0"/>
              <w:numPr>
                <w:ilvl w:val="0"/>
                <w:numId w:val="0"/>
              </w:numPr>
              <w:spacing w:before="0" w:after="0" w:line="360" w:lineRule="auto"/>
              <w:rPr>
                <w:rFonts w:hint="eastAsia" w:ascii="宋体" w:hAnsi="宋体" w:eastAsia="宋体" w:cs="宋体"/>
                <w:b w:val="0"/>
                <w:bCs w:val="0"/>
                <w:color w:val="auto"/>
                <w:sz w:val="24"/>
                <w:szCs w:val="24"/>
                <w:highlight w:val="none"/>
                <w:lang w:val="en-US" w:eastAsia="zh-CN" w:bidi="ar-SA"/>
              </w:rPr>
            </w:pPr>
            <w:r>
              <w:rPr>
                <w:rFonts w:hint="default" w:ascii="Calibri" w:hAnsi="Calibri" w:eastAsia="宋体" w:cs="Calibri"/>
                <w:b w:val="0"/>
                <w:bCs w:val="0"/>
                <w:color w:val="auto"/>
                <w:sz w:val="24"/>
                <w:szCs w:val="24"/>
                <w:highlight w:val="none"/>
                <w:lang w:val="en-US" w:eastAsia="zh-CN" w:bidi="ar-SA"/>
              </w:rPr>
              <w:t>①</w:t>
            </w:r>
            <w:r>
              <w:rPr>
                <w:rFonts w:hint="eastAsia" w:ascii="宋体" w:hAnsi="宋体" w:eastAsia="宋体" w:cs="宋体"/>
                <w:b w:val="0"/>
                <w:bCs w:val="0"/>
                <w:color w:val="auto"/>
                <w:sz w:val="24"/>
                <w:szCs w:val="24"/>
                <w:highlight w:val="none"/>
                <w:lang w:val="en-US" w:eastAsia="zh-CN" w:bidi="ar-SA"/>
              </w:rPr>
              <w:t>多增加1辆高空作业车得1分，最高得1分。</w:t>
            </w:r>
          </w:p>
          <w:p>
            <w:pPr>
              <w:spacing w:line="360" w:lineRule="auto"/>
              <w:rPr>
                <w:rFonts w:hint="eastAsia"/>
                <w:color w:val="auto"/>
                <w:sz w:val="24"/>
                <w:szCs w:val="24"/>
                <w:highlight w:val="none"/>
                <w:lang w:val="en-US" w:eastAsia="zh-CN"/>
              </w:rPr>
            </w:pPr>
            <w:r>
              <w:rPr>
                <w:rFonts w:hint="default" w:ascii="Calibri" w:hAnsi="Calibri" w:cs="Calibri"/>
                <w:b w:val="0"/>
                <w:bCs w:val="0"/>
                <w:color w:val="auto"/>
                <w:sz w:val="24"/>
                <w:szCs w:val="24"/>
                <w:highlight w:val="none"/>
                <w:lang w:val="en-US" w:eastAsia="zh-CN" w:bidi="ar-SA"/>
              </w:rPr>
              <w:t>②</w:t>
            </w:r>
            <w:r>
              <w:rPr>
                <w:rFonts w:hint="eastAsia" w:ascii="宋体" w:hAnsi="宋体" w:eastAsia="宋体" w:cs="宋体"/>
                <w:b w:val="0"/>
                <w:bCs w:val="0"/>
                <w:color w:val="auto"/>
                <w:sz w:val="24"/>
                <w:szCs w:val="24"/>
                <w:highlight w:val="none"/>
                <w:lang w:val="en-US" w:eastAsia="zh-CN" w:bidi="ar-SA"/>
              </w:rPr>
              <w:t>多增加1辆</w:t>
            </w:r>
            <w:r>
              <w:rPr>
                <w:rFonts w:hint="eastAsia" w:ascii="宋体" w:hAnsi="宋体" w:cs="宋体"/>
                <w:b w:val="0"/>
                <w:bCs w:val="0"/>
                <w:color w:val="auto"/>
                <w:sz w:val="24"/>
                <w:szCs w:val="24"/>
                <w:highlight w:val="none"/>
                <w:lang w:val="en-US" w:eastAsia="zh-CN" w:bidi="ar-SA"/>
              </w:rPr>
              <w:t>皮卡</w:t>
            </w:r>
            <w:r>
              <w:rPr>
                <w:rFonts w:hint="eastAsia" w:ascii="宋体" w:hAnsi="宋体" w:eastAsia="宋体" w:cs="宋体"/>
                <w:b w:val="0"/>
                <w:bCs w:val="0"/>
                <w:color w:val="auto"/>
                <w:sz w:val="24"/>
                <w:szCs w:val="24"/>
                <w:highlight w:val="none"/>
                <w:lang w:val="en-US" w:eastAsia="zh-CN" w:bidi="ar-SA"/>
              </w:rPr>
              <w:t>车得</w:t>
            </w:r>
            <w:r>
              <w:rPr>
                <w:rFonts w:hint="eastAsia" w:ascii="宋体" w:hAnsi="宋体" w:cs="宋体"/>
                <w:b w:val="0"/>
                <w:bCs w:val="0"/>
                <w:color w:val="auto"/>
                <w:sz w:val="24"/>
                <w:szCs w:val="24"/>
                <w:highlight w:val="none"/>
                <w:lang w:val="en-US" w:eastAsia="zh-CN" w:bidi="ar-SA"/>
              </w:rPr>
              <w:t>0.5</w:t>
            </w:r>
            <w:r>
              <w:rPr>
                <w:rFonts w:hint="eastAsia" w:ascii="宋体" w:hAnsi="宋体" w:eastAsia="宋体" w:cs="宋体"/>
                <w:b w:val="0"/>
                <w:bCs w:val="0"/>
                <w:color w:val="auto"/>
                <w:sz w:val="24"/>
                <w:szCs w:val="24"/>
                <w:highlight w:val="none"/>
                <w:lang w:val="en-US" w:eastAsia="zh-CN" w:bidi="ar-SA"/>
              </w:rPr>
              <w:t>分，最高得1分。</w:t>
            </w:r>
          </w:p>
          <w:p>
            <w:pPr>
              <w:pStyle w:val="2"/>
              <w:numPr>
                <w:ilvl w:val="0"/>
                <w:numId w:val="0"/>
              </w:numPr>
              <w:spacing w:line="360" w:lineRule="auto"/>
              <w:ind w:leftChars="0"/>
              <w:rPr>
                <w:rFonts w:hint="eastAsia" w:ascii="宋体" w:hAnsi="宋体" w:eastAsia="宋体" w:cs="宋体"/>
                <w:color w:val="auto"/>
                <w:sz w:val="24"/>
                <w:szCs w:val="24"/>
                <w:lang w:val="en-US" w:eastAsia="zh-CN"/>
              </w:rPr>
            </w:pPr>
            <w:r>
              <w:rPr>
                <w:rFonts w:hint="default" w:ascii="Calibri" w:hAnsi="Calibri" w:eastAsia="宋体" w:cs="Calibri"/>
                <w:color w:val="auto"/>
                <w:sz w:val="24"/>
                <w:szCs w:val="24"/>
                <w:lang w:val="en-US" w:eastAsia="zh-CN"/>
              </w:rPr>
              <w:t>③</w:t>
            </w:r>
            <w:r>
              <w:rPr>
                <w:rFonts w:hint="eastAsia" w:ascii="宋体" w:hAnsi="宋体" w:eastAsia="宋体" w:cs="宋体"/>
                <w:color w:val="auto"/>
                <w:sz w:val="24"/>
                <w:szCs w:val="24"/>
                <w:lang w:val="en-US" w:eastAsia="zh-CN"/>
              </w:rPr>
              <w:t>多增加绿篱机、</w:t>
            </w:r>
            <w:r>
              <w:rPr>
                <w:rFonts w:hint="eastAsia" w:ascii="宋体" w:hAnsi="宋体" w:eastAsia="宋体" w:cs="宋体"/>
                <w:color w:val="auto"/>
                <w:kern w:val="0"/>
                <w:sz w:val="24"/>
                <w:szCs w:val="24"/>
                <w:highlight w:val="none"/>
                <w:lang w:val="en-US" w:eastAsia="zh-CN" w:bidi="ar-SA"/>
              </w:rPr>
              <w:t>割灌机、草坪机、油锯每增加</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台得</w:t>
            </w:r>
            <w:r>
              <w:rPr>
                <w:rFonts w:hint="eastAsia" w:ascii="宋体" w:hAnsi="宋体" w:cs="宋体"/>
                <w:color w:val="auto"/>
                <w:kern w:val="0"/>
                <w:sz w:val="24"/>
                <w:szCs w:val="24"/>
                <w:highlight w:val="none"/>
                <w:lang w:val="en-US" w:eastAsia="zh-CN" w:bidi="ar-SA"/>
              </w:rPr>
              <w:t>0.5</w:t>
            </w:r>
            <w:r>
              <w:rPr>
                <w:rFonts w:hint="eastAsia" w:ascii="宋体" w:hAnsi="宋体" w:eastAsia="宋体" w:cs="宋体"/>
                <w:color w:val="auto"/>
                <w:kern w:val="0"/>
                <w:sz w:val="24"/>
                <w:szCs w:val="24"/>
                <w:highlight w:val="none"/>
                <w:lang w:val="en-US" w:eastAsia="zh-CN" w:bidi="ar-SA"/>
              </w:rPr>
              <w:t>分，最高得</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分。</w:t>
            </w:r>
          </w:p>
          <w:p>
            <w:pPr>
              <w:pStyle w:val="2"/>
              <w:spacing w:line="360" w:lineRule="auto"/>
              <w:ind w:left="0" w:leftChars="0" w:firstLine="0" w:firstLineChars="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highlight w:val="none"/>
                <w:lang w:val="en-US" w:eastAsia="zh-CN" w:bidi="ar-SA"/>
              </w:rPr>
              <w:t>注：如自有投标时应提供车辆照片、行驶证，机械设备购买发票；如租赁投标时应提供车辆照片、租赁合同、出租方的行驶证，机械设备租赁合同、出租方的购买发票；上述证明材料扫描件加盖投标人公章上传至电子投标文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noWrap w:val="0"/>
            <w:vAlign w:val="center"/>
          </w:tcPr>
          <w:p>
            <w:pPr>
              <w:pStyle w:val="15"/>
              <w:widowControl/>
              <w:tabs>
                <w:tab w:val="left" w:pos="720"/>
              </w:tabs>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投标人实力</w:t>
            </w:r>
          </w:p>
        </w:tc>
        <w:tc>
          <w:tcPr>
            <w:tcW w:w="777" w:type="dxa"/>
            <w:noWrap w:val="0"/>
            <w:vAlign w:val="center"/>
          </w:tcPr>
          <w:p>
            <w:pPr>
              <w:pStyle w:val="15"/>
              <w:widowControl/>
              <w:tabs>
                <w:tab w:val="left" w:pos="720"/>
              </w:tabs>
              <w:spacing w:line="360" w:lineRule="auto"/>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10</w:t>
            </w:r>
          </w:p>
        </w:tc>
        <w:tc>
          <w:tcPr>
            <w:tcW w:w="6158" w:type="dxa"/>
            <w:noWrap w:val="0"/>
            <w:vAlign w:val="center"/>
          </w:tcPr>
          <w:p>
            <w:pPr>
              <w:widowControl w:val="0"/>
              <w:spacing w:line="360" w:lineRule="auto"/>
              <w:ind w:firstLine="42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自2022年1月1日（以发文或发证时间为准）以来，获得市级行政主管部门颁发的绿化工程或养护类奖项每提供一个得1分；省级及以上行政主管部门颁发的绿化工程或养护类奖项每提供一个得2分，本项最高得4分。</w:t>
            </w:r>
          </w:p>
          <w:p>
            <w:pPr>
              <w:widowControl w:val="0"/>
              <w:spacing w:line="360" w:lineRule="auto"/>
              <w:ind w:firstLine="42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注：投标人提供奖项证书或奖状或表彰文件等证明材料扫描件加盖投标人公章上传至电子投标文件中，</w:t>
            </w:r>
            <w:r>
              <w:rPr>
                <w:rFonts w:hint="eastAsia" w:ascii="宋体" w:hAnsi="宋体" w:eastAsia="宋体" w:cs="宋体"/>
                <w:b/>
                <w:bCs/>
                <w:color w:val="auto"/>
                <w:sz w:val="24"/>
                <w:szCs w:val="24"/>
                <w:highlight w:val="none"/>
                <w:lang w:val="en-US" w:eastAsia="zh-CN"/>
              </w:rPr>
              <w:t>未提供或提供不全不得分</w:t>
            </w:r>
            <w:r>
              <w:rPr>
                <w:rFonts w:hint="eastAsia" w:ascii="宋体" w:hAnsi="宋体" w:eastAsia="宋体" w:cs="宋体"/>
                <w:b/>
                <w:bCs/>
                <w:color w:val="auto"/>
                <w:sz w:val="24"/>
                <w:szCs w:val="24"/>
                <w:lang w:val="en-US" w:eastAsia="zh-CN"/>
              </w:rPr>
              <w:t>。</w:t>
            </w:r>
          </w:p>
          <w:p>
            <w:pPr>
              <w:widowControl w:val="0"/>
              <w:spacing w:line="360" w:lineRule="auto"/>
              <w:ind w:firstLine="42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2.投标人具有有效的质量管理体系认证、环境管理体系认证、职业健康安全管理体系认证证书的，提供一项认证证书得2分，本项最高得6分。</w:t>
            </w:r>
          </w:p>
          <w:p>
            <w:pPr>
              <w:pStyle w:val="2"/>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highlight w:val="none"/>
                <w:lang w:val="en-US" w:eastAsia="zh-CN"/>
              </w:rPr>
              <w:t>注：投标人提供证书查询网站截图（国家市场监督总局，网址http://cx.cnca.cn/CertECloud/index/index/page）、证书</w:t>
            </w:r>
            <w:r>
              <w:rPr>
                <w:rFonts w:hint="eastAsia" w:ascii="宋体" w:hAnsi="宋体" w:eastAsia="宋体" w:cs="宋体"/>
                <w:b/>
                <w:bCs/>
                <w:color w:val="auto"/>
                <w:sz w:val="24"/>
                <w:szCs w:val="24"/>
                <w:highlight w:val="none"/>
              </w:rPr>
              <w:t>扫描件上传</w:t>
            </w:r>
            <w:r>
              <w:rPr>
                <w:rFonts w:hint="eastAsia" w:ascii="宋体" w:hAnsi="宋体" w:eastAsia="宋体" w:cs="宋体"/>
                <w:b/>
                <w:bCs/>
                <w:color w:val="auto"/>
                <w:sz w:val="24"/>
                <w:szCs w:val="24"/>
                <w:highlight w:val="none"/>
                <w:lang w:val="en-US" w:eastAsia="zh-CN"/>
              </w:rPr>
              <w:t>至电子投标</w:t>
            </w:r>
            <w:r>
              <w:rPr>
                <w:rFonts w:hint="eastAsia" w:ascii="宋体" w:hAnsi="宋体" w:eastAsia="宋体" w:cs="宋体"/>
                <w:b/>
                <w:bCs/>
                <w:color w:val="auto"/>
                <w:sz w:val="24"/>
                <w:szCs w:val="24"/>
                <w:highlight w:val="none"/>
                <w:lang w:eastAsia="zh-CN"/>
              </w:rPr>
              <w:t>文件</w:t>
            </w:r>
            <w:r>
              <w:rPr>
                <w:rFonts w:hint="eastAsia" w:ascii="宋体" w:hAnsi="宋体" w:eastAsia="宋体" w:cs="宋体"/>
                <w:b/>
                <w:bCs/>
                <w:color w:val="auto"/>
                <w:sz w:val="24"/>
                <w:szCs w:val="24"/>
                <w:highlight w:val="none"/>
                <w:lang w:val="en-US" w:eastAsia="zh-CN"/>
              </w:rPr>
              <w:t>中，未提供或提供不全不得分</w:t>
            </w:r>
            <w:r>
              <w:rPr>
                <w:rFonts w:hint="eastAsia" w:ascii="宋体" w:hAnsi="宋体" w:eastAsia="宋体" w:cs="宋体"/>
                <w:b w:val="0"/>
                <w:bCs w:val="0"/>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2" w:hRule="atLeast"/>
        </w:trPr>
        <w:tc>
          <w:tcPr>
            <w:tcW w:w="1462" w:type="dxa"/>
            <w:noWrap w:val="0"/>
            <w:vAlign w:val="center"/>
          </w:tcPr>
          <w:p>
            <w:pPr>
              <w:pStyle w:val="15"/>
              <w:widowControl/>
              <w:tabs>
                <w:tab w:val="left" w:pos="720"/>
              </w:tabs>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投标人类似业绩</w:t>
            </w:r>
          </w:p>
        </w:tc>
        <w:tc>
          <w:tcPr>
            <w:tcW w:w="777" w:type="dxa"/>
            <w:noWrap w:val="0"/>
            <w:vAlign w:val="center"/>
          </w:tcPr>
          <w:p>
            <w:pPr>
              <w:pStyle w:val="15"/>
              <w:widowControl/>
              <w:tabs>
                <w:tab w:val="left" w:pos="720"/>
              </w:tabs>
              <w:spacing w:line="360" w:lineRule="auto"/>
              <w:jc w:val="center"/>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10</w:t>
            </w:r>
          </w:p>
        </w:tc>
        <w:tc>
          <w:tcPr>
            <w:tcW w:w="6158" w:type="dxa"/>
            <w:noWrap w:val="0"/>
            <w:vAlign w:val="center"/>
          </w:tcPr>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1.投标人拟派项目负责人自2021年1月1日以来（以养护合格验收证明时间为准），承担过类似项目业绩的有一个得2分，本项最高得2分。</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2.投标人自2021年1月1日以来（以养护合格验收证明时间为准），承担过类似项目业绩的有一个得2分，本项最高得8分。</w:t>
            </w:r>
          </w:p>
          <w:p>
            <w:p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rPr>
              <w:t>注：投标人须提供中标（成交）通知书、项目合同及养护合格验收证明扫描件上传至电子投标文件中，项目负责人业绩与投标人业绩不重复计分，未提供或提供不全不得分；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noWrap w:val="0"/>
            <w:vAlign w:val="center"/>
          </w:tcPr>
          <w:p>
            <w:pPr>
              <w:pStyle w:val="15"/>
              <w:widowControl/>
              <w:tabs>
                <w:tab w:val="left" w:pos="720"/>
              </w:tabs>
              <w:spacing w:line="36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投标人项目组人员</w:t>
            </w:r>
          </w:p>
        </w:tc>
        <w:tc>
          <w:tcPr>
            <w:tcW w:w="777" w:type="dxa"/>
            <w:noWrap w:val="0"/>
            <w:vAlign w:val="center"/>
          </w:tcPr>
          <w:p>
            <w:pPr>
              <w:pStyle w:val="15"/>
              <w:widowControl/>
              <w:tabs>
                <w:tab w:val="left" w:pos="720"/>
              </w:tabs>
              <w:spacing w:line="360" w:lineRule="auto"/>
              <w:jc w:val="center"/>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14</w:t>
            </w:r>
          </w:p>
        </w:tc>
        <w:tc>
          <w:tcPr>
            <w:tcW w:w="6158" w:type="dxa"/>
            <w:noWrap w:val="0"/>
            <w:vAlign w:val="center"/>
          </w:tcPr>
          <w:p>
            <w:pPr>
              <w:keepNext w:val="0"/>
              <w:keepLines w:val="0"/>
              <w:pageBreakBefore w:val="0"/>
              <w:numPr>
                <w:ilvl w:val="0"/>
                <w:numId w:val="0"/>
              </w:numPr>
              <w:adjustRightInd/>
              <w:snapToGrid/>
              <w:spacing w:line="36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1.投标人</w:t>
            </w:r>
            <w:r>
              <w:rPr>
                <w:rFonts w:hint="eastAsia" w:ascii="宋体" w:hAnsi="宋体" w:eastAsia="宋体" w:cs="宋体"/>
                <w:b w:val="0"/>
                <w:bCs/>
                <w:color w:val="auto"/>
                <w:kern w:val="0"/>
                <w:sz w:val="24"/>
                <w:szCs w:val="24"/>
                <w:highlight w:val="none"/>
                <w:lang w:val="en-US" w:eastAsia="zh-CN" w:bidi="ar-SA"/>
              </w:rPr>
              <w:t>拟派项目负责人具有</w:t>
            </w:r>
            <w:r>
              <w:rPr>
                <w:rFonts w:hint="eastAsia" w:ascii="宋体" w:hAnsi="宋体" w:eastAsia="宋体" w:cs="宋体"/>
                <w:color w:val="auto"/>
                <w:kern w:val="2"/>
                <w:sz w:val="24"/>
                <w:szCs w:val="24"/>
                <w:lang w:val="en-US" w:eastAsia="zh-CN" w:bidi="ar-SA"/>
              </w:rPr>
              <w:t>园林绿化相关专业</w:t>
            </w:r>
            <w:r>
              <w:rPr>
                <w:rFonts w:hint="eastAsia" w:ascii="宋体" w:hAnsi="宋体" w:eastAsia="宋体" w:cs="宋体"/>
                <w:b w:val="0"/>
                <w:bCs/>
                <w:color w:val="auto"/>
                <w:kern w:val="0"/>
                <w:sz w:val="24"/>
                <w:szCs w:val="24"/>
                <w:highlight w:val="none"/>
                <w:lang w:val="zh-CN" w:eastAsia="zh-CN" w:bidi="ar-SA"/>
              </w:rPr>
              <w:t>高级及以上职称的，</w:t>
            </w:r>
            <w:r>
              <w:rPr>
                <w:rFonts w:hint="eastAsia" w:ascii="宋体" w:hAnsi="宋体" w:eastAsia="宋体" w:cs="宋体"/>
                <w:b w:val="0"/>
                <w:bCs/>
                <w:color w:val="auto"/>
                <w:kern w:val="0"/>
                <w:sz w:val="24"/>
                <w:szCs w:val="24"/>
                <w:highlight w:val="none"/>
                <w:lang w:val="en-US" w:eastAsia="zh-CN" w:bidi="ar-SA"/>
              </w:rPr>
              <w:t>得4分；</w:t>
            </w:r>
          </w:p>
          <w:p>
            <w:pPr>
              <w:adjustRightInd/>
              <w:snapToGrid/>
              <w:spacing w:line="360" w:lineRule="auto"/>
              <w:ind w:firstLine="0" w:firstLineChars="0"/>
              <w:jc w:val="both"/>
              <w:rPr>
                <w:rFonts w:hint="eastAsia" w:ascii="宋体" w:hAnsi="宋体" w:eastAsia="宋体" w:cs="宋体"/>
                <w:color w:val="auto"/>
                <w:kern w:val="0"/>
                <w:sz w:val="24"/>
                <w:szCs w:val="24"/>
                <w:lang w:val="en-US" w:bidi="ar-SA"/>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color w:val="auto"/>
                <w:kern w:val="0"/>
                <w:sz w:val="24"/>
                <w:szCs w:val="24"/>
                <w:lang w:val="en-US" w:bidi="ar-SA"/>
              </w:rPr>
              <w:t>拟投入项目组成员中（不含项目负责人）具有</w:t>
            </w:r>
            <w:r>
              <w:rPr>
                <w:rFonts w:hint="eastAsia" w:ascii="宋体" w:hAnsi="宋体" w:eastAsia="宋体" w:cs="宋体"/>
                <w:color w:val="auto"/>
                <w:kern w:val="2"/>
                <w:sz w:val="24"/>
                <w:szCs w:val="24"/>
                <w:highlight w:val="none"/>
                <w:lang w:val="en-US" w:eastAsia="zh-CN" w:bidi="ar-SA"/>
              </w:rPr>
              <w:t>绿化工、花卉工、园艺师的</w:t>
            </w:r>
            <w:r>
              <w:rPr>
                <w:rFonts w:hint="eastAsia" w:ascii="宋体" w:hAnsi="宋体" w:eastAsia="宋体" w:cs="宋体"/>
                <w:color w:val="auto"/>
                <w:kern w:val="0"/>
                <w:sz w:val="24"/>
                <w:szCs w:val="24"/>
                <w:lang w:val="en-US" w:bidi="ar-SA"/>
              </w:rPr>
              <w:t>，每有一个得</w:t>
            </w: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bidi="ar-SA"/>
              </w:rPr>
              <w:t>分，</w:t>
            </w:r>
            <w:r>
              <w:rPr>
                <w:rFonts w:hint="eastAsia" w:ascii="宋体" w:hAnsi="宋体" w:eastAsia="宋体" w:cs="宋体"/>
                <w:color w:val="auto"/>
                <w:kern w:val="0"/>
                <w:sz w:val="24"/>
                <w:szCs w:val="24"/>
                <w:lang w:val="en-US" w:eastAsia="zh-CN" w:bidi="ar-SA"/>
              </w:rPr>
              <w:t>本项</w:t>
            </w:r>
            <w:r>
              <w:rPr>
                <w:rFonts w:hint="eastAsia" w:ascii="宋体" w:hAnsi="宋体" w:eastAsia="宋体" w:cs="宋体"/>
                <w:color w:val="auto"/>
                <w:kern w:val="0"/>
                <w:sz w:val="24"/>
                <w:szCs w:val="24"/>
                <w:lang w:val="en-US" w:bidi="ar-SA"/>
              </w:rPr>
              <w:t>最高得</w:t>
            </w:r>
            <w:r>
              <w:rPr>
                <w:rFonts w:hint="eastAsia" w:ascii="宋体" w:hAnsi="宋体" w:eastAsia="宋体" w:cs="宋体"/>
                <w:color w:val="auto"/>
                <w:kern w:val="0"/>
                <w:sz w:val="24"/>
                <w:szCs w:val="24"/>
                <w:lang w:val="en-US" w:eastAsia="zh-CN" w:bidi="ar-SA"/>
              </w:rPr>
              <w:t>10</w:t>
            </w:r>
            <w:r>
              <w:rPr>
                <w:rFonts w:hint="eastAsia" w:ascii="宋体" w:hAnsi="宋体" w:eastAsia="宋体" w:cs="宋体"/>
                <w:color w:val="auto"/>
                <w:kern w:val="0"/>
                <w:sz w:val="24"/>
                <w:szCs w:val="24"/>
                <w:lang w:val="en-US" w:bidi="ar-SA"/>
              </w:rPr>
              <w:t>分。</w:t>
            </w:r>
          </w:p>
          <w:p>
            <w:pPr>
              <w:widowControl w:val="0"/>
              <w:adjustRightInd/>
              <w:snapToGrid/>
              <w:spacing w:line="360" w:lineRule="auto"/>
              <w:ind w:firstLine="420" w:firstLineChars="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注：</w:t>
            </w:r>
            <w:r>
              <w:rPr>
                <w:rFonts w:hint="eastAsia" w:ascii="宋体" w:hAnsi="宋体" w:eastAsia="宋体" w:cs="宋体"/>
                <w:b/>
                <w:bCs/>
                <w:color w:val="auto"/>
                <w:kern w:val="2"/>
                <w:sz w:val="24"/>
                <w:szCs w:val="24"/>
                <w:highlight w:val="none"/>
                <w:lang w:val="en-US" w:eastAsia="zh-CN" w:bidi="ar-SA"/>
              </w:rPr>
              <w:t>以上人员不重复计分</w:t>
            </w:r>
            <w:r>
              <w:rPr>
                <w:rFonts w:hint="eastAsia" w:ascii="宋体" w:hAnsi="宋体" w:eastAsia="宋体" w:cs="宋体"/>
                <w:b/>
                <w:bCs/>
                <w:color w:val="auto"/>
                <w:kern w:val="2"/>
                <w:sz w:val="24"/>
                <w:szCs w:val="24"/>
                <w:highlight w:val="none"/>
                <w:lang w:val="en-US" w:bidi="ar-SA"/>
              </w:rPr>
              <w:t>。</w:t>
            </w:r>
            <w:r>
              <w:rPr>
                <w:rFonts w:hint="eastAsia" w:ascii="宋体" w:hAnsi="宋体" w:eastAsia="宋体" w:cs="宋体"/>
                <w:b/>
                <w:bCs/>
                <w:color w:val="auto"/>
                <w:kern w:val="2"/>
                <w:sz w:val="24"/>
                <w:szCs w:val="24"/>
                <w:highlight w:val="none"/>
                <w:lang w:val="en-US" w:eastAsia="zh-CN" w:bidi="ar-SA"/>
              </w:rPr>
              <w:t>投标人须</w:t>
            </w:r>
            <w:r>
              <w:rPr>
                <w:rFonts w:hint="eastAsia" w:ascii="宋体" w:hAnsi="宋体" w:eastAsia="宋体" w:cs="宋体"/>
                <w:b/>
                <w:bCs/>
                <w:color w:val="auto"/>
                <w:kern w:val="2"/>
                <w:sz w:val="24"/>
                <w:szCs w:val="24"/>
                <w:highlight w:val="none"/>
                <w:lang w:val="en-US" w:bidi="ar-SA"/>
              </w:rPr>
              <w:t>提供有效证书</w:t>
            </w:r>
            <w:r>
              <w:rPr>
                <w:rFonts w:hint="eastAsia" w:ascii="宋体" w:hAnsi="宋体" w:eastAsia="宋体" w:cs="宋体"/>
                <w:b/>
                <w:bCs/>
                <w:color w:val="auto"/>
                <w:kern w:val="2"/>
                <w:sz w:val="24"/>
                <w:szCs w:val="24"/>
                <w:highlight w:val="none"/>
                <w:lang w:val="en-US" w:eastAsia="zh-CN" w:bidi="ar-SA"/>
              </w:rPr>
              <w:t>原件</w:t>
            </w:r>
            <w:r>
              <w:rPr>
                <w:rFonts w:hint="eastAsia" w:ascii="宋体" w:hAnsi="宋体" w:eastAsia="宋体" w:cs="宋体"/>
                <w:b/>
                <w:bCs/>
                <w:color w:val="auto"/>
                <w:kern w:val="2"/>
                <w:sz w:val="24"/>
                <w:szCs w:val="24"/>
                <w:highlight w:val="none"/>
                <w:lang w:val="en-US" w:bidi="ar-SA"/>
              </w:rPr>
              <w:t>扫描件及</w:t>
            </w:r>
            <w:r>
              <w:rPr>
                <w:rFonts w:hint="eastAsia" w:ascii="宋体" w:hAnsi="宋体" w:eastAsia="宋体" w:cs="宋体"/>
                <w:b/>
                <w:bCs/>
                <w:color w:val="auto"/>
                <w:kern w:val="2"/>
                <w:sz w:val="24"/>
                <w:szCs w:val="24"/>
                <w:highlight w:val="none"/>
                <w:lang w:val="en-US" w:eastAsia="zh-CN" w:bidi="ar-SA"/>
              </w:rPr>
              <w:t>投标人</w:t>
            </w:r>
            <w:r>
              <w:rPr>
                <w:rFonts w:hint="eastAsia" w:ascii="宋体" w:hAnsi="宋体" w:eastAsia="宋体" w:cs="宋体"/>
                <w:b/>
                <w:bCs/>
                <w:color w:val="auto"/>
                <w:kern w:val="2"/>
                <w:sz w:val="24"/>
                <w:szCs w:val="24"/>
                <w:highlight w:val="none"/>
                <w:lang w:val="en-US" w:bidi="ar-SA"/>
              </w:rPr>
              <w:t>为其缴纳的</w:t>
            </w:r>
            <w:r>
              <w:rPr>
                <w:rFonts w:hint="eastAsia" w:ascii="宋体" w:hAnsi="宋体" w:eastAsia="宋体" w:cs="宋体"/>
                <w:b/>
                <w:bCs/>
                <w:i w:val="0"/>
                <w:iCs w:val="0"/>
                <w:color w:val="auto"/>
                <w:kern w:val="2"/>
                <w:sz w:val="24"/>
                <w:szCs w:val="24"/>
                <w:highlight w:val="none"/>
                <w:lang w:val="en-US" w:eastAsia="zh-CN" w:bidi="ar-SA"/>
              </w:rPr>
              <w:t>2025年1月至今任意一个月</w:t>
            </w:r>
            <w:r>
              <w:rPr>
                <w:rFonts w:hint="eastAsia" w:ascii="宋体" w:hAnsi="宋体" w:eastAsia="宋体" w:cs="宋体"/>
                <w:b/>
                <w:bCs/>
                <w:color w:val="auto"/>
                <w:kern w:val="2"/>
                <w:sz w:val="24"/>
                <w:szCs w:val="24"/>
                <w:highlight w:val="none"/>
                <w:lang w:val="en-US" w:bidi="ar-SA"/>
              </w:rPr>
              <w:t>由社保机构出具的社保缴纳证明（加盖社保中心章或社保中心参保缴费证明电子专用章）上传</w:t>
            </w:r>
            <w:r>
              <w:rPr>
                <w:rFonts w:hint="eastAsia" w:ascii="宋体" w:hAnsi="宋体" w:eastAsia="宋体" w:cs="宋体"/>
                <w:b/>
                <w:bCs/>
                <w:color w:val="auto"/>
                <w:kern w:val="2"/>
                <w:sz w:val="24"/>
                <w:szCs w:val="24"/>
                <w:highlight w:val="none"/>
                <w:lang w:val="en-US" w:eastAsia="zh-CN" w:bidi="ar-SA"/>
              </w:rPr>
              <w:t>至投标文件中</w:t>
            </w:r>
            <w:r>
              <w:rPr>
                <w:rFonts w:hint="eastAsia" w:ascii="宋体" w:hAnsi="宋体" w:eastAsia="宋体" w:cs="宋体"/>
                <w:b/>
                <w:bCs/>
                <w:color w:val="auto"/>
                <w:kern w:val="2"/>
                <w:sz w:val="24"/>
                <w:szCs w:val="24"/>
                <w:highlight w:val="none"/>
                <w:lang w:val="en-US" w:bidi="ar-SA"/>
              </w:rPr>
              <w:t>，以上材料未提供或材料不清晰导致无法辨别均不得分。</w:t>
            </w:r>
          </w:p>
          <w:p>
            <w:pPr>
              <w:widowControl w:val="0"/>
              <w:adjustRightInd/>
              <w:snapToGrid/>
              <w:spacing w:line="360" w:lineRule="auto"/>
              <w:ind w:left="0" w:leftChars="0" w:firstLine="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园林专业：指与园林绿化工程规划、设计、施工及养护管理相关的专业，包括园林（含园林规划设计、园林植物、风景园林、园林绿化等）、园艺、城市规划、景观、植物（含植保、森保等）、风景旅游、环境艺术等专业）。</w:t>
            </w:r>
          </w:p>
        </w:tc>
      </w:tr>
    </w:tbl>
    <w:p>
      <w:pPr>
        <w:spacing w:line="360" w:lineRule="auto"/>
        <w:jc w:val="left"/>
        <w:rPr>
          <w:rFonts w:ascii="宋体" w:hAnsi="宋体" w:eastAsia="宋体" w:cs="宋体"/>
          <w:b/>
          <w:color w:val="auto"/>
          <w:sz w:val="24"/>
          <w:szCs w:val="24"/>
          <w:highlight w:val="none"/>
        </w:rPr>
      </w:pPr>
    </w:p>
    <w:p>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3.技术部分（45分）</w:t>
      </w:r>
    </w:p>
    <w:tbl>
      <w:tblPr>
        <w:tblStyle w:val="18"/>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8"/>
        <w:gridCol w:w="712"/>
        <w:gridCol w:w="6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608" w:type="dxa"/>
            <w:noWrap w:val="0"/>
            <w:vAlign w:val="center"/>
          </w:tcPr>
          <w:p>
            <w:pPr>
              <w:pStyle w:val="15"/>
              <w:widowControl/>
              <w:tabs>
                <w:tab w:val="left" w:pos="720"/>
              </w:tabs>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评审内容</w:t>
            </w:r>
          </w:p>
        </w:tc>
        <w:tc>
          <w:tcPr>
            <w:tcW w:w="712" w:type="dxa"/>
            <w:noWrap w:val="0"/>
            <w:vAlign w:val="center"/>
          </w:tcPr>
          <w:p>
            <w:pPr>
              <w:pStyle w:val="15"/>
              <w:widowControl/>
              <w:tabs>
                <w:tab w:val="left" w:pos="720"/>
              </w:tabs>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分值</w:t>
            </w:r>
          </w:p>
        </w:tc>
        <w:tc>
          <w:tcPr>
            <w:tcW w:w="6071" w:type="dxa"/>
            <w:noWrap w:val="0"/>
            <w:vAlign w:val="center"/>
          </w:tcPr>
          <w:p>
            <w:pPr>
              <w:pStyle w:val="15"/>
              <w:widowControl/>
              <w:tabs>
                <w:tab w:val="left" w:pos="720"/>
              </w:tabs>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608" w:type="dxa"/>
            <w:noWrap w:val="0"/>
            <w:vAlign w:val="center"/>
          </w:tcPr>
          <w:p>
            <w:pPr>
              <w:pStyle w:val="15"/>
              <w:widowControl/>
              <w:tabs>
                <w:tab w:val="left" w:pos="720"/>
              </w:tabs>
              <w:spacing w:line="36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绿化养护及绿地管理实施方案</w:t>
            </w:r>
          </w:p>
        </w:tc>
        <w:tc>
          <w:tcPr>
            <w:tcW w:w="712" w:type="dxa"/>
            <w:noWrap w:val="0"/>
            <w:vAlign w:val="center"/>
          </w:tcPr>
          <w:p>
            <w:pPr>
              <w:pStyle w:val="15"/>
              <w:widowControl/>
              <w:tabs>
                <w:tab w:val="left" w:pos="720"/>
              </w:tabs>
              <w:spacing w:line="36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9</w:t>
            </w:r>
          </w:p>
        </w:tc>
        <w:tc>
          <w:tcPr>
            <w:tcW w:w="6071" w:type="dxa"/>
            <w:noWrap w:val="0"/>
            <w:vAlign w:val="center"/>
          </w:tcPr>
          <w:p>
            <w:pPr>
              <w:widowControl w:val="0"/>
              <w:spacing w:line="360" w:lineRule="auto"/>
              <w:ind w:firstLine="420"/>
              <w:jc w:val="left"/>
              <w:rPr>
                <w:rFonts w:hint="eastAsia" w:ascii="宋体" w:hAnsi="宋体" w:eastAsia="宋体" w:cs="宋体"/>
                <w:b w:val="0"/>
                <w:bCs w:val="0"/>
                <w:color w:val="auto"/>
                <w:sz w:val="24"/>
                <w:szCs w:val="24"/>
                <w:highlight w:val="none"/>
                <w:lang w:val="zh-CN" w:bidi="ar-SA"/>
              </w:rPr>
            </w:pPr>
            <w:r>
              <w:rPr>
                <w:rFonts w:hint="eastAsia" w:ascii="宋体" w:hAnsi="宋体" w:eastAsia="宋体" w:cs="宋体"/>
                <w:color w:val="auto"/>
                <w:sz w:val="24"/>
                <w:szCs w:val="24"/>
                <w:highlight w:val="none"/>
                <w:lang w:val="en-US" w:eastAsia="zh-CN" w:bidi="ar-SA"/>
              </w:rPr>
              <w:t>根据投标人制定绿化养护</w:t>
            </w:r>
            <w:r>
              <w:rPr>
                <w:rFonts w:hint="eastAsia" w:ascii="宋体" w:hAnsi="宋体" w:eastAsia="宋体" w:cs="宋体"/>
                <w:color w:val="auto"/>
                <w:sz w:val="24"/>
                <w:szCs w:val="24"/>
                <w:highlight w:val="none"/>
                <w:lang w:val="zh-CN" w:bidi="ar-SA"/>
              </w:rPr>
              <w:t>包括乔灌草修剪、日常养护等内容制定绿化养护月历</w:t>
            </w:r>
            <w:r>
              <w:rPr>
                <w:rFonts w:hint="eastAsia" w:ascii="宋体" w:hAnsi="宋体" w:eastAsia="宋体" w:cs="宋体"/>
                <w:b w:val="0"/>
                <w:bCs w:val="0"/>
                <w:color w:val="auto"/>
                <w:sz w:val="24"/>
                <w:szCs w:val="24"/>
                <w:highlight w:val="none"/>
                <w:lang w:val="zh-CN" w:bidi="ar-SA"/>
              </w:rPr>
              <w:t>、以及</w:t>
            </w:r>
            <w:r>
              <w:rPr>
                <w:rFonts w:hint="eastAsia" w:ascii="宋体" w:hAnsi="宋体" w:eastAsia="宋体" w:cs="宋体"/>
                <w:b w:val="0"/>
                <w:bCs w:val="0"/>
                <w:color w:val="auto"/>
                <w:sz w:val="24"/>
                <w:szCs w:val="24"/>
                <w:highlight w:val="none"/>
                <w:lang w:val="en-US" w:eastAsia="zh-CN"/>
              </w:rPr>
              <w:t>绿地管理实施方案</w:t>
            </w:r>
            <w:r>
              <w:rPr>
                <w:rFonts w:hint="eastAsia" w:ascii="宋体" w:hAnsi="宋体" w:eastAsia="宋体" w:cs="宋体"/>
                <w:b w:val="0"/>
                <w:bCs w:val="0"/>
                <w:color w:val="auto"/>
                <w:sz w:val="24"/>
                <w:szCs w:val="24"/>
                <w:highlight w:val="none"/>
                <w:lang w:val="en-US" w:eastAsia="zh-CN" w:bidi="ar-SA"/>
              </w:rPr>
              <w:t>进行综合评审：</w:t>
            </w:r>
          </w:p>
          <w:p>
            <w:pPr>
              <w:keepNext w:val="0"/>
              <w:keepLines w:val="0"/>
              <w:pageBreakBefore w:val="0"/>
              <w:widowControl w:val="0"/>
              <w:spacing w:line="360" w:lineRule="auto"/>
              <w:ind w:left="0" w:firstLine="0"/>
              <w:jc w:val="left"/>
              <w:rPr>
                <w:rFonts w:hint="eastAsia" w:ascii="宋体" w:hAnsi="宋体" w:eastAsia="宋体" w:cs="宋体"/>
                <w:color w:val="auto"/>
                <w:sz w:val="24"/>
                <w:szCs w:val="24"/>
                <w:highlight w:val="none"/>
                <w:lang w:val="zh-CN" w:bidi="ar-SA"/>
              </w:rPr>
            </w:pPr>
            <w:r>
              <w:rPr>
                <w:rFonts w:hint="eastAsia" w:ascii="宋体" w:hAnsi="宋体" w:eastAsia="宋体" w:cs="宋体"/>
                <w:color w:val="auto"/>
                <w:sz w:val="24"/>
                <w:szCs w:val="24"/>
                <w:highlight w:val="none"/>
                <w:lang w:val="en-US" w:bidi="ar-SA"/>
              </w:rPr>
              <w:t>方案</w:t>
            </w:r>
            <w:r>
              <w:rPr>
                <w:rFonts w:hint="eastAsia" w:ascii="宋体" w:hAnsi="宋体" w:eastAsia="宋体" w:cs="宋体"/>
                <w:color w:val="auto"/>
                <w:sz w:val="24"/>
                <w:szCs w:val="24"/>
                <w:highlight w:val="none"/>
                <w:lang w:val="zh-CN" w:bidi="ar-SA"/>
              </w:rPr>
              <w:t>内容</w:t>
            </w:r>
            <w:r>
              <w:rPr>
                <w:rFonts w:hint="eastAsia" w:ascii="宋体" w:hAnsi="宋体" w:eastAsia="宋体" w:cs="宋体"/>
                <w:color w:val="auto"/>
                <w:sz w:val="24"/>
                <w:szCs w:val="24"/>
                <w:highlight w:val="none"/>
                <w:lang w:val="en-US" w:bidi="ar-SA"/>
              </w:rPr>
              <w:t>非常</w:t>
            </w:r>
            <w:r>
              <w:rPr>
                <w:rFonts w:hint="eastAsia" w:ascii="宋体" w:hAnsi="宋体" w:eastAsia="宋体" w:cs="宋体"/>
                <w:color w:val="auto"/>
                <w:sz w:val="24"/>
                <w:szCs w:val="24"/>
                <w:highlight w:val="none"/>
                <w:lang w:val="zh-CN" w:bidi="ar-SA"/>
              </w:rPr>
              <w:t>全面、合理</w:t>
            </w:r>
            <w:r>
              <w:rPr>
                <w:rFonts w:hint="eastAsia" w:ascii="宋体" w:hAnsi="宋体" w:eastAsia="宋体" w:cs="宋体"/>
                <w:color w:val="auto"/>
                <w:sz w:val="24"/>
                <w:szCs w:val="24"/>
                <w:highlight w:val="none"/>
                <w:lang w:val="en-US" w:bidi="ar-SA"/>
              </w:rPr>
              <w:t>得当</w:t>
            </w:r>
            <w:r>
              <w:rPr>
                <w:rFonts w:hint="eastAsia" w:ascii="宋体" w:hAnsi="宋体" w:eastAsia="宋体" w:cs="宋体"/>
                <w:color w:val="auto"/>
                <w:sz w:val="24"/>
                <w:szCs w:val="24"/>
                <w:highlight w:val="none"/>
                <w:lang w:val="zh-CN" w:bidi="ar-SA"/>
              </w:rPr>
              <w:t>、重点突出、针对性强、</w:t>
            </w:r>
            <w:r>
              <w:rPr>
                <w:rFonts w:hint="eastAsia" w:ascii="宋体" w:hAnsi="宋体" w:eastAsia="宋体" w:cs="宋体"/>
                <w:color w:val="auto"/>
                <w:sz w:val="24"/>
                <w:szCs w:val="24"/>
                <w:highlight w:val="none"/>
                <w:lang w:val="en-US" w:bidi="ar-SA"/>
              </w:rPr>
              <w:t>符合实际需求的</w:t>
            </w:r>
            <w:r>
              <w:rPr>
                <w:rFonts w:hint="eastAsia" w:ascii="宋体" w:hAnsi="宋体" w:eastAsia="宋体" w:cs="宋体"/>
                <w:color w:val="auto"/>
                <w:sz w:val="24"/>
                <w:szCs w:val="24"/>
                <w:highlight w:val="none"/>
                <w:lang w:val="zh-CN" w:bidi="ar-SA"/>
              </w:rPr>
              <w:t>得</w:t>
            </w:r>
            <w:r>
              <w:rPr>
                <w:rFonts w:hint="eastAsia" w:ascii="宋体" w:hAnsi="宋体" w:eastAsia="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zh-CN" w:bidi="ar-SA"/>
              </w:rPr>
              <w:t>分；</w:t>
            </w:r>
          </w:p>
          <w:p>
            <w:pPr>
              <w:keepNext w:val="0"/>
              <w:keepLines w:val="0"/>
              <w:pageBreakBefore w:val="0"/>
              <w:widowControl w:val="0"/>
              <w:spacing w:line="360" w:lineRule="auto"/>
              <w:ind w:left="0" w:firstLine="0"/>
              <w:jc w:val="left"/>
              <w:rPr>
                <w:rFonts w:hint="eastAsia" w:ascii="宋体" w:hAnsi="宋体" w:eastAsia="宋体" w:cs="宋体"/>
                <w:color w:val="auto"/>
                <w:sz w:val="24"/>
                <w:szCs w:val="24"/>
                <w:highlight w:val="none"/>
                <w:lang w:val="zh-CN" w:bidi="ar-SA"/>
              </w:rPr>
            </w:pPr>
            <w:r>
              <w:rPr>
                <w:rFonts w:hint="eastAsia" w:ascii="宋体" w:hAnsi="宋体" w:eastAsia="宋体" w:cs="宋体"/>
                <w:color w:val="auto"/>
                <w:sz w:val="24"/>
                <w:szCs w:val="24"/>
                <w:highlight w:val="none"/>
                <w:lang w:val="en-US" w:bidi="ar-SA"/>
              </w:rPr>
              <w:t>方案</w:t>
            </w:r>
            <w:r>
              <w:rPr>
                <w:rFonts w:hint="eastAsia" w:ascii="宋体" w:hAnsi="宋体" w:eastAsia="宋体" w:cs="宋体"/>
                <w:color w:val="auto"/>
                <w:sz w:val="24"/>
                <w:szCs w:val="24"/>
                <w:highlight w:val="none"/>
                <w:lang w:val="zh-CN" w:bidi="ar-SA"/>
              </w:rPr>
              <w:t>内容</w:t>
            </w:r>
            <w:r>
              <w:rPr>
                <w:rFonts w:hint="eastAsia" w:ascii="宋体" w:hAnsi="宋体" w:eastAsia="宋体" w:cs="宋体"/>
                <w:color w:val="auto"/>
                <w:sz w:val="24"/>
                <w:szCs w:val="24"/>
                <w:highlight w:val="none"/>
                <w:lang w:val="en-US" w:bidi="ar-SA"/>
              </w:rPr>
              <w:t>较为</w:t>
            </w:r>
            <w:r>
              <w:rPr>
                <w:rFonts w:hint="eastAsia" w:ascii="宋体" w:hAnsi="宋体" w:eastAsia="宋体" w:cs="宋体"/>
                <w:color w:val="auto"/>
                <w:sz w:val="24"/>
                <w:szCs w:val="24"/>
                <w:highlight w:val="none"/>
                <w:lang w:val="zh-CN" w:bidi="ar-SA"/>
              </w:rPr>
              <w:t>全面、</w:t>
            </w:r>
            <w:r>
              <w:rPr>
                <w:rFonts w:hint="eastAsia" w:ascii="宋体" w:hAnsi="宋体" w:eastAsia="宋体" w:cs="宋体"/>
                <w:color w:val="auto"/>
                <w:sz w:val="24"/>
                <w:szCs w:val="24"/>
                <w:highlight w:val="none"/>
                <w:lang w:val="en-US" w:bidi="ar-SA"/>
              </w:rPr>
              <w:t>较为</w:t>
            </w:r>
            <w:r>
              <w:rPr>
                <w:rFonts w:hint="eastAsia" w:ascii="宋体" w:hAnsi="宋体" w:eastAsia="宋体" w:cs="宋体"/>
                <w:color w:val="auto"/>
                <w:sz w:val="24"/>
                <w:szCs w:val="24"/>
                <w:highlight w:val="none"/>
                <w:lang w:val="zh-CN" w:bidi="ar-SA"/>
              </w:rPr>
              <w:t>合理</w:t>
            </w:r>
            <w:r>
              <w:rPr>
                <w:rFonts w:hint="eastAsia" w:ascii="宋体" w:hAnsi="宋体" w:eastAsia="宋体" w:cs="宋体"/>
                <w:color w:val="auto"/>
                <w:sz w:val="24"/>
                <w:szCs w:val="24"/>
                <w:highlight w:val="none"/>
                <w:lang w:val="en-US" w:bidi="ar-SA"/>
              </w:rPr>
              <w:t>得当</w:t>
            </w:r>
            <w:r>
              <w:rPr>
                <w:rFonts w:hint="eastAsia" w:ascii="宋体" w:hAnsi="宋体" w:eastAsia="宋体" w:cs="宋体"/>
                <w:color w:val="auto"/>
                <w:sz w:val="24"/>
                <w:szCs w:val="24"/>
                <w:highlight w:val="none"/>
                <w:lang w:val="zh-CN" w:bidi="ar-SA"/>
              </w:rPr>
              <w:t>、</w:t>
            </w:r>
            <w:r>
              <w:rPr>
                <w:rFonts w:hint="eastAsia" w:ascii="宋体" w:hAnsi="宋体" w:eastAsia="宋体" w:cs="宋体"/>
                <w:color w:val="auto"/>
                <w:sz w:val="24"/>
                <w:szCs w:val="24"/>
                <w:highlight w:val="none"/>
                <w:lang w:val="en-US" w:bidi="ar-SA"/>
              </w:rPr>
              <w:t>较</w:t>
            </w:r>
            <w:r>
              <w:rPr>
                <w:rFonts w:hint="eastAsia" w:ascii="宋体" w:hAnsi="宋体" w:eastAsia="宋体" w:cs="宋体"/>
                <w:color w:val="auto"/>
                <w:sz w:val="24"/>
                <w:szCs w:val="24"/>
                <w:highlight w:val="none"/>
                <w:lang w:val="zh-CN" w:bidi="ar-SA"/>
              </w:rPr>
              <w:t>重点突出、针对性</w:t>
            </w:r>
            <w:r>
              <w:rPr>
                <w:rFonts w:hint="eastAsia" w:ascii="宋体" w:hAnsi="宋体" w:eastAsia="宋体" w:cs="宋体"/>
                <w:color w:val="auto"/>
                <w:sz w:val="24"/>
                <w:szCs w:val="24"/>
                <w:highlight w:val="none"/>
                <w:lang w:val="en-US" w:bidi="ar-SA"/>
              </w:rPr>
              <w:t>较</w:t>
            </w:r>
            <w:r>
              <w:rPr>
                <w:rFonts w:hint="eastAsia" w:ascii="宋体" w:hAnsi="宋体" w:eastAsia="宋体" w:cs="宋体"/>
                <w:color w:val="auto"/>
                <w:sz w:val="24"/>
                <w:szCs w:val="24"/>
                <w:highlight w:val="none"/>
                <w:lang w:val="zh-CN" w:bidi="ar-SA"/>
              </w:rPr>
              <w:t>强、</w:t>
            </w:r>
            <w:r>
              <w:rPr>
                <w:rFonts w:hint="eastAsia" w:ascii="宋体" w:hAnsi="宋体" w:eastAsia="宋体" w:cs="宋体"/>
                <w:color w:val="auto"/>
                <w:sz w:val="24"/>
                <w:szCs w:val="24"/>
                <w:highlight w:val="none"/>
                <w:lang w:val="en-US" w:bidi="ar-SA"/>
              </w:rPr>
              <w:t>较符合实际需求的</w:t>
            </w:r>
            <w:r>
              <w:rPr>
                <w:rFonts w:hint="eastAsia" w:ascii="宋体" w:hAnsi="宋体" w:eastAsia="宋体" w:cs="宋体"/>
                <w:color w:val="auto"/>
                <w:sz w:val="24"/>
                <w:szCs w:val="24"/>
                <w:highlight w:val="none"/>
                <w:lang w:val="zh-CN" w:bidi="ar-SA"/>
              </w:rPr>
              <w:t>得</w:t>
            </w: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zh-CN" w:bidi="ar-SA"/>
              </w:rPr>
              <w:t>分；</w:t>
            </w:r>
          </w:p>
          <w:p>
            <w:pPr>
              <w:keepNext w:val="0"/>
              <w:keepLines w:val="0"/>
              <w:pageBreakBefore w:val="0"/>
              <w:widowControl w:val="0"/>
              <w:spacing w:line="360" w:lineRule="auto"/>
              <w:ind w:left="0" w:firstLine="0"/>
              <w:jc w:val="left"/>
              <w:rPr>
                <w:rFonts w:hint="eastAsia" w:ascii="宋体" w:hAnsi="宋体" w:eastAsia="宋体" w:cs="宋体"/>
                <w:color w:val="auto"/>
                <w:sz w:val="24"/>
                <w:szCs w:val="24"/>
                <w:highlight w:val="none"/>
                <w:lang w:val="zh-CN" w:bidi="ar-SA"/>
              </w:rPr>
            </w:pPr>
            <w:r>
              <w:rPr>
                <w:rFonts w:hint="eastAsia" w:ascii="宋体" w:hAnsi="宋体" w:eastAsia="宋体" w:cs="宋体"/>
                <w:color w:val="auto"/>
                <w:sz w:val="24"/>
                <w:szCs w:val="24"/>
                <w:highlight w:val="none"/>
                <w:lang w:val="en-US" w:bidi="ar-SA"/>
              </w:rPr>
              <w:t>方案</w:t>
            </w:r>
            <w:r>
              <w:rPr>
                <w:rFonts w:hint="eastAsia" w:ascii="宋体" w:hAnsi="宋体" w:eastAsia="宋体" w:cs="宋体"/>
                <w:color w:val="auto"/>
                <w:sz w:val="24"/>
                <w:szCs w:val="24"/>
                <w:highlight w:val="none"/>
                <w:lang w:val="zh-CN" w:bidi="ar-SA"/>
              </w:rPr>
              <w:t>内容</w:t>
            </w:r>
            <w:r>
              <w:rPr>
                <w:rFonts w:hint="eastAsia" w:ascii="宋体" w:hAnsi="宋体" w:eastAsia="宋体" w:cs="宋体"/>
                <w:color w:val="auto"/>
                <w:sz w:val="24"/>
                <w:szCs w:val="24"/>
                <w:highlight w:val="none"/>
                <w:lang w:val="en-US" w:bidi="ar-SA"/>
              </w:rPr>
              <w:t>基本</w:t>
            </w:r>
            <w:r>
              <w:rPr>
                <w:rFonts w:hint="eastAsia" w:ascii="宋体" w:hAnsi="宋体" w:eastAsia="宋体" w:cs="宋体"/>
                <w:color w:val="auto"/>
                <w:sz w:val="24"/>
                <w:szCs w:val="24"/>
                <w:highlight w:val="none"/>
                <w:lang w:val="zh-CN" w:bidi="ar-SA"/>
              </w:rPr>
              <w:t>全面、</w:t>
            </w:r>
            <w:r>
              <w:rPr>
                <w:rFonts w:hint="eastAsia" w:ascii="宋体" w:hAnsi="宋体" w:eastAsia="宋体" w:cs="宋体"/>
                <w:color w:val="auto"/>
                <w:sz w:val="24"/>
                <w:szCs w:val="24"/>
                <w:highlight w:val="none"/>
                <w:lang w:val="en-US" w:bidi="ar-SA"/>
              </w:rPr>
              <w:t>基本</w:t>
            </w:r>
            <w:r>
              <w:rPr>
                <w:rFonts w:hint="eastAsia" w:ascii="宋体" w:hAnsi="宋体" w:eastAsia="宋体" w:cs="宋体"/>
                <w:color w:val="auto"/>
                <w:sz w:val="24"/>
                <w:szCs w:val="24"/>
                <w:highlight w:val="none"/>
                <w:lang w:val="zh-CN" w:bidi="ar-SA"/>
              </w:rPr>
              <w:t>合理、</w:t>
            </w:r>
            <w:r>
              <w:rPr>
                <w:rFonts w:hint="eastAsia" w:ascii="宋体" w:hAnsi="宋体" w:eastAsia="宋体" w:cs="宋体"/>
                <w:color w:val="auto"/>
                <w:sz w:val="24"/>
                <w:szCs w:val="24"/>
                <w:highlight w:val="none"/>
                <w:lang w:val="en-US" w:bidi="ar-SA"/>
              </w:rPr>
              <w:t>基本符合实际需求的</w:t>
            </w:r>
            <w:r>
              <w:rPr>
                <w:rFonts w:hint="eastAsia" w:ascii="宋体" w:hAnsi="宋体" w:eastAsia="宋体" w:cs="宋体"/>
                <w:color w:val="auto"/>
                <w:sz w:val="24"/>
                <w:szCs w:val="24"/>
                <w:highlight w:val="none"/>
                <w:lang w:val="zh-CN" w:bidi="ar-SA"/>
              </w:rPr>
              <w:t>得</w:t>
            </w: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zh-CN" w:bidi="ar-SA"/>
              </w:rPr>
              <w:t>分；</w:t>
            </w:r>
          </w:p>
          <w:p>
            <w:pPr>
              <w:pStyle w:val="15"/>
              <w:widowControl/>
              <w:tabs>
                <w:tab w:val="left" w:pos="720"/>
              </w:tabs>
              <w:spacing w:line="36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bidi="ar-SA"/>
              </w:rPr>
              <w:t>未见阐述不得分</w:t>
            </w:r>
            <w:r>
              <w:rPr>
                <w:rFonts w:hint="eastAsia" w:ascii="宋体" w:hAnsi="宋体" w:eastAsia="宋体" w:cs="宋体"/>
                <w:b/>
                <w:bCs/>
                <w:color w:val="auto"/>
                <w:sz w:val="24"/>
                <w:szCs w:val="24"/>
                <w:highlight w:val="none"/>
                <w:lang w:val="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608" w:type="dxa"/>
            <w:noWrap w:val="0"/>
            <w:vAlign w:val="center"/>
          </w:tcPr>
          <w:p>
            <w:pPr>
              <w:pStyle w:val="15"/>
              <w:widowControl/>
              <w:tabs>
                <w:tab w:val="left" w:pos="720"/>
              </w:tabs>
              <w:spacing w:line="36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树木养护重难点及措施</w:t>
            </w:r>
          </w:p>
        </w:tc>
        <w:tc>
          <w:tcPr>
            <w:tcW w:w="712" w:type="dxa"/>
            <w:noWrap w:val="0"/>
            <w:vAlign w:val="center"/>
          </w:tcPr>
          <w:p>
            <w:pPr>
              <w:pStyle w:val="15"/>
              <w:widowControl/>
              <w:tabs>
                <w:tab w:val="left" w:pos="720"/>
              </w:tabs>
              <w:spacing w:line="36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9</w:t>
            </w:r>
          </w:p>
        </w:tc>
        <w:tc>
          <w:tcPr>
            <w:tcW w:w="6071" w:type="dxa"/>
            <w:noWrap w:val="0"/>
            <w:vAlign w:val="center"/>
          </w:tcPr>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根据投标人制定树木养护技术实施的重点、难点及措施解决方案进行综合评审：</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树木养护技术方案科学合理，重点突出，树木养护重点难点分析、应对措施和合理化建议针对性强的得9分；</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树木养护技术方案基本科学合理，重点突出，树木养护重点难点分析、应对措施和合理化建议针对性较强的得6分；</w:t>
            </w:r>
          </w:p>
          <w:p>
            <w:pPr>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树木养护技术方案能满足基本要求，树木养护重点难点分析、应对措施和合理化建议针对性一般的得3分；</w:t>
            </w:r>
          </w:p>
          <w:p>
            <w:pPr>
              <w:pStyle w:val="15"/>
              <w:widowControl/>
              <w:tabs>
                <w:tab w:val="left" w:pos="720"/>
              </w:tabs>
              <w:spacing w:line="36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608" w:type="dxa"/>
            <w:noWrap w:val="0"/>
            <w:vAlign w:val="center"/>
          </w:tcPr>
          <w:p>
            <w:pPr>
              <w:pStyle w:val="15"/>
              <w:widowControl/>
              <w:tabs>
                <w:tab w:val="left" w:pos="720"/>
              </w:tabs>
              <w:spacing w:line="36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灾害性天气和突发事件应对预案</w:t>
            </w:r>
          </w:p>
        </w:tc>
        <w:tc>
          <w:tcPr>
            <w:tcW w:w="712" w:type="dxa"/>
            <w:noWrap w:val="0"/>
            <w:vAlign w:val="center"/>
          </w:tcPr>
          <w:p>
            <w:pPr>
              <w:pStyle w:val="15"/>
              <w:widowControl/>
              <w:tabs>
                <w:tab w:val="left" w:pos="720"/>
              </w:tabs>
              <w:spacing w:line="36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9</w:t>
            </w:r>
          </w:p>
        </w:tc>
        <w:tc>
          <w:tcPr>
            <w:tcW w:w="6071" w:type="dxa"/>
            <w:noWrap w:val="0"/>
            <w:vAlign w:val="center"/>
          </w:tcPr>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根据投标人制定重大节日、创建检查、突发性工作、</w:t>
            </w:r>
            <w:r>
              <w:rPr>
                <w:rFonts w:hint="eastAsia" w:ascii="宋体" w:hAnsi="宋体" w:eastAsia="宋体" w:cs="宋体"/>
                <w:color w:val="auto"/>
                <w:sz w:val="24"/>
                <w:szCs w:val="24"/>
                <w:highlight w:val="none"/>
                <w:lang w:val="en-US" w:eastAsia="zh-CN" w:bidi="ar-SA"/>
              </w:rPr>
              <w:t>特殊天气（台风、汛期、冰雪、极寒、冬季火灾等天气）</w:t>
            </w:r>
            <w:r>
              <w:rPr>
                <w:rFonts w:hint="eastAsia" w:ascii="宋体" w:hAnsi="宋体" w:eastAsia="宋体" w:cs="宋体"/>
                <w:bCs/>
                <w:color w:val="auto"/>
                <w:sz w:val="24"/>
                <w:szCs w:val="24"/>
                <w:highlight w:val="none"/>
                <w:lang w:val="en-US" w:eastAsia="zh-CN" w:bidi="ar-SA"/>
              </w:rPr>
              <w:t>等应急情况的分析，处理方案进行综合评审：</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对重大节日、创建检查、突发性工作、</w:t>
            </w:r>
            <w:r>
              <w:rPr>
                <w:rFonts w:hint="eastAsia" w:ascii="宋体" w:hAnsi="宋体" w:eastAsia="宋体" w:cs="宋体"/>
                <w:color w:val="auto"/>
                <w:sz w:val="24"/>
                <w:szCs w:val="24"/>
                <w:highlight w:val="none"/>
                <w:lang w:val="en-US" w:eastAsia="zh-CN" w:bidi="ar-SA"/>
              </w:rPr>
              <w:t>特殊天气（台风、汛期、冰雪、极寒、冬季火灾等天气）</w:t>
            </w:r>
            <w:r>
              <w:rPr>
                <w:rFonts w:hint="eastAsia" w:ascii="宋体" w:hAnsi="宋体" w:eastAsia="宋体" w:cs="宋体"/>
                <w:bCs/>
                <w:color w:val="auto"/>
                <w:sz w:val="24"/>
                <w:szCs w:val="24"/>
                <w:highlight w:val="none"/>
                <w:lang w:val="en-US" w:eastAsia="zh-CN" w:bidi="ar-SA"/>
              </w:rPr>
              <w:t>等应急情况的分析，处理方案具有针对性，科学合理，可实施性强得9分；</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重大节日、创建检查、突发性工作、</w:t>
            </w:r>
            <w:r>
              <w:rPr>
                <w:rFonts w:hint="eastAsia" w:ascii="宋体" w:hAnsi="宋体" w:eastAsia="宋体" w:cs="宋体"/>
                <w:color w:val="auto"/>
                <w:sz w:val="24"/>
                <w:szCs w:val="24"/>
                <w:highlight w:val="none"/>
                <w:lang w:val="en-US" w:eastAsia="zh-CN" w:bidi="ar-SA"/>
              </w:rPr>
              <w:t>特殊天气（台风、汛期、冰雪、极寒、冬季火灾等天气）</w:t>
            </w:r>
            <w:r>
              <w:rPr>
                <w:rFonts w:hint="eastAsia" w:ascii="宋体" w:hAnsi="宋体" w:eastAsia="宋体" w:cs="宋体"/>
                <w:bCs/>
                <w:color w:val="auto"/>
                <w:sz w:val="24"/>
                <w:szCs w:val="24"/>
                <w:highlight w:val="none"/>
                <w:lang w:val="en-US" w:eastAsia="zh-CN" w:bidi="ar-SA"/>
              </w:rPr>
              <w:t>等应急情况的分析，处理方案针对性较强，基本科学合理，可实施性较强得6分；</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重大节日、创建检查、突发性工作、</w:t>
            </w:r>
            <w:r>
              <w:rPr>
                <w:rFonts w:hint="eastAsia" w:ascii="宋体" w:hAnsi="宋体" w:eastAsia="宋体" w:cs="宋体"/>
                <w:color w:val="auto"/>
                <w:sz w:val="24"/>
                <w:szCs w:val="24"/>
                <w:highlight w:val="none"/>
                <w:lang w:val="en-US" w:eastAsia="zh-CN" w:bidi="ar-SA"/>
              </w:rPr>
              <w:t>特殊天气（台风、汛期、冰雪、极寒、冬季火灾等天气）</w:t>
            </w:r>
            <w:r>
              <w:rPr>
                <w:rFonts w:hint="eastAsia" w:ascii="宋体" w:hAnsi="宋体" w:eastAsia="宋体" w:cs="宋体"/>
                <w:bCs/>
                <w:color w:val="auto"/>
                <w:sz w:val="24"/>
                <w:szCs w:val="24"/>
                <w:highlight w:val="none"/>
                <w:lang w:val="en-US" w:eastAsia="zh-CN" w:bidi="ar-SA"/>
              </w:rPr>
              <w:t>等应急情况的分析，处理方案针对性一般，基本科学合理，可实施性一般得3分；</w:t>
            </w:r>
          </w:p>
          <w:p>
            <w:pPr>
              <w:pStyle w:val="15"/>
              <w:widowControl/>
              <w:tabs>
                <w:tab w:val="left" w:pos="720"/>
              </w:tabs>
              <w:spacing w:line="36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608" w:type="dxa"/>
            <w:noWrap w:val="0"/>
            <w:vAlign w:val="center"/>
          </w:tcPr>
          <w:p>
            <w:pPr>
              <w:pStyle w:val="15"/>
              <w:widowControl/>
              <w:tabs>
                <w:tab w:val="left" w:pos="720"/>
              </w:tabs>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设备设施日常维护方案</w:t>
            </w:r>
          </w:p>
        </w:tc>
        <w:tc>
          <w:tcPr>
            <w:tcW w:w="712" w:type="dxa"/>
            <w:noWrap w:val="0"/>
            <w:vAlign w:val="center"/>
          </w:tcPr>
          <w:p>
            <w:pPr>
              <w:pStyle w:val="15"/>
              <w:widowControl/>
              <w:tabs>
                <w:tab w:val="left" w:pos="720"/>
              </w:tabs>
              <w:spacing w:line="36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9</w:t>
            </w:r>
          </w:p>
        </w:tc>
        <w:tc>
          <w:tcPr>
            <w:tcW w:w="6071" w:type="dxa"/>
            <w:noWrap w:val="0"/>
            <w:vAlign w:val="center"/>
          </w:tcPr>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根据投标人制定提供的设施维修，老化与损坏设施更换计划进行综合评审：</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相关设施维修、老化与损坏设施更换计划科学合理，可实施性强的得9分；</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相关设施维修、老化与损坏设施更换计划基本合理，可实施性较强的得6分；</w:t>
            </w:r>
          </w:p>
          <w:p>
            <w:pPr>
              <w:widowControl w:val="0"/>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相关设施维修、老化与损坏设施更换计划可满足基本要求，可实施性较一般的得3分。</w:t>
            </w:r>
          </w:p>
          <w:p>
            <w:pPr>
              <w:pStyle w:val="15"/>
              <w:widowControl/>
              <w:tabs>
                <w:tab w:val="left" w:pos="720"/>
              </w:tabs>
              <w:spacing w:line="360" w:lineRule="auto"/>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608" w:type="dxa"/>
            <w:noWrap w:val="0"/>
            <w:vAlign w:val="center"/>
          </w:tcPr>
          <w:p>
            <w:pPr>
              <w:pStyle w:val="15"/>
              <w:widowControl/>
              <w:tabs>
                <w:tab w:val="left" w:pos="720"/>
              </w:tabs>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安全、文明养护施工方案</w:t>
            </w:r>
          </w:p>
        </w:tc>
        <w:tc>
          <w:tcPr>
            <w:tcW w:w="712" w:type="dxa"/>
            <w:noWrap w:val="0"/>
            <w:vAlign w:val="center"/>
          </w:tcPr>
          <w:p>
            <w:pPr>
              <w:pStyle w:val="15"/>
              <w:widowControl/>
              <w:tabs>
                <w:tab w:val="left" w:pos="720"/>
              </w:tabs>
              <w:spacing w:line="36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9</w:t>
            </w:r>
          </w:p>
        </w:tc>
        <w:tc>
          <w:tcPr>
            <w:tcW w:w="6071" w:type="dxa"/>
            <w:noWrap w:val="0"/>
            <w:vAlign w:val="center"/>
          </w:tcPr>
          <w:p>
            <w:pPr>
              <w:keepNext w:val="0"/>
              <w:keepLines w:val="0"/>
              <w:pageBreakBefore w:val="0"/>
              <w:widowControl/>
              <w:spacing w:line="360" w:lineRule="auto"/>
              <w:ind w:firstLine="24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根据投标人</w:t>
            </w:r>
            <w:r>
              <w:rPr>
                <w:rFonts w:hint="eastAsia" w:ascii="宋体" w:hAnsi="宋体" w:eastAsia="宋体" w:cs="宋体"/>
                <w:color w:val="auto"/>
                <w:sz w:val="24"/>
                <w:szCs w:val="24"/>
                <w:highlight w:val="none"/>
                <w:lang w:val="en-US" w:bidi="ar-SA"/>
              </w:rPr>
              <w:t>制定安全文明管理方案，包含文明养护及环保措施，机械、车辆管理，用电管理，现场防火，督察检查、废水废渣的管理、协调内外关系、施工场地设施卫生管理等相关管理及保障措施</w:t>
            </w:r>
            <w:r>
              <w:rPr>
                <w:rFonts w:hint="eastAsia" w:ascii="宋体" w:hAnsi="宋体" w:eastAsia="宋体" w:cs="宋体"/>
                <w:bCs/>
                <w:color w:val="auto"/>
                <w:sz w:val="24"/>
                <w:szCs w:val="24"/>
                <w:highlight w:val="none"/>
                <w:lang w:val="en-US" w:eastAsia="zh-CN" w:bidi="ar-SA"/>
              </w:rPr>
              <w:t>进行综合评审：</w:t>
            </w:r>
          </w:p>
          <w:p>
            <w:pPr>
              <w:widowControl/>
              <w:tabs>
                <w:tab w:val="left" w:pos="720"/>
              </w:tabs>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安全文明作业及环境保护措施具体有效，可操作性强，优化合理得9分；</w:t>
            </w:r>
          </w:p>
          <w:p>
            <w:pPr>
              <w:widowControl/>
              <w:tabs>
                <w:tab w:val="left" w:pos="720"/>
              </w:tabs>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安全文明作业及环境保护措施较为具体，可操作性较强得6分；</w:t>
            </w:r>
          </w:p>
          <w:p>
            <w:pPr>
              <w:widowControl/>
              <w:tabs>
                <w:tab w:val="left" w:pos="720"/>
              </w:tabs>
              <w:spacing w:line="360" w:lineRule="auto"/>
              <w:ind w:firstLine="42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安全文明作业及环境保护措施不具体，可操作性一般得3分。</w:t>
            </w:r>
          </w:p>
          <w:p>
            <w:pPr>
              <w:pStyle w:val="15"/>
              <w:widowControl/>
              <w:tabs>
                <w:tab w:val="left" w:pos="720"/>
              </w:tabs>
              <w:spacing w:line="360" w:lineRule="auto"/>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未提供不得分。</w:t>
            </w:r>
          </w:p>
        </w:tc>
      </w:tr>
    </w:tbl>
    <w:p>
      <w:pPr>
        <w:pStyle w:val="2"/>
        <w:keepNext w:val="0"/>
        <w:keepLines w:val="0"/>
        <w:pageBreakBefore w:val="0"/>
        <w:widowControl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color w:val="auto"/>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pStyle w:val="4"/>
        <w:bidi w:val="0"/>
        <w:rPr>
          <w:rFonts w:hint="default"/>
          <w:color w:val="auto"/>
          <w:lang w:eastAsia="zh-CN"/>
        </w:rPr>
      </w:pPr>
      <w:bookmarkStart w:id="31" w:name="_Toc16149"/>
      <w:bookmarkStart w:id="32" w:name="_Toc3751"/>
      <w:r>
        <w:rPr>
          <w:rFonts w:hint="eastAsia"/>
          <w:color w:val="auto"/>
          <w:lang w:eastAsia="zh-CN"/>
        </w:rPr>
        <w:t>第六章  投标文件格式</w:t>
      </w:r>
      <w:bookmarkEnd w:id="31"/>
      <w:bookmarkEnd w:id="32"/>
    </w:p>
    <w:p>
      <w:pPr>
        <w:spacing w:line="500" w:lineRule="exact"/>
        <w:jc w:val="left"/>
        <w:rPr>
          <w:rFonts w:eastAsia="宋体"/>
          <w:color w:val="auto"/>
          <w:sz w:val="24"/>
          <w:szCs w:val="24"/>
          <w:highlight w:val="none"/>
        </w:rPr>
      </w:pPr>
    </w:p>
    <w:p>
      <w:pPr>
        <w:jc w:val="center"/>
        <w:rPr>
          <w:rFonts w:ascii="宋体" w:hAnsi="宋体" w:eastAsia="宋体" w:cs="Times New Roman"/>
          <w:b/>
          <w:color w:val="auto"/>
          <w:sz w:val="72"/>
          <w:szCs w:val="21"/>
          <w:highlight w:val="none"/>
        </w:rPr>
      </w:pPr>
    </w:p>
    <w:p>
      <w:pPr>
        <w:pStyle w:val="2"/>
        <w:rPr>
          <w:rFonts w:ascii="宋体" w:hAnsi="宋体" w:eastAsia="宋体" w:cs="Times New Roman"/>
          <w:b/>
          <w:color w:val="auto"/>
          <w:sz w:val="72"/>
          <w:szCs w:val="21"/>
          <w:highlight w:val="none"/>
        </w:rPr>
      </w:pPr>
    </w:p>
    <w:p>
      <w:pPr>
        <w:pStyle w:val="2"/>
        <w:rPr>
          <w:rFonts w:ascii="宋体" w:hAnsi="宋体" w:eastAsia="宋体" w:cs="Times New Roman"/>
          <w:b/>
          <w:color w:val="auto"/>
          <w:sz w:val="72"/>
          <w:szCs w:val="21"/>
          <w:highlight w:val="none"/>
        </w:rPr>
      </w:pPr>
    </w:p>
    <w:p>
      <w:pPr>
        <w:jc w:val="center"/>
        <w:rPr>
          <w:rFonts w:ascii="宋体" w:hAnsi="宋体" w:eastAsia="宋体" w:cs="Times New Roman"/>
          <w:b/>
          <w:color w:val="auto"/>
          <w:sz w:val="56"/>
          <w:szCs w:val="20"/>
          <w:highlight w:val="none"/>
        </w:rPr>
      </w:pPr>
      <w:r>
        <w:rPr>
          <w:rFonts w:hint="eastAsia" w:ascii="宋体" w:hAnsi="宋体" w:eastAsia="宋体" w:cs="Times New Roman"/>
          <w:b/>
          <w:color w:val="auto"/>
          <w:sz w:val="56"/>
          <w:szCs w:val="20"/>
          <w:highlight w:val="none"/>
        </w:rPr>
        <w:t>投 标 文 件</w:t>
      </w:r>
    </w:p>
    <w:p>
      <w:pPr>
        <w:jc w:val="center"/>
        <w:rPr>
          <w:rFonts w:ascii="宋体" w:hAnsi="宋体" w:eastAsia="宋体" w:cs="Times New Roman"/>
          <w:b/>
          <w:color w:val="auto"/>
          <w:sz w:val="72"/>
          <w:szCs w:val="21"/>
          <w:highlight w:val="none"/>
        </w:rPr>
      </w:pPr>
    </w:p>
    <w:p>
      <w:pPr>
        <w:jc w:val="center"/>
        <w:rPr>
          <w:rFonts w:ascii="宋体" w:hAnsi="宋体" w:eastAsia="宋体" w:cs="Times New Roman"/>
          <w:b/>
          <w:color w:val="auto"/>
          <w:sz w:val="72"/>
          <w:szCs w:val="21"/>
          <w:highlight w:val="none"/>
        </w:rPr>
      </w:pPr>
    </w:p>
    <w:p>
      <w:pPr>
        <w:jc w:val="center"/>
        <w:rPr>
          <w:rFonts w:ascii="宋体" w:hAnsi="宋体" w:eastAsia="宋体" w:cs="Times New Roman"/>
          <w:b/>
          <w:color w:val="auto"/>
          <w:sz w:val="36"/>
          <w:szCs w:val="21"/>
          <w:highlight w:val="none"/>
        </w:rPr>
      </w:pPr>
    </w:p>
    <w:p>
      <w:pPr>
        <w:jc w:val="center"/>
        <w:rPr>
          <w:rFonts w:ascii="宋体" w:hAnsi="宋体" w:eastAsia="宋体" w:cs="Times New Roman"/>
          <w:b/>
          <w:color w:val="auto"/>
          <w:sz w:val="36"/>
          <w:szCs w:val="21"/>
          <w:highlight w:val="none"/>
        </w:rPr>
      </w:pPr>
    </w:p>
    <w:p>
      <w:pPr>
        <w:jc w:val="center"/>
        <w:rPr>
          <w:rFonts w:ascii="宋体" w:hAnsi="宋体" w:eastAsia="宋体" w:cs="Times New Roman"/>
          <w:b/>
          <w:color w:val="auto"/>
          <w:sz w:val="36"/>
          <w:szCs w:val="21"/>
          <w:highlight w:val="none"/>
        </w:rPr>
      </w:pP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 目 名 称：</w:t>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 目 编 号：</w:t>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（加盖CA电子公章）</w:t>
      </w:r>
    </w:p>
    <w:p>
      <w:pPr>
        <w:rPr>
          <w:rFonts w:hint="eastAsia" w:ascii="宋体" w:hAnsi="宋体" w:eastAsia="宋体" w:cs="宋体"/>
          <w:color w:val="auto"/>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Times New Roman"/>
          <w:b/>
          <w:color w:val="auto"/>
          <w:sz w:val="36"/>
          <w:szCs w:val="21"/>
          <w:highlight w:val="none"/>
        </w:rPr>
        <w:t xml:space="preserve">      日      期 ：</w:t>
      </w:r>
    </w:p>
    <w:p>
      <w:pPr>
        <w:pStyle w:val="6"/>
        <w:bidi w:val="0"/>
        <w:ind w:left="0" w:leftChars="0" w:firstLine="0" w:firstLineChars="0"/>
        <w:rPr>
          <w:rFonts w:hint="eastAsia"/>
          <w:color w:val="auto"/>
        </w:rPr>
      </w:pPr>
      <w:bookmarkStart w:id="33" w:name="_Toc29083"/>
      <w:r>
        <w:rPr>
          <w:rFonts w:hint="eastAsia"/>
          <w:color w:val="auto"/>
          <w:lang w:val="en-US" w:eastAsia="zh-CN"/>
        </w:rPr>
        <w:t>一、</w:t>
      </w:r>
      <w:r>
        <w:rPr>
          <w:rFonts w:hint="eastAsia"/>
          <w:color w:val="auto"/>
        </w:rPr>
        <w:t>响应函</w:t>
      </w:r>
      <w:bookmarkEnd w:id="33"/>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响 应 函</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致：【采购单位】</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根据贵方</w:t>
      </w:r>
      <w:r>
        <w:rPr>
          <w:rFonts w:hint="eastAsia" w:ascii="宋体" w:hAnsi="宋体" w:eastAsia="宋体" w:cs="Times New Roman"/>
          <w:color w:val="auto"/>
          <w:sz w:val="24"/>
          <w:szCs w:val="24"/>
          <w:highlight w:val="none"/>
          <w:u w:val="single"/>
          <w:lang w:val="en-US"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bidi="ar-SA"/>
        </w:rPr>
        <w:t xml:space="preserve">  </w:t>
      </w:r>
      <w:r>
        <w:rPr>
          <w:rFonts w:hint="eastAsia" w:ascii="宋体" w:hAnsi="宋体" w:eastAsia="宋体" w:cs="Times New Roman"/>
          <w:color w:val="auto"/>
          <w:sz w:val="24"/>
          <w:szCs w:val="24"/>
          <w:highlight w:val="none"/>
          <w:lang w:val="en-US" w:bidi="ar-SA"/>
        </w:rPr>
        <w:t>标段（标段编号：</w:t>
      </w:r>
      <w:r>
        <w:rPr>
          <w:rFonts w:hint="eastAsia" w:ascii="宋体" w:hAnsi="宋体" w:eastAsia="宋体" w:cs="Times New Roman"/>
          <w:color w:val="auto"/>
          <w:sz w:val="24"/>
          <w:szCs w:val="24"/>
          <w:highlight w:val="none"/>
          <w:u w:val="single"/>
          <w:lang w:val="en-US"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bidi="ar-SA"/>
        </w:rPr>
        <w:t xml:space="preserve">    </w:t>
      </w:r>
      <w:r>
        <w:rPr>
          <w:rFonts w:hint="eastAsia" w:ascii="宋体" w:hAnsi="宋体" w:eastAsia="宋体" w:cs="Times New Roman"/>
          <w:color w:val="auto"/>
          <w:sz w:val="24"/>
          <w:szCs w:val="24"/>
          <w:highlight w:val="none"/>
          <w:lang w:val="en-US" w:bidi="ar-SA"/>
        </w:rPr>
        <w:t>）</w:t>
      </w:r>
      <w:r>
        <w:rPr>
          <w:rFonts w:hint="eastAsia" w:ascii="宋体" w:hAnsi="宋体" w:eastAsia="宋体" w:cs="Times New Roman"/>
          <w:color w:val="auto"/>
          <w:sz w:val="24"/>
          <w:szCs w:val="24"/>
          <w:highlight w:val="none"/>
          <w:lang w:val="en-US" w:eastAsia="zh-CN" w:bidi="ar-SA"/>
        </w:rPr>
        <w:t>招标文件</w:t>
      </w:r>
      <w:r>
        <w:rPr>
          <w:rFonts w:hint="eastAsia" w:ascii="宋体" w:hAnsi="宋体" w:eastAsia="宋体" w:cs="Times New Roman"/>
          <w:color w:val="auto"/>
          <w:sz w:val="24"/>
          <w:szCs w:val="24"/>
          <w:highlight w:val="none"/>
          <w:lang w:val="en-US" w:bidi="ar-SA"/>
        </w:rPr>
        <w:t>，遵照《中华人民共和国政府采购法》、《中华人民共和国政府采购法实施条例》等有关规定，经研究上述</w:t>
      </w:r>
      <w:r>
        <w:rPr>
          <w:rFonts w:hint="eastAsia" w:ascii="宋体" w:hAnsi="宋体" w:eastAsia="宋体" w:cs="Times New Roman"/>
          <w:color w:val="auto"/>
          <w:sz w:val="24"/>
          <w:szCs w:val="24"/>
          <w:highlight w:val="none"/>
          <w:lang w:val="en-US" w:eastAsia="zh-CN" w:bidi="ar-SA"/>
        </w:rPr>
        <w:t>招标文件</w:t>
      </w:r>
      <w:r>
        <w:rPr>
          <w:rFonts w:hint="eastAsia" w:ascii="宋体" w:hAnsi="宋体" w:eastAsia="宋体" w:cs="Times New Roman"/>
          <w:color w:val="auto"/>
          <w:sz w:val="24"/>
          <w:szCs w:val="24"/>
          <w:highlight w:val="none"/>
          <w:lang w:val="en-US" w:bidi="ar-SA"/>
        </w:rPr>
        <w:t>的须知、合同条款、项目需求及其他条款后，正式授权</w:t>
      </w:r>
      <w:r>
        <w:rPr>
          <w:rFonts w:hint="eastAsia" w:ascii="宋体" w:hAnsi="宋体" w:eastAsia="宋体" w:cs="Times New Roman"/>
          <w:color w:val="auto"/>
          <w:sz w:val="24"/>
          <w:szCs w:val="24"/>
          <w:highlight w:val="none"/>
          <w:u w:val="single"/>
          <w:lang w:val="en-US" w:bidi="ar-SA"/>
        </w:rPr>
        <w:t xml:space="preserve">     </w:t>
      </w:r>
      <w:r>
        <w:rPr>
          <w:rFonts w:hint="eastAsia" w:ascii="宋体" w:hAnsi="宋体" w:eastAsia="宋体" w:cs="Times New Roman"/>
          <w:color w:val="auto"/>
          <w:sz w:val="24"/>
          <w:szCs w:val="24"/>
          <w:highlight w:val="none"/>
          <w:lang w:val="en-US" w:bidi="ar-SA"/>
        </w:rPr>
        <w:t>全权代表</w:t>
      </w:r>
      <w:r>
        <w:rPr>
          <w:rFonts w:hint="eastAsia" w:ascii="宋体" w:hAnsi="宋体" w:eastAsia="宋体" w:cs="Times New Roman"/>
          <w:color w:val="auto"/>
          <w:sz w:val="24"/>
          <w:szCs w:val="24"/>
          <w:highlight w:val="none"/>
          <w:u w:val="single"/>
          <w:lang w:val="en-US" w:bidi="ar-SA"/>
        </w:rPr>
        <w:t xml:space="preserve">     </w:t>
      </w:r>
      <w:r>
        <w:rPr>
          <w:rFonts w:hint="eastAsia" w:ascii="宋体" w:hAnsi="宋体" w:eastAsia="宋体" w:cs="Times New Roman"/>
          <w:color w:val="auto"/>
          <w:sz w:val="24"/>
          <w:szCs w:val="24"/>
          <w:highlight w:val="none"/>
          <w:lang w:val="en-US" w:bidi="ar-SA"/>
        </w:rPr>
        <w:t>参加贵方组织的采购活动，并按照</w:t>
      </w:r>
      <w:r>
        <w:rPr>
          <w:rFonts w:hint="eastAsia" w:ascii="宋体" w:hAnsi="宋体" w:eastAsia="宋体" w:cs="Times New Roman"/>
          <w:color w:val="auto"/>
          <w:sz w:val="24"/>
          <w:szCs w:val="24"/>
          <w:highlight w:val="none"/>
          <w:lang w:val="en-US" w:eastAsia="zh-CN" w:bidi="ar-SA"/>
        </w:rPr>
        <w:t>招标文件</w:t>
      </w:r>
      <w:r>
        <w:rPr>
          <w:rFonts w:hint="eastAsia" w:ascii="宋体" w:hAnsi="宋体" w:eastAsia="宋体" w:cs="Times New Roman"/>
          <w:color w:val="auto"/>
          <w:sz w:val="24"/>
          <w:szCs w:val="24"/>
          <w:highlight w:val="none"/>
          <w:lang w:val="en-US" w:bidi="ar-SA"/>
        </w:rPr>
        <w:t>要求提交</w:t>
      </w:r>
      <w:r>
        <w:rPr>
          <w:rFonts w:hint="eastAsia" w:ascii="宋体" w:hAnsi="宋体" w:eastAsia="宋体" w:cs="Times New Roman"/>
          <w:color w:val="auto"/>
          <w:sz w:val="24"/>
          <w:szCs w:val="24"/>
          <w:highlight w:val="none"/>
          <w:lang w:val="en-US" w:eastAsia="zh-CN" w:bidi="ar-SA"/>
        </w:rPr>
        <w:t>投标文件</w:t>
      </w:r>
      <w:r>
        <w:rPr>
          <w:rFonts w:hint="eastAsia" w:ascii="宋体" w:hAnsi="宋体" w:eastAsia="宋体" w:cs="Times New Roman"/>
          <w:color w:val="auto"/>
          <w:sz w:val="24"/>
          <w:szCs w:val="24"/>
          <w:highlight w:val="none"/>
          <w:lang w:val="en-US"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据此函，签字人兹宣布同意如下：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1.按</w:t>
      </w:r>
      <w:r>
        <w:rPr>
          <w:rFonts w:hint="eastAsia" w:ascii="宋体" w:hAnsi="宋体" w:eastAsia="宋体" w:cs="Times New Roman"/>
          <w:color w:val="auto"/>
          <w:sz w:val="24"/>
          <w:szCs w:val="24"/>
          <w:highlight w:val="none"/>
          <w:lang w:val="en-US" w:eastAsia="zh-CN" w:bidi="ar-SA"/>
        </w:rPr>
        <w:t>招标文件</w:t>
      </w:r>
      <w:r>
        <w:rPr>
          <w:rFonts w:hint="eastAsia" w:ascii="宋体" w:hAnsi="宋体" w:eastAsia="宋体" w:cs="Times New Roman"/>
          <w:color w:val="auto"/>
          <w:sz w:val="24"/>
          <w:szCs w:val="24"/>
          <w:highlight w:val="none"/>
          <w:lang w:val="en-US" w:bidi="ar-SA"/>
        </w:rPr>
        <w:t>项目需求提交响应报价，报价、交货期等详见开标一览表。</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2.我方同意在本标段</w:t>
      </w:r>
      <w:r>
        <w:rPr>
          <w:rFonts w:hint="eastAsia" w:ascii="宋体" w:hAnsi="宋体" w:eastAsia="宋体" w:cs="Times New Roman"/>
          <w:color w:val="auto"/>
          <w:sz w:val="24"/>
          <w:szCs w:val="24"/>
          <w:highlight w:val="none"/>
          <w:lang w:val="en-US" w:eastAsia="zh-CN" w:bidi="ar-SA"/>
        </w:rPr>
        <w:t>招标文件</w:t>
      </w:r>
      <w:r>
        <w:rPr>
          <w:rFonts w:hint="eastAsia" w:ascii="宋体" w:hAnsi="宋体" w:eastAsia="宋体" w:cs="Times New Roman"/>
          <w:color w:val="auto"/>
          <w:sz w:val="24"/>
          <w:szCs w:val="24"/>
          <w:highlight w:val="none"/>
          <w:lang w:val="en-US" w:bidi="ar-SA"/>
        </w:rPr>
        <w:t>中规定的</w:t>
      </w:r>
      <w:r>
        <w:rPr>
          <w:rFonts w:hint="eastAsia" w:ascii="宋体" w:hAnsi="宋体" w:eastAsia="宋体" w:cs="Times New Roman"/>
          <w:color w:val="auto"/>
          <w:sz w:val="24"/>
          <w:szCs w:val="24"/>
          <w:highlight w:val="none"/>
          <w:lang w:val="en-US" w:eastAsia="zh-CN" w:bidi="ar-SA"/>
        </w:rPr>
        <w:t>投标文件</w:t>
      </w:r>
      <w:r>
        <w:rPr>
          <w:rFonts w:hint="eastAsia" w:ascii="宋体" w:hAnsi="宋体" w:eastAsia="宋体" w:cs="Times New Roman"/>
          <w:color w:val="auto"/>
          <w:sz w:val="24"/>
          <w:szCs w:val="24"/>
          <w:highlight w:val="none"/>
          <w:lang w:val="en-US" w:bidi="ar-SA"/>
        </w:rPr>
        <w:t>递交截止之日起60天内遵守本</w:t>
      </w:r>
      <w:r>
        <w:rPr>
          <w:rFonts w:hint="eastAsia" w:ascii="宋体" w:hAnsi="宋体" w:eastAsia="宋体" w:cs="Times New Roman"/>
          <w:color w:val="auto"/>
          <w:sz w:val="24"/>
          <w:szCs w:val="24"/>
          <w:highlight w:val="none"/>
          <w:lang w:val="en-US" w:eastAsia="zh-CN" w:bidi="ar-SA"/>
        </w:rPr>
        <w:t>投标文件</w:t>
      </w:r>
      <w:r>
        <w:rPr>
          <w:rFonts w:hint="eastAsia" w:ascii="宋体" w:hAnsi="宋体" w:eastAsia="宋体" w:cs="Times New Roman"/>
          <w:color w:val="auto"/>
          <w:sz w:val="24"/>
          <w:szCs w:val="24"/>
          <w:highlight w:val="none"/>
          <w:lang w:val="en-US" w:bidi="ar-SA"/>
        </w:rPr>
        <w:t>中的承诺且在此期限期满之前均具有约束力。</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3.我方承诺已经具备《中华人民共和国政府采购法》中规定的参加政府采购活动的</w:t>
      </w:r>
      <w:r>
        <w:rPr>
          <w:rFonts w:hint="eastAsia" w:ascii="宋体" w:hAnsi="宋体" w:eastAsia="宋体" w:cs="Times New Roman"/>
          <w:color w:val="auto"/>
          <w:sz w:val="24"/>
          <w:szCs w:val="24"/>
          <w:highlight w:val="none"/>
          <w:lang w:val="en-US" w:eastAsia="zh-CN" w:bidi="ar-SA"/>
        </w:rPr>
        <w:t>投标人</w:t>
      </w:r>
      <w:r>
        <w:rPr>
          <w:rFonts w:hint="eastAsia" w:ascii="宋体" w:hAnsi="宋体" w:eastAsia="宋体" w:cs="Times New Roman"/>
          <w:color w:val="auto"/>
          <w:sz w:val="24"/>
          <w:szCs w:val="24"/>
          <w:highlight w:val="none"/>
          <w:lang w:val="en-US" w:bidi="ar-SA"/>
        </w:rPr>
        <w:t>应当具备的条件：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(1)具有独立承担民事责任的能力；</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(2)具有良好的商业信誉和健全的财务会计制度；</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(3)具有履行合同所必需的设备和专业技术能力；</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(4)有依法缴纳税收和社会保障资金的良好记录；</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(5)参加此项采购活动前三年内，在经营活动中没有重大违法记录。</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4.我方根据</w:t>
      </w:r>
      <w:r>
        <w:rPr>
          <w:rFonts w:hint="eastAsia" w:ascii="宋体" w:hAnsi="宋体" w:eastAsia="宋体" w:cs="Times New Roman"/>
          <w:color w:val="auto"/>
          <w:sz w:val="24"/>
          <w:szCs w:val="24"/>
          <w:highlight w:val="none"/>
          <w:lang w:val="en-US" w:eastAsia="zh-CN" w:bidi="ar-SA"/>
        </w:rPr>
        <w:t>招标文件</w:t>
      </w:r>
      <w:r>
        <w:rPr>
          <w:rFonts w:hint="eastAsia" w:ascii="宋体" w:hAnsi="宋体" w:eastAsia="宋体" w:cs="Times New Roman"/>
          <w:color w:val="auto"/>
          <w:sz w:val="24"/>
          <w:szCs w:val="24"/>
          <w:highlight w:val="none"/>
          <w:lang w:val="en-US" w:bidi="ar-SA"/>
        </w:rPr>
        <w:t>的规定，承担完成合同的责任和义务。</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5.我方已详细审核</w:t>
      </w:r>
      <w:r>
        <w:rPr>
          <w:rFonts w:hint="eastAsia" w:ascii="宋体" w:hAnsi="宋体" w:eastAsia="宋体" w:cs="Times New Roman"/>
          <w:color w:val="auto"/>
          <w:sz w:val="24"/>
          <w:szCs w:val="24"/>
          <w:highlight w:val="none"/>
          <w:lang w:val="en-US" w:eastAsia="zh-CN" w:bidi="ar-SA"/>
        </w:rPr>
        <w:t>招标文件</w:t>
      </w:r>
      <w:r>
        <w:rPr>
          <w:rFonts w:hint="eastAsia" w:ascii="宋体" w:hAnsi="宋体" w:eastAsia="宋体" w:cs="Times New Roman"/>
          <w:color w:val="auto"/>
          <w:sz w:val="24"/>
          <w:szCs w:val="24"/>
          <w:highlight w:val="none"/>
          <w:lang w:val="en-US" w:bidi="ar-SA"/>
        </w:rPr>
        <w:t>，我方知道必须放弃提出含糊不清或误解问题的权利。</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6.如果在</w:t>
      </w:r>
      <w:r>
        <w:rPr>
          <w:rFonts w:hint="eastAsia" w:ascii="宋体" w:hAnsi="宋体" w:eastAsia="宋体" w:cs="Times New Roman"/>
          <w:color w:val="auto"/>
          <w:sz w:val="24"/>
          <w:szCs w:val="24"/>
          <w:highlight w:val="none"/>
          <w:lang w:val="en-US" w:eastAsia="zh-CN" w:bidi="ar-SA"/>
        </w:rPr>
        <w:t>投标文件</w:t>
      </w:r>
      <w:r>
        <w:rPr>
          <w:rFonts w:hint="eastAsia" w:ascii="宋体" w:hAnsi="宋体" w:eastAsia="宋体" w:cs="Times New Roman"/>
          <w:color w:val="auto"/>
          <w:sz w:val="24"/>
          <w:szCs w:val="24"/>
          <w:highlight w:val="none"/>
          <w:lang w:val="en-US" w:bidi="ar-SA"/>
        </w:rPr>
        <w:t>有效期内撤回或者有其他违约行为，我方的保证金可被贵方全部或部分没收。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7.同意应贵方要求提供与本次采购活动有关的任何数据或资料。</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8.我方完全理解，最低报价不是中标（成交）的唯一条件。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9.若贵方需要，我方愿意提供我方作出的一切承诺的证明材料。</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10.我方将严格遵守《中华人民共和国政府采购法》第七十七条规定，</w:t>
      </w:r>
      <w:r>
        <w:rPr>
          <w:rFonts w:hint="eastAsia" w:ascii="宋体" w:hAnsi="宋体" w:eastAsia="宋体" w:cs="Times New Roman"/>
          <w:color w:val="auto"/>
          <w:sz w:val="24"/>
          <w:szCs w:val="24"/>
          <w:highlight w:val="none"/>
          <w:lang w:val="en-US" w:eastAsia="zh-CN" w:bidi="ar-SA"/>
        </w:rPr>
        <w:t>投标人</w:t>
      </w:r>
      <w:r>
        <w:rPr>
          <w:rFonts w:hint="eastAsia" w:ascii="宋体" w:hAnsi="宋体" w:eastAsia="宋体" w:cs="Times New Roman"/>
          <w:color w:val="auto"/>
          <w:sz w:val="24"/>
          <w:szCs w:val="24"/>
          <w:highlight w:val="none"/>
          <w:lang w:val="en-US" w:bidi="ar-SA"/>
        </w:rPr>
        <w:t>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(1)提供虚假材料谋取中标、成交的；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(2)采取不正当手段诋毁、排挤其他</w:t>
      </w:r>
      <w:r>
        <w:rPr>
          <w:rFonts w:hint="eastAsia" w:ascii="宋体" w:hAnsi="宋体" w:eastAsia="宋体" w:cs="Times New Roman"/>
          <w:color w:val="auto"/>
          <w:sz w:val="24"/>
          <w:szCs w:val="24"/>
          <w:highlight w:val="none"/>
          <w:lang w:val="en-US" w:eastAsia="zh-CN" w:bidi="ar-SA"/>
        </w:rPr>
        <w:t>投标人</w:t>
      </w:r>
      <w:r>
        <w:rPr>
          <w:rFonts w:hint="eastAsia" w:ascii="宋体" w:hAnsi="宋体" w:eastAsia="宋体" w:cs="Times New Roman"/>
          <w:color w:val="auto"/>
          <w:sz w:val="24"/>
          <w:szCs w:val="24"/>
          <w:highlight w:val="none"/>
          <w:lang w:val="en-US" w:bidi="ar-SA"/>
        </w:rPr>
        <w:t>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(3)与采购人、其他</w:t>
      </w:r>
      <w:r>
        <w:rPr>
          <w:rFonts w:hint="eastAsia" w:ascii="宋体" w:hAnsi="宋体" w:eastAsia="宋体" w:cs="Times New Roman"/>
          <w:color w:val="auto"/>
          <w:sz w:val="24"/>
          <w:szCs w:val="24"/>
          <w:highlight w:val="none"/>
          <w:lang w:val="en-US" w:eastAsia="zh-CN" w:bidi="ar-SA"/>
        </w:rPr>
        <w:t>投标人</w:t>
      </w:r>
      <w:r>
        <w:rPr>
          <w:rFonts w:hint="eastAsia" w:ascii="宋体" w:hAnsi="宋体" w:eastAsia="宋体" w:cs="Times New Roman"/>
          <w:color w:val="auto"/>
          <w:sz w:val="24"/>
          <w:szCs w:val="24"/>
          <w:highlight w:val="none"/>
          <w:lang w:val="en-US" w:bidi="ar-SA"/>
        </w:rPr>
        <w:t>或者采购代理机构恶意串通的；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(4)向采购人、采购代理机构行贿或者提供其他不正当利益的；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(5)在招标采购过程中与采购人进行协商谈判的；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(6)拒绝有关部门监督检查或提供虚假情况的。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eastAsia="宋体" w:cs="Times New Roman"/>
          <w:color w:val="auto"/>
          <w:sz w:val="24"/>
          <w:szCs w:val="24"/>
          <w:highlight w:val="none"/>
          <w:lang w:val="en-US" w:bidi="ar-SA"/>
        </w:rPr>
      </w:pPr>
      <w:r>
        <w:rPr>
          <w:rFonts w:ascii="宋体" w:hAnsi="宋体" w:eastAsia="宋体" w:cs="Times New Roman"/>
          <w:color w:val="auto"/>
          <w:sz w:val="24"/>
          <w:szCs w:val="24"/>
          <w:highlight w:val="none"/>
          <w:lang w:val="en-US" w:bidi="ar-SA"/>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法定代表人签字（或盖章）：</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eastAsia="zh-CN" w:bidi="ar-SA"/>
        </w:rPr>
        <w:t>投标人</w:t>
      </w:r>
      <w:r>
        <w:rPr>
          <w:rFonts w:hint="eastAsia" w:ascii="宋体" w:hAnsi="宋体" w:eastAsia="宋体" w:cs="Times New Roman"/>
          <w:color w:val="auto"/>
          <w:sz w:val="24"/>
          <w:szCs w:val="24"/>
          <w:highlight w:val="none"/>
          <w:lang w:val="en-US" w:bidi="ar-SA"/>
        </w:rPr>
        <w:t xml:space="preserve">公章：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sz w:val="24"/>
          <w:szCs w:val="24"/>
          <w:highlight w:val="none"/>
          <w:lang w:val="en-US" w:bidi="ar-SA"/>
        </w:rPr>
      </w:pPr>
      <w:r>
        <w:rPr>
          <w:rFonts w:hint="eastAsia" w:ascii="宋体" w:hAnsi="宋体" w:eastAsia="宋体" w:cs="Times New Roman"/>
          <w:color w:val="auto"/>
          <w:sz w:val="24"/>
          <w:szCs w:val="24"/>
          <w:highlight w:val="none"/>
          <w:lang w:val="en-US" w:bidi="ar-SA"/>
        </w:rPr>
        <w:t xml:space="preserve">日期： </w:t>
      </w:r>
    </w:p>
    <w:p>
      <w:pPr>
        <w:spacing w:line="360" w:lineRule="auto"/>
        <w:ind w:firstLine="480"/>
        <w:jc w:val="left"/>
        <w:rPr>
          <w:rFonts w:ascii="宋体" w:hAnsi="宋体" w:eastAsia="宋体" w:cs="Times New Roman"/>
          <w:color w:val="auto"/>
          <w:sz w:val="24"/>
          <w:szCs w:val="24"/>
          <w:highlight w:val="none"/>
          <w:lang w:val="en-US" w:bidi="ar-SA"/>
        </w:rPr>
      </w:pPr>
      <w:r>
        <w:rPr>
          <w:rFonts w:ascii="宋体" w:hAnsi="宋体" w:eastAsia="宋体" w:cs="Times New Roman"/>
          <w:color w:val="auto"/>
          <w:sz w:val="24"/>
          <w:szCs w:val="24"/>
          <w:highlight w:val="none"/>
          <w:lang w:val="en-US" w:bidi="ar-SA"/>
        </w:rPr>
        <w:t xml:space="preserve"> </w:t>
      </w:r>
    </w:p>
    <w:p>
      <w:pPr>
        <w:pStyle w:val="6"/>
        <w:bidi w:val="0"/>
        <w:ind w:left="0" w:leftChars="0" w:firstLine="0" w:firstLineChars="0"/>
        <w:rPr>
          <w:rFonts w:hint="eastAsia"/>
          <w:color w:val="auto"/>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color w:val="auto"/>
          <w:lang w:val="en-US" w:eastAsia="zh-CN"/>
        </w:rPr>
      </w:pPr>
      <w:bookmarkStart w:id="34" w:name="_Toc14904"/>
      <w:r>
        <w:rPr>
          <w:rFonts w:hint="eastAsia"/>
          <w:color w:val="auto"/>
          <w:lang w:val="en-US" w:eastAsia="zh-CN"/>
        </w:rPr>
        <w:t>二、开标一览表</w:t>
      </w:r>
      <w:bookmarkEnd w:id="34"/>
    </w:p>
    <w:p>
      <w:pPr>
        <w:jc w:val="center"/>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开标一览表</w:t>
      </w:r>
    </w:p>
    <w:p>
      <w:pPr>
        <w:spacing w:line="360" w:lineRule="auto"/>
        <w:ind w:firstLine="480"/>
        <w:jc w:val="left"/>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标段编号：</w:t>
      </w:r>
    </w:p>
    <w:p>
      <w:pPr>
        <w:spacing w:line="360" w:lineRule="auto"/>
        <w:ind w:firstLine="480"/>
        <w:jc w:val="left"/>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标段名称：</w:t>
      </w:r>
    </w:p>
    <w:p>
      <w:pPr>
        <w:pStyle w:val="24"/>
        <w:rPr>
          <w:rFonts w:hint="eastAsia" w:ascii="宋体" w:hAnsi="宋体" w:eastAsia="宋体" w:cs="宋体"/>
          <w:color w:val="auto"/>
          <w:sz w:val="24"/>
          <w:szCs w:val="24"/>
          <w:highlight w:val="none"/>
        </w:rPr>
      </w:pP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53"/>
        <w:gridCol w:w="36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jc w:val="center"/>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标题</w:t>
            </w:r>
          </w:p>
        </w:tc>
        <w:tc>
          <w:tcPr>
            <w:tcW w:w="3651" w:type="dxa"/>
            <w:noWrap w:val="0"/>
            <w:vAlign w:val="center"/>
          </w:tcPr>
          <w:p>
            <w:pPr>
              <w:jc w:val="center"/>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jc w:val="center"/>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投标报价</w:t>
            </w:r>
          </w:p>
        </w:tc>
        <w:tc>
          <w:tcPr>
            <w:tcW w:w="3651" w:type="dxa"/>
            <w:noWrap w:val="0"/>
            <w:vAlign w:val="center"/>
          </w:tcPr>
          <w:p>
            <w:pPr>
              <w:jc w:val="center"/>
              <w:rPr>
                <w:rFonts w:hint="eastAsia" w:ascii="宋体" w:hAnsi="宋体" w:eastAsia="宋体" w:cs="宋体"/>
                <w:color w:val="auto"/>
                <w:sz w:val="24"/>
                <w:szCs w:val="24"/>
                <w:highlight w:val="none"/>
                <w:lang w:val="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jc w:val="center"/>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服务时间</w:t>
            </w:r>
          </w:p>
        </w:tc>
        <w:tc>
          <w:tcPr>
            <w:tcW w:w="3651" w:type="dxa"/>
            <w:noWrap w:val="0"/>
            <w:vAlign w:val="center"/>
          </w:tcPr>
          <w:p>
            <w:pPr>
              <w:jc w:val="center"/>
              <w:rPr>
                <w:rFonts w:hint="eastAsia" w:ascii="宋体" w:hAnsi="宋体" w:eastAsia="宋体" w:cs="宋体"/>
                <w:color w:val="auto"/>
                <w:sz w:val="24"/>
                <w:szCs w:val="24"/>
                <w:highlight w:val="none"/>
                <w:lang w:val="en-US" w:bidi="ar-SA"/>
              </w:rPr>
            </w:pPr>
          </w:p>
        </w:tc>
      </w:tr>
    </w:tbl>
    <w:p>
      <w:pPr>
        <w:spacing w:line="360" w:lineRule="auto"/>
        <w:ind w:firstLine="480"/>
        <w:jc w:val="left"/>
        <w:rPr>
          <w:rFonts w:hint="eastAsia" w:ascii="宋体" w:hAnsi="宋体" w:eastAsia="宋体" w:cs="宋体"/>
          <w:bCs/>
          <w:color w:val="auto"/>
          <w:sz w:val="24"/>
          <w:szCs w:val="24"/>
          <w:highlight w:val="none"/>
          <w:lang w:val="en-US" w:bidi="ar-SA"/>
        </w:rPr>
      </w:pPr>
    </w:p>
    <w:p>
      <w:pPr>
        <w:spacing w:line="360" w:lineRule="auto"/>
        <w:ind w:firstLine="480"/>
        <w:jc w:val="left"/>
        <w:rPr>
          <w:rFonts w:hint="eastAsia" w:ascii="宋体" w:hAnsi="宋体" w:eastAsia="宋体" w:cs="宋体"/>
          <w:bCs/>
          <w:color w:val="auto"/>
          <w:sz w:val="24"/>
          <w:szCs w:val="24"/>
          <w:highlight w:val="none"/>
          <w:lang w:val="en-US" w:bidi="ar-SA"/>
        </w:rPr>
      </w:pPr>
    </w:p>
    <w:p>
      <w:pPr>
        <w:spacing w:line="360" w:lineRule="auto"/>
        <w:ind w:firstLine="480"/>
        <w:jc w:val="left"/>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投标人（盖章）：</w:t>
      </w:r>
    </w:p>
    <w:p>
      <w:pPr>
        <w:spacing w:line="360" w:lineRule="auto"/>
        <w:ind w:firstLine="480"/>
        <w:jc w:val="left"/>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法定代表人或委托代理人（签字或盖章）：</w:t>
      </w:r>
    </w:p>
    <w:p>
      <w:pPr>
        <w:spacing w:line="360" w:lineRule="auto"/>
        <w:ind w:firstLine="480"/>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日期：    年     月     日</w:t>
      </w:r>
    </w:p>
    <w:p>
      <w:pPr>
        <w:pStyle w:val="6"/>
        <w:bidi w:val="0"/>
        <w:ind w:left="0" w:leftChars="0" w:firstLine="0" w:firstLineChars="0"/>
        <w:rPr>
          <w:rFonts w:hint="eastAsia" w:ascii="宋体" w:hAnsi="宋体" w:eastAsia="宋体" w:cs="宋体"/>
          <w:color w:val="auto"/>
          <w:sz w:val="24"/>
          <w:szCs w:val="24"/>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color w:val="auto"/>
          <w:lang w:eastAsia="zh-CN"/>
        </w:rPr>
      </w:pPr>
      <w:bookmarkStart w:id="35" w:name="_Toc30664"/>
      <w:r>
        <w:rPr>
          <w:rFonts w:hint="eastAsia"/>
          <w:color w:val="auto"/>
          <w:lang w:val="en-US" w:eastAsia="zh-CN"/>
        </w:rPr>
        <w:t>三、</w:t>
      </w:r>
      <w:r>
        <w:rPr>
          <w:rFonts w:hint="eastAsia"/>
          <w:color w:val="auto"/>
          <w:lang w:eastAsia="zh-CN"/>
        </w:rPr>
        <w:t>投标分项报价表</w:t>
      </w:r>
      <w:bookmarkEnd w:id="35"/>
    </w:p>
    <w:p>
      <w:pPr>
        <w:pStyle w:val="25"/>
        <w:pageBreakBefore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投标分项报价表</w:t>
      </w:r>
    </w:p>
    <w:p>
      <w:pPr>
        <w:pStyle w:val="25"/>
        <w:pageBreakBefore w:val="0"/>
        <w:kinsoku/>
        <w:wordWrap/>
        <w:overflowPunct/>
        <w:topLinePunct w:val="0"/>
        <w:autoSpaceDE/>
        <w:autoSpaceDN/>
        <w:bidi w:val="0"/>
        <w:adjustRightInd w:val="0"/>
        <w:snapToGrid w:val="0"/>
        <w:spacing w:line="360" w:lineRule="auto"/>
        <w:ind w:firstLine="480" w:firstLineChars="200"/>
        <w:textAlignment w:val="auto"/>
        <w:rPr>
          <w:rStyle w:val="27"/>
          <w:rFonts w:hint="eastAsia" w:ascii="宋体" w:hAnsi="宋体" w:eastAsia="宋体" w:cs="宋体"/>
          <w:color w:val="auto"/>
          <w:sz w:val="24"/>
          <w:szCs w:val="24"/>
          <w:highlight w:val="none"/>
          <w:lang w:val="en-US"/>
        </w:rPr>
      </w:pPr>
      <w:r>
        <w:rPr>
          <w:rStyle w:val="27"/>
          <w:rFonts w:hint="eastAsia" w:ascii="宋体" w:hAnsi="宋体" w:eastAsia="宋体" w:cs="宋体"/>
          <w:color w:val="auto"/>
          <w:sz w:val="24"/>
          <w:szCs w:val="24"/>
          <w:highlight w:val="none"/>
        </w:rPr>
        <w:t xml:space="preserve">标段名称： </w:t>
      </w:r>
      <w:r>
        <w:rPr>
          <w:rStyle w:val="27"/>
          <w:rFonts w:hint="eastAsia" w:ascii="宋体" w:hAnsi="宋体" w:eastAsia="宋体" w:cs="宋体"/>
          <w:color w:val="auto"/>
          <w:sz w:val="24"/>
          <w:szCs w:val="24"/>
          <w:highlight w:val="none"/>
          <w:lang w:val="en-US"/>
        </w:rPr>
        <w:t xml:space="preserve">               </w:t>
      </w:r>
    </w:p>
    <w:p>
      <w:pPr>
        <w:pStyle w:val="25"/>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lang w:val="en-US" w:eastAsia="zh-CN" w:bidi="ar-SA"/>
        </w:rPr>
      </w:pPr>
      <w:r>
        <w:rPr>
          <w:rStyle w:val="27"/>
          <w:rFonts w:hint="eastAsia" w:ascii="宋体" w:hAnsi="宋体" w:eastAsia="宋体" w:cs="宋体"/>
          <w:color w:val="auto"/>
          <w:sz w:val="24"/>
          <w:szCs w:val="24"/>
          <w:highlight w:val="none"/>
        </w:rPr>
        <w:t xml:space="preserve">标段编号：   </w:t>
      </w:r>
    </w:p>
    <w:tbl>
      <w:tblPr>
        <w:tblStyle w:val="18"/>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457"/>
        <w:gridCol w:w="1255"/>
        <w:gridCol w:w="1557"/>
        <w:gridCol w:w="1557"/>
        <w:gridCol w:w="1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956"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序号</w:t>
            </w:r>
          </w:p>
        </w:tc>
        <w:tc>
          <w:tcPr>
            <w:tcW w:w="24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绿化所在位置</w:t>
            </w:r>
          </w:p>
        </w:tc>
        <w:tc>
          <w:tcPr>
            <w:tcW w:w="1255"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面积（m2）</w:t>
            </w: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养护等级</w:t>
            </w: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单价</w:t>
            </w: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956"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1</w:t>
            </w:r>
          </w:p>
        </w:tc>
        <w:tc>
          <w:tcPr>
            <w:tcW w:w="2457" w:type="dxa"/>
            <w:vAlign w:val="center"/>
          </w:tcPr>
          <w:p>
            <w:pPr>
              <w:pStyle w:val="26"/>
              <w:pageBreakBefore w:val="0"/>
              <w:widowControl/>
              <w:kinsoku/>
              <w:wordWrap/>
              <w:overflowPunct/>
              <w:topLinePunct w:val="0"/>
              <w:autoSpaceDE/>
              <w:autoSpaceDN/>
              <w:bidi w:val="0"/>
              <w:adjustRightInd w:val="0"/>
              <w:snapToGrid w:val="0"/>
              <w:spacing w:line="360" w:lineRule="auto"/>
              <w:jc w:val="both"/>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b w:val="0"/>
                <w:bCs w:val="0"/>
                <w:i w:val="0"/>
                <w:iCs w:val="0"/>
                <w:color w:val="auto"/>
                <w:sz w:val="24"/>
                <w:szCs w:val="24"/>
                <w:highlight w:val="none"/>
                <w:u w:val="none"/>
                <w:lang w:val="en-US" w:eastAsia="zh-CN"/>
              </w:rPr>
              <w:t>灌云县临港产业园区</w:t>
            </w:r>
            <w:r>
              <w:rPr>
                <w:rFonts w:hint="eastAsia" w:ascii="宋体" w:hAnsi="宋体" w:eastAsia="宋体" w:cs="宋体"/>
                <w:b w:val="0"/>
                <w:i w:val="0"/>
                <w:color w:val="auto"/>
                <w:sz w:val="24"/>
                <w:szCs w:val="24"/>
                <w:u w:val="none"/>
                <w:lang w:eastAsia="zh-CN"/>
              </w:rPr>
              <w:t>324省道绿化（黄海桥至柴门大桥)</w:t>
            </w:r>
          </w:p>
        </w:tc>
        <w:tc>
          <w:tcPr>
            <w:tcW w:w="1255"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vertAlign w:val="baseline"/>
                <w:lang w:val="en-US" w:eastAsia="zh-CN"/>
              </w:rPr>
              <w:t>58320</w:t>
            </w: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956"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2</w:t>
            </w:r>
          </w:p>
        </w:tc>
        <w:tc>
          <w:tcPr>
            <w:tcW w:w="2457" w:type="dxa"/>
            <w:vAlign w:val="center"/>
          </w:tcPr>
          <w:p>
            <w:pPr>
              <w:pStyle w:val="26"/>
              <w:pageBreakBefore w:val="0"/>
              <w:widowControl/>
              <w:kinsoku/>
              <w:wordWrap/>
              <w:overflowPunct/>
              <w:topLinePunct w:val="0"/>
              <w:autoSpaceDE/>
              <w:autoSpaceDN/>
              <w:bidi w:val="0"/>
              <w:adjustRightInd w:val="0"/>
              <w:snapToGrid w:val="0"/>
              <w:spacing w:line="360" w:lineRule="auto"/>
              <w:jc w:val="both"/>
              <w:textAlignment w:val="auto"/>
              <w:rPr>
                <w:rStyle w:val="27"/>
                <w:rFonts w:hint="eastAsia" w:ascii="宋体" w:hAnsi="宋体" w:eastAsia="宋体" w:cs="宋体"/>
                <w:color w:val="auto"/>
                <w:sz w:val="24"/>
                <w:szCs w:val="24"/>
                <w:highlight w:val="none"/>
                <w:vertAlign w:val="baseline"/>
              </w:rPr>
            </w:pPr>
            <w:r>
              <w:rPr>
                <w:rFonts w:hint="eastAsia" w:ascii="宋体" w:hAnsi="宋体" w:cs="宋体"/>
                <w:color w:val="auto"/>
                <w:sz w:val="24"/>
                <w:szCs w:val="24"/>
                <w:vertAlign w:val="baseline"/>
                <w:lang w:val="en-US" w:eastAsia="zh-CN"/>
              </w:rPr>
              <w:t>中小企业园</w:t>
            </w:r>
          </w:p>
        </w:tc>
        <w:tc>
          <w:tcPr>
            <w:tcW w:w="1255"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cs="宋体"/>
                <w:color w:val="auto"/>
                <w:sz w:val="24"/>
                <w:szCs w:val="24"/>
                <w:vertAlign w:val="baseline"/>
                <w:lang w:val="en-US" w:eastAsia="zh-CN"/>
              </w:rPr>
              <w:t>15321</w:t>
            </w: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956"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3</w:t>
            </w:r>
          </w:p>
        </w:tc>
        <w:tc>
          <w:tcPr>
            <w:tcW w:w="2457" w:type="dxa"/>
            <w:vAlign w:val="center"/>
          </w:tcPr>
          <w:p>
            <w:pPr>
              <w:pStyle w:val="26"/>
              <w:pageBreakBefore w:val="0"/>
              <w:widowControl/>
              <w:kinsoku/>
              <w:wordWrap/>
              <w:overflowPunct/>
              <w:topLinePunct w:val="0"/>
              <w:autoSpaceDE/>
              <w:autoSpaceDN/>
              <w:bidi w:val="0"/>
              <w:adjustRightInd w:val="0"/>
              <w:snapToGrid w:val="0"/>
              <w:spacing w:line="360" w:lineRule="auto"/>
              <w:jc w:val="both"/>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b w:val="0"/>
                <w:i w:val="0"/>
                <w:color w:val="auto"/>
                <w:sz w:val="24"/>
                <w:szCs w:val="24"/>
                <w:u w:val="none"/>
                <w:lang w:eastAsia="zh-CN"/>
              </w:rPr>
              <w:t>创业路</w:t>
            </w:r>
          </w:p>
        </w:tc>
        <w:tc>
          <w:tcPr>
            <w:tcW w:w="1255"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vertAlign w:val="baseline"/>
                <w:lang w:val="en-US" w:eastAsia="zh-CN"/>
              </w:rPr>
              <w:t>14400</w:t>
            </w: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956"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4</w:t>
            </w:r>
          </w:p>
        </w:tc>
        <w:tc>
          <w:tcPr>
            <w:tcW w:w="2457" w:type="dxa"/>
            <w:vAlign w:val="center"/>
          </w:tcPr>
          <w:p>
            <w:pPr>
              <w:pStyle w:val="26"/>
              <w:pageBreakBefore w:val="0"/>
              <w:widowControl/>
              <w:kinsoku/>
              <w:wordWrap/>
              <w:overflowPunct/>
              <w:topLinePunct w:val="0"/>
              <w:autoSpaceDE/>
              <w:autoSpaceDN/>
              <w:bidi w:val="0"/>
              <w:adjustRightInd w:val="0"/>
              <w:snapToGrid w:val="0"/>
              <w:spacing w:line="360" w:lineRule="auto"/>
              <w:jc w:val="both"/>
              <w:textAlignment w:val="auto"/>
              <w:rPr>
                <w:rStyle w:val="27"/>
                <w:rFonts w:hint="eastAsia" w:ascii="宋体" w:hAnsi="宋体" w:eastAsia="宋体" w:cs="宋体"/>
                <w:color w:val="auto"/>
                <w:sz w:val="24"/>
                <w:szCs w:val="24"/>
                <w:highlight w:val="none"/>
                <w:vertAlign w:val="baseline"/>
              </w:rPr>
            </w:pPr>
            <w:r>
              <w:rPr>
                <w:rFonts w:hint="eastAsia" w:ascii="宋体" w:hAnsi="宋体" w:cs="宋体"/>
                <w:b w:val="0"/>
                <w:i w:val="0"/>
                <w:color w:val="auto"/>
                <w:sz w:val="24"/>
                <w:szCs w:val="24"/>
                <w:u w:val="none"/>
                <w:lang w:val="en-US" w:eastAsia="zh-CN"/>
              </w:rPr>
              <w:t>新纬九路、新纬八路</w:t>
            </w:r>
            <w:r>
              <w:rPr>
                <w:rFonts w:hint="eastAsia" w:ascii="宋体" w:hAnsi="宋体" w:eastAsia="宋体" w:cs="宋体"/>
                <w:b w:val="0"/>
                <w:i w:val="0"/>
                <w:color w:val="auto"/>
                <w:sz w:val="24"/>
                <w:szCs w:val="24"/>
                <w:u w:val="none"/>
                <w:lang w:eastAsia="zh-CN"/>
              </w:rPr>
              <w:t>、上堤路、经八路北段</w:t>
            </w:r>
          </w:p>
        </w:tc>
        <w:tc>
          <w:tcPr>
            <w:tcW w:w="1255"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default"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236843</w:t>
            </w: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c>
          <w:tcPr>
            <w:tcW w:w="15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56" w:type="dxa"/>
            <w:vAlign w:val="center"/>
          </w:tcPr>
          <w:p>
            <w:pPr>
              <w:pStyle w:val="26"/>
              <w:pageBreakBefore w:val="0"/>
              <w:widowControl/>
              <w:kinsoku/>
              <w:wordWrap/>
              <w:overflowPunct/>
              <w:topLinePunct w:val="0"/>
              <w:autoSpaceDE/>
              <w:autoSpaceDN/>
              <w:bidi w:val="0"/>
              <w:adjustRightInd w:val="0"/>
              <w:snapToGrid w:val="0"/>
              <w:spacing w:line="360" w:lineRule="auto"/>
              <w:jc w:val="center"/>
              <w:textAlignment w:val="auto"/>
              <w:rPr>
                <w:rStyle w:val="27"/>
                <w:rFonts w:hint="eastAsia"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5</w:t>
            </w:r>
          </w:p>
        </w:tc>
        <w:tc>
          <w:tcPr>
            <w:tcW w:w="2457" w:type="dxa"/>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Style w:val="27"/>
                <w:rFonts w:hint="eastAsia" w:ascii="宋体" w:hAnsi="宋体" w:eastAsia="宋体" w:cs="宋体"/>
                <w:color w:val="auto"/>
                <w:sz w:val="24"/>
                <w:szCs w:val="24"/>
                <w:highlight w:val="none"/>
                <w:vertAlign w:val="baseline"/>
                <w:lang w:val="en-US"/>
              </w:rPr>
            </w:pPr>
            <w:r>
              <w:rPr>
                <w:rStyle w:val="27"/>
                <w:rFonts w:hint="eastAsia" w:ascii="宋体" w:hAnsi="宋体" w:eastAsia="宋体" w:cs="宋体"/>
                <w:color w:val="auto"/>
                <w:sz w:val="24"/>
                <w:szCs w:val="24"/>
                <w:highlight w:val="none"/>
                <w:vertAlign w:val="baseline"/>
                <w:lang w:val="en-US"/>
              </w:rPr>
              <w:t>合计</w:t>
            </w:r>
          </w:p>
        </w:tc>
        <w:tc>
          <w:tcPr>
            <w:tcW w:w="5926" w:type="dxa"/>
            <w:gridSpan w:val="4"/>
            <w:vAlign w:val="center"/>
          </w:tcPr>
          <w:p>
            <w:pPr>
              <w:pStyle w:val="26"/>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Style w:val="27"/>
                <w:rFonts w:hint="eastAsia" w:ascii="宋体" w:hAnsi="宋体" w:eastAsia="宋体" w:cs="宋体"/>
                <w:color w:val="auto"/>
                <w:sz w:val="24"/>
                <w:szCs w:val="24"/>
                <w:highlight w:val="none"/>
                <w:vertAlign w:val="baseline"/>
              </w:rPr>
            </w:pPr>
          </w:p>
        </w:tc>
      </w:tr>
    </w:tbl>
    <w:p>
      <w:pPr>
        <w:pStyle w:val="26"/>
        <w:pageBreakBefore w:val="0"/>
        <w:widowControl/>
        <w:kinsoku/>
        <w:wordWrap/>
        <w:overflowPunct/>
        <w:topLinePunct w:val="0"/>
        <w:autoSpaceDE/>
        <w:autoSpaceDN/>
        <w:bidi w:val="0"/>
        <w:adjustRightInd w:val="0"/>
        <w:snapToGrid w:val="0"/>
        <w:spacing w:line="360" w:lineRule="auto"/>
        <w:textAlignment w:val="auto"/>
        <w:rPr>
          <w:rStyle w:val="27"/>
          <w:rFonts w:hint="eastAsia" w:ascii="宋体" w:hAnsi="宋体" w:eastAsia="宋体" w:cs="宋体"/>
          <w:color w:val="auto"/>
          <w:sz w:val="24"/>
          <w:szCs w:val="24"/>
          <w:highlight w:val="none"/>
        </w:rPr>
      </w:pPr>
    </w:p>
    <w:p>
      <w:pPr>
        <w:keepNext/>
        <w:keepLines/>
        <w:pageBreakBefore w:val="0"/>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color w:val="auto"/>
          <w:sz w:val="24"/>
          <w:szCs w:val="24"/>
          <w:highlight w:val="none"/>
          <w:lang w:val="en-US" w:eastAsia="zh-CN" w:bidi="ar-SA"/>
        </w:rPr>
      </w:pPr>
    </w:p>
    <w:p>
      <w:pPr>
        <w:keepNext/>
        <w:keepLines/>
        <w:pageBreakBefore w:val="0"/>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color w:val="auto"/>
          <w:sz w:val="24"/>
          <w:szCs w:val="24"/>
          <w:highlight w:val="none"/>
          <w:lang w:val="en-US" w:eastAsia="zh-CN" w:bidi="ar-SA"/>
        </w:rPr>
      </w:pPr>
    </w:p>
    <w:p>
      <w:pPr>
        <w:keepNext/>
        <w:keepLines/>
        <w:pageBreakBefore w:val="0"/>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color w:val="000000"/>
          <w:sz w:val="24"/>
          <w:szCs w:val="24"/>
          <w:highlight w:val="none"/>
          <w:lang w:val="en-US" w:bidi="ar-SA"/>
        </w:rPr>
      </w:pPr>
      <w:bookmarkStart w:id="36" w:name="_Toc4366"/>
      <w:r>
        <w:rPr>
          <w:rFonts w:hint="eastAsia" w:ascii="宋体" w:hAnsi="宋体" w:eastAsia="宋体" w:cs="宋体"/>
          <w:color w:val="000000"/>
          <w:sz w:val="24"/>
          <w:szCs w:val="24"/>
          <w:highlight w:val="none"/>
          <w:lang w:val="en-US" w:eastAsia="zh-CN" w:bidi="ar-SA"/>
        </w:rPr>
        <w:t>投标人</w:t>
      </w:r>
      <w:r>
        <w:rPr>
          <w:rFonts w:hint="eastAsia" w:ascii="宋体" w:hAnsi="宋体" w:eastAsia="宋体" w:cs="宋体"/>
          <w:color w:val="000000"/>
          <w:sz w:val="24"/>
          <w:szCs w:val="24"/>
          <w:highlight w:val="none"/>
          <w:lang w:val="en-US" w:bidi="ar-SA"/>
        </w:rPr>
        <w:t>：（加盖CA电子公章）</w:t>
      </w:r>
      <w:bookmarkEnd w:id="36"/>
    </w:p>
    <w:p>
      <w:pPr>
        <w:keepNext/>
        <w:keepLines/>
        <w:pageBreakBefore w:val="0"/>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color w:val="000000"/>
          <w:sz w:val="24"/>
          <w:szCs w:val="24"/>
          <w:highlight w:val="none"/>
          <w:lang w:val="en-US" w:bidi="ar-SA"/>
        </w:rPr>
      </w:pPr>
      <w:bookmarkStart w:id="37" w:name="_Toc18120"/>
      <w:r>
        <w:rPr>
          <w:rFonts w:hint="eastAsia" w:ascii="宋体" w:hAnsi="宋体" w:eastAsia="宋体" w:cs="宋体"/>
          <w:color w:val="000000"/>
          <w:sz w:val="24"/>
          <w:szCs w:val="24"/>
          <w:highlight w:val="none"/>
          <w:lang w:val="en-US" w:bidi="ar-SA"/>
        </w:rPr>
        <w:t>日期：_____年    月    日</w:t>
      </w:r>
      <w:bookmarkEnd w:id="37"/>
    </w:p>
    <w:p>
      <w:pPr>
        <w:pStyle w:val="6"/>
        <w:bidi w:val="0"/>
        <w:ind w:left="0" w:leftChars="0" w:firstLine="0" w:firstLineChars="0"/>
        <w:rPr>
          <w:rFonts w:hint="eastAsia" w:eastAsia="宋体"/>
          <w:lang w:val="en-US" w:eastAsia="zh-CN"/>
        </w:rPr>
      </w:pPr>
    </w:p>
    <w:p>
      <w:pPr>
        <w:rPr>
          <w:rFonts w:hint="eastAsia" w:eastAsia="宋体"/>
          <w:lang w:val="en-US" w:eastAsia="zh-CN"/>
        </w:rPr>
      </w:pPr>
    </w:p>
    <w:p>
      <w:pPr>
        <w:pStyle w:val="2"/>
        <w:rPr>
          <w:rFonts w:hint="eastAsia"/>
          <w:lang w:val="en-US" w:eastAsia="zh-CN"/>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38" w:name="_Toc31403"/>
      <w:r>
        <w:rPr>
          <w:rFonts w:hint="eastAsia"/>
          <w:lang w:val="en-US" w:eastAsia="zh-CN"/>
        </w:rPr>
        <w:t>四</w:t>
      </w:r>
      <w:r>
        <w:rPr>
          <w:rFonts w:hint="eastAsia"/>
        </w:rPr>
        <w:t>、法人或者其他组织的营业执照等证明文件，自然人的身份证明</w:t>
      </w:r>
      <w:bookmarkEnd w:id="38"/>
    </w:p>
    <w:p>
      <w:pPr>
        <w:pStyle w:val="6"/>
        <w:bidi w:val="0"/>
        <w:rPr>
          <w:rFonts w:hint="eastAsia"/>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spacing w:line="500" w:lineRule="exact"/>
        <w:jc w:val="left"/>
        <w:rPr>
          <w:rFonts w:hint="eastAsia" w:ascii="宋体" w:hAnsi="宋体" w:eastAsia="宋体" w:cs="宋体"/>
          <w:b/>
          <w:color w:val="auto"/>
          <w:sz w:val="36"/>
          <w:highlight w:val="none"/>
        </w:rPr>
      </w:pPr>
    </w:p>
    <w:p>
      <w:pPr>
        <w:spacing w:line="500" w:lineRule="exact"/>
        <w:jc w:val="left"/>
        <w:rPr>
          <w:rFonts w:hint="eastAsia" w:ascii="宋体" w:hAnsi="宋体" w:eastAsia="宋体" w:cs="宋体"/>
          <w:b/>
          <w:color w:val="auto"/>
          <w:sz w:val="36"/>
          <w:highlight w:val="none"/>
        </w:rPr>
      </w:pPr>
    </w:p>
    <w:p>
      <w:pPr>
        <w:spacing w:line="500" w:lineRule="exact"/>
        <w:jc w:val="left"/>
        <w:rPr>
          <w:rFonts w:hint="eastAsia" w:ascii="宋体" w:hAnsi="宋体" w:eastAsia="宋体" w:cs="宋体"/>
          <w:b/>
          <w:color w:val="auto"/>
          <w:sz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39" w:name="_Toc4802"/>
      <w:r>
        <w:rPr>
          <w:rFonts w:hint="eastAsia"/>
          <w:lang w:val="en-US" w:eastAsia="zh-CN"/>
        </w:rPr>
        <w:t>五</w:t>
      </w:r>
      <w:r>
        <w:rPr>
          <w:rFonts w:hint="eastAsia"/>
        </w:rPr>
        <w:t>、2023年度经审计的财务状况报告（成立不满一年无需提供）</w:t>
      </w:r>
      <w:bookmarkEnd w:id="39"/>
    </w:p>
    <w:p>
      <w:pPr>
        <w:rPr>
          <w:rFonts w:hint="eastAsia" w:ascii="宋体" w:hAnsi="宋体" w:eastAsia="宋体" w:cs="宋体"/>
          <w:color w:val="auto"/>
          <w:highlight w:val="none"/>
        </w:rPr>
      </w:pP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根据连财购〔2023〕4号文件精神，可以提供《财务状况报告及税收、社会保障资金缴纳情况承诺函》</w:t>
      </w:r>
    </w:p>
    <w:p>
      <w:pPr>
        <w:spacing w:line="360" w:lineRule="auto"/>
        <w:rPr>
          <w:rFonts w:hint="eastAsia" w:ascii="宋体" w:hAnsi="宋体" w:eastAsia="宋体" w:cs="宋体"/>
          <w:color w:val="auto"/>
          <w:sz w:val="24"/>
          <w:szCs w:val="24"/>
          <w:highlight w:val="none"/>
        </w:rPr>
      </w:pPr>
    </w:p>
    <w:p>
      <w:pPr>
        <w:rPr>
          <w:rFonts w:hint="eastAsia" w:ascii="宋体" w:hAnsi="宋体" w:eastAsia="宋体" w:cs="宋体"/>
          <w:color w:val="auto"/>
          <w:highlight w:val="none"/>
        </w:rPr>
      </w:pPr>
    </w:p>
    <w:p>
      <w:pPr>
        <w:keepNext/>
        <w:keepLines/>
        <w:spacing w:before="360" w:after="200" w:line="360" w:lineRule="auto"/>
        <w:jc w:val="left"/>
        <w:outlineLvl w:val="1"/>
        <w:rPr>
          <w:rFonts w:hint="eastAsia" w:ascii="宋体" w:hAnsi="宋体" w:eastAsia="宋体" w:cs="宋体"/>
          <w:b/>
          <w:iCs/>
          <w:color w:val="auto"/>
          <w:sz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0" w:name="_Toc22124"/>
      <w:r>
        <w:rPr>
          <w:rFonts w:hint="eastAsia"/>
          <w:lang w:val="en-US" w:eastAsia="zh-CN"/>
        </w:rPr>
        <w:t>六</w:t>
      </w:r>
      <w:r>
        <w:rPr>
          <w:rFonts w:hint="eastAsia"/>
        </w:rPr>
        <w:t>、依法缴纳税收和社会保障资金的相关材料</w:t>
      </w:r>
      <w:bookmarkEnd w:id="40"/>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p>
    <w:p>
      <w:pPr>
        <w:spacing w:line="500" w:lineRule="exact"/>
        <w:ind w:firstLine="480"/>
        <w:jc w:val="left"/>
        <w:rPr>
          <w:rFonts w:hint="eastAsia" w:ascii="宋体" w:hAnsi="宋体" w:eastAsia="宋体" w:cs="宋体"/>
          <w:color w:val="auto"/>
          <w:sz w:val="24"/>
          <w:szCs w:val="24"/>
          <w:highlight w:val="none"/>
        </w:rPr>
      </w:pPr>
    </w:p>
    <w:p>
      <w:pPr>
        <w:rPr>
          <w:rFonts w:hint="eastAsia" w:ascii="宋体" w:hAnsi="宋体" w:eastAsia="宋体" w:cs="宋体"/>
          <w:color w:val="auto"/>
          <w:highlight w:val="none"/>
        </w:rPr>
      </w:pPr>
    </w:p>
    <w:p>
      <w:pPr>
        <w:rPr>
          <w:rFonts w:hint="eastAsia" w:ascii="宋体" w:hAnsi="宋体" w:eastAsia="宋体" w:cs="宋体"/>
          <w:b/>
          <w:color w:val="auto"/>
          <w:sz w:val="24"/>
          <w:highlight w:val="none"/>
        </w:rPr>
      </w:pPr>
    </w:p>
    <w:p>
      <w:pPr>
        <w:rPr>
          <w:rFonts w:hint="eastAsia" w:ascii="宋体" w:hAnsi="宋体" w:eastAsia="宋体" w:cs="宋体"/>
          <w:b/>
          <w:color w:val="auto"/>
          <w:sz w:val="24"/>
          <w:highlight w:val="none"/>
        </w:rPr>
        <w:sectPr>
          <w:pgSz w:w="11906" w:h="16838"/>
          <w:pgMar w:top="1440" w:right="1800" w:bottom="1440" w:left="1800" w:header="851" w:footer="992" w:gutter="0"/>
          <w:pgNumType w:fmt="decimal"/>
          <w:cols w:space="425" w:num="1"/>
          <w:docGrid w:type="lines" w:linePitch="312" w:charSpace="0"/>
        </w:sectPr>
      </w:pP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承诺函：</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财务状况报告及税收、社会保障资金缴纳情况承诺函</w:t>
      </w:r>
    </w:p>
    <w:p>
      <w:pPr>
        <w:jc w:val="left"/>
        <w:rPr>
          <w:rFonts w:hint="eastAsia" w:ascii="宋体" w:hAnsi="宋体" w:eastAsia="宋体" w:cs="宋体"/>
          <w:color w:val="auto"/>
          <w:sz w:val="24"/>
          <w:szCs w:val="24"/>
          <w:highlight w:val="none"/>
        </w:rPr>
      </w:pPr>
    </w:p>
    <w:p>
      <w:pPr>
        <w:spacing w:line="50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u w:val="single"/>
          <w:lang w:val="en-US" w:eastAsia="zh-CN"/>
        </w:rPr>
        <w:t xml:space="preserve">  </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（1）具有良好的商业信誉和健全的财务会计制度（财务状况报告）；</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（2）有依法缴纳税收和社会保障资金的良好记录。</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pPr>
        <w:spacing w:line="500" w:lineRule="exact"/>
        <w:ind w:firstLine="480"/>
        <w:jc w:val="left"/>
        <w:rPr>
          <w:rFonts w:hint="eastAsia" w:ascii="宋体" w:hAnsi="宋体" w:eastAsia="宋体" w:cs="宋体"/>
          <w:color w:val="auto"/>
          <w:sz w:val="24"/>
          <w:szCs w:val="24"/>
          <w:highlight w:val="none"/>
        </w:rPr>
      </w:pP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投标人（公章）：</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法定代表人（单位负责人）或委托代理人（签名或签章）：</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keepNext/>
        <w:keepLines/>
        <w:spacing w:before="360" w:after="200" w:line="360" w:lineRule="auto"/>
        <w:jc w:val="left"/>
        <w:outlineLvl w:val="1"/>
        <w:rPr>
          <w:rFonts w:hint="eastAsia" w:ascii="宋体" w:hAnsi="宋体" w:eastAsia="宋体" w:cs="宋体"/>
          <w:b/>
          <w:iCs/>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1" w:name="_Toc12813"/>
      <w:r>
        <w:rPr>
          <w:rFonts w:hint="eastAsia"/>
          <w:lang w:val="en-US" w:eastAsia="zh-CN"/>
        </w:rPr>
        <w:t>七</w:t>
      </w:r>
      <w:r>
        <w:rPr>
          <w:rFonts w:hint="eastAsia"/>
        </w:rPr>
        <w:t>、具备履行合同所必需的设备和专业技术能力的声明及证明材料</w:t>
      </w:r>
      <w:bookmarkEnd w:id="41"/>
    </w:p>
    <w:p>
      <w:pPr>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具备履行合同所必需的设备和专业技术能力的声明及证明材料</w:t>
      </w:r>
    </w:p>
    <w:p>
      <w:pPr>
        <w:spacing w:line="460" w:lineRule="exact"/>
        <w:jc w:val="center"/>
        <w:rPr>
          <w:rFonts w:hint="eastAsia" w:ascii="宋体" w:hAnsi="宋体" w:eastAsia="宋体" w:cs="宋体"/>
          <w:color w:val="auto"/>
          <w:sz w:val="24"/>
          <w:szCs w:val="24"/>
          <w:highlight w:val="none"/>
        </w:rPr>
      </w:pP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。（须附证明材料）</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。（须附证明材料）</w:t>
      </w:r>
    </w:p>
    <w:p>
      <w:pPr>
        <w:spacing w:line="360" w:lineRule="auto"/>
        <w:ind w:firstLine="480"/>
        <w:rPr>
          <w:rFonts w:hint="eastAsia" w:ascii="宋体" w:hAnsi="宋体" w:eastAsia="宋体" w:cs="宋体"/>
          <w:color w:val="auto"/>
          <w:sz w:val="24"/>
          <w:szCs w:val="24"/>
          <w:highlight w:val="none"/>
        </w:rPr>
      </w:pPr>
    </w:p>
    <w:p>
      <w:pPr>
        <w:pStyle w:val="2"/>
        <w:rPr>
          <w:rFonts w:hint="eastAsia"/>
        </w:rPr>
      </w:pP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附主要设备和主要专业技术能力的证明材料如下：</w:t>
      </w:r>
    </w:p>
    <w:p>
      <w:pPr>
        <w:spacing w:line="360" w:lineRule="auto"/>
        <w:ind w:firstLine="480"/>
        <w:rPr>
          <w:rFonts w:hint="eastAsia" w:ascii="宋体" w:hAnsi="宋体" w:eastAsia="宋体" w:cs="宋体"/>
          <w:color w:val="auto"/>
          <w:sz w:val="24"/>
          <w:szCs w:val="24"/>
          <w:highlight w:val="none"/>
        </w:rPr>
      </w:pPr>
    </w:p>
    <w:p>
      <w:pPr>
        <w:spacing w:line="360" w:lineRule="auto"/>
        <w:ind w:firstLine="480"/>
        <w:rPr>
          <w:rFonts w:hint="eastAsia" w:ascii="宋体" w:hAnsi="宋体" w:eastAsia="宋体" w:cs="宋体"/>
          <w:color w:val="auto"/>
          <w:sz w:val="24"/>
          <w:szCs w:val="24"/>
          <w:highlight w:val="none"/>
        </w:rPr>
      </w:pP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pPr>
        <w:spacing w:line="360" w:lineRule="auto"/>
        <w:jc w:val="left"/>
        <w:rPr>
          <w:rFonts w:hint="eastAsia" w:ascii="宋体" w:hAnsi="宋体" w:eastAsia="宋体" w:cs="宋体"/>
          <w:color w:val="auto"/>
          <w:sz w:val="24"/>
          <w:szCs w:val="24"/>
          <w:highlight w:val="none"/>
        </w:rPr>
      </w:pPr>
    </w:p>
    <w:p>
      <w:pPr>
        <w:keepNext/>
        <w:keepLines/>
        <w:spacing w:before="360" w:after="200" w:line="360" w:lineRule="auto"/>
        <w:jc w:val="left"/>
        <w:outlineLvl w:val="1"/>
        <w:rPr>
          <w:rFonts w:hint="eastAsia" w:ascii="宋体" w:hAnsi="宋体" w:eastAsia="宋体" w:cs="宋体"/>
          <w:b/>
          <w:iCs/>
          <w:color w:val="auto"/>
          <w:sz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sz w:val="24"/>
          <w:szCs w:val="24"/>
        </w:rPr>
      </w:pPr>
      <w:bookmarkStart w:id="42" w:name="_Toc3065"/>
      <w:r>
        <w:rPr>
          <w:rFonts w:hint="eastAsia"/>
          <w:lang w:val="en-US" w:eastAsia="zh-CN"/>
        </w:rPr>
        <w:t>八</w:t>
      </w:r>
      <w:r>
        <w:rPr>
          <w:rFonts w:hint="eastAsia"/>
        </w:rPr>
        <w:t>、参加政府采购活动前3年内在经营活动中没有重大违法记录的书面声明</w:t>
      </w:r>
      <w:bookmarkEnd w:id="42"/>
    </w:p>
    <w:p>
      <w:pPr>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声  明</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jc w:val="left"/>
        <w:rPr>
          <w:rFonts w:hint="eastAsia" w:ascii="宋体" w:hAnsi="宋体" w:eastAsia="宋体" w:cs="宋体"/>
          <w:color w:val="auto"/>
          <w:sz w:val="24"/>
          <w:szCs w:val="24"/>
          <w:highlight w:val="none"/>
        </w:rPr>
      </w:pPr>
    </w:p>
    <w:p>
      <w:pPr>
        <w:spacing w:line="500" w:lineRule="exact"/>
        <w:ind w:firstLine="480"/>
        <w:jc w:val="left"/>
        <w:rPr>
          <w:rFonts w:hint="eastAsia" w:ascii="宋体" w:hAnsi="宋体" w:eastAsia="宋体" w:cs="宋体"/>
          <w:color w:val="auto"/>
          <w:sz w:val="24"/>
          <w:szCs w:val="24"/>
          <w:highlight w:val="none"/>
        </w:rPr>
      </w:pP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keepNext/>
        <w:keepLines/>
        <w:spacing w:before="360" w:after="200" w:line="360" w:lineRule="auto"/>
        <w:jc w:val="left"/>
        <w:outlineLvl w:val="1"/>
        <w:rPr>
          <w:rFonts w:hint="eastAsia" w:ascii="宋体" w:hAnsi="宋体" w:eastAsia="宋体" w:cs="宋体"/>
          <w:b/>
          <w:iCs/>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3" w:name="_Toc21946"/>
      <w:r>
        <w:rPr>
          <w:rFonts w:hint="eastAsia"/>
          <w:lang w:val="en-US" w:eastAsia="zh-CN"/>
        </w:rPr>
        <w:t>九</w:t>
      </w:r>
      <w:r>
        <w:rPr>
          <w:rFonts w:hint="eastAsia"/>
        </w:rPr>
        <w:t>、落实政府采购政策需满足的资格要求的证明文件</w:t>
      </w:r>
      <w:bookmarkEnd w:id="43"/>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keepNext/>
        <w:keepLines/>
        <w:spacing w:before="360" w:after="200" w:line="360" w:lineRule="auto"/>
        <w:jc w:val="left"/>
        <w:outlineLvl w:val="1"/>
        <w:rPr>
          <w:rFonts w:hint="eastAsia" w:ascii="宋体" w:hAnsi="宋体" w:eastAsia="宋体" w:cs="宋体"/>
          <w:b/>
          <w:iCs/>
          <w:color w:val="auto"/>
          <w:sz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4" w:name="_Toc22555"/>
      <w:r>
        <w:rPr>
          <w:rFonts w:hint="eastAsia"/>
          <w:lang w:val="en-US" w:eastAsia="zh-CN"/>
        </w:rPr>
        <w:t>十</w:t>
      </w:r>
      <w:r>
        <w:rPr>
          <w:rFonts w:hint="eastAsia"/>
        </w:rPr>
        <w:t>、特定资格要求的证明文件</w:t>
      </w:r>
      <w:bookmarkEnd w:id="44"/>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keepNext/>
        <w:keepLines/>
        <w:spacing w:before="360" w:after="200" w:line="360" w:lineRule="auto"/>
        <w:jc w:val="left"/>
        <w:outlineLvl w:val="1"/>
        <w:rPr>
          <w:rFonts w:hint="eastAsia" w:ascii="宋体" w:hAnsi="宋体" w:eastAsia="宋体" w:cs="宋体"/>
          <w:b/>
          <w:iCs/>
          <w:color w:val="auto"/>
          <w:sz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5" w:name="_Toc16249"/>
      <w:r>
        <w:rPr>
          <w:rFonts w:hint="eastAsia"/>
        </w:rPr>
        <w:t>八、法律、行政法规规定的其他条件的证明文件</w:t>
      </w:r>
      <w:bookmarkEnd w:id="45"/>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keepNext/>
        <w:keepLines/>
        <w:spacing w:before="360" w:after="200" w:line="360" w:lineRule="auto"/>
        <w:jc w:val="left"/>
        <w:outlineLvl w:val="1"/>
        <w:rPr>
          <w:rFonts w:hint="eastAsia" w:ascii="宋体" w:hAnsi="宋体" w:eastAsia="宋体" w:cs="宋体"/>
          <w:b/>
          <w:iCs/>
          <w:color w:val="auto"/>
          <w:sz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6" w:name="_Toc21898"/>
      <w:r>
        <w:rPr>
          <w:rFonts w:hint="eastAsia"/>
        </w:rPr>
        <w:t>九、授权委托书与法定代表人（单位负责人）身份证明</w:t>
      </w:r>
      <w:bookmarkEnd w:id="46"/>
    </w:p>
    <w:p>
      <w:pPr>
        <w:spacing w:line="360" w:lineRule="exact"/>
        <w:jc w:val="center"/>
        <w:rPr>
          <w:rFonts w:hint="eastAsia" w:ascii="宋体" w:hAnsi="宋体" w:eastAsia="宋体" w:cs="宋体"/>
          <w:b/>
          <w:color w:val="auto"/>
          <w:sz w:val="36"/>
          <w:szCs w:val="36"/>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授权委托书</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w:t>
      </w:r>
      <w:r>
        <w:rPr>
          <w:rFonts w:hint="eastAsia" w:ascii="宋体" w:hAnsi="宋体" w:eastAsia="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的法定代表人（单位负责人），现委托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为我方代理人，联系电话：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。代理人根据授权，以我方名义签署、澄清确认、递交、撤回、修改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）投标文件和处理有关事宜，其法律后果由我方承担。</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委托期限：自本授权委托书签署之日起至响应有效期届满之日止。</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法定代表人（单位负责人）（签字、签章或印鉴）：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法定代表人（单位负责人）有效期内的身份证</w:t>
      </w:r>
      <w:r>
        <w:rPr>
          <w:rFonts w:hint="eastAsia" w:ascii="宋体" w:hAnsi="宋体" w:eastAsia="宋体" w:cs="宋体"/>
          <w:b/>
          <w:color w:val="auto"/>
          <w:sz w:val="24"/>
          <w:szCs w:val="24"/>
          <w:highlight w:val="none"/>
        </w:rPr>
        <w:t>正反面</w:t>
      </w:r>
      <w:r>
        <w:rPr>
          <w:rFonts w:hint="eastAsia" w:ascii="宋体" w:hAnsi="宋体" w:eastAsia="宋体" w:cs="宋体"/>
          <w:color w:val="auto"/>
          <w:sz w:val="24"/>
          <w:szCs w:val="24"/>
          <w:highlight w:val="none"/>
        </w:rPr>
        <w:t>电子件：</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tc>
        <w:tc>
          <w:tcPr>
            <w:tcW w:w="4536" w:type="dxa"/>
            <w:noWrap w:val="0"/>
            <w:vAlign w:val="top"/>
          </w:tcPr>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tc>
      </w:tr>
    </w:tbl>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委托代理人有效期内的身份证</w:t>
      </w:r>
      <w:r>
        <w:rPr>
          <w:rFonts w:hint="eastAsia" w:ascii="宋体" w:hAnsi="宋体" w:eastAsia="宋体" w:cs="宋体"/>
          <w:b/>
          <w:color w:val="auto"/>
          <w:sz w:val="24"/>
          <w:szCs w:val="24"/>
          <w:highlight w:val="none"/>
        </w:rPr>
        <w:t>正反面</w:t>
      </w:r>
      <w:r>
        <w:rPr>
          <w:rFonts w:hint="eastAsia" w:ascii="宋体" w:hAnsi="宋体" w:eastAsia="宋体" w:cs="宋体"/>
          <w:color w:val="auto"/>
          <w:sz w:val="24"/>
          <w:szCs w:val="24"/>
          <w:highlight w:val="none"/>
        </w:rPr>
        <w:t>电子件：</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tc>
        <w:tc>
          <w:tcPr>
            <w:tcW w:w="4536" w:type="dxa"/>
            <w:noWrap w:val="0"/>
            <w:vAlign w:val="top"/>
          </w:tcPr>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p>
        </w:tc>
      </w:tr>
    </w:tbl>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1、若供应商为事业单位或其他组织或分支机构（仅当招标文件注明允许分支机构投标的），则法定代表人（单位负责人）处的签署人可为单位负责人。</w:t>
      </w: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2、若投标文件中全部签字之处均为法定代表人（单位负责人）本人签署，则可不提供本《授权委托书》，但须提供《法定代表人（单位负责人）身份证明》。</w:t>
      </w: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3、供应商为自然人的情形，可不提供本《授权委托书》。</w:t>
      </w: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4.请供应商如实填写联系方式并在评审过程中保持联系方式畅通，评审过程中如联系不上，由供应商承担一切不利后果。</w:t>
      </w: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p>
    <w:p>
      <w:pPr>
        <w:tabs>
          <w:tab w:val="left" w:pos="5580"/>
        </w:tabs>
        <w:spacing w:line="360" w:lineRule="auto"/>
        <w:ind w:firstLine="480"/>
        <w:jc w:val="left"/>
        <w:rPr>
          <w:rFonts w:hint="eastAsia" w:ascii="宋体" w:hAnsi="宋体" w:eastAsia="宋体" w:cs="宋体"/>
          <w:color w:val="auto"/>
          <w:sz w:val="24"/>
          <w:szCs w:val="24"/>
          <w:highlight w:val="none"/>
        </w:rPr>
      </w:pPr>
    </w:p>
    <w:p>
      <w:pPr>
        <w:spacing w:line="360" w:lineRule="exact"/>
        <w:jc w:val="center"/>
        <w:rPr>
          <w:rFonts w:hint="eastAsia" w:ascii="宋体" w:hAnsi="宋体" w:eastAsia="宋体" w:cs="宋体"/>
          <w:b/>
          <w:color w:val="auto"/>
          <w:sz w:val="36"/>
          <w:szCs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7" w:name="_Toc10188"/>
      <w:r>
        <w:rPr>
          <w:rFonts w:hint="eastAsia"/>
          <w:lang w:val="en-US" w:eastAsia="zh-CN"/>
        </w:rPr>
        <w:t>十、</w:t>
      </w:r>
      <w:r>
        <w:rPr>
          <w:rFonts w:hint="eastAsia"/>
        </w:rPr>
        <w:t>法定代表人（单位负责人）身份证明</w:t>
      </w:r>
      <w:bookmarkEnd w:id="47"/>
    </w:p>
    <w:p>
      <w:pPr>
        <w:spacing w:line="200" w:lineRule="exact"/>
        <w:rPr>
          <w:rFonts w:hint="eastAsia" w:ascii="宋体" w:hAnsi="宋体" w:eastAsia="宋体" w:cs="宋体"/>
          <w:color w:val="auto"/>
          <w:sz w:val="20"/>
          <w:szCs w:val="20"/>
          <w:highlight w:val="none"/>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tabs>
          <w:tab w:val="left" w:pos="567"/>
          <w:tab w:val="left" w:pos="2412"/>
          <w:tab w:val="left" w:pos="3883"/>
          <w:tab w:val="left" w:pos="5352"/>
          <w:tab w:val="left" w:pos="6821"/>
        </w:tabs>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兹证明，姓名：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tabs>
          <w:tab w:val="left" w:pos="567"/>
          <w:tab w:val="left" w:pos="2412"/>
          <w:tab w:val="left" w:pos="3883"/>
          <w:tab w:val="left" w:pos="5352"/>
          <w:tab w:val="left" w:pos="6821"/>
        </w:tabs>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的法定代表人（单位负责人）。</w:t>
      </w:r>
    </w:p>
    <w:p>
      <w:pPr>
        <w:keepNext w:val="0"/>
        <w:keepLines w:val="0"/>
        <w:pageBreakBefore w:val="0"/>
        <w:widowControl w:val="0"/>
        <w:tabs>
          <w:tab w:val="left" w:pos="567"/>
          <w:tab w:val="left" w:pos="2412"/>
          <w:tab w:val="left" w:pos="3883"/>
          <w:tab w:val="left" w:pos="5352"/>
          <w:tab w:val="left" w:pos="6821"/>
        </w:tabs>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p>
    <w:p>
      <w:pPr>
        <w:keepNext w:val="0"/>
        <w:keepLines w:val="0"/>
        <w:pageBreakBefore w:val="0"/>
        <w:widowControl w:val="0"/>
        <w:tabs>
          <w:tab w:val="left" w:pos="567"/>
        </w:tabs>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附：</w:t>
      </w: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w:t>
      </w:r>
      <w:r>
        <w:rPr>
          <w:rFonts w:hint="eastAsia" w:ascii="宋体" w:hAnsi="宋体" w:eastAsia="宋体" w:cs="宋体"/>
          <w:color w:val="auto"/>
          <w:spacing w:val="-3"/>
          <w:sz w:val="24"/>
          <w:szCs w:val="24"/>
          <w:highlight w:val="none"/>
        </w:rPr>
        <w:t>单</w:t>
      </w:r>
      <w:r>
        <w:rPr>
          <w:rFonts w:hint="eastAsia" w:ascii="宋体" w:hAnsi="宋体" w:eastAsia="宋体" w:cs="宋体"/>
          <w:color w:val="auto"/>
          <w:sz w:val="24"/>
          <w:szCs w:val="24"/>
          <w:highlight w:val="none"/>
        </w:rPr>
        <w:t>位</w:t>
      </w:r>
      <w:r>
        <w:rPr>
          <w:rFonts w:hint="eastAsia" w:ascii="宋体" w:hAnsi="宋体" w:eastAsia="宋体" w:cs="宋体"/>
          <w:color w:val="auto"/>
          <w:spacing w:val="-3"/>
          <w:sz w:val="24"/>
          <w:szCs w:val="24"/>
          <w:highlight w:val="none"/>
        </w:rPr>
        <w:t>负</w:t>
      </w:r>
      <w:r>
        <w:rPr>
          <w:rFonts w:hint="eastAsia" w:ascii="宋体" w:hAnsi="宋体" w:eastAsia="宋体" w:cs="宋体"/>
          <w:color w:val="auto"/>
          <w:sz w:val="24"/>
          <w:szCs w:val="24"/>
          <w:highlight w:val="none"/>
        </w:rPr>
        <w:t>责人</w:t>
      </w:r>
      <w:r>
        <w:rPr>
          <w:rFonts w:hint="eastAsia" w:ascii="宋体" w:hAnsi="宋体" w:eastAsia="宋体" w:cs="宋体"/>
          <w:color w:val="auto"/>
          <w:spacing w:val="-3"/>
          <w:sz w:val="24"/>
          <w:szCs w:val="24"/>
          <w:highlight w:val="none"/>
        </w:rPr>
        <w:t>）有效期内的身份证正反面电子件。</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lang w:val="en-US" w:eastAsia="zh-CN" w:bidi="ar-SA"/>
              </w:rPr>
            </w:pPr>
          </w:p>
        </w:tc>
        <w:tc>
          <w:tcPr>
            <w:tcW w:w="4536" w:type="dxa"/>
            <w:noWrap w:val="0"/>
            <w:vAlign w:val="top"/>
          </w:tcPr>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lang w:val="en-US" w:eastAsia="zh-CN" w:bidi="ar-SA"/>
              </w:rPr>
            </w:pPr>
          </w:p>
        </w:tc>
      </w:tr>
    </w:tbl>
    <w:p>
      <w:pPr>
        <w:keepNext w:val="0"/>
        <w:keepLines w:val="0"/>
        <w:pageBreakBefore w:val="0"/>
        <w:widowControl w:val="0"/>
        <w:tabs>
          <w:tab w:val="left" w:pos="567"/>
        </w:tabs>
        <w:kinsoku/>
        <w:wordWrap/>
        <w:overflowPunct/>
        <w:topLinePunct w:val="0"/>
        <w:autoSpaceDE/>
        <w:autoSpaceDN/>
        <w:bidi w:val="0"/>
        <w:adjustRightInd w:val="0"/>
        <w:snapToGrid w:val="0"/>
        <w:spacing w:line="360" w:lineRule="auto"/>
        <w:ind w:right="0" w:firstLine="468" w:firstLineChars="200"/>
        <w:textAlignment w:val="auto"/>
        <w:rPr>
          <w:rFonts w:hint="eastAsia" w:ascii="宋体" w:hAnsi="宋体" w:eastAsia="宋体" w:cs="宋体"/>
          <w:color w:val="auto"/>
          <w:spacing w:val="-3"/>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w:t>
      </w:r>
      <w:r>
        <w:rPr>
          <w:rFonts w:hint="eastAsia" w:ascii="宋体" w:hAnsi="宋体" w:eastAsia="宋体" w:cs="宋体"/>
          <w:color w:val="auto"/>
          <w:sz w:val="24"/>
          <w:szCs w:val="24"/>
          <w:highlight w:val="none"/>
        </w:rPr>
        <w:t>单位负责人</w:t>
      </w:r>
      <w:r>
        <w:rPr>
          <w:rFonts w:hint="eastAsia" w:ascii="宋体" w:hAnsi="宋体" w:eastAsia="宋体" w:cs="宋体"/>
          <w:color w:val="auto"/>
          <w:spacing w:val="-3"/>
          <w:sz w:val="24"/>
          <w:szCs w:val="24"/>
          <w:highlight w:val="none"/>
        </w:rPr>
        <w:t>）（签字、签章或印鉴）：</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rPr>
      </w:pPr>
    </w:p>
    <w:p>
      <w:pPr>
        <w:keepNext w:val="0"/>
        <w:keepLines w:val="0"/>
        <w:pageBreakBefore w:val="0"/>
        <w:widowControl w:val="0"/>
        <w:tabs>
          <w:tab w:val="left" w:pos="558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注：请供应商如实填写联系方式并在评审过程中保持联系方式畅通，评审过程中如联系不上，由供应商承担一切不利后果。</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bidi w:val="0"/>
        <w:rPr>
          <w:rFonts w:hint="eastAsia"/>
        </w:rPr>
      </w:pPr>
    </w:p>
    <w:p>
      <w:pPr>
        <w:keepNext/>
        <w:keepLines/>
        <w:spacing w:before="260" w:after="260" w:line="416" w:lineRule="auto"/>
        <w:jc w:val="left"/>
        <w:outlineLvl w:val="1"/>
        <w:rPr>
          <w:rFonts w:hint="eastAsia" w:ascii="宋体" w:hAnsi="宋体" w:eastAsia="宋体" w:cs="宋体"/>
          <w:b/>
          <w:iCs/>
          <w:color w:val="auto"/>
          <w:sz w:val="36"/>
          <w:highlight w:val="none"/>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rPr>
          <w:rFonts w:hint="eastAsia"/>
        </w:rPr>
      </w:pPr>
      <w:bookmarkStart w:id="48" w:name="_Toc18651"/>
      <w:r>
        <w:rPr>
          <w:rFonts w:hint="eastAsia"/>
        </w:rPr>
        <w:t>十、投标函</w:t>
      </w:r>
      <w:bookmarkEnd w:id="48"/>
    </w:p>
    <w:p>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投标函</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致：（采购人）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根据贵方的JSZC-______号招标文件，正式授权下述签字人______(姓名)代表我方___________（投标人的名称），全权处理本次项目投标的有关事宜。</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据此函，__________签字人兹宣布同意如下：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1.按招标文件规定的各项要求，向买方提供所需服务（包含与服务相关的货物等）。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2.我们完全理解贵方不一定将合同授予最低报价的投标人。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3.我们已详细审核全部招标文件及其有效补充文件，我们知道必须放弃提出含糊不清或误解问题的权利。</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4.我们同意从规定的开标日期起遵循本投标文件，并在规定的投标有效期期满之前均具有约束力。</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5.同意向贵方提供贵方可能另外要求的与投标有关的任何证据或资料，并保证我方已提供和将要提供的文件是真实的、准确的。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6.一旦我方中标,我方将根据招标文件的规定，严格履行合同的责任和义务,并保证在招标文件规定的时间完成项目，交付买方验收、使用。</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7.与本投标有关的正式通讯地址为：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投标人开户行：</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pPr>
        <w:pStyle w:val="6"/>
        <w:bidi w:val="0"/>
        <w:ind w:left="0" w:leftChars="0" w:firstLine="0" w:firstLineChars="0"/>
        <w:rPr>
          <w:rFonts w:ascii="Arial" w:hAnsi="Arial" w:eastAsia="宋体" w:cs="Arial"/>
          <w:b/>
          <w:color w:val="auto"/>
          <w:highlight w:val="none"/>
        </w:rPr>
      </w:pPr>
      <w:bookmarkStart w:id="49" w:name="_Toc24220"/>
      <w:r>
        <w:rPr>
          <w:rFonts w:hint="eastAsia"/>
        </w:rPr>
        <w:t>十一、中小企业声明函（服务）</w:t>
      </w:r>
      <w:bookmarkEnd w:id="49"/>
    </w:p>
    <w:p>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right="0" w:firstLine="720" w:firstLineChars="200"/>
        <w:jc w:val="center"/>
        <w:textAlignment w:val="auto"/>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中小企业声明函</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olor w:val="auto"/>
          <w:sz w:val="24"/>
          <w:highlight w:val="none"/>
        </w:rPr>
      </w:pPr>
      <w:r>
        <w:rPr>
          <w:rFonts w:hint="eastAsia" w:ascii="宋体" w:hAnsi="宋体" w:eastAsia="宋体" w:cs="Times New Roman"/>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（项目编号：，分包号：）采购活动，提供的</w:t>
      </w:r>
      <w:r>
        <w:rPr>
          <w:rFonts w:ascii="宋体" w:hAnsi="宋体" w:eastAsia="宋体"/>
          <w:color w:val="auto"/>
          <w:sz w:val="24"/>
          <w:highlight w:val="none"/>
        </w:rPr>
        <w:t>服务全部由符合政策要求的中小企业承接。</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（采购文件中明确的所属行业）</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w:t>
      </w:r>
      <w:r>
        <w:rPr>
          <w:rFonts w:hint="eastAsia" w:ascii="Calibri" w:hAnsi="Calibri"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人，营业收入为</w:t>
      </w:r>
      <w:r>
        <w:rPr>
          <w:rFonts w:hint="eastAsia" w:ascii="Calibri" w:hAnsi="Calibri"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万元，资产总额为</w:t>
      </w:r>
      <w:r>
        <w:rPr>
          <w:rFonts w:hint="eastAsia" w:ascii="Calibri" w:hAnsi="Calibri"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万元，属于</w:t>
      </w:r>
      <w:r>
        <w:rPr>
          <w:rFonts w:hint="eastAsia" w:ascii="宋体" w:hAnsi="宋体" w:eastAsia="宋体" w:cs="Times New Roman"/>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企业名称（盖章）：</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jc w:val="left"/>
        <w:textAlignment w:val="auto"/>
        <w:rPr>
          <w:rFonts w:ascii="宋体" w:hAnsi="宋体" w:eastAsia="宋体" w:cs="Times New Roman"/>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jc w:val="left"/>
        <w:textAlignment w:val="auto"/>
        <w:rPr>
          <w:rFonts w:ascii="宋体" w:hAnsi="宋体" w:eastAsia="宋体" w:cs="Times New Roman"/>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2.《中小企业声明函》随中标结果公开，须同时加盖投标人公章。</w:t>
      </w:r>
    </w:p>
    <w:p>
      <w:pPr>
        <w:bidi w:val="0"/>
        <w:rPr>
          <w:rFonts w:hint="eastAsia"/>
          <w:lang w:val="en-US" w:eastAsia="zh-CN"/>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pPr>
      <w:bookmarkStart w:id="50" w:name="_Toc12602"/>
      <w:r>
        <w:rPr>
          <w:rFonts w:hint="eastAsia"/>
        </w:rPr>
        <w:t>十二、残疾人福利性单位声明函</w:t>
      </w:r>
      <w:bookmarkEnd w:id="50"/>
    </w:p>
    <w:p>
      <w:pP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残疾人福利性单位声明函</w:t>
      </w:r>
    </w:p>
    <w:p>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单位的项目（项目编号：，分包号：）采购活动由本单位提供全部服务。</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pacing w:line="500" w:lineRule="exact"/>
        <w:ind w:firstLine="480"/>
        <w:rPr>
          <w:rFonts w:hint="eastAsia" w:ascii="宋体" w:hAnsi="宋体" w:eastAsia="宋体" w:cs="宋体"/>
          <w:color w:val="auto"/>
          <w:sz w:val="24"/>
          <w:szCs w:val="24"/>
          <w:highlight w:val="none"/>
        </w:rPr>
      </w:pPr>
    </w:p>
    <w:p>
      <w:pPr>
        <w:spacing w:line="560" w:lineRule="exact"/>
        <w:ind w:right="16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pPr>
        <w:spacing w:line="560" w:lineRule="exact"/>
        <w:ind w:right="11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填报说明：</w:t>
      </w:r>
    </w:p>
    <w:p>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请供应商如实填写，</w:t>
      </w:r>
      <w:r>
        <w:rPr>
          <w:rFonts w:hint="eastAsia" w:ascii="宋体" w:hAnsi="宋体" w:eastAsia="宋体" w:cs="宋体"/>
          <w:bCs/>
          <w:color w:val="auto"/>
          <w:sz w:val="24"/>
          <w:szCs w:val="24"/>
          <w:highlight w:val="none"/>
        </w:rPr>
        <w:t>所填内容将作为评审的依据</w:t>
      </w:r>
      <w:r>
        <w:rPr>
          <w:rFonts w:hint="eastAsia" w:ascii="宋体" w:hAnsi="宋体" w:eastAsia="宋体" w:cs="宋体"/>
          <w:color w:val="auto"/>
          <w:sz w:val="24"/>
          <w:szCs w:val="24"/>
          <w:highlight w:val="none"/>
        </w:rPr>
        <w:t>，如填写不完整或不一致或填写有误，将承担一切不利后果。</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2、中标人的《残疾人福利性单位声明函》随中标结果公开。</w:t>
      </w:r>
    </w:p>
    <w:p>
      <w:pPr>
        <w:pStyle w:val="2"/>
        <w:rPr>
          <w:rFonts w:hint="eastAsia" w:ascii="宋体" w:hAnsi="宋体" w:eastAsia="宋体" w:cs="宋体"/>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pPr>
      <w:bookmarkStart w:id="51" w:name="_Toc16815"/>
      <w:r>
        <w:rPr>
          <w:rFonts w:hint="eastAsia"/>
        </w:rPr>
        <w:t>十三、分包意向协议书</w:t>
      </w:r>
      <w:bookmarkEnd w:id="51"/>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jc w:val="center"/>
        <w:textAlignment w:val="auto"/>
        <w:rPr>
          <w:rFonts w:ascii="宋体" w:hAnsi="宋体" w:eastAsia="宋体"/>
          <w:color w:val="auto"/>
          <w:sz w:val="24"/>
          <w:szCs w:val="24"/>
          <w:highlight w:val="none"/>
        </w:rPr>
      </w:pPr>
      <w:r>
        <w:rPr>
          <w:rFonts w:hint="eastAsia" w:ascii="宋体" w:hAnsi="宋体" w:eastAsia="宋体"/>
          <w:b/>
          <w:color w:val="auto"/>
          <w:sz w:val="24"/>
          <w:szCs w:val="24"/>
          <w:highlight w:val="none"/>
        </w:rPr>
        <w:t>分包意向协议书</w:t>
      </w:r>
    </w:p>
    <w:p>
      <w:pPr>
        <w:keepNext w:val="0"/>
        <w:keepLines w:val="0"/>
        <w:pageBreakBefore w:val="0"/>
        <w:widowControl w:val="0"/>
        <w:kinsoku/>
        <w:wordWrap/>
        <w:overflowPunct/>
        <w:topLinePunct w:val="0"/>
        <w:autoSpaceDE/>
        <w:autoSpaceDN/>
        <w:bidi w:val="0"/>
        <w:adjustRightInd w:val="0"/>
        <w:snapToGrid w:val="0"/>
        <w:spacing w:line="360" w:lineRule="auto"/>
        <w:ind w:right="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立约方</w:t>
      </w:r>
      <w:r>
        <w:rPr>
          <w:rFonts w:hint="eastAsia" w:ascii="宋体" w:hAnsi="宋体" w:eastAsia="宋体"/>
          <w:color w:val="auto"/>
          <w:sz w:val="24"/>
          <w:szCs w:val="24"/>
          <w:highlight w:val="none"/>
          <w:u w:val="single"/>
        </w:rPr>
        <w:t>：（甲公司全称）</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u w:val="single"/>
        </w:rPr>
        <w:t>（乙公司全称）</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u w:val="single"/>
        </w:rPr>
        <w:t>（······公司全称）</w:t>
      </w:r>
    </w:p>
    <w:p>
      <w:pPr>
        <w:keepNext w:val="0"/>
        <w:keepLines w:val="0"/>
        <w:pageBreakBefore w:val="0"/>
        <w:widowControl w:val="0"/>
        <w:kinsoku/>
        <w:wordWrap/>
        <w:overflowPunct/>
        <w:topLinePunct w:val="0"/>
        <w:autoSpaceDE/>
        <w:autoSpaceDN/>
        <w:bidi w:val="0"/>
        <w:adjustRightInd w:val="0"/>
        <w:snapToGrid w:val="0"/>
        <w:spacing w:line="360" w:lineRule="auto"/>
        <w:ind w:right="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u w:val="single"/>
        </w:rPr>
        <w:t>（甲公司全称）、（乙公司全称）、（······公司全称）</w:t>
      </w:r>
      <w:r>
        <w:rPr>
          <w:rFonts w:hint="eastAsia" w:ascii="宋体" w:hAnsi="宋体" w:eastAsia="宋体"/>
          <w:color w:val="auto"/>
          <w:sz w:val="24"/>
          <w:szCs w:val="24"/>
          <w:highlight w:val="none"/>
        </w:rPr>
        <w:t>自愿达成分包意向，参加</w:t>
      </w:r>
      <w:r>
        <w:rPr>
          <w:rFonts w:hint="eastAsia" w:ascii="宋体" w:hAnsi="宋体" w:eastAsia="宋体"/>
          <w:color w:val="auto"/>
          <w:sz w:val="24"/>
          <w:szCs w:val="24"/>
          <w:highlight w:val="none"/>
          <w:u w:val="single"/>
        </w:rPr>
        <w:t>（采购项目名称）（采购项目编号）</w:t>
      </w:r>
      <w:r>
        <w:rPr>
          <w:rFonts w:hint="eastAsia" w:ascii="宋体" w:hAnsi="宋体" w:eastAsia="宋体"/>
          <w:color w:val="auto"/>
          <w:sz w:val="24"/>
          <w:szCs w:val="24"/>
          <w:highlight w:val="none"/>
        </w:rPr>
        <w:t>的响应活动。经各方充分协商一致，就项目的响应和合同实施阶段的有关事务协商一致订立意向如下：</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一、分包意向各方关系</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u w:val="single"/>
        </w:rPr>
        <w:t>（甲公司全称）为投标方、（乙公司全称）、（······公司全称）</w:t>
      </w:r>
      <w:r>
        <w:rPr>
          <w:rFonts w:hint="eastAsia" w:ascii="宋体" w:hAnsi="宋体" w:eastAsia="宋体"/>
          <w:color w:val="auto"/>
          <w:sz w:val="24"/>
          <w:szCs w:val="24"/>
          <w:highlight w:val="none"/>
        </w:rPr>
        <w:t>为分包意向供应商，</w:t>
      </w:r>
      <w:r>
        <w:rPr>
          <w:rFonts w:hint="eastAsia" w:ascii="宋体" w:hAnsi="宋体" w:eastAsia="宋体"/>
          <w:color w:val="auto"/>
          <w:sz w:val="24"/>
          <w:szCs w:val="24"/>
          <w:highlight w:val="none"/>
          <w:u w:val="single"/>
        </w:rPr>
        <w:t>（甲公司全称）</w:t>
      </w:r>
      <w:r>
        <w:rPr>
          <w:rFonts w:hint="eastAsia" w:ascii="宋体" w:hAnsi="宋体" w:eastAsia="宋体"/>
          <w:color w:val="auto"/>
          <w:sz w:val="24"/>
          <w:szCs w:val="24"/>
          <w:highlight w:val="none"/>
        </w:rPr>
        <w:t>以投标供应商的身份参加本项目的响应。若中标，</w:t>
      </w:r>
      <w:r>
        <w:rPr>
          <w:rFonts w:hint="eastAsia" w:ascii="宋体" w:hAnsi="宋体" w:eastAsia="宋体"/>
          <w:color w:val="auto"/>
          <w:sz w:val="24"/>
          <w:szCs w:val="24"/>
          <w:highlight w:val="none"/>
          <w:u w:val="single"/>
        </w:rPr>
        <w:t>（甲公司全称）与采购人</w:t>
      </w:r>
      <w:r>
        <w:rPr>
          <w:rFonts w:hint="eastAsia" w:ascii="宋体" w:hAnsi="宋体" w:eastAsia="宋体"/>
          <w:color w:val="auto"/>
          <w:sz w:val="24"/>
          <w:szCs w:val="24"/>
          <w:highlight w:val="none"/>
        </w:rPr>
        <w:t>签订政府采购合同。承接分包意向的各供应商与</w:t>
      </w:r>
      <w:r>
        <w:rPr>
          <w:rFonts w:hint="eastAsia" w:ascii="宋体" w:hAnsi="宋体" w:eastAsia="宋体"/>
          <w:color w:val="auto"/>
          <w:sz w:val="24"/>
          <w:szCs w:val="24"/>
          <w:highlight w:val="none"/>
          <w:u w:val="single"/>
        </w:rPr>
        <w:t>（甲公司全称）</w:t>
      </w:r>
      <w:r>
        <w:rPr>
          <w:rFonts w:hint="eastAsia" w:ascii="宋体" w:hAnsi="宋体" w:eastAsia="宋体"/>
          <w:color w:val="auto"/>
          <w:sz w:val="24"/>
          <w:szCs w:val="24"/>
          <w:highlight w:val="none"/>
        </w:rPr>
        <w:t>签订分包合同。</w:t>
      </w:r>
      <w:r>
        <w:rPr>
          <w:rFonts w:hint="eastAsia" w:ascii="宋体" w:hAnsi="宋体" w:eastAsia="宋体"/>
          <w:color w:val="auto"/>
          <w:sz w:val="24"/>
          <w:szCs w:val="24"/>
          <w:highlight w:val="none"/>
          <w:u w:val="single"/>
        </w:rPr>
        <w:t>（甲公司全称）</w:t>
      </w:r>
      <w:r>
        <w:rPr>
          <w:rFonts w:hint="eastAsia" w:ascii="宋体" w:hAnsi="宋体" w:eastAsia="宋体"/>
          <w:color w:val="auto"/>
          <w:sz w:val="24"/>
          <w:szCs w:val="24"/>
          <w:highlight w:val="none"/>
        </w:rPr>
        <w:t>就采购项目和分包项目向采购人负责，分包供应商就分包项目承担责任。</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二、有关事项约定如下：</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1．如中标，分包供应商分别与</w:t>
      </w:r>
      <w:r>
        <w:rPr>
          <w:rFonts w:hint="eastAsia" w:ascii="宋体" w:hAnsi="宋体" w:eastAsia="宋体"/>
          <w:color w:val="auto"/>
          <w:sz w:val="24"/>
          <w:szCs w:val="24"/>
          <w:highlight w:val="none"/>
          <w:u w:val="single"/>
        </w:rPr>
        <w:t>（甲公司全称）</w:t>
      </w:r>
      <w:r>
        <w:rPr>
          <w:rFonts w:hint="eastAsia" w:ascii="宋体" w:hAnsi="宋体" w:eastAsia="宋体"/>
          <w:color w:val="auto"/>
          <w:sz w:val="24"/>
          <w:szCs w:val="24"/>
          <w:highlight w:val="none"/>
        </w:rPr>
        <w:t>签订合同书，并就中标项目分包部分承担法律责任；</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2．分包意向供应商1</w:t>
      </w:r>
      <w:r>
        <w:rPr>
          <w:rFonts w:hint="eastAsia" w:ascii="宋体" w:hAnsi="宋体" w:eastAsia="宋体"/>
          <w:color w:val="auto"/>
          <w:sz w:val="24"/>
          <w:szCs w:val="24"/>
          <w:highlight w:val="none"/>
          <w:u w:val="single"/>
        </w:rPr>
        <w:t>（公司全称）为（请填写：大型、中型、小型、微型）企业</w:t>
      </w:r>
      <w:r>
        <w:rPr>
          <w:rFonts w:hint="eastAsia" w:ascii="宋体" w:hAnsi="宋体" w:eastAsia="宋体"/>
          <w:color w:val="auto"/>
          <w:sz w:val="24"/>
          <w:szCs w:val="24"/>
          <w:highlight w:val="none"/>
        </w:rPr>
        <w:t>，将承担适宜分包部分</w:t>
      </w:r>
      <w:r>
        <w:rPr>
          <w:rFonts w:hint="eastAsia" w:ascii="宋体" w:hAnsi="宋体" w:eastAsia="宋体"/>
          <w:color w:val="auto"/>
          <w:sz w:val="24"/>
          <w:szCs w:val="24"/>
          <w:highlight w:val="none"/>
          <w:u w:val="single"/>
        </w:rPr>
        <w:t>（具体分包内容）</w:t>
      </w:r>
      <w:r>
        <w:rPr>
          <w:rFonts w:hint="eastAsia" w:ascii="宋体" w:hAnsi="宋体" w:eastAsia="宋体"/>
          <w:color w:val="auto"/>
          <w:sz w:val="24"/>
          <w:szCs w:val="24"/>
          <w:highlight w:val="none"/>
        </w:rPr>
        <w:t>占合同总金额＿％的工作内容。</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3．分包意向供应商2</w:t>
      </w:r>
      <w:r>
        <w:rPr>
          <w:rFonts w:hint="eastAsia" w:ascii="宋体" w:hAnsi="宋体" w:eastAsia="宋体"/>
          <w:color w:val="auto"/>
          <w:sz w:val="24"/>
          <w:szCs w:val="24"/>
          <w:highlight w:val="none"/>
          <w:u w:val="single"/>
        </w:rPr>
        <w:t>（公司全称）为（请填写：大型、中型、小型、微型）企业</w:t>
      </w:r>
      <w:r>
        <w:rPr>
          <w:rFonts w:hint="eastAsia" w:ascii="宋体" w:hAnsi="宋体" w:eastAsia="宋体"/>
          <w:color w:val="auto"/>
          <w:sz w:val="24"/>
          <w:szCs w:val="24"/>
          <w:highlight w:val="none"/>
        </w:rPr>
        <w:t>，将承担适宜分包部分</w:t>
      </w:r>
      <w:r>
        <w:rPr>
          <w:rFonts w:hint="eastAsia" w:ascii="宋体" w:hAnsi="宋体" w:eastAsia="宋体"/>
          <w:color w:val="auto"/>
          <w:sz w:val="24"/>
          <w:szCs w:val="24"/>
          <w:highlight w:val="none"/>
          <w:u w:val="single"/>
        </w:rPr>
        <w:t>（具体分包内容）占</w:t>
      </w:r>
      <w:r>
        <w:rPr>
          <w:rFonts w:hint="eastAsia" w:ascii="宋体" w:hAnsi="宋体" w:eastAsia="宋体"/>
          <w:color w:val="auto"/>
          <w:sz w:val="24"/>
          <w:szCs w:val="24"/>
          <w:highlight w:val="none"/>
        </w:rPr>
        <w:t>合同总金额</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rPr>
        <w:t>％的工作内容。</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三、接受分包的企业与分包企业之间的关系：</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1．分包意向供应商1</w:t>
      </w:r>
      <w:r>
        <w:rPr>
          <w:rFonts w:hint="eastAsia" w:ascii="宋体" w:hAnsi="宋体" w:eastAsia="宋体"/>
          <w:color w:val="auto"/>
          <w:sz w:val="24"/>
          <w:szCs w:val="24"/>
          <w:highlight w:val="none"/>
          <w:u w:val="single"/>
        </w:rPr>
        <w:t>（公司全称）</w:t>
      </w:r>
      <w:r>
        <w:rPr>
          <w:rFonts w:hint="eastAsia" w:ascii="宋体" w:hAnsi="宋体" w:eastAsia="宋体"/>
          <w:color w:val="auto"/>
          <w:sz w:val="24"/>
          <w:szCs w:val="24"/>
          <w:highlight w:val="none"/>
        </w:rPr>
        <w:t>与分包企业之间</w:t>
      </w:r>
      <w:r>
        <w:rPr>
          <w:rFonts w:hint="eastAsia" w:ascii="宋体" w:hAnsi="宋体" w:eastAsia="宋体"/>
          <w:color w:val="auto"/>
          <w:sz w:val="24"/>
          <w:szCs w:val="24"/>
          <w:highlight w:val="none"/>
          <w:u w:val="single"/>
        </w:rPr>
        <w:t>（请填写：是否存在）</w:t>
      </w:r>
      <w:r>
        <w:rPr>
          <w:rFonts w:hint="eastAsia" w:ascii="宋体" w:hAnsi="宋体" w:eastAsia="宋体"/>
          <w:color w:val="auto"/>
          <w:sz w:val="24"/>
          <w:szCs w:val="24"/>
          <w:highlight w:val="none"/>
        </w:rPr>
        <w:t>直接控股、管理关系的情形。</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2．分包意向供应商2</w:t>
      </w:r>
      <w:r>
        <w:rPr>
          <w:rFonts w:hint="eastAsia" w:ascii="宋体" w:hAnsi="宋体" w:eastAsia="宋体"/>
          <w:color w:val="auto"/>
          <w:sz w:val="24"/>
          <w:szCs w:val="24"/>
          <w:highlight w:val="none"/>
          <w:u w:val="single"/>
        </w:rPr>
        <w:t>（公司全称）</w:t>
      </w:r>
      <w:r>
        <w:rPr>
          <w:rFonts w:hint="eastAsia" w:ascii="宋体" w:hAnsi="宋体" w:eastAsia="宋体"/>
          <w:color w:val="auto"/>
          <w:sz w:val="24"/>
          <w:szCs w:val="24"/>
          <w:highlight w:val="none"/>
        </w:rPr>
        <w:t>与分包企业之间</w:t>
      </w:r>
      <w:r>
        <w:rPr>
          <w:rFonts w:hint="eastAsia" w:ascii="宋体" w:hAnsi="宋体" w:eastAsia="宋体"/>
          <w:color w:val="auto"/>
          <w:sz w:val="24"/>
          <w:szCs w:val="24"/>
          <w:highlight w:val="none"/>
          <w:u w:val="single"/>
        </w:rPr>
        <w:t>（请填写：是否存在）</w:t>
      </w:r>
      <w:r>
        <w:rPr>
          <w:rFonts w:hint="eastAsia" w:ascii="宋体" w:hAnsi="宋体" w:eastAsia="宋体"/>
          <w:color w:val="auto"/>
          <w:sz w:val="24"/>
          <w:szCs w:val="24"/>
          <w:highlight w:val="none"/>
        </w:rPr>
        <w:t>直接控股、管理关系的情形。</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四、如因违约过失责任而导致采购人经济损失或被索赔时，</w:t>
      </w:r>
      <w:r>
        <w:rPr>
          <w:rFonts w:hint="eastAsia" w:ascii="宋体" w:hAnsi="宋体" w:eastAsia="宋体"/>
          <w:color w:val="auto"/>
          <w:sz w:val="24"/>
          <w:szCs w:val="24"/>
          <w:highlight w:val="none"/>
          <w:u w:val="single"/>
        </w:rPr>
        <w:t>（甲公司全称）</w:t>
      </w:r>
      <w:r>
        <w:rPr>
          <w:rFonts w:hint="eastAsia" w:ascii="宋体" w:hAnsi="宋体" w:eastAsia="宋体"/>
          <w:color w:val="auto"/>
          <w:sz w:val="24"/>
          <w:szCs w:val="24"/>
          <w:highlight w:val="none"/>
        </w:rPr>
        <w:t>同意无条件优先清偿采购人的一切债务和经济赔偿。</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五、如中标，分包意向供应商不得以任何理由提出终止本意向协议。</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六、本意向书在自签署之日起生效，有效期内有效，如获中标资格，有效期延续至合同履行完毕之日。</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甲公司全称：（盖章）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乙公司全称：（盖章）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······公司全称（盖章）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注：</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1.各方成员应在本意向书上共同盖章确认。</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2.本意向书内容将作为签订合同的附件之一。</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hint="eastAsia" w:ascii="宋体" w:hAnsi="宋体" w:eastAsia="宋体"/>
          <w:b/>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b/>
          <w:color w:val="auto"/>
          <w:sz w:val="24"/>
          <w:szCs w:val="24"/>
          <w:highlight w:val="none"/>
        </w:rPr>
        <w:t>3.按照第一章 投标邀请 资格条件：（二）落实政府采购政策需满足的资格要求，提供对应的《中小企业声明函》等证明材料。</w:t>
      </w:r>
    </w:p>
    <w:p>
      <w:pPr>
        <w:keepNext/>
        <w:keepLines/>
        <w:spacing w:before="360" w:after="200" w:line="360" w:lineRule="auto"/>
        <w:jc w:val="left"/>
        <w:outlineLvl w:val="1"/>
        <w:rPr>
          <w:rStyle w:val="28"/>
        </w:rPr>
      </w:pPr>
      <w:r>
        <w:rPr>
          <w:rFonts w:hint="eastAsia" w:ascii="宋体" w:hAnsi="宋体" w:eastAsia="宋体" w:cs="宋体"/>
          <w:sz w:val="24"/>
          <w:szCs w:val="24"/>
          <w:lang w:val="en-US" w:eastAsia="zh-CN"/>
        </w:rPr>
        <w:t xml:space="preserve"> </w:t>
      </w:r>
      <w:bookmarkStart w:id="52" w:name="_Toc27540"/>
      <w:r>
        <w:rPr>
          <w:rStyle w:val="28"/>
          <w:rFonts w:hint="eastAsia"/>
        </w:rPr>
        <w:t>十</w:t>
      </w:r>
      <w:r>
        <w:rPr>
          <w:rStyle w:val="28"/>
          <w:rFonts w:hint="eastAsia"/>
          <w:lang w:val="en-US" w:eastAsia="zh-CN"/>
        </w:rPr>
        <w:t>四</w:t>
      </w:r>
      <w:r>
        <w:rPr>
          <w:rStyle w:val="28"/>
          <w:rFonts w:hint="eastAsia"/>
        </w:rPr>
        <w:t>、技术要求响应及偏离表（如有请提供）</w:t>
      </w:r>
      <w:bookmarkEnd w:id="52"/>
    </w:p>
    <w:p>
      <w:pPr>
        <w:tabs>
          <w:tab w:val="left" w:pos="36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技术要求响应及偏离表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      分包号：</w:t>
      </w:r>
    </w:p>
    <w:tbl>
      <w:tblPr>
        <w:tblStyle w:val="1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3402"/>
        <w:gridCol w:w="3261"/>
        <w:gridCol w:w="18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99"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3402"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招标文件要求</w:t>
            </w:r>
          </w:p>
        </w:tc>
        <w:tc>
          <w:tcPr>
            <w:tcW w:w="3261"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投标响应情况</w:t>
            </w:r>
          </w:p>
        </w:tc>
        <w:tc>
          <w:tcPr>
            <w:tcW w:w="1805"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0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0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0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0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bl>
    <w:p>
      <w:pPr>
        <w:spacing w:line="500" w:lineRule="exact"/>
        <w:ind w:firstLine="480"/>
        <w:rPr>
          <w:rFonts w:hint="eastAsia" w:ascii="宋体" w:hAnsi="宋体" w:eastAsia="宋体" w:cs="宋体"/>
          <w:color w:val="auto"/>
          <w:sz w:val="24"/>
          <w:szCs w:val="24"/>
          <w:highlight w:val="none"/>
        </w:rPr>
      </w:pPr>
    </w:p>
    <w:p>
      <w:pPr>
        <w:spacing w:line="500" w:lineRule="exact"/>
        <w:ind w:firstLine="480"/>
        <w:rPr>
          <w:rFonts w:hint="eastAsia" w:ascii="宋体" w:hAnsi="宋体" w:eastAsia="宋体" w:cs="宋体"/>
          <w:color w:val="auto"/>
          <w:sz w:val="24"/>
          <w:szCs w:val="24"/>
          <w:highlight w:val="none"/>
        </w:rPr>
      </w:pP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pPr>
        <w:rPr>
          <w:rFonts w:hint="eastAsia"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br w:type="page" w:clear="all"/>
      </w:r>
    </w:p>
    <w:p>
      <w:pPr>
        <w:pStyle w:val="6"/>
        <w:bidi w:val="0"/>
        <w:ind w:left="0" w:leftChars="0" w:firstLine="0" w:firstLineChars="0"/>
      </w:pPr>
      <w:bookmarkStart w:id="53" w:name="_Toc16270"/>
      <w:r>
        <w:rPr>
          <w:rFonts w:hint="eastAsia"/>
        </w:rPr>
        <w:t>十</w:t>
      </w:r>
      <w:r>
        <w:rPr>
          <w:rFonts w:hint="eastAsia"/>
          <w:lang w:val="en-US" w:eastAsia="zh-CN"/>
        </w:rPr>
        <w:t>五</w:t>
      </w:r>
      <w:r>
        <w:rPr>
          <w:rFonts w:hint="eastAsia"/>
        </w:rPr>
        <w:t>、商务要求响应及偏离表</w:t>
      </w:r>
      <w:bookmarkEnd w:id="53"/>
    </w:p>
    <w:p>
      <w:pPr>
        <w:tabs>
          <w:tab w:val="left" w:pos="36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商务要求响应及偏离表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w:t>
      </w:r>
    </w:p>
    <w:tbl>
      <w:tblPr>
        <w:tblStyle w:val="1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3261"/>
        <w:gridCol w:w="3402"/>
        <w:gridCol w:w="1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2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bookmarkStart w:id="54" w:name="_Hlt26671343"/>
            <w:bookmarkEnd w:id="54"/>
            <w:bookmarkStart w:id="55" w:name="_Hlt24879081"/>
            <w:bookmarkEnd w:id="55"/>
            <w:bookmarkStart w:id="56" w:name="_Hlt26609391"/>
            <w:bookmarkEnd w:id="56"/>
            <w:bookmarkStart w:id="57" w:name="_Hlt26955064"/>
            <w:bookmarkEnd w:id="57"/>
            <w:bookmarkStart w:id="58" w:name="_Hlt26955056"/>
            <w:bookmarkEnd w:id="58"/>
            <w:bookmarkStart w:id="59" w:name="_Hlt26580838"/>
            <w:bookmarkEnd w:id="59"/>
            <w:bookmarkStart w:id="60" w:name="_Hlt26782999"/>
            <w:bookmarkEnd w:id="60"/>
            <w:bookmarkStart w:id="61" w:name="_Hlt26671372"/>
            <w:bookmarkEnd w:id="61"/>
            <w:r>
              <w:rPr>
                <w:rFonts w:hint="eastAsia" w:ascii="宋体" w:hAnsi="宋体" w:eastAsia="宋体" w:cs="宋体"/>
                <w:color w:val="auto"/>
                <w:sz w:val="24"/>
                <w:szCs w:val="24"/>
                <w:highlight w:val="none"/>
                <w:lang w:val="en-US" w:eastAsia="zh-CN" w:bidi="ar-SA"/>
              </w:rPr>
              <w:t>序号</w:t>
            </w: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招标文件要求</w:t>
            </w: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投标响应情况</w:t>
            </w:r>
          </w:p>
        </w:tc>
        <w:tc>
          <w:tcPr>
            <w:tcW w:w="18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326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340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42"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bl>
    <w:p>
      <w:pPr>
        <w:spacing w:line="500" w:lineRule="exact"/>
        <w:ind w:firstLine="480"/>
        <w:rPr>
          <w:rFonts w:hint="eastAsia" w:ascii="宋体" w:hAnsi="宋体" w:eastAsia="宋体" w:cs="宋体"/>
          <w:color w:val="auto"/>
          <w:sz w:val="24"/>
          <w:szCs w:val="24"/>
          <w:highlight w:val="none"/>
        </w:rPr>
      </w:pPr>
    </w:p>
    <w:p>
      <w:pPr>
        <w:spacing w:line="500" w:lineRule="exact"/>
        <w:ind w:firstLine="480"/>
        <w:rPr>
          <w:rFonts w:hint="eastAsia" w:ascii="宋体" w:hAnsi="宋体" w:eastAsia="宋体" w:cs="宋体"/>
          <w:color w:val="auto"/>
          <w:sz w:val="24"/>
          <w:szCs w:val="24"/>
          <w:highlight w:val="none"/>
        </w:rPr>
      </w:pP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pPr>
        <w:rPr>
          <w:rFonts w:hint="eastAsia" w:ascii="宋体" w:hAnsi="宋体" w:eastAsia="宋体" w:cs="宋体"/>
          <w:color w:val="auto"/>
          <w:sz w:val="24"/>
          <w:szCs w:val="24"/>
          <w:highlight w:val="none"/>
        </w:rPr>
      </w:pPr>
      <w:bookmarkStart w:id="62" w:name="_Hlt26609389"/>
      <w:bookmarkEnd w:id="62"/>
      <w:bookmarkStart w:id="63" w:name="_Hlt26671374"/>
      <w:bookmarkEnd w:id="63"/>
      <w:bookmarkStart w:id="64" w:name="_格式2__法定代表人授权书"/>
      <w:bookmarkEnd w:id="64"/>
      <w:bookmarkStart w:id="65" w:name="_Hlt26955066"/>
      <w:bookmarkEnd w:id="65"/>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eastAsia="宋体"/>
          <w:color w:val="auto"/>
          <w:highlight w:val="none"/>
        </w:rPr>
      </w:pPr>
    </w:p>
    <w:p>
      <w:pPr>
        <w:rPr>
          <w:rFonts w:ascii="Arial" w:hAnsi="Arial" w:eastAsia="宋体" w:cs="Arial"/>
          <w:b/>
          <w:iCs/>
          <w:color w:val="auto"/>
          <w:sz w:val="36"/>
          <w:highlight w:val="none"/>
        </w:rPr>
      </w:pPr>
      <w:r>
        <w:rPr>
          <w:rFonts w:hint="eastAsia" w:ascii="Arial" w:hAnsi="Arial" w:eastAsia="宋体" w:cs="Arial"/>
          <w:b/>
          <w:iCs/>
          <w:color w:val="auto"/>
          <w:sz w:val="36"/>
          <w:highlight w:val="none"/>
        </w:rPr>
        <w:br w:type="page" w:clear="all"/>
      </w:r>
    </w:p>
    <w:p>
      <w:pPr>
        <w:pStyle w:val="6"/>
        <w:bidi w:val="0"/>
        <w:ind w:left="0" w:leftChars="0" w:firstLine="0" w:firstLineChars="0"/>
      </w:pPr>
      <w:bookmarkStart w:id="66" w:name="_Toc25682"/>
      <w:r>
        <w:rPr>
          <w:rFonts w:hint="eastAsia"/>
        </w:rPr>
        <w:t>十</w:t>
      </w:r>
      <w:r>
        <w:rPr>
          <w:rFonts w:hint="eastAsia"/>
          <w:lang w:val="en-US" w:eastAsia="zh-CN"/>
        </w:rPr>
        <w:t>六</w:t>
      </w:r>
      <w:r>
        <w:rPr>
          <w:rFonts w:hint="eastAsia"/>
        </w:rPr>
        <w:t>、类似项目业绩一览表</w:t>
      </w:r>
      <w:bookmarkEnd w:id="66"/>
    </w:p>
    <w:p>
      <w:pPr>
        <w:tabs>
          <w:tab w:val="left" w:pos="36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类似项目业绩一览表</w:t>
      </w:r>
    </w:p>
    <w:p>
      <w:pPr>
        <w:spacing w:line="360" w:lineRule="auto"/>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w:t>
      </w:r>
    </w:p>
    <w:tbl>
      <w:tblPr>
        <w:tblStyle w:val="1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8"/>
        <w:gridCol w:w="2686"/>
        <w:gridCol w:w="1850"/>
        <w:gridCol w:w="1985"/>
        <w:gridCol w:w="13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808"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2686"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项目名称</w:t>
            </w:r>
          </w:p>
        </w:tc>
        <w:tc>
          <w:tcPr>
            <w:tcW w:w="1850"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签订时间</w:t>
            </w:r>
          </w:p>
        </w:tc>
        <w:tc>
          <w:tcPr>
            <w:tcW w:w="1985"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采购单位</w:t>
            </w:r>
          </w:p>
        </w:tc>
        <w:tc>
          <w:tcPr>
            <w:tcW w:w="1309" w:type="dxa"/>
            <w:noWrap w:val="0"/>
            <w:vAlign w:val="center"/>
          </w:tcPr>
          <w:p>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2686"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5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98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30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2686"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5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98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30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2686"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5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98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30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2686"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85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98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30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bl>
    <w:p>
      <w:pPr>
        <w:spacing w:line="500" w:lineRule="exact"/>
        <w:ind w:firstLine="480"/>
        <w:rPr>
          <w:rFonts w:hint="eastAsia" w:ascii="宋体" w:hAnsi="宋体" w:eastAsia="宋体" w:cs="宋体"/>
          <w:color w:val="auto"/>
          <w:sz w:val="24"/>
          <w:szCs w:val="24"/>
          <w:highlight w:val="none"/>
        </w:rPr>
      </w:pPr>
    </w:p>
    <w:p>
      <w:pPr>
        <w:spacing w:line="500" w:lineRule="exact"/>
        <w:ind w:firstLine="480"/>
        <w:rPr>
          <w:rFonts w:hint="eastAsia" w:ascii="宋体" w:hAnsi="宋体" w:eastAsia="宋体" w:cs="宋体"/>
          <w:color w:val="auto"/>
          <w:sz w:val="24"/>
          <w:szCs w:val="24"/>
          <w:highlight w:val="none"/>
        </w:rPr>
      </w:pP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pPr>
        <w:pStyle w:val="2"/>
        <w:ind w:left="0" w:leftChars="0" w:firstLine="0" w:firstLineChars="0"/>
        <w:rPr>
          <w:rFonts w:hint="eastAsia" w:ascii="宋体" w:hAnsi="宋体" w:eastAsia="宋体" w:cs="宋体"/>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pStyle w:val="6"/>
        <w:bidi w:val="0"/>
        <w:ind w:left="0" w:leftChars="0" w:firstLine="0" w:firstLineChars="0"/>
      </w:pPr>
      <w:bookmarkStart w:id="67" w:name="_Toc4828"/>
      <w:r>
        <w:rPr>
          <w:rFonts w:hint="eastAsia"/>
        </w:rPr>
        <w:t>十</w:t>
      </w:r>
      <w:r>
        <w:rPr>
          <w:rFonts w:hint="eastAsia"/>
          <w:lang w:val="en-US" w:eastAsia="zh-CN"/>
        </w:rPr>
        <w:t>七</w:t>
      </w:r>
      <w:r>
        <w:rPr>
          <w:rFonts w:hint="eastAsia"/>
        </w:rPr>
        <w:t>、项目团队人员一览表</w:t>
      </w:r>
      <w:bookmarkEnd w:id="67"/>
    </w:p>
    <w:p>
      <w:pPr>
        <w:tabs>
          <w:tab w:val="left" w:pos="36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项目团队人员一览表</w:t>
      </w:r>
    </w:p>
    <w:p>
      <w:pPr>
        <w:spacing w:line="360" w:lineRule="auto"/>
        <w:ind w:firstLine="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项目编号： </w:t>
      </w:r>
    </w:p>
    <w:tbl>
      <w:tblPr>
        <w:tblStyle w:val="1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5"/>
        <w:gridCol w:w="1559"/>
        <w:gridCol w:w="1984"/>
        <w:gridCol w:w="1560"/>
        <w:gridCol w:w="1338"/>
        <w:gridCol w:w="16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2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155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本项目拟担任职务</w:t>
            </w:r>
          </w:p>
        </w:tc>
        <w:tc>
          <w:tcPr>
            <w:tcW w:w="1984"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技术职称、专业资质</w:t>
            </w:r>
          </w:p>
        </w:tc>
        <w:tc>
          <w:tcPr>
            <w:tcW w:w="1560"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学历</w:t>
            </w:r>
          </w:p>
        </w:tc>
        <w:tc>
          <w:tcPr>
            <w:tcW w:w="133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年龄</w:t>
            </w:r>
          </w:p>
        </w:tc>
        <w:tc>
          <w:tcPr>
            <w:tcW w:w="160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55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984"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56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33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60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55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984"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56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33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60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55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984"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56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33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60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559"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984"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560" w:type="dxa"/>
            <w:noWrap w:val="0"/>
            <w:vAlign w:val="top"/>
          </w:tcPr>
          <w:p>
            <w:pPr>
              <w:widowControl w:val="0"/>
              <w:jc w:val="center"/>
              <w:rPr>
                <w:rFonts w:hint="eastAsia" w:ascii="宋体" w:hAnsi="宋体" w:eastAsia="宋体" w:cs="宋体"/>
                <w:color w:val="auto"/>
                <w:sz w:val="24"/>
                <w:szCs w:val="24"/>
                <w:highlight w:val="none"/>
                <w:lang w:val="en-US" w:eastAsia="zh-CN" w:bidi="ar-SA"/>
              </w:rPr>
            </w:pPr>
          </w:p>
        </w:tc>
        <w:tc>
          <w:tcPr>
            <w:tcW w:w="1338"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c>
          <w:tcPr>
            <w:tcW w:w="1601" w:type="dxa"/>
            <w:noWrap w:val="0"/>
            <w:vAlign w:val="center"/>
          </w:tcPr>
          <w:p>
            <w:pPr>
              <w:widowControl w:val="0"/>
              <w:jc w:val="center"/>
              <w:rPr>
                <w:rFonts w:hint="eastAsia" w:ascii="宋体" w:hAnsi="宋体" w:eastAsia="宋体" w:cs="宋体"/>
                <w:color w:val="auto"/>
                <w:sz w:val="24"/>
                <w:szCs w:val="24"/>
                <w:highlight w:val="none"/>
                <w:lang w:val="en-US" w:eastAsia="zh-CN" w:bidi="ar-SA"/>
              </w:rPr>
            </w:pPr>
          </w:p>
        </w:tc>
      </w:tr>
    </w:tbl>
    <w:p>
      <w:pPr>
        <w:spacing w:line="500" w:lineRule="exact"/>
        <w:ind w:firstLine="480"/>
        <w:rPr>
          <w:rFonts w:hint="eastAsia" w:ascii="宋体" w:hAnsi="宋体" w:eastAsia="宋体" w:cs="宋体"/>
          <w:color w:val="auto"/>
          <w:sz w:val="24"/>
          <w:szCs w:val="24"/>
          <w:highlight w:val="none"/>
        </w:rPr>
      </w:pPr>
    </w:p>
    <w:p>
      <w:pPr>
        <w:spacing w:line="500" w:lineRule="exact"/>
        <w:ind w:firstLine="480"/>
        <w:rPr>
          <w:rFonts w:hint="eastAsia" w:ascii="宋体" w:hAnsi="宋体" w:eastAsia="宋体" w:cs="宋体"/>
          <w:color w:val="auto"/>
          <w:sz w:val="24"/>
          <w:szCs w:val="24"/>
          <w:highlight w:val="none"/>
        </w:rPr>
      </w:pP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pPr>
        <w:rPr>
          <w:rFonts w:eastAsia="宋体"/>
          <w:color w:val="auto"/>
          <w:highlight w:val="none"/>
        </w:rPr>
      </w:pPr>
    </w:p>
    <w:p>
      <w:pPr>
        <w:pStyle w:val="2"/>
        <w:ind w:left="0" w:leftChars="0" w:firstLine="0" w:firstLineChars="0"/>
        <w:rPr>
          <w:rFonts w:hint="eastAsia" w:ascii="宋体" w:hAnsi="宋体" w:eastAsia="宋体" w:cs="宋体"/>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质疑函范本</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联系人：联系电话：</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质疑项目的编号：包号：</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具体要求详见第二章 投标人须知 八、询问与质疑。</w:t>
      </w:r>
    </w:p>
    <w:p>
      <w:pPr>
        <w:keepNext w:val="0"/>
        <w:keepLines w:val="0"/>
        <w:pageBreakBefore w:val="0"/>
        <w:widowControl w:val="0"/>
        <w:kinsoku/>
        <w:wordWrap/>
        <w:overflowPunct/>
        <w:topLinePunct w:val="0"/>
        <w:autoSpaceDE/>
        <w:autoSpaceDN/>
        <w:bidi w:val="0"/>
        <w:adjustRightInd w:val="0"/>
        <w:snapToGrid w:val="0"/>
        <w:spacing w:after="0" w:afterLines="0" w:line="360" w:lineRule="auto"/>
        <w:ind w:firstLine="480" w:firstLineChars="200"/>
        <w:jc w:val="both"/>
        <w:textAlignment w:val="auto"/>
        <w:rPr>
          <w:rFonts w:hint="eastAsia" w:ascii="宋体" w:hAnsi="宋体" w:eastAsia="宋体" w:cs="宋体"/>
          <w:color w:val="auto"/>
          <w:sz w:val="24"/>
          <w:szCs w:val="24"/>
          <w:highlight w:val="none"/>
          <w:lang w:eastAsia="zh-CN"/>
        </w:rPr>
      </w:pPr>
    </w:p>
    <w:p>
      <w:pPr>
        <w:pStyle w:val="2"/>
        <w:keepNext w:val="0"/>
        <w:keepLines w:val="0"/>
        <w:pageBreakBefore w:val="0"/>
        <w:kinsoku/>
        <w:wordWrap/>
        <w:overflowPunct/>
        <w:topLinePunct w:val="0"/>
        <w:autoSpaceDE/>
        <w:autoSpaceDN/>
        <w:bidi w:val="0"/>
        <w:adjustRightInd w:val="0"/>
        <w:snapToGrid w:val="0"/>
        <w:spacing w:after="0" w:afterLines="0" w:line="360" w:lineRule="auto"/>
        <w:ind w:left="0" w:leftChars="0" w:firstLine="480" w:firstLineChars="200"/>
        <w:textAlignment w:val="auto"/>
        <w:rPr>
          <w:rFonts w:hint="eastAsia" w:ascii="宋体" w:hAnsi="宋体" w:eastAsia="宋体" w:cs="宋体"/>
          <w:sz w:val="24"/>
          <w:szCs w:val="24"/>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S Mincho">
    <w:altName w:val="Microsoft YaHei UI"/>
    <w:panose1 w:val="02020603050405090304"/>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hint="default"/>
      </w:rPr>
    </w:pPr>
    <w:r>
      <w:rPr>
        <w:rFonts w:hint="default"/>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1"/>
                            <w:rPr>
                              <w:rFonts w:hint="default"/>
                            </w:rPr>
                          </w:pPr>
                          <w:r>
                            <w:rPr>
                              <w:rFonts w:hint="default"/>
                            </w:rPr>
                            <w:fldChar w:fldCharType="begin"/>
                          </w:r>
                          <w:r>
                            <w:rPr>
                              <w:rFonts w:hint="default"/>
                            </w:rPr>
                            <w:instrText xml:space="preserve"> PAGE  \* MERGEFORMAT </w:instrText>
                          </w:r>
                          <w:r>
                            <w:rPr>
                              <w:rFonts w:hint="default"/>
                            </w:rPr>
                            <w:fldChar w:fldCharType="separate"/>
                          </w:r>
                          <w:r>
                            <w:rPr>
                              <w:rFonts w:hint="default"/>
                            </w:rPr>
                            <w:t>1</w:t>
                          </w:r>
                          <w:r>
                            <w:rPr>
                              <w:rFonts w:hint="default"/>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11"/>
                      <w:rPr>
                        <w:rFonts w:hint="default"/>
                      </w:rPr>
                    </w:pPr>
                    <w:r>
                      <w:rPr>
                        <w:rFonts w:hint="default"/>
                      </w:rPr>
                      <w:fldChar w:fldCharType="begin"/>
                    </w:r>
                    <w:r>
                      <w:rPr>
                        <w:rFonts w:hint="default"/>
                      </w:rPr>
                      <w:instrText xml:space="preserve"> PAGE  \* MERGEFORMAT </w:instrText>
                    </w:r>
                    <w:r>
                      <w:rPr>
                        <w:rFonts w:hint="default"/>
                      </w:rPr>
                      <w:fldChar w:fldCharType="separate"/>
                    </w:r>
                    <w:r>
                      <w:rPr>
                        <w:rFonts w:hint="default"/>
                      </w:rPr>
                      <w:t>1</w:t>
                    </w:r>
                    <w:r>
                      <w:rPr>
                        <w:rFonts w:hint="default"/>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hint="default"/>
      </w:rPr>
    </w:pPr>
    <w:r>
      <w:rPr>
        <w:rFonts w:hint="default"/>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1"/>
                            <w:rPr>
                              <w:rFonts w:hint="default"/>
                            </w:rPr>
                          </w:pPr>
                          <w:r>
                            <w:rPr>
                              <w:rFonts w:hint="default"/>
                            </w:rPr>
                            <w:fldChar w:fldCharType="begin"/>
                          </w:r>
                          <w:r>
                            <w:rPr>
                              <w:rFonts w:hint="default"/>
                            </w:rPr>
                            <w:instrText xml:space="preserve"> PAGE  \* MERGEFORMAT </w:instrText>
                          </w:r>
                          <w:r>
                            <w:rPr>
                              <w:rFonts w:hint="default"/>
                            </w:rPr>
                            <w:fldChar w:fldCharType="separate"/>
                          </w:r>
                          <w:r>
                            <w:rPr>
                              <w:rFonts w:hint="default"/>
                            </w:rPr>
                            <w:t>1</w:t>
                          </w:r>
                          <w:r>
                            <w:rPr>
                              <w:rFonts w:hint="default"/>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pStyle w:val="11"/>
                      <w:rPr>
                        <w:rFonts w:hint="default"/>
                      </w:rPr>
                    </w:pPr>
                    <w:r>
                      <w:rPr>
                        <w:rFonts w:hint="default"/>
                      </w:rPr>
                      <w:fldChar w:fldCharType="begin"/>
                    </w:r>
                    <w:r>
                      <w:rPr>
                        <w:rFonts w:hint="default"/>
                      </w:rPr>
                      <w:instrText xml:space="preserve"> PAGE  \* MERGEFORMAT </w:instrText>
                    </w:r>
                    <w:r>
                      <w:rPr>
                        <w:rFonts w:hint="default"/>
                      </w:rPr>
                      <w:fldChar w:fldCharType="separate"/>
                    </w:r>
                    <w:r>
                      <w:rPr>
                        <w:rFonts w:hint="default"/>
                      </w:rPr>
                      <w:t>1</w:t>
                    </w:r>
                    <w:r>
                      <w:rPr>
                        <w:rFonts w:hint="default"/>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0FB333"/>
    <w:multiLevelType w:val="singleLevel"/>
    <w:tmpl w:val="CB0FB333"/>
    <w:lvl w:ilvl="0" w:tentative="0">
      <w:start w:val="3"/>
      <w:numFmt w:val="decimal"/>
      <w:suff w:val="nothing"/>
      <w:lvlText w:val="（%1）"/>
      <w:lvlJc w:val="left"/>
    </w:lvl>
  </w:abstractNum>
  <w:abstractNum w:abstractNumId="1">
    <w:nsid w:val="0053208E"/>
    <w:multiLevelType w:val="multilevel"/>
    <w:tmpl w:val="0053208E"/>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23"/>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56030C"/>
    <w:rsid w:val="002117F6"/>
    <w:rsid w:val="009B0FC8"/>
    <w:rsid w:val="01553E2C"/>
    <w:rsid w:val="017001C7"/>
    <w:rsid w:val="03793B5B"/>
    <w:rsid w:val="05AC3158"/>
    <w:rsid w:val="05F12647"/>
    <w:rsid w:val="080836D8"/>
    <w:rsid w:val="080B75A8"/>
    <w:rsid w:val="0A252386"/>
    <w:rsid w:val="0B7F24B8"/>
    <w:rsid w:val="0BCF36A9"/>
    <w:rsid w:val="0C071288"/>
    <w:rsid w:val="0C873E2B"/>
    <w:rsid w:val="0D381EA7"/>
    <w:rsid w:val="0ED9055D"/>
    <w:rsid w:val="10D43CF0"/>
    <w:rsid w:val="11101057"/>
    <w:rsid w:val="113C788A"/>
    <w:rsid w:val="115A6416"/>
    <w:rsid w:val="147210D0"/>
    <w:rsid w:val="14D309F8"/>
    <w:rsid w:val="159B1A60"/>
    <w:rsid w:val="15D2460F"/>
    <w:rsid w:val="163C4E49"/>
    <w:rsid w:val="181D3ABD"/>
    <w:rsid w:val="18572EC6"/>
    <w:rsid w:val="19851A39"/>
    <w:rsid w:val="1A613EC2"/>
    <w:rsid w:val="1BF968B2"/>
    <w:rsid w:val="1C821535"/>
    <w:rsid w:val="1CE57034"/>
    <w:rsid w:val="1D414702"/>
    <w:rsid w:val="1DB21253"/>
    <w:rsid w:val="1EA32A2C"/>
    <w:rsid w:val="20185EA1"/>
    <w:rsid w:val="20500E38"/>
    <w:rsid w:val="21683C17"/>
    <w:rsid w:val="21B70633"/>
    <w:rsid w:val="21C96F83"/>
    <w:rsid w:val="21D72D0E"/>
    <w:rsid w:val="22612B51"/>
    <w:rsid w:val="22D96A8C"/>
    <w:rsid w:val="238C289F"/>
    <w:rsid w:val="23916F50"/>
    <w:rsid w:val="25AC08B6"/>
    <w:rsid w:val="25DD0A36"/>
    <w:rsid w:val="27503DCC"/>
    <w:rsid w:val="280661EA"/>
    <w:rsid w:val="28E25836"/>
    <w:rsid w:val="29706FDD"/>
    <w:rsid w:val="2A72066F"/>
    <w:rsid w:val="2ABE1027"/>
    <w:rsid w:val="2B7452D5"/>
    <w:rsid w:val="2BA2340A"/>
    <w:rsid w:val="2BE453B7"/>
    <w:rsid w:val="2D3619A6"/>
    <w:rsid w:val="2D930468"/>
    <w:rsid w:val="2DF52828"/>
    <w:rsid w:val="2F7F17A2"/>
    <w:rsid w:val="325F633E"/>
    <w:rsid w:val="340C14F6"/>
    <w:rsid w:val="345763D7"/>
    <w:rsid w:val="37512FA5"/>
    <w:rsid w:val="3A7B55D3"/>
    <w:rsid w:val="3B3360B1"/>
    <w:rsid w:val="3B881299"/>
    <w:rsid w:val="3C0B46B4"/>
    <w:rsid w:val="3CE97AC4"/>
    <w:rsid w:val="40C20211"/>
    <w:rsid w:val="41602F66"/>
    <w:rsid w:val="42D71C57"/>
    <w:rsid w:val="44057934"/>
    <w:rsid w:val="45C6264F"/>
    <w:rsid w:val="467C1FA8"/>
    <w:rsid w:val="4B1D4E73"/>
    <w:rsid w:val="4BE941E1"/>
    <w:rsid w:val="4D023330"/>
    <w:rsid w:val="4FBC29D5"/>
    <w:rsid w:val="50207D34"/>
    <w:rsid w:val="526321DE"/>
    <w:rsid w:val="549F3260"/>
    <w:rsid w:val="54DD58CD"/>
    <w:rsid w:val="55371D2C"/>
    <w:rsid w:val="55EA67D5"/>
    <w:rsid w:val="562C712C"/>
    <w:rsid w:val="566E2E6D"/>
    <w:rsid w:val="57F16979"/>
    <w:rsid w:val="58613DE8"/>
    <w:rsid w:val="59454A75"/>
    <w:rsid w:val="5A6F470B"/>
    <w:rsid w:val="5B1F093C"/>
    <w:rsid w:val="5C1D6E73"/>
    <w:rsid w:val="5D7715B7"/>
    <w:rsid w:val="5EEF0D25"/>
    <w:rsid w:val="5FAF6F0B"/>
    <w:rsid w:val="601D6D20"/>
    <w:rsid w:val="6056030C"/>
    <w:rsid w:val="63581737"/>
    <w:rsid w:val="6404699A"/>
    <w:rsid w:val="647069E6"/>
    <w:rsid w:val="650F1579"/>
    <w:rsid w:val="65202E87"/>
    <w:rsid w:val="65DD5745"/>
    <w:rsid w:val="666D0880"/>
    <w:rsid w:val="671A3261"/>
    <w:rsid w:val="6A9972DD"/>
    <w:rsid w:val="6BA42064"/>
    <w:rsid w:val="6CE873C0"/>
    <w:rsid w:val="6E973E55"/>
    <w:rsid w:val="6ECC34DB"/>
    <w:rsid w:val="703E2CEC"/>
    <w:rsid w:val="72314D1C"/>
    <w:rsid w:val="729E6B1C"/>
    <w:rsid w:val="72FE1155"/>
    <w:rsid w:val="737E2A6D"/>
    <w:rsid w:val="74142293"/>
    <w:rsid w:val="747470F0"/>
    <w:rsid w:val="74AE352F"/>
    <w:rsid w:val="74F63573"/>
    <w:rsid w:val="75CF6CC7"/>
    <w:rsid w:val="75CF72D8"/>
    <w:rsid w:val="779704FA"/>
    <w:rsid w:val="79547239"/>
    <w:rsid w:val="795D0EFB"/>
    <w:rsid w:val="7A736343"/>
    <w:rsid w:val="7D424D41"/>
    <w:rsid w:val="7D6420BA"/>
    <w:rsid w:val="7E135501"/>
    <w:rsid w:val="7E3948C9"/>
    <w:rsid w:val="7E4F1EC8"/>
    <w:rsid w:val="7E50342B"/>
    <w:rsid w:val="7E750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
    <w:qFormat/>
    <w:uiPriority w:val="0"/>
    <w:pPr>
      <w:widowControl w:val="0"/>
      <w:jc w:val="both"/>
    </w:pPr>
    <w:rPr>
      <w:rFonts w:hint="default" w:ascii="Calibri" w:hAnsi="Calibri" w:eastAsia="宋体" w:cs="Arial"/>
      <w:sz w:val="21"/>
      <w:szCs w:val="22"/>
      <w:lang w:eastAsia="zh-CN"/>
    </w:rPr>
  </w:style>
  <w:style w:type="paragraph" w:styleId="4">
    <w:name w:val="heading 1"/>
    <w:basedOn w:val="1"/>
    <w:next w:val="1"/>
    <w:qFormat/>
    <w:uiPriority w:val="0"/>
    <w:pPr>
      <w:keepNext/>
      <w:keepLines/>
      <w:spacing w:beforeLines="0" w:beforeAutospacing="0" w:afterLines="0" w:afterAutospacing="0" w:line="360" w:lineRule="auto"/>
      <w:ind w:firstLine="0" w:firstLineChars="0"/>
      <w:jc w:val="center"/>
      <w:outlineLvl w:val="0"/>
    </w:pPr>
    <w:rPr>
      <w:b/>
      <w:kern w:val="44"/>
      <w:sz w:val="32"/>
      <w:szCs w:val="32"/>
    </w:rPr>
  </w:style>
  <w:style w:type="paragraph" w:styleId="5">
    <w:name w:val="heading 2"/>
    <w:basedOn w:val="1"/>
    <w:next w:val="1"/>
    <w:semiHidden/>
    <w:unhideWhenUsed/>
    <w:qFormat/>
    <w:uiPriority w:val="0"/>
    <w:pPr>
      <w:keepNext/>
      <w:keepLines/>
      <w:spacing w:line="360" w:lineRule="auto"/>
      <w:ind w:firstLine="0" w:firstLineChars="0"/>
      <w:outlineLvl w:val="1"/>
    </w:pPr>
    <w:rPr>
      <w:b/>
      <w:bCs/>
      <w:sz w:val="30"/>
      <w:szCs w:val="30"/>
    </w:rPr>
  </w:style>
  <w:style w:type="paragraph" w:styleId="6">
    <w:name w:val="heading 3"/>
    <w:basedOn w:val="1"/>
    <w:next w:val="1"/>
    <w:link w:val="28"/>
    <w:unhideWhenUsed/>
    <w:qFormat/>
    <w:uiPriority w:val="0"/>
    <w:pPr>
      <w:keepNext/>
      <w:keepLines/>
      <w:spacing w:beforeLines="0" w:beforeAutospacing="0" w:afterLines="0" w:afterAutospacing="0" w:line="360" w:lineRule="auto"/>
      <w:ind w:firstLine="562" w:firstLineChars="200"/>
      <w:jc w:val="left"/>
      <w:outlineLvl w:val="2"/>
    </w:pPr>
    <w:rPr>
      <w:b/>
      <w:sz w:val="28"/>
      <w:szCs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7">
    <w:name w:val="Block Text"/>
    <w:qFormat/>
    <w:uiPriority w:val="0"/>
    <w:pPr>
      <w:widowControl w:val="0"/>
      <w:adjustRightInd w:val="0"/>
      <w:snapToGrid w:val="0"/>
      <w:spacing w:after="120" w:afterLines="0" w:afterAutospacing="0" w:line="360" w:lineRule="auto"/>
      <w:ind w:left="1440" w:leftChars="700" w:rightChars="700" w:firstLine="802" w:firstLineChars="200"/>
      <w:jc w:val="left"/>
    </w:pPr>
    <w:rPr>
      <w:rFonts w:ascii="宋体" w:hAnsi="宋体" w:eastAsia="宋体" w:cs="宋体"/>
      <w:kern w:val="2"/>
      <w:sz w:val="24"/>
      <w:szCs w:val="24"/>
      <w:lang w:val="en-US" w:eastAsia="zh-CN" w:bidi="ar-SA"/>
    </w:rPr>
  </w:style>
  <w:style w:type="paragraph" w:styleId="8">
    <w:name w:val="index 4"/>
    <w:basedOn w:val="1"/>
    <w:next w:val="1"/>
    <w:qFormat/>
    <w:uiPriority w:val="0"/>
    <w:pPr>
      <w:ind w:left="600" w:leftChars="600"/>
    </w:pPr>
  </w:style>
  <w:style w:type="paragraph" w:styleId="9">
    <w:name w:val="toc 3"/>
    <w:basedOn w:val="1"/>
    <w:next w:val="1"/>
    <w:qFormat/>
    <w:uiPriority w:val="0"/>
    <w:pPr>
      <w:ind w:left="840" w:leftChars="400"/>
    </w:pPr>
  </w:style>
  <w:style w:type="paragraph" w:styleId="10">
    <w:name w:val="Plain Text"/>
    <w:qFormat/>
    <w:uiPriority w:val="0"/>
    <w:pPr>
      <w:widowControl w:val="0"/>
      <w:jc w:val="both"/>
    </w:pPr>
    <w:rPr>
      <w:rFonts w:hint="default" w:ascii="宋体" w:hAnsi="Courier New" w:eastAsia="宋体" w:cs="Times New Roman"/>
      <w:sz w:val="21"/>
      <w:szCs w:val="20"/>
      <w:lang w:eastAsia="zh-CN"/>
    </w:rPr>
  </w:style>
  <w:style w:type="paragraph" w:styleId="11">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24"/>
      <w:lang w:val="en-US" w:eastAsia="zh-CN" w:bidi="ar-SA"/>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HTML Preformatt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default" w:ascii="宋体" w:hAnsi="宋体" w:eastAsia="宋体" w:cs="宋体"/>
      <w:sz w:val="21"/>
      <w:szCs w:val="22"/>
      <w:lang w:eastAsia="zh-CN"/>
    </w:rPr>
  </w:style>
  <w:style w:type="paragraph" w:styleId="16">
    <w:name w:val="Normal (Web)"/>
    <w:qFormat/>
    <w:uiPriority w:val="99"/>
    <w:pPr>
      <w:widowControl/>
      <w:spacing w:before="100" w:beforeAutospacing="1" w:after="100" w:afterAutospacing="1"/>
      <w:jc w:val="left"/>
    </w:pPr>
    <w:rPr>
      <w:rFonts w:ascii="宋体" w:hAnsi="宋体" w:eastAsia="宋体" w:cs="Times New Roman"/>
      <w:kern w:val="0"/>
      <w:sz w:val="24"/>
      <w:szCs w:val="24"/>
      <w:lang w:val="en-US" w:eastAsia="zh-CN" w:bidi="ar-SA"/>
    </w:rPr>
  </w:style>
  <w:style w:type="table" w:styleId="1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0">
    <w:name w:val="Heading 2"/>
    <w:next w:val="1"/>
    <w:unhideWhenUsed/>
    <w:qFormat/>
    <w:uiPriority w:val="9"/>
    <w:pPr>
      <w:keepNext/>
      <w:keepLines/>
      <w:widowControl w:val="0"/>
      <w:spacing w:before="260" w:after="260" w:line="416" w:lineRule="auto"/>
      <w:jc w:val="both"/>
      <w:outlineLvl w:val="1"/>
    </w:pPr>
    <w:rPr>
      <w:rFonts w:hint="default" w:ascii="Cambria" w:hAnsi="Cambria" w:eastAsia="黑体" w:cs="Arial"/>
      <w:b/>
      <w:bCs/>
      <w:sz w:val="32"/>
      <w:szCs w:val="32"/>
      <w:lang w:eastAsia="zh-CN"/>
    </w:rPr>
  </w:style>
  <w:style w:type="paragraph" w:customStyle="1" w:styleId="21">
    <w:name w:val="Heading 1"/>
    <w:next w:val="1"/>
    <w:qFormat/>
    <w:uiPriority w:val="9"/>
    <w:pPr>
      <w:keepNext/>
      <w:keepLines/>
      <w:widowControl w:val="0"/>
      <w:spacing w:before="340" w:after="330" w:line="578" w:lineRule="auto"/>
      <w:jc w:val="both"/>
      <w:outlineLvl w:val="0"/>
    </w:pPr>
    <w:rPr>
      <w:rFonts w:hint="default" w:ascii="Calibri" w:hAnsi="Calibri" w:eastAsia="宋体" w:cs="Arial"/>
      <w:b/>
      <w:bCs/>
      <w:sz w:val="44"/>
      <w:szCs w:val="44"/>
      <w:lang w:eastAsia="zh-CN"/>
    </w:rPr>
  </w:style>
  <w:style w:type="paragraph" w:customStyle="1" w:styleId="22">
    <w:name w:val="标题 411"/>
    <w:next w:val="1"/>
    <w:qFormat/>
    <w:uiPriority w:val="0"/>
    <w:pPr>
      <w:keepNext/>
      <w:keepLines/>
      <w:widowControl w:val="0"/>
      <w:spacing w:before="280" w:after="290" w:line="376" w:lineRule="auto"/>
      <w:jc w:val="both"/>
      <w:outlineLvl w:val="3"/>
    </w:pPr>
    <w:rPr>
      <w:rFonts w:hint="default" w:ascii="Arial" w:hAnsi="Arial" w:eastAsia="黑体" w:cs="Arial"/>
      <w:b/>
      <w:bCs/>
      <w:sz w:val="28"/>
      <w:szCs w:val="28"/>
      <w:lang w:val="en-US" w:eastAsia="zh-CN" w:bidi="ar-SA"/>
    </w:rPr>
  </w:style>
  <w:style w:type="paragraph" w:customStyle="1" w:styleId="23">
    <w:name w:val="标题 211"/>
    <w:next w:val="1"/>
    <w:qFormat/>
    <w:uiPriority w:val="0"/>
    <w:pPr>
      <w:keepNext/>
      <w:keepLines/>
      <w:widowControl w:val="0"/>
      <w:numPr>
        <w:ilvl w:val="1"/>
        <w:numId w:val="1"/>
      </w:numPr>
      <w:spacing w:before="260" w:after="260" w:line="416" w:lineRule="auto"/>
      <w:jc w:val="both"/>
      <w:outlineLvl w:val="1"/>
    </w:pPr>
    <w:rPr>
      <w:rFonts w:hint="default" w:ascii="Arial" w:hAnsi="Arial" w:eastAsia="黑体" w:cs="Times New Roman"/>
      <w:b/>
      <w:bCs/>
      <w:sz w:val="32"/>
      <w:szCs w:val="32"/>
      <w:lang w:val="en-US" w:eastAsia="zh-CN" w:bidi="ar-SA"/>
    </w:rPr>
  </w:style>
  <w:style w:type="paragraph" w:customStyle="1" w:styleId="24">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25">
    <w:name w:val="日期1"/>
    <w:next w:val="26"/>
    <w:qFormat/>
    <w:uiPriority w:val="0"/>
    <w:pPr>
      <w:widowControl w:val="0"/>
      <w:jc w:val="both"/>
    </w:pPr>
    <w:rPr>
      <w:rFonts w:hint="default" w:ascii="Times New Roman" w:hAnsi="Times New Roman" w:eastAsia="宋体" w:cs="Times New Roman"/>
      <w:sz w:val="21"/>
      <w:szCs w:val="20"/>
      <w:lang w:val="en-US" w:eastAsia="zh-CN" w:bidi="ar-SA"/>
    </w:rPr>
  </w:style>
  <w:style w:type="paragraph" w:customStyle="1" w:styleId="26">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27">
    <w:name w:val="页码1"/>
    <w:link w:val="1"/>
    <w:qFormat/>
    <w:uiPriority w:val="0"/>
    <w:rPr>
      <w:rFonts w:hint="default" w:ascii="Calibri" w:hAnsi="Calibri" w:eastAsia="宋体" w:cs="Arial"/>
      <w:sz w:val="21"/>
      <w:szCs w:val="22"/>
      <w:lang w:eastAsia="zh-CN"/>
    </w:rPr>
  </w:style>
  <w:style w:type="character" w:customStyle="1" w:styleId="28">
    <w:name w:val="标题 3 Char"/>
    <w:link w:val="6"/>
    <w:qFormat/>
    <w:uiPriority w:val="0"/>
    <w:rPr>
      <w:b/>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164</TotalTime>
  <ScaleCrop>false</ScaleCrop>
  <LinksUpToDate>false</LinksUpToDate>
  <CharactersWithSpaces>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2025-05-19T01:26:00Z</dcterms:created>
  <dc:creator>林</dc:creator>
  <cp:lastModifiedBy>林</cp:lastModifiedBy>
  <dcterms:modified xsi:type="dcterms:W3CDTF">2025-06-20T06:55:09Z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