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cs="宋体"/>
          <w:b/>
          <w:color w:val="auto"/>
          <w:spacing w:val="20"/>
          <w:sz w:val="44"/>
          <w:szCs w:val="44"/>
          <w:highlight w:val="none"/>
          <w:lang w:eastAsia="zh-CN"/>
        </w:rPr>
        <w:outlineLvl w:val="0"/>
      </w:pPr>
      <w:r>
        <w:rPr>
          <w:rFonts w:hint="eastAsia" w:ascii="宋体" w:hAnsi="宋体" w:cs="宋体"/>
          <w:b/>
          <w:color w:val="auto"/>
          <w:spacing w:val="20"/>
          <w:sz w:val="44"/>
          <w:szCs w:val="44"/>
          <w:highlight w:val="none"/>
          <w:lang w:eastAsia="zh-CN"/>
        </w:rPr>
        <w:t xml:space="preserve">南通职业大学气动液压实验装置</w:t>
      </w:r>
      <w:r/>
    </w:p>
    <w:p>
      <w:pPr>
        <w:jc w:val="center"/>
        <w:spacing w:line="1000" w:lineRule="exact"/>
        <w:rPr>
          <w:rFonts w:hint="eastAsia" w:ascii="宋体" w:hAnsi="宋体" w:eastAsia="宋体" w:cs="宋体"/>
          <w:bCs/>
          <w:color w:val="auto"/>
          <w:spacing w:val="20"/>
          <w:sz w:val="44"/>
          <w:szCs w:val="44"/>
          <w:highlight w:val="none"/>
          <w:lang w:eastAsia="zh-CN"/>
        </w:rPr>
        <w:outlineLvl w:val="0"/>
      </w:pPr>
      <w:r>
        <w:rPr>
          <w:rFonts w:hint="eastAsia" w:ascii="宋体" w:hAnsi="宋体" w:cs="宋体"/>
          <w:b/>
          <w:color w:val="auto"/>
          <w:spacing w:val="20"/>
          <w:sz w:val="44"/>
          <w:szCs w:val="44"/>
          <w:highlight w:val="none"/>
          <w:lang w:eastAsia="zh-CN"/>
        </w:rPr>
        <w:t xml:space="preserve">采购项目</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outlineLvl w:val="0"/>
      </w:pPr>
      <w:r/>
      <w:bookmarkStart w:id="0" w:name="_Toc24819"/>
      <w:r/>
      <w:bookmarkStart w:id="1" w:name="_Toc5695"/>
      <w:r>
        <w:rPr>
          <w:rFonts w:hint="eastAsia" w:ascii="宋体" w:hAnsi="宋体" w:cs="宋体"/>
          <w:bCs/>
          <w:color w:val="auto"/>
          <w:sz w:val="100"/>
          <w:szCs w:val="100"/>
          <w:highlight w:val="none"/>
        </w:rPr>
        <w:t xml:space="preserve">政府采购招标文件</w:t>
      </w:r>
      <w:bookmarkEnd w:id="0"/>
      <w:r/>
      <w:bookmarkEnd w:id="1"/>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ascii="宋体" w:hAnsi="宋体" w:cs="宋体"/>
          <w:b/>
          <w:color w:val="auto"/>
          <w:sz w:val="36"/>
          <w:highlight w:val="none"/>
        </w:rPr>
      </w:pPr>
      <w:r>
        <w:rPr>
          <w:rFonts w:hint="eastAsia" w:ascii="宋体" w:hAnsi="宋体" w:cs="宋体"/>
          <w:bCs/>
          <w:color w:val="auto"/>
          <w:sz w:val="36"/>
          <w:szCs w:val="36"/>
          <w:highlight w:val="none"/>
        </w:rPr>
        <w:t xml:space="preserve">招标文件编号：JSZC-320600-ZRJS-G2025-0076</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ind w:left="-2" w:right="120"/>
        <w:jc w:val="center"/>
        <w:spacing w:before="120" w:after="120" w:line="460" w:lineRule="exact"/>
        <w:rPr>
          <w:rFonts w:ascii="宋体" w:hAnsi="宋体" w:cs="宋体"/>
          <w:b/>
          <w:bCs/>
          <w:color w:val="auto"/>
          <w:sz w:val="32"/>
          <w:szCs w:val="32"/>
          <w:highlight w:val="none"/>
        </w:rPr>
        <w:outlineLvl w:val="0"/>
      </w:pPr>
      <w:r/>
      <w:bookmarkStart w:id="2" w:name="_Toc29493"/>
      <w:r/>
      <w:bookmarkStart w:id="3" w:name="_Toc23055"/>
      <w:r>
        <w:rPr>
          <w:rFonts w:hint="eastAsia" w:ascii="宋体" w:hAnsi="宋体" w:cs="宋体"/>
          <w:b/>
          <w:bCs/>
          <w:color w:val="auto"/>
          <w:sz w:val="32"/>
          <w:szCs w:val="32"/>
          <w:highlight w:val="none"/>
        </w:rPr>
        <w:t xml:space="preserve">南通职业大学</w:t>
      </w:r>
      <w:bookmarkEnd w:id="2"/>
      <w:r/>
      <w:bookmarkEnd w:id="3"/>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2025年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r/>
      <w:r>
        <w:rPr>
          <w:rFonts w:hint="eastAsia" w:ascii="宋体" w:hAnsi="宋体" w:cs="宋体"/>
          <w:color w:val="auto"/>
          <w:sz w:val="44"/>
          <w:szCs w:val="44"/>
          <w:highlight w:val="none"/>
        </w:rPr>
        <w:br w:type="page" w:clear="all"/>
      </w:r>
      <w:r/>
      <w:r>
        <w:rPr>
          <w:rFonts w:ascii="宋体" w:hAnsi="宋体" w:cs="宋体"/>
          <w:b/>
          <w:bCs/>
          <w:color w:val="auto"/>
          <w:sz w:val="32"/>
          <w:szCs w:val="32"/>
          <w:highlight w:val="none"/>
        </w:rPr>
      </w:r>
    </w:p>
    <w:p>
      <w:pPr>
        <w:jc w:val="center"/>
        <w:rPr>
          <w:rFonts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971"/>
        <w:spacing w:line="720" w:lineRule="auto"/>
        <w:tabs>
          <w:tab w:val="right" w:pos="8307"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7</w:t>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22</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_Toc30320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4</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3</w:t>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7</w:t>
      </w:r>
      <w:r/>
    </w:p>
    <w:p>
      <w:pPr>
        <w:spacing w:line="720" w:lineRule="auto"/>
        <w:rPr>
          <w:rFonts w:ascii="宋体" w:hAnsi="宋体" w:cs="宋体"/>
          <w:color w:val="auto"/>
          <w:highlight w:val="none"/>
        </w:rPr>
      </w:pPr>
      <w:r>
        <w:rPr>
          <w:rFonts w:hint="eastAsia" w:ascii="宋体" w:hAnsi="宋体" w:cs="宋体"/>
          <w:color w:val="auto"/>
          <w:sz w:val="24"/>
          <w:szCs w:val="32"/>
          <w:highlight w:val="none"/>
        </w:rPr>
        <w:fldChar w:fldCharType="end"/>
      </w:r>
      <w:r/>
    </w:p>
    <w:p>
      <w:pPr>
        <w:pStyle w:val="960"/>
        <w:rPr>
          <w:rFonts w:ascii="宋体" w:hAnsi="宋体" w:eastAsia="宋体" w:cs="宋体"/>
          <w:color w:val="auto"/>
          <w:highlight w:val="none"/>
        </w:rPr>
      </w:pPr>
      <w:r>
        <w:rPr>
          <w:rFonts w:ascii="宋体" w:hAnsi="宋体" w:eastAsia="宋体" w:cs="宋体"/>
          <w:color w:val="auto"/>
          <w:highlight w:val="none"/>
        </w:rPr>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4" w:name="_Toc29789"/>
      <w:r/>
      <w:bookmarkStart w:id="5" w:name="_Toc21799"/>
      <w:r>
        <w:rPr>
          <w:rFonts w:hint="eastAsia" w:ascii="宋体" w:hAnsi="宋体" w:cs="宋体"/>
          <w:bCs/>
          <w:color w:val="auto"/>
          <w:sz w:val="36"/>
          <w:szCs w:val="36"/>
          <w:highlight w:val="none"/>
        </w:rPr>
        <w:t xml:space="preserve">第一部分  </w:t>
      </w:r>
      <w:bookmarkStart w:id="6" w:name="OLE_LINK7"/>
      <w:r/>
      <w:bookmarkStart w:id="7" w:name="OLE_LINK5"/>
      <w:r>
        <w:rPr>
          <w:rFonts w:hint="eastAsia" w:ascii="宋体" w:hAnsi="宋体" w:cs="宋体"/>
          <w:bCs/>
          <w:color w:val="auto"/>
          <w:sz w:val="36"/>
          <w:szCs w:val="36"/>
          <w:highlight w:val="none"/>
        </w:rPr>
        <w:t xml:space="preserve">投标邀请</w:t>
      </w:r>
      <w:bookmarkEnd w:id="4"/>
      <w:r/>
      <w:bookmarkEnd w:id="5"/>
      <w:r/>
      <w:r/>
    </w:p>
    <w:p>
      <w:pPr>
        <w:ind w:firstLine="560"/>
        <w:spacing w:line="440" w:lineRule="exact"/>
        <w:rPr>
          <w:rFonts w:ascii="宋体" w:hAnsi="宋体" w:cs="宋体"/>
          <w:color w:val="auto"/>
          <w:sz w:val="28"/>
          <w:szCs w:val="28"/>
          <w:highlight w:val="none"/>
        </w:rPr>
      </w:pPr>
      <w:r/>
      <w:bookmarkStart w:id="8" w:name="OLE_LINK6"/>
      <w:r>
        <w:rPr>
          <w:rFonts w:hint="eastAsia" w:ascii="宋体" w:hAnsi="宋体" w:cs="宋体"/>
          <w:color w:val="auto"/>
          <w:sz w:val="28"/>
          <w:szCs w:val="28"/>
          <w:highlight w:val="none"/>
        </w:rPr>
        <w:t xml:space="preserve">受[南通职业大学]的委托，江苏中润工程建设咨询有限公司就[</w:t>
      </w:r>
      <w:r>
        <w:rPr>
          <w:rFonts w:hint="eastAsia" w:ascii="宋体" w:hAnsi="宋体" w:cs="宋体"/>
          <w:color w:val="auto"/>
          <w:sz w:val="28"/>
          <w:szCs w:val="28"/>
          <w:highlight w:val="none"/>
          <w:lang w:eastAsia="zh-CN"/>
        </w:rPr>
        <w:t xml:space="preserve">南通职业大学气动液压实验装置采购项目</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：JSZC-320600-ZRJS-G2025-0076</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进行公开招标采购，欢迎符合条件的投标人投标。</w:t>
      </w:r>
      <w:r/>
    </w:p>
    <w:p>
      <w:pPr>
        <w:ind w:firstLine="560"/>
        <w:spacing w:line="44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（南通职业大学气动液压实验装置采购</w:t>
      </w:r>
      <w:r>
        <w:rPr>
          <w:rFonts w:hint="eastAsia" w:ascii="宋体" w:hAnsi="宋体" w:cs="宋体"/>
          <w:color w:val="auto"/>
          <w:sz w:val="28"/>
          <w:szCs w:val="28"/>
          <w:highlight w:val="none"/>
        </w:rPr>
        <w:t xml:space="preserve">）招标项目的潜在投标人应在（苏采云系统内免费）获取招标文件，并于2025年</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日14点30分（北京时间）前递交投标文件。</w:t>
      </w:r>
      <w:r/>
    </w:p>
    <w:p>
      <w:pPr>
        <w:ind w:firstLine="562"/>
        <w:spacing w:line="440" w:lineRule="exact"/>
        <w:rPr>
          <w:rFonts w:ascii="宋体" w:hAnsi="宋体" w:cs="宋体"/>
          <w:b/>
          <w:color w:val="auto"/>
          <w:sz w:val="28"/>
          <w:szCs w:val="28"/>
          <w:highlight w:val="none"/>
        </w:rPr>
        <w:outlineLvl w:val="1"/>
      </w:pPr>
      <w:r/>
      <w:bookmarkStart w:id="9" w:name="_Toc20404"/>
      <w:r>
        <w:rPr>
          <w:rFonts w:hint="eastAsia" w:ascii="宋体" w:hAnsi="宋体" w:cs="宋体"/>
          <w:b/>
          <w:color w:val="auto"/>
          <w:sz w:val="28"/>
          <w:szCs w:val="28"/>
          <w:highlight w:val="none"/>
        </w:rPr>
        <w:t xml:space="preserve">一、项目基本情况</w:t>
      </w:r>
      <w:bookmarkEnd w:id="9"/>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1.项目编号：JSZC-320600-ZRJS-G2025-0076</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南通职业大学气动液压实验装置采购项目。</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3.预算金额：</w:t>
      </w:r>
      <w:r>
        <w:rPr>
          <w:rFonts w:hint="eastAsia" w:ascii="宋体" w:hAnsi="宋体" w:cs="宋体"/>
          <w:color w:val="auto"/>
          <w:sz w:val="28"/>
          <w:szCs w:val="28"/>
          <w:highlight w:val="none"/>
          <w:lang w:val="en-US" w:eastAsia="zh-CN"/>
        </w:rPr>
        <w:t xml:space="preserve">55</w:t>
      </w:r>
      <w:r>
        <w:rPr>
          <w:rFonts w:hint="eastAsia" w:ascii="宋体" w:hAnsi="宋体" w:cs="宋体"/>
          <w:color w:val="auto"/>
          <w:sz w:val="28"/>
          <w:szCs w:val="28"/>
          <w:highlight w:val="none"/>
        </w:rPr>
        <w:t xml:space="preserve">万元。</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4.最高限价：</w:t>
      </w:r>
      <w:r>
        <w:rPr>
          <w:rFonts w:hint="eastAsia" w:ascii="宋体" w:hAnsi="宋体" w:cs="宋体"/>
          <w:color w:val="auto"/>
          <w:sz w:val="28"/>
          <w:szCs w:val="28"/>
          <w:highlight w:val="none"/>
          <w:lang w:val="en-US" w:eastAsia="zh-CN"/>
        </w:rPr>
        <w:t xml:space="preserve">55</w:t>
      </w:r>
      <w:r>
        <w:rPr>
          <w:rFonts w:hint="eastAsia" w:ascii="宋体" w:hAnsi="宋体" w:cs="宋体"/>
          <w:color w:val="auto"/>
          <w:sz w:val="28"/>
          <w:szCs w:val="28"/>
          <w:highlight w:val="none"/>
        </w:rPr>
        <w:t xml:space="preserve">万元，投标报价高于最高限价的作无效标处理。</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5.采购需求：详见招标文件，请仔细研究。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6.合同履行期限：自合同签订之日起30天内</w:t>
      </w:r>
      <w:r>
        <w:rPr>
          <w:rFonts w:hint="eastAsia" w:ascii="宋体" w:hAnsi="宋体" w:cs="宋体"/>
          <w:color w:val="auto"/>
          <w:sz w:val="28"/>
          <w:szCs w:val="28"/>
          <w:highlight w:val="none"/>
          <w:lang w:val="en-US" w:eastAsia="zh-CN"/>
        </w:rPr>
        <w:t xml:space="preserve">完成供货</w:t>
      </w:r>
      <w:r>
        <w:rPr>
          <w:rFonts w:hint="eastAsia" w:ascii="宋体" w:hAnsi="宋体" w:cs="宋体"/>
          <w:color w:val="auto"/>
          <w:sz w:val="28"/>
          <w:szCs w:val="28"/>
          <w:highlight w:val="none"/>
        </w:rPr>
        <w:t xml:space="preserve">。</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7.本项目是否接受联合体投标：否。</w:t>
      </w:r>
      <w:r/>
    </w:p>
    <w:p>
      <w:pPr>
        <w:ind w:firstLine="562"/>
        <w:spacing w:line="440" w:lineRule="exact"/>
        <w:rPr>
          <w:rFonts w:ascii="宋体" w:hAnsi="宋体" w:cs="宋体"/>
          <w:b/>
          <w:color w:val="auto"/>
          <w:sz w:val="28"/>
          <w:szCs w:val="28"/>
          <w:highlight w:val="none"/>
        </w:rPr>
        <w:outlineLvl w:val="1"/>
      </w:pPr>
      <w:r/>
      <w:bookmarkStart w:id="10" w:name="_Toc7742"/>
      <w:r>
        <w:rPr>
          <w:rFonts w:hint="eastAsia" w:ascii="宋体" w:hAnsi="宋体" w:cs="宋体"/>
          <w:b/>
          <w:color w:val="auto"/>
          <w:sz w:val="28"/>
          <w:szCs w:val="28"/>
          <w:highlight w:val="none"/>
        </w:rPr>
        <w:t xml:space="preserve">二、申请人的资格要求</w:t>
      </w:r>
      <w:bookmarkEnd w:id="10"/>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2.提供有效的营业执照</w:t>
      </w:r>
      <w:r>
        <w:rPr>
          <w:rFonts w:hint="eastAsia" w:ascii="宋体" w:hAnsi="宋体" w:cs="宋体"/>
          <w:color w:val="auto"/>
          <w:sz w:val="28"/>
          <w:szCs w:val="28"/>
          <w:highlight w:val="none"/>
          <w:lang w:val="en-US" w:eastAsia="zh-CN"/>
        </w:rPr>
        <w:t xml:space="preserve">副本</w:t>
      </w:r>
      <w:r>
        <w:rPr>
          <w:rFonts w:hint="eastAsia" w:ascii="宋体" w:hAnsi="宋体" w:cs="宋体"/>
          <w:color w:val="auto"/>
          <w:sz w:val="28"/>
          <w:szCs w:val="28"/>
          <w:highlight w:val="none"/>
        </w:rPr>
        <w:t xml:space="preserve">复印件加盖公章；</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3.本项目的特定资格要求：无；</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投标人按要求填写并提供《中小微企业声明函》或《残疾人福利性单位声明函》，或提供由省级以上监狱管理局、戒毒管理局</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含新疆生产建设兵团</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出具的属于监狱企业的证明文件）； </w:t>
      </w:r>
      <w:r/>
    </w:p>
    <w:p>
      <w:pPr>
        <w:ind w:firstLine="562"/>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注：在开标现场，将由招标人或招标代理通过“天眼查或企查查”查询投标单位之间是否存在法定关联性关系。若存在法定关联性关系将按无效投标处理。查询结果留存归档。</w:t>
      </w:r>
      <w:r/>
    </w:p>
    <w:p>
      <w:pPr>
        <w:ind w:firstLine="562"/>
        <w:spacing w:line="440" w:lineRule="exact"/>
        <w:rPr>
          <w:rFonts w:ascii="宋体" w:hAnsi="宋体" w:cs="宋体"/>
          <w:b/>
          <w:color w:val="auto"/>
          <w:sz w:val="28"/>
          <w:szCs w:val="28"/>
          <w:highlight w:val="none"/>
        </w:rPr>
        <w:outlineLvl w:val="1"/>
      </w:pPr>
      <w:r/>
      <w:bookmarkStart w:id="11" w:name="_Toc13052"/>
      <w:r>
        <w:rPr>
          <w:rFonts w:hint="eastAsia" w:ascii="宋体" w:hAnsi="宋体" w:cs="宋体"/>
          <w:b/>
          <w:color w:val="auto"/>
          <w:sz w:val="28"/>
          <w:szCs w:val="28"/>
          <w:highlight w:val="none"/>
        </w:rPr>
        <w:t xml:space="preserve">三、获取招标文件</w:t>
      </w:r>
      <w:bookmarkEnd w:id="11"/>
      <w:r/>
      <w:r/>
    </w:p>
    <w:p>
      <w:pPr>
        <w:ind w:firstLine="562"/>
        <w:spacing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1.时间：自招标文件公告发布之日起5个工作日。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ascii="宋体" w:hAnsi="宋体" w:cs="宋体"/>
          <w:color w:val="auto"/>
          <w:sz w:val="28"/>
          <w:szCs w:val="28"/>
          <w:highlight w:val="none"/>
        </w:rPr>
        <w:outlineLvl w:val="2"/>
      </w:pPr>
      <w:r/>
      <w:bookmarkStart w:id="12" w:name="_Toc740"/>
      <w:r>
        <w:rPr>
          <w:rFonts w:hint="eastAsia" w:ascii="宋体" w:hAnsi="宋体" w:cs="宋体"/>
          <w:color w:val="auto"/>
          <w:sz w:val="28"/>
          <w:szCs w:val="28"/>
          <w:highlight w:val="none"/>
        </w:rPr>
        <w:t xml:space="preserve">3.1潜在投标人访问电子招标响应交易平台的网络地址和方法：</w:t>
      </w:r>
      <w:bookmarkEnd w:id="12"/>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ascii="宋体" w:hAnsi="宋体" w:cs="宋体"/>
          <w:color w:val="auto"/>
          <w:sz w:val="28"/>
          <w:szCs w:val="28"/>
          <w:highlight w:val="none"/>
        </w:rPr>
        <w:outlineLvl w:val="2"/>
      </w:pPr>
      <w:r/>
      <w:bookmarkStart w:id="13" w:name="_Toc31543"/>
      <w:r>
        <w:rPr>
          <w:rFonts w:hint="eastAsia" w:ascii="宋体" w:hAnsi="宋体" w:cs="宋体"/>
          <w:color w:val="auto"/>
          <w:sz w:val="28"/>
          <w:szCs w:val="28"/>
          <w:highlight w:val="none"/>
        </w:rPr>
        <w:t xml:space="preserve">3.3“CA数字证书”的获取：</w:t>
      </w:r>
      <w:bookmarkEnd w:id="13"/>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3.5招标人或采购代理机构将数据电文形式的招标文件加载至“苏采云”系统，供潜在投标人下载或者查阅。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ascii="宋体" w:hAnsi="宋体" w:cs="宋体"/>
          <w:b/>
          <w:color w:val="auto"/>
          <w:sz w:val="28"/>
          <w:szCs w:val="28"/>
          <w:highlight w:val="none"/>
        </w:rPr>
        <w:outlineLvl w:val="1"/>
      </w:pPr>
      <w:r/>
      <w:bookmarkStart w:id="14" w:name="_Toc25294"/>
      <w:r>
        <w:rPr>
          <w:rFonts w:hint="eastAsia" w:ascii="宋体" w:hAnsi="宋体" w:cs="宋体"/>
          <w:b/>
          <w:color w:val="auto"/>
          <w:sz w:val="28"/>
          <w:szCs w:val="28"/>
          <w:highlight w:val="none"/>
        </w:rPr>
        <w:t xml:space="preserve">四、提交投标文件截止时间、开标时间和地点</w:t>
      </w:r>
      <w:bookmarkEnd w:id="14"/>
      <w:r/>
      <w:r/>
    </w:p>
    <w:p>
      <w:pPr>
        <w:ind w:firstLine="420"/>
        <w:spacing w:line="460" w:lineRule="exact"/>
        <w:rPr>
          <w:rStyle w:val="1075"/>
          <w:rFonts w:ascii="宋体" w:hAnsi="宋体" w:cs="宋体"/>
          <w:color w:val="auto"/>
          <w:sz w:val="28"/>
          <w:szCs w:val="28"/>
          <w:highlight w:val="none"/>
        </w:rPr>
      </w:pPr>
      <w:r>
        <w:rPr>
          <w:rStyle w:val="1075"/>
          <w:rFonts w:hint="eastAsia" w:ascii="宋体" w:hAnsi="宋体" w:cs="宋体"/>
          <w:color w:val="auto"/>
          <w:sz w:val="28"/>
          <w:szCs w:val="28"/>
          <w:highlight w:val="none"/>
        </w:rPr>
        <w:t xml:space="preserve">1.投标文件接收截止及开标时间：</w:t>
      </w:r>
      <w:r>
        <w:rPr>
          <w:rStyle w:val="1075"/>
          <w:rFonts w:hint="eastAsia" w:ascii="宋体" w:hAnsi="宋体" w:cs="宋体"/>
          <w:b/>
          <w:bCs/>
          <w:color w:val="auto"/>
          <w:sz w:val="28"/>
          <w:szCs w:val="28"/>
          <w:highlight w:val="none"/>
        </w:rPr>
        <w:t xml:space="preserve">2025年</w:t>
      </w:r>
      <w:r>
        <w:rPr>
          <w:rStyle w:val="1075"/>
          <w:rFonts w:hint="eastAsia" w:ascii="宋体" w:hAnsi="宋体" w:cs="宋体"/>
          <w:b/>
          <w:bCs/>
          <w:color w:val="auto"/>
          <w:sz w:val="28"/>
          <w:szCs w:val="28"/>
          <w:highlight w:val="none"/>
          <w:lang w:val="en-US" w:eastAsia="zh-CN"/>
        </w:rPr>
        <w:t xml:space="preserve">10</w:t>
      </w:r>
      <w:r>
        <w:rPr>
          <w:rStyle w:val="1075"/>
          <w:rFonts w:hint="eastAsia" w:ascii="宋体" w:hAnsi="宋体" w:cs="宋体"/>
          <w:b/>
          <w:bCs/>
          <w:color w:val="auto"/>
          <w:sz w:val="28"/>
          <w:szCs w:val="28"/>
          <w:highlight w:val="none"/>
        </w:rPr>
        <w:t xml:space="preserve">月</w:t>
      </w:r>
      <w:r>
        <w:rPr>
          <w:rStyle w:val="1075"/>
          <w:rFonts w:hint="eastAsia" w:ascii="宋体" w:hAnsi="宋体" w:cs="宋体"/>
          <w:b/>
          <w:bCs/>
          <w:color w:val="auto"/>
          <w:sz w:val="28"/>
          <w:szCs w:val="28"/>
          <w:highlight w:val="none"/>
          <w:lang w:val="en-US" w:eastAsia="zh-CN"/>
        </w:rPr>
        <w:t xml:space="preserve">15</w:t>
      </w:r>
      <w:r>
        <w:rPr>
          <w:rStyle w:val="1075"/>
          <w:rFonts w:hint="eastAsia" w:ascii="宋体" w:hAnsi="宋体" w:cs="宋体"/>
          <w:b/>
          <w:bCs/>
          <w:color w:val="auto"/>
          <w:sz w:val="28"/>
          <w:szCs w:val="28"/>
          <w:highlight w:val="none"/>
        </w:rPr>
        <w:t xml:space="preserve">日14点30分（北京时间）</w:t>
      </w:r>
      <w:r>
        <w:rPr>
          <w:rStyle w:val="1075"/>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75"/>
          <w:rFonts w:ascii="宋体" w:hAnsi="宋体" w:cs="宋体"/>
          <w:color w:val="auto"/>
          <w:sz w:val="28"/>
          <w:szCs w:val="28"/>
          <w:highlight w:val="none"/>
          <w:lang w:eastAsia="en-US"/>
        </w:rPr>
        <w:outlineLvl w:val="2"/>
      </w:pPr>
      <w:r/>
      <w:bookmarkStart w:id="15" w:name="_Toc24646"/>
      <w:r>
        <w:rPr>
          <w:rStyle w:val="1075"/>
          <w:rFonts w:hint="eastAsia" w:ascii="宋体" w:hAnsi="宋体" w:cs="宋体"/>
          <w:color w:val="auto"/>
          <w:sz w:val="28"/>
          <w:szCs w:val="28"/>
          <w:highlight w:val="none"/>
          <w:lang w:eastAsia="en-US"/>
        </w:rPr>
        <w:t xml:space="preserve">2.地点：“苏采云”系统（网址：http://jszfcg.jsczt.cn/）</w:t>
      </w:r>
      <w:bookmarkEnd w:id="15"/>
      <w:r>
        <w:rPr>
          <w:rStyle w:val="1075"/>
          <w:rFonts w:hint="eastAsia" w:ascii="宋体" w:hAnsi="宋体" w:cs="宋体"/>
          <w:color w:val="auto"/>
          <w:sz w:val="28"/>
          <w:szCs w:val="28"/>
          <w:highlight w:val="none"/>
        </w:rPr>
        <w:t xml:space="preserve">。</w:t>
      </w:r>
      <w:r/>
    </w:p>
    <w:p>
      <w:pPr>
        <w:ind w:firstLine="420"/>
        <w:spacing w:line="460" w:lineRule="exact"/>
        <w:rPr>
          <w:rStyle w:val="1075"/>
          <w:rFonts w:ascii="宋体" w:hAnsi="宋体" w:cs="宋体"/>
          <w:color w:val="auto"/>
          <w:sz w:val="28"/>
          <w:szCs w:val="28"/>
          <w:highlight w:val="none"/>
          <w:u w:val="single"/>
        </w:rPr>
      </w:pPr>
      <w:r>
        <w:rPr>
          <w:rStyle w:val="1075"/>
          <w:rFonts w:hint="eastAsia" w:ascii="宋体" w:hAnsi="宋体" w:cs="宋体"/>
          <w:color w:val="auto"/>
          <w:sz w:val="28"/>
          <w:szCs w:val="28"/>
          <w:highlight w:val="none"/>
        </w:rPr>
        <w:t xml:space="preserve">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1075"/>
          <w:rFonts w:hint="eastAsia" w:ascii="宋体" w:hAnsi="宋体" w:cs="宋体"/>
          <w:b/>
          <w:bCs/>
          <w:color w:val="auto"/>
          <w:sz w:val="28"/>
          <w:szCs w:val="28"/>
          <w:highlight w:val="none"/>
        </w:rPr>
        <w:t xml:space="preserve">投标人解密限定在开标后30分钟之内完成</w:t>
      </w:r>
      <w:r>
        <w:rPr>
          <w:rStyle w:val="1075"/>
          <w:rFonts w:hint="eastAsia" w:ascii="宋体" w:hAnsi="宋体" w:cs="宋体"/>
          <w:color w:val="auto"/>
          <w:sz w:val="28"/>
          <w:szCs w:val="28"/>
          <w:highlight w:val="none"/>
        </w:rPr>
        <w:t xml:space="preserve">。</w:t>
      </w:r>
      <w:r>
        <w:rPr>
          <w:rStyle w:val="1075"/>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562"/>
        <w:spacing w:line="440" w:lineRule="exact"/>
        <w:rPr>
          <w:rFonts w:ascii="宋体" w:hAnsi="宋体" w:cs="宋体"/>
          <w:b/>
          <w:color w:val="auto"/>
          <w:sz w:val="28"/>
          <w:szCs w:val="28"/>
          <w:highlight w:val="none"/>
        </w:rPr>
        <w:outlineLvl w:val="1"/>
      </w:pPr>
      <w:r/>
      <w:bookmarkStart w:id="16" w:name="_Toc6486"/>
      <w:r>
        <w:rPr>
          <w:rFonts w:hint="eastAsia" w:ascii="宋体" w:hAnsi="宋体" w:cs="宋体"/>
          <w:b/>
          <w:color w:val="auto"/>
          <w:sz w:val="28"/>
          <w:szCs w:val="28"/>
          <w:highlight w:val="none"/>
        </w:rPr>
        <w:t xml:space="preserve">五、公告期限</w:t>
      </w:r>
      <w:bookmarkEnd w:id="16"/>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ascii="宋体" w:hAnsi="宋体" w:cs="宋体"/>
          <w:b/>
          <w:color w:val="auto"/>
          <w:sz w:val="28"/>
          <w:szCs w:val="28"/>
          <w:highlight w:val="none"/>
        </w:rPr>
        <w:outlineLvl w:val="1"/>
      </w:pPr>
      <w:r/>
      <w:bookmarkStart w:id="17" w:name="_Toc12080"/>
      <w:r>
        <w:rPr>
          <w:rFonts w:hint="eastAsia" w:ascii="宋体" w:hAnsi="宋体" w:cs="宋体"/>
          <w:b/>
          <w:color w:val="auto"/>
          <w:sz w:val="28"/>
          <w:szCs w:val="28"/>
          <w:highlight w:val="none"/>
        </w:rPr>
        <w:t xml:space="preserve">六、其他补充事宜</w:t>
      </w:r>
      <w:bookmarkEnd w:id="17"/>
      <w:r/>
      <w:r/>
    </w:p>
    <w:p>
      <w:pPr>
        <w:ind w:firstLine="567"/>
        <w:spacing w:line="460" w:lineRule="exact"/>
        <w:rPr>
          <w:rFonts w:ascii="宋体" w:hAnsi="宋体" w:cs="宋体"/>
          <w:color w:val="auto"/>
          <w:sz w:val="28"/>
          <w:szCs w:val="28"/>
          <w:highlight w:val="none"/>
        </w:rPr>
        <w:outlineLvl w:val="2"/>
      </w:pPr>
      <w:r/>
      <w:bookmarkStart w:id="18" w:name="_Toc27181"/>
      <w:r>
        <w:rPr>
          <w:rFonts w:hint="eastAsia" w:ascii="宋体" w:hAnsi="宋体" w:cs="宋体"/>
          <w:color w:val="auto"/>
          <w:sz w:val="28"/>
          <w:szCs w:val="28"/>
          <w:highlight w:val="none"/>
        </w:rPr>
        <w:t xml:space="preserve">1.投标保证金：免收</w:t>
      </w:r>
      <w:bookmarkEnd w:id="18"/>
      <w:r>
        <w:rPr>
          <w:rStyle w:val="1075"/>
          <w:rFonts w:hint="eastAsia" w:ascii="宋体" w:hAnsi="宋体" w:cs="宋体"/>
          <w:color w:val="auto"/>
          <w:sz w:val="28"/>
          <w:szCs w:val="28"/>
          <w:highlight w:val="none"/>
        </w:rPr>
        <w:t xml:space="preserve">。</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3.项目演示：</w:t>
      </w:r>
      <w:r>
        <w:rPr>
          <w:rFonts w:hint="default" w:ascii="宋体" w:hAnsi="宋体" w:cs="宋体"/>
          <w:color w:val="auto"/>
          <w:sz w:val="28"/>
          <w:szCs w:val="28"/>
          <w:highlight w:val="none"/>
          <w:lang w:val="en-US"/>
        </w:rPr>
        <w:t xml:space="preserve">投标人根据商务技术分</w:t>
      </w:r>
      <w:r>
        <w:rPr>
          <w:rFonts w:hint="eastAsia" w:ascii="宋体" w:hAnsi="宋体" w:cs="宋体"/>
          <w:color w:val="auto"/>
          <w:sz w:val="28"/>
          <w:szCs w:val="28"/>
          <w:highlight w:val="none"/>
          <w:lang w:val="en-US" w:eastAsia="zh-CN"/>
        </w:rPr>
        <w:t xml:space="preserve">要求</w:t>
      </w:r>
      <w:r>
        <w:rPr>
          <w:rFonts w:hint="default" w:ascii="宋体" w:hAnsi="宋体" w:cs="宋体"/>
          <w:color w:val="auto"/>
          <w:sz w:val="28"/>
          <w:szCs w:val="28"/>
          <w:highlight w:val="none"/>
          <w:lang w:val="en-US"/>
        </w:rPr>
        <w:t xml:space="preserve">提供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20分钟。</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采购方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ascii="宋体" w:hAnsi="宋体" w:cs="宋体"/>
          <w:b/>
          <w:color w:val="auto"/>
          <w:sz w:val="28"/>
          <w:szCs w:val="28"/>
          <w:highlight w:val="none"/>
        </w:rPr>
        <w:outlineLvl w:val="1"/>
      </w:pPr>
      <w:r/>
      <w:bookmarkStart w:id="19" w:name="_Toc17541"/>
      <w:r>
        <w:rPr>
          <w:rFonts w:hint="eastAsia" w:ascii="宋体" w:hAnsi="宋体" w:cs="宋体"/>
          <w:b/>
          <w:color w:val="auto"/>
          <w:sz w:val="28"/>
          <w:szCs w:val="28"/>
          <w:highlight w:val="none"/>
        </w:rPr>
        <w:t xml:space="preserve">七、对本次招标提出询问，请按以下方式联系</w:t>
      </w:r>
      <w:bookmarkEnd w:id="19"/>
      <w:r/>
      <w:r/>
    </w:p>
    <w:p>
      <w:pPr>
        <w:ind w:firstLine="588"/>
        <w:spacing w:line="440" w:lineRule="exact"/>
        <w:shd w:val="clear" w:color="auto" w:fill="ffffff"/>
        <w:rPr>
          <w:rFonts w:ascii="宋体" w:hAnsi="宋体" w:cs="宋体"/>
          <w:color w:val="auto"/>
          <w:spacing w:val="7"/>
          <w:sz w:val="28"/>
          <w:szCs w:val="28"/>
          <w:highlight w:val="none"/>
        </w:rPr>
        <w:outlineLvl w:val="2"/>
      </w:pPr>
      <w:r/>
      <w:bookmarkStart w:id="20" w:name="_Toc20676"/>
      <w:r>
        <w:rPr>
          <w:rFonts w:hint="eastAsia" w:ascii="宋体" w:hAnsi="宋体" w:cs="宋体"/>
          <w:color w:val="auto"/>
          <w:spacing w:val="7"/>
          <w:sz w:val="28"/>
          <w:szCs w:val="28"/>
          <w:highlight w:val="none"/>
        </w:rPr>
        <w:t xml:space="preserve">1.招标人信息</w:t>
      </w:r>
      <w:bookmarkEnd w:id="20"/>
      <w:r/>
      <w:r/>
    </w:p>
    <w:p>
      <w:pPr>
        <w:ind w:firstLine="588"/>
        <w:spacing w:line="440" w:lineRule="exact"/>
        <w:shd w:val="clear" w:color="auto" w:fill="ffffff"/>
        <w:rPr>
          <w:rFonts w:ascii="宋体" w:hAnsi="宋体" w:cs="宋体"/>
          <w:color w:val="auto"/>
          <w:spacing w:val="7"/>
          <w:sz w:val="28"/>
          <w:szCs w:val="28"/>
          <w:highlight w:val="none"/>
        </w:rPr>
      </w:pPr>
      <w:r/>
      <w:bookmarkStart w:id="21" w:name="_Toc35393638"/>
      <w:r/>
      <w:bookmarkStart w:id="22" w:name="_Toc35393807"/>
      <w:r/>
      <w:bookmarkStart w:id="23" w:name="_Toc28359097"/>
      <w:r/>
      <w:bookmarkStart w:id="24" w:name="_Toc28359020"/>
      <w:r>
        <w:rPr>
          <w:rFonts w:hint="eastAsia" w:ascii="宋体" w:hAnsi="宋体" w:cs="宋体"/>
          <w:color w:val="auto"/>
          <w:spacing w:val="7"/>
          <w:sz w:val="28"/>
          <w:szCs w:val="28"/>
          <w:highlight w:val="none"/>
        </w:rPr>
        <w:t xml:space="preserve">名称：南通职业大学　　　　　　　　　　　　</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地址：江苏省南通市青年中路89号  </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联系人：</w:t>
      </w:r>
      <w:r>
        <w:rPr>
          <w:rFonts w:hint="eastAsia" w:ascii="宋体" w:hAnsi="宋体" w:cs="宋体"/>
          <w:color w:val="auto"/>
          <w:spacing w:val="7"/>
          <w:sz w:val="28"/>
          <w:szCs w:val="28"/>
          <w:highlight w:val="none"/>
          <w:lang w:val="en-US" w:eastAsia="zh-CN"/>
        </w:rPr>
        <w:t xml:space="preserve">苏老师</w:t>
      </w:r>
      <w:r>
        <w:rPr>
          <w:rFonts w:hint="eastAsia" w:ascii="宋体" w:hAnsi="宋体" w:cs="宋体"/>
          <w:color w:val="auto"/>
          <w:spacing w:val="7"/>
          <w:sz w:val="28"/>
          <w:szCs w:val="28"/>
          <w:highlight w:val="none"/>
        </w:rPr>
        <w:t xml:space="preserve"> </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联系方式：13646242212</w:t>
      </w:r>
      <w:r/>
    </w:p>
    <w:p>
      <w:pPr>
        <w:ind w:firstLine="588"/>
        <w:spacing w:line="440" w:lineRule="exact"/>
        <w:shd w:val="clear" w:color="auto" w:fill="ffffff"/>
        <w:rPr>
          <w:rFonts w:ascii="宋体" w:hAnsi="宋体" w:cs="宋体"/>
          <w:color w:val="auto"/>
          <w:spacing w:val="7"/>
          <w:sz w:val="28"/>
          <w:szCs w:val="28"/>
          <w:highlight w:val="none"/>
        </w:rPr>
        <w:outlineLvl w:val="2"/>
      </w:pPr>
      <w:r/>
      <w:bookmarkStart w:id="25" w:name="_Toc25249"/>
      <w:r>
        <w:rPr>
          <w:rFonts w:hint="eastAsia" w:ascii="宋体" w:hAnsi="宋体" w:cs="宋体"/>
          <w:color w:val="auto"/>
          <w:spacing w:val="7"/>
          <w:sz w:val="28"/>
          <w:szCs w:val="28"/>
          <w:highlight w:val="none"/>
        </w:rPr>
        <w:t xml:space="preserve">2.招标代理机构信息</w:t>
      </w:r>
      <w:bookmarkEnd w:id="21"/>
      <w:r/>
      <w:bookmarkEnd w:id="22"/>
      <w:r/>
      <w:bookmarkEnd w:id="23"/>
      <w:r/>
      <w:bookmarkEnd w:id="24"/>
      <w:r/>
      <w:bookmarkEnd w:id="25"/>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名称：江苏中润工程建设咨询有限公司</w:t>
      </w:r>
      <w:r/>
    </w:p>
    <w:p>
      <w:pPr>
        <w:ind w:left="1441" w:hanging="882"/>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地址：南通市崇川路58号</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联系方式：肖俊菁   18106299008</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1.公开招标文件</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2.招标人信用承诺书</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3.公平竞争审查二维码</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6" w:name="_Toc12269"/>
      <w:r/>
      <w:bookmarkStart w:id="27" w:name="_Toc28364"/>
      <w:r>
        <w:rPr>
          <w:rFonts w:hint="eastAsia" w:ascii="宋体" w:hAnsi="宋体" w:cs="宋体"/>
          <w:bCs/>
          <w:color w:val="auto"/>
          <w:sz w:val="36"/>
          <w:szCs w:val="36"/>
          <w:highlight w:val="none"/>
        </w:rPr>
        <w:t xml:space="preserve">第二部分  投标须知</w:t>
      </w:r>
      <w:bookmarkEnd w:id="26"/>
      <w:r/>
      <w:bookmarkEnd w:id="27"/>
      <w:r/>
      <w:r/>
    </w:p>
    <w:p>
      <w:pPr>
        <w:pStyle w:val="944"/>
        <w:ind w:firstLine="562"/>
        <w:spacing w:before="0" w:after="0" w:line="460" w:lineRule="exact"/>
        <w:rPr>
          <w:rFonts w:ascii="宋体" w:hAnsi="宋体" w:eastAsia="宋体" w:cs="宋体"/>
          <w:color w:val="auto"/>
          <w:sz w:val="28"/>
          <w:szCs w:val="28"/>
          <w:highlight w:val="none"/>
        </w:rPr>
      </w:pPr>
      <w:r/>
      <w:bookmarkStart w:id="28" w:name="_Toc120614214"/>
      <w:r/>
      <w:bookmarkStart w:id="29" w:name="_Toc513029203"/>
      <w:r/>
      <w:bookmarkStart w:id="30" w:name="_Toc20823275"/>
      <w:r/>
      <w:bookmarkStart w:id="31" w:name="_Toc16938519"/>
      <w:r/>
      <w:bookmarkStart w:id="32" w:name="_Toc2896"/>
      <w:r>
        <w:rPr>
          <w:rFonts w:hint="eastAsia" w:ascii="宋体" w:hAnsi="宋体" w:eastAsia="宋体" w:cs="宋体"/>
          <w:color w:val="auto"/>
          <w:sz w:val="28"/>
          <w:szCs w:val="28"/>
          <w:highlight w:val="none"/>
        </w:rPr>
        <w:t xml:space="preserve">一、总则</w:t>
      </w:r>
      <w:bookmarkEnd w:id="28"/>
      <w:r/>
      <w:bookmarkEnd w:id="29"/>
      <w:r/>
      <w:bookmarkEnd w:id="30"/>
      <w:r/>
      <w:bookmarkEnd w:id="31"/>
      <w:r/>
      <w:bookmarkEnd w:id="32"/>
      <w:r/>
      <w:r/>
    </w:p>
    <w:p>
      <w:pPr>
        <w:ind w:firstLine="560"/>
        <w:spacing w:line="460" w:lineRule="exact"/>
        <w:rPr>
          <w:rFonts w:ascii="宋体" w:hAnsi="宋体" w:cs="宋体"/>
          <w:b/>
          <w:bCs/>
          <w:color w:val="auto"/>
          <w:sz w:val="28"/>
          <w:szCs w:val="28"/>
          <w:highlight w:val="none"/>
        </w:rPr>
        <w:outlineLvl w:val="2"/>
      </w:pPr>
      <w:r/>
      <w:bookmarkStart w:id="33" w:name="_Hlt16619475"/>
      <w:r/>
      <w:bookmarkEnd w:id="33"/>
      <w:r/>
      <w:bookmarkStart w:id="34" w:name="_Toc458694821"/>
      <w:r/>
      <w:bookmarkStart w:id="35" w:name="_Toc2940"/>
      <w:r/>
      <w:bookmarkStart w:id="36" w:name="_Toc16938520"/>
      <w:r/>
      <w:bookmarkStart w:id="37" w:name="_Toc20823276"/>
      <w:r/>
      <w:bookmarkStart w:id="38" w:name="_Toc513029204"/>
      <w:r>
        <w:rPr>
          <w:rFonts w:hint="eastAsia" w:ascii="宋体" w:hAnsi="宋体" w:cs="宋体"/>
          <w:color w:val="auto"/>
          <w:sz w:val="28"/>
          <w:szCs w:val="28"/>
          <w:highlight w:val="none"/>
        </w:rPr>
        <w:t xml:space="preserve">1</w:t>
      </w:r>
      <w:bookmarkEnd w:id="34"/>
      <w:r>
        <w:rPr>
          <w:rFonts w:hint="eastAsia" w:ascii="宋体" w:hAnsi="宋体" w:cs="宋体"/>
          <w:color w:val="auto"/>
          <w:sz w:val="28"/>
          <w:szCs w:val="28"/>
          <w:highlight w:val="none"/>
        </w:rPr>
        <w:t xml:space="preserve">.招标方式</w:t>
      </w:r>
      <w:bookmarkEnd w:id="35"/>
      <w:r/>
      <w:bookmarkEnd w:id="36"/>
      <w:r/>
      <w:bookmarkEnd w:id="37"/>
      <w:r/>
      <w:bookmarkEnd w:id="38"/>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ascii="宋体" w:hAnsi="宋体" w:cs="宋体"/>
          <w:b/>
          <w:bCs/>
          <w:color w:val="auto"/>
          <w:sz w:val="28"/>
          <w:szCs w:val="28"/>
          <w:highlight w:val="none"/>
        </w:rPr>
        <w:outlineLvl w:val="2"/>
      </w:pPr>
      <w:r/>
      <w:bookmarkStart w:id="39" w:name="_Toc16938521"/>
      <w:r/>
      <w:bookmarkStart w:id="40" w:name="_Toc20823277"/>
      <w:r/>
      <w:bookmarkStart w:id="41" w:name="_Toc513029205"/>
      <w:r/>
      <w:bookmarkStart w:id="42" w:name="_Toc32621"/>
      <w:r>
        <w:rPr>
          <w:rFonts w:hint="eastAsia" w:ascii="宋体" w:hAnsi="宋体" w:cs="宋体"/>
          <w:color w:val="auto"/>
          <w:sz w:val="28"/>
          <w:szCs w:val="28"/>
          <w:highlight w:val="none"/>
        </w:rPr>
        <w:t xml:space="preserve">2.合格的投标人</w:t>
      </w:r>
      <w:bookmarkEnd w:id="39"/>
      <w:r/>
      <w:bookmarkEnd w:id="40"/>
      <w:r/>
      <w:bookmarkEnd w:id="41"/>
      <w:r/>
      <w:bookmarkEnd w:id="42"/>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ascii="宋体" w:hAnsi="宋体" w:cs="宋体"/>
          <w:b/>
          <w:bCs/>
          <w:color w:val="auto"/>
          <w:sz w:val="28"/>
          <w:szCs w:val="28"/>
          <w:highlight w:val="none"/>
        </w:rPr>
        <w:outlineLvl w:val="2"/>
      </w:pPr>
      <w:r/>
      <w:bookmarkStart w:id="43" w:name="_Toc20823278"/>
      <w:r/>
      <w:bookmarkStart w:id="44" w:name="_Toc16938522"/>
      <w:r/>
      <w:bookmarkStart w:id="45" w:name="_Toc1005"/>
      <w:r/>
      <w:bookmarkStart w:id="46" w:name="_Toc513029206"/>
      <w:r>
        <w:rPr>
          <w:rFonts w:hint="eastAsia" w:ascii="宋体" w:hAnsi="宋体" w:cs="宋体"/>
          <w:color w:val="auto"/>
          <w:sz w:val="28"/>
          <w:szCs w:val="28"/>
          <w:highlight w:val="none"/>
        </w:rPr>
        <w:t xml:space="preserve">3.适用法律</w:t>
      </w:r>
      <w:bookmarkEnd w:id="43"/>
      <w:r/>
      <w:bookmarkEnd w:id="44"/>
      <w:r/>
      <w:bookmarkEnd w:id="45"/>
      <w:r/>
      <w:bookmarkEnd w:id="4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ascii="宋体" w:hAnsi="宋体" w:cs="宋体"/>
          <w:b/>
          <w:bCs/>
          <w:color w:val="auto"/>
          <w:sz w:val="28"/>
          <w:szCs w:val="28"/>
          <w:highlight w:val="none"/>
        </w:rPr>
        <w:outlineLvl w:val="2"/>
      </w:pPr>
      <w:r/>
      <w:bookmarkStart w:id="47" w:name="_Toc20823279"/>
      <w:r/>
      <w:bookmarkStart w:id="48" w:name="_Toc16938523"/>
      <w:r/>
      <w:bookmarkStart w:id="49" w:name="_Toc23647"/>
      <w:r/>
      <w:bookmarkStart w:id="50" w:name="_Toc462564067"/>
      <w:r/>
      <w:bookmarkStart w:id="51" w:name="_Toc513029207"/>
      <w:r>
        <w:rPr>
          <w:rFonts w:hint="eastAsia" w:ascii="宋体" w:hAnsi="宋体" w:cs="宋体"/>
          <w:color w:val="auto"/>
          <w:sz w:val="28"/>
          <w:szCs w:val="28"/>
          <w:highlight w:val="none"/>
        </w:rPr>
        <w:t xml:space="preserve">4.投标费用</w:t>
      </w:r>
      <w:bookmarkEnd w:id="47"/>
      <w:r/>
      <w:bookmarkEnd w:id="48"/>
      <w:r/>
      <w:bookmarkEnd w:id="49"/>
      <w:r/>
      <w:bookmarkEnd w:id="50"/>
      <w:r/>
      <w:bookmarkEnd w:id="51"/>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投标人应自行承担所有与参加投标有关的费用，无论投标过程中的做法和结果如何，江苏中润工程建设咨询有限公司（以下简称招标代理机构）在任何情况下均无义务和责任承担这些费用。</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4.2本项目招标代理费收取标准以中标价为基准，乘以招标代理收费费率，由中标人支付，投标人</w:t>
      </w:r>
      <w:r>
        <w:rPr>
          <w:rFonts w:hint="eastAsia" w:ascii="宋体" w:hAnsi="宋体" w:cs="宋体"/>
          <w:color w:val="auto"/>
          <w:sz w:val="28"/>
          <w:szCs w:val="28"/>
          <w:highlight w:val="none"/>
          <w:lang w:val="zh-CN"/>
        </w:rPr>
        <w:t xml:space="preserve">综合考虑在报价内（不单列）。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招标代理收费费率标准：</w:t>
      </w:r>
      <w:r/>
    </w:p>
    <w:tbl>
      <w:tblPr>
        <w:tblStyle w:val="9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39"/>
        <w:gridCol w:w="4241"/>
      </w:tblGrid>
      <w:tr>
        <w:trPr>
          <w:jc w:val="center"/>
          <w:trHeight w:val="90"/>
          <w:tblHeader/>
        </w:trPr>
        <w:tc>
          <w:tcPr>
            <w:tcW w:w="423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中标金额</w:t>
            </w:r>
            <w:r/>
          </w:p>
        </w:tc>
        <w:tc>
          <w:tcPr>
            <w:tcW w:w="4241"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招标代理收费费率（超额累进）</w:t>
            </w:r>
            <w:r/>
          </w:p>
        </w:tc>
      </w:tr>
      <w:tr>
        <w:trPr>
          <w:jc w:val="center"/>
          <w:trHeight w:val="90"/>
        </w:trPr>
        <w:tc>
          <w:tcPr>
            <w:tcW w:w="423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20万元（不含）以下</w:t>
            </w:r>
            <w:r/>
          </w:p>
        </w:tc>
        <w:tc>
          <w:tcPr>
            <w:tcW w:w="4241"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固定3000元</w:t>
            </w:r>
            <w:r/>
          </w:p>
        </w:tc>
      </w:tr>
      <w:tr>
        <w:trPr>
          <w:jc w:val="center"/>
          <w:trHeight w:val="267"/>
        </w:trPr>
        <w:tc>
          <w:tcPr>
            <w:tcW w:w="423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20万元（含）-50万元（不含）</w:t>
            </w:r>
            <w:r/>
          </w:p>
        </w:tc>
        <w:tc>
          <w:tcPr>
            <w:tcW w:w="4241"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1.5%</w:t>
            </w:r>
            <w:r/>
          </w:p>
        </w:tc>
      </w:tr>
      <w:tr>
        <w:trPr>
          <w:jc w:val="center"/>
          <w:trHeight w:val="267"/>
        </w:trPr>
        <w:tc>
          <w:tcPr>
            <w:tcW w:w="423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50万元（含）-100万元（不含）</w:t>
            </w:r>
            <w:r/>
          </w:p>
        </w:tc>
        <w:tc>
          <w:tcPr>
            <w:tcW w:w="4241"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1.4%</w:t>
            </w:r>
            <w:r/>
          </w:p>
        </w:tc>
      </w:tr>
      <w:tr>
        <w:trPr>
          <w:jc w:val="center"/>
          <w:trHeight w:val="90"/>
        </w:trPr>
        <w:tc>
          <w:tcPr>
            <w:tcW w:w="423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100万元（含）以上</w:t>
            </w:r>
            <w:r/>
          </w:p>
        </w:tc>
        <w:tc>
          <w:tcPr>
            <w:tcW w:w="4241"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1.1%</w:t>
            </w:r>
            <w:r/>
          </w:p>
        </w:tc>
      </w:tr>
    </w:tbl>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lang w:val="zh-CN"/>
        </w:rPr>
        <w:t xml:space="preserve">代理费定标后由</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候选人支付给代理机构。因</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原因导致</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结果变更或取消</w:t>
      </w:r>
      <w:r>
        <w:rPr>
          <w:rFonts w:hint="eastAsia" w:ascii="宋体" w:hAnsi="宋体" w:cs="宋体"/>
          <w:color w:val="auto"/>
          <w:sz w:val="28"/>
          <w:szCs w:val="28"/>
          <w:highlight w:val="none"/>
        </w:rPr>
        <w:t xml:space="preserve">中标</w:t>
      </w:r>
      <w:r>
        <w:rPr>
          <w:rFonts w:hint="eastAsia" w:ascii="宋体" w:hAnsi="宋体" w:cs="宋体"/>
          <w:color w:val="auto"/>
          <w:sz w:val="28"/>
          <w:szCs w:val="28"/>
          <w:highlight w:val="none"/>
          <w:lang w:val="zh-CN"/>
        </w:rPr>
        <w:t xml:space="preserve">资格等，代理费不予退还。</w:t>
      </w:r>
      <w:r/>
    </w:p>
    <w:p>
      <w:pPr>
        <w:ind w:firstLine="560"/>
        <w:spacing w:line="460" w:lineRule="exact"/>
        <w:rPr>
          <w:rFonts w:ascii="宋体" w:hAnsi="宋体" w:cs="宋体"/>
          <w:b/>
          <w:bCs/>
          <w:color w:val="auto"/>
          <w:sz w:val="28"/>
          <w:szCs w:val="28"/>
          <w:highlight w:val="none"/>
        </w:rPr>
        <w:outlineLvl w:val="2"/>
      </w:pPr>
      <w:r/>
      <w:bookmarkStart w:id="52" w:name="_Toc19559"/>
      <w:r>
        <w:rPr>
          <w:rFonts w:hint="eastAsia" w:ascii="宋体" w:hAnsi="宋体" w:cs="宋体"/>
          <w:color w:val="auto"/>
          <w:sz w:val="28"/>
          <w:szCs w:val="28"/>
          <w:highlight w:val="none"/>
        </w:rPr>
        <w:t xml:space="preserve">5.招标文件的约束力</w:t>
      </w:r>
      <w:bookmarkEnd w:id="52"/>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投标人一旦参加本项目采购活动，即被认为接受了本招标文件的规定和约束。</w:t>
      </w:r>
      <w:r/>
    </w:p>
    <w:p>
      <w:pPr>
        <w:ind w:firstLine="560"/>
        <w:spacing w:line="460" w:lineRule="exact"/>
        <w:rPr>
          <w:rFonts w:ascii="宋体" w:hAnsi="宋体" w:cs="宋体"/>
          <w:color w:val="auto"/>
          <w:sz w:val="28"/>
          <w:szCs w:val="28"/>
          <w:highlight w:val="none"/>
        </w:rPr>
        <w:outlineLvl w:val="2"/>
      </w:pPr>
      <w:r/>
      <w:bookmarkStart w:id="53" w:name="_Toc20136"/>
      <w:r>
        <w:rPr>
          <w:rFonts w:hint="eastAsia" w:ascii="宋体" w:hAnsi="宋体" w:cs="宋体"/>
          <w:color w:val="auto"/>
          <w:sz w:val="28"/>
          <w:szCs w:val="28"/>
          <w:highlight w:val="none"/>
        </w:rPr>
        <w:t xml:space="preserve">6.招标文件的解释</w:t>
      </w:r>
      <w:bookmarkEnd w:id="53"/>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招标文件需求部分（投标人资格要求、项目需求、商务技术评分标准）由招标人解释，其他部分由代理机构解释。</w:t>
      </w:r>
      <w:r/>
    </w:p>
    <w:p>
      <w:pPr>
        <w:pStyle w:val="944"/>
        <w:ind w:firstLine="562"/>
        <w:spacing w:before="0" w:after="0" w:line="460" w:lineRule="exact"/>
        <w:rPr>
          <w:rFonts w:ascii="宋体" w:hAnsi="宋体" w:eastAsia="宋体" w:cs="宋体"/>
          <w:color w:val="auto"/>
          <w:sz w:val="28"/>
          <w:szCs w:val="28"/>
          <w:highlight w:val="none"/>
        </w:rPr>
      </w:pPr>
      <w:r/>
      <w:bookmarkStart w:id="54" w:name="_Toc16938525"/>
      <w:r/>
      <w:bookmarkStart w:id="55" w:name="_Toc120614215"/>
      <w:r/>
      <w:bookmarkStart w:id="56" w:name="_Toc21896"/>
      <w:r/>
      <w:bookmarkStart w:id="57" w:name="_Toc20823281"/>
      <w:r/>
      <w:bookmarkStart w:id="58" w:name="_Toc513029209"/>
      <w:r>
        <w:rPr>
          <w:rFonts w:hint="eastAsia" w:ascii="宋体" w:hAnsi="宋体" w:eastAsia="宋体" w:cs="宋体"/>
          <w:color w:val="auto"/>
          <w:sz w:val="28"/>
          <w:szCs w:val="28"/>
          <w:highlight w:val="none"/>
        </w:rPr>
        <w:t xml:space="preserve">二、招标文件</w:t>
      </w:r>
      <w:bookmarkEnd w:id="54"/>
      <w:r/>
      <w:bookmarkEnd w:id="55"/>
      <w:r/>
      <w:bookmarkEnd w:id="56"/>
      <w:r/>
      <w:bookmarkEnd w:id="57"/>
      <w:r/>
      <w:bookmarkEnd w:id="58"/>
      <w:r/>
      <w:r/>
    </w:p>
    <w:p>
      <w:pPr>
        <w:ind w:firstLine="560"/>
        <w:spacing w:line="460" w:lineRule="exact"/>
        <w:rPr>
          <w:rFonts w:ascii="宋体" w:hAnsi="宋体" w:cs="宋体"/>
          <w:b/>
          <w:bCs/>
          <w:color w:val="auto"/>
          <w:sz w:val="28"/>
          <w:szCs w:val="28"/>
          <w:highlight w:val="none"/>
        </w:rPr>
        <w:outlineLvl w:val="2"/>
      </w:pPr>
      <w:r/>
      <w:bookmarkStart w:id="59" w:name="_Toc20823282"/>
      <w:r/>
      <w:bookmarkStart w:id="60" w:name="_Toc18925"/>
      <w:r/>
      <w:bookmarkStart w:id="61" w:name="_Toc16938526"/>
      <w:r/>
      <w:bookmarkStart w:id="62" w:name="_Toc513029210"/>
      <w:r>
        <w:rPr>
          <w:rFonts w:hint="eastAsia" w:ascii="宋体" w:hAnsi="宋体" w:cs="宋体"/>
          <w:color w:val="auto"/>
          <w:sz w:val="28"/>
          <w:szCs w:val="28"/>
          <w:highlight w:val="none"/>
        </w:rPr>
        <w:t xml:space="preserve">1.招标文件构成</w:t>
      </w:r>
      <w:bookmarkEnd w:id="59"/>
      <w:r/>
      <w:bookmarkEnd w:id="60"/>
      <w:r/>
      <w:bookmarkEnd w:id="61"/>
      <w:r/>
      <w:bookmarkEnd w:id="62"/>
      <w:r/>
      <w:r/>
    </w:p>
    <w:p>
      <w:pPr>
        <w:ind w:firstLine="560"/>
        <w:spacing w:line="460" w:lineRule="exact"/>
        <w:rPr>
          <w:rFonts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ascii="宋体" w:hAnsi="宋体" w:cs="宋体"/>
          <w:b/>
          <w:bCs/>
          <w:color w:val="auto"/>
          <w:sz w:val="28"/>
          <w:szCs w:val="28"/>
          <w:highlight w:val="none"/>
        </w:rPr>
        <w:outlineLvl w:val="2"/>
      </w:pPr>
      <w:r/>
      <w:bookmarkStart w:id="63" w:name="_Toc513029211"/>
      <w:r/>
      <w:bookmarkStart w:id="64" w:name="_Toc20823283"/>
      <w:r/>
      <w:bookmarkStart w:id="65" w:name="_Toc31712"/>
      <w:r/>
      <w:bookmarkStart w:id="66" w:name="_Toc462564070"/>
      <w:r/>
      <w:bookmarkStart w:id="67" w:name="_Toc16938527"/>
      <w:r>
        <w:rPr>
          <w:rFonts w:hint="eastAsia" w:ascii="宋体" w:hAnsi="宋体" w:cs="宋体"/>
          <w:color w:val="auto"/>
          <w:sz w:val="28"/>
          <w:szCs w:val="28"/>
          <w:highlight w:val="none"/>
        </w:rPr>
        <w:t xml:space="preserve">2.招标文件的澄清</w:t>
      </w:r>
      <w:bookmarkEnd w:id="63"/>
      <w:r/>
      <w:bookmarkEnd w:id="64"/>
      <w:r/>
      <w:bookmarkEnd w:id="65"/>
      <w:r/>
      <w:bookmarkEnd w:id="66"/>
      <w:r/>
      <w:bookmarkEnd w:id="67"/>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任何要求对招标文件进行澄清的投标人，应在投标截止期十日前按招标公告中的通讯地址，以书面形式通知招标人。招标人有权对发出的招标文件进行必要的澄清或修改</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2.2招标人视情组织答疑会</w:t>
      </w:r>
      <w:r/>
    </w:p>
    <w:p>
      <w:pPr>
        <w:ind w:firstLine="560"/>
        <w:spacing w:line="460" w:lineRule="exact"/>
        <w:rPr>
          <w:rFonts w:ascii="宋体" w:hAnsi="宋体" w:cs="宋体"/>
          <w:b/>
          <w:bCs/>
          <w:color w:val="auto"/>
          <w:sz w:val="28"/>
          <w:szCs w:val="28"/>
          <w:highlight w:val="none"/>
        </w:rPr>
        <w:outlineLvl w:val="2"/>
      </w:pPr>
      <w:r/>
      <w:bookmarkStart w:id="68" w:name="_Toc462564071"/>
      <w:r/>
      <w:bookmarkStart w:id="69" w:name="_Toc31249"/>
      <w:r/>
      <w:bookmarkStart w:id="70" w:name="_Toc16938528"/>
      <w:r/>
      <w:bookmarkStart w:id="71" w:name="_Toc513029212"/>
      <w:r/>
      <w:bookmarkStart w:id="72" w:name="_Toc20823284"/>
      <w:r>
        <w:rPr>
          <w:rFonts w:hint="eastAsia" w:ascii="宋体" w:hAnsi="宋体" w:cs="宋体"/>
          <w:color w:val="auto"/>
          <w:sz w:val="28"/>
          <w:szCs w:val="28"/>
          <w:highlight w:val="none"/>
        </w:rPr>
        <w:t xml:space="preserve">3.招标文件的修改</w:t>
      </w:r>
      <w:bookmarkEnd w:id="68"/>
      <w:r/>
      <w:bookmarkEnd w:id="69"/>
      <w:r/>
      <w:bookmarkEnd w:id="70"/>
      <w:r/>
      <w:bookmarkEnd w:id="71"/>
      <w:r/>
      <w:bookmarkEnd w:id="72"/>
      <w:r/>
      <w:r/>
    </w:p>
    <w:p>
      <w:pPr>
        <w:ind w:firstLine="560"/>
        <w:spacing w:line="460" w:lineRule="exact"/>
        <w:rPr>
          <w:rFonts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招标文件的修改将在江苏省政府采购网公布，补充文件将作为招标文件的组成部分，并对投标人具有约束力。</w:t>
      </w:r>
      <w:r/>
    </w:p>
    <w:p>
      <w:pPr>
        <w:ind w:firstLine="482"/>
        <w:spacing w:line="460" w:lineRule="exact"/>
        <w:rPr>
          <w:rFonts w:ascii="宋体" w:hAnsi="宋体" w:cs="宋体"/>
          <w:b/>
          <w:bCs/>
          <w:color w:val="auto"/>
          <w:sz w:val="28"/>
          <w:szCs w:val="28"/>
          <w:highlight w:val="none"/>
          <w:u w:val="single"/>
        </w:rPr>
      </w:pPr>
      <w:r/>
      <w:bookmarkStart w:id="73" w:name="_Toc16938529"/>
      <w:r/>
      <w:bookmarkStart w:id="74" w:name="_Toc120614216"/>
      <w:r/>
      <w:bookmarkStart w:id="75" w:name="_Toc20823285"/>
      <w:r/>
      <w:bookmarkStart w:id="76" w:name="_Toc513029213"/>
      <w:r/>
      <w:bookmarkStart w:id="77" w:name="_Toc462564072"/>
      <w:r>
        <w:rPr>
          <w:rFonts w:hint="eastAsia" w:ascii="宋体" w:hAnsi="宋体" w:cs="宋体"/>
          <w:b/>
          <w:bCs/>
          <w:color w:val="auto"/>
          <w:sz w:val="28"/>
          <w:szCs w:val="28"/>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ascii="宋体" w:hAnsi="宋体" w:cs="宋体"/>
          <w:color w:val="auto"/>
          <w:sz w:val="24"/>
          <w:highlight w:val="none"/>
        </w:rPr>
      </w:pPr>
      <w:r>
        <w:rPr>
          <w:rFonts w:hint="eastAsia" w:ascii="宋体" w:hAnsi="宋体" w:cs="宋体"/>
          <w:color w:val="auto"/>
          <w:sz w:val="28"/>
          <w:szCs w:val="28"/>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pStyle w:val="944"/>
        <w:ind w:firstLine="562"/>
        <w:spacing w:before="0" w:after="0" w:line="460" w:lineRule="exact"/>
        <w:rPr>
          <w:rFonts w:ascii="宋体" w:hAnsi="宋体" w:eastAsia="宋体" w:cs="宋体"/>
          <w:color w:val="auto"/>
          <w:sz w:val="28"/>
          <w:szCs w:val="28"/>
          <w:highlight w:val="none"/>
        </w:rPr>
      </w:pPr>
      <w:r/>
      <w:bookmarkStart w:id="78" w:name="_Toc16140"/>
      <w:r>
        <w:rPr>
          <w:rFonts w:hint="eastAsia" w:ascii="宋体" w:hAnsi="宋体" w:eastAsia="宋体" w:cs="宋体"/>
          <w:color w:val="auto"/>
          <w:sz w:val="28"/>
          <w:szCs w:val="28"/>
          <w:highlight w:val="none"/>
        </w:rPr>
        <w:t xml:space="preserve">三、投标文件的编制</w:t>
      </w:r>
      <w:bookmarkEnd w:id="73"/>
      <w:r/>
      <w:bookmarkEnd w:id="74"/>
      <w:r/>
      <w:bookmarkEnd w:id="75"/>
      <w:r/>
      <w:bookmarkEnd w:id="76"/>
      <w:r/>
      <w:bookmarkEnd w:id="77"/>
      <w:r/>
      <w:bookmarkEnd w:id="78"/>
      <w:r/>
      <w:r/>
    </w:p>
    <w:p>
      <w:pPr>
        <w:ind w:firstLine="560"/>
        <w:spacing w:line="460" w:lineRule="exact"/>
        <w:rPr>
          <w:rFonts w:ascii="宋体" w:hAnsi="宋体" w:cs="宋体"/>
          <w:bCs/>
          <w:color w:val="auto"/>
          <w:sz w:val="28"/>
          <w:szCs w:val="28"/>
          <w:highlight w:val="none"/>
        </w:rPr>
        <w:outlineLvl w:val="2"/>
      </w:pPr>
      <w:r/>
      <w:bookmarkStart w:id="79" w:name="_Toc16938530"/>
      <w:r/>
      <w:bookmarkStart w:id="80" w:name="_Toc20823286"/>
      <w:r/>
      <w:bookmarkStart w:id="81" w:name="_Toc462564073"/>
      <w:r/>
      <w:bookmarkStart w:id="82" w:name="_Toc513029214"/>
      <w:r/>
      <w:bookmarkStart w:id="83" w:name="_Toc32352"/>
      <w:r>
        <w:rPr>
          <w:rFonts w:hint="eastAsia" w:ascii="宋体" w:hAnsi="宋体" w:cs="宋体"/>
          <w:color w:val="auto"/>
          <w:sz w:val="28"/>
          <w:szCs w:val="28"/>
          <w:highlight w:val="none"/>
        </w:rPr>
        <w:t xml:space="preserve">1.投标文件的语言及度量衡单位</w:t>
      </w:r>
      <w:bookmarkEnd w:id="79"/>
      <w:r/>
      <w:bookmarkEnd w:id="80"/>
      <w:r/>
      <w:bookmarkEnd w:id="81"/>
      <w:r/>
      <w:bookmarkEnd w:id="82"/>
      <w:r/>
      <w:bookmarkEnd w:id="83"/>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ascii="宋体" w:hAnsi="宋体" w:cs="宋体"/>
          <w:b/>
          <w:bCs/>
          <w:color w:val="auto"/>
          <w:sz w:val="28"/>
          <w:szCs w:val="28"/>
          <w:highlight w:val="none"/>
        </w:rPr>
        <w:outlineLvl w:val="2"/>
      </w:pPr>
      <w:r/>
      <w:bookmarkStart w:id="84" w:name="_Toc20823287"/>
      <w:r/>
      <w:bookmarkStart w:id="85" w:name="_Toc16938531"/>
      <w:r/>
      <w:bookmarkStart w:id="86" w:name="_Toc513029215"/>
      <w:r/>
      <w:bookmarkStart w:id="87" w:name="_Toc28358"/>
      <w:r/>
      <w:bookmarkStart w:id="88" w:name="_Toc462564074"/>
      <w:r>
        <w:rPr>
          <w:rFonts w:hint="eastAsia" w:ascii="宋体" w:hAnsi="宋体" w:cs="宋体"/>
          <w:color w:val="auto"/>
          <w:sz w:val="28"/>
          <w:szCs w:val="28"/>
          <w:highlight w:val="none"/>
        </w:rPr>
        <w:t xml:space="preserve">2.投标文件构成</w:t>
      </w:r>
      <w:bookmarkEnd w:id="84"/>
      <w:r/>
      <w:bookmarkEnd w:id="85"/>
      <w:r/>
      <w:bookmarkEnd w:id="86"/>
      <w:r/>
      <w:bookmarkEnd w:id="87"/>
      <w:r/>
      <w:bookmarkEnd w:id="88"/>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ascii="宋体" w:hAnsi="宋体" w:cs="宋体"/>
          <w:b/>
          <w:bCs/>
          <w:color w:val="auto"/>
          <w:sz w:val="28"/>
          <w:szCs w:val="28"/>
          <w:highlight w:val="none"/>
        </w:rPr>
        <w:outlineLvl w:val="2"/>
      </w:pPr>
      <w:r/>
      <w:bookmarkStart w:id="89" w:name="_Hlt26668975"/>
      <w:r/>
      <w:bookmarkEnd w:id="89"/>
      <w:r/>
      <w:bookmarkStart w:id="90" w:name="_Hlt26670360"/>
      <w:r/>
      <w:bookmarkEnd w:id="90"/>
      <w:r/>
      <w:bookmarkStart w:id="91" w:name="_Hlt26954838"/>
      <w:r/>
      <w:bookmarkEnd w:id="91"/>
      <w:r/>
      <w:bookmarkStart w:id="92" w:name="_Toc14577360"/>
      <w:r/>
      <w:bookmarkStart w:id="93" w:name="_Toc49090511"/>
      <w:r/>
      <w:bookmarkStart w:id="94" w:name="_Toc18141"/>
      <w:r>
        <w:rPr>
          <w:rFonts w:hint="eastAsia" w:ascii="宋体" w:hAnsi="宋体" w:cs="宋体"/>
          <w:color w:val="auto"/>
          <w:sz w:val="28"/>
          <w:szCs w:val="28"/>
          <w:highlight w:val="none"/>
        </w:rPr>
        <w:t xml:space="preserve">3.投标有效期</w:t>
      </w:r>
      <w:bookmarkEnd w:id="92"/>
      <w:r/>
      <w:bookmarkEnd w:id="93"/>
      <w:r/>
      <w:bookmarkEnd w:id="94"/>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ascii="宋体" w:hAnsi="宋体" w:cs="宋体"/>
          <w:b/>
          <w:bCs/>
          <w:color w:val="auto"/>
          <w:sz w:val="28"/>
          <w:szCs w:val="28"/>
          <w:highlight w:val="none"/>
        </w:rPr>
        <w:outlineLvl w:val="2"/>
      </w:pPr>
      <w:r/>
      <w:bookmarkStart w:id="95" w:name="_Toc25966"/>
      <w:r>
        <w:rPr>
          <w:rFonts w:hint="eastAsia" w:ascii="宋体" w:hAnsi="宋体" w:cs="宋体"/>
          <w:color w:val="auto"/>
          <w:sz w:val="28"/>
          <w:szCs w:val="28"/>
          <w:highlight w:val="none"/>
        </w:rPr>
        <w:t xml:space="preserve">4.投标有效期的延长</w:t>
      </w:r>
      <w:bookmarkEnd w:id="9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outlineLvl w:val="2"/>
      </w:pPr>
      <w:r/>
      <w:bookmarkStart w:id="96" w:name="_Hlt26954852"/>
      <w:r/>
      <w:bookmarkEnd w:id="96"/>
      <w:r/>
      <w:bookmarkStart w:id="97" w:name="_Hlt26954739"/>
      <w:r/>
      <w:bookmarkEnd w:id="97"/>
      <w:r/>
      <w:bookmarkStart w:id="98" w:name="_Toc27948"/>
      <w:r/>
      <w:bookmarkStart w:id="99" w:name="_Toc513029224"/>
      <w:r/>
      <w:bookmarkStart w:id="100" w:name="_Toc16938540"/>
      <w:r/>
      <w:bookmarkStart w:id="101" w:name="_Toc120614217"/>
      <w:r/>
      <w:bookmarkStart w:id="102" w:name="_Toc20823296"/>
      <w:r>
        <w:rPr>
          <w:rFonts w:hint="eastAsia" w:ascii="宋体" w:hAnsi="宋体" w:cs="宋体"/>
          <w:bCs/>
          <w:color w:val="auto"/>
          <w:sz w:val="28"/>
          <w:szCs w:val="28"/>
          <w:highlight w:val="none"/>
        </w:rPr>
        <w:t xml:space="preserve">5.电子投标文件其他要求</w:t>
      </w:r>
      <w:bookmarkEnd w:id="98"/>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944"/>
        <w:ind w:firstLine="562"/>
        <w:spacing w:before="0" w:after="0" w:line="460" w:lineRule="exact"/>
        <w:rPr>
          <w:rFonts w:ascii="宋体" w:hAnsi="宋体" w:eastAsia="宋体" w:cs="宋体"/>
          <w:color w:val="auto"/>
          <w:sz w:val="28"/>
          <w:szCs w:val="28"/>
          <w:highlight w:val="none"/>
        </w:rPr>
      </w:pPr>
      <w:r/>
      <w:bookmarkStart w:id="103" w:name="_Toc25552"/>
      <w:r>
        <w:rPr>
          <w:rFonts w:hint="eastAsia" w:ascii="宋体" w:hAnsi="宋体" w:eastAsia="宋体" w:cs="宋体"/>
          <w:color w:val="auto"/>
          <w:sz w:val="28"/>
          <w:szCs w:val="28"/>
          <w:highlight w:val="none"/>
        </w:rPr>
        <w:t xml:space="preserve">四、投标文件的递交</w:t>
      </w:r>
      <w:bookmarkEnd w:id="99"/>
      <w:r/>
      <w:bookmarkEnd w:id="100"/>
      <w:r/>
      <w:bookmarkEnd w:id="101"/>
      <w:r/>
      <w:bookmarkEnd w:id="102"/>
      <w:r/>
      <w:bookmarkEnd w:id="103"/>
      <w:r/>
      <w:r/>
    </w:p>
    <w:p>
      <w:pPr>
        <w:ind w:firstLine="560"/>
        <w:spacing w:line="460" w:lineRule="exact"/>
        <w:rPr>
          <w:rFonts w:ascii="宋体" w:hAnsi="宋体" w:cs="宋体"/>
          <w:bCs/>
          <w:color w:val="auto"/>
          <w:sz w:val="28"/>
          <w:szCs w:val="28"/>
          <w:highlight w:val="none"/>
        </w:rPr>
        <w:outlineLvl w:val="2"/>
      </w:pPr>
      <w:r/>
      <w:bookmarkStart w:id="104" w:name="_Toc16938541"/>
      <w:r/>
      <w:bookmarkStart w:id="105" w:name="_Toc20823297"/>
      <w:r/>
      <w:bookmarkStart w:id="106" w:name="_Toc513029225"/>
      <w:r/>
      <w:bookmarkStart w:id="107" w:name="_Toc462564084"/>
      <w:r/>
      <w:bookmarkStart w:id="108" w:name="_Toc28087"/>
      <w:r/>
      <w:bookmarkStart w:id="109" w:name="_Toc513029229"/>
      <w:r/>
      <w:bookmarkStart w:id="110" w:name="_Toc120614218"/>
      <w:r/>
      <w:bookmarkStart w:id="111" w:name="_Toc16938545"/>
      <w:r/>
      <w:bookmarkStart w:id="112" w:name="_Toc20823301"/>
      <w:r>
        <w:rPr>
          <w:rFonts w:hint="eastAsia" w:ascii="宋体" w:hAnsi="宋体" w:cs="宋体"/>
          <w:bCs/>
          <w:color w:val="auto"/>
          <w:sz w:val="28"/>
          <w:szCs w:val="28"/>
          <w:highlight w:val="none"/>
        </w:rPr>
        <w:t xml:space="preserve">1.</w:t>
      </w:r>
      <w:bookmarkEnd w:id="104"/>
      <w:r/>
      <w:bookmarkEnd w:id="105"/>
      <w:r/>
      <w:bookmarkEnd w:id="106"/>
      <w:r/>
      <w:bookmarkEnd w:id="107"/>
      <w:r>
        <w:rPr>
          <w:rFonts w:hint="eastAsia" w:ascii="宋体" w:hAnsi="宋体" w:cs="宋体"/>
          <w:bCs/>
          <w:color w:val="auto"/>
          <w:sz w:val="28"/>
          <w:szCs w:val="28"/>
          <w:highlight w:val="none"/>
        </w:rPr>
        <w:t xml:space="preserve">投标文件的提交</w:t>
      </w:r>
      <w:bookmarkEnd w:id="108"/>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ascii="宋体" w:hAnsi="宋体" w:cs="宋体"/>
          <w:bCs/>
          <w:color w:val="auto"/>
          <w:sz w:val="28"/>
          <w:szCs w:val="28"/>
          <w:highlight w:val="none"/>
        </w:rPr>
        <w:outlineLvl w:val="2"/>
      </w:pPr>
      <w:r/>
      <w:bookmarkStart w:id="113" w:name="_Toc60"/>
      <w:r>
        <w:rPr>
          <w:rFonts w:hint="eastAsia" w:ascii="宋体" w:hAnsi="宋体" w:cs="宋体"/>
          <w:bCs/>
          <w:color w:val="auto"/>
          <w:sz w:val="28"/>
          <w:szCs w:val="28"/>
          <w:highlight w:val="none"/>
        </w:rPr>
        <w:t xml:space="preserve">2.提交投标文件截止日期</w:t>
      </w:r>
      <w:bookmarkEnd w:id="113"/>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2.2招标人或招标代理机构可以按照规定，通过修改投标文件酌情延长投标文件提交截止日期，在此情况下，投标人的所有权利和义务以及投标人受制的截止日期均应以延长后新的截止日期为准。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ascii="宋体" w:hAnsi="宋体" w:cs="宋体"/>
          <w:bCs/>
          <w:color w:val="auto"/>
          <w:sz w:val="28"/>
          <w:szCs w:val="28"/>
          <w:highlight w:val="none"/>
        </w:rPr>
        <w:outlineLvl w:val="2"/>
      </w:pPr>
      <w:r/>
      <w:bookmarkStart w:id="114" w:name="_Toc2805"/>
      <w:r>
        <w:rPr>
          <w:rFonts w:hint="eastAsia" w:ascii="宋体" w:hAnsi="宋体" w:cs="宋体"/>
          <w:bCs/>
          <w:color w:val="auto"/>
          <w:sz w:val="28"/>
          <w:szCs w:val="28"/>
          <w:highlight w:val="none"/>
        </w:rPr>
        <w:t xml:space="preserve">3.投标文件的密封（加密）要求：</w:t>
      </w:r>
      <w:bookmarkEnd w:id="114"/>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ascii="宋体" w:hAnsi="宋体" w:cs="宋体"/>
          <w:bCs/>
          <w:color w:val="auto"/>
          <w:sz w:val="28"/>
          <w:szCs w:val="28"/>
          <w:highlight w:val="none"/>
        </w:rPr>
        <w:outlineLvl w:val="2"/>
      </w:pPr>
      <w:r/>
      <w:bookmarkStart w:id="115" w:name="_Toc27425"/>
      <w:r>
        <w:rPr>
          <w:rFonts w:hint="eastAsia" w:ascii="宋体" w:hAnsi="宋体" w:cs="宋体"/>
          <w:bCs/>
          <w:color w:val="auto"/>
          <w:sz w:val="28"/>
          <w:szCs w:val="28"/>
          <w:highlight w:val="none"/>
        </w:rPr>
        <w:t xml:space="preserve">4.投标文件的拒收</w:t>
      </w:r>
      <w:bookmarkEnd w:id="11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4.1招标代理机构拒绝接收在其规定的投标文件提交截止时间后上传的任何投标文件。</w:t>
      </w:r>
      <w:r/>
    </w:p>
    <w:p>
      <w:pPr>
        <w:ind w:firstLine="560"/>
        <w:spacing w:line="460" w:lineRule="exact"/>
        <w:rPr>
          <w:rFonts w:ascii="宋体" w:hAnsi="宋体" w:cs="宋体"/>
          <w:bCs/>
          <w:color w:val="auto"/>
          <w:sz w:val="28"/>
          <w:szCs w:val="28"/>
          <w:highlight w:val="none"/>
        </w:rPr>
        <w:outlineLvl w:val="2"/>
      </w:pPr>
      <w:r/>
      <w:bookmarkStart w:id="116" w:name="_Toc13316"/>
      <w:r>
        <w:rPr>
          <w:rFonts w:hint="eastAsia" w:ascii="宋体" w:hAnsi="宋体" w:cs="宋体"/>
          <w:bCs/>
          <w:color w:val="auto"/>
          <w:sz w:val="28"/>
          <w:szCs w:val="28"/>
          <w:highlight w:val="none"/>
        </w:rPr>
        <w:t xml:space="preserve">5.投标文件的撤回和修改</w:t>
      </w:r>
      <w:bookmarkEnd w:id="116"/>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944"/>
        <w:ind w:firstLine="562"/>
        <w:spacing w:before="0" w:after="0" w:line="460" w:lineRule="exact"/>
        <w:rPr>
          <w:rFonts w:ascii="宋体" w:hAnsi="宋体" w:eastAsia="宋体" w:cs="宋体"/>
          <w:color w:val="auto"/>
          <w:sz w:val="28"/>
          <w:szCs w:val="28"/>
          <w:highlight w:val="none"/>
        </w:rPr>
      </w:pPr>
      <w:r/>
      <w:bookmarkStart w:id="117" w:name="_Toc7634"/>
      <w:r>
        <w:rPr>
          <w:rFonts w:hint="eastAsia" w:ascii="宋体" w:hAnsi="宋体" w:eastAsia="宋体" w:cs="宋体"/>
          <w:color w:val="auto"/>
          <w:sz w:val="28"/>
          <w:szCs w:val="28"/>
          <w:highlight w:val="none"/>
        </w:rPr>
        <w:t xml:space="preserve">五、开标与评标</w:t>
      </w:r>
      <w:bookmarkEnd w:id="109"/>
      <w:r/>
      <w:bookmarkEnd w:id="110"/>
      <w:r/>
      <w:bookmarkEnd w:id="111"/>
      <w:r/>
      <w:bookmarkEnd w:id="112"/>
      <w:r/>
      <w:bookmarkEnd w:id="117"/>
      <w:r/>
      <w:r/>
    </w:p>
    <w:p>
      <w:pPr>
        <w:ind w:firstLine="360"/>
        <w:spacing w:line="460" w:lineRule="exact"/>
        <w:rPr>
          <w:rFonts w:ascii="宋体" w:hAnsi="宋体" w:cs="宋体"/>
          <w:bCs/>
          <w:color w:val="auto"/>
          <w:sz w:val="28"/>
          <w:szCs w:val="28"/>
          <w:highlight w:val="none"/>
        </w:rPr>
        <w:outlineLvl w:val="2"/>
      </w:pPr>
      <w:r/>
      <w:bookmarkStart w:id="118" w:name="_Toc20724"/>
      <w:r/>
      <w:bookmarkStart w:id="119" w:name="_Toc20823303"/>
      <w:r/>
      <w:bookmarkStart w:id="120" w:name="_Toc16938547"/>
      <w:r/>
      <w:bookmarkStart w:id="121" w:name="_Toc513029231"/>
      <w:r>
        <w:rPr>
          <w:rFonts w:hint="eastAsia" w:ascii="宋体" w:hAnsi="宋体" w:cs="宋体"/>
          <w:bCs/>
          <w:color w:val="auto"/>
          <w:sz w:val="28"/>
          <w:szCs w:val="28"/>
          <w:highlight w:val="none"/>
        </w:rPr>
        <w:t xml:space="preserve">1.开标</w:t>
      </w:r>
      <w:bookmarkEnd w:id="118"/>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ind w:firstLine="48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rPr>
        <w:t xml:space="preserve">招标代理机构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9"/>
      <w:r/>
      <w:bookmarkEnd w:id="120"/>
      <w:r/>
      <w:bookmarkEnd w:id="121"/>
      <w:r/>
      <w:r/>
    </w:p>
    <w:p>
      <w:pPr>
        <w:ind w:firstLine="480"/>
        <w:spacing w:line="460" w:lineRule="exact"/>
        <w:rPr>
          <w:rFonts w:ascii="宋体" w:hAnsi="宋体" w:cs="宋体"/>
          <w:bCs/>
          <w:color w:val="auto"/>
          <w:sz w:val="28"/>
          <w:szCs w:val="28"/>
          <w:highlight w:val="none"/>
        </w:rPr>
        <w:outlineLvl w:val="2"/>
      </w:pPr>
      <w:r/>
      <w:bookmarkStart w:id="122" w:name="_Toc27677"/>
      <w:r>
        <w:rPr>
          <w:rFonts w:hint="eastAsia" w:ascii="宋体" w:hAnsi="宋体" w:cs="宋体"/>
          <w:bCs/>
          <w:color w:val="auto"/>
          <w:sz w:val="28"/>
          <w:szCs w:val="28"/>
          <w:highlight w:val="none"/>
        </w:rPr>
        <w:t xml:space="preserve">2.评标委员会</w:t>
      </w:r>
      <w:bookmarkEnd w:id="122"/>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2.1开标后，招标代理机构将立即组织评标委员会（以下简称评委会）进行评审。</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2.2评委会由招标人代表和有关技术、经济等方面的专家组成，且人员构成符合政府采购有关规定。</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ascii="宋体" w:hAnsi="宋体" w:cs="宋体"/>
          <w:bCs/>
          <w:color w:val="auto"/>
          <w:sz w:val="28"/>
          <w:szCs w:val="28"/>
          <w:highlight w:val="none"/>
        </w:rPr>
        <w:outlineLvl w:val="2"/>
      </w:pPr>
      <w:r/>
      <w:bookmarkStart w:id="123" w:name="_Toc10859"/>
      <w:r>
        <w:rPr>
          <w:rFonts w:hint="eastAsia" w:ascii="宋体" w:hAnsi="宋体" w:cs="宋体"/>
          <w:bCs/>
          <w:color w:val="auto"/>
          <w:sz w:val="28"/>
          <w:szCs w:val="28"/>
          <w:highlight w:val="none"/>
        </w:rPr>
        <w:t xml:space="preserve">3.评审过程的保密与公正</w:t>
      </w:r>
      <w:bookmarkEnd w:id="123"/>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3.1评标委员会、招标人或招标代理机构、相关监督人员等与评审工作有关的人员，对评审情况以及在评审过程中获悉的国家秘密、商业秘密负有保密责任。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3.4凡是与审查、澄清、评价和比较投标的有关资料以及授标建议等，招标人、评标委员会、招标代理机构均不得向投标人或与评标无关的其他人员透露。</w:t>
      </w:r>
      <w:r/>
    </w:p>
    <w:p>
      <w:pPr>
        <w:ind w:firstLine="48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3.5在评审期间，招标代理机构将设专门人员与投标人联系。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3.6招标人、招标代理机构和评标委员会不向未中标的投标人解释未中标原因，也不公布评审过程中的相关细节。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ascii="宋体" w:hAnsi="宋体" w:cs="宋体"/>
          <w:bCs/>
          <w:color w:val="auto"/>
          <w:sz w:val="28"/>
          <w:szCs w:val="28"/>
          <w:highlight w:val="none"/>
        </w:rPr>
        <w:outlineLvl w:val="2"/>
      </w:pPr>
      <w:r/>
      <w:bookmarkStart w:id="124" w:name="_Toc30673"/>
      <w:r>
        <w:rPr>
          <w:rFonts w:hint="eastAsia" w:ascii="宋体" w:hAnsi="宋体" w:cs="宋体"/>
          <w:bCs/>
          <w:color w:val="auto"/>
          <w:sz w:val="28"/>
          <w:szCs w:val="28"/>
          <w:highlight w:val="none"/>
        </w:rPr>
        <w:t xml:space="preserve">4.投标文件的澄清</w:t>
      </w:r>
      <w:bookmarkEnd w:id="124"/>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spacing w:line="460" w:lineRule="exact"/>
        <w:rPr>
          <w:rFonts w:ascii="宋体" w:hAnsi="宋体" w:cs="宋体"/>
          <w:bCs/>
          <w:color w:val="auto"/>
          <w:sz w:val="28"/>
          <w:szCs w:val="28"/>
          <w:highlight w:val="none"/>
        </w:rPr>
        <w:outlineLvl w:val="2"/>
      </w:pPr>
      <w:r/>
      <w:bookmarkStart w:id="125" w:name="_Toc3995"/>
      <w:r>
        <w:rPr>
          <w:rFonts w:hint="eastAsia" w:ascii="宋体" w:hAnsi="宋体" w:cs="宋体"/>
          <w:bCs/>
          <w:color w:val="auto"/>
          <w:sz w:val="28"/>
          <w:szCs w:val="28"/>
          <w:highlight w:val="none"/>
        </w:rPr>
        <w:t xml:space="preserve">5.对投标文件的审查</w:t>
      </w:r>
      <w:bookmarkEnd w:id="125"/>
      <w:r/>
      <w:r/>
    </w:p>
    <w:p>
      <w:pPr>
        <w:ind w:firstLine="48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5.1.1资格性检查：依据法律法规和招标文件的规定，由招标人对投标文件中的资格证明文件进行审查。资格审查的结论，招标人以书面形式向评委会进行反馈。</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5.1.2招标人在进行资格性审查的同时，将在“信用中国”网站（www.creditchina.gov.cn）查询投标人的信用记录，以确定投标人是否具备投标资格</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查询结果留存并归档。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5.1.5未通过资格审查或符合性审查的投标人，招标代理机构将在苏采云系统中告知未通过资格审查或符合性审查的原因，评审结束后，招标代理机构将不再告知未通过资格审查或符合性审查的原因。</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5.2.1.根据省财政厅《关于推动解决政府采购异常低价问题相关工作的通知》（苏财购〔2025〕62号）要求，评审过程中出现下列情形之一的，评审委员会应当启动异常低价投标（响应）审查程序：</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响应</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报价低于采购项目预算50%的，即投标</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响应</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报价&lt;采购项目预算×50%;</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（2）投标(响应)报价低于采购项目最高限价45%的，即投标(响应)报价&lt;采购项目最高限价×45%;</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（3）评审委员会认定的供应商报价过低、有可能影响产品质量或者不能诚信履约的其他情形。</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投标人在开、评标全过程中应保持通讯畅通，及时登录苏采云系统查阅、答复相关信息，并安排专人与招标人或招标代理机构及评标委员会联系。</w:t>
      </w:r>
      <w:r/>
    </w:p>
    <w:p>
      <w:pPr>
        <w:ind w:firstLine="480"/>
        <w:spacing w:line="460" w:lineRule="exact"/>
        <w:rPr>
          <w:rFonts w:ascii="宋体" w:hAnsi="宋体" w:cs="宋体"/>
          <w:bCs/>
          <w:color w:val="auto"/>
          <w:sz w:val="28"/>
          <w:szCs w:val="28"/>
          <w:highlight w:val="none"/>
        </w:rPr>
        <w:outlineLvl w:val="2"/>
      </w:pPr>
      <w:r/>
      <w:bookmarkStart w:id="126" w:name="_Toc15738"/>
      <w:r>
        <w:rPr>
          <w:rFonts w:hint="eastAsia" w:ascii="宋体" w:hAnsi="宋体" w:cs="宋体"/>
          <w:bCs/>
          <w:color w:val="auto"/>
          <w:sz w:val="28"/>
          <w:szCs w:val="28"/>
          <w:highlight w:val="none"/>
        </w:rPr>
        <w:t xml:space="preserve">6.投标文件线上格式要求</w:t>
      </w:r>
      <w:bookmarkEnd w:id="126"/>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ascii="宋体" w:hAnsi="宋体" w:cs="宋体"/>
          <w:b/>
          <w:bCs/>
          <w:color w:val="auto"/>
          <w:sz w:val="28"/>
          <w:szCs w:val="28"/>
          <w:highlight w:val="none"/>
        </w:rPr>
        <w:outlineLvl w:val="2"/>
      </w:pPr>
      <w:r/>
      <w:bookmarkStart w:id="127" w:name="_Toc13461"/>
      <w:r>
        <w:rPr>
          <w:rFonts w:hint="eastAsia" w:ascii="宋体" w:hAnsi="宋体" w:cs="宋体"/>
          <w:color w:val="auto"/>
          <w:sz w:val="28"/>
          <w:szCs w:val="28"/>
          <w:highlight w:val="none"/>
        </w:rPr>
        <w:t xml:space="preserve">7.无效投标条款和废标条款</w:t>
      </w:r>
      <w:bookmarkEnd w:id="127"/>
      <w:r/>
      <w:r/>
    </w:p>
    <w:p>
      <w:pPr>
        <w:ind w:firstLine="560"/>
        <w:spacing w:line="460" w:lineRule="exact"/>
        <w:rPr>
          <w:rFonts w:ascii="宋体" w:hAnsi="宋体" w:cs="宋体"/>
          <w:bCs/>
          <w:color w:val="auto"/>
          <w:sz w:val="28"/>
          <w:szCs w:val="28"/>
          <w:highlight w:val="none"/>
        </w:rPr>
      </w:pPr>
      <w:r/>
      <w:bookmarkStart w:id="128" w:name="_Toc513029235"/>
      <w:r/>
      <w:bookmarkStart w:id="129" w:name="_Toc20823307"/>
      <w:r/>
      <w:bookmarkStart w:id="130" w:name="_Toc16938551"/>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7.1.5本项目投标人之间被通过“天眼查或企查查”查询确认有关联性的。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7.1.6不符合招标文件中规定的其他实质性要求和条件的。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7.1.7投标人被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7.1.8投标文件含有招标人不能接受的附加条件的 。</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7.1.9 启动异常低价响应审查后，供应商不提供书面说明、证明材料，或者提供的书面说明、证明材料不能证明其报价合理性的。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7.1.10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7.1.11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7.1.12投标文件未按照招标文件要求加盖CA电子公章的。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7.1.13投标人的商务技术部分得分相差悬殊，评标委员会认为得分畸低者没有实质性响应的</w:t>
      </w:r>
      <w:r>
        <w:rPr>
          <w:rFonts w:hint="eastAsia" w:ascii="宋体" w:hAnsi="宋体" w:cs="宋体"/>
          <w:bCs/>
          <w:color w:val="auto"/>
          <w:sz w:val="28"/>
          <w:szCs w:val="28"/>
          <w:highlight w:val="none"/>
          <w:lang w:eastAsia="zh-CN"/>
        </w:rPr>
        <w:t xml:space="preserve">（投标人商务技术得分低于商务技术总分</w:t>
      </w:r>
      <w:r>
        <w:rPr>
          <w:rFonts w:hint="eastAsia" w:ascii="宋体" w:hAnsi="宋体" w:cs="宋体"/>
          <w:bCs/>
          <w:color w:val="auto"/>
          <w:sz w:val="28"/>
          <w:szCs w:val="28"/>
          <w:highlight w:val="none"/>
          <w:lang w:val="en-US" w:eastAsia="zh-CN"/>
        </w:rPr>
        <w:t xml:space="preserve">50%的</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7.1.14其他法律、法规及本招标文件规定的属无效投标的情形。</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7.1.15</w:t>
      </w:r>
      <w:r>
        <w:rPr>
          <w:rFonts w:hint="eastAsia" w:ascii="宋体" w:hAnsi="宋体" w:cs="宋体"/>
          <w:bCs/>
          <w:color w:val="auto"/>
          <w:sz w:val="28"/>
          <w:szCs w:val="28"/>
          <w:highlight w:val="none"/>
          <w:lang w:eastAsia="zh-CN"/>
        </w:rPr>
        <w:t xml:space="preserve">未提供产品演示的</w:t>
      </w:r>
      <w:r>
        <w:rPr>
          <w:rFonts w:hint="eastAsia" w:ascii="宋体" w:hAnsi="宋体" w:cs="宋体"/>
          <w:bCs/>
          <w:color w:val="auto"/>
          <w:sz w:val="28"/>
          <w:szCs w:val="28"/>
          <w:highlight w:val="none"/>
        </w:rPr>
        <w:t xml:space="preserve">。</w:t>
      </w:r>
      <w:r/>
    </w:p>
    <w:p>
      <w:pPr>
        <w:pStyle w:val="1099"/>
        <w:ind w:left="0" w:firstLine="560"/>
        <w:rPr>
          <w:rFonts w:ascii="宋体" w:hAnsi="宋体" w:eastAsia="宋体" w:cs="宋体"/>
          <w:bCs/>
          <w:color w:val="auto"/>
          <w:szCs w:val="28"/>
          <w:highlight w:val="none"/>
        </w:rPr>
      </w:pPr>
      <w:r>
        <w:rPr>
          <w:rFonts w:hint="eastAsia" w:ascii="宋体" w:hAnsi="宋体" w:eastAsia="宋体" w:cs="宋体"/>
          <w:bCs/>
          <w:color w:val="auto"/>
          <w:szCs w:val="28"/>
          <w:highlight w:val="none"/>
        </w:rPr>
        <w:t xml:space="preserve">7.1.16不同的投标人响应文件MAC地址、标书制作工具客户端识别码一致的。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7.1.17其他法律、法规及本招标文件规定的属无效投标的情形。</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8"/>
      <w:r/>
      <w:bookmarkEnd w:id="129"/>
      <w:r/>
      <w:bookmarkEnd w:id="130"/>
      <w:r/>
      <w:r/>
    </w:p>
    <w:p>
      <w:pPr>
        <w:pStyle w:val="944"/>
        <w:ind w:firstLine="562"/>
        <w:spacing w:before="0" w:after="0" w:line="460" w:lineRule="exact"/>
        <w:rPr>
          <w:rFonts w:ascii="宋体" w:hAnsi="宋体" w:eastAsia="宋体" w:cs="宋体"/>
          <w:color w:val="auto"/>
          <w:sz w:val="28"/>
          <w:szCs w:val="28"/>
          <w:highlight w:val="none"/>
        </w:rPr>
      </w:pPr>
      <w:r/>
      <w:bookmarkStart w:id="131" w:name="_Toc120614219"/>
      <w:r/>
      <w:bookmarkStart w:id="132" w:name="_Toc27597"/>
      <w:r>
        <w:rPr>
          <w:rFonts w:hint="eastAsia" w:ascii="宋体" w:hAnsi="宋体" w:eastAsia="宋体" w:cs="宋体"/>
          <w:color w:val="auto"/>
          <w:sz w:val="28"/>
          <w:szCs w:val="28"/>
          <w:highlight w:val="none"/>
        </w:rPr>
        <w:t xml:space="preserve">六、定标</w:t>
      </w:r>
      <w:bookmarkEnd w:id="131"/>
      <w:r/>
      <w:bookmarkEnd w:id="132"/>
      <w:r/>
      <w:r/>
    </w:p>
    <w:p>
      <w:pPr>
        <w:ind w:firstLine="560"/>
        <w:spacing w:line="460" w:lineRule="exact"/>
        <w:rPr>
          <w:rFonts w:ascii="宋体" w:hAnsi="宋体" w:cs="宋体"/>
          <w:b/>
          <w:color w:val="auto"/>
          <w:sz w:val="28"/>
          <w:szCs w:val="28"/>
          <w:highlight w:val="none"/>
        </w:rPr>
        <w:outlineLvl w:val="2"/>
      </w:pPr>
      <w:r/>
      <w:bookmarkStart w:id="133" w:name="_Toc20823310"/>
      <w:r/>
      <w:bookmarkStart w:id="134" w:name="_Toc16938554"/>
      <w:r/>
      <w:bookmarkStart w:id="135" w:name="_Toc21628"/>
      <w:r>
        <w:rPr>
          <w:rFonts w:hint="eastAsia" w:ascii="宋体" w:hAnsi="宋体" w:cs="宋体"/>
          <w:color w:val="auto"/>
          <w:sz w:val="28"/>
          <w:szCs w:val="28"/>
          <w:highlight w:val="none"/>
        </w:rPr>
        <w:t xml:space="preserve">1.确定</w:t>
      </w:r>
      <w:bookmarkEnd w:id="133"/>
      <w:r/>
      <w:bookmarkEnd w:id="134"/>
      <w:r>
        <w:rPr>
          <w:rFonts w:hint="eastAsia" w:ascii="宋体" w:hAnsi="宋体" w:cs="宋体"/>
          <w:color w:val="auto"/>
          <w:sz w:val="28"/>
          <w:szCs w:val="28"/>
          <w:highlight w:val="none"/>
        </w:rPr>
        <w:t xml:space="preserve">中标单位</w:t>
      </w:r>
      <w:bookmarkEnd w:id="135"/>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1.2招标人授权评委会在中标候选人中直接确定中标人。</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代理机构将在“江苏省政府采购网”发布中标公告，公告期限为1个工作日。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1.4.2向招标人、代理机构行贿或者提供其他不正当利益的。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1.4.5与招标人或者其他投标人恶意串通的。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ascii="宋体" w:hAnsi="宋体" w:cs="宋体"/>
          <w:color w:val="auto"/>
          <w:sz w:val="28"/>
          <w:szCs w:val="28"/>
          <w:highlight w:val="none"/>
        </w:rPr>
        <w:outlineLvl w:val="3"/>
      </w:pPr>
      <w:r/>
      <w:bookmarkStart w:id="136" w:name="_Toc200451960"/>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rPr>
        <w:t xml:space="preserve">有下列情形之一的，视为投标人串通投标，投标无效：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ascii="宋体" w:hAnsi="宋体" w:cs="宋体"/>
          <w:b/>
          <w:color w:val="auto"/>
          <w:sz w:val="28"/>
          <w:szCs w:val="28"/>
          <w:highlight w:val="none"/>
        </w:rPr>
        <w:outlineLvl w:val="2"/>
      </w:pPr>
      <w:r/>
      <w:bookmarkStart w:id="137" w:name="_Toc922"/>
      <w:r>
        <w:rPr>
          <w:rFonts w:hint="eastAsia" w:ascii="宋体" w:hAnsi="宋体" w:cs="宋体"/>
          <w:color w:val="auto"/>
          <w:sz w:val="28"/>
          <w:szCs w:val="28"/>
          <w:highlight w:val="none"/>
        </w:rPr>
        <w:t xml:space="preserve">2.质疑处理</w:t>
      </w:r>
      <w:bookmarkEnd w:id="136"/>
      <w:r/>
      <w:bookmarkEnd w:id="137"/>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w:t>
      </w:r>
      <w:r>
        <w:rPr>
          <w:rFonts w:hint="eastAsia" w:ascii="宋体" w:hAnsi="宋体" w:cs="宋体"/>
          <w:color w:val="auto"/>
          <w:sz w:val="28"/>
          <w:szCs w:val="28"/>
          <w:highlight w:val="none"/>
        </w:rPr>
        <w:t xml:space="preserve">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招标人及代理机构质疑接收人及联系方式，见招标文件第一部分。</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2.5 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ascii="宋体" w:hAnsi="宋体" w:cs="宋体"/>
          <w:b/>
          <w:color w:val="auto"/>
          <w:sz w:val="28"/>
          <w:szCs w:val="28"/>
          <w:highlight w:val="none"/>
        </w:rPr>
        <w:outlineLvl w:val="2"/>
      </w:pPr>
      <w:r/>
      <w:bookmarkStart w:id="138" w:name="_Toc15921"/>
      <w:r>
        <w:rPr>
          <w:rFonts w:hint="eastAsia" w:ascii="宋体" w:hAnsi="宋体" w:cs="宋体"/>
          <w:color w:val="auto"/>
          <w:sz w:val="28"/>
          <w:szCs w:val="28"/>
          <w:highlight w:val="none"/>
        </w:rPr>
        <w:t xml:space="preserve">3.中标通知书</w:t>
      </w:r>
      <w:bookmarkEnd w:id="138"/>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3.2中标通知书将是合同的一个组成部分。对招标人和中标人均具有法律效力。中标通知书发出后，招标人改变中标结果的，或者中标人放弃中标项目的，应当依法承担法律责任。</w:t>
      </w:r>
      <w:r/>
    </w:p>
    <w:p>
      <w:pPr>
        <w:pStyle w:val="944"/>
        <w:ind w:firstLine="562"/>
        <w:spacing w:before="0" w:after="0" w:line="460" w:lineRule="exact"/>
        <w:rPr>
          <w:rFonts w:ascii="宋体" w:hAnsi="宋体" w:eastAsia="宋体" w:cs="宋体"/>
          <w:color w:val="auto"/>
          <w:sz w:val="28"/>
          <w:szCs w:val="28"/>
          <w:highlight w:val="none"/>
        </w:rPr>
      </w:pPr>
      <w:r/>
      <w:bookmarkStart w:id="139" w:name="_Toc120614220"/>
      <w:r/>
      <w:bookmarkStart w:id="140" w:name="_Toc20823308"/>
      <w:r/>
      <w:bookmarkStart w:id="141" w:name="_Toc513029236"/>
      <w:r/>
      <w:bookmarkStart w:id="142" w:name="_Toc16938552"/>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4套</w:t>
      </w:r>
      <w:r>
        <w:rPr>
          <w:rFonts w:hint="eastAsia" w:ascii="宋体" w:hAnsi="宋体" w:eastAsia="宋体" w:cs="宋体"/>
          <w:color w:val="auto"/>
          <w:sz w:val="28"/>
          <w:szCs w:val="28"/>
          <w:highlight w:val="none"/>
        </w:rPr>
        <w:t xml:space="preserve">加盖红章的系统内打印的纸质响应文件给招标代理机构。</w:t>
      </w:r>
      <w:r/>
    </w:p>
    <w:p>
      <w:pPr>
        <w:pStyle w:val="944"/>
        <w:ind w:firstLine="562"/>
        <w:spacing w:before="0" w:after="0" w:line="420" w:lineRule="exact"/>
        <w:rPr>
          <w:rFonts w:ascii="宋体" w:hAnsi="宋体" w:eastAsia="宋体" w:cs="宋体"/>
          <w:color w:val="auto"/>
          <w:sz w:val="28"/>
          <w:szCs w:val="28"/>
          <w:highlight w:val="none"/>
        </w:rPr>
      </w:pPr>
      <w:r/>
      <w:bookmarkStart w:id="143" w:name="_Toc27718"/>
      <w:r>
        <w:rPr>
          <w:rFonts w:hint="eastAsia" w:ascii="宋体" w:hAnsi="宋体" w:eastAsia="宋体" w:cs="宋体"/>
          <w:color w:val="auto"/>
          <w:sz w:val="28"/>
          <w:szCs w:val="28"/>
          <w:highlight w:val="none"/>
        </w:rPr>
        <w:t xml:space="preserve">七、授予合同</w:t>
      </w:r>
      <w:bookmarkEnd w:id="139"/>
      <w:r/>
      <w:bookmarkEnd w:id="143"/>
      <w:r/>
      <w:bookmarkEnd w:id="140"/>
      <w:r/>
      <w:bookmarkEnd w:id="141"/>
      <w:r/>
      <w:bookmarkEnd w:id="142"/>
      <w:r/>
      <w:r/>
    </w:p>
    <w:p>
      <w:pPr>
        <w:ind w:firstLine="560"/>
        <w:keepNext/>
        <w:spacing w:line="420" w:lineRule="exact"/>
        <w:rPr>
          <w:rFonts w:ascii="宋体" w:hAnsi="宋体" w:cs="宋体"/>
          <w:b/>
          <w:color w:val="auto"/>
          <w:sz w:val="28"/>
          <w:szCs w:val="28"/>
          <w:highlight w:val="none"/>
        </w:rPr>
        <w:outlineLvl w:val="2"/>
      </w:pPr>
      <w:r/>
      <w:bookmarkStart w:id="144" w:name="_Toc26471"/>
      <w:r>
        <w:rPr>
          <w:rFonts w:hint="eastAsia" w:ascii="宋体" w:hAnsi="宋体" w:cs="宋体"/>
          <w:color w:val="auto"/>
          <w:sz w:val="28"/>
          <w:szCs w:val="28"/>
          <w:highlight w:val="none"/>
        </w:rPr>
        <w:t xml:space="preserve">1.签订合同</w:t>
      </w:r>
      <w:bookmarkEnd w:id="144"/>
      <w:r/>
      <w:r/>
    </w:p>
    <w:p>
      <w:pPr>
        <w:ind w:firstLine="560"/>
        <w:spacing w:line="42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.l中标人应当在中标通知书发出之日起十五日内，按照招标文件确定的事项与招标人签订政府采购合同。</w:t>
      </w:r>
      <w:r/>
    </w:p>
    <w:p>
      <w:pPr>
        <w:ind w:firstLine="422"/>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r/>
    </w:p>
    <w:p>
      <w:pPr>
        <w:ind w:firstLine="560"/>
        <w:keepNext/>
        <w:spacing w:line="420" w:lineRule="exact"/>
        <w:rPr>
          <w:rFonts w:ascii="宋体" w:hAnsi="宋体" w:cs="宋体"/>
          <w:b/>
          <w:color w:val="auto"/>
          <w:sz w:val="28"/>
          <w:szCs w:val="28"/>
          <w:highlight w:val="none"/>
        </w:rPr>
        <w:outlineLvl w:val="2"/>
      </w:pPr>
      <w:r/>
      <w:bookmarkStart w:id="145" w:name="_Toc18712"/>
      <w:r>
        <w:rPr>
          <w:rFonts w:hint="eastAsia" w:ascii="宋体" w:hAnsi="宋体" w:cs="宋体"/>
          <w:color w:val="auto"/>
          <w:sz w:val="28"/>
          <w:szCs w:val="28"/>
          <w:highlight w:val="none"/>
        </w:rPr>
        <w:t xml:space="preserve">2.货物和服务的追加、减少和添购。</w:t>
      </w:r>
      <w:bookmarkEnd w:id="145"/>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ascii="宋体" w:hAnsi="宋体" w:cs="宋体"/>
          <w:color w:val="auto"/>
          <w:sz w:val="28"/>
          <w:szCs w:val="28"/>
          <w:highlight w:val="none"/>
        </w:rPr>
        <w:outlineLvl w:val="2"/>
      </w:pPr>
      <w:r/>
      <w:bookmarkStart w:id="146" w:name="_Toc16700"/>
      <w:r>
        <w:rPr>
          <w:rFonts w:hint="eastAsia" w:ascii="宋体" w:hAnsi="宋体" w:cs="宋体"/>
          <w:color w:val="auto"/>
          <w:sz w:val="28"/>
          <w:szCs w:val="28"/>
          <w:highlight w:val="none"/>
        </w:rPr>
        <w:t xml:space="preserve">3.政府采购履约保证资金、合同信用融资扶持政策</w:t>
      </w:r>
      <w:bookmarkEnd w:id="146"/>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ascii="宋体" w:hAnsi="宋体" w:cs="宋体"/>
          <w:b/>
          <w:bCs/>
          <w:color w:val="auto"/>
          <w:sz w:val="28"/>
          <w:szCs w:val="28"/>
          <w:highlight w:val="none"/>
        </w:rPr>
        <w:outlineLvl w:val="1"/>
      </w:pPr>
      <w:r/>
      <w:bookmarkStart w:id="147" w:name="_Toc32218"/>
      <w:r>
        <w:rPr>
          <w:rFonts w:hint="eastAsia" w:ascii="宋体" w:hAnsi="宋体" w:cs="宋体"/>
          <w:b/>
          <w:bCs/>
          <w:color w:val="auto"/>
          <w:sz w:val="28"/>
          <w:szCs w:val="28"/>
          <w:highlight w:val="none"/>
        </w:rPr>
        <w:t xml:space="preserve">八、电子招标投标交易平台</w:t>
      </w:r>
      <w:bookmarkEnd w:id="147"/>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8" w:name="_Toc21690"/>
      <w:r/>
      <w:bookmarkStart w:id="149" w:name="_Toc8914"/>
      <w:r>
        <w:rPr>
          <w:rFonts w:hint="eastAsia" w:ascii="宋体" w:hAnsi="宋体" w:cs="宋体"/>
          <w:bCs/>
          <w:color w:val="auto"/>
          <w:sz w:val="36"/>
          <w:szCs w:val="36"/>
          <w:highlight w:val="none"/>
        </w:rPr>
        <w:t xml:space="preserve">第三部分  项目需求</w:t>
      </w:r>
      <w:bookmarkEnd w:id="148"/>
      <w:r/>
      <w:bookmarkEnd w:id="149"/>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6"/>
      <w:r/>
      <w:bookmarkEnd w:id="7"/>
      <w:r/>
      <w:bookmarkEnd w:id="8"/>
      <w:r/>
      <w:r/>
    </w:p>
    <w:p>
      <w:pPr>
        <w:ind w:firstLine="562"/>
        <w:spacing w:line="460" w:lineRule="exact"/>
        <w:rPr>
          <w:b/>
          <w:bCs/>
          <w:i w:val="0"/>
          <w:iCs w:val="0"/>
          <w:color w:val="auto"/>
          <w:highlight w:val="none"/>
        </w:rPr>
      </w:pPr>
      <w:r>
        <w:rPr>
          <w:rFonts w:hint="eastAsia" w:ascii="宋体" w:hAnsi="宋体" w:cs="宋体"/>
          <w:b/>
          <w:bCs/>
          <w:i w:val="0"/>
          <w:iCs w:val="0"/>
          <w:color w:val="auto"/>
          <w:sz w:val="28"/>
          <w:szCs w:val="28"/>
          <w:highlight w:val="none"/>
        </w:rPr>
        <w:t xml:space="preserve">一、项目属性：货物类项目。</w:t>
      </w:r>
      <w:r/>
    </w:p>
    <w:p>
      <w:pPr>
        <w:pStyle w:val="1011"/>
        <w:ind w:firstLine="560"/>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二、采购清单</w:t>
      </w:r>
      <w:r/>
    </w:p>
    <w:tbl>
      <w:tblPr>
        <w:tblStyle w:val="953"/>
        <w:tblW w:w="554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 w:type="dxa"/>
          <w:top w:w="0" w:type="dxa"/>
          <w:right w:w="10" w:type="dxa"/>
          <w:bottom w:w="0" w:type="dxa"/>
        </w:tblCellMar>
        <w:tblLook w:val="04A0" w:firstRow="1" w:lastRow="0" w:firstColumn="1" w:lastColumn="0" w:noHBand="0" w:noVBand="1"/>
      </w:tblPr>
      <w:tblGrid>
        <w:gridCol w:w="506"/>
        <w:gridCol w:w="2634"/>
        <w:gridCol w:w="1576"/>
        <w:gridCol w:w="645"/>
        <w:gridCol w:w="688"/>
        <w:gridCol w:w="973"/>
        <w:gridCol w:w="1077"/>
        <w:gridCol w:w="1163"/>
      </w:tblGrid>
      <w:tr>
        <w:trPr>
          <w:jc w:val="center"/>
          <w:trHeight w:val="540"/>
        </w:trPr>
        <w:tc>
          <w:tcPr>
            <w:tcMar>
              <w:left w:w="20" w:type="dxa"/>
              <w:top w:w="20" w:type="dxa"/>
              <w:right w:w="20" w:type="dxa"/>
              <w:bottom w:w="20" w:type="dxa"/>
            </w:tcMar>
            <w:tcW w:w="273"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序号</w:t>
            </w:r>
            <w:r/>
          </w:p>
        </w:tc>
        <w:tc>
          <w:tcPr>
            <w:tcMar>
              <w:left w:w="20" w:type="dxa"/>
              <w:top w:w="20" w:type="dxa"/>
              <w:right w:w="20" w:type="dxa"/>
              <w:bottom w:w="20" w:type="dxa"/>
            </w:tcMar>
            <w:tcW w:w="1421"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采购标的</w:t>
            </w:r>
            <w:r/>
          </w:p>
        </w:tc>
        <w:tc>
          <w:tcPr>
            <w:tcMar>
              <w:left w:w="20" w:type="dxa"/>
              <w:top w:w="20" w:type="dxa"/>
              <w:right w:w="20" w:type="dxa"/>
              <w:bottom w:w="20" w:type="dxa"/>
            </w:tcMar>
            <w:tcW w:w="850"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对应中小企业划分标准所属行业</w:t>
            </w:r>
            <w:r/>
          </w:p>
        </w:tc>
        <w:tc>
          <w:tcPr>
            <w:tcMar>
              <w:left w:w="20" w:type="dxa"/>
              <w:top w:w="20" w:type="dxa"/>
              <w:right w:w="20" w:type="dxa"/>
              <w:bottom w:w="20" w:type="dxa"/>
            </w:tcMar>
            <w:tcW w:w="348"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数量</w:t>
            </w:r>
            <w:r/>
          </w:p>
        </w:tc>
        <w:tc>
          <w:tcPr>
            <w:tcMar>
              <w:left w:w="20" w:type="dxa"/>
              <w:top w:w="20" w:type="dxa"/>
              <w:right w:w="20" w:type="dxa"/>
              <w:bottom w:w="20" w:type="dxa"/>
            </w:tcMar>
            <w:tcW w:w="371"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单位</w:t>
            </w:r>
            <w:r/>
          </w:p>
        </w:tc>
        <w:tc>
          <w:tcPr>
            <w:tcMar>
              <w:left w:w="20" w:type="dxa"/>
              <w:top w:w="20" w:type="dxa"/>
              <w:right w:w="20" w:type="dxa"/>
              <w:bottom w:w="20" w:type="dxa"/>
            </w:tcMar>
            <w:tcW w:w="525"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是否主要标的</w:t>
            </w:r>
            <w:r/>
          </w:p>
        </w:tc>
        <w:tc>
          <w:tcPr>
            <w:tcMar>
              <w:left w:w="20" w:type="dxa"/>
              <w:top w:w="20" w:type="dxa"/>
              <w:right w:w="20" w:type="dxa"/>
              <w:bottom w:w="20" w:type="dxa"/>
            </w:tcMar>
            <w:tcW w:w="581" w:type="pct"/>
            <w:vAlign w:val="center"/>
            <w:textDirection w:val="lrTb"/>
            <w:noWrap w:val="false"/>
          </w:tcPr>
          <w:p>
            <w:pPr>
              <w:jc w:val="cente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是否核心产品</w:t>
            </w:r>
            <w:r/>
          </w:p>
        </w:tc>
        <w:tc>
          <w:tcPr>
            <w:tcMar>
              <w:left w:w="20" w:type="dxa"/>
              <w:top w:w="20" w:type="dxa"/>
              <w:right w:w="20" w:type="dxa"/>
              <w:bottom w:w="20" w:type="dxa"/>
            </w:tcMar>
            <w:tcW w:w="627" w:type="pct"/>
            <w:vAlign w:val="center"/>
            <w:textDirection w:val="lrTb"/>
            <w:noWrap w:val="false"/>
          </w:tcPr>
          <w:p>
            <w:pPr>
              <w:jc w:val="cente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是否强制节能</w:t>
            </w:r>
            <w:r/>
          </w:p>
        </w:tc>
      </w:tr>
      <w:tr>
        <w:trPr>
          <w:jc w:val="center"/>
          <w:trHeight w:val="90"/>
        </w:trPr>
        <w:tc>
          <w:tcPr>
            <w:tcMar>
              <w:left w:w="20" w:type="dxa"/>
              <w:top w:w="20" w:type="dxa"/>
              <w:right w:w="20" w:type="dxa"/>
              <w:bottom w:w="20" w:type="dxa"/>
            </w:tcMar>
            <w:tcW w:w="273" w:type="pct"/>
            <w:vAlign w:val="center"/>
            <w:textDirection w:val="lrTb"/>
            <w:noWrap w:val="false"/>
          </w:tcPr>
          <w:p>
            <w:pPr>
              <w:jc w:val="center"/>
              <w:spacing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20" w:type="dxa"/>
              <w:top w:w="20" w:type="dxa"/>
              <w:right w:w="20" w:type="dxa"/>
              <w:bottom w:w="20" w:type="dxa"/>
            </w:tcMar>
            <w:tcW w:w="1421" w:type="pct"/>
            <w:vAlign w:val="center"/>
            <w:textDirection w:val="lrTb"/>
            <w:noWrap w:val="false"/>
          </w:tcPr>
          <w:p>
            <w:pPr>
              <w:jc w:val="center"/>
              <w:spacing w:line="360" w:lineRule="exact"/>
              <w:rPr>
                <w:rFonts w:ascii="宋体" w:hAnsi="宋体" w:cs="宋体"/>
                <w:color w:val="auto"/>
                <w:sz w:val="36"/>
                <w:szCs w:val="36"/>
                <w:highlight w:val="none"/>
              </w:rPr>
            </w:pPr>
            <w:r>
              <w:rPr>
                <w:rFonts w:hint="eastAsia"/>
                <w:color w:val="auto"/>
                <w:sz w:val="28"/>
                <w:szCs w:val="36"/>
                <w:highlight w:val="none"/>
                <w:lang w:val="en-US" w:eastAsia="zh-CN"/>
              </w:rPr>
              <w:t xml:space="preserve">气动实验装置</w:t>
            </w:r>
            <w:r/>
          </w:p>
        </w:tc>
        <w:tc>
          <w:tcPr>
            <w:tcMar>
              <w:left w:w="20" w:type="dxa"/>
              <w:top w:w="20" w:type="dxa"/>
              <w:right w:w="20" w:type="dxa"/>
              <w:bottom w:w="20" w:type="dxa"/>
            </w:tcMar>
            <w:tcW w:w="850" w:type="pct"/>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工业</w:t>
            </w:r>
            <w:r/>
          </w:p>
        </w:tc>
        <w:tc>
          <w:tcPr>
            <w:tcMar>
              <w:left w:w="20" w:type="dxa"/>
              <w:top w:w="20" w:type="dxa"/>
              <w:right w:w="20" w:type="dxa"/>
              <w:bottom w:w="20" w:type="dxa"/>
            </w:tcMar>
            <w:tcW w:w="348" w:type="pct"/>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 xml:space="preserve">6</w:t>
            </w:r>
            <w:r/>
          </w:p>
        </w:tc>
        <w:tc>
          <w:tcPr>
            <w:tcMar>
              <w:left w:w="20" w:type="dxa"/>
              <w:top w:w="20" w:type="dxa"/>
              <w:right w:w="20" w:type="dxa"/>
              <w:bottom w:w="20" w:type="dxa"/>
            </w:tcMar>
            <w:tcW w:w="371" w:type="pct"/>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台</w:t>
            </w:r>
            <w:r/>
          </w:p>
        </w:tc>
        <w:tc>
          <w:tcPr>
            <w:tcMar>
              <w:left w:w="20" w:type="dxa"/>
              <w:top w:w="20" w:type="dxa"/>
              <w:right w:w="20" w:type="dxa"/>
              <w:bottom w:w="20" w:type="dxa"/>
            </w:tcMar>
            <w:tcW w:w="525"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是</w:t>
            </w:r>
            <w:r/>
          </w:p>
        </w:tc>
        <w:tc>
          <w:tcPr>
            <w:tcMar>
              <w:left w:w="20" w:type="dxa"/>
              <w:top w:w="20" w:type="dxa"/>
              <w:right w:w="20" w:type="dxa"/>
              <w:bottom w:w="20" w:type="dxa"/>
            </w:tcMar>
            <w:tcW w:w="581"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是</w:t>
            </w:r>
            <w:r/>
          </w:p>
        </w:tc>
        <w:tc>
          <w:tcPr>
            <w:tcMar>
              <w:left w:w="20" w:type="dxa"/>
              <w:top w:w="20" w:type="dxa"/>
              <w:right w:w="20" w:type="dxa"/>
              <w:bottom w:w="20" w:type="dxa"/>
            </w:tcMar>
            <w:tcW w:w="627"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否</w:t>
            </w:r>
            <w:r/>
          </w:p>
        </w:tc>
      </w:tr>
      <w:tr>
        <w:trPr>
          <w:jc w:val="center"/>
          <w:trHeight w:val="360"/>
        </w:trPr>
        <w:tc>
          <w:tcPr>
            <w:tcMar>
              <w:left w:w="20" w:type="dxa"/>
              <w:top w:w="20" w:type="dxa"/>
              <w:right w:w="20" w:type="dxa"/>
              <w:bottom w:w="20" w:type="dxa"/>
            </w:tcMar>
            <w:tcW w:w="273" w:type="pct"/>
            <w:vAlign w:val="center"/>
            <w:textDirection w:val="lrTb"/>
            <w:noWrap w:val="false"/>
          </w:tcPr>
          <w:p>
            <w:pPr>
              <w:jc w:val="center"/>
              <w:spacing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Mar>
              <w:left w:w="20" w:type="dxa"/>
              <w:top w:w="20" w:type="dxa"/>
              <w:right w:w="20" w:type="dxa"/>
              <w:bottom w:w="20" w:type="dxa"/>
            </w:tcMar>
            <w:tcW w:w="1421" w:type="pct"/>
            <w:vAlign w:val="center"/>
            <w:textDirection w:val="lrTb"/>
            <w:noWrap w:val="false"/>
          </w:tcPr>
          <w:p>
            <w:pPr>
              <w:jc w:val="center"/>
              <w:spacing w:line="360" w:lineRule="exact"/>
              <w:rPr>
                <w:rFonts w:ascii="宋体" w:hAnsi="宋体" w:cs="宋体"/>
                <w:color w:val="auto"/>
                <w:sz w:val="36"/>
                <w:szCs w:val="36"/>
                <w:highlight w:val="none"/>
              </w:rPr>
            </w:pPr>
            <w:r>
              <w:rPr>
                <w:rFonts w:hint="eastAsia" w:ascii="宋体" w:hAnsi="宋体" w:eastAsia="宋体"/>
                <w:color w:val="auto"/>
                <w:sz w:val="28"/>
                <w:szCs w:val="28"/>
                <w:highlight w:val="none"/>
                <w:lang w:val="en-US" w:eastAsia="zh-CN"/>
              </w:rPr>
              <w:t xml:space="preserve">基本液压传动实验台</w:t>
            </w:r>
            <w:r/>
          </w:p>
        </w:tc>
        <w:tc>
          <w:tcPr>
            <w:tcMar>
              <w:left w:w="20" w:type="dxa"/>
              <w:top w:w="20" w:type="dxa"/>
              <w:right w:w="20" w:type="dxa"/>
              <w:bottom w:w="20" w:type="dxa"/>
            </w:tcMar>
            <w:tcW w:w="850" w:type="pct"/>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工业</w:t>
            </w:r>
            <w:r/>
          </w:p>
        </w:tc>
        <w:tc>
          <w:tcPr>
            <w:tcMar>
              <w:left w:w="20" w:type="dxa"/>
              <w:top w:w="20" w:type="dxa"/>
              <w:right w:w="20" w:type="dxa"/>
              <w:bottom w:w="20" w:type="dxa"/>
            </w:tcMar>
            <w:tcW w:w="348" w:type="pct"/>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 xml:space="preserve">3</w:t>
            </w:r>
            <w:r/>
          </w:p>
        </w:tc>
        <w:tc>
          <w:tcPr>
            <w:tcMar>
              <w:left w:w="20" w:type="dxa"/>
              <w:top w:w="20" w:type="dxa"/>
              <w:right w:w="20" w:type="dxa"/>
              <w:bottom w:w="20" w:type="dxa"/>
            </w:tcMar>
            <w:tcW w:w="371" w:type="pct"/>
            <w:vAlign w:val="center"/>
            <w:textDirection w:val="lrTb"/>
            <w:noWrap w:val="false"/>
          </w:tcPr>
          <w:p>
            <w:pPr>
              <w:jc w:val="center"/>
              <w:spacing w:line="3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台</w:t>
            </w:r>
            <w:r/>
          </w:p>
        </w:tc>
        <w:tc>
          <w:tcPr>
            <w:tcMar>
              <w:left w:w="20" w:type="dxa"/>
              <w:top w:w="20" w:type="dxa"/>
              <w:right w:w="20" w:type="dxa"/>
              <w:bottom w:w="20" w:type="dxa"/>
            </w:tcMar>
            <w:tcW w:w="525" w:type="pct"/>
            <w:vAlign w:val="center"/>
            <w:textDirection w:val="lrTb"/>
            <w:noWrap w:val="false"/>
          </w:tcPr>
          <w:p>
            <w:pPr>
              <w:jc w:val="cente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是</w:t>
            </w:r>
            <w:r/>
          </w:p>
        </w:tc>
        <w:tc>
          <w:tcPr>
            <w:tcMar>
              <w:left w:w="20" w:type="dxa"/>
              <w:top w:w="20" w:type="dxa"/>
              <w:right w:w="20" w:type="dxa"/>
              <w:bottom w:w="20" w:type="dxa"/>
            </w:tcMar>
            <w:tcW w:w="581" w:type="pct"/>
            <w:vAlign w:val="center"/>
            <w:textDirection w:val="lrTb"/>
            <w:noWrap w:val="false"/>
          </w:tcPr>
          <w:p>
            <w:pPr>
              <w:jc w:val="cente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否</w:t>
            </w:r>
            <w:r/>
          </w:p>
        </w:tc>
        <w:tc>
          <w:tcPr>
            <w:tcMar>
              <w:left w:w="20" w:type="dxa"/>
              <w:top w:w="20" w:type="dxa"/>
              <w:right w:w="20" w:type="dxa"/>
              <w:bottom w:w="20" w:type="dxa"/>
            </w:tcMar>
            <w:tcW w:w="627" w:type="pct"/>
            <w:vAlign w:val="center"/>
            <w:textDirection w:val="lrTb"/>
            <w:noWrap w:val="false"/>
          </w:tcPr>
          <w:p>
            <w:pPr>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否</w:t>
            </w:r>
            <w:r/>
          </w:p>
        </w:tc>
      </w:tr>
    </w:tbl>
    <w:p>
      <w:pPr>
        <w:pStyle w:val="1011"/>
        <w:ind w:firstLine="560"/>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三、技术参数要求</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（一）气动</w:t>
      </w:r>
      <w:r>
        <w:rPr>
          <w:rFonts w:hint="eastAsia" w:ascii="宋体" w:hAnsi="宋体" w:cs="宋体"/>
          <w:b/>
          <w:bCs/>
          <w:color w:val="auto"/>
          <w:sz w:val="28"/>
          <w:szCs w:val="28"/>
          <w:highlight w:val="none"/>
          <w:lang w:val="en-US" w:eastAsia="zh-CN"/>
        </w:rPr>
        <w:t xml:space="preserve">实验</w:t>
      </w:r>
      <w:r>
        <w:rPr>
          <w:rFonts w:hint="eastAsia" w:ascii="宋体" w:hAnsi="宋体" w:eastAsia="宋体" w:cs="宋体"/>
          <w:b/>
          <w:bCs/>
          <w:color w:val="auto"/>
          <w:sz w:val="28"/>
          <w:szCs w:val="28"/>
          <w:highlight w:val="none"/>
          <w:lang w:val="en-US" w:eastAsia="zh-CN"/>
        </w:rPr>
        <w:t xml:space="preserve">装置</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val="en-US" w:eastAsia="zh-CN" w:bidi="ar"/>
        </w:rPr>
        <w:t xml:space="preserve">总体要求：</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本次项目建设需采用先进的气动元件和新颖的模块化设计，构成插接方便的气动训练组合装置，该组合装置需采用立体壁挂设计，能有效利用实训室空间，要求具备继电器控制、时间继电器控制、手动控制。同时要求配套先进的3D仿真资源，用于虚拟仿真训练，要求满足学生气动课程的实验要求及拓展训练要求，可以真正培养和提高学生的气动系统设计能力、动手能力和综合运用能力。</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需提供整个实验室布局设计图、效果图</w:t>
      </w:r>
      <w:r>
        <w:rPr>
          <w:rFonts w:hint="eastAsia" w:ascii="宋体" w:hAnsi="宋体" w:cs="宋体"/>
          <w:b/>
          <w:bCs/>
          <w:color w:val="auto"/>
          <w:sz w:val="28"/>
          <w:szCs w:val="28"/>
          <w:highlight w:val="none"/>
          <w:lang w:val="en-US" w:eastAsia="zh-CN" w:bidi="ar"/>
        </w:rPr>
        <w:t xml:space="preserve">（现有实训室长16.8米，宽.7.8米）</w:t>
      </w:r>
      <w:r>
        <w:rPr>
          <w:rFonts w:hint="eastAsia" w:ascii="宋体" w:hAnsi="宋体" w:eastAsia="宋体" w:cs="宋体"/>
          <w:b/>
          <w:bCs/>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气动实验装置由工作台、空气压缩机、辅助设备、常用气动元件、电气控制单元、软件系统几部分组成。</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2</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工作台要求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主体框架：选用优质的冷轧板，桌脚采用≥72*72mm优质铝型材，桌脚要求采用四个铝压铸件悬浮式支撑脚链接，外形美观大方，便于拆装。</w:t>
      </w:r>
      <w:r>
        <w:rPr>
          <w:rFonts w:hint="eastAsia" w:ascii="宋体" w:hAnsi="宋体" w:cs="宋体"/>
          <w:b/>
          <w:bCs/>
          <w:color w:val="auto"/>
          <w:sz w:val="28"/>
          <w:szCs w:val="28"/>
          <w:highlight w:val="none"/>
          <w:lang w:val="en-US" w:eastAsia="zh-CN" w:bidi="ar"/>
        </w:rPr>
        <w:t xml:space="preserve">投标时提供第三方检测机构出具的CMA或CNAS检测报告（</w:t>
      </w:r>
      <w:r>
        <w:rPr>
          <w:rFonts w:hint="eastAsia" w:ascii="宋体" w:hAnsi="宋体" w:eastAsia="宋体" w:cs="宋体"/>
          <w:b/>
          <w:bCs/>
          <w:color w:val="auto"/>
          <w:sz w:val="28"/>
          <w:szCs w:val="28"/>
          <w:highlight w:val="none"/>
          <w:lang w:val="en-US" w:eastAsia="zh-CN" w:bidi="ar"/>
        </w:rPr>
        <w:t xml:space="preserve">悬浮式支撑脚符合国标的检测报告</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要求采用钣金结构与工业铝型材一体化设计，工业铝型材在钣金的基础上建立一个固定阀板的平台，主要用于安装相关元件，型材表面有标准的两道固定槽，最上面层主要以电气控制及挂件位置。实训屏的固定与实训桌融为一体，结构稳定，外形美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实训桌桌面要求为防火、防水、绝缘、耐磨高密度板，厚度≥25</w:t>
      </w:r>
      <w:r>
        <w:rPr>
          <w:rFonts w:hint="eastAsia" w:ascii="宋体" w:hAnsi="宋体" w:cs="宋体"/>
          <w:color w:val="auto"/>
          <w:sz w:val="28"/>
          <w:szCs w:val="28"/>
          <w:highlight w:val="none"/>
          <w:lang w:val="en-US" w:eastAsia="zh-CN" w:bidi="ar"/>
        </w:rPr>
        <w:t xml:space="preserve">mm</w:t>
      </w:r>
      <w:r>
        <w:rPr>
          <w:rFonts w:hint="eastAsia" w:ascii="宋体" w:hAnsi="宋体" w:eastAsia="宋体" w:cs="宋体"/>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万向轮：要求试验台配有</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4个移动金属万向轮，移动灵活，承重性强。</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4）工具柜：配备</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4抽屉工具柜，用于存放气动元件、文件资料等。</w:t>
      </w:r>
      <w:r/>
    </w:p>
    <w:p>
      <w:pPr>
        <w:ind w:left="0" w:firstLine="560"/>
        <w:jc w:val="both"/>
        <w:keepLines w:val="0"/>
        <w:keepNext w:val="0"/>
        <w:pageBreakBefore w:val="0"/>
        <w:spacing w:line="460" w:lineRule="exact"/>
        <w:widowControl w:val="off"/>
        <w:rPr>
          <w:rFonts w:hint="eastAsia" w:ascii="宋体" w:hAnsi="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5）运维控制桌：尺寸：</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700*550*750mm（长*宽*高）</w:t>
      </w:r>
      <w:r>
        <w:rPr>
          <w:rFonts w:hint="eastAsia" w:ascii="宋体" w:hAnsi="宋体" w:cs="宋体"/>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bidi="ar"/>
        </w:rPr>
        <w:t xml:space="preserve">类型：可折叠</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val="en-US" w:eastAsia="zh-CN" w:bidi="ar"/>
        </w:rPr>
        <w:t xml:space="preserve">软件要求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提供丰富的气动、电气标准元件图库，支持在回路中设置相关元件的技术参数。</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支持气动知识的学习、回路的设计、测试和模拟。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可设计并绘制符合工业标准化的回路图，包括气动回路图、电气控制电路图、气电控制回路。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val="en-US" w:eastAsia="zh-CN" w:bidi="ar"/>
        </w:rPr>
        <w:t xml:space="preserve">软件具备回路设计正确性判别功能，并提供提示。</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4.</w:t>
      </w:r>
      <w:r>
        <w:rPr>
          <w:rFonts w:hint="eastAsia" w:ascii="宋体" w:hAnsi="宋体" w:eastAsia="宋体" w:cs="宋体"/>
          <w:b/>
          <w:bCs/>
          <w:color w:val="auto"/>
          <w:sz w:val="28"/>
          <w:szCs w:val="28"/>
          <w:highlight w:val="none"/>
          <w:lang w:val="en-US" w:eastAsia="zh-CN" w:bidi="ar"/>
        </w:rPr>
        <w:t xml:space="preserve">电源控制模块要求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无线电源控制系统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该系统能够对实训室设备进行无线电源管理</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由平板电脑或智能手机、系统软件、核心控制板及通信模块等组成</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核心板采用微控制器，具备100-340V电压供电。</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系统采用无线通信模式，无需电脑主站，无需布线。</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无线电源管理功能使用平板电脑或者智能手机作为移动控制端，要求具有全部通电、全部断电和任意设备通断电等功能，要求教师可随时随地处理设备通电需求；同时提供非无线电源控制的选择开关，满足在智能电源故障时进行手动切换。</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具有密码保护，防止学生误操作；该系统可实现信息掉电不丢失数据；具备可达≥256个节点电源控制。</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确保产品质量可靠。</w:t>
      </w:r>
      <w:r>
        <w:rPr>
          <w:rFonts w:hint="eastAsia" w:ascii="宋体" w:hAnsi="宋体" w:eastAsia="宋体" w:cs="宋体"/>
          <w:b/>
          <w:bCs/>
          <w:color w:val="auto"/>
          <w:sz w:val="28"/>
          <w:szCs w:val="28"/>
          <w:highlight w:val="none"/>
          <w:lang w:val="en-US" w:eastAsia="zh-CN" w:bidi="ar"/>
        </w:rPr>
        <w:t xml:space="preserve">投标时提供手机端的控制界面截图，包含全部通电、全部断电和任意设备通电三个不同操作界面。</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交直流电源要求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提供三相固定380V交流电源，配有急停、启动按钮控制设备控制电源输出，输出均设有智能自动保护电路，并配置电源报警与复位功能，配有三相数字式智能电压表实时监控。</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配备三路AC220V交流电源和一路AC380V交流电源接口，可为外配仪器设备提供工作电源。</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直流电源DC24V/4A，设有输出指示，保护电路，电源接口≥3路。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配有安全电源系统：采用ARM核心处理器，具备USB、CAN、SPI、I2C、USART通信，集通用定时控制端口和PWM高级控制端口、具有24位系统多功能计数器、独立和窗口型看门狗，具备DMA控制器、具有ADC功能；系统配置分散采集和集中控制方法，数字、模拟信号的采集处理，不同处理模块间的SPI高速通信传输</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保证数据的实时性；数据采集处理模块对采集的信号进行过程运算，将计算结果打包编码，中心信息管理模块对编码数据进行解码，对安全接口实时监控信息进行处理；能够对安全接口连接电压、负载状态进行人性化指引，并将信息进行实时显示；监测到安全接口的数据信息异常时，中心信息管理模块对信息进行优先级判断，并通过语音或灯光告知和引导使用者对系统故障信息的正确处理，保障使用者的人身安全和学校财产安全；智能安全信息管理系统开放高速USB接口和RS485串行接口，用于连接PC机和设备升级扩展使用。</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气源要求：给设备提供一个干净、低噪音的用气环境，设备上配置了静音无油气泵，工作电源AC220V±10% </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50Hz，输入功率</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0.68kW；公称容积</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24L，额定流量：</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116L/min，额定输出气压</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0.7MPa。</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5.</w:t>
      </w:r>
      <w:r>
        <w:rPr>
          <w:rFonts w:hint="eastAsia" w:ascii="宋体" w:hAnsi="宋体" w:eastAsia="宋体" w:cs="宋体"/>
          <w:b/>
          <w:bCs/>
          <w:color w:val="auto"/>
          <w:sz w:val="28"/>
          <w:szCs w:val="28"/>
          <w:highlight w:val="none"/>
          <w:lang w:val="en-US" w:eastAsia="zh-CN" w:bidi="ar"/>
        </w:rPr>
        <w:t xml:space="preserve">PLC模块要求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继电器模块要求：配置</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4只直流+24V继电器，开关量</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包括线圈</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接线端子全部引到面板上，并且线圈得电时有相应的指示灯指示。</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控制按钮模块要求：</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6只带绿灯自锁双刀双掷按钮开关，</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6只带红灯自复位双刀双掷按钮开关。按钮开关接线端子全部引到面板上。</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直流时间继电器模块要求：配置</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2只直流24V时间继电器，开关量（包括线圈）接线端子全部引在面板上。</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▲4）PLC配置要求：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板载数字量</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14点输入/10点输出、2路模拟量输入，数字量输入支持漏型/源型信号，数字量输出类型为继电器，最大阻性负载</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2A，模拟量输入支持0-10VDC信号，分辨路</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10位；支持</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8个模块扩展、1个信号板扩展、3个通讯模块；</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工作存储</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100kB、装载存储4MB、保持性存储</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10kB；过程映像</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1024字节输入/1024字节输出；支持</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6路高速计数器输入，最高100kHz；布尔运算</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0.08μs、移动字</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1.0μs、实数数学运算</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1.78μs；集成</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1个PROFINET端口10/100Mb/s自适应，支持</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12个HMI设备连接、8个客户端、4个编程设备、8个开放连接；电源电压允许AC85-264V。PLC端子全部引到面板上</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提供产品宣传彩页截图</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6</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气动元件要求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气动元件要求主要包括：单作用气缸，</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1个；带磁环双作用气缸，</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2个；三联件，</w:t>
      </w:r>
      <w:r>
        <w:rPr>
          <w:rFonts w:hint="default" w:ascii="Arial" w:hAnsi="Arial" w:eastAsia="宋体" w:cs="Arial"/>
          <w:color w:val="auto"/>
          <w:sz w:val="28"/>
          <w:szCs w:val="28"/>
          <w:highlight w:val="none"/>
          <w:lang w:val="en-US" w:eastAsia="zh-CN" w:bidi="ar"/>
        </w:rPr>
        <w:t xml:space="preserve">≥</w:t>
      </w: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套；气控延时阀，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1个；梭阀（或阀），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2个；双压阀（与阀），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2个；快速排气阀，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2个；可调单向节流阀，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3个；调压阀，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2个；手旋阀，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2个；滚轮杠杆式机械阀，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2个；单电控二位三通阀（常开），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2个；单电控二位三通阀（常闭），</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2个；单电控二位五通阀，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2个；双电控二位五通阀，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2个；单气控二位三通阀，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2个；单气控二位三通阀，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2个；单气控二位五通阀，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2个；双气控二位五通阀，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2个；单电控二位二通阀，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2个；三位五通电磁换向阀（中封式），</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1个；三通接头，</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5个；四通接头，</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2个；管塞，</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10个；减径直通，</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2个；气管，</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20米；大剪刀，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1把；十字螺丝刀，</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1把；活动扳手，</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1把；生料带，</w:t>
      </w:r>
      <w:r>
        <w:rPr>
          <w:rFonts w:hint="default" w:ascii="Arial" w:hAnsi="Arial" w:eastAsia="宋体" w:cs="Arial"/>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盒；同时配套L型外螺纹二通接头，直通接头铜消声器PU气管等配件，组成气动实训元件组，每个气动元件成独立模块，均装有带弹性插脚的底板，底板采用ABS工程塑料，一次压制而成，实训时可在通用铝型材板上构建成各种气动回路，气动元件装卸快捷。</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投标时提供照片不少于5张，</w:t>
      </w:r>
      <w:r>
        <w:rPr>
          <w:rFonts w:hint="eastAsia" w:ascii="宋体" w:hAnsi="宋体" w:cs="宋体"/>
          <w:b/>
          <w:bCs/>
          <w:color w:val="auto"/>
          <w:sz w:val="28"/>
          <w:szCs w:val="28"/>
          <w:highlight w:val="none"/>
          <w:lang w:val="en-US" w:eastAsia="zh-CN" w:bidi="ar"/>
        </w:rPr>
        <w:t xml:space="preserve">包括但不限于：</w:t>
      </w:r>
      <w:r>
        <w:rPr>
          <w:rFonts w:hint="eastAsia" w:ascii="宋体" w:hAnsi="宋体" w:eastAsia="宋体" w:cs="宋体"/>
          <w:b/>
          <w:bCs/>
          <w:color w:val="auto"/>
          <w:sz w:val="28"/>
          <w:szCs w:val="28"/>
          <w:highlight w:val="none"/>
          <w:lang w:val="en-US" w:eastAsia="zh-CN" w:bidi="ar"/>
        </w:rPr>
        <w:t xml:space="preserve">带安装板的</w:t>
      </w:r>
      <w:r>
        <w:rPr>
          <w:rFonts w:hint="eastAsia" w:ascii="宋体" w:hAnsi="宋体" w:cs="宋体"/>
          <w:b/>
          <w:bCs/>
          <w:color w:val="auto"/>
          <w:sz w:val="28"/>
          <w:szCs w:val="28"/>
          <w:highlight w:val="none"/>
          <w:lang w:val="en-US" w:eastAsia="zh-CN" w:bidi="ar"/>
        </w:rPr>
        <w:t xml:space="preserve">实验台；</w:t>
      </w:r>
      <w:r>
        <w:rPr>
          <w:rFonts w:hint="eastAsia" w:ascii="宋体" w:hAnsi="宋体" w:eastAsia="宋体" w:cs="宋体"/>
          <w:b/>
          <w:bCs/>
          <w:color w:val="auto"/>
          <w:sz w:val="28"/>
          <w:szCs w:val="28"/>
          <w:highlight w:val="none"/>
          <w:lang w:val="en-US" w:eastAsia="zh-CN" w:bidi="ar"/>
        </w:rPr>
        <w:t xml:space="preserve">实训元件阀块介绍、实物图、剖视图和文字介绍</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用户可以旋转、放大缩小、平移阀块模型</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阀块阀体采用透明材质，用户可以直观清晰地了解内部结构。</w:t>
      </w:r>
      <w:r/>
    </w:p>
    <w:p>
      <w:pPr>
        <w:numPr>
          <w:ilvl w:val="0"/>
          <w:numId w:val="0"/>
        </w:num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7.</w:t>
      </w:r>
      <w:r>
        <w:rPr>
          <w:rFonts w:hint="eastAsia" w:ascii="宋体" w:hAnsi="宋体" w:eastAsia="宋体" w:cs="宋体"/>
          <w:b/>
          <w:bCs/>
          <w:color w:val="auto"/>
          <w:sz w:val="28"/>
          <w:szCs w:val="28"/>
          <w:highlight w:val="none"/>
          <w:lang w:val="en-US" w:eastAsia="zh-CN" w:bidi="ar"/>
        </w:rPr>
        <w:t xml:space="preserve">可完成实验台实验项目要求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可根据指导书搭建各种气动回路，也可根据配套的资源自行设计手动搭建系统回路，包含但不限于以下实训项目：</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单作用气缸的换向回路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（1）按钮阀直接控制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（2）两位三通单电控电磁阀控制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双作用气缸的换向回路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（1）两位五通手动换向阀控制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（2）按钮阀与两位五通单气控换向阀控制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（3）两个按钮阀与两位五通双气控换向阀控制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（4）两位五通单电控电磁阀控制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（5）两位五通双电控电磁阀控制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单作用气缸的速度控制回路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（1）单向（伸出）调速控制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（2）双向调速控制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（3）快速返回控制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val="en-US" w:eastAsia="zh-CN" w:bidi="ar"/>
        </w:rPr>
        <w:t xml:space="preserve">双作用气缸的速度控制回路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（1）单向调速控制（供气节流、排气节流）</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（2）双向调速控制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（3）快速运动控制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5）</w:t>
      </w:r>
      <w:r>
        <w:rPr>
          <w:rFonts w:hint="eastAsia" w:ascii="宋体" w:hAnsi="宋体" w:eastAsia="宋体" w:cs="宋体"/>
          <w:color w:val="auto"/>
          <w:sz w:val="28"/>
          <w:szCs w:val="28"/>
          <w:highlight w:val="none"/>
          <w:lang w:val="en-US" w:eastAsia="zh-CN" w:bidi="ar"/>
        </w:rPr>
        <w:t xml:space="preserve">压力控制回路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6）</w:t>
      </w:r>
      <w:r>
        <w:rPr>
          <w:rFonts w:hint="eastAsia" w:ascii="宋体" w:hAnsi="宋体" w:eastAsia="宋体" w:cs="宋体"/>
          <w:color w:val="auto"/>
          <w:sz w:val="28"/>
          <w:szCs w:val="28"/>
          <w:highlight w:val="none"/>
          <w:lang w:val="en-US" w:eastAsia="zh-CN" w:bidi="ar"/>
        </w:rPr>
        <w:t xml:space="preserve">双手操作回路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7）</w:t>
      </w:r>
      <w:r>
        <w:rPr>
          <w:rFonts w:hint="eastAsia" w:ascii="宋体" w:hAnsi="宋体" w:eastAsia="宋体" w:cs="宋体"/>
          <w:color w:val="auto"/>
          <w:sz w:val="28"/>
          <w:szCs w:val="28"/>
          <w:highlight w:val="none"/>
          <w:lang w:val="en-US" w:eastAsia="zh-CN" w:bidi="ar"/>
        </w:rPr>
        <w:t xml:space="preserve">单作用气缸自锁回路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8）</w:t>
      </w:r>
      <w:r>
        <w:rPr>
          <w:rFonts w:hint="eastAsia" w:ascii="宋体" w:hAnsi="宋体" w:eastAsia="宋体" w:cs="宋体"/>
          <w:color w:val="auto"/>
          <w:sz w:val="28"/>
          <w:szCs w:val="28"/>
          <w:highlight w:val="none"/>
          <w:lang w:val="en-US" w:eastAsia="zh-CN" w:bidi="ar"/>
        </w:rPr>
        <w:t xml:space="preserve">双作用气缸自锁回路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9）</w:t>
      </w:r>
      <w:r>
        <w:rPr>
          <w:rFonts w:hint="eastAsia" w:ascii="宋体" w:hAnsi="宋体" w:eastAsia="宋体" w:cs="宋体"/>
          <w:color w:val="auto"/>
          <w:sz w:val="28"/>
          <w:szCs w:val="28"/>
          <w:highlight w:val="none"/>
          <w:lang w:val="en-US" w:eastAsia="zh-CN" w:bidi="ar"/>
        </w:rPr>
        <w:t xml:space="preserve">双作用气缸单往复控制回路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（1）纯气动控制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（2）电气控制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10）</w:t>
      </w:r>
      <w:r>
        <w:rPr>
          <w:rFonts w:hint="eastAsia" w:ascii="宋体" w:hAnsi="宋体" w:eastAsia="宋体" w:cs="宋体"/>
          <w:color w:val="auto"/>
          <w:sz w:val="28"/>
          <w:szCs w:val="28"/>
          <w:highlight w:val="none"/>
          <w:lang w:val="en-US" w:eastAsia="zh-CN" w:bidi="ar"/>
        </w:rPr>
        <w:t xml:space="preserve">双作用气缸连续往复控制回路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（1）纯气动控制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（2）电气控制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11）</w:t>
      </w:r>
      <w:r>
        <w:rPr>
          <w:rFonts w:hint="eastAsia" w:ascii="宋体" w:hAnsi="宋体" w:eastAsia="宋体" w:cs="宋体"/>
          <w:color w:val="auto"/>
          <w:sz w:val="28"/>
          <w:szCs w:val="28"/>
          <w:highlight w:val="none"/>
          <w:lang w:val="en-US" w:eastAsia="zh-CN" w:bidi="ar"/>
        </w:rPr>
        <w:t xml:space="preserve">延时回路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12）</w:t>
      </w:r>
      <w:r>
        <w:rPr>
          <w:rFonts w:hint="eastAsia" w:ascii="宋体" w:hAnsi="宋体" w:eastAsia="宋体" w:cs="宋体"/>
          <w:color w:val="auto"/>
          <w:sz w:val="28"/>
          <w:szCs w:val="28"/>
          <w:highlight w:val="none"/>
          <w:lang w:val="en-US" w:eastAsia="zh-CN" w:bidi="ar"/>
        </w:rPr>
        <w:t xml:space="preserve">顺序动作回路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2）以上参数和要求为气动实验台招标的基本准则，投标人应根据实际情况和技术能力进行详细的方案设计。</w:t>
      </w:r>
      <w:r/>
    </w:p>
    <w:p>
      <w:pPr>
        <w:numPr>
          <w:ilvl w:val="0"/>
          <w:numId w:val="0"/>
        </w:numPr>
        <w:ind w:left="0" w:firstLine="562"/>
        <w:jc w:val="both"/>
        <w:keepLines w:val="0"/>
        <w:keepNext w:val="0"/>
        <w:pageBreakBefore w:val="0"/>
        <w:spacing w:line="460" w:lineRule="exact"/>
        <w:widowControl w:val="off"/>
        <w:rPr>
          <w:rFonts w:hint="eastAsia" w:ascii="宋体" w:hAnsi="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8.气动中控操作平台</w:t>
      </w:r>
      <w:r/>
    </w:p>
    <w:p>
      <w:pPr>
        <w:ind w:left="0" w:firstLine="560"/>
        <w:jc w:val="both"/>
        <w:keepLines w:val="0"/>
        <w:keepNext w:val="0"/>
        <w:pageBreakBefore w:val="0"/>
        <w:spacing w:line="460" w:lineRule="exact"/>
        <w:widowControl w:val="off"/>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操作台要求满足气动实训台中软件的运行（如气动虚拟仿真平台，PLC</w:t>
      </w:r>
      <w:r>
        <w:rPr>
          <w:rFonts w:hint="eastAsia" w:ascii="宋体" w:hAnsi="宋体" w:cs="宋体"/>
          <w:color w:val="auto"/>
          <w:sz w:val="28"/>
          <w:szCs w:val="28"/>
          <w:highlight w:val="none"/>
          <w:lang w:val="en-US" w:eastAsia="zh-CN" w:bidi="ar"/>
        </w:rPr>
        <w:t xml:space="preserve">编程软件</w:t>
      </w:r>
      <w:r>
        <w:rPr>
          <w:rFonts w:hint="eastAsia" w:ascii="宋体" w:hAnsi="宋体" w:eastAsia="宋体" w:cs="宋体"/>
          <w:color w:val="auto"/>
          <w:sz w:val="28"/>
          <w:szCs w:val="28"/>
          <w:highlight w:val="none"/>
          <w:lang w:val="en-US" w:eastAsia="zh-CN" w:bidi="ar"/>
        </w:rPr>
        <w:t xml:space="preserve">等）。</w:t>
      </w:r>
      <w:r/>
    </w:p>
    <w:p>
      <w:pPr>
        <w:numPr>
          <w:ilvl w:val="0"/>
          <w:numId w:val="0"/>
        </w:num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9.</w:t>
      </w:r>
      <w:r>
        <w:rPr>
          <w:rFonts w:hint="eastAsia" w:ascii="宋体" w:hAnsi="宋体" w:eastAsia="宋体" w:cs="宋体"/>
          <w:b/>
          <w:bCs/>
          <w:color w:val="auto"/>
          <w:sz w:val="28"/>
          <w:szCs w:val="28"/>
          <w:highlight w:val="none"/>
          <w:lang w:val="en-US" w:eastAsia="zh-CN" w:bidi="ar"/>
        </w:rPr>
        <w:t xml:space="preserve">教学资源要求</w:t>
      </w:r>
      <w:r/>
    </w:p>
    <w:p>
      <w:pPr>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1）提供1套液压与气动彩色挂图，包括</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10个常用液压与气动元件的结构原理图和爆炸图；</w:t>
      </w:r>
      <w:r/>
    </w:p>
    <w:p>
      <w:pPr>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2）提供</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1套液压与气动实训台教程、</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1套操作说明书、</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1套操作安全规程、保养手册等培训资料。</w:t>
      </w:r>
      <w:r/>
    </w:p>
    <w:p>
      <w:pPr>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rPr>
        <w:t xml:space="preserve">液压气动虚拟仿真仿真教学软件要求：采用实物图形作为仿真软件元器件应用载体，能与真实液压元件及回路一致，学员可连接搭建相应回路并仿真运行，同时能同步控制真实液压回路的动作，软件具有气动路连接与仿真≥8个,液压仿真回路≥8个，元件结构仿真≥10个。</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10.</w:t>
      </w:r>
      <w:r>
        <w:rPr>
          <w:rFonts w:hint="eastAsia" w:ascii="宋体" w:hAnsi="宋体" w:eastAsia="宋体" w:cs="宋体"/>
          <w:b/>
          <w:bCs/>
          <w:color w:val="auto"/>
          <w:sz w:val="28"/>
          <w:szCs w:val="28"/>
          <w:highlight w:val="none"/>
          <w:lang w:val="en-US" w:eastAsia="zh-CN" w:bidi="ar"/>
        </w:rPr>
        <w:t xml:space="preserve">气、液一体化仿真软件要求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（1）软件有两个主界面，分别为主界面和实训界面，在主界面中包含有使用说明、联系我们子选项，用户可以查看教程以及联系方式。</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（2）要求本软件要求进入实训界面后用户可以实现PLC控制模型或者调试状态下手动控制模型。</w:t>
      </w:r>
      <w:r/>
    </w:p>
    <w:p>
      <w:pPr>
        <w:ind w:left="0" w:firstLine="562"/>
        <w:jc w:val="both"/>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b w:val="0"/>
          <w:bCs w:val="0"/>
          <w:color w:val="auto"/>
          <w:sz w:val="28"/>
          <w:szCs w:val="28"/>
          <w:highlight w:val="none"/>
          <w:lang w:val="en-US" w:eastAsia="zh-CN" w:bidi="ar"/>
        </w:rPr>
        <w:t xml:space="preserve">1）设置变频器</w:t>
      </w:r>
      <w:r/>
    </w:p>
    <w:p>
      <w:pPr>
        <w:ind w:left="0" w:firstLine="560"/>
        <w:jc w:val="both"/>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 xml:space="preserve">用户可以点击设置变频器按钮打开变频器设置界面，用户可以根据提示中的电压、电流、功率、频率和转速要求进行设置。</w:t>
      </w:r>
      <w:r/>
    </w:p>
    <w:p>
      <w:pPr>
        <w:ind w:left="0" w:firstLine="562"/>
        <w:jc w:val="both"/>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b w:val="0"/>
          <w:bCs w:val="0"/>
          <w:color w:val="auto"/>
          <w:sz w:val="28"/>
          <w:szCs w:val="28"/>
          <w:highlight w:val="none"/>
          <w:lang w:val="en-US" w:eastAsia="zh-CN" w:bidi="ar"/>
        </w:rPr>
        <w:t xml:space="preserve">2）调试模型</w:t>
      </w:r>
      <w:r/>
    </w:p>
    <w:p>
      <w:pPr>
        <w:ind w:left="0" w:firstLine="560"/>
        <w:jc w:val="both"/>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 xml:space="preserve">用户可以在调试模式下，手动控制电机、气缸、液压缸和警示灯的状态，直接点击名称右侧的开关按钮就能实现开关状态的快速切换。方便用户了解各个执行机构的运动方式。</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3）视图快速定位</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用户除了可以使用鼠标缩放、旋转、平移模型外，还可以点击右下方视图快捷方式来实现快速定位到某个指定的方向视图，方便用户更方便观察模型。</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4）PLC仿真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用户可以点击虚拟PLC按钮或者实物PLC按钮来连接虚拟PLC或实物PLC，然后就能通过PLC程序控制模型的运动，用户可以实时监控I/O状态和查看I/O分配图。</w:t>
      </w:r>
      <w:r/>
    </w:p>
    <w:p>
      <w:pPr>
        <w:ind w:left="0" w:firstLine="562"/>
        <w:jc w:val="both"/>
        <w:keepLines w:val="0"/>
        <w:keepNext w:val="0"/>
        <w:pageBreakBefore w:val="0"/>
        <w:spacing w:line="460" w:lineRule="exact"/>
        <w:widowControl w:val="off"/>
        <w:rPr>
          <w:rFonts w:hint="default"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以上1）、2）、4）需进行视频功能演示部分（此项与“</w:t>
      </w:r>
      <w:r>
        <w:rPr>
          <w:rFonts w:hint="eastAsia" w:ascii="宋体" w:hAnsi="宋体" w:cs="宋体"/>
          <w:b/>
          <w:bCs/>
          <w:color w:val="auto"/>
          <w:sz w:val="28"/>
          <w:szCs w:val="28"/>
          <w:highlight w:val="none"/>
          <w:lang w:val="en-US" w:eastAsia="zh-CN"/>
        </w:rPr>
        <w:t xml:space="preserve">基本</w:t>
      </w:r>
      <w:r>
        <w:rPr>
          <w:rFonts w:hint="eastAsia" w:ascii="宋体" w:hAnsi="宋体" w:eastAsia="宋体" w:cs="宋体"/>
          <w:b/>
          <w:bCs/>
          <w:color w:val="auto"/>
          <w:sz w:val="28"/>
          <w:szCs w:val="28"/>
          <w:highlight w:val="none"/>
          <w:lang w:val="en-US" w:eastAsia="zh-CN"/>
        </w:rPr>
        <w:t xml:space="preserve">液压传动</w:t>
      </w:r>
      <w:r>
        <w:rPr>
          <w:rFonts w:hint="eastAsia" w:ascii="宋体" w:hAnsi="宋体" w:cs="宋体"/>
          <w:b/>
          <w:bCs/>
          <w:color w:val="auto"/>
          <w:sz w:val="28"/>
          <w:szCs w:val="28"/>
          <w:highlight w:val="none"/>
          <w:lang w:val="en-US" w:eastAsia="zh-CN"/>
        </w:rPr>
        <w:t xml:space="preserve">实验台</w:t>
      </w:r>
      <w:r>
        <w:rPr>
          <w:rFonts w:hint="eastAsia" w:ascii="宋体" w:hAnsi="宋体" w:cs="宋体"/>
          <w:b/>
          <w:bCs/>
          <w:color w:val="auto"/>
          <w:sz w:val="28"/>
          <w:szCs w:val="28"/>
          <w:highlight w:val="none"/>
          <w:lang w:val="en-US" w:eastAsia="zh-CN" w:bidi="ar"/>
        </w:rPr>
        <w:t xml:space="preserve">”中第13、气液一体化仿真软件要求演示项，提供同一演示视频）。</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cs="宋体"/>
          <w:b/>
          <w:bCs/>
          <w:color w:val="auto"/>
          <w:sz w:val="28"/>
          <w:szCs w:val="28"/>
          <w:highlight w:val="none"/>
          <w:lang w:val="en-US" w:eastAsia="zh-CN" w:bidi="ar"/>
        </w:rPr>
        <w:t xml:space="preserve">11.</w:t>
      </w:r>
      <w:r>
        <w:rPr>
          <w:rFonts w:hint="eastAsia" w:ascii="宋体" w:hAnsi="宋体" w:eastAsia="宋体" w:cs="宋体"/>
          <w:b/>
          <w:bCs/>
          <w:color w:val="auto"/>
          <w:sz w:val="28"/>
          <w:szCs w:val="28"/>
          <w:highlight w:val="none"/>
          <w:lang w:val="en-US" w:eastAsia="zh-CN" w:bidi="ar"/>
        </w:rPr>
        <w:t xml:space="preserve">整体实训室配置1套，创新机器人爬行工作站及模型套件</w:t>
      </w:r>
      <w:r>
        <w:rPr>
          <w:rFonts w:hint="eastAsia" w:ascii="宋体" w:hAnsi="宋体" w:cs="宋体"/>
          <w:b/>
          <w:bCs/>
          <w:color w:val="auto"/>
          <w:sz w:val="28"/>
          <w:szCs w:val="28"/>
          <w:highlight w:val="none"/>
          <w:lang w:val="en-US" w:eastAsia="zh-CN" w:bidi="ar"/>
        </w:rPr>
        <w:t xml:space="preserve">，需进行视频功能演示部分</w:t>
      </w:r>
      <w:r>
        <w:rPr>
          <w:rFonts w:hint="eastAsia" w:ascii="宋体" w:hAnsi="宋体" w:eastAsia="宋体" w:cs="宋体"/>
          <w:b/>
          <w:bCs/>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采用气动原理，进行PLC控制的创新型机器人，该机器人由控制5自由度，机械2自由度组成，其中四肢爬行伸缩精度为≤0.05mm，背部扭转机械伸缩变形最大为不小于25mm，精度不小于0.05mm，采用吸附式移动方式；采用真空吊具进行设备执 行，并附有大于1440°的滚动支撑脚，创新机器人采用创新型的控制方式，采用与设备配套控制，形成与设备配套的趣味性创新训练机器人。</w:t>
      </w:r>
      <w:r/>
    </w:p>
    <w:p>
      <w:pPr>
        <w:numPr>
          <w:ilvl w:val="0"/>
          <w:numId w:val="0"/>
        </w:num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r>
      <w:r/>
    </w:p>
    <w:p>
      <w:pPr>
        <w:numPr>
          <w:ilvl w:val="0"/>
          <w:numId w:val="0"/>
        </w:num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r>
      <w:r/>
    </w:p>
    <w:p>
      <w:pPr>
        <w:numPr>
          <w:ilvl w:val="0"/>
          <w:numId w:val="0"/>
        </w:numPr>
        <w:ind w:left="0" w:firstLine="560"/>
        <w:keepLines w:val="0"/>
        <w:keepNext w:val="0"/>
        <w:pageBreakBefore w:val="0"/>
        <w:spacing w:line="460" w:lineRule="exact"/>
        <w:rPr>
          <w:rFonts w:hint="eastAsia" w:ascii="宋体" w:hAnsi="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w:t>
      </w:r>
      <w:r>
        <w:rPr>
          <w:rFonts w:hint="eastAsia" w:ascii="宋体" w:hAnsi="宋体" w:cs="宋体"/>
          <w:color w:val="auto"/>
          <w:sz w:val="28"/>
          <w:szCs w:val="28"/>
          <w:highlight w:val="none"/>
          <w:u w:val="single"/>
          <w:lang w:val="en-US" w:eastAsia="zh-CN" w:bidi="ar"/>
        </w:rPr>
        <w:t xml:space="preserve">2.</w:t>
      </w:r>
      <w:r>
        <w:rPr>
          <w:rFonts w:hint="eastAsia" w:ascii="宋体" w:hAnsi="宋体" w:cs="宋体"/>
          <w:color w:val="auto"/>
          <w:sz w:val="28"/>
          <w:szCs w:val="28"/>
          <w:highlight w:val="none"/>
          <w:lang w:val="en-US" w:eastAsia="zh-CN" w:bidi="ar"/>
        </w:rPr>
        <w:t xml:space="preserve">气动易损件（供应商中标后需提供，请供应商对此做出承诺，否则做无效标处理）。</w:t>
      </w:r>
      <w:r/>
    </w:p>
    <w:tbl>
      <w:tblPr>
        <w:tblStyle w:val="953"/>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2757"/>
        <w:gridCol w:w="2273"/>
        <w:gridCol w:w="1260"/>
      </w:tblGrid>
      <w:tr>
        <w:trPr>
          <w:jc w:val="center"/>
          <w:trHeight w:val="604"/>
        </w:trPr>
        <w:tc>
          <w:tcPr>
            <w:tcBorders>
              <w:top w:val="single" w:color="auto" w:sz="4" w:space="0"/>
              <w:left w:val="single" w:color="auto" w:sz="4" w:space="0"/>
              <w:bottom w:val="single" w:color="auto" w:sz="4" w:space="0"/>
              <w:right w:val="single" w:color="auto" w:sz="4" w:space="0"/>
            </w:tcBorders>
            <w:tcW w:w="130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130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消声器</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cs="宋体"/>
                <w:i w:val="0"/>
                <w:iCs w:val="0"/>
                <w:color w:val="auto"/>
                <w:sz w:val="28"/>
                <w:szCs w:val="28"/>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r>
        <w:trPr>
          <w:jc w:val="center"/>
          <w:trHeight w:val="604"/>
        </w:trPr>
        <w:tc>
          <w:tcPr>
            <w:tcBorders>
              <w:top w:val="single" w:color="auto" w:sz="4" w:space="0"/>
              <w:left w:val="single" w:color="auto" w:sz="4" w:space="0"/>
              <w:bottom w:val="single" w:color="auto" w:sz="4" w:space="0"/>
              <w:right w:val="single" w:color="auto" w:sz="4" w:space="0"/>
            </w:tcBorders>
            <w:tcW w:w="130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直通接头</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cs="宋体"/>
                <w:i w:val="0"/>
                <w:iCs w:val="0"/>
                <w:color w:val="auto"/>
                <w:sz w:val="28"/>
                <w:szCs w:val="28"/>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r>
        <w:trPr>
          <w:jc w:val="center"/>
          <w:trHeight w:val="604"/>
        </w:trPr>
        <w:tc>
          <w:tcPr>
            <w:tcBorders>
              <w:top w:val="single" w:color="auto" w:sz="4" w:space="0"/>
              <w:left w:val="single" w:color="auto" w:sz="4" w:space="0"/>
              <w:bottom w:val="single" w:color="auto" w:sz="4" w:space="0"/>
              <w:right w:val="single" w:color="auto" w:sz="4" w:space="0"/>
            </w:tcBorders>
            <w:tcW w:w="130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生料带</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cs="宋体"/>
                <w:i w:val="0"/>
                <w:iCs w:val="0"/>
                <w:color w:val="auto"/>
                <w:sz w:val="28"/>
                <w:szCs w:val="28"/>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r>
        <w:trPr>
          <w:jc w:val="center"/>
          <w:trHeight w:val="604"/>
        </w:trPr>
        <w:tc>
          <w:tcPr>
            <w:tcBorders>
              <w:top w:val="single" w:color="auto" w:sz="4" w:space="0"/>
              <w:left w:val="single" w:color="auto" w:sz="4" w:space="0"/>
              <w:bottom w:val="single" w:color="auto" w:sz="4" w:space="0"/>
              <w:right w:val="single" w:color="auto" w:sz="4" w:space="0"/>
            </w:tcBorders>
            <w:tcW w:w="130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可调单向节流阀</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cs="宋体"/>
                <w:i w:val="0"/>
                <w:iCs w:val="0"/>
                <w:color w:val="auto"/>
                <w:sz w:val="28"/>
                <w:szCs w:val="28"/>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bl>
    <w:p>
      <w:pPr>
        <w:ind w:left="0" w:firstLine="562"/>
        <w:jc w:val="both"/>
        <w:keepLines w:val="0"/>
        <w:keepNext w:val="0"/>
        <w:pageBreakBefore w:val="0"/>
        <w:spacing w:line="460" w:lineRule="exact"/>
        <w:widowControl w:val="off"/>
        <w:rPr>
          <w:rFonts w:hint="default"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rPr>
        <w:t xml:space="preserve">（二）基本</w:t>
      </w:r>
      <w:r>
        <w:rPr>
          <w:rFonts w:hint="eastAsia" w:ascii="宋体" w:hAnsi="宋体" w:eastAsia="宋体" w:cs="宋体"/>
          <w:b/>
          <w:bCs/>
          <w:color w:val="auto"/>
          <w:sz w:val="28"/>
          <w:szCs w:val="28"/>
          <w:highlight w:val="none"/>
          <w:lang w:val="en-US" w:eastAsia="zh-CN"/>
        </w:rPr>
        <w:t xml:space="preserve">液压传动</w:t>
      </w:r>
      <w:r>
        <w:rPr>
          <w:rFonts w:hint="eastAsia" w:ascii="宋体" w:hAnsi="宋体" w:cs="宋体"/>
          <w:b/>
          <w:bCs/>
          <w:color w:val="auto"/>
          <w:sz w:val="28"/>
          <w:szCs w:val="28"/>
          <w:highlight w:val="none"/>
          <w:lang w:val="en-US" w:eastAsia="zh-CN"/>
        </w:rPr>
        <w:t xml:space="preserve">实验台</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val="en-US" w:eastAsia="zh-CN" w:bidi="ar"/>
        </w:rPr>
        <w:t xml:space="preserve">总体要求：</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本次项目建设需采用先进的液压元件和新颖的模块化设计，由立式实操工作台、液压泵站、工业液压元件模块、电气控制模块等组成。液压控制元件和电气控制部分均采用模块式结构设计，可由学生自主搭建液压传动回路及电气控制回路。具有手控、液控、电控等多种控制方式。可完成各种液压传动基本回路的设计、安装与连接、控制与运行实操教学。</w:t>
      </w:r>
      <w:r>
        <w:rPr>
          <w:rFonts w:hint="eastAsia" w:ascii="宋体" w:hAnsi="宋体" w:cs="宋体"/>
          <w:b/>
          <w:bCs/>
          <w:color w:val="auto"/>
          <w:sz w:val="28"/>
          <w:szCs w:val="28"/>
          <w:highlight w:val="none"/>
          <w:lang w:bidi="ar"/>
        </w:rPr>
        <w:t xml:space="preserve">投标时需提供整个实验室布局设计图、效果图</w:t>
      </w:r>
      <w:r>
        <w:rPr>
          <w:rFonts w:hint="eastAsia" w:ascii="宋体" w:hAnsi="宋体" w:cs="宋体"/>
          <w:b/>
          <w:bCs/>
          <w:color w:val="auto"/>
          <w:sz w:val="28"/>
          <w:szCs w:val="28"/>
          <w:highlight w:val="none"/>
          <w:lang w:eastAsia="zh-CN" w:bidi="ar"/>
        </w:rPr>
        <w:t xml:space="preserve">（现有实训室长16.8米，宽.7.8米）</w:t>
      </w:r>
      <w:r>
        <w:rPr>
          <w:rFonts w:hint="eastAsia" w:ascii="宋体" w:hAnsi="宋体" w:cs="宋体"/>
          <w:b/>
          <w:bCs/>
          <w:color w:val="auto"/>
          <w:sz w:val="28"/>
          <w:szCs w:val="28"/>
          <w:highlight w:val="none"/>
          <w:lang w:bidi="ar"/>
        </w:rPr>
        <w:t xml:space="preserve">。</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val="en-US" w:eastAsia="zh-CN" w:bidi="ar"/>
        </w:rPr>
        <w:t xml:space="preserve">工作台要求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1）主体</w:t>
      </w:r>
      <w:r>
        <w:rPr>
          <w:rFonts w:hint="eastAsia" w:ascii="宋体" w:hAnsi="宋体" w:eastAsia="宋体" w:cs="宋体"/>
          <w:color w:val="auto"/>
          <w:sz w:val="28"/>
          <w:szCs w:val="28"/>
          <w:highlight w:val="none"/>
          <w:lang w:val="en-US" w:eastAsia="zh-CN" w:bidi="ar"/>
        </w:rPr>
        <w:t xml:space="preserve">框架：采用铝合金型材框架结构，表面氧化处理，桌面设有凹式接油盘。立柱采用工业铝型材成型工艺，比重不小于3.0kg/m，四面带槽，端部配套塑料堵头，槽内适用工业铝型材通配螺母及配件。操作面板采用铝型材结构，数量不小于8根，截面尺寸：不小于20×80mm，型材表面有标准的两道固定槽，两道之间距离≤40mm。实操台侧面安装有油管放置架，底部设有接油盘。元器件储存柜采用铁质双层亚光密纹喷塑结构，双开门结构，内部设有隔板，外形尺寸≥800mm×550mm。万向轮：要求试验台配有4个移动金属万向轮，移动灵活，承重性强。</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2）运维控制桌要求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尺寸：≥</w:t>
      </w:r>
      <w:r>
        <w:rPr>
          <w:rFonts w:hint="eastAsia" w:ascii="宋体" w:hAnsi="宋体" w:cs="宋体"/>
          <w:color w:val="auto"/>
          <w:sz w:val="28"/>
          <w:szCs w:val="28"/>
          <w:highlight w:val="none"/>
          <w:lang w:val="en-US" w:eastAsia="zh-CN" w:bidi="ar"/>
        </w:rPr>
        <w:t xml:space="preserve">70</w:t>
      </w:r>
      <w:r>
        <w:rPr>
          <w:rFonts w:hint="eastAsia" w:ascii="宋体" w:hAnsi="宋体" w:eastAsia="宋体" w:cs="宋体"/>
          <w:color w:val="auto"/>
          <w:sz w:val="28"/>
          <w:szCs w:val="28"/>
          <w:highlight w:val="none"/>
          <w:lang w:val="en-US" w:eastAsia="zh-CN" w:bidi="ar"/>
        </w:rPr>
        <w:t xml:space="preserve">0mm×</w:t>
      </w:r>
      <w:r>
        <w:rPr>
          <w:rFonts w:hint="eastAsia" w:ascii="宋体" w:hAnsi="宋体" w:cs="宋体"/>
          <w:color w:val="auto"/>
          <w:sz w:val="28"/>
          <w:szCs w:val="28"/>
          <w:highlight w:val="none"/>
          <w:lang w:val="en-US" w:eastAsia="zh-CN" w:bidi="ar"/>
        </w:rPr>
        <w:t xml:space="preserve">55</w:t>
      </w:r>
      <w:r>
        <w:rPr>
          <w:rFonts w:hint="eastAsia" w:ascii="宋体" w:hAnsi="宋体" w:eastAsia="宋体" w:cs="宋体"/>
          <w:color w:val="auto"/>
          <w:sz w:val="28"/>
          <w:szCs w:val="28"/>
          <w:highlight w:val="none"/>
          <w:lang w:val="en-US" w:eastAsia="zh-CN" w:bidi="ar"/>
        </w:rPr>
        <w:t xml:space="preserve">0mm×</w:t>
      </w:r>
      <w:r>
        <w:rPr>
          <w:rFonts w:hint="eastAsia" w:ascii="宋体" w:hAnsi="宋体" w:cs="宋体"/>
          <w:color w:val="auto"/>
          <w:sz w:val="28"/>
          <w:szCs w:val="28"/>
          <w:highlight w:val="none"/>
          <w:lang w:val="en-US" w:eastAsia="zh-CN" w:bidi="ar"/>
        </w:rPr>
        <w:t xml:space="preserve">75</w:t>
      </w:r>
      <w:r>
        <w:rPr>
          <w:rFonts w:hint="eastAsia" w:ascii="宋体" w:hAnsi="宋体" w:eastAsia="宋体" w:cs="宋体"/>
          <w:color w:val="auto"/>
          <w:sz w:val="28"/>
          <w:szCs w:val="28"/>
          <w:highlight w:val="none"/>
          <w:lang w:val="en-US" w:eastAsia="zh-CN" w:bidi="ar"/>
        </w:rPr>
        <w:t xml:space="preserve">0mm</w:t>
      </w:r>
      <w:r>
        <w:rPr>
          <w:rFonts w:hint="eastAsia" w:ascii="宋体" w:hAnsi="宋体" w:cs="宋体"/>
          <w:color w:val="auto"/>
          <w:sz w:val="28"/>
          <w:szCs w:val="28"/>
          <w:highlight w:val="none"/>
          <w:lang w:val="en-US" w:eastAsia="zh-CN" w:bidi="ar"/>
        </w:rPr>
        <w:t xml:space="preserve">（长宽高）</w:t>
      </w:r>
      <w:r>
        <w:rPr>
          <w:rFonts w:hint="eastAsia" w:ascii="宋体" w:hAnsi="宋体" w:eastAsia="宋体" w:cs="宋体"/>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类型</w:t>
      </w:r>
      <w:r>
        <w:rPr>
          <w:rFonts w:hint="eastAsia" w:ascii="宋体" w:hAnsi="宋体" w:eastAsia="宋体" w:cs="宋体"/>
          <w:color w:val="auto"/>
          <w:sz w:val="28"/>
          <w:szCs w:val="28"/>
          <w:highlight w:val="none"/>
          <w:lang w:val="en-US" w:eastAsia="zh-CN" w:bidi="ar"/>
        </w:rPr>
        <w:t xml:space="preserve">：</w:t>
      </w:r>
      <w:r>
        <w:rPr>
          <w:rFonts w:hint="eastAsia" w:ascii="宋体" w:hAnsi="宋体" w:cs="宋体"/>
          <w:color w:val="auto"/>
          <w:sz w:val="28"/>
          <w:szCs w:val="28"/>
          <w:highlight w:val="none"/>
          <w:lang w:val="en-US" w:eastAsia="zh-CN" w:bidi="ar"/>
        </w:rPr>
        <w:t xml:space="preserve">可折叠。</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val="en-US" w:eastAsia="zh-CN" w:bidi="ar"/>
        </w:rPr>
        <w:t xml:space="preserve">电源控制模块要求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无线电源控制系统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该系统能够对实训室设备进行无线电源管理</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由平板电脑或智能手机、系统软件、核心控制板及通信模块等组成</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核心板采用微控制器，具备100-340V电压供电。</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系统采用无线通信模式，无需电脑主站，无需布线。</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无线电源管理功能使用平板电脑或者智能手机作为移动控制端，要求具有全部通电、全部断电和任意设备通断电等功能，要求教师可随时随地处理设备通电需求；同时提供非无线电源控制的选择开关，满足在智能电源故障时进行手动切换。</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具有密码保护，防止学生误操作；该系统可实现信息掉电不丢失数据；具备可达≥256个节点电源控制。</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确保产品质量可靠。</w:t>
      </w:r>
      <w:r>
        <w:rPr>
          <w:rFonts w:hint="eastAsia" w:ascii="宋体" w:hAnsi="宋体" w:eastAsia="宋体" w:cs="宋体"/>
          <w:b/>
          <w:bCs/>
          <w:color w:val="auto"/>
          <w:sz w:val="28"/>
          <w:szCs w:val="28"/>
          <w:highlight w:val="none"/>
          <w:lang w:val="en-US" w:eastAsia="zh-CN" w:bidi="ar"/>
        </w:rPr>
        <w:t xml:space="preserve">投标时提供手机端的控制界面截图，包含全部通电、全部断电和任意设备通电三个不同操作界面。</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2)交直流电源要求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要求提供配有漏电保护器、液压泵防反转保护、熔断器、启动/停止按钮、三相电源指示、交流电源输出接口。具有直流电源过载保护装置、DC24V直流电源接口。</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配有安全电源系统：采用ARM核心处理器，具备USB、CAN、SPI、I2C、USART通信，集通用定时控制端口和PWM高级控制端口、具有24位系统多功能计数器、独立和窗口型看门狗，具备DMA控制器、具有ADC功能；系统配置分散采集和集中控制方法，数字、模拟信号的采集处理，</w:t>
      </w:r>
      <w:r>
        <w:rPr>
          <w:rFonts w:hint="eastAsia" w:ascii="宋体" w:hAnsi="宋体" w:eastAsia="宋体" w:cs="宋体"/>
          <w:color w:val="auto"/>
          <w:sz w:val="28"/>
          <w:szCs w:val="28"/>
          <w:highlight w:val="none"/>
          <w:lang w:val="en-US" w:eastAsia="zh-CN" w:bidi="ar"/>
        </w:rPr>
        <w:t xml:space="preserve">不同处理模块间的SPI高速通信传输,保证数据的实时性；数据采集处理模块对采集的信号进行过程运算，将计算结果打包编码，中心信息管理模块对编码数据进行解码，对安全接口实时监控信息进行处理；能够对安全接口连接电压、负载状态进行人性化指引，并将信息进行实时显示；监测到安全接口的数据信息异常时，中心信息管理模块对信息进行优先级判断，并通过语音或灯光告知和引导使用者对系统故障信息的正确处理，保障使用者的人身安全和学校财产安全；智能安全信息管理系统开放高速USB接口和RS485串行接口，用于连接PC机和设备升级扩展使用。</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4.</w:t>
      </w:r>
      <w:r>
        <w:rPr>
          <w:rFonts w:hint="eastAsia" w:ascii="宋体" w:hAnsi="宋体" w:eastAsia="宋体" w:cs="宋体"/>
          <w:b/>
          <w:bCs/>
          <w:color w:val="auto"/>
          <w:sz w:val="28"/>
          <w:szCs w:val="28"/>
          <w:highlight w:val="none"/>
          <w:lang w:val="en-US" w:eastAsia="zh-CN" w:bidi="ar"/>
        </w:rPr>
        <w:t xml:space="preserve">液压泵站要求</w:t>
      </w:r>
      <w:r/>
    </w:p>
    <w:p>
      <w:pPr>
        <w:pStyle w:val="1011"/>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1）变量叶片泵：≥6.67ml/r；</w:t>
      </w:r>
      <w:r/>
    </w:p>
    <w:p>
      <w:pPr>
        <w:pStyle w:val="1011"/>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2）额定压力：≥6.3Mpa； </w:t>
      </w:r>
      <w:r/>
    </w:p>
    <w:p>
      <w:pPr>
        <w:pStyle w:val="1011"/>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3）驱动电机：AC380V±10%，50Hz，1.5KW，绝缘等级B；</w:t>
      </w:r>
      <w:r/>
    </w:p>
    <w:p>
      <w:pPr>
        <w:pStyle w:val="1011"/>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4）油箱容积：≥ 60L；</w:t>
      </w:r>
      <w:r/>
    </w:p>
    <w:p>
      <w:pPr>
        <w:pStyle w:val="1011"/>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5）风冷器额定流量：≥25L/min；</w:t>
      </w:r>
      <w:r/>
    </w:p>
    <w:p>
      <w:pPr>
        <w:pStyle w:val="1011"/>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6）液压油：32#抗磨液压油。</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5.</w:t>
      </w:r>
      <w:r>
        <w:rPr>
          <w:rFonts w:hint="eastAsia" w:ascii="宋体" w:hAnsi="宋体" w:eastAsia="宋体" w:cs="宋体"/>
          <w:b/>
          <w:bCs/>
          <w:color w:val="auto"/>
          <w:sz w:val="28"/>
          <w:szCs w:val="28"/>
          <w:highlight w:val="none"/>
          <w:lang w:val="en-US" w:eastAsia="zh-CN" w:bidi="ar"/>
        </w:rPr>
        <w:t xml:space="preserve">PLC模块要求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继电器模块要求：配置≥4只直流+24V继电器，开关量</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包括线圈</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接线端子全部引到面板上，并且线圈得电时有相应的指示灯指示。</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控制按钮模块要求：≥6只带绿灯自锁双刀双掷按钮开关，≥6只带红灯自复位双刀双掷按钮开关。按钮开关接线端子全部引到面板上。</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直流时间继电器模块要求：配置≥2只直流24V时间继电器，开关量（包括线圈）接线端子全部引在面板上。</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4）PLC配置要求：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板载数字量</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14点输入/10点输出、2路模拟量输入，数字量输入支持漏型/源型信号，数字量输出类型为继电器，最大阻性负载</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2A，模拟量输入支持0-10VDC信号，分辨路</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10位；支持</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8个模块扩展、1个信号板扩展、3个通讯模块；工作存储</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100kB、装载存储</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4MB、保持性存储</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10kB；过程映像</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1024字节输入/1024字节输出；支持</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6路高速计数器输入，最高100kHz；布尔运算</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0.08μs、移动字</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1.0μs、实数数学运算</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1.78μs；集成1个PROFINET端口</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10/100Mb/s自适应，支持</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12个HMI设备连接、</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8个客户端、</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4个编程设备、</w:t>
      </w:r>
      <w:r>
        <w:rPr>
          <w:rFonts w:hint="eastAsia" w:ascii="宋体" w:hAnsi="宋体" w:cs="宋体"/>
          <w:color w:val="auto"/>
          <w:sz w:val="28"/>
          <w:szCs w:val="28"/>
          <w:highlight w:val="none"/>
          <w:lang w:val="en-US" w:eastAsia="zh-CN" w:bidi="ar"/>
        </w:rPr>
        <w:t xml:space="preserve">不低于</w:t>
      </w:r>
      <w:r>
        <w:rPr>
          <w:rFonts w:hint="eastAsia" w:ascii="宋体" w:hAnsi="宋体" w:eastAsia="宋体" w:cs="宋体"/>
          <w:color w:val="auto"/>
          <w:sz w:val="28"/>
          <w:szCs w:val="28"/>
          <w:highlight w:val="none"/>
          <w:lang w:val="en-US" w:eastAsia="zh-CN" w:bidi="ar"/>
        </w:rPr>
        <w:t xml:space="preserve">8个开放连接；电源电压允许AC85-264V。PLC端子全部引到面板上。</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6</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液压控制数字孪生仿真软件要求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支持通过内置通讯驱动与外部真实PLC连接，实现通讯，主要包含型号</w:t>
      </w:r>
      <w:r>
        <w:rPr>
          <w:rFonts w:hint="eastAsia" w:ascii="宋体" w:hAnsi="宋体" w:eastAsia="宋体" w:cs="宋体"/>
          <w:b/>
          <w:bCs/>
          <w:color w:val="auto"/>
          <w:sz w:val="28"/>
          <w:szCs w:val="28"/>
          <w:highlight w:val="none"/>
          <w:lang w:val="en-US" w:eastAsia="zh-CN" w:bidi="ar"/>
        </w:rPr>
        <w:t xml:space="preserve">（在投标文件中提供不少于5种PLC型号，且均能通讯，提供截图佐证）</w:t>
      </w:r>
      <w:r>
        <w:rPr>
          <w:rFonts w:hint="eastAsia" w:ascii="宋体" w:hAnsi="宋体" w:eastAsia="宋体" w:cs="宋体"/>
          <w:color w:val="auto"/>
          <w:sz w:val="28"/>
          <w:szCs w:val="28"/>
          <w:highlight w:val="none"/>
          <w:lang w:val="en-US" w:eastAsia="zh-CN" w:bidi="ar"/>
        </w:rPr>
        <w:t xml:space="preserve">，支持与虚拟PLC连接与通讯。</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支持I/O点自由分配，非固I/O定形式，要求采用拖拽式的IO匹配功能，要求实现设备信号自由匹配到PLC的任意端口，包含数字量、模拟量等；同时可实现默认IO分配及清楚原有IO分配点。真正</w:t>
      </w:r>
      <w:r>
        <w:rPr>
          <w:rFonts w:hint="eastAsia" w:ascii="宋体" w:hAnsi="宋体" w:cs="宋体"/>
          <w:color w:val="auto"/>
          <w:sz w:val="28"/>
          <w:szCs w:val="28"/>
          <w:highlight w:val="none"/>
          <w:lang w:val="en-US" w:eastAsia="zh-CN" w:bidi="ar"/>
        </w:rPr>
        <w:t xml:space="preserve">地</w:t>
      </w:r>
      <w:r>
        <w:rPr>
          <w:rFonts w:hint="eastAsia" w:ascii="宋体" w:hAnsi="宋体" w:eastAsia="宋体" w:cs="宋体"/>
          <w:color w:val="auto"/>
          <w:sz w:val="28"/>
          <w:szCs w:val="28"/>
          <w:highlight w:val="none"/>
          <w:lang w:val="en-US" w:eastAsia="zh-CN" w:bidi="ar"/>
        </w:rPr>
        <w:t xml:space="preserve">做到PLC自由编程，虚拟界面自由动作。</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提供截图佐证。</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内部场景由现实实训1</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1搭建，贴合实际课程，所有实训设备均为实物模拟操作方式与现实器件相对应，并设置“实物PLC控制方式</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虚拟PLC控制方式”与“查看状态监控”“查看IO分配图”满足学生的需要。所有模块包含数字孪生仿真系统，包含的功能模块有虚拟PLC控制虚拟对象，真实PLC控制虚拟对象、真实PLC控制实物对象、虚拟PLC控制实物对象。</w:t>
      </w:r>
      <w:r/>
    </w:p>
    <w:p>
      <w:pPr>
        <w:ind w:left="0" w:firstLine="560"/>
        <w:jc w:val="both"/>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val="en-US" w:eastAsia="zh-CN" w:bidi="ar"/>
        </w:rPr>
        <w:t xml:space="preserve">提供支持I/O点自由分配，非固I/O定形式，要求采用拖拽式的IO匹配功能，要求实现设备信号自由匹配到PLC的任意端口，包含数字量、模拟量等</w:t>
      </w:r>
      <w:r>
        <w:rPr>
          <w:rFonts w:hint="eastAsia" w:ascii="宋体" w:hAnsi="宋体" w:eastAsia="宋体" w:cs="宋体"/>
          <w:b w:val="0"/>
          <w:bCs w:val="0"/>
          <w:color w:val="auto"/>
          <w:sz w:val="28"/>
          <w:szCs w:val="28"/>
          <w:highlight w:val="none"/>
          <w:lang w:val="en-US" w:eastAsia="zh-CN" w:bidi="ar"/>
        </w:rPr>
        <w:t xml:space="preserve">；同时可实现默认IO分配及清除/复位原有IO分配点功能</w:t>
      </w:r>
      <w:r>
        <w:rPr>
          <w:rFonts w:hint="eastAsia" w:ascii="宋体" w:hAnsi="宋体" w:cs="宋体"/>
          <w:b w:val="0"/>
          <w:bCs w:val="0"/>
          <w:color w:val="auto"/>
          <w:sz w:val="28"/>
          <w:szCs w:val="28"/>
          <w:highlight w:val="none"/>
          <w:lang w:val="en-US" w:eastAsia="zh-CN" w:bidi="ar"/>
        </w:rPr>
        <w:t xml:space="preserve">，</w:t>
      </w:r>
      <w:r>
        <w:rPr>
          <w:rFonts w:hint="eastAsia" w:ascii="宋体" w:hAnsi="宋体" w:eastAsia="宋体" w:cs="宋体"/>
          <w:b w:val="0"/>
          <w:bCs w:val="0"/>
          <w:color w:val="auto"/>
          <w:sz w:val="28"/>
          <w:szCs w:val="28"/>
          <w:highlight w:val="none"/>
          <w:lang w:val="en-US" w:eastAsia="zh-CN" w:bidi="ar"/>
        </w:rPr>
        <w:t xml:space="preserve">且软件界面上需体现“采购人学校”字样。</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5）</w:t>
      </w:r>
      <w:r>
        <w:rPr>
          <w:rFonts w:hint="eastAsia" w:ascii="宋体" w:hAnsi="宋体" w:eastAsia="宋体" w:cs="宋体"/>
          <w:color w:val="auto"/>
          <w:sz w:val="28"/>
          <w:szCs w:val="28"/>
          <w:highlight w:val="none"/>
          <w:lang w:val="en-US" w:eastAsia="zh-CN" w:bidi="ar"/>
        </w:rPr>
        <w:t xml:space="preserve">软件的源代码完全对学校开放，供学校老师二次开发，二次开发后师生具有相应知识产权，可用于其他类型成果展示及竞赛。</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▲7</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液压元件要求</w:t>
      </w:r>
      <w:r/>
    </w:p>
    <w:p>
      <w:pPr>
        <w:pStyle w:val="1011"/>
        <w:numPr>
          <w:ilvl w:val="0"/>
          <w:numId w:val="0"/>
        </w:num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要求主要包括：</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双作用单出杆液压缸组件：缸径40mm</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行程200mm，额定压力≥10MPa；≥2个；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二通流量阀（调速阀）：板式连接结构阀；最大流量至15L/min；带单向阀；≥2只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val="en-US" w:eastAsia="zh-CN" w:bidi="ar"/>
        </w:rPr>
        <w:t xml:space="preserve">二位三通电磁换向阀：板式连接结构阀；工作电压DC24V</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电磁铁可旋转90º；最高工作压力油口压力至35MPa；最大流量至80L/min；≥2只</w:t>
      </w:r>
      <w:r>
        <w:rPr>
          <w:rFonts w:hint="eastAsia" w:ascii="宋体" w:hAnsi="宋体" w:cs="宋体"/>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val="en-US" w:eastAsia="zh-CN" w:bidi="ar"/>
        </w:rPr>
        <w:t xml:space="preserve">二位四通电磁换向阀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板式连接结构阀；工作电压DC24V</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电磁铁可旋转90º；最高工作压力油口压力至35MPa；最大流量至80L/min；≥2只</w:t>
      </w:r>
      <w:r>
        <w:rPr>
          <w:rFonts w:hint="eastAsia" w:ascii="宋体" w:hAnsi="宋体" w:cs="宋体"/>
          <w:color w:val="auto"/>
          <w:sz w:val="28"/>
          <w:szCs w:val="28"/>
          <w:highlight w:val="none"/>
          <w:lang w:val="en-US" w:eastAsia="zh-CN" w:bidi="ar"/>
        </w:rPr>
        <w:t xml:space="preserve">；</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5）</w:t>
      </w:r>
      <w:r>
        <w:rPr>
          <w:rFonts w:hint="eastAsia" w:ascii="宋体" w:hAnsi="宋体" w:eastAsia="宋体" w:cs="宋体"/>
          <w:color w:val="auto"/>
          <w:sz w:val="28"/>
          <w:szCs w:val="28"/>
          <w:highlight w:val="none"/>
          <w:lang w:val="en-US" w:eastAsia="zh-CN" w:bidi="ar"/>
        </w:rPr>
        <w:t xml:space="preserve">二位四通手控换向阀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板式连接结构阀；包含、阀体、手柄、阀芯、定位器、推杆等。最高工作压力油口压力至31.5MPa；最大流量至60L/min；操纵力约20N；≥1只；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6）</w:t>
      </w:r>
      <w:r>
        <w:rPr>
          <w:rFonts w:hint="eastAsia" w:ascii="宋体" w:hAnsi="宋体" w:eastAsia="宋体" w:cs="宋体"/>
          <w:color w:val="auto"/>
          <w:sz w:val="28"/>
          <w:szCs w:val="28"/>
          <w:highlight w:val="none"/>
          <w:lang w:val="en-US" w:eastAsia="zh-CN" w:bidi="ar"/>
        </w:rPr>
        <w:t xml:space="preserve">三位四通电磁换向阀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板式连接结构阀；中位机能O型、M型；工作电压DC24V,电磁铁可旋转90º；最高工作压力油口压力至35MPa；最大流量至80L/min；各≥1只；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7）</w:t>
      </w:r>
      <w:r>
        <w:rPr>
          <w:rFonts w:hint="eastAsia" w:ascii="宋体" w:hAnsi="宋体" w:eastAsia="宋体" w:cs="宋体"/>
          <w:color w:val="auto"/>
          <w:sz w:val="28"/>
          <w:szCs w:val="28"/>
          <w:highlight w:val="none"/>
          <w:lang w:val="en-US" w:eastAsia="zh-CN" w:bidi="ar"/>
        </w:rPr>
        <w:t xml:space="preserve">三位四通电磁换向阀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板式连接结构阀；中位机能Y型</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工作电压DC24V</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电磁铁可旋转90º；最高工作压力油口压力至35MPa；最大流量至80L/min；≥1只；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8）</w:t>
      </w:r>
      <w:r>
        <w:rPr>
          <w:rFonts w:hint="eastAsia" w:ascii="宋体" w:hAnsi="宋体" w:eastAsia="宋体" w:cs="宋体"/>
          <w:color w:val="auto"/>
          <w:sz w:val="28"/>
          <w:szCs w:val="28"/>
          <w:highlight w:val="none"/>
          <w:lang w:val="en-US" w:eastAsia="zh-CN" w:bidi="ar"/>
        </w:rPr>
        <w:t xml:space="preserve">单向节流阀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板式连接结构阀；8通径；最大压力至35MPa；单向阀开启压力0.05MPa；≥1只；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9）</w:t>
      </w:r>
      <w:r>
        <w:rPr>
          <w:rFonts w:hint="eastAsia" w:ascii="宋体" w:hAnsi="宋体" w:eastAsia="宋体" w:cs="宋体"/>
          <w:color w:val="auto"/>
          <w:sz w:val="28"/>
          <w:szCs w:val="28"/>
          <w:highlight w:val="none"/>
          <w:lang w:val="en-US" w:eastAsia="zh-CN" w:bidi="ar"/>
        </w:rPr>
        <w:t xml:space="preserve">单向阀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板式连接结构阀；最高工作压力31.5MPa；单向阀开启压力0.05MPa；≥1只；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10）</w:t>
      </w:r>
      <w:r>
        <w:rPr>
          <w:rFonts w:hint="eastAsia" w:ascii="宋体" w:hAnsi="宋体" w:eastAsia="宋体" w:cs="宋体"/>
          <w:color w:val="auto"/>
          <w:sz w:val="28"/>
          <w:szCs w:val="28"/>
          <w:highlight w:val="none"/>
          <w:lang w:val="en-US" w:eastAsia="zh-CN" w:bidi="ar"/>
        </w:rPr>
        <w:t xml:space="preserve">先导式溢流阀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板式连接结构阀；工作油口压力至35MPa；调节压力至10MPa；流量至250L/min；≥1只；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11）</w:t>
      </w:r>
      <w:r>
        <w:rPr>
          <w:rFonts w:hint="eastAsia" w:ascii="宋体" w:hAnsi="宋体" w:eastAsia="宋体" w:cs="宋体"/>
          <w:color w:val="auto"/>
          <w:sz w:val="28"/>
          <w:szCs w:val="28"/>
          <w:highlight w:val="none"/>
          <w:lang w:val="en-US" w:eastAsia="zh-CN" w:bidi="ar"/>
        </w:rPr>
        <w:t xml:space="preserve">直动式溢流阀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板式连接结构阀；最高工作压力40MPa；额定流量50L/min；≥1只；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12）</w:t>
      </w:r>
      <w:r>
        <w:rPr>
          <w:rFonts w:hint="eastAsia" w:ascii="宋体" w:hAnsi="宋体" w:eastAsia="宋体" w:cs="宋体"/>
          <w:color w:val="auto"/>
          <w:sz w:val="28"/>
          <w:szCs w:val="28"/>
          <w:highlight w:val="none"/>
          <w:lang w:val="en-US" w:eastAsia="zh-CN" w:bidi="ar"/>
        </w:rPr>
        <w:t xml:space="preserve">直动式顺序阀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板式连接结构阀；包括阀体、控制阀芯、弹簧、压力设定元件、单向阀等；入口压力至31.5MPa；最大流量至60L/min；压力级100；≥2只；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13）</w:t>
      </w:r>
      <w:r>
        <w:rPr>
          <w:rFonts w:hint="eastAsia" w:ascii="宋体" w:hAnsi="宋体" w:eastAsia="宋体" w:cs="宋体"/>
          <w:color w:val="auto"/>
          <w:sz w:val="28"/>
          <w:szCs w:val="28"/>
          <w:highlight w:val="none"/>
          <w:lang w:val="en-US" w:eastAsia="zh-CN" w:bidi="ar"/>
        </w:rPr>
        <w:t xml:space="preserve">直动式减压阀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板式连接结构阀；进口压力至31.5MPa；出口压力可调至7.5MPa；最大流量至60L/min；≥1只；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14）</w:t>
      </w:r>
      <w:r>
        <w:rPr>
          <w:rFonts w:hint="eastAsia" w:ascii="宋体" w:hAnsi="宋体" w:eastAsia="宋体" w:cs="宋体"/>
          <w:color w:val="auto"/>
          <w:sz w:val="28"/>
          <w:szCs w:val="28"/>
          <w:highlight w:val="none"/>
          <w:lang w:val="en-US" w:eastAsia="zh-CN" w:bidi="ar"/>
        </w:rPr>
        <w:t xml:space="preserve">液控单向阀</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板式连接结构阀；无泄漏口；X口控制面积2.2cm2；工作压力至31.5MPa；≥2只；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15）</w:t>
      </w:r>
      <w:r>
        <w:rPr>
          <w:rFonts w:hint="eastAsia" w:ascii="宋体" w:hAnsi="宋体" w:eastAsia="宋体" w:cs="宋体"/>
          <w:color w:val="auto"/>
          <w:sz w:val="28"/>
          <w:szCs w:val="28"/>
          <w:highlight w:val="none"/>
          <w:lang w:val="en-US" w:eastAsia="zh-CN" w:bidi="ar"/>
        </w:rPr>
        <w:t xml:space="preserve">压力继电器</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最高设定压力10MPa；配有带刻度调节手柄≥；2只；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16）</w:t>
      </w:r>
      <w:r>
        <w:rPr>
          <w:rFonts w:hint="eastAsia" w:ascii="宋体" w:hAnsi="宋体" w:eastAsia="宋体" w:cs="宋体"/>
          <w:color w:val="auto"/>
          <w:sz w:val="28"/>
          <w:szCs w:val="28"/>
          <w:highlight w:val="none"/>
          <w:lang w:val="en-US" w:eastAsia="zh-CN" w:bidi="ar"/>
        </w:rPr>
        <w:t xml:space="preserve">三通:（1）45#钢材质，带弹性卡脚、铜轴、钢质半圆按钮头（厚7mm）；（2）配装3个快速接头（具有套筒锁紧结构，采用平齐阀机构操作，符合ISO16028标准）、2个带组合垫油堵；（3）外形尺寸70×70×35mm(不含卡脚)；≥4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17）</w:t>
      </w:r>
      <w:r>
        <w:rPr>
          <w:rFonts w:hint="eastAsia" w:ascii="宋体" w:hAnsi="宋体" w:eastAsia="宋体" w:cs="宋体"/>
          <w:color w:val="auto"/>
          <w:sz w:val="28"/>
          <w:szCs w:val="28"/>
          <w:highlight w:val="none"/>
          <w:lang w:val="en-US" w:eastAsia="zh-CN" w:bidi="ar"/>
        </w:rPr>
        <w:t xml:space="preserve">四通:（1）45#钢材质，带弹性卡脚、铜轴、钢质半圆按钮头（厚7mm）；（2）配装4个快速接头（具有套筒锁紧结构，采用平齐阀机构操作，符合ISO16028标准）、2个带组合垫油堵；（3）外形尺寸90×70×35mm(不含卡脚)；≥3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18）</w:t>
      </w:r>
      <w:r>
        <w:rPr>
          <w:rFonts w:hint="eastAsia" w:ascii="宋体" w:hAnsi="宋体" w:eastAsia="宋体" w:cs="宋体"/>
          <w:color w:val="auto"/>
          <w:sz w:val="28"/>
          <w:szCs w:val="28"/>
          <w:highlight w:val="none"/>
          <w:lang w:val="en-US" w:eastAsia="zh-CN" w:bidi="ar"/>
        </w:rPr>
        <w:t xml:space="preserve">液压控制阀块1:（1）45#钢材质，带弹性卡脚、铜轴、钢质半圆按钮头（厚≥7mm）；（2）配装≥3个快速接头（具有套筒锁紧结构，采用平齐阀机构操作，符合ISO16028标准）、≥3个带组合垫油堵；（3）外形尺寸≥145×100×35mm(不含卡脚)；≥1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19）</w:t>
      </w:r>
      <w:r>
        <w:rPr>
          <w:rFonts w:hint="eastAsia" w:ascii="宋体" w:hAnsi="宋体" w:eastAsia="宋体" w:cs="宋体"/>
          <w:color w:val="auto"/>
          <w:sz w:val="28"/>
          <w:szCs w:val="28"/>
          <w:highlight w:val="none"/>
          <w:lang w:val="en-US" w:eastAsia="zh-CN" w:bidi="ar"/>
        </w:rPr>
        <w:t xml:space="preserve">液压控制阀块2:（1）45#钢材质，带弹性卡脚、铜轴、钢质半圆按钮头（厚≥7mm）；（2）配装4个快速接头（具有套筒锁紧结构，采用平齐阀机构操作，符合ISO16028标准）、≥8个带组合垫油堵；（3）外形尺寸≥75×110×35mm(不含卡脚)；≥6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20）</w:t>
      </w:r>
      <w:r>
        <w:rPr>
          <w:rFonts w:hint="eastAsia" w:ascii="宋体" w:hAnsi="宋体" w:eastAsia="宋体" w:cs="宋体"/>
          <w:color w:val="auto"/>
          <w:sz w:val="28"/>
          <w:szCs w:val="28"/>
          <w:highlight w:val="none"/>
          <w:lang w:val="en-US" w:eastAsia="zh-CN" w:bidi="ar"/>
        </w:rPr>
        <w:t xml:space="preserve">液压控制阀块3:（1）45#钢材质，带弹性卡脚、铜轴、钢质半圆按钮头（≥厚7mm）；（2）配装≥2个快速接头（具有套筒锁紧结构，采用平齐阀机构操作，符合ISO16028标准）、≥2个带组合垫油堵；（3）外形尺寸≥130×70×35mm(不含卡脚)；≥2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21)液压控制阀块4:（1）45#钢材质，带弹性卡脚、铜轴、钢质半圆按钮头（厚≥7mm）；（2）配装≥2个快速接头（具有套筒锁紧结构，采用平齐阀机构操作，符合ISO16028标准）、≥2个带组合垫油堵；（3）外形尺寸≥155×70×35mm(不含卡脚)；≥2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22)液压控制阀块5:（1）45#钢材质，带弹性卡脚、铜轴、钢质半圆按钮头（厚≥7mm）；（2）配装≥2个快速接头（具有套筒锁紧结构，采用平齐阀机构操作，符合ISO16028标准）、≥2个带组合垫油堵；（3）外形尺寸≥125×70×35mm(不含卡脚)；≥1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23)液压控制阀块6:（1）45#钢材质，带弹性卡脚、铜轴、钢质半圆按钮头（厚≥7mm）；（2）配装≥3个快速接头（具有套筒锁紧结构，采用平齐阀机构操作，符合ISO16028标准）、≥3个带组合垫油堵；（3）外形尺寸≥150×70×35mm(不含卡脚)；≥2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24)液压控制阀块7:（1）45#钢材质，带弹性卡脚、铜轴、钢质半圆按钮头（厚≥7mm）；（2）配装≥1个快速接头（具有套筒锁紧结构，采用平齐阀机构操作，符合ISO16028标准）、≥1个带组合垫油堵；（3）外形尺寸≥70×70×35mm(不含卡脚)；≥2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25)液压控制阀块8:（1）45#钢材质，带弹性卡脚、铜轴、钢质半圆按钮头（厚≥7mm）；（2）配装≥2个快速接头（具有套筒锁紧结构，采用平齐阀机构操作，符合ISO16028标准）、≥2个带组合垫油堵；（3）外形尺寸≥110×70×35mm(不含卡脚)；≥1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26)液压控制阀块9：（1）45#钢材质，带弹性卡脚、铜轴、钢质半圆按钮头（厚≥7mm）；（2）配装≥3个快速接头（具有套筒锁紧结构，采用平齐阀机构操作，符合ISO16028标准）、≥5个带组合垫油堵；（3）外形尺寸≥110×70×35mm(不含卡脚)；≥1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27)油缸加载附件：45#钢材质，≥1个；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28)耐震压力表：10MPa，≥2个；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29)电磁流量计：DN6，0.1-0.6m3/h，DC24V/带数显，≥1套；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30）空气过滤器：≥1个；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31）吸油滤油器：≥1个；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32）电源插排：AC250V 三孔，≥1个；</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33）油管（1.5m）：≥3条；</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34）三位四通手动换向阀（H型、O型）：各≥1个；</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投标时提供带液压控制阀块的照片不少于5张</w:t>
      </w:r>
      <w:r>
        <w:rPr>
          <w:rFonts w:hint="eastAsia" w:ascii="宋体" w:hAnsi="宋体" w:eastAsia="宋体" w:cs="宋体"/>
          <w:color w:val="auto"/>
          <w:sz w:val="28"/>
          <w:szCs w:val="28"/>
          <w:highlight w:val="none"/>
          <w:lang w:val="en-US" w:eastAsia="zh-CN" w:bidi="ar"/>
        </w:rPr>
        <w:t xml:space="preserve">。</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8.</w:t>
      </w:r>
      <w:r>
        <w:rPr>
          <w:rFonts w:hint="eastAsia" w:ascii="宋体" w:hAnsi="宋体" w:eastAsia="宋体" w:cs="宋体"/>
          <w:b/>
          <w:bCs/>
          <w:color w:val="auto"/>
          <w:sz w:val="28"/>
          <w:szCs w:val="28"/>
          <w:highlight w:val="none"/>
          <w:lang w:val="en-US" w:eastAsia="zh-CN" w:bidi="ar"/>
        </w:rPr>
        <w:t xml:space="preserve">实操工具配件</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1)实操导线：护套结构，≥1包；</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2)内六角扳手：九件套装，≥1套；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3)活动扳手：0-150mm，≥1把；</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4)活动扳手：0-250mm，≥1把；</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5)高压胶管：通径6，≥20根；</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6)实操指导书：与设备配套，≥1本；</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7)发货U盘：指导书等，≥1个/批；</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8）螺丝刀（九件套）：≥1套；</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9）尖嘴钳：≥1把。</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9.</w:t>
      </w:r>
      <w:r>
        <w:rPr>
          <w:rFonts w:hint="eastAsia" w:ascii="宋体" w:hAnsi="宋体" w:eastAsia="宋体" w:cs="宋体"/>
          <w:b/>
          <w:bCs/>
          <w:color w:val="auto"/>
          <w:sz w:val="28"/>
          <w:szCs w:val="28"/>
          <w:highlight w:val="none"/>
          <w:lang w:val="en-US" w:eastAsia="zh-CN" w:bidi="ar"/>
        </w:rPr>
        <w:t xml:space="preserve">完成的典型实训项目（可自行设计搭建其他液压控制回路）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液压传动演示系统的搭建及分析</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液压传动基本回路系统的搭建及分析和设计</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1)压力控制回路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(1)简单的压力调节回路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(2)采用多个溢流阀的调压回路（二级调压回路）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(3)采用减压阀的减压回路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(4)采用换向阀的卸荷回路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(5)采用先导式溢流阀的卸荷回路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(6)采用顺序阀的平衡回路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(7)采用液控单向阀的保压回路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2)速度调节回路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(1)节流阀的节流调速回路(定压节流调速、变压节流调速)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(2)调速阀的调速回路(定压节流调速、变压节流调速)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(3)调速阀短接速度换接回路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(4)调速阀串联的速度换接回路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(5)调速阀并联的速度换接回路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(6)差动快速回路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(7)节流调速回路性能实验：节流阀安装在进油路、回油路、旁路油路、进口油路上时（分别安装在四种油路上），分别调节速度及负载的大小，并测量。列表画出速度—负载曲线（V—P曲线）。</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3)方向控制回路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4)锁紧回路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5)双缸工作控制回路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(1)采用顺序阀的顺序动作回路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(2)采用电器行程开关的顺序动作回路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(3)压力继电器顺序动作回路</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(4)液压缸同步回路 </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6)继电器控制液压基本回路的分析及控制逻辑</w:t>
      </w:r>
      <w:r/>
    </w:p>
    <w:p>
      <w:pPr>
        <w:numPr>
          <w:ilvl w:val="0"/>
          <w:numId w:val="0"/>
        </w:numPr>
        <w:ind w:left="0" w:firstLine="562"/>
        <w:jc w:val="both"/>
        <w:keepLines w:val="0"/>
        <w:keepNext w:val="0"/>
        <w:pageBreakBefore w:val="0"/>
        <w:spacing w:line="460" w:lineRule="exact"/>
        <w:widowControl w:val="off"/>
        <w:rPr>
          <w:rFonts w:hint="eastAsia" w:ascii="宋体" w:hAnsi="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10.液压中控操作平台</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操作台要求满足</w:t>
      </w:r>
      <w:r>
        <w:rPr>
          <w:rFonts w:hint="eastAsia" w:ascii="宋体" w:hAnsi="宋体" w:cs="宋体"/>
          <w:color w:val="auto"/>
          <w:sz w:val="28"/>
          <w:szCs w:val="28"/>
          <w:highlight w:val="none"/>
          <w:lang w:val="en-US" w:eastAsia="zh-CN" w:bidi="ar"/>
        </w:rPr>
        <w:t xml:space="preserve">液压</w:t>
      </w:r>
      <w:r>
        <w:rPr>
          <w:rFonts w:hint="eastAsia" w:ascii="宋体" w:hAnsi="宋体" w:eastAsia="宋体" w:cs="宋体"/>
          <w:color w:val="auto"/>
          <w:sz w:val="28"/>
          <w:szCs w:val="28"/>
          <w:highlight w:val="none"/>
          <w:lang w:val="en-US" w:eastAsia="zh-CN" w:bidi="ar"/>
        </w:rPr>
        <w:t xml:space="preserve">实训台中软件的运行（如</w:t>
      </w:r>
      <w:r>
        <w:rPr>
          <w:rFonts w:hint="eastAsia" w:ascii="宋体" w:hAnsi="宋体" w:cs="宋体"/>
          <w:color w:val="auto"/>
          <w:sz w:val="28"/>
          <w:szCs w:val="28"/>
          <w:highlight w:val="none"/>
          <w:lang w:val="en-US" w:eastAsia="zh-CN" w:bidi="ar"/>
        </w:rPr>
        <w:t xml:space="preserve">液压</w:t>
      </w:r>
      <w:r>
        <w:rPr>
          <w:rFonts w:hint="eastAsia" w:ascii="宋体" w:hAnsi="宋体" w:eastAsia="宋体" w:cs="宋体"/>
          <w:color w:val="auto"/>
          <w:sz w:val="28"/>
          <w:szCs w:val="28"/>
          <w:highlight w:val="none"/>
          <w:lang w:val="en-US" w:eastAsia="zh-CN" w:bidi="ar"/>
        </w:rPr>
        <w:t xml:space="preserve">虚拟仿真平台，PLC</w:t>
      </w:r>
      <w:r>
        <w:rPr>
          <w:rFonts w:hint="eastAsia" w:ascii="宋体" w:hAnsi="宋体" w:cs="宋体"/>
          <w:color w:val="auto"/>
          <w:sz w:val="28"/>
          <w:szCs w:val="28"/>
          <w:highlight w:val="none"/>
          <w:lang w:val="en-US" w:eastAsia="zh-CN" w:bidi="ar"/>
        </w:rPr>
        <w:t xml:space="preserve">编程软件</w:t>
      </w:r>
      <w:r>
        <w:rPr>
          <w:rFonts w:hint="eastAsia" w:ascii="宋体" w:hAnsi="宋体" w:eastAsia="宋体" w:cs="宋体"/>
          <w:color w:val="auto"/>
          <w:sz w:val="28"/>
          <w:szCs w:val="28"/>
          <w:highlight w:val="none"/>
          <w:lang w:val="en-US" w:eastAsia="zh-CN" w:bidi="ar"/>
        </w:rPr>
        <w:t xml:space="preserve">等）。</w:t>
      </w:r>
      <w:r/>
    </w:p>
    <w:p>
      <w:pPr>
        <w:pStyle w:val="1011"/>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11</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教学资源要求</w:t>
      </w:r>
      <w:r/>
    </w:p>
    <w:p>
      <w:pPr>
        <w:numPr>
          <w:ilvl w:val="0"/>
          <w:numId w:val="0"/>
        </w:numPr>
        <w:ind w:left="0" w:firstLine="560"/>
        <w:jc w:val="left"/>
        <w:keepLines w:val="0"/>
        <w:keepNext w:val="0"/>
        <w:pageBreakBefore w:val="0"/>
        <w:spacing w:line="460" w:lineRule="exact"/>
        <w:shd w:val="clear" w:color="auto" w:fill="fdfdfe"/>
        <w:widowControl/>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1）提供1套液压与气动彩色挂图，包括</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10个常用液压与气动元件的结构原理图和爆炸图；</w:t>
      </w:r>
      <w:r/>
    </w:p>
    <w:p>
      <w:pPr>
        <w:numPr>
          <w:ilvl w:val="0"/>
          <w:numId w:val="0"/>
        </w:numPr>
        <w:ind w:left="0" w:firstLine="560"/>
        <w:jc w:val="left"/>
        <w:keepLines w:val="0"/>
        <w:keepNext w:val="0"/>
        <w:pageBreakBefore w:val="0"/>
        <w:spacing w:line="460" w:lineRule="exact"/>
        <w:shd w:val="clear" w:color="auto" w:fill="fdfdfe"/>
        <w:widowControl/>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2）提供</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1套液压与气动实训台教程、</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1套操作说明书、</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1套操作安全规程、保养手册等培训资料。</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12</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教学软件要求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要求基于液压气动的虚拟仿真软件，是在3D开发软件下制作，可根据控制方式进行虚实结合的运行。仿真平台可以适用于PC客户端、VR客户端、云端等进行虚拟操作，软件为中文界面，适用的软件环境广。</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1)液压仿真实训功能要求</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包含：实训项目选择菜单、模型选择区、工具选择区、得分显示区、错误提示区、自动接线等。其中液压仿真总共包含了</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12个实训项目；用户根据不同实训项目的原理图选择相对于的模型和正确的接线方式。模型选择区包含</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19种器件，用户根据不同的实训项目需要选择模型，且可根据需要进行选型评分；模型菜单可以隐藏为用户提供清晰的实训视角，需要放置模型时可以点击显示出来。工具选择区包含导线和油管，线材和油管又分为不同的颜色能让用户更容易区分线路。用户需要按照原理图进行接线和气管。具有智能评分显示和错误提示功能，同时，为方便实训，提供一键自动示教功能。</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2)气动仿真实训功能要求</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包含：实训项目选择菜单、模型选择区、工具选择区、得分显示区、错误提示区、自动接线等。其中气动仿真总共包含了</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13个实训项目；用户根据不同实训项目的原理图选择相对于的模型和正确的接线方式。模型选择区包含</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19种器件，用户根据不同的实训项目需要选择模型，且可根据需要进行选型评分；模型菜单可以隐藏为用户提供清晰的实训视角，需要放置模型时可以点击显示出来。工具选择区包含导线和气管，线材和气管又分为不同的颜色能让用户更容易区分线路。用户需要按照原理图进行接线和气管。具有得分显示和错误提示功能，同时，为方便实训，提供一键自动实训功能</w:t>
      </w:r>
      <w:r>
        <w:rPr>
          <w:rFonts w:hint="eastAsia" w:ascii="宋体" w:hAnsi="宋体" w:eastAsia="宋体" w:cs="宋体"/>
          <w:b/>
          <w:bCs/>
          <w:color w:val="auto"/>
          <w:sz w:val="28"/>
          <w:szCs w:val="28"/>
          <w:highlight w:val="none"/>
          <w:lang w:val="en-US" w:eastAsia="zh-CN" w:bidi="ar"/>
        </w:rPr>
        <w:t xml:space="preserve">。</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3)阀块示教功能</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阀块示教中共计包含有</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30多种液压阀块和气动阀块，每个阀块又包含有：实物图、剖视图和文字介绍，用户可以旋转、放大缩小、平移阀块模型，每个阀块阀体都采用透明材质，用户可以直观清晰地了解内部结构。</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4)集成教学视频功能</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软件中集成教学视频功能，包含有液压和气动共计</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20多种经典实训项目的实际接线操作步骤，辅助实训及教学示教，能让用户更贴近现实地体验到液压气动的知识。</w:t>
      </w:r>
      <w:r/>
    </w:p>
    <w:p>
      <w:pPr>
        <w:ind w:left="0" w:firstLine="562"/>
        <w:jc w:val="both"/>
        <w:keepLines w:val="0"/>
        <w:keepNext w:val="0"/>
        <w:pageBreakBefore w:val="0"/>
        <w:spacing w:line="460" w:lineRule="exact"/>
        <w:widowControl w:val="off"/>
        <w:rPr>
          <w:rFonts w:hint="default"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5）教学软件免费接入学校现有虚拟仿真平台，投标时提供承诺函（格式自拟），未提供作无效标处理。</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以上1）、2）、3）、4）需进行视频功能演示部分。</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13</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气液一体化仿真软件要求</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（1）软件有两个主界面，分别为主界面和实训界面，在主界面中包含有使用说明、联系我们子选项，用户可以查看教程以及联系方式。</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（2）要求本软件要求进入实训界面后用户可以实现PLC控制模型或者调试状态下手动控制模型。</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1）设置变频器</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用户可以点击设置变频器按钮打开变频器设置界面，用户可以根据提示中的电压、电流、功率、频率和转速要求进行设置</w:t>
      </w:r>
      <w:r>
        <w:rPr>
          <w:rFonts w:hint="eastAsia" w:ascii="宋体" w:hAnsi="宋体" w:eastAsia="宋体" w:cs="宋体"/>
          <w:b/>
          <w:bCs/>
          <w:color w:val="auto"/>
          <w:sz w:val="28"/>
          <w:szCs w:val="28"/>
          <w:highlight w:val="none"/>
          <w:lang w:val="en-US" w:eastAsia="zh-CN" w:bidi="ar"/>
        </w:rPr>
        <w:t xml:space="preserve">。</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2）调试模型</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用户可以在调试模式下，手动控制电机、气缸、液压缸和警示灯的状态，直接点击名称右侧的开关按钮就能实现开关状态的快速切换。方便用户了解各个执行机构的运动方式。</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3）视图快速定位</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用户除了可以使用鼠标缩放、旋转、平移模型外，还可以点击右下方视图快捷方式来实现快速定位到某个指定的方向视图，方便用户更方便观察模型。</w:t>
      </w:r>
      <w:r/>
    </w:p>
    <w:p>
      <w:pPr>
        <w:ind w:left="0" w:firstLine="562"/>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4）PLC仿真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用户可以点击虚拟PLC按钮或者实物PLC按钮来连接虚拟PLC或实物PLC，然后就能通过PLC程序控制模型的运动，用户可以实时监控I/O状态和查看I/O分配图。</w:t>
      </w:r>
      <w:r/>
    </w:p>
    <w:p>
      <w:pPr>
        <w:ind w:left="0" w:firstLine="562"/>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以上1）、2）、4）需进行视频功能演示部分。</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14</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液压气动电气拓展实训系统</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1）要求软件基于3D界面制作，可以从模型库中拖拽方式选择所需要的器件，库中模型</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21个，具有手动接线和自动接线演示，同时提供原理图进行参考，让学生掌握识图选器件并接线的知识点，具备考核功能，本软件总共有两个界面，分别为登录界面和仿真界面，用户需要在登录界面填入正确的账号和密码才能正常使用本软件，仿真界面包含有：实训项目选择菜单、模型选择区、线材工具选择区、得分显示区、错误提示区等。</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提供功能截图。</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2）软件总共需包含</w:t>
      </w:r>
      <w:r>
        <w:rPr>
          <w:rFonts w:hint="eastAsia" w:ascii="宋体" w:hAnsi="宋体" w:cs="宋体"/>
          <w:color w:val="auto"/>
          <w:sz w:val="28"/>
          <w:szCs w:val="28"/>
          <w:highlight w:val="none"/>
          <w:lang w:val="en-US" w:eastAsia="zh-CN" w:bidi="ar"/>
        </w:rPr>
        <w:t xml:space="preserve">不少于</w:t>
      </w:r>
      <w:r>
        <w:rPr>
          <w:rFonts w:hint="eastAsia" w:ascii="宋体" w:hAnsi="宋体" w:eastAsia="宋体" w:cs="宋体"/>
          <w:color w:val="auto"/>
          <w:sz w:val="28"/>
          <w:szCs w:val="28"/>
          <w:highlight w:val="none"/>
          <w:lang w:val="en-US" w:eastAsia="zh-CN" w:bidi="ar"/>
        </w:rPr>
        <w:t xml:space="preserve">2</w:t>
      </w:r>
      <w:r>
        <w:rPr>
          <w:rFonts w:hint="eastAsia" w:ascii="宋体" w:hAnsi="宋体" w:cs="宋体"/>
          <w:color w:val="auto"/>
          <w:sz w:val="28"/>
          <w:szCs w:val="28"/>
          <w:highlight w:val="none"/>
          <w:lang w:val="en-US" w:eastAsia="zh-CN" w:bidi="ar"/>
        </w:rPr>
        <w:t xml:space="preserve">0</w:t>
      </w:r>
      <w:r>
        <w:rPr>
          <w:rFonts w:hint="eastAsia" w:ascii="宋体" w:hAnsi="宋体" w:eastAsia="宋体" w:cs="宋体"/>
          <w:color w:val="auto"/>
          <w:sz w:val="28"/>
          <w:szCs w:val="28"/>
          <w:highlight w:val="none"/>
          <w:lang w:val="en-US" w:eastAsia="zh-CN" w:bidi="ar"/>
        </w:rPr>
        <w:t xml:space="preserve">个实训项目，</w:t>
      </w:r>
      <w:r>
        <w:rPr>
          <w:rFonts w:hint="eastAsia" w:ascii="宋体" w:hAnsi="宋体" w:eastAsia="宋体" w:cs="宋体"/>
          <w:b/>
          <w:bCs/>
          <w:color w:val="auto"/>
          <w:sz w:val="28"/>
          <w:szCs w:val="28"/>
          <w:highlight w:val="none"/>
          <w:lang w:val="en-US" w:eastAsia="zh-CN" w:bidi="ar"/>
        </w:rPr>
        <w:t xml:space="preserve">投标时提供能满足要求的详细实训名称</w:t>
      </w:r>
      <w:r>
        <w:rPr>
          <w:rFonts w:hint="eastAsia" w:ascii="宋体" w:hAnsi="宋体" w:eastAsia="宋体" w:cs="宋体"/>
          <w:color w:val="auto"/>
          <w:sz w:val="28"/>
          <w:szCs w:val="28"/>
          <w:highlight w:val="none"/>
          <w:lang w:val="en-US" w:eastAsia="zh-CN" w:bidi="ar"/>
        </w:rPr>
        <w:t xml:space="preserve">。用户根据不同实训项目的原理图选择相对应的模型和正确的接线方式。</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3）模型选择区需包含二十多种器件模型名称，</w:t>
      </w:r>
      <w:r>
        <w:rPr>
          <w:rFonts w:hint="eastAsia" w:ascii="宋体" w:hAnsi="宋体" w:eastAsia="宋体" w:cs="宋体"/>
          <w:b/>
          <w:bCs/>
          <w:color w:val="auto"/>
          <w:sz w:val="28"/>
          <w:szCs w:val="28"/>
          <w:highlight w:val="none"/>
          <w:lang w:val="en-US" w:eastAsia="zh-CN" w:bidi="ar"/>
        </w:rPr>
        <w:t xml:space="preserve">投标时列出二十多种详细的器件模型名称，同时提供功能截图</w:t>
      </w:r>
      <w:r>
        <w:rPr>
          <w:rFonts w:hint="eastAsia" w:ascii="宋体" w:hAnsi="宋体" w:eastAsia="宋体" w:cs="宋体"/>
          <w:color w:val="auto"/>
          <w:sz w:val="28"/>
          <w:szCs w:val="28"/>
          <w:highlight w:val="none"/>
          <w:lang w:val="en-US" w:eastAsia="zh-CN" w:bidi="ar"/>
        </w:rPr>
        <w:t xml:space="preserve">。用户根据不同的实训项目需要选择模型，如果选错或者多选得分扣一分，如果已经选择模型还没放到面板上，可以按ESC键取消该模型并重新选择模型。</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线材工具选择：用户可以根据原理图进行接线，线材工具区包含有黄、绿、红、蓝、黑5种颜色导线，可以避免在线路复杂时分不清线材导通电路。用户需要严格按照原理图进行接线，如果接错扣一分并删除该导线。用户可以在选出线材后或者接好一头时按ESC键取消该导线。</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提供功能截图。</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5）智能评分：得分默认为100，模型或导线选择错误时会扣1，用户进行实验中切换到另一个实训项目时得分会恢复到100并清空之前实验的模型和线材。</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提供功能截图。</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6）一键示教功能：每一个实训项目对应一个自动接线功能，用户可以点击启用自动接线按钮，软件系统会自动生成该实训的模型和线材，用户可以在自动接线中进行仿真，能让用户更直观的观察实验现象。</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提供功能截图。</w:t>
      </w:r>
      <w:r/>
    </w:p>
    <w:p>
      <w:pPr>
        <w:ind w:left="0" w:firstLine="560"/>
        <w:jc w:val="both"/>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15</w:t>
      </w:r>
      <w:r>
        <w:rPr>
          <w:rFonts w:hint="eastAsia" w:ascii="宋体" w:hAnsi="宋体" w:cs="宋体"/>
          <w:b/>
          <w:bCs/>
          <w:color w:val="auto"/>
          <w:sz w:val="28"/>
          <w:szCs w:val="28"/>
          <w:highlight w:val="none"/>
          <w:lang w:val="en-US" w:eastAsia="zh-CN" w:bidi="ar"/>
        </w:rPr>
        <w:t xml:space="preserve">.</w:t>
      </w:r>
      <w:r>
        <w:rPr>
          <w:rFonts w:hint="eastAsia" w:ascii="宋体" w:hAnsi="宋体" w:eastAsia="宋体" w:cs="宋体"/>
          <w:b/>
          <w:bCs/>
          <w:color w:val="auto"/>
          <w:sz w:val="28"/>
          <w:szCs w:val="28"/>
          <w:highlight w:val="none"/>
          <w:lang w:val="en-US" w:eastAsia="zh-CN" w:bidi="ar"/>
        </w:rPr>
        <w:t xml:space="preserve">教学资源要求</w:t>
      </w:r>
      <w:r/>
    </w:p>
    <w:p>
      <w:pPr>
        <w:ind w:left="0" w:firstLine="560"/>
        <w:jc w:val="both"/>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虚拟多功能实训模拟系统资源包</w:t>
      </w:r>
      <w:r>
        <w:rPr>
          <w:rFonts w:hint="eastAsia" w:ascii="宋体" w:hAnsi="宋体" w:eastAsia="宋体" w:cs="宋体"/>
          <w:b/>
          <w:bCs/>
          <w:color w:val="auto"/>
          <w:sz w:val="28"/>
          <w:szCs w:val="28"/>
          <w:highlight w:val="none"/>
          <w:lang w:val="en-US" w:eastAsia="zh-CN" w:bidi="ar"/>
        </w:rPr>
        <w:t xml:space="preserve">(</w:t>
      </w:r>
      <w:r>
        <w:rPr>
          <w:rFonts w:hint="eastAsia" w:ascii="宋体" w:hAnsi="宋体" w:cs="宋体"/>
          <w:b/>
          <w:bCs/>
          <w:color w:val="auto"/>
          <w:sz w:val="28"/>
          <w:szCs w:val="28"/>
          <w:highlight w:val="none"/>
          <w:lang w:val="en-US" w:eastAsia="zh-CN" w:bidi="ar"/>
        </w:rPr>
        <w:t xml:space="preserve">投标时</w:t>
      </w:r>
      <w:r>
        <w:rPr>
          <w:rFonts w:hint="eastAsia" w:ascii="宋体" w:hAnsi="宋体" w:eastAsia="宋体" w:cs="宋体"/>
          <w:b/>
          <w:bCs/>
          <w:color w:val="auto"/>
          <w:sz w:val="28"/>
          <w:szCs w:val="28"/>
          <w:highlight w:val="none"/>
          <w:lang w:val="en-US" w:eastAsia="zh-CN" w:bidi="ar"/>
        </w:rPr>
        <w:t xml:space="preserve">提供软件功能界面图不少于 5张) 。</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资源包含“液压气动教学培训模块”“三维虚拟仿真训练模块”“电器元件基础实训模块”“网络智能考核系统模块”“互联网大数据搜索引擎”“项目设备详情介绍模块”。可以充当教学学习满足学生对液压气动基础教学、实训教学、设备介绍、设备使用指导、智能考核、互联网引擎搜索等需求。“(DBMS)互联网智能虚拟实训考核系统”为密码登录可</w:t>
      </w:r>
      <w:r>
        <w:rPr>
          <w:rFonts w:hint="eastAsia" w:ascii="宋体" w:hAnsi="宋体" w:cs="宋体"/>
          <w:color w:val="auto"/>
          <w:sz w:val="28"/>
          <w:szCs w:val="28"/>
          <w:highlight w:val="none"/>
          <w:lang w:val="en-US" w:eastAsia="zh-CN" w:bidi="ar"/>
        </w:rPr>
        <w:t xml:space="preserve">短时间</w:t>
      </w:r>
      <w:r>
        <w:rPr>
          <w:rFonts w:hint="eastAsia" w:ascii="宋体" w:hAnsi="宋体" w:eastAsia="宋体" w:cs="宋体"/>
          <w:color w:val="auto"/>
          <w:sz w:val="28"/>
          <w:szCs w:val="28"/>
          <w:highlight w:val="none"/>
          <w:lang w:val="en-US" w:eastAsia="zh-CN" w:bidi="ar"/>
        </w:rPr>
        <w:t xml:space="preserve">保存密码方便下次登录，也可以删除原有密码</w:t>
      </w:r>
      <w:r>
        <w:rPr>
          <w:rFonts w:hint="eastAsia" w:ascii="宋体" w:hAnsi="宋体" w:cs="宋体"/>
          <w:color w:val="auto"/>
          <w:sz w:val="28"/>
          <w:szCs w:val="28"/>
          <w:highlight w:val="none"/>
          <w:lang w:val="en-US" w:eastAsia="zh-CN" w:bidi="ar"/>
        </w:rPr>
        <w:t xml:space="preserve">防止</w:t>
      </w:r>
      <w:r>
        <w:rPr>
          <w:rFonts w:hint="eastAsia" w:ascii="宋体" w:hAnsi="宋体" w:eastAsia="宋体" w:cs="宋体"/>
          <w:color w:val="auto"/>
          <w:sz w:val="28"/>
          <w:szCs w:val="28"/>
          <w:highlight w:val="none"/>
          <w:lang w:val="en-US" w:eastAsia="zh-CN" w:bidi="ar"/>
        </w:rPr>
        <w:t xml:space="preserve">密码外泄。</w:t>
      </w:r>
      <w:r/>
    </w:p>
    <w:p>
      <w:pPr>
        <w:numPr>
          <w:ilvl w:val="0"/>
          <w:numId w:val="0"/>
        </w:numPr>
        <w:ind w:left="0" w:firstLine="560"/>
        <w:keepLines w:val="0"/>
        <w:keepNext w:val="0"/>
        <w:pageBreakBefore w:val="0"/>
        <w:spacing w:line="460" w:lineRule="exact"/>
        <w:rPr>
          <w:rFonts w:hint="eastAsia" w:ascii="宋体" w:hAnsi="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16</w:t>
      </w:r>
      <w:r>
        <w:rPr>
          <w:rFonts w:hint="eastAsia" w:ascii="宋体" w:hAnsi="宋体" w:cs="宋体"/>
          <w:color w:val="auto"/>
          <w:sz w:val="28"/>
          <w:szCs w:val="28"/>
          <w:highlight w:val="none"/>
          <w:lang w:val="en-US" w:eastAsia="zh-CN" w:bidi="ar"/>
        </w:rPr>
        <w:t xml:space="preserve">.液压易损件（供应商中标后需提供，请供应商对此做出承诺，否则做无效标处理）。</w:t>
      </w:r>
      <w:r/>
    </w:p>
    <w:tbl>
      <w:tblPr>
        <w:tblStyle w:val="953"/>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99"/>
        <w:gridCol w:w="2600"/>
        <w:gridCol w:w="1650"/>
        <w:gridCol w:w="1671"/>
      </w:tblGrid>
      <w:tr>
        <w:trPr>
          <w:jc w:val="center"/>
          <w:trHeight w:val="604"/>
        </w:trPr>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对丝接头</w:t>
            </w:r>
            <w:r/>
          </w:p>
        </w:tc>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r>
        <w:trPr>
          <w:jc w:val="center"/>
          <w:trHeight w:val="604"/>
        </w:trPr>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组合垫</w:t>
            </w:r>
            <w:r/>
          </w:p>
        </w:tc>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r>
        <w:trPr>
          <w:jc w:val="center"/>
          <w:trHeight w:val="564"/>
        </w:trPr>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油缸接头</w:t>
            </w:r>
            <w:r/>
          </w:p>
        </w:tc>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r>
        <w:trPr>
          <w:jc w:val="center"/>
          <w:trHeight w:val="604"/>
        </w:trPr>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O型密封圈</w:t>
            </w:r>
            <w:r/>
          </w:p>
        </w:tc>
        <w:tc>
          <w:tcPr>
            <w:tcBorders>
              <w:top w:val="single" w:color="auto" w:sz="4" w:space="0"/>
              <w:left w:val="single" w:color="auto" w:sz="4" w:space="0"/>
              <w:bottom w:val="single" w:color="auto" w:sz="4" w:space="0"/>
              <w:right w:val="single" w:color="auto" w:sz="4" w:space="0"/>
            </w:tcBorders>
            <w:tcW w:w="1525"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r>
            <w:r/>
          </w:p>
        </w:tc>
      </w:tr>
    </w:tbl>
    <w:p>
      <w:pPr>
        <w:ind w:firstLine="562"/>
        <w:spacing w:line="460" w:lineRule="exact"/>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四、售后服务</w:t>
      </w:r>
      <w:r/>
    </w:p>
    <w:p>
      <w:pPr>
        <w:ind w:left="0" w:firstLine="560"/>
        <w:keepLines w:val="0"/>
        <w:keepNext w:val="0"/>
        <w:pageBreakBefore w:val="0"/>
        <w:spacing w:line="460" w:lineRule="exact"/>
        <w:rPr>
          <w:rFonts w:hint="eastAsia" w:ascii="宋体" w:hAnsi="宋体" w:eastAsia="宋体" w:cs="宋体"/>
          <w:color w:val="auto"/>
          <w:sz w:val="28"/>
          <w:szCs w:val="28"/>
          <w:highlight w:val="none"/>
          <w:u w:val="single"/>
          <w:lang w:val="en-US" w:eastAsia="zh-CN" w:bidi="ar"/>
        </w:rPr>
      </w:pPr>
      <w:r>
        <w:rPr>
          <w:rFonts w:hint="eastAsia" w:ascii="宋体" w:hAnsi="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val="en-US" w:eastAsia="zh-CN" w:bidi="ar"/>
        </w:rPr>
        <w:t xml:space="preserve">质量要求、技术标准、</w:t>
      </w:r>
      <w:r>
        <w:rPr>
          <w:rFonts w:hint="eastAsia" w:ascii="宋体" w:hAnsi="宋体" w:cs="宋体"/>
          <w:color w:val="auto"/>
          <w:sz w:val="28"/>
          <w:szCs w:val="28"/>
          <w:highlight w:val="none"/>
          <w:lang w:val="en-US" w:eastAsia="zh-CN" w:bidi="ar"/>
        </w:rPr>
        <w:t xml:space="preserve">供应商</w:t>
      </w:r>
      <w:r>
        <w:rPr>
          <w:rFonts w:hint="eastAsia" w:ascii="宋体" w:hAnsi="宋体" w:eastAsia="宋体" w:cs="宋体"/>
          <w:color w:val="auto"/>
          <w:sz w:val="28"/>
          <w:szCs w:val="28"/>
          <w:highlight w:val="none"/>
          <w:lang w:val="en-US" w:eastAsia="zh-CN" w:bidi="ar"/>
        </w:rPr>
        <w:t xml:space="preserve">对质量负责的条件和期限：</w:t>
      </w:r>
      <w:r>
        <w:rPr>
          <w:rFonts w:hint="eastAsia" w:ascii="宋体" w:hAnsi="宋体" w:eastAsia="宋体" w:cs="宋体"/>
          <w:color w:val="auto"/>
          <w:sz w:val="28"/>
          <w:szCs w:val="28"/>
          <w:highlight w:val="none"/>
          <w:u w:val="single"/>
          <w:lang w:val="en-US" w:eastAsia="zh-CN" w:bidi="ar"/>
        </w:rPr>
        <w:t xml:space="preserve">所提供货品为原厂原包装，货物自验收合格日起质保期叁年。</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val="en-US" w:eastAsia="zh-CN" w:bidi="ar"/>
        </w:rPr>
        <w:t xml:space="preserve">其他要求：</w:t>
      </w:r>
      <w:r>
        <w:rPr>
          <w:rFonts w:hint="eastAsia" w:ascii="宋体" w:hAnsi="宋体" w:eastAsia="宋体" w:cs="宋体"/>
          <w:color w:val="auto"/>
          <w:sz w:val="28"/>
          <w:szCs w:val="28"/>
          <w:highlight w:val="none"/>
          <w:u w:val="single"/>
          <w:lang w:val="en-US" w:eastAsia="zh-CN" w:bidi="ar"/>
        </w:rPr>
        <w:t xml:space="preserve">其他小型、通用的气动与液压元件质保期一年</w:t>
      </w:r>
      <w:r>
        <w:rPr>
          <w:rFonts w:hint="eastAsia" w:ascii="宋体" w:hAnsi="宋体" w:cs="宋体"/>
          <w:color w:val="auto"/>
          <w:sz w:val="28"/>
          <w:szCs w:val="28"/>
          <w:highlight w:val="none"/>
          <w:lang w:val="en-US" w:eastAsia="zh-CN" w:bidi="ar"/>
        </w:rPr>
        <w:t xml:space="preserve">。</w:t>
      </w:r>
      <w:r/>
    </w:p>
    <w:p>
      <w:pPr>
        <w:ind w:left="0" w:firstLine="560"/>
        <w:keepLines w:val="0"/>
        <w:keepNext w:val="0"/>
        <w:pageBreakBefore w:val="0"/>
        <w:spacing w:line="460" w:lineRule="exact"/>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3.验收要求</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由</w:t>
      </w:r>
      <w:r>
        <w:rPr>
          <w:rFonts w:hint="eastAsia" w:ascii="宋体" w:hAnsi="宋体" w:cs="宋体"/>
          <w:color w:val="auto"/>
          <w:sz w:val="28"/>
          <w:szCs w:val="28"/>
          <w:highlight w:val="none"/>
          <w:lang w:val="en-US" w:eastAsia="zh-CN" w:bidi="ar"/>
        </w:rPr>
        <w:t xml:space="preserve">招标</w:t>
      </w:r>
      <w:r>
        <w:rPr>
          <w:rFonts w:hint="eastAsia" w:ascii="宋体" w:hAnsi="宋体" w:eastAsia="宋体" w:cs="宋体"/>
          <w:color w:val="auto"/>
          <w:sz w:val="28"/>
          <w:szCs w:val="28"/>
          <w:highlight w:val="none"/>
          <w:lang w:val="en-US" w:eastAsia="zh-CN" w:bidi="ar"/>
        </w:rPr>
        <w:t xml:space="preserve">单位组织相关专业技术人员，必要时邀请校外专家及质检等部门共同参与验收，出具验收报告，作为支付货款的依据。由于验收而产生的所有费用由中标方负责。</w:t>
      </w:r>
      <w:r/>
    </w:p>
    <w:p>
      <w:pPr>
        <w:ind w:left="0" w:firstLine="560"/>
        <w:keepLines w:val="0"/>
        <w:keepNext w:val="0"/>
        <w:pageBreakBefore w:val="0"/>
        <w:spacing w:line="460" w:lineRule="exact"/>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4.项目交货期需求</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4.1</w:t>
      </w:r>
      <w:r>
        <w:rPr>
          <w:rFonts w:hint="eastAsia" w:ascii="宋体" w:hAnsi="宋体" w:eastAsia="宋体" w:cs="宋体"/>
          <w:color w:val="auto"/>
          <w:sz w:val="28"/>
          <w:szCs w:val="28"/>
          <w:highlight w:val="none"/>
          <w:lang w:val="en-US" w:eastAsia="zh-CN" w:bidi="ar"/>
        </w:rPr>
        <w:t xml:space="preserve">签订合同日期：自中标（成交）通知书发出之日起 30 个工作日内按时签约。</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4.2</w:t>
      </w:r>
      <w:r>
        <w:rPr>
          <w:rFonts w:hint="eastAsia" w:ascii="宋体" w:hAnsi="宋体" w:eastAsia="宋体" w:cs="宋体"/>
          <w:color w:val="auto"/>
          <w:sz w:val="28"/>
          <w:szCs w:val="28"/>
          <w:highlight w:val="none"/>
          <w:lang w:val="en-US" w:eastAsia="zh-CN" w:bidi="ar"/>
        </w:rPr>
        <w:t xml:space="preserve">交货期：自合同签订之日起30天内</w:t>
      </w:r>
      <w:r>
        <w:rPr>
          <w:rFonts w:hint="eastAsia" w:ascii="宋体" w:hAnsi="宋体" w:cs="宋体"/>
          <w:color w:val="auto"/>
          <w:sz w:val="28"/>
          <w:szCs w:val="28"/>
          <w:highlight w:val="none"/>
          <w:lang w:val="en-US" w:eastAsia="zh-CN"/>
        </w:rPr>
        <w:t xml:space="preserve">完成供货</w:t>
      </w:r>
      <w:r>
        <w:rPr>
          <w:rFonts w:hint="eastAsia" w:ascii="宋体" w:hAnsi="宋体" w:eastAsia="宋体" w:cs="宋体"/>
          <w:color w:val="auto"/>
          <w:sz w:val="28"/>
          <w:szCs w:val="28"/>
          <w:highlight w:val="none"/>
          <w:lang w:val="en-US" w:eastAsia="zh-CN" w:bidi="ar"/>
        </w:rPr>
        <w:t xml:space="preserve">。</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 xml:space="preserve">4.3</w:t>
      </w:r>
      <w:r>
        <w:rPr>
          <w:rFonts w:hint="eastAsia" w:ascii="宋体" w:hAnsi="宋体" w:eastAsia="宋体" w:cs="宋体"/>
          <w:color w:val="auto"/>
          <w:sz w:val="28"/>
          <w:szCs w:val="28"/>
          <w:highlight w:val="none"/>
          <w:lang w:val="en-US" w:eastAsia="zh-CN" w:bidi="ar"/>
        </w:rPr>
        <w:t xml:space="preserve">交货地点</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南通职业大学</w:t>
      </w:r>
      <w:r>
        <w:rPr>
          <w:rFonts w:hint="eastAsia" w:ascii="宋体" w:hAnsi="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val="en-US" w:eastAsia="zh-CN" w:bidi="ar"/>
        </w:rPr>
        <w:t xml:space="preserve"> </w:t>
      </w:r>
      <w:r/>
    </w:p>
    <w:p>
      <w:pPr>
        <w:ind w:firstLine="562"/>
        <w:spacing w:line="46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五</w:t>
      </w:r>
      <w:r>
        <w:rPr>
          <w:rFonts w:hint="eastAsia" w:ascii="宋体" w:hAnsi="宋体" w:cs="宋体"/>
          <w:b/>
          <w:bCs/>
          <w:color w:val="auto"/>
          <w:sz w:val="28"/>
          <w:szCs w:val="28"/>
          <w:highlight w:val="none"/>
        </w:rPr>
        <w:t xml:space="preserve">、付款方式</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1.申请部门在项目验收合格后按合同约定办理结算手续。</w:t>
      </w:r>
      <w:r/>
    </w:p>
    <w:p>
      <w:pPr>
        <w:pStyle w:val="1011"/>
        <w:ind w:firstLine="560"/>
        <w:jc w:val="left"/>
        <w:spacing w:line="460" w:lineRule="exact"/>
        <w:shd w:val="clear" w:color="auto" w:fill="ffffff"/>
        <w:widowControl/>
        <w:rPr>
          <w:rFonts w:hint="default" w:ascii="宋体" w:hAnsi="宋体" w:cs="宋体"/>
          <w:b/>
          <w:bCs/>
          <w:color w:val="auto"/>
          <w:sz w:val="28"/>
          <w:szCs w:val="28"/>
          <w:highlight w:val="none"/>
          <w:lang w:val="en-US" w:eastAsia="zh-CN"/>
        </w:rPr>
        <w:outlineLvl w:val="3"/>
      </w:pPr>
      <w:r>
        <w:rPr>
          <w:rFonts w:hint="eastAsia" w:ascii="宋体" w:hAnsi="宋体" w:cs="宋体"/>
          <w:color w:val="auto"/>
          <w:sz w:val="28"/>
          <w:szCs w:val="28"/>
          <w:highlight w:val="none"/>
          <w:lang w:val="en-US" w:eastAsia="zh-CN"/>
        </w:rPr>
        <w:t xml:space="preserve">2.合同签订后支付合同额30%预付款，设备安装调试经验收合格后，票据齐全，采购人在收到发票后10个工作日内一次性支清剩余全部货款。</w:t>
      </w:r>
      <w:r/>
    </w:p>
    <w:p>
      <w:pPr>
        <w:pStyle w:val="1011"/>
        <w:ind w:firstLine="560"/>
        <w:jc w:val="left"/>
        <w:spacing w:line="460" w:lineRule="exact"/>
        <w:shd w:val="clear" w:color="auto" w:fill="ffffff"/>
        <w:widowControl/>
        <w:rPr>
          <w:rFonts w:ascii="宋体" w:hAnsi="宋体" w:cs="宋体"/>
          <w:b/>
          <w:bCs/>
          <w:color w:val="auto"/>
          <w:sz w:val="28"/>
          <w:szCs w:val="28"/>
          <w:highlight w:val="none"/>
        </w:rPr>
        <w:outlineLvl w:val="3"/>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10%，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2.中标人全部履约合同义务，经招标人验收合格无质量、进度等问题的，招标人在本项目</w:t>
      </w:r>
      <w:r>
        <w:rPr>
          <w:rFonts w:hint="eastAsia" w:ascii="宋体" w:hAnsi="宋体" w:cs="宋体"/>
          <w:color w:val="auto"/>
          <w:sz w:val="28"/>
          <w:szCs w:val="28"/>
          <w:highlight w:val="none"/>
          <w:lang w:eastAsia="zh-CN"/>
        </w:rPr>
        <w:t xml:space="preserve">质保期满</w:t>
      </w:r>
      <w:r>
        <w:rPr>
          <w:rFonts w:hint="eastAsia" w:ascii="宋体" w:hAnsi="宋体" w:cs="宋体"/>
          <w:color w:val="auto"/>
          <w:sz w:val="28"/>
          <w:szCs w:val="28"/>
          <w:highlight w:val="none"/>
          <w:lang w:val="en-US" w:eastAsia="zh-CN"/>
        </w:rPr>
        <w:t xml:space="preserve">后</w:t>
      </w:r>
      <w:r>
        <w:rPr>
          <w:rFonts w:hint="eastAsia" w:ascii="宋体" w:hAnsi="宋体" w:cs="宋体"/>
          <w:color w:val="auto"/>
          <w:sz w:val="28"/>
          <w:szCs w:val="28"/>
          <w:highlight w:val="none"/>
        </w:rPr>
        <w:t xml:space="preserve">一次性退还履约保证金，招标人若逾期退还履约保证金的，按照逾期部分的每日0.05%支付违约金；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a.签订合同后，中标人不履行合同义务的，招标人有权全额扣除履约保证金，全额不予退还，同时招标人亦有权终止合同，中标人还须承担相应的法律赔偿责任。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4.以履约保函（保险）形式向招标人缴纳的，按照《关于在全省政府采购领域推行电子履约保函（保险）的通知》，登录江苏政府采购网，选择“保险保函”模块，进行相关操作。投标人</w:t>
      </w:r>
      <w:r>
        <w:rPr>
          <w:rFonts w:hint="eastAsia" w:ascii="宋体" w:hAnsi="宋体" w:cs="宋体"/>
          <w:color w:val="auto"/>
          <w:sz w:val="28"/>
          <w:szCs w:val="28"/>
          <w:highlight w:val="none"/>
          <w:lang w:eastAsia="zh-CN"/>
        </w:rPr>
        <w:t xml:space="preserve">可登录</w:t>
      </w:r>
      <w:r>
        <w:rPr>
          <w:rFonts w:hint="eastAsia" w:ascii="宋体" w:hAnsi="宋体" w:cs="宋体"/>
          <w:color w:val="auto"/>
          <w:sz w:val="28"/>
          <w:szCs w:val="28"/>
          <w:highlight w:val="none"/>
        </w:rPr>
        <w:t xml:space="preserve">江苏政府采购网“资料下载”栏目下载“政府采购电子履约（保函）保险操作手册（网址：www.ccgp-jiangsu.gov.cn/jisngsu/zlxz/)。</w:t>
      </w:r>
      <w:r>
        <w:rPr>
          <w:rFonts w:hint="eastAsia" w:ascii="宋体" w:hAnsi="宋体" w:cs="宋体"/>
          <w:color w:val="auto"/>
          <w:sz w:val="28"/>
          <w:szCs w:val="28"/>
          <w:highlight w:val="none"/>
        </w:rPr>
        <w:t xml:space="preserve">  </w:t>
      </w:r>
      <w:r/>
    </w:p>
    <w:p>
      <w:pPr>
        <w:pStyle w:val="1011"/>
        <w:ind w:firstLine="560"/>
        <w:jc w:val="left"/>
        <w:spacing w:line="460" w:lineRule="exact"/>
        <w:shd w:val="clear" w:color="auto" w:fill="ffffff"/>
        <w:widowControl/>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七、采购需求中必须满足的实质性要求</w:t>
      </w:r>
      <w:r/>
    </w:p>
    <w:p>
      <w:pPr>
        <w:pStyle w:val="1011"/>
        <w:ind w:firstLine="560"/>
        <w:jc w:val="left"/>
        <w:spacing w:line="460" w:lineRule="exact"/>
        <w:shd w:val="clear" w:color="auto" w:fill="ffffff"/>
        <w:widowControl/>
        <w:rPr>
          <w:rFonts w:hint="default" w:ascii="宋体" w:hAnsi="宋体" w:cs="宋体"/>
          <w:i/>
          <w:iCs/>
          <w:color w:val="auto"/>
          <w:sz w:val="28"/>
          <w:szCs w:val="28"/>
          <w:highlight w:val="none"/>
          <w:u w:val="single"/>
          <w:lang w:val="en-US" w:eastAsia="zh-CN"/>
        </w:rPr>
      </w:pPr>
      <w:r>
        <w:rPr>
          <w:rFonts w:hint="eastAsia" w:ascii="宋体" w:hAnsi="宋体" w:cs="宋体"/>
          <w:i/>
          <w:iCs/>
          <w:color w:val="auto"/>
          <w:sz w:val="28"/>
          <w:szCs w:val="28"/>
          <w:highlight w:val="none"/>
          <w:u w:val="single"/>
          <w:lang w:val="en-US" w:eastAsia="zh-CN"/>
        </w:rPr>
        <w:t xml:space="preserve">1.投标报价不得超过项目最高限价，投标时提供报价材料或承诺函（格式自拟）。</w:t>
      </w:r>
      <w:r/>
    </w:p>
    <w:p>
      <w:pPr>
        <w:pStyle w:val="1011"/>
        <w:ind w:firstLine="560"/>
        <w:jc w:val="left"/>
        <w:spacing w:line="460" w:lineRule="exact"/>
        <w:shd w:val="clear" w:color="auto" w:fill="ffffff"/>
        <w:widowControl/>
        <w:rPr>
          <w:rFonts w:hint="eastAsia" w:ascii="宋体" w:hAnsi="宋体" w:cs="宋体"/>
          <w:b w:val="0"/>
          <w:bCs w:val="0"/>
          <w:i/>
          <w:iCs/>
          <w:color w:val="auto"/>
          <w:sz w:val="28"/>
          <w:szCs w:val="28"/>
          <w:highlight w:val="none"/>
          <w:u w:val="single"/>
          <w:lang w:val="en-US" w:eastAsia="zh-CN"/>
        </w:rPr>
      </w:pPr>
      <w:r>
        <w:rPr>
          <w:rFonts w:hint="eastAsia" w:ascii="宋体" w:hAnsi="宋体" w:cs="宋体"/>
          <w:i/>
          <w:iCs/>
          <w:color w:val="auto"/>
          <w:sz w:val="28"/>
          <w:szCs w:val="28"/>
          <w:highlight w:val="none"/>
          <w:u w:val="single"/>
          <w:lang w:val="en-US" w:eastAsia="zh-CN"/>
        </w:rPr>
        <w:t xml:space="preserve">2.未提供演示视频作无效标处理。</w:t>
      </w:r>
      <w:r/>
    </w:p>
    <w:p>
      <w:pPr>
        <w:pStyle w:val="1011"/>
        <w:ind w:firstLine="560"/>
        <w:jc w:val="left"/>
        <w:spacing w:line="460" w:lineRule="exact"/>
        <w:shd w:val="clear" w:color="auto" w:fill="ffffff"/>
        <w:widowControl/>
        <w:rPr>
          <w:rFonts w:hint="eastAsia" w:ascii="宋体" w:hAnsi="宋体" w:cs="宋体"/>
          <w:b w:val="0"/>
          <w:bCs w:val="0"/>
          <w:i/>
          <w:iCs/>
          <w:color w:val="auto"/>
          <w:sz w:val="28"/>
          <w:szCs w:val="28"/>
          <w:highlight w:val="none"/>
          <w:u w:val="single"/>
          <w:lang w:val="en-US" w:eastAsia="zh-CN" w:bidi="ar"/>
        </w:rPr>
      </w:pPr>
      <w:r>
        <w:rPr>
          <w:rFonts w:hint="eastAsia" w:ascii="宋体" w:hAnsi="宋体" w:cs="宋体"/>
          <w:b w:val="0"/>
          <w:bCs w:val="0"/>
          <w:i/>
          <w:iCs/>
          <w:color w:val="auto"/>
          <w:sz w:val="28"/>
          <w:szCs w:val="28"/>
          <w:highlight w:val="none"/>
          <w:u w:val="single"/>
          <w:lang w:val="en-US" w:eastAsia="zh-CN"/>
        </w:rPr>
        <w:t xml:space="preserve">3.</w:t>
      </w:r>
      <w:r>
        <w:rPr>
          <w:rFonts w:hint="eastAsia" w:ascii="宋体" w:hAnsi="宋体" w:cs="宋体"/>
          <w:b w:val="0"/>
          <w:bCs w:val="0"/>
          <w:i/>
          <w:iCs/>
          <w:color w:val="auto"/>
          <w:sz w:val="28"/>
          <w:szCs w:val="28"/>
          <w:highlight w:val="none"/>
          <w:u w:val="single"/>
          <w:lang w:val="en-US" w:eastAsia="zh-CN" w:bidi="ar"/>
        </w:rPr>
        <w:t xml:space="preserve">教学软件免费接入学校现有虚拟仿真平台，投标时提供承诺函（格式自拟），未按要求提供或未提供的作无效标处理。</w:t>
      </w:r>
      <w:r/>
    </w:p>
    <w:p>
      <w:pPr>
        <w:pStyle w:val="1011"/>
        <w:ind w:firstLine="560"/>
        <w:jc w:val="left"/>
        <w:spacing w:line="460" w:lineRule="exact"/>
        <w:shd w:val="clear" w:color="auto" w:fill="ffffff"/>
        <w:widowControl/>
        <w:rPr>
          <w:rFonts w:hint="eastAsia" w:ascii="宋体" w:hAnsi="宋体" w:cs="宋体"/>
          <w:b w:val="0"/>
          <w:bCs w:val="0"/>
          <w:i/>
          <w:iCs/>
          <w:color w:val="auto"/>
          <w:sz w:val="28"/>
          <w:szCs w:val="28"/>
          <w:highlight w:val="none"/>
          <w:u w:val="single"/>
          <w:lang w:val="en-US" w:eastAsia="zh-CN" w:bidi="ar"/>
        </w:rPr>
      </w:pPr>
      <w:r>
        <w:rPr>
          <w:rFonts w:hint="eastAsia" w:ascii="宋体" w:hAnsi="宋体" w:cs="宋体"/>
          <w:b w:val="0"/>
          <w:bCs w:val="0"/>
          <w:i/>
          <w:iCs/>
          <w:color w:val="auto"/>
          <w:sz w:val="28"/>
          <w:szCs w:val="28"/>
          <w:highlight w:val="none"/>
          <w:u w:val="single"/>
          <w:lang w:val="en-US" w:eastAsia="zh-CN" w:bidi="ar"/>
        </w:rPr>
        <w:t xml:space="preserve">4.</w:t>
      </w:r>
      <w:r>
        <w:rPr>
          <w:rFonts w:hint="eastAsia" w:ascii="宋体" w:hAnsi="宋体" w:cs="宋体"/>
          <w:i/>
          <w:iCs/>
          <w:color w:val="auto"/>
          <w:sz w:val="28"/>
          <w:szCs w:val="28"/>
          <w:highlight w:val="none"/>
          <w:u w:val="single"/>
          <w:lang w:val="en-US" w:eastAsia="zh-CN" w:bidi="ar"/>
        </w:rPr>
        <w:t xml:space="preserve">供应商承诺中标后提供气动易损件，</w:t>
      </w:r>
      <w:r>
        <w:rPr>
          <w:rFonts w:hint="eastAsia" w:ascii="宋体" w:hAnsi="宋体" w:cs="宋体"/>
          <w:b w:val="0"/>
          <w:bCs w:val="0"/>
          <w:i/>
          <w:iCs/>
          <w:color w:val="auto"/>
          <w:sz w:val="28"/>
          <w:szCs w:val="28"/>
          <w:highlight w:val="none"/>
          <w:u w:val="single"/>
          <w:lang w:val="en-US" w:eastAsia="zh-CN" w:bidi="ar"/>
        </w:rPr>
        <w:t xml:space="preserve">投标时提供承诺函（格式自拟），未按要求提供或未提供的作无效标处理。。</w:t>
      </w:r>
      <w:r/>
    </w:p>
    <w:p>
      <w:pPr>
        <w:pStyle w:val="1011"/>
        <w:ind w:firstLine="560"/>
        <w:jc w:val="left"/>
        <w:spacing w:line="460" w:lineRule="exact"/>
        <w:shd w:val="clear" w:color="auto" w:fill="ffffff"/>
        <w:widowControl/>
        <w:rPr>
          <w:rFonts w:hint="eastAsia" w:ascii="宋体" w:hAnsi="宋体" w:cs="宋体"/>
          <w:b w:val="0"/>
          <w:bCs w:val="0"/>
          <w:i/>
          <w:iCs/>
          <w:color w:val="auto"/>
          <w:sz w:val="28"/>
          <w:szCs w:val="28"/>
          <w:highlight w:val="none"/>
          <w:u w:val="single"/>
          <w:lang w:val="en-US" w:eastAsia="zh-CN" w:bidi="ar"/>
        </w:rPr>
      </w:pPr>
      <w:r>
        <w:rPr>
          <w:rFonts w:hint="eastAsia" w:ascii="宋体" w:hAnsi="宋体" w:cs="宋体"/>
          <w:b w:val="0"/>
          <w:bCs w:val="0"/>
          <w:i/>
          <w:iCs/>
          <w:color w:val="auto"/>
          <w:sz w:val="28"/>
          <w:szCs w:val="28"/>
          <w:highlight w:val="none"/>
          <w:u w:val="single"/>
          <w:lang w:val="en-US" w:eastAsia="zh-CN" w:bidi="ar"/>
        </w:rPr>
        <w:t xml:space="preserve">4.</w:t>
      </w:r>
      <w:r>
        <w:rPr>
          <w:rFonts w:hint="eastAsia" w:ascii="宋体" w:hAnsi="宋体" w:cs="宋体"/>
          <w:i/>
          <w:iCs/>
          <w:color w:val="auto"/>
          <w:sz w:val="28"/>
          <w:szCs w:val="28"/>
          <w:highlight w:val="none"/>
          <w:u w:val="single"/>
          <w:lang w:val="en-US" w:eastAsia="zh-CN" w:bidi="ar"/>
        </w:rPr>
        <w:t xml:space="preserve">供应商承诺中标后提供液压易损件，</w:t>
      </w:r>
      <w:r>
        <w:rPr>
          <w:rFonts w:hint="eastAsia" w:ascii="宋体" w:hAnsi="宋体" w:cs="宋体"/>
          <w:b w:val="0"/>
          <w:bCs w:val="0"/>
          <w:i/>
          <w:iCs/>
          <w:color w:val="auto"/>
          <w:sz w:val="28"/>
          <w:szCs w:val="28"/>
          <w:highlight w:val="none"/>
          <w:u w:val="single"/>
          <w:lang w:val="en-US" w:eastAsia="zh-CN" w:bidi="ar"/>
        </w:rPr>
        <w:t xml:space="preserve">投标时提供承诺函（格式自拟），未按要求提供或未提供的作无效标处理。。</w:t>
      </w:r>
      <w:r/>
    </w:p>
    <w:p>
      <w:pPr>
        <w:pStyle w:val="1011"/>
        <w:ind w:firstLine="560"/>
        <w:jc w:val="left"/>
        <w:spacing w:line="460" w:lineRule="exact"/>
        <w:shd w:val="clear" w:color="auto" w:fill="ffffff"/>
        <w:widowControl/>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、合同文本（仅供参考）：</w:t>
      </w:r>
      <w:r/>
    </w:p>
    <w:p>
      <w:pPr>
        <w:jc w:val="center"/>
        <w:spacing w:line="360" w:lineRule="exact"/>
        <w:rPr>
          <w:rFonts w:hint="eastAsia" w:ascii="宋体" w:hAnsi="宋体" w:eastAsia="宋体" w:cs="宋体"/>
          <w:b/>
          <w:color w:val="auto"/>
          <w:spacing w:val="22"/>
          <w:sz w:val="28"/>
          <w:szCs w:val="28"/>
          <w:highlight w:val="none"/>
        </w:rPr>
        <w:outlineLvl w:val="3"/>
      </w:pPr>
      <w:r>
        <w:rPr>
          <w:rFonts w:hint="eastAsia" w:ascii="宋体" w:hAnsi="宋体" w:cs="宋体"/>
          <w:b/>
          <w:color w:val="auto"/>
          <w:spacing w:val="22"/>
          <w:sz w:val="32"/>
          <w:szCs w:val="32"/>
          <w:highlight w:val="none"/>
        </w:rPr>
        <w:br w:type="page" w:clear="all"/>
      </w:r>
      <w:r>
        <w:rPr>
          <w:rFonts w:hint="eastAsia" w:ascii="宋体" w:hAnsi="宋体" w:eastAsia="宋体" w:cs="宋体"/>
          <w:b/>
          <w:color w:val="auto"/>
          <w:spacing w:val="22"/>
          <w:sz w:val="28"/>
          <w:szCs w:val="28"/>
          <w:highlight w:val="none"/>
        </w:rPr>
        <w:t xml:space="preserve">南通职业大学采购合同</w:t>
      </w:r>
      <w:r/>
    </w:p>
    <w:p>
      <w:pPr>
        <w:jc w:val="center"/>
        <w:spacing w:line="360" w:lineRule="exact"/>
        <w:rPr>
          <w:rFonts w:hint="eastAsia" w:ascii="宋体" w:hAnsi="宋体" w:eastAsia="宋体" w:cs="宋体"/>
          <w:b/>
          <w:color w:val="auto"/>
          <w:spacing w:val="22"/>
          <w:sz w:val="28"/>
          <w:szCs w:val="28"/>
          <w:highlight w:val="none"/>
        </w:rPr>
      </w:pPr>
      <w:r>
        <w:rPr>
          <w:rFonts w:hint="eastAsia" w:ascii="宋体" w:hAnsi="宋体" w:eastAsia="宋体" w:cs="宋体"/>
          <w:b/>
          <w:color w:val="auto"/>
          <w:spacing w:val="22"/>
          <w:sz w:val="28"/>
          <w:szCs w:val="28"/>
          <w:highlight w:val="none"/>
        </w:rPr>
      </w:r>
      <w:r/>
    </w:p>
    <w:tbl>
      <w:tblPr>
        <w:tblStyle w:val="953"/>
        <w:tblW w:w="9541" w:type="dxa"/>
        <w:tblInd w:w="0" w:type="dxa"/>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0"/>
        <w:gridCol w:w="3614"/>
        <w:gridCol w:w="1393"/>
        <w:gridCol w:w="3174"/>
      </w:tblGrid>
      <w:tr>
        <w:trPr>
          <w:trHeight w:val="600"/>
        </w:trPr>
        <w:tc>
          <w:tcPr>
            <w:tcBorders>
              <w:top w:val="none" w:color="000000" w:sz="4" w:space="0"/>
              <w:bottom w:val="none" w:color="000000" w:sz="4" w:space="0"/>
            </w:tcBorders>
            <w:tcW w:w="1360" w:type="dxa"/>
            <w:vAlign w:val="bottom"/>
            <w:textDirection w:val="lrTb"/>
            <w:noWrap w:val="false"/>
          </w:tcPr>
          <w:p>
            <w:pPr>
              <w:spacing w:line="300" w:lineRule="exact"/>
              <w:rPr>
                <w:rFonts w:hint="eastAsia" w:ascii="宋体" w:hAnsi="宋体" w:eastAsia="宋体" w:cs="宋体"/>
                <w:b/>
                <w:color w:val="auto"/>
                <w:sz w:val="28"/>
                <w:szCs w:val="28"/>
                <w:highlight w:val="none"/>
                <w:lang w:val="zh-CN"/>
              </w:rPr>
            </w:pPr>
            <w:r>
              <w:rPr>
                <w:rFonts w:hint="eastAsia" w:ascii="宋体" w:hAnsi="宋体" w:eastAsia="宋体" w:cs="宋体"/>
                <w:color w:val="auto"/>
                <w:sz w:val="28"/>
                <w:szCs w:val="28"/>
                <w:highlight w:val="none"/>
              </w:rPr>
              <w:t xml:space="preserve">项目名称：</w:t>
            </w:r>
            <w:r/>
          </w:p>
        </w:tc>
        <w:tc>
          <w:tcPr>
            <w:tcW w:w="3614" w:type="dxa"/>
            <w:vAlign w:val="bottom"/>
            <w:textDirection w:val="lrTb"/>
            <w:noWrap w:val="false"/>
          </w:tcPr>
          <w:p>
            <w:pPr>
              <w:spacing w:line="3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c>
        <w:tc>
          <w:tcPr>
            <w:tcBorders>
              <w:top w:val="none" w:color="000000" w:sz="4" w:space="0"/>
              <w:bottom w:val="none" w:color="000000" w:sz="4" w:space="0"/>
            </w:tcBorders>
            <w:tcW w:w="1393" w:type="dxa"/>
            <w:vAlign w:val="bottom"/>
            <w:textDirection w:val="lrTb"/>
            <w:noWrap w:val="false"/>
          </w:tcPr>
          <w:p>
            <w:pPr>
              <w:spacing w:line="300" w:lineRule="exact"/>
              <w:rPr>
                <w:rFonts w:hint="eastAsia" w:ascii="宋体" w:hAnsi="宋体" w:eastAsia="宋体" w:cs="宋体"/>
                <w:b/>
                <w:color w:val="auto"/>
                <w:sz w:val="28"/>
                <w:szCs w:val="28"/>
                <w:highlight w:val="none"/>
                <w:lang w:val="zh-CN"/>
              </w:rPr>
            </w:pPr>
            <w:r>
              <w:rPr>
                <w:rFonts w:hint="eastAsia" w:ascii="宋体" w:hAnsi="宋体" w:eastAsia="宋体" w:cs="宋体"/>
                <w:color w:val="auto"/>
                <w:sz w:val="28"/>
                <w:szCs w:val="28"/>
                <w:highlight w:val="none"/>
              </w:rPr>
              <w:t xml:space="preserve">项目编号：</w:t>
            </w:r>
            <w:r/>
          </w:p>
        </w:tc>
        <w:tc>
          <w:tcPr>
            <w:tcW w:w="3174" w:type="dxa"/>
            <w:vAlign w:val="bottom"/>
            <w:textDirection w:val="lrTb"/>
            <w:noWrap w:val="false"/>
          </w:tcPr>
          <w:p>
            <w:pPr>
              <w:jc w:val="center"/>
              <w:spacing w:line="3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c>
      </w:tr>
      <w:tr>
        <w:trPr>
          <w:trHeight w:val="600"/>
        </w:trPr>
        <w:tc>
          <w:tcPr>
            <w:tcBorders>
              <w:top w:val="none" w:color="000000" w:sz="4" w:space="0"/>
              <w:bottom w:val="none" w:color="000000" w:sz="4" w:space="0"/>
            </w:tcBorders>
            <w:tcW w:w="1360" w:type="dxa"/>
            <w:vAlign w:val="bottom"/>
            <w:textDirection w:val="lrTb"/>
            <w:noWrap w:val="false"/>
          </w:tcPr>
          <w:p>
            <w:pPr>
              <w:jc w:val="both"/>
              <w:spacing w:line="3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p>
        </w:tc>
        <w:tc>
          <w:tcPr>
            <w:tcBorders>
              <w:bottom w:val="single" w:color="auto" w:sz="4" w:space="0"/>
            </w:tcBorders>
            <w:tcW w:w="3614" w:type="dxa"/>
            <w:vAlign w:val="bottom"/>
            <w:textDirection w:val="lrTb"/>
            <w:noWrap w:val="false"/>
          </w:tcPr>
          <w:p>
            <w:pPr>
              <w:jc w:val="center"/>
              <w:spacing w:line="3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南通职业大学</w:t>
            </w:r>
            <w:r/>
          </w:p>
        </w:tc>
        <w:tc>
          <w:tcPr>
            <w:tcBorders>
              <w:top w:val="none" w:color="000000" w:sz="4" w:space="0"/>
              <w:bottom w:val="none" w:color="000000" w:sz="4" w:space="0"/>
            </w:tcBorders>
            <w:tcW w:w="1393" w:type="dxa"/>
            <w:vAlign w:val="bottom"/>
            <w:textDirection w:val="lrTb"/>
            <w:noWrap w:val="false"/>
          </w:tcPr>
          <w:p>
            <w:pPr>
              <w:spacing w:line="3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签订地点：</w:t>
            </w:r>
            <w:r/>
          </w:p>
        </w:tc>
        <w:tc>
          <w:tcPr>
            <w:tcW w:w="3174" w:type="dxa"/>
            <w:vAlign w:val="bottom"/>
            <w:textDirection w:val="lrTb"/>
            <w:noWrap w:val="false"/>
          </w:tcPr>
          <w:p>
            <w:pPr>
              <w:jc w:val="center"/>
              <w:spacing w:line="3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南通职业大学</w:t>
            </w:r>
            <w:r/>
          </w:p>
        </w:tc>
      </w:tr>
      <w:tr>
        <w:trPr>
          <w:trHeight w:val="600"/>
        </w:trPr>
        <w:tc>
          <w:tcPr>
            <w:tcBorders>
              <w:top w:val="none" w:color="000000" w:sz="4" w:space="0"/>
              <w:bottom w:val="none" w:color="000000" w:sz="4" w:space="0"/>
            </w:tcBorders>
            <w:tcW w:w="1360" w:type="dxa"/>
            <w:vAlign w:val="bottom"/>
            <w:textDirection w:val="lrTb"/>
            <w:noWrap w:val="false"/>
          </w:tcPr>
          <w:p>
            <w:pPr>
              <w:jc w:val="both"/>
              <w:spacing w:line="3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p>
        </w:tc>
        <w:tc>
          <w:tcPr>
            <w:tcBorders>
              <w:top w:val="none" w:color="000000" w:sz="4" w:space="0"/>
            </w:tcBorders>
            <w:tcW w:w="3614" w:type="dxa"/>
            <w:vAlign w:val="bottom"/>
            <w:textDirection w:val="lrTb"/>
            <w:noWrap w:val="false"/>
          </w:tcPr>
          <w:p>
            <w:pPr>
              <w:jc w:val="center"/>
              <w:spacing w:line="3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c>
        <w:tc>
          <w:tcPr>
            <w:tcBorders>
              <w:top w:val="none" w:color="000000" w:sz="4" w:space="0"/>
              <w:bottom w:val="none" w:color="000000" w:sz="4" w:space="0"/>
            </w:tcBorders>
            <w:tcW w:w="1393" w:type="dxa"/>
            <w:vAlign w:val="bottom"/>
            <w:textDirection w:val="lrTb"/>
            <w:noWrap w:val="false"/>
          </w:tcPr>
          <w:p>
            <w:pPr>
              <w:spacing w:line="3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签订时间：</w:t>
            </w:r>
            <w:r/>
          </w:p>
        </w:tc>
        <w:tc>
          <w:tcPr>
            <w:tcW w:w="3174" w:type="dxa"/>
            <w:vAlign w:val="bottom"/>
            <w:textDirection w:val="lrTb"/>
            <w:noWrap w:val="false"/>
          </w:tcPr>
          <w:p>
            <w:pPr>
              <w:jc w:val="center"/>
              <w:spacing w:line="3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c>
      </w:tr>
    </w:tbl>
    <w:p>
      <w:pPr>
        <w:spacing w:before="12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一、南通职业大学通过</w:t>
      </w:r>
      <w:r>
        <w:rPr>
          <w:rFonts w:hint="eastAsia" w:ascii="宋体" w:hAnsi="宋体" w:eastAsia="宋体" w:cs="宋体"/>
          <w:color w:val="auto"/>
          <w:sz w:val="28"/>
          <w:szCs w:val="28"/>
          <w:highlight w:val="none"/>
          <w:u w:val="single"/>
        </w:rPr>
        <w:t xml:space="preserve"> 公开招标</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 xml:space="preserve">方式，确定乙方为甲方的供货商。</w:t>
      </w:r>
      <w:r/>
    </w:p>
    <w:p>
      <w:pPr>
        <w:spacing w:line="500" w:lineRule="exact"/>
        <w:rPr>
          <w:rFonts w:hint="eastAsia" w:ascii="宋体" w:hAnsi="宋体" w:eastAsia="宋体" w:cs="宋体"/>
          <w:b/>
          <w:color w:val="auto"/>
          <w:sz w:val="28"/>
          <w:szCs w:val="28"/>
          <w:highlight w:val="none"/>
          <w:u w:val="single"/>
        </w:rPr>
        <w:outlineLvl w:val="3"/>
      </w:pPr>
      <w:r>
        <w:rPr>
          <w:rFonts w:hint="eastAsia" w:ascii="宋体" w:hAnsi="宋体" w:eastAsia="宋体" w:cs="宋体"/>
          <w:color w:val="auto"/>
          <w:sz w:val="28"/>
          <w:szCs w:val="28"/>
          <w:highlight w:val="none"/>
        </w:rPr>
        <w:t xml:space="preserve">二、本项目采购的主要任务是</w:t>
      </w:r>
      <w:r>
        <w:rPr>
          <w:rFonts w:hint="eastAsia" w:ascii="宋体" w:hAnsi="宋体" w:eastAsia="宋体" w:cs="宋体"/>
          <w:color w:val="auto"/>
          <w:sz w:val="28"/>
          <w:szCs w:val="28"/>
          <w:highlight w:val="none"/>
          <w:u w:val="single"/>
        </w:rPr>
        <w:t xml:space="preserve"> </w:t>
      </w:r>
      <w:bookmarkStart w:id="150" w:name="_Hlk147324566"/>
      <w:r>
        <w:rPr>
          <w:rFonts w:hint="eastAsia" w:ascii="宋体" w:hAnsi="宋体" w:eastAsia="宋体" w:cs="宋体"/>
          <w:b/>
          <w:color w:val="auto"/>
          <w:sz w:val="28"/>
          <w:szCs w:val="28"/>
          <w:highlight w:val="none"/>
          <w:u w:val="single"/>
        </w:rPr>
        <w:t xml:space="preserve">气动液压实验装置等相关服务</w:t>
      </w:r>
      <w:bookmarkEnd w:id="150"/>
      <w:r>
        <w:rPr>
          <w:rFonts w:hint="eastAsia" w:ascii="宋体" w:hAnsi="宋体" w:eastAsia="宋体" w:cs="宋体"/>
          <w:b/>
          <w:color w:val="auto"/>
          <w:sz w:val="28"/>
          <w:szCs w:val="28"/>
          <w:highlight w:val="none"/>
          <w:u w:val="single"/>
        </w:rPr>
        <w:t xml:space="preserve">。</w:t>
      </w:r>
      <w:r/>
    </w:p>
    <w:p>
      <w:pPr>
        <w:spacing w:after="120" w:line="500" w:lineRule="exact"/>
        <w:rPr>
          <w:rFonts w:hint="eastAsia" w:ascii="宋体" w:hAnsi="宋体" w:eastAsia="宋体" w:cs="宋体"/>
          <w:color w:val="auto"/>
          <w:sz w:val="28"/>
          <w:szCs w:val="28"/>
          <w:highlight w:val="none"/>
        </w:rPr>
        <w:outlineLvl w:val="4"/>
      </w:pPr>
      <w:r>
        <w:rPr>
          <w:rFonts w:hint="eastAsia" w:ascii="宋体" w:hAnsi="宋体" w:eastAsia="宋体" w:cs="宋体"/>
          <w:color w:val="auto"/>
          <w:sz w:val="28"/>
          <w:szCs w:val="28"/>
          <w:highlight w:val="none"/>
        </w:rPr>
        <w:t xml:space="preserve">（一）本项目采购合同金额为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 xml:space="preserve">，清单如下：</w:t>
      </w:r>
      <w:r/>
    </w:p>
    <w:tbl>
      <w:tblPr>
        <w:tblStyle w:val="95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950"/>
        <w:gridCol w:w="2245"/>
        <w:gridCol w:w="903"/>
        <w:gridCol w:w="1082"/>
        <w:gridCol w:w="1537"/>
        <w:gridCol w:w="1537"/>
      </w:tblGrid>
      <w:tr>
        <w:trPr>
          <w:jc w:val="center"/>
        </w:trPr>
        <w:tc>
          <w:tcPr>
            <w:tcW w:w="975" w:type="dxa"/>
            <w:vAlign w:val="center"/>
            <w:textDirection w:val="lrTb"/>
            <w:noWrap w:val="false"/>
          </w:tcPr>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序号</w:t>
            </w:r>
            <w:r/>
          </w:p>
        </w:tc>
        <w:tc>
          <w:tcPr>
            <w:tcW w:w="1950" w:type="dxa"/>
            <w:vAlign w:val="center"/>
            <w:textDirection w:val="lrTb"/>
            <w:noWrap w:val="false"/>
          </w:tcPr>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名称</w:t>
            </w:r>
            <w:r/>
          </w:p>
        </w:tc>
        <w:tc>
          <w:tcPr>
            <w:tcW w:w="2245" w:type="dxa"/>
            <w:vAlign w:val="center"/>
            <w:textDirection w:val="lrTb"/>
            <w:noWrap w:val="false"/>
          </w:tcPr>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规格型号</w:t>
            </w:r>
            <w:r/>
          </w:p>
        </w:tc>
        <w:tc>
          <w:tcPr>
            <w:tcW w:w="903" w:type="dxa"/>
            <w:vAlign w:val="center"/>
            <w:textDirection w:val="lrTb"/>
            <w:noWrap w:val="false"/>
          </w:tcPr>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数量</w:t>
            </w:r>
            <w:r/>
          </w:p>
        </w:tc>
        <w:tc>
          <w:tcPr>
            <w:tcW w:w="1082" w:type="dxa"/>
            <w:vAlign w:val="center"/>
            <w:textDirection w:val="lrTb"/>
            <w:noWrap w:val="false"/>
          </w:tcPr>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单位</w:t>
            </w:r>
            <w:r/>
          </w:p>
        </w:tc>
        <w:tc>
          <w:tcPr>
            <w:tcW w:w="1537" w:type="dxa"/>
            <w:vAlign w:val="center"/>
            <w:textDirection w:val="lrTb"/>
            <w:noWrap w:val="false"/>
          </w:tcPr>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单价</w:t>
            </w:r>
            <w:r/>
          </w:p>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（万元）</w:t>
            </w:r>
            <w:r/>
          </w:p>
        </w:tc>
        <w:tc>
          <w:tcPr>
            <w:tcW w:w="1537" w:type="dxa"/>
            <w:vAlign w:val="center"/>
            <w:textDirection w:val="lrTb"/>
            <w:noWrap w:val="false"/>
          </w:tcPr>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金额</w:t>
            </w:r>
            <w:r/>
          </w:p>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（万元）</w:t>
            </w:r>
            <w:r/>
          </w:p>
        </w:tc>
      </w:tr>
      <w:tr>
        <w:trPr>
          <w:jc w:val="center"/>
          <w:trHeight w:val="438"/>
        </w:trPr>
        <w:tc>
          <w:tcPr>
            <w:tcW w:w="975"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50" w:type="dxa"/>
            <w:vAlign w:val="center"/>
            <w:textDirection w:val="lrTb"/>
            <w:noWrap w:val="false"/>
          </w:tcPr>
          <w:p>
            <w:pPr>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5" w:type="dxa"/>
            <w:vAlign w:val="center"/>
            <w:textDirection w:val="lrTb"/>
            <w:noWrap w:val="false"/>
          </w:tcPr>
          <w:p>
            <w:pPr>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03"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082"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7"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7"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438"/>
        </w:trPr>
        <w:tc>
          <w:tcPr>
            <w:tcW w:w="975"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50" w:type="dxa"/>
            <w:vAlign w:val="center"/>
            <w:textDirection w:val="lrTb"/>
            <w:noWrap w:val="false"/>
          </w:tcPr>
          <w:p>
            <w:pPr>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5" w:type="dxa"/>
            <w:vAlign w:val="center"/>
            <w:textDirection w:val="lrTb"/>
            <w:noWrap w:val="false"/>
          </w:tcPr>
          <w:p>
            <w:pPr>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03"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082"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7"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7"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438"/>
        </w:trPr>
        <w:tc>
          <w:tcPr>
            <w:tcW w:w="975"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50" w:type="dxa"/>
            <w:vAlign w:val="center"/>
            <w:textDirection w:val="lrTb"/>
            <w:noWrap w:val="false"/>
          </w:tcPr>
          <w:p>
            <w:pPr>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45" w:type="dxa"/>
            <w:vAlign w:val="center"/>
            <w:textDirection w:val="lrTb"/>
            <w:noWrap w:val="false"/>
          </w:tcPr>
          <w:p>
            <w:pPr>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03"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082"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7"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7"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gridSpan w:val="2"/>
            <w:tcW w:w="2925"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合计</w:t>
            </w:r>
            <w:r/>
          </w:p>
        </w:tc>
        <w:tc>
          <w:tcPr>
            <w:gridSpan w:val="5"/>
            <w:tcW w:w="7304" w:type="dxa"/>
            <w:vAlign w:val="center"/>
            <w:textDirection w:val="lrTb"/>
            <w:noWrap w:val="false"/>
          </w:tcPr>
          <w:p>
            <w:pPr>
              <w:jc w:val="center"/>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contextualSpacing/>
        <w:ind w:left="0" w:firstLine="560"/>
        <w:keepLines w:val="0"/>
        <w:keepNext w:val="0"/>
        <w:pageBreakBefore w:val="0"/>
        <w:spacing w:line="460" w:lineRule="exact"/>
        <w:tabs>
          <w:tab w:val="left" w:pos="5325" w:leader="none"/>
        </w:tabs>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三、合同主要条款</w:t>
      </w:r>
      <w:r/>
    </w:p>
    <w:p>
      <w:pPr>
        <w:contextualSpacing/>
        <w:ind w:left="0" w:firstLine="562"/>
        <w:keepLines w:val="0"/>
        <w:keepNext w:val="0"/>
        <w:pageBreakBefore w:val="0"/>
        <w:spacing w:line="460" w:lineRule="exact"/>
        <w:tabs>
          <w:tab w:val="left" w:pos="5325" w:leader="none"/>
        </w:tabs>
        <w:rPr>
          <w:rFonts w:hint="eastAsia" w:ascii="宋体" w:hAnsi="宋体" w:eastAsia="宋体" w:cs="宋体"/>
          <w:b/>
          <w:color w:val="auto"/>
          <w:sz w:val="28"/>
          <w:szCs w:val="28"/>
          <w:highlight w:val="none"/>
        </w:rPr>
        <w:outlineLvl w:val="1"/>
      </w:pPr>
      <w:r/>
      <w:bookmarkStart w:id="151" w:name="_Toc28813"/>
      <w:r>
        <w:rPr>
          <w:rFonts w:hint="eastAsia" w:ascii="宋体" w:hAnsi="宋体" w:eastAsia="宋体" w:cs="宋体"/>
          <w:b/>
          <w:color w:val="auto"/>
          <w:sz w:val="28"/>
          <w:szCs w:val="28"/>
          <w:highlight w:val="none"/>
        </w:rPr>
        <w:t xml:space="preserve">1.售后服务及其他（含安装、调试、培训、维护等）</w:t>
      </w:r>
      <w:bookmarkEnd w:id="151"/>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（1）质量要求、技术标准、供方对质量负责的条件和期限：所提供货品为原厂原包装，货物自验收合格日起质保期</w:t>
      </w:r>
      <w:r>
        <w:rPr>
          <w:rFonts w:hint="eastAsia" w:ascii="宋体" w:hAnsi="宋体" w:eastAsia="宋体" w:cs="宋体"/>
          <w:color w:val="auto"/>
          <w:sz w:val="28"/>
          <w:szCs w:val="28"/>
          <w:highlight w:val="none"/>
          <w:u w:val="single"/>
          <w:lang w:val="en-US" w:eastAsia="zh-CN"/>
        </w:rPr>
        <w:t xml:space="preserve"> 3 </w:t>
      </w:r>
      <w:r>
        <w:rPr>
          <w:rFonts w:hint="eastAsia" w:ascii="宋体" w:hAnsi="宋体" w:eastAsia="宋体" w:cs="宋体"/>
          <w:color w:val="auto"/>
          <w:sz w:val="28"/>
          <w:szCs w:val="28"/>
          <w:highlight w:val="none"/>
        </w:rPr>
        <w:t xml:space="preserve">年。</w:t>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（2）其他要求：</w:t>
      </w:r>
      <w:r>
        <w:rPr>
          <w:rFonts w:hint="eastAsia" w:ascii="宋体" w:hAnsi="宋体" w:eastAsia="宋体" w:cs="宋体"/>
          <w:color w:val="auto"/>
          <w:sz w:val="28"/>
          <w:szCs w:val="28"/>
          <w:highlight w:val="none"/>
          <w:u w:val="single"/>
        </w:rPr>
        <w:t xml:space="preserve">其他小型、通用的气动与液压元件质保期一年</w:t>
      </w:r>
      <w:r>
        <w:rPr>
          <w:rFonts w:hint="eastAsia" w:ascii="宋体" w:hAnsi="宋体" w:eastAsia="宋体" w:cs="宋体"/>
          <w:color w:val="auto"/>
          <w:sz w:val="28"/>
          <w:szCs w:val="28"/>
          <w:highlight w:val="none"/>
        </w:rPr>
        <w:t xml:space="preserve">。</w:t>
      </w:r>
      <w:r/>
    </w:p>
    <w:p>
      <w:pPr>
        <w:contextualSpacing/>
        <w:ind w:left="0" w:firstLine="562"/>
        <w:keepLines w:val="0"/>
        <w:keepNext w:val="0"/>
        <w:pageBreakBefore w:val="0"/>
        <w:spacing w:line="460" w:lineRule="exact"/>
        <w:tabs>
          <w:tab w:val="left" w:pos="5325" w:leader="none"/>
        </w:tabs>
        <w:rPr>
          <w:rFonts w:hint="eastAsia" w:ascii="宋体" w:hAnsi="宋体" w:eastAsia="宋体" w:cs="宋体"/>
          <w:b/>
          <w:color w:val="auto"/>
          <w:sz w:val="28"/>
          <w:szCs w:val="28"/>
          <w:highlight w:val="none"/>
        </w:rPr>
        <w:outlineLvl w:val="1"/>
      </w:pPr>
      <w:r/>
      <w:bookmarkStart w:id="152" w:name="_Toc29630"/>
      <w:r>
        <w:rPr>
          <w:rFonts w:hint="eastAsia" w:ascii="宋体" w:hAnsi="宋体" w:eastAsia="宋体" w:cs="宋体"/>
          <w:b/>
          <w:color w:val="auto"/>
          <w:sz w:val="28"/>
          <w:szCs w:val="28"/>
          <w:highlight w:val="none"/>
        </w:rPr>
        <w:t xml:space="preserve">2.验收要求</w:t>
      </w:r>
      <w:bookmarkEnd w:id="152"/>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（1）由我单位组织相关专业技术人员，必要时邀请校外专家及质检等部门共同参与</w:t>
      </w:r>
      <w:r>
        <w:rPr>
          <w:rFonts w:hint="eastAsia" w:ascii="宋体" w:hAnsi="宋体" w:eastAsia="宋体" w:cs="宋体"/>
          <w:bCs/>
          <w:color w:val="auto"/>
          <w:sz w:val="28"/>
          <w:szCs w:val="28"/>
          <w:highlight w:val="none"/>
          <w:lang w:val="zh-CN"/>
        </w:rPr>
        <w:t xml:space="preserve">验收</w:t>
      </w:r>
      <w:r>
        <w:rPr>
          <w:rFonts w:hint="eastAsia" w:ascii="宋体" w:hAnsi="宋体" w:eastAsia="宋体" w:cs="宋体"/>
          <w:color w:val="auto"/>
          <w:sz w:val="28"/>
          <w:szCs w:val="28"/>
          <w:highlight w:val="none"/>
        </w:rPr>
        <w:t xml:space="preserve">，出具验收报告，作为支付货款的依据。由于验收而产生的所有费用由中标方负责。</w:t>
      </w:r>
      <w:r/>
    </w:p>
    <w:p>
      <w:pPr>
        <w:contextualSpacing/>
        <w:ind w:left="0" w:firstLine="562"/>
        <w:keepLines w:val="0"/>
        <w:keepNext w:val="0"/>
        <w:pageBreakBefore w:val="0"/>
        <w:spacing w:line="460" w:lineRule="exact"/>
        <w:tabs>
          <w:tab w:val="left" w:pos="5325" w:leader="none"/>
        </w:tabs>
        <w:rPr>
          <w:rFonts w:hint="eastAsia" w:ascii="宋体" w:hAnsi="宋体" w:eastAsia="宋体" w:cs="宋体"/>
          <w:b/>
          <w:color w:val="auto"/>
          <w:sz w:val="28"/>
          <w:szCs w:val="28"/>
          <w:highlight w:val="none"/>
        </w:rPr>
        <w:outlineLvl w:val="1"/>
      </w:pPr>
      <w:r/>
      <w:bookmarkStart w:id="153" w:name="_Toc29598"/>
      <w:r>
        <w:rPr>
          <w:rFonts w:hint="eastAsia" w:ascii="宋体" w:hAnsi="宋体" w:eastAsia="宋体" w:cs="宋体"/>
          <w:b/>
          <w:color w:val="auto"/>
          <w:sz w:val="28"/>
          <w:szCs w:val="28"/>
          <w:highlight w:val="none"/>
        </w:rPr>
        <w:t xml:space="preserve">3.项目交货期需求</w:t>
      </w:r>
      <w:bookmarkEnd w:id="153"/>
      <w:r/>
      <w:r/>
    </w:p>
    <w:p>
      <w:pPr>
        <w:ind w:left="0" w:firstLine="560"/>
        <w:keepLines w:val="0"/>
        <w:keepNext w:val="0"/>
        <w:pageBreakBefore w:val="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（1）签订合同日期：自中标（成交）通知书发出之日起</w:t>
      </w:r>
      <w:r>
        <w:rPr>
          <w:rFonts w:hint="eastAsia" w:ascii="宋体" w:hAnsi="宋体" w:eastAsia="宋体" w:cs="宋体"/>
          <w:color w:val="auto"/>
          <w:sz w:val="28"/>
          <w:szCs w:val="28"/>
          <w:highlight w:val="none"/>
          <w:u w:val="single"/>
        </w:rPr>
        <w:t xml:space="preserve"> 30 </w:t>
      </w:r>
      <w:r>
        <w:rPr>
          <w:rFonts w:hint="eastAsia" w:ascii="宋体" w:hAnsi="宋体" w:eastAsia="宋体" w:cs="宋体"/>
          <w:color w:val="auto"/>
          <w:sz w:val="28"/>
          <w:szCs w:val="28"/>
          <w:highlight w:val="none"/>
        </w:rPr>
        <w:t xml:space="preserve">个工作日内按时签约。</w:t>
      </w:r>
      <w:r/>
    </w:p>
    <w:p>
      <w:pPr>
        <w:ind w:left="0" w:firstLine="560"/>
        <w:keepLines w:val="0"/>
        <w:keepNext w:val="0"/>
        <w:pageBreakBefore w:val="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（2）交货期（服务时间）： 自合同签订之日起</w:t>
      </w:r>
      <w:r>
        <w:rPr>
          <w:rFonts w:hint="eastAsia" w:ascii="宋体" w:hAnsi="宋体" w:eastAsia="宋体" w:cs="宋体"/>
          <w:color w:val="auto"/>
          <w:sz w:val="28"/>
          <w:szCs w:val="28"/>
          <w:highlight w:val="none"/>
          <w:u w:val="single"/>
          <w:lang w:val="en-US" w:eastAsia="zh-CN"/>
        </w:rPr>
        <w:t xml:space="preserve">30</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天内</w:t>
      </w:r>
      <w:r>
        <w:rPr>
          <w:rFonts w:hint="eastAsia" w:ascii="宋体" w:hAnsi="宋体" w:eastAsia="宋体" w:cs="宋体"/>
          <w:color w:val="auto"/>
          <w:sz w:val="28"/>
          <w:szCs w:val="28"/>
          <w:highlight w:val="none"/>
          <w:lang w:val="en-US" w:eastAsia="zh-CN"/>
        </w:rPr>
        <w:t xml:space="preserve">完成供货</w:t>
      </w:r>
      <w:r>
        <w:rPr>
          <w:rFonts w:hint="eastAsia" w:ascii="宋体" w:hAnsi="宋体" w:eastAsia="宋体" w:cs="宋体"/>
          <w:color w:val="auto"/>
          <w:sz w:val="28"/>
          <w:szCs w:val="28"/>
          <w:highlight w:val="none"/>
        </w:rPr>
        <w:t xml:space="preserve">。</w:t>
      </w:r>
      <w:r/>
    </w:p>
    <w:p>
      <w:pPr>
        <w:contextualSpacing/>
        <w:ind w:left="0" w:firstLine="560"/>
        <w:keepLines w:val="0"/>
        <w:keepNext w:val="0"/>
        <w:pageBreakBefore w:val="0"/>
        <w:spacing w:line="460" w:lineRule="exact"/>
        <w:shd w:val="clear" w:color="auto" w:fill="ffffff"/>
        <w:widowControl/>
        <w:rPr>
          <w:rFonts w:hint="eastAsia" w:ascii="宋体" w:hAnsi="宋体" w:eastAsia="宋体" w:cs="宋体"/>
          <w:color w:val="auto"/>
          <w:sz w:val="28"/>
          <w:szCs w:val="28"/>
          <w:highlight w:val="none"/>
        </w:rPr>
        <w:outlineLvl w:val="2"/>
      </w:pPr>
      <w:r>
        <w:rPr>
          <w:rFonts w:hint="eastAsia" w:ascii="宋体" w:hAnsi="宋体" w:eastAsia="宋体" w:cs="宋体"/>
          <w:color w:val="auto"/>
          <w:sz w:val="28"/>
          <w:szCs w:val="28"/>
          <w:highlight w:val="none"/>
        </w:rPr>
        <w:t xml:space="preserve">（3）交货（服务）地点：</w:t>
      </w:r>
      <w:r>
        <w:rPr>
          <w:rFonts w:hint="eastAsia" w:ascii="宋体" w:hAnsi="宋体" w:eastAsia="宋体" w:cs="宋体"/>
          <w:color w:val="auto"/>
          <w:sz w:val="28"/>
          <w:szCs w:val="28"/>
          <w:highlight w:val="none"/>
          <w:u w:val="single"/>
          <w:lang w:val="en-US" w:eastAsia="zh-CN"/>
        </w:rPr>
        <w:t xml:space="preserve">南通职业大学</w:t>
      </w:r>
      <w:r>
        <w:rPr>
          <w:rFonts w:hint="eastAsia" w:ascii="宋体" w:hAnsi="宋体" w:eastAsia="宋体" w:cs="宋体"/>
          <w:color w:val="auto"/>
          <w:sz w:val="28"/>
          <w:szCs w:val="28"/>
          <w:highlight w:val="none"/>
        </w:rPr>
        <w:t xml:space="preserve">。</w:t>
      </w:r>
      <w:r/>
    </w:p>
    <w:p>
      <w:pPr>
        <w:contextualSpacing/>
        <w:ind w:left="0" w:firstLine="562"/>
        <w:jc w:val="left"/>
        <w:keepLines w:val="0"/>
        <w:keepNext w:val="0"/>
        <w:pageBreakBefore w:val="0"/>
        <w:spacing w:line="460" w:lineRule="exact"/>
        <w:tabs>
          <w:tab w:val="left" w:pos="5325" w:leader="none"/>
        </w:tabs>
        <w:rPr>
          <w:rFonts w:hint="eastAsia" w:ascii="宋体" w:hAnsi="宋体" w:eastAsia="宋体" w:cs="宋体"/>
          <w:b/>
          <w:color w:val="auto"/>
          <w:sz w:val="28"/>
          <w:szCs w:val="28"/>
          <w:highlight w:val="none"/>
          <w:lang w:val="zh-CN"/>
        </w:rPr>
        <w:outlineLvl w:val="1"/>
      </w:pPr>
      <w:r/>
      <w:bookmarkStart w:id="154" w:name="_Toc12160"/>
      <w:r>
        <w:rPr>
          <w:rFonts w:hint="eastAsia" w:ascii="宋体" w:hAnsi="宋体" w:eastAsia="宋体" w:cs="宋体"/>
          <w:b/>
          <w:bCs/>
          <w:color w:val="auto"/>
          <w:sz w:val="28"/>
          <w:szCs w:val="28"/>
          <w:highlight w:val="none"/>
          <w:lang w:val="zh-CN"/>
        </w:rPr>
        <w:t xml:space="preserve">4.</w:t>
      </w:r>
      <w:r>
        <w:rPr>
          <w:rFonts w:hint="eastAsia" w:ascii="宋体" w:hAnsi="宋体" w:eastAsia="宋体" w:cs="宋体"/>
          <w:b/>
          <w:color w:val="auto"/>
          <w:sz w:val="28"/>
          <w:szCs w:val="28"/>
          <w:highlight w:val="none"/>
          <w:lang w:val="zh-CN"/>
        </w:rPr>
        <w:t xml:space="preserve">付款</w:t>
      </w:r>
      <w:bookmarkEnd w:id="154"/>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zh-CN"/>
        </w:rPr>
        <w:t xml:space="preserve">（1）申请</w:t>
      </w:r>
      <w:r>
        <w:rPr>
          <w:rFonts w:hint="eastAsia" w:ascii="宋体" w:hAnsi="宋体" w:eastAsia="宋体" w:cs="宋体"/>
          <w:color w:val="auto"/>
          <w:sz w:val="28"/>
          <w:szCs w:val="28"/>
          <w:highlight w:val="none"/>
        </w:rPr>
        <w:t xml:space="preserve">部门应在项目验收合格后按合同约定办理结算手续。</w:t>
      </w:r>
      <w:r/>
    </w:p>
    <w:p>
      <w:pPr>
        <w:contextualSpacing/>
        <w:ind w:left="0" w:firstLine="560"/>
        <w:jc w:val="left"/>
        <w:keepLines w:val="0"/>
        <w:keepNext w:val="0"/>
        <w:pageBreakBefore w:val="0"/>
        <w:spacing w:line="460" w:lineRule="exact"/>
        <w:tabs>
          <w:tab w:val="left" w:pos="53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（2）付款方式：</w:t>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bookmarkStart w:id="155" w:name="_Toc19980"/>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合同签订后支付合同额30%预付款，设备安装调试经验收合格后，票据齐全，</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一次性支清全部货款。</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2"/>
      </w:pPr>
      <w:r>
        <w:rPr>
          <w:rFonts w:hint="eastAsia" w:ascii="宋体" w:hAnsi="宋体" w:eastAsia="宋体" w:cs="宋体"/>
          <w:color w:val="auto"/>
          <w:sz w:val="28"/>
          <w:szCs w:val="28"/>
          <w:highlight w:val="none"/>
        </w:rPr>
        <w:t xml:space="preserve">四、履约保证金</w:t>
      </w:r>
      <w:bookmarkEnd w:id="155"/>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2.乙方全部履约合同义务，经甲方验收合格无质量、进度等问题的，甲方在本项目</w:t>
      </w:r>
      <w:r>
        <w:rPr>
          <w:rFonts w:hint="eastAsia" w:ascii="宋体" w:hAnsi="宋体" w:eastAsia="宋体" w:cs="宋体"/>
          <w:color w:val="auto"/>
          <w:sz w:val="28"/>
          <w:szCs w:val="28"/>
          <w:highlight w:val="none"/>
          <w:lang w:eastAsia="zh-CN"/>
        </w:rPr>
        <w:t xml:space="preserve">质保期满</w:t>
      </w:r>
      <w:r>
        <w:rPr>
          <w:rFonts w:hint="eastAsia" w:ascii="宋体" w:hAnsi="宋体" w:eastAsia="宋体" w:cs="宋体"/>
          <w:color w:val="auto"/>
          <w:sz w:val="28"/>
          <w:szCs w:val="28"/>
          <w:highlight w:val="none"/>
          <w:lang w:val="en-US" w:eastAsia="zh-CN"/>
        </w:rPr>
        <w:t xml:space="preserve">后</w:t>
      </w:r>
      <w:r>
        <w:rPr>
          <w:rFonts w:hint="eastAsia" w:ascii="宋体" w:hAnsi="宋体" w:eastAsia="宋体" w:cs="宋体"/>
          <w:color w:val="auto"/>
          <w:sz w:val="28"/>
          <w:szCs w:val="28"/>
          <w:highlight w:val="none"/>
        </w:rPr>
        <w:t xml:space="preserve">一次性退还履约保证金，甲方若逾期退还履约保证金的，按照逾期部分的每日0.05%支付违约金；</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1"/>
      </w:pPr>
      <w:r/>
      <w:bookmarkStart w:id="156" w:name="_Toc10818"/>
      <w:r>
        <w:rPr>
          <w:rFonts w:hint="eastAsia" w:ascii="宋体" w:hAnsi="宋体" w:eastAsia="宋体" w:cs="宋体"/>
          <w:color w:val="auto"/>
          <w:sz w:val="28"/>
          <w:szCs w:val="28"/>
          <w:highlight w:val="none"/>
        </w:rPr>
        <w:t xml:space="preserve">3.发生以下情况的，履约保证金不予退还或部分退还：</w:t>
      </w:r>
      <w:bookmarkEnd w:id="156"/>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a.签订合同后，乙方不履行合同义务的，甲方有权全额扣除履约保证金，全额不予退还，同时甲方亦有权终止合同，乙方还须承担相应的法律赔偿责任。</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b.乙方在履约过程中发生违约行为，给甲方造成损失的，甲方有权在乙方缴纳的履约保证金中予以扣款，以弥补甲方经济损失，不足的部分乙方另外补齐。</w:t>
      </w:r>
      <w:r/>
    </w:p>
    <w:p>
      <w:pPr>
        <w:ind w:left="0" w:firstLine="560"/>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4.以履约保函（保险）形式向招标人缴纳的，按照《关于在全省政府采购领域推行电子履约保函（保险）的通知》，登录江苏政府采购网，选择“保险保函”模块，进行相关操作。投标人</w:t>
      </w:r>
      <w:r>
        <w:rPr>
          <w:rFonts w:hint="eastAsia" w:ascii="宋体" w:hAnsi="宋体" w:eastAsia="宋体" w:cs="宋体"/>
          <w:color w:val="auto"/>
          <w:sz w:val="28"/>
          <w:szCs w:val="28"/>
          <w:highlight w:val="none"/>
          <w:lang w:eastAsia="zh-CN"/>
        </w:rPr>
        <w:t xml:space="preserve">可登录</w:t>
      </w:r>
      <w:r>
        <w:rPr>
          <w:rFonts w:hint="eastAsia" w:ascii="宋体" w:hAnsi="宋体" w:eastAsia="宋体" w:cs="宋体"/>
          <w:color w:val="auto"/>
          <w:sz w:val="28"/>
          <w:szCs w:val="28"/>
          <w:highlight w:val="none"/>
        </w:rPr>
        <w:t xml:space="preserve">江苏政府采购网“资料下载”栏目下载“政府采购电子履约（保函）保险操作手册（网址：www.ccgp-jiangsu.gov.cn/jisngsu/zlxz/)。</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2"/>
      </w:pPr>
      <w:r/>
      <w:bookmarkStart w:id="157" w:name="_Toc11329"/>
      <w:r>
        <w:rPr>
          <w:rFonts w:hint="eastAsia" w:ascii="宋体" w:hAnsi="宋体" w:eastAsia="宋体" w:cs="宋体"/>
          <w:color w:val="auto"/>
          <w:sz w:val="28"/>
          <w:szCs w:val="28"/>
          <w:highlight w:val="none"/>
        </w:rPr>
        <w:t xml:space="preserve">五、违约责任：</w:t>
      </w:r>
      <w:bookmarkEnd w:id="157"/>
      <w:r/>
      <w:r/>
    </w:p>
    <w:p>
      <w:pPr>
        <w:ind w:left="0"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（1）供方不能按期供货，供方付给需方违约金（违约金的计算：合同总额的0.5%/天）。需方原因或不可抗力的因素影响除外。</w:t>
      </w:r>
      <w:r/>
    </w:p>
    <w:p>
      <w:pPr>
        <w:ind w:left="0"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（2）供方低于合同配置、技术标准供货，供方负有下列</w:t>
      </w:r>
      <w:r>
        <w:rPr>
          <w:rFonts w:hint="eastAsia" w:ascii="宋体" w:hAnsi="宋体" w:eastAsia="宋体" w:cs="宋体"/>
          <w:b/>
          <w:color w:val="auto"/>
          <w:sz w:val="28"/>
          <w:szCs w:val="28"/>
          <w:highlight w:val="none"/>
          <w:u w:val="single"/>
        </w:rPr>
        <w:t xml:space="preserve">第 ① 种 </w:t>
      </w:r>
      <w:r>
        <w:rPr>
          <w:rFonts w:hint="eastAsia" w:ascii="宋体" w:hAnsi="宋体" w:eastAsia="宋体" w:cs="宋体"/>
          <w:color w:val="auto"/>
          <w:sz w:val="28"/>
          <w:szCs w:val="28"/>
          <w:highlight w:val="none"/>
        </w:rPr>
        <w:t xml:space="preserve">责任：</w:t>
      </w:r>
      <w:r/>
    </w:p>
    <w:p>
      <w:pPr>
        <w:ind w:left="0"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eq \o\ac(</w:instrText>
      </w:r>
      <w:r>
        <w:rPr>
          <w:rFonts w:hint="eastAsia" w:ascii="宋体" w:hAnsi="宋体" w:eastAsia="宋体" w:cs="宋体"/>
          <w:color w:val="auto"/>
          <w:position w:val="-5"/>
          <w:sz w:val="42"/>
          <w:szCs w:val="28"/>
          <w:highlight w:val="none"/>
        </w:rPr>
        <w:instrText xml:space="preserve">○</w:instrText>
      </w:r>
      <w:r>
        <w:rPr>
          <w:rFonts w:hint="eastAsia" w:ascii="宋体" w:hAnsi="宋体" w:eastAsia="宋体" w:cs="宋体"/>
          <w:color w:val="auto"/>
          <w:position w:val="0"/>
          <w:sz w:val="28"/>
          <w:szCs w:val="28"/>
          <w:highlight w:val="none"/>
        </w:rPr>
        <w:instrText xml:space="preserve">,1)</w:instrTex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供方恢复合同规定的配置、技术标准（或不低于原配置、原标准），遇价格下降的，供方退还差价；遇价格上涨的，按原价格执行。同时供方付给需方合同总价款</w:t>
      </w:r>
      <w:r>
        <w:rPr>
          <w:rFonts w:hint="eastAsia" w:ascii="宋体" w:hAnsi="宋体" w:eastAsia="宋体" w:cs="宋体"/>
          <w:color w:val="auto"/>
          <w:sz w:val="28"/>
          <w:szCs w:val="28"/>
          <w:highlight w:val="none"/>
          <w:u w:val="single"/>
        </w:rPr>
        <w:t xml:space="preserve">  10   </w:t>
      </w:r>
      <w:r>
        <w:rPr>
          <w:rFonts w:hint="eastAsia" w:ascii="宋体" w:hAnsi="宋体" w:eastAsia="宋体" w:cs="宋体"/>
          <w:color w:val="auto"/>
          <w:sz w:val="28"/>
          <w:szCs w:val="28"/>
          <w:highlight w:val="none"/>
        </w:rPr>
        <w:t xml:space="preserve">%的违约金。</w:t>
      </w:r>
      <w:r/>
    </w:p>
    <w:p>
      <w:pPr>
        <w:ind w:left="0"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eq \o\ac(</w:instrText>
      </w:r>
      <w:r>
        <w:rPr>
          <w:rFonts w:hint="eastAsia" w:ascii="宋体" w:hAnsi="宋体" w:eastAsia="宋体" w:cs="宋体"/>
          <w:color w:val="auto"/>
          <w:position w:val="-5"/>
          <w:sz w:val="42"/>
          <w:szCs w:val="28"/>
          <w:highlight w:val="none"/>
        </w:rPr>
        <w:instrText xml:space="preserve">○</w:instrText>
      </w:r>
      <w:r>
        <w:rPr>
          <w:rFonts w:hint="eastAsia" w:ascii="宋体" w:hAnsi="宋体" w:eastAsia="宋体" w:cs="宋体"/>
          <w:color w:val="auto"/>
          <w:position w:val="0"/>
          <w:sz w:val="28"/>
          <w:szCs w:val="28"/>
          <w:highlight w:val="none"/>
        </w:rPr>
        <w:instrText xml:space="preserve">,2)</w:instrTex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需方退货，同时，供方付给需方合同总价款</w:t>
      </w:r>
      <w:r>
        <w:rPr>
          <w:rFonts w:hint="eastAsia" w:ascii="宋体" w:hAnsi="宋体" w:eastAsia="宋体" w:cs="宋体"/>
          <w:color w:val="auto"/>
          <w:sz w:val="28"/>
          <w:szCs w:val="28"/>
          <w:highlight w:val="none"/>
          <w:u w:val="single"/>
        </w:rPr>
        <w:t xml:space="preserve"> 10  </w:t>
      </w:r>
      <w:r>
        <w:rPr>
          <w:rFonts w:hint="eastAsia" w:ascii="宋体" w:hAnsi="宋体" w:eastAsia="宋体" w:cs="宋体"/>
          <w:color w:val="auto"/>
          <w:sz w:val="28"/>
          <w:szCs w:val="28"/>
          <w:highlight w:val="none"/>
        </w:rPr>
        <w:t xml:space="preserve"> %的违约金。</w:t>
      </w:r>
      <w:r/>
    </w:p>
    <w:p>
      <w:pPr>
        <w:ind w:left="0"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（3）供方不能按期服务、降低服务标准、服务质量，或不兑现服务承诺，供方返还向需方收取的服务费，并付给需方合同总价款</w:t>
      </w:r>
      <w:r>
        <w:rPr>
          <w:rFonts w:hint="eastAsia" w:ascii="宋体" w:hAnsi="宋体" w:eastAsia="宋体" w:cs="宋体"/>
          <w:color w:val="auto"/>
          <w:sz w:val="28"/>
          <w:szCs w:val="28"/>
          <w:highlight w:val="none"/>
          <w:u w:val="single"/>
        </w:rPr>
        <w:t xml:space="preserve"> 10  </w:t>
      </w:r>
      <w:r>
        <w:rPr>
          <w:rFonts w:hint="eastAsia" w:ascii="宋体" w:hAnsi="宋体" w:eastAsia="宋体" w:cs="宋体"/>
          <w:color w:val="auto"/>
          <w:sz w:val="28"/>
          <w:szCs w:val="28"/>
          <w:highlight w:val="none"/>
        </w:rPr>
        <w:t xml:space="preserve">%的违约金。</w:t>
      </w:r>
      <w:r/>
    </w:p>
    <w:p>
      <w:pPr>
        <w:ind w:left="0"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（4）需方除供方低于合同配置、技术标准供货或不可抗力因素外，要求退货或不接受货物的，付给供方合同总价款</w:t>
      </w:r>
      <w:r>
        <w:rPr>
          <w:rFonts w:hint="eastAsia" w:ascii="宋体" w:hAnsi="宋体" w:eastAsia="宋体" w:cs="宋体"/>
          <w:color w:val="auto"/>
          <w:sz w:val="28"/>
          <w:szCs w:val="28"/>
          <w:highlight w:val="none"/>
          <w:u w:val="single"/>
        </w:rPr>
        <w:t xml:space="preserve"> 10 </w:t>
      </w:r>
      <w:r>
        <w:rPr>
          <w:rFonts w:hint="eastAsia" w:ascii="宋体" w:hAnsi="宋体" w:eastAsia="宋体" w:cs="宋体"/>
          <w:color w:val="auto"/>
          <w:sz w:val="28"/>
          <w:szCs w:val="28"/>
          <w:highlight w:val="none"/>
        </w:rPr>
        <w:t xml:space="preserve">%的违约金。</w:t>
      </w:r>
      <w:r/>
    </w:p>
    <w:p>
      <w:pPr>
        <w:ind w:left="0"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（5）供方需按合同总价款的</w:t>
      </w:r>
      <w:r>
        <w:rPr>
          <w:rFonts w:hint="eastAsia" w:ascii="宋体" w:hAnsi="宋体" w:eastAsia="宋体" w:cs="宋体"/>
          <w:color w:val="auto"/>
          <w:sz w:val="28"/>
          <w:szCs w:val="28"/>
          <w:highlight w:val="none"/>
          <w:u w:val="single"/>
        </w:rPr>
        <w:t xml:space="preserve"> 10 </w:t>
      </w:r>
      <w:r>
        <w:rPr>
          <w:rFonts w:hint="eastAsia" w:ascii="宋体" w:hAnsi="宋体" w:eastAsia="宋体" w:cs="宋体"/>
          <w:color w:val="auto"/>
          <w:sz w:val="28"/>
          <w:szCs w:val="28"/>
          <w:highlight w:val="none"/>
        </w:rPr>
        <w:t xml:space="preserve">%支付给需方履约保证金，货物（服务）验收合格满一年后，需方不计利息全额返还供方。</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六、本合同在履行过程中发生争议及解决纠纷方式：由双方当事人协商解决；也可提交当地财政政府采购管理部门或工商管理部门调解，协商或调解不成的，按下列第</w:t>
      </w:r>
      <w:r>
        <w:rPr>
          <w:rFonts w:hint="eastAsia" w:ascii="宋体" w:hAnsi="宋体" w:eastAsia="宋体" w:cs="宋体"/>
          <w:b/>
          <w:color w:val="auto"/>
          <w:sz w:val="28"/>
          <w:szCs w:val="28"/>
          <w:highlight w:val="none"/>
          <w:u w:val="single"/>
        </w:rPr>
        <w:t xml:space="preserve">2</w:t>
      </w:r>
      <w:r>
        <w:rPr>
          <w:rFonts w:hint="eastAsia" w:ascii="宋体" w:hAnsi="宋体" w:eastAsia="宋体" w:cs="宋体"/>
          <w:color w:val="auto"/>
          <w:sz w:val="28"/>
          <w:szCs w:val="28"/>
          <w:highlight w:val="none"/>
        </w:rPr>
        <w:t xml:space="preserve">种方式解决：</w:t>
      </w:r>
      <w:r/>
    </w:p>
    <w:p>
      <w:pPr>
        <w:numPr>
          <w:ilvl w:val="0"/>
          <w:numId w:val="0"/>
        </w:numPr>
        <w:ind w:left="0" w:firstLine="560"/>
        <w:keepLines w:val="0"/>
        <w:keepNext w:val="0"/>
        <w:pageBreakBefore w:val="0"/>
        <w:spacing w:line="500" w:lineRule="exact"/>
        <w:rPr>
          <w:rFonts w:hint="eastAsia" w:ascii="宋体" w:hAnsi="宋体" w:eastAsia="宋体" w:cs="宋体"/>
          <w:color w:val="auto"/>
          <w:sz w:val="28"/>
          <w:szCs w:val="28"/>
          <w:highlight w:val="none"/>
        </w:rPr>
        <w:outlineLvl w:val="1"/>
      </w:pPr>
      <w:r/>
      <w:bookmarkStart w:id="158" w:name="_Toc26573"/>
      <w:r>
        <w:rPr>
          <w:rFonts w:hint="default"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rPr>
        <w:t xml:space="preserve">提交南通仲裁委员会仲裁。</w:t>
      </w:r>
      <w:r/>
    </w:p>
    <w:p>
      <w:pPr>
        <w:numPr>
          <w:ilvl w:val="0"/>
          <w:numId w:val="0"/>
        </w:numPr>
        <w:ind w:left="0" w:firstLine="560"/>
        <w:keepLines w:val="0"/>
        <w:keepNext w:val="0"/>
        <w:pageBreakBefore w:val="0"/>
        <w:spacing w:line="500" w:lineRule="exact"/>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依法向人民法院起诉。</w:t>
      </w:r>
      <w:bookmarkEnd w:id="158"/>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七、招标文件和投标文件为合同的有限组成部分，与合同有同等效力。</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八、本合同一式五份。乙方一份、甲方四份。每份合同共</w:t>
      </w:r>
      <w:r>
        <w:rPr>
          <w:rFonts w:hint="eastAsia" w:ascii="宋体" w:hAnsi="宋体" w:eastAsia="宋体" w:cs="宋体"/>
          <w:color w:val="auto"/>
          <w:sz w:val="28"/>
          <w:szCs w:val="28"/>
          <w:highlight w:val="none"/>
          <w:u w:val="single"/>
        </w:rPr>
        <w:t xml:space="preserve">  </w:t>
      </w:r>
      <w:r>
        <w:rPr>
          <w:rFonts w:hint="eastAsia" w:ascii="宋体" w:hAnsi="宋体" w:eastAsia="宋体" w:cs="宋体"/>
          <w:b/>
          <w:color w:val="auto"/>
          <w:sz w:val="28"/>
          <w:szCs w:val="28"/>
          <w:highlight w:val="none"/>
          <w:u w:val="single"/>
        </w:rPr>
        <w:t xml:space="preserve">4  </w:t>
      </w:r>
      <w:r>
        <w:rPr>
          <w:rFonts w:hint="eastAsia" w:ascii="宋体" w:hAnsi="宋体" w:eastAsia="宋体" w:cs="宋体"/>
          <w:color w:val="auto"/>
          <w:sz w:val="28"/>
          <w:szCs w:val="28"/>
          <w:highlight w:val="none"/>
        </w:rPr>
        <w:t xml:space="preserve">页，残缺者无效。</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2"/>
      </w:pPr>
      <w:r/>
      <w:bookmarkStart w:id="159" w:name="_Toc8255"/>
      <w:r>
        <w:rPr>
          <w:rFonts w:hint="eastAsia" w:ascii="宋体" w:hAnsi="宋体" w:eastAsia="宋体" w:cs="宋体"/>
          <w:color w:val="auto"/>
          <w:sz w:val="28"/>
          <w:szCs w:val="28"/>
          <w:highlight w:val="none"/>
        </w:rPr>
        <w:t xml:space="preserve">九、乙方汇款信息：</w:t>
      </w:r>
      <w:bookmarkEnd w:id="159"/>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乙方开户行名称：</w:t>
      </w:r>
      <w:r>
        <w:rPr>
          <w:rFonts w:hint="eastAsia" w:ascii="宋体" w:hAnsi="宋体" w:eastAsia="宋体" w:cs="宋体"/>
          <w:color w:val="auto"/>
          <w:sz w:val="28"/>
          <w:szCs w:val="28"/>
          <w:highlight w:val="none"/>
          <w:u w:val="single"/>
        </w:rPr>
        <w:t xml:space="preserve">             </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w:t>
      </w:r>
      <w:r>
        <w:rPr>
          <w:rFonts w:hint="eastAsia" w:ascii="宋体" w:hAnsi="宋体" w:eastAsia="宋体" w:cs="宋体"/>
          <w:color w:val="auto"/>
          <w:sz w:val="28"/>
          <w:szCs w:val="28"/>
          <w:highlight w:val="none"/>
          <w:u w:val="single"/>
        </w:rPr>
        <w:t xml:space="preserve">             </w:t>
      </w:r>
      <w:r/>
    </w:p>
    <w:p>
      <w:pPr>
        <w:ind w:left="0" w:firstLine="560"/>
        <w:keepLines w:val="0"/>
        <w:keepNext w:val="0"/>
        <w:pageBreakBefore w:val="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开   户     行：</w:t>
      </w:r>
      <w:r>
        <w:rPr>
          <w:rFonts w:hint="eastAsia" w:ascii="宋体" w:hAnsi="宋体" w:eastAsia="宋体" w:cs="宋体"/>
          <w:color w:val="auto"/>
          <w:sz w:val="28"/>
          <w:szCs w:val="28"/>
          <w:highlight w:val="none"/>
          <w:u w:val="single"/>
        </w:rPr>
        <w:t xml:space="preserve">     </w:t>
      </w:r>
      <w:r/>
    </w:p>
    <w:p>
      <w:pPr>
        <w:ind w:left="0" w:firstLine="560"/>
        <w:keepLines w:val="0"/>
        <w:keepNext w:val="0"/>
        <w:pageBreakBefore w:val="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p>
    <w:p>
      <w:pPr>
        <w:spacing w:line="480" w:lineRule="exact"/>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tbl>
      <w:tblPr>
        <w:tblStyle w:val="953"/>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4"/>
        <w:gridCol w:w="4822"/>
      </w:tblGrid>
      <w:tr>
        <w:trPr>
          <w:cantSplit/>
          <w:trHeight w:val="55"/>
        </w:trPr>
        <w:tc>
          <w:tcPr>
            <w:tcW w:w="4564" w:type="dxa"/>
            <w:vAlign w:val="center"/>
            <w:textDirection w:val="lrTb"/>
            <w:noWrap w:val="false"/>
          </w:tcPr>
          <w:p>
            <w:pPr>
              <w:jc w:val="cente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p>
        </w:tc>
        <w:tc>
          <w:tcPr>
            <w:tcW w:w="4822" w:type="dxa"/>
            <w:vAlign w:val="center"/>
            <w:textDirection w:val="lrTb"/>
            <w:noWrap w:val="false"/>
          </w:tcPr>
          <w:p>
            <w:pPr>
              <w:jc w:val="cente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p>
        </w:tc>
      </w:tr>
      <w:tr>
        <w:trPr>
          <w:cantSplit/>
          <w:trHeight w:val="55"/>
        </w:trPr>
        <w:tc>
          <w:tcPr>
            <w:tcW w:w="4564" w:type="dxa"/>
            <w:vAlign w:val="center"/>
            <w:textDirection w:val="lrTb"/>
            <w:noWrap w:val="false"/>
          </w:tcPr>
          <w:p>
            <w:pP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法定代表人或授权人（签名）：</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单位名称（章）</w:t>
            </w:r>
            <w:r>
              <w:rPr>
                <w:rFonts w:hint="eastAsia" w:ascii="宋体" w:hAnsi="宋体" w:eastAsia="宋体" w:cs="宋体"/>
                <w:color w:val="auto"/>
                <w:sz w:val="28"/>
                <w:szCs w:val="28"/>
                <w:highlight w:val="none"/>
              </w:rPr>
              <w:t xml:space="preserve">：</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120"/>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120"/>
              <w:jc w:val="right"/>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tc>
        <w:tc>
          <w:tcPr>
            <w:tcW w:w="4822" w:type="dxa"/>
            <w:vAlign w:val="center"/>
            <w:textDirection w:val="lrTb"/>
            <w:noWrap w:val="false"/>
          </w:tcPr>
          <w:p>
            <w:pPr>
              <w:spacing w:line="38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法定代表人或授权人（签名）</w:t>
            </w:r>
            <w:r>
              <w:rPr>
                <w:rFonts w:hint="eastAsia" w:ascii="宋体" w:hAnsi="宋体" w:eastAsia="宋体" w:cs="宋体"/>
                <w:color w:val="auto"/>
                <w:sz w:val="28"/>
                <w:szCs w:val="28"/>
                <w:highlight w:val="none"/>
              </w:rPr>
              <w:t xml:space="preserve">：</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单位名称（章）</w:t>
            </w:r>
            <w:r>
              <w:rPr>
                <w:rFonts w:hint="eastAsia" w:ascii="宋体" w:hAnsi="宋体" w:eastAsia="宋体" w:cs="宋体"/>
                <w:color w:val="auto"/>
                <w:sz w:val="28"/>
                <w:szCs w:val="28"/>
                <w:highlight w:val="none"/>
              </w:rPr>
              <w:t xml:space="preserve">： </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120"/>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120"/>
              <w:jc w:val="right"/>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tc>
      </w:tr>
    </w:tbl>
    <w:p>
      <w:pPr>
        <w:jc w:val="left"/>
        <w:spacing w:line="460" w:lineRule="exact"/>
        <w:rPr>
          <w:rFonts w:ascii="宋体" w:hAnsi="宋体" w:cs="宋体"/>
          <w:bCs/>
          <w:color w:val="auto"/>
          <w:sz w:val="24"/>
          <w:highlight w:val="none"/>
        </w:rPr>
      </w:pPr>
      <w:r>
        <w:rPr>
          <w:rFonts w:ascii="宋体" w:hAnsi="宋体" w:cs="宋体"/>
          <w:bCs/>
          <w:color w:val="auto"/>
          <w:sz w:val="24"/>
          <w:highlight w:val="none"/>
        </w:rPr>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24"/>
          <w:highlight w:val="none"/>
        </w:rPr>
        <w:br w:type="page" w:clear="all"/>
      </w:r>
      <w:bookmarkStart w:id="160" w:name="_Toc26259"/>
      <w:r/>
      <w:bookmarkStart w:id="161" w:name="_Toc30320"/>
      <w:r>
        <w:rPr>
          <w:rFonts w:hint="eastAsia" w:ascii="宋体" w:hAnsi="宋体" w:cs="宋体"/>
          <w:bCs/>
          <w:color w:val="auto"/>
          <w:sz w:val="36"/>
          <w:szCs w:val="36"/>
          <w:highlight w:val="none"/>
        </w:rPr>
        <w:t xml:space="preserve">第四部分  开标和评标</w:t>
      </w:r>
      <w:bookmarkEnd w:id="160"/>
      <w:r/>
      <w:bookmarkEnd w:id="161"/>
      <w:r/>
      <w:r/>
    </w:p>
    <w:p>
      <w:pPr>
        <w:pStyle w:val="1020"/>
        <w:ind w:left="0" w:right="0" w:firstLine="562"/>
        <w:jc w:val="left"/>
        <w:spacing w:before="0" w:after="0" w:line="460" w:lineRule="exact"/>
        <w:rPr>
          <w:rFonts w:ascii="宋体" w:hAnsi="宋体" w:cs="宋体"/>
          <w:b/>
          <w:color w:val="auto"/>
          <w:sz w:val="28"/>
          <w:szCs w:val="28"/>
          <w:highlight w:val="none"/>
        </w:rPr>
        <w:outlineLvl w:val="1"/>
      </w:pPr>
      <w:r/>
      <w:bookmarkStart w:id="162" w:name="_Toc29131"/>
      <w:r>
        <w:rPr>
          <w:rFonts w:hint="eastAsia" w:ascii="宋体" w:hAnsi="宋体" w:cs="宋体"/>
          <w:b/>
          <w:color w:val="auto"/>
          <w:sz w:val="28"/>
          <w:szCs w:val="28"/>
          <w:highlight w:val="none"/>
        </w:rPr>
        <w:t xml:space="preserve">一、开标</w:t>
      </w:r>
      <w:bookmarkEnd w:id="162"/>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20"/>
        <w:ind w:left="0" w:right="0" w:firstLine="562"/>
        <w:jc w:val="left"/>
        <w:spacing w:before="0" w:after="0" w:line="460" w:lineRule="exact"/>
        <w:rPr>
          <w:rFonts w:ascii="宋体" w:hAnsi="宋体" w:cs="宋体"/>
          <w:b/>
          <w:color w:val="auto"/>
          <w:sz w:val="28"/>
          <w:szCs w:val="28"/>
          <w:highlight w:val="none"/>
        </w:rPr>
        <w:outlineLvl w:val="1"/>
      </w:pPr>
      <w:r/>
      <w:bookmarkStart w:id="163" w:name="_Toc28154"/>
      <w:r>
        <w:rPr>
          <w:rFonts w:hint="eastAsia" w:ascii="宋体" w:hAnsi="宋体" w:cs="宋体"/>
          <w:b/>
          <w:color w:val="auto"/>
          <w:sz w:val="28"/>
          <w:szCs w:val="28"/>
          <w:highlight w:val="none"/>
        </w:rPr>
        <w:t xml:space="preserve">二、评标流程和评标标准</w:t>
      </w:r>
      <w:bookmarkEnd w:id="163"/>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ascii="宋体" w:hAnsi="宋体" w:cs="宋体"/>
          <w:b/>
          <w:color w:val="auto"/>
          <w:sz w:val="28"/>
          <w:szCs w:val="28"/>
          <w:highlight w:val="none"/>
        </w:rPr>
        <w:outlineLvl w:val="2"/>
      </w:pPr>
      <w:r/>
      <w:bookmarkStart w:id="164" w:name="_Toc13980"/>
      <w:r>
        <w:rPr>
          <w:rFonts w:hint="eastAsia" w:ascii="宋体" w:hAnsi="宋体" w:cs="宋体"/>
          <w:b/>
          <w:color w:val="auto"/>
          <w:sz w:val="28"/>
          <w:szCs w:val="28"/>
          <w:highlight w:val="none"/>
        </w:rPr>
        <w:t xml:space="preserve">（一）招标人（代表）对投标人资格进行审查。</w:t>
      </w:r>
      <w:bookmarkEnd w:id="164"/>
      <w:r/>
      <w:r/>
    </w:p>
    <w:p>
      <w:pPr>
        <w:pStyle w:val="1024"/>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ascii="宋体" w:hAnsi="宋体" w:cs="宋体"/>
          <w:b/>
          <w:color w:val="auto"/>
          <w:sz w:val="28"/>
          <w:szCs w:val="28"/>
          <w:highlight w:val="none"/>
        </w:rPr>
        <w:outlineLvl w:val="2"/>
      </w:pPr>
      <w:r/>
      <w:bookmarkStart w:id="165" w:name="_Toc8474"/>
      <w:r>
        <w:rPr>
          <w:rFonts w:hint="eastAsia" w:ascii="宋体" w:hAnsi="宋体" w:cs="宋体"/>
          <w:b/>
          <w:color w:val="auto"/>
          <w:sz w:val="28"/>
          <w:szCs w:val="28"/>
          <w:highlight w:val="none"/>
        </w:rPr>
        <w:t xml:space="preserve">（二）评标委员会对符合资格投标人的投标文件进行符合性审查。</w:t>
      </w:r>
      <w:bookmarkEnd w:id="165"/>
      <w:r/>
      <w:r/>
    </w:p>
    <w:p>
      <w:pPr>
        <w:pStyle w:val="1024"/>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ascii="宋体" w:hAnsi="宋体" w:cs="宋体"/>
          <w:color w:val="auto"/>
          <w:sz w:val="28"/>
          <w:szCs w:val="28"/>
          <w:highlight w:val="none"/>
          <w:lang w:val="zh-CN"/>
        </w:rPr>
        <w:outlineLvl w:val="2"/>
      </w:pPr>
      <w:r/>
      <w:bookmarkStart w:id="166"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70</w:t>
      </w:r>
      <w:r>
        <w:rPr>
          <w:rFonts w:hint="eastAsia" w:ascii="宋体" w:hAnsi="宋体" w:cs="宋体"/>
          <w:color w:val="auto"/>
          <w:sz w:val="28"/>
          <w:szCs w:val="28"/>
          <w:highlight w:val="none"/>
          <w:lang w:val="zh-CN"/>
        </w:rPr>
        <w:t xml:space="preserve">分</w:t>
      </w:r>
      <w:bookmarkEnd w:id="16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tbl>
      <w:tblPr>
        <w:tblStyle w:val="953"/>
        <w:tblW w:w="57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007"/>
        <w:gridCol w:w="5022"/>
        <w:gridCol w:w="1035"/>
        <w:gridCol w:w="935"/>
        <w:gridCol w:w="1029"/>
      </w:tblGrid>
      <w:tr>
        <w:trPr>
          <w:jc w:val="center"/>
          <w:trHeight w:val="250"/>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51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评分因素</w:t>
            </w:r>
            <w:r/>
          </w:p>
        </w:tc>
        <w:tc>
          <w:tcPr>
            <w:tcBorders>
              <w:top w:val="single" w:color="auto" w:sz="4" w:space="0"/>
              <w:left w:val="none" w:color="000000" w:sz="4" w:space="0"/>
              <w:bottom w:val="single" w:color="auto" w:sz="4" w:space="0"/>
              <w:right w:val="single" w:color="auto" w:sz="4" w:space="0"/>
            </w:tcBorders>
            <w:tcW w:w="257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评审标准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最高分</w:t>
            </w:r>
            <w:r/>
          </w:p>
        </w:tc>
        <w:tc>
          <w:tcPr>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最</w:t>
            </w:r>
            <w:r>
              <w:rPr>
                <w:rFonts w:hint="eastAsia" w:ascii="宋体" w:hAnsi="宋体" w:cs="宋体"/>
                <w:b/>
                <w:bCs/>
                <w:color w:val="auto"/>
                <w:sz w:val="28"/>
                <w:szCs w:val="28"/>
                <w:highlight w:val="none"/>
                <w:lang w:val="en-US" w:eastAsia="zh-CN"/>
              </w:rPr>
              <w:t xml:space="preserve">低</w:t>
            </w:r>
            <w:r>
              <w:rPr>
                <w:rFonts w:hint="eastAsia" w:ascii="宋体" w:hAnsi="宋体" w:eastAsia="宋体" w:cs="宋体"/>
                <w:b/>
                <w:bCs/>
                <w:color w:val="auto"/>
                <w:sz w:val="28"/>
                <w:szCs w:val="28"/>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主/客观分</w:t>
            </w:r>
            <w:r/>
          </w:p>
        </w:tc>
      </w:tr>
      <w:tr>
        <w:trPr>
          <w:jc w:val="center"/>
          <w:trHeight w:val="82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516" w:type="pct"/>
            <w:vAlign w:val="center"/>
            <w:textDirection w:val="lrTb"/>
            <w:noWrap w:val="false"/>
          </w:tcPr>
          <w:p>
            <w:pPr>
              <w:jc w:val="center"/>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技术参数响应</w:t>
            </w:r>
            <w:r/>
          </w:p>
        </w:tc>
        <w:tc>
          <w:tcPr>
            <w:tcBorders>
              <w:top w:val="single" w:color="auto" w:sz="4" w:space="0"/>
              <w:left w:val="none" w:color="000000" w:sz="4" w:space="0"/>
              <w:bottom w:val="single" w:color="auto" w:sz="4" w:space="0"/>
              <w:right w:val="single" w:color="auto" w:sz="4" w:space="0"/>
            </w:tcBorders>
            <w:tcW w:w="2573"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所投产品的技术参数及性能与采购文件要求的响应程度进行比较，</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所投产品的设备技术参数及功能全部满足采购要求的得满分</w:t>
            </w: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投标人投标产品技术参数应按照招标文件要求逐条进行响应，</w:t>
            </w:r>
            <w:r>
              <w:rPr>
                <w:rFonts w:hint="eastAsia" w:ascii="宋体" w:hAnsi="宋体" w:eastAsia="宋体" w:cs="宋体"/>
                <w:color w:val="auto"/>
                <w:sz w:val="24"/>
                <w:szCs w:val="24"/>
                <w:highlight w:val="none"/>
                <w:lang w:eastAsia="zh-CN"/>
              </w:rPr>
              <w:t xml:space="preserve">标注“▲”技术参数，每有一项负偏离扣2分，未标注“▲”技术参数，每有1项负偏离扣1分，扣完为止。</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《技术部分正负偏离表》</w:t>
            </w:r>
            <w:r>
              <w:rPr>
                <w:rFonts w:hint="eastAsia" w:ascii="宋体" w:hAnsi="宋体" w:cs="宋体"/>
                <w:color w:val="auto"/>
                <w:sz w:val="24"/>
                <w:szCs w:val="24"/>
                <w:highlight w:val="none"/>
                <w:lang w:val="en-US" w:eastAsia="zh-CN"/>
              </w:rPr>
              <w:t xml:space="preserve">逐条响应并按要求提供</w:t>
            </w:r>
            <w:r>
              <w:rPr>
                <w:rFonts w:hint="eastAsia" w:ascii="宋体" w:hAnsi="宋体" w:eastAsia="宋体" w:cs="宋体"/>
                <w:color w:val="auto"/>
                <w:sz w:val="24"/>
                <w:szCs w:val="24"/>
                <w:highlight w:val="none"/>
                <w:lang w:val="en-US" w:eastAsia="zh-CN"/>
              </w:rPr>
              <w:t xml:space="preserve">相关佐证材料，未提供或未按要求提供佐证材料的按负偏离处理。</w:t>
            </w:r>
            <w:r>
              <w:rPr>
                <w:rFonts w:hint="eastAsia" w:ascii="宋体" w:hAnsi="宋体" w:cs="宋体"/>
                <w:color w:val="auto"/>
                <w:sz w:val="24"/>
                <w:szCs w:val="24"/>
                <w:highlight w:val="none"/>
                <w:lang w:val="en-US" w:eastAsia="zh-CN"/>
              </w:rPr>
              <w:t xml:space="preserve">演示技术参数不参与本项评分。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36</w:t>
            </w:r>
            <w:r/>
          </w:p>
        </w:tc>
        <w:tc>
          <w:tcPr>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客观分</w:t>
            </w:r>
            <w:r/>
          </w:p>
        </w:tc>
      </w:tr>
      <w:tr>
        <w:trPr>
          <w:jc w:val="center"/>
          <w:trHeight w:val="824"/>
        </w:trPr>
        <w:tc>
          <w:tcPr>
            <w:tcBorders>
              <w:left w:val="single" w:color="auto" w:sz="4" w:space="0"/>
              <w:bottom w:val="single" w:color="auto" w:sz="4" w:space="0"/>
              <w:right w:val="single" w:color="auto" w:sz="4" w:space="0"/>
            </w:tcBorders>
            <w:tcW w:w="372"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left w:val="none" w:color="000000" w:sz="4" w:space="0"/>
              <w:bottom w:val="single" w:color="auto" w:sz="4" w:space="0"/>
              <w:right w:val="single" w:color="auto" w:sz="4" w:space="0"/>
            </w:tcBorders>
            <w:tcW w:w="516" w:type="pct"/>
            <w:vAlign w:val="center"/>
            <w:textDirection w:val="lrTb"/>
            <w:noWrap w:val="false"/>
          </w:tcPr>
          <w:p>
            <w:pPr>
              <w:jc w:val="center"/>
              <w:keepLines w:val="0"/>
              <w:keepNext w:val="0"/>
              <w:pageBreakBefore w:val="0"/>
              <w:spacing w:line="46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企业认证</w:t>
            </w:r>
            <w:r/>
          </w:p>
        </w:tc>
        <w:tc>
          <w:tcPr>
            <w:tcBorders>
              <w:top w:val="single" w:color="auto" w:sz="4" w:space="0"/>
              <w:left w:val="none" w:color="000000" w:sz="4" w:space="0"/>
              <w:bottom w:val="single" w:color="auto" w:sz="4" w:space="0"/>
              <w:right w:val="single" w:color="auto" w:sz="4" w:space="0"/>
            </w:tcBorders>
            <w:tcW w:w="2573"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投标人具有有效的质量管理体系认证证书或知识产权管理体系认证证书的,每提供一个得</w:t>
            </w:r>
            <w:r>
              <w:rPr>
                <w:rFonts w:hint="eastAsia" w:ascii="宋体" w:hAnsi="宋体" w:cs="宋体"/>
                <w:color w:val="auto"/>
                <w:sz w:val="24"/>
                <w:szCs w:val="24"/>
                <w:highlight w:val="none"/>
                <w:rtl w:val="0"/>
                <w:lang w:val="en-US" w:eastAsia="zh-CN"/>
              </w:rPr>
              <w:t xml:space="preserve">2</w:t>
            </w:r>
            <w:r>
              <w:rPr>
                <w:rFonts w:hint="eastAsia" w:ascii="宋体" w:hAnsi="宋体" w:eastAsia="宋体" w:cs="宋体"/>
                <w:color w:val="auto"/>
                <w:sz w:val="24"/>
                <w:szCs w:val="24"/>
                <w:highlight w:val="none"/>
                <w:rtl w:val="0"/>
                <w:lang w:val="en-US" w:eastAsia="zh-CN"/>
              </w:rPr>
              <w:t xml:space="preserve">分</w:t>
            </w:r>
            <w:r>
              <w:rPr>
                <w:rFonts w:hint="eastAsia" w:ascii="宋体" w:hAnsi="宋体" w:cs="宋体"/>
                <w:color w:val="auto"/>
                <w:sz w:val="24"/>
                <w:szCs w:val="24"/>
                <w:highlight w:val="none"/>
                <w:rtl w:val="0"/>
                <w:lang w:val="en-US" w:eastAsia="zh-CN"/>
              </w:rPr>
              <w:t xml:space="preserve">，最多2分</w:t>
            </w:r>
            <w:r>
              <w:rPr>
                <w:rFonts w:hint="eastAsia" w:ascii="宋体" w:hAnsi="宋体" w:eastAsia="宋体" w:cs="宋体"/>
                <w:color w:val="auto"/>
                <w:sz w:val="24"/>
                <w:szCs w:val="24"/>
                <w:highlight w:val="none"/>
                <w:rtl w:val="0"/>
                <w:lang w:val="en-US" w:eastAsia="zh-CN"/>
              </w:rPr>
              <w:t xml:space="preserve">。（投标文件中提供相关有效证书扫描件并加盖供应商公章，未提供不得分）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客观分</w:t>
            </w:r>
            <w:r/>
          </w:p>
        </w:tc>
      </w:tr>
      <w:tr>
        <w:trPr>
          <w:jc w:val="center"/>
          <w:trHeight w:val="664"/>
        </w:trPr>
        <w:tc>
          <w:tcPr>
            <w:tcBorders>
              <w:left w:val="single" w:color="auto" w:sz="4" w:space="0"/>
              <w:bottom w:val="single" w:color="auto" w:sz="4" w:space="0"/>
              <w:right w:val="single" w:color="auto" w:sz="4" w:space="0"/>
            </w:tcBorders>
            <w:tcW w:w="372"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left w:val="none" w:color="000000" w:sz="4" w:space="0"/>
              <w:bottom w:val="single" w:color="auto" w:sz="4" w:space="0"/>
              <w:right w:val="single" w:color="auto" w:sz="4" w:space="0"/>
            </w:tcBorders>
            <w:tcW w:w="516" w:type="pct"/>
            <w:vAlign w:val="center"/>
            <w:textDirection w:val="lrTb"/>
            <w:noWrap w:val="false"/>
          </w:tcPr>
          <w:p>
            <w:pPr>
              <w:jc w:val="center"/>
              <w:keepLines w:val="0"/>
              <w:keepNext w:val="0"/>
              <w:pageBreakBefore w:val="0"/>
              <w:spacing w:line="46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产品演示</w:t>
            </w:r>
            <w:r/>
          </w:p>
        </w:tc>
        <w:tc>
          <w:tcPr>
            <w:tcBorders>
              <w:top w:val="single" w:color="auto" w:sz="4" w:space="0"/>
              <w:left w:val="none" w:color="000000" w:sz="4" w:space="0"/>
              <w:bottom w:val="single" w:color="auto" w:sz="4" w:space="0"/>
              <w:right w:val="single" w:color="auto" w:sz="4" w:space="0"/>
            </w:tcBorders>
            <w:tcW w:w="2573" w:type="pct"/>
            <w:vAlign w:val="center"/>
            <w:textDirection w:val="lrTb"/>
            <w:noWrap w:val="false"/>
          </w:tcPr>
          <w:p>
            <w:pPr>
              <w:numPr>
                <w:ilvl w:val="0"/>
                <w:numId w:val="0"/>
              </w:numPr>
              <w:keepLines w:val="0"/>
              <w:keepNext w:val="0"/>
              <w:pageBreakBefore w:val="0"/>
              <w:spacing w:line="46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zh-CN" w:eastAsia="zh-CN"/>
              </w:rPr>
              <w:t xml:space="preserve">提供“</w:t>
            </w:r>
            <w:r>
              <w:rPr>
                <w:rFonts w:hint="eastAsia" w:ascii="宋体" w:hAnsi="宋体" w:eastAsia="宋体" w:cs="宋体"/>
                <w:color w:val="auto"/>
                <w:sz w:val="24"/>
                <w:szCs w:val="24"/>
                <w:highlight w:val="none"/>
                <w:lang w:val="en-US" w:eastAsia="zh-CN"/>
              </w:rPr>
              <w:t xml:space="preserve">基于液压气动的虚拟仿真软件</w:t>
            </w:r>
            <w:r>
              <w:rPr>
                <w:rFonts w:hint="eastAsia" w:ascii="宋体" w:hAnsi="宋体" w:eastAsia="宋体" w:cs="宋体"/>
                <w:color w:val="auto"/>
                <w:sz w:val="24"/>
                <w:szCs w:val="24"/>
                <w:highlight w:val="none"/>
                <w:lang w:val="zh-CN" w:eastAsia="zh-CN"/>
              </w:rPr>
              <w:t xml:space="preserve">”视频演示，</w:t>
            </w:r>
            <w:r>
              <w:rPr>
                <w:rFonts w:hint="eastAsia" w:ascii="宋体" w:hAnsi="宋体" w:cs="宋体"/>
                <w:color w:val="auto"/>
                <w:sz w:val="24"/>
                <w:szCs w:val="24"/>
                <w:highlight w:val="none"/>
                <w:lang w:val="zh-CN" w:eastAsia="zh-CN"/>
              </w:rPr>
              <w:t xml:space="preserve">全部满足采购</w:t>
            </w:r>
            <w:r>
              <w:rPr>
                <w:rFonts w:hint="eastAsia" w:ascii="宋体" w:hAnsi="宋体" w:eastAsia="宋体" w:cs="宋体"/>
                <w:color w:val="auto"/>
                <w:sz w:val="24"/>
                <w:szCs w:val="24"/>
                <w:highlight w:val="none"/>
                <w:lang w:val="zh-CN" w:eastAsia="zh-CN"/>
              </w:rPr>
              <w:t xml:space="preserve">要求得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分，部分</w:t>
            </w:r>
            <w:r>
              <w:rPr>
                <w:rFonts w:hint="eastAsia" w:ascii="宋体" w:hAnsi="宋体" w:cs="宋体"/>
                <w:color w:val="auto"/>
                <w:sz w:val="24"/>
                <w:szCs w:val="24"/>
                <w:highlight w:val="none"/>
                <w:lang w:val="zh-CN" w:eastAsia="zh-CN"/>
              </w:rPr>
              <w:t xml:space="preserve">满足</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不提供或</w:t>
            </w:r>
            <w:r>
              <w:rPr>
                <w:rFonts w:hint="eastAsia" w:ascii="宋体" w:hAnsi="宋体" w:cs="宋体"/>
                <w:color w:val="auto"/>
                <w:sz w:val="24"/>
                <w:szCs w:val="24"/>
                <w:highlight w:val="none"/>
                <w:lang w:val="zh-CN" w:eastAsia="zh-CN"/>
              </w:rPr>
              <w:t xml:space="preserve">全部</w:t>
            </w:r>
            <w:r>
              <w:rPr>
                <w:rFonts w:hint="eastAsia" w:ascii="宋体" w:hAnsi="宋体" w:eastAsia="宋体" w:cs="宋体"/>
                <w:color w:val="auto"/>
                <w:sz w:val="24"/>
                <w:szCs w:val="24"/>
                <w:highlight w:val="none"/>
                <w:lang w:val="zh-CN" w:eastAsia="zh-CN"/>
              </w:rPr>
              <w:t xml:space="preserve">不</w:t>
            </w:r>
            <w:r>
              <w:rPr>
                <w:rFonts w:hint="eastAsia" w:ascii="宋体" w:hAnsi="宋体" w:cs="宋体"/>
                <w:color w:val="auto"/>
                <w:sz w:val="24"/>
                <w:szCs w:val="24"/>
                <w:highlight w:val="none"/>
                <w:lang w:val="zh-CN" w:eastAsia="zh-CN"/>
              </w:rPr>
              <w:t xml:space="preserve">满足采购</w:t>
            </w:r>
            <w:r>
              <w:rPr>
                <w:rFonts w:hint="eastAsia" w:ascii="宋体" w:hAnsi="宋体" w:eastAsia="宋体" w:cs="宋体"/>
                <w:color w:val="auto"/>
                <w:sz w:val="24"/>
                <w:szCs w:val="24"/>
                <w:highlight w:val="none"/>
                <w:lang w:val="zh-CN" w:eastAsia="zh-CN"/>
              </w:rPr>
              <w:t xml:space="preserve">要求均不得分。演示内容</w:t>
            </w:r>
            <w:r>
              <w:rPr>
                <w:rFonts w:hint="eastAsia" w:ascii="宋体" w:hAnsi="宋体" w:cs="宋体"/>
                <w:color w:val="auto"/>
                <w:sz w:val="24"/>
                <w:szCs w:val="24"/>
                <w:highlight w:val="none"/>
                <w:lang w:val="en-US" w:eastAsia="zh-CN"/>
              </w:rPr>
              <w:t xml:space="preserve">见详见技术参数中标“</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”项。</w:t>
            </w:r>
            <w:r/>
          </w:p>
          <w:p>
            <w:pP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提供“</w:t>
            </w:r>
            <w:r>
              <w:rPr>
                <w:rFonts w:hint="eastAsia" w:ascii="宋体" w:hAnsi="宋体" w:eastAsia="宋体" w:cs="宋体"/>
                <w:color w:val="auto"/>
                <w:sz w:val="24"/>
                <w:szCs w:val="24"/>
                <w:highlight w:val="none"/>
                <w:lang w:val="en-US" w:eastAsia="zh-CN"/>
              </w:rPr>
              <w:t xml:space="preserve">气液一体化仿真软件</w:t>
            </w:r>
            <w:r>
              <w:rPr>
                <w:rFonts w:hint="eastAsia" w:ascii="宋体" w:hAnsi="宋体" w:eastAsia="宋体" w:cs="宋体"/>
                <w:color w:val="auto"/>
                <w:sz w:val="24"/>
                <w:szCs w:val="24"/>
                <w:highlight w:val="none"/>
                <w:lang w:val="zh-CN" w:eastAsia="zh-CN"/>
              </w:rPr>
              <w:t xml:space="preserve">”视频演示，</w:t>
            </w:r>
            <w:r>
              <w:rPr>
                <w:rFonts w:hint="eastAsia" w:ascii="宋体" w:hAnsi="宋体" w:cs="宋体"/>
                <w:color w:val="auto"/>
                <w:sz w:val="24"/>
                <w:szCs w:val="24"/>
                <w:highlight w:val="none"/>
                <w:lang w:val="zh-CN" w:eastAsia="zh-CN"/>
              </w:rPr>
              <w:t xml:space="preserve">满足采购</w:t>
            </w:r>
            <w:r>
              <w:rPr>
                <w:rFonts w:hint="eastAsia" w:ascii="宋体" w:hAnsi="宋体" w:eastAsia="宋体" w:cs="宋体"/>
                <w:color w:val="auto"/>
                <w:sz w:val="24"/>
                <w:szCs w:val="24"/>
                <w:highlight w:val="none"/>
                <w:lang w:val="zh-CN" w:eastAsia="zh-CN"/>
              </w:rPr>
              <w:t xml:space="preserve">要求得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分，部分</w:t>
            </w:r>
            <w:r>
              <w:rPr>
                <w:rFonts w:hint="eastAsia" w:ascii="宋体" w:hAnsi="宋体" w:cs="宋体"/>
                <w:color w:val="auto"/>
                <w:sz w:val="24"/>
                <w:szCs w:val="24"/>
                <w:highlight w:val="none"/>
                <w:lang w:val="zh-CN" w:eastAsia="zh-CN"/>
              </w:rPr>
              <w:t xml:space="preserve">满足</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不提供或</w:t>
            </w:r>
            <w:r>
              <w:rPr>
                <w:rFonts w:hint="eastAsia" w:ascii="宋体" w:hAnsi="宋体" w:cs="宋体"/>
                <w:color w:val="auto"/>
                <w:sz w:val="24"/>
                <w:szCs w:val="24"/>
                <w:highlight w:val="none"/>
                <w:lang w:val="zh-CN" w:eastAsia="zh-CN"/>
              </w:rPr>
              <w:t xml:space="preserve">全部</w:t>
            </w:r>
            <w:r>
              <w:rPr>
                <w:rFonts w:hint="eastAsia" w:ascii="宋体" w:hAnsi="宋体" w:eastAsia="宋体" w:cs="宋体"/>
                <w:color w:val="auto"/>
                <w:sz w:val="24"/>
                <w:szCs w:val="24"/>
                <w:highlight w:val="none"/>
                <w:lang w:val="zh-CN" w:eastAsia="zh-CN"/>
              </w:rPr>
              <w:t xml:space="preserve">不</w:t>
            </w:r>
            <w:r>
              <w:rPr>
                <w:rFonts w:hint="eastAsia" w:ascii="宋体" w:hAnsi="宋体" w:cs="宋体"/>
                <w:color w:val="auto"/>
                <w:sz w:val="24"/>
                <w:szCs w:val="24"/>
                <w:highlight w:val="none"/>
                <w:lang w:val="zh-CN" w:eastAsia="zh-CN"/>
              </w:rPr>
              <w:t xml:space="preserve">满足采购</w:t>
            </w:r>
            <w:r>
              <w:rPr>
                <w:rFonts w:hint="eastAsia" w:ascii="宋体" w:hAnsi="宋体" w:eastAsia="宋体" w:cs="宋体"/>
                <w:color w:val="auto"/>
                <w:sz w:val="24"/>
                <w:szCs w:val="24"/>
                <w:highlight w:val="none"/>
                <w:lang w:val="zh-CN" w:eastAsia="zh-CN"/>
              </w:rPr>
              <w:t xml:space="preserve">要求均不得分。演示内容</w:t>
            </w:r>
            <w:r>
              <w:rPr>
                <w:rFonts w:hint="eastAsia" w:ascii="宋体" w:hAnsi="宋体" w:cs="宋体"/>
                <w:color w:val="auto"/>
                <w:sz w:val="24"/>
                <w:szCs w:val="24"/>
                <w:highlight w:val="none"/>
                <w:lang w:val="en-US" w:eastAsia="zh-CN"/>
              </w:rPr>
              <w:t xml:space="preserve">见详见技术参数中标“</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”项。</w:t>
            </w:r>
            <w:r/>
          </w:p>
          <w:p>
            <w:pPr>
              <w:keepLines w:val="0"/>
              <w:keepNext w:val="0"/>
              <w:pageBreakBefore w:val="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采用气动原理，进行PLC控制的创新型机器人</w:t>
            </w:r>
            <w:r>
              <w:rPr>
                <w:rFonts w:hint="eastAsia" w:ascii="宋体" w:hAnsi="宋体" w:eastAsia="宋体" w:cs="宋体"/>
                <w:color w:val="auto"/>
                <w:sz w:val="24"/>
                <w:szCs w:val="24"/>
                <w:highlight w:val="none"/>
                <w:lang w:val="zh-CN" w:eastAsia="zh-CN"/>
              </w:rPr>
              <w:t xml:space="preserve">视频演示：全部满足采购要求得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分，部分满足</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不提供或</w:t>
            </w:r>
            <w:r>
              <w:rPr>
                <w:rFonts w:hint="eastAsia" w:ascii="宋体" w:hAnsi="宋体" w:cs="宋体"/>
                <w:color w:val="auto"/>
                <w:sz w:val="24"/>
                <w:szCs w:val="24"/>
                <w:highlight w:val="none"/>
                <w:lang w:val="zh-CN" w:eastAsia="zh-CN"/>
              </w:rPr>
              <w:t xml:space="preserve">全部不满足</w:t>
            </w:r>
            <w:r>
              <w:rPr>
                <w:rFonts w:hint="eastAsia" w:ascii="宋体" w:hAnsi="宋体" w:eastAsia="宋体" w:cs="宋体"/>
                <w:color w:val="auto"/>
                <w:sz w:val="24"/>
                <w:szCs w:val="24"/>
                <w:highlight w:val="none"/>
                <w:lang w:val="zh-CN" w:eastAsia="zh-CN"/>
              </w:rPr>
              <w:t xml:space="preserve">采购要求均不得分。演示内容</w:t>
            </w:r>
            <w:r>
              <w:rPr>
                <w:rFonts w:hint="eastAsia" w:ascii="宋体" w:hAnsi="宋体" w:cs="宋体"/>
                <w:color w:val="auto"/>
                <w:sz w:val="24"/>
                <w:szCs w:val="24"/>
                <w:highlight w:val="none"/>
                <w:lang w:val="en-US" w:eastAsia="zh-CN"/>
              </w:rPr>
              <w:t xml:space="preserve">见详见技术参数中标“</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”项。</w:t>
            </w:r>
            <w:r/>
          </w:p>
          <w:p>
            <w:pPr>
              <w:keepLines w:val="0"/>
              <w:keepNext w:val="0"/>
              <w:pageBreakBefore w:val="0"/>
              <w:spacing w:line="460" w:lineRule="exact"/>
              <w:rPr>
                <w:rFonts w:hint="eastAsia" w:ascii="宋体" w:hAnsi="宋体" w:cs="宋体"/>
                <w:color w:val="auto"/>
                <w:sz w:val="24"/>
                <w:szCs w:val="24"/>
                <w:highlight w:val="none"/>
                <w:rtl w:val="0"/>
                <w:lang w:val="en-US" w:eastAsia="zh-CN"/>
              </w:rPr>
            </w:pPr>
            <w:r>
              <w:rPr>
                <w:rFonts w:hint="eastAsia" w:ascii="宋体" w:hAnsi="宋体" w:cs="宋体"/>
                <w:color w:val="auto"/>
                <w:sz w:val="24"/>
                <w:szCs w:val="24"/>
                <w:highlight w:val="none"/>
                <w:lang w:val="en-US" w:eastAsia="zh-CN"/>
              </w:rPr>
              <w:t xml:space="preserve">演示视频制作及上传要求详见招标文件，未提供视频演示作无效标处理。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keepLines w:val="0"/>
              <w:keepNext w:val="0"/>
              <w:pageBreakBefore w:val="0"/>
              <w:spacing w:line="460" w:lineRule="exact"/>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客观分</w:t>
            </w:r>
            <w:r/>
          </w:p>
        </w:tc>
      </w:tr>
      <w:tr>
        <w:trPr>
          <w:jc w:val="center"/>
          <w:trHeight w:val="423"/>
        </w:trPr>
        <w:tc>
          <w:tcPr>
            <w:tcBorders>
              <w:top w:val="single" w:color="auto" w:sz="4" w:space="0"/>
              <w:left w:val="single" w:color="auto" w:sz="4" w:space="0"/>
              <w:right w:val="single" w:color="auto" w:sz="4" w:space="0"/>
            </w:tcBorders>
            <w:tcW w:w="372" w:type="pct"/>
            <w:vAlign w:val="center"/>
            <w:vMerge w:val="restart"/>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Borders>
              <w:left w:val="none" w:color="000000" w:sz="4" w:space="0"/>
              <w:right w:val="single" w:color="auto" w:sz="4" w:space="0"/>
            </w:tcBorders>
            <w:tcW w:w="516" w:type="pct"/>
            <w:vAlign w:val="center"/>
            <w:vMerge w:val="restart"/>
            <w:textDirection w:val="lrTb"/>
            <w:noWrap w:val="false"/>
          </w:tcPr>
          <w:p>
            <w:pPr>
              <w:jc w:val="center"/>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w:t>
            </w:r>
            <w:r/>
          </w:p>
          <w:p>
            <w:pPr>
              <w:jc w:val="center"/>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w:t>
            </w:r>
            <w:r/>
          </w:p>
        </w:tc>
        <w:tc>
          <w:tcPr>
            <w:tcBorders>
              <w:top w:val="single" w:color="auto" w:sz="4" w:space="0"/>
              <w:left w:val="none" w:color="000000" w:sz="4" w:space="0"/>
              <w:bottom w:val="single" w:color="auto" w:sz="4" w:space="0"/>
              <w:right w:val="single" w:color="auto" w:sz="4" w:space="0"/>
            </w:tcBorders>
            <w:tcW w:w="2573"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对项目需求理解透彻，针对每种设备能够提供合理、完整和科学的实施方案进行评分。</w:t>
            </w:r>
            <w:r/>
          </w:p>
          <w:p>
            <w:pPr>
              <w:numPr>
                <w:ilvl w:val="0"/>
                <w:numId w:val="0"/>
              </w:numPr>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精准理解全部技术参数及实训要求，方案涵盖设备配置、安装流程、软件部署及技术保障，技术路线先进且贴合教学</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eastAsia="zh-CN"/>
              </w:rPr>
              <w:t xml:space="preserve">理解核心参数及主要功能（含少量非关键偏差），方案含基础配置、安装流程及软件部署说明，技术路线基本合理</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理解主要功能及部分核心参数（含少量关键偏差），方案仅含基础配置及简单安装说明，技术路线有</w:t>
            </w:r>
            <w:r>
              <w:rPr>
                <w:rFonts w:hint="eastAsia" w:ascii="宋体" w:hAnsi="宋体" w:eastAsia="宋体" w:cs="宋体"/>
                <w:color w:val="auto"/>
                <w:sz w:val="24"/>
                <w:szCs w:val="24"/>
                <w:highlight w:val="none"/>
                <w:lang w:val="en-US" w:eastAsia="zh-CN"/>
              </w:rPr>
              <w:t xml:space="preserve">略微</w:t>
            </w:r>
            <w:r>
              <w:rPr>
                <w:rFonts w:hint="eastAsia" w:ascii="宋体" w:hAnsi="宋体" w:eastAsia="宋体" w:cs="宋体"/>
                <w:color w:val="auto"/>
                <w:sz w:val="24"/>
                <w:szCs w:val="24"/>
                <w:highlight w:val="none"/>
                <w:lang w:eastAsia="zh-CN"/>
              </w:rPr>
              <w:t xml:space="preserve">缺陷需调整</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4.未提供本项不得分。</w:t>
            </w:r>
            <w:r/>
          </w:p>
        </w:tc>
        <w:tc>
          <w:tcPr>
            <w:tcBorders>
              <w:top w:val="single" w:color="auto" w:sz="4" w:space="0"/>
              <w:left w:val="none" w:color="000000" w:sz="4" w:space="0"/>
              <w:right w:val="single" w:color="auto" w:sz="4" w:space="0"/>
            </w:tcBorders>
            <w:tcW w:w="5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5</w:t>
            </w:r>
            <w:r/>
          </w:p>
        </w:tc>
        <w:tc>
          <w:tcPr>
            <w:tcBorders>
              <w:top w:val="single" w:color="auto" w:sz="4" w:space="0"/>
              <w:left w:val="none" w:color="000000" w:sz="4" w:space="0"/>
              <w:right w:val="single" w:color="auto" w:sz="4" w:space="0"/>
            </w:tcBorders>
            <w:tcW w:w="47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tcBorders>
              <w:top w:val="single" w:color="auto" w:sz="4" w:space="0"/>
              <w:left w:val="none" w:color="000000"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主观分</w:t>
            </w:r>
            <w:r/>
          </w:p>
        </w:tc>
      </w:tr>
      <w:tr>
        <w:trPr>
          <w:jc w:val="center"/>
          <w:trHeight w:val="90"/>
        </w:trPr>
        <w:tc>
          <w:tcPr>
            <w:tcBorders>
              <w:left w:val="single" w:color="auto" w:sz="4" w:space="0"/>
              <w:right w:val="single" w:color="auto" w:sz="4" w:space="0"/>
            </w:tcBorders>
            <w:tcW w:w="372" w:type="pct"/>
            <w:vAlign w:val="center"/>
            <w:vMerge w:val="continue"/>
            <w:textDirection w:val="lrTb"/>
            <w:noWrap w:val="false"/>
          </w:tcPr>
          <w:p>
            <w:pPr>
              <w:jc w:val="center"/>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516"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right w:val="single" w:color="auto" w:sz="4" w:space="0"/>
            </w:tcBorders>
            <w:tcW w:w="2573"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提供的售后服务方案进行评分。包含不限于详细的售后计划和流程、日常维保维护、常见故障的排除及紧急情况的处理及售后服务响应时间和方式、备品、配件供应保障措施等。</w:t>
            </w:r>
            <w:r/>
          </w:p>
          <w:p>
            <w:pP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方案详尽合理，含完整售后流程、日常维保细则（如定期巡检周期）、常见故障排查手册、紧急情况解决机制，明确备品配件储备清单及供应保障措施，针对性强且可行</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方案较完善，涵盖主要售后流程、基础维保计划、故障处理方式，响应时间及配件供应措施基本明确，存在少量细节缺失，整体满足项目需求</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方案概述简单，仅包含基础售后流程和响应承诺，日常维保、故障处理及配件供应描述不具体，需补充调整后方可满足基本需求</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4.未提供本项不得分。</w:t>
            </w:r>
            <w:r/>
          </w:p>
        </w:tc>
        <w:tc>
          <w:tcPr>
            <w:tcBorders>
              <w:top w:val="single" w:color="auto" w:sz="4" w:space="0"/>
              <w:left w:val="none" w:color="000000" w:sz="4" w:space="0"/>
              <w:right w:val="single" w:color="auto" w:sz="4" w:space="0"/>
            </w:tcBorders>
            <w:tcW w:w="5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5</w:t>
            </w:r>
            <w:r/>
          </w:p>
        </w:tc>
        <w:tc>
          <w:tcPr>
            <w:tcBorders>
              <w:top w:val="single" w:color="auto" w:sz="4" w:space="0"/>
              <w:left w:val="none" w:color="000000" w:sz="4" w:space="0"/>
              <w:right w:val="single" w:color="auto" w:sz="4" w:space="0"/>
            </w:tcBorders>
            <w:tcW w:w="47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tcBorders>
              <w:top w:val="single" w:color="auto" w:sz="4" w:space="0"/>
              <w:left w:val="none" w:color="000000"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主观分</w:t>
            </w:r>
            <w:r/>
          </w:p>
        </w:tc>
      </w:tr>
      <w:tr>
        <w:trPr>
          <w:jc w:val="center"/>
          <w:trHeight w:val="776"/>
        </w:trPr>
        <w:tc>
          <w:tcPr>
            <w:tcBorders>
              <w:left w:val="single" w:color="auto" w:sz="4" w:space="0"/>
              <w:right w:val="single" w:color="auto" w:sz="4" w:space="0"/>
            </w:tcBorders>
            <w:tcW w:w="372" w:type="pct"/>
            <w:vAlign w:val="center"/>
            <w:vMerge w:val="continue"/>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516" w:type="pct"/>
            <w:vAlign w:val="center"/>
            <w:vMerge w:val="continue"/>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right w:val="single" w:color="auto" w:sz="4" w:space="0"/>
            </w:tcBorders>
            <w:tcW w:w="2573" w:type="pct"/>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所提供培训方案进行评分。包含不限于培训体系与培训方案等内容。</w:t>
            </w:r>
            <w:r/>
          </w:p>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培训体系清晰完善，方案涵盖气动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液压设备操作、虚拟仿真软件使用、故障排查等全流程培训内容，明确培训周期、课时安排，提供定制化教学资源，可操作性强</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培训体系基本完整，方案包含核心设备操作及软件使用培训，明确培训方式和大致流程，教学资源较全面，整体满足项目培训需求，细节略有不足</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培训方案概述简单，仅包含基础操作培训内容，培训周期、方式描述笼统，教学资源较简略，需补充调整后方可满足基本培训需求</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4.未提供本项不得分。</w:t>
            </w:r>
            <w:r/>
          </w:p>
        </w:tc>
        <w:tc>
          <w:tcPr>
            <w:tcBorders>
              <w:left w:val="none" w:color="000000" w:sz="4" w:space="0"/>
              <w:right w:val="single" w:color="auto" w:sz="4" w:space="0"/>
            </w:tcBorders>
            <w:tcW w:w="5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5</w:t>
            </w:r>
            <w:r/>
          </w:p>
        </w:tc>
        <w:tc>
          <w:tcPr>
            <w:tcBorders>
              <w:left w:val="none" w:color="000000" w:sz="4" w:space="0"/>
              <w:right w:val="single" w:color="auto" w:sz="4" w:space="0"/>
            </w:tcBorders>
            <w:tcW w:w="47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tcBorders>
              <w:left w:val="none" w:color="000000"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主观分</w:t>
            </w:r>
            <w:r/>
          </w:p>
        </w:tc>
      </w:tr>
      <w:tr>
        <w:trPr>
          <w:jc w:val="center"/>
          <w:trHeight w:val="1927"/>
        </w:trPr>
        <w:tc>
          <w:tcPr>
            <w:tcBorders>
              <w:left w:val="single" w:color="auto" w:sz="4" w:space="0"/>
              <w:right w:val="single" w:color="auto" w:sz="4" w:space="0"/>
            </w:tcBorders>
            <w:tcW w:w="372" w:type="pct"/>
            <w:vAlign w:val="center"/>
            <w:vMerge w:val="restart"/>
            <w:textDirection w:val="lrTb"/>
            <w:noWrap w:val="false"/>
          </w:tcPr>
          <w:p>
            <w:pPr>
              <w:jc w:val="cente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Borders>
              <w:left w:val="single" w:color="auto" w:sz="4" w:space="0"/>
              <w:right w:val="single" w:color="auto" w:sz="4" w:space="0"/>
            </w:tcBorders>
            <w:tcW w:w="516" w:type="pct"/>
            <w:vAlign w:val="center"/>
            <w:vMerge w:val="restart"/>
            <w:textDirection w:val="lrTb"/>
            <w:noWrap w:val="false"/>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2573"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自20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月1日（含）以来承担过</w:t>
            </w:r>
            <w:r>
              <w:rPr>
                <w:rFonts w:hint="eastAsia" w:ascii="宋体" w:hAnsi="宋体" w:cs="宋体"/>
                <w:color w:val="auto"/>
                <w:sz w:val="24"/>
                <w:szCs w:val="24"/>
                <w:highlight w:val="none"/>
                <w:lang w:val="en-US" w:eastAsia="zh-CN"/>
              </w:rPr>
              <w:t xml:space="preserve">气动与液压类</w:t>
            </w:r>
            <w:r>
              <w:rPr>
                <w:rFonts w:hint="eastAsia" w:ascii="宋体" w:hAnsi="宋体" w:eastAsia="宋体" w:cs="宋体"/>
                <w:color w:val="auto"/>
                <w:sz w:val="24"/>
                <w:szCs w:val="24"/>
                <w:highlight w:val="none"/>
                <w:lang w:val="en-US" w:eastAsia="zh-CN"/>
              </w:rPr>
              <w:t xml:space="preserve">产品供货</w:t>
            </w:r>
            <w:r>
              <w:rPr>
                <w:rFonts w:hint="eastAsia" w:ascii="宋体" w:hAnsi="宋体" w:eastAsia="宋体" w:cs="宋体"/>
                <w:color w:val="auto"/>
                <w:sz w:val="24"/>
                <w:szCs w:val="24"/>
                <w:highlight w:val="none"/>
                <w:lang w:eastAsia="zh-CN"/>
              </w:rPr>
              <w:t xml:space="preserve">业绩的，每提供一个得2分，满分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分。（提供合同复印件加盖公章，时间以合同签订时间为准）。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keepLines w:val="0"/>
              <w:keepNext w:val="0"/>
              <w:pageBreakBefore w:val="0"/>
              <w:spacing w:line="460" w:lineRule="exact"/>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客观分</w:t>
            </w:r>
            <w:r/>
          </w:p>
        </w:tc>
      </w:tr>
      <w:tr>
        <w:trPr>
          <w:jc w:val="center"/>
          <w:trHeight w:val="1088"/>
        </w:trPr>
        <w:tc>
          <w:tcPr>
            <w:tcBorders>
              <w:left w:val="single" w:color="auto" w:sz="4" w:space="0"/>
              <w:right w:val="single" w:color="auto" w:sz="4" w:space="0"/>
            </w:tcBorders>
            <w:tcW w:w="372" w:type="pct"/>
            <w:vAlign w:val="center"/>
            <w:vMerge w:val="continue"/>
            <w:textDirection w:val="lrTb"/>
            <w:noWrap w:val="false"/>
          </w:tcPr>
          <w:p>
            <w:pPr>
              <w:jc w:val="center"/>
              <w:keepLines w:val="0"/>
              <w:keepNext w:val="0"/>
              <w:pageBreakBefore w:val="0"/>
              <w:spacing w:line="460" w:lineRule="exact"/>
              <w:rPr>
                <w:rFonts w:hint="eastAsia" w:ascii="宋体" w:hAnsi="宋体" w:cs="宋体"/>
                <w:color w:val="auto"/>
                <w:sz w:val="24"/>
                <w:szCs w:val="24"/>
                <w:highlight w:val="none"/>
                <w:lang w:val="en-US" w:eastAsia="zh-CN"/>
              </w:rPr>
            </w:pPr>
            <w:r/>
            <w:bookmarkStart w:id="167" w:name="_Toc126"/>
            <w:r/>
            <w:r/>
          </w:p>
        </w:tc>
        <w:tc>
          <w:tcPr>
            <w:tcBorders>
              <w:left w:val="single" w:color="auto" w:sz="4" w:space="0"/>
              <w:right w:val="single" w:color="auto" w:sz="4" w:space="0"/>
            </w:tcBorders>
            <w:tcW w:w="516" w:type="pct"/>
            <w:vAlign w:val="center"/>
            <w:vMerge w:val="continue"/>
            <w:textDirection w:val="lrTb"/>
            <w:noWrap w:val="false"/>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2573" w:type="pct"/>
            <w:vAlign w:val="center"/>
            <w:textDirection w:val="lrTb"/>
            <w:noWrap w:val="false"/>
          </w:tcPr>
          <w:p>
            <w:pPr>
              <w:keepLines w:val="0"/>
              <w:keepNext w:val="0"/>
              <w:pageBreakBefore w:val="0"/>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投标人或</w:t>
            </w: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制造商，在 2022年1月1日至投标截止之日期间，</w:t>
            </w:r>
            <w:r>
              <w:rPr>
                <w:rFonts w:hint="eastAsia" w:ascii="宋体" w:hAnsi="宋体" w:cs="宋体"/>
                <w:color w:val="auto"/>
                <w:sz w:val="24"/>
                <w:szCs w:val="24"/>
                <w:highlight w:val="none"/>
                <w:lang w:val="en-US" w:eastAsia="zh-CN"/>
              </w:rPr>
              <w:t xml:space="preserve">能够提供有关液压或气动产品技能竞赛相关技术支持的</w:t>
            </w:r>
            <w:r>
              <w:rPr>
                <w:rFonts w:hint="eastAsia" w:ascii="宋体" w:hAnsi="宋体" w:eastAsia="宋体" w:cs="宋体"/>
                <w:color w:val="auto"/>
                <w:sz w:val="24"/>
                <w:szCs w:val="24"/>
                <w:highlight w:val="none"/>
                <w:lang w:eastAsia="zh-CN"/>
              </w:rPr>
              <w:t xml:space="preserve">，每提供1</w:t>
            </w:r>
            <w:r>
              <w:rPr>
                <w:rFonts w:hint="eastAsia" w:ascii="宋体" w:hAnsi="宋体" w:cs="宋体"/>
                <w:color w:val="auto"/>
                <w:sz w:val="24"/>
                <w:szCs w:val="24"/>
                <w:highlight w:val="none"/>
                <w:lang w:eastAsia="zh-CN"/>
              </w:rPr>
              <w:t xml:space="preserve">项</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分。注：需提交相关证明文件的原件扫描件，且扫描件加盖投标人公章，未按要求提供证明材料的，本项不得分。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keepLines w:val="0"/>
              <w:keepNext w:val="0"/>
              <w:pageBreakBefore w:val="0"/>
              <w:spacing w:line="4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keepLines w:val="0"/>
              <w:keepNext w:val="0"/>
              <w:pageBreakBefore w:val="0"/>
              <w:spacing w:line="46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客观分</w:t>
            </w:r>
            <w:r/>
          </w:p>
        </w:tc>
      </w:tr>
    </w:tbl>
    <w:p>
      <w:pPr>
        <w:ind w:firstLine="562"/>
        <w:spacing w:line="460" w:lineRule="exact"/>
        <w:rPr>
          <w:rFonts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rPr>
        <w:t xml:space="preserve">30</w:t>
      </w:r>
      <w:r>
        <w:rPr>
          <w:rFonts w:hint="eastAsia" w:ascii="宋体" w:hAnsi="宋体" w:cs="宋体"/>
          <w:color w:val="auto"/>
          <w:sz w:val="28"/>
          <w:szCs w:val="28"/>
          <w:highlight w:val="none"/>
          <w:lang w:val="zh-CN"/>
        </w:rPr>
        <w:t xml:space="preserve">分</w:t>
      </w:r>
      <w:bookmarkEnd w:id="167"/>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投标报价得分=（评标基准价/投标报价）×30</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spacing w:line="460" w:lineRule="exact"/>
        <w:rPr>
          <w:rFonts w:ascii="宋体" w:hAnsi="宋体" w:cs="宋体"/>
          <w:bCs/>
          <w:color w:val="auto"/>
          <w:sz w:val="28"/>
          <w:szCs w:val="28"/>
          <w:highlight w:val="none"/>
        </w:rPr>
        <w:outlineLvl w:val="2"/>
      </w:pPr>
      <w:r/>
      <w:bookmarkStart w:id="168" w:name="_Toc13123"/>
      <w:r>
        <w:rPr>
          <w:rFonts w:hint="eastAsia" w:ascii="宋体" w:hAnsi="宋体" w:cs="宋体"/>
          <w:b/>
          <w:color w:val="auto"/>
          <w:sz w:val="28"/>
          <w:szCs w:val="28"/>
          <w:highlight w:val="none"/>
        </w:rPr>
        <w:t xml:space="preserve">（五）中标人的确定</w:t>
      </w:r>
      <w:bookmarkEnd w:id="168"/>
      <w:r/>
      <w:r/>
    </w:p>
    <w:p>
      <w:pPr>
        <w:ind w:firstLine="57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ascii="宋体" w:hAnsi="宋体" w:cs="宋体"/>
          <w:b/>
          <w:color w:val="auto"/>
          <w:sz w:val="28"/>
          <w:szCs w:val="28"/>
          <w:highlight w:val="none"/>
        </w:rPr>
        <w:outlineLvl w:val="2"/>
      </w:pPr>
      <w:r/>
      <w:bookmarkStart w:id="169" w:name="_Toc13"/>
      <w:r>
        <w:rPr>
          <w:rFonts w:hint="eastAsia" w:ascii="宋体" w:hAnsi="宋体" w:cs="宋体"/>
          <w:b/>
          <w:color w:val="auto"/>
          <w:sz w:val="28"/>
          <w:szCs w:val="28"/>
          <w:highlight w:val="none"/>
        </w:rPr>
        <w:t xml:space="preserve">（六）公告中标结果</w:t>
      </w:r>
      <w:bookmarkEnd w:id="169"/>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ascii="宋体" w:hAnsi="宋体" w:cs="宋体"/>
          <w:b/>
          <w:bCs/>
          <w:color w:val="auto"/>
          <w:sz w:val="28"/>
          <w:szCs w:val="28"/>
          <w:highlight w:val="none"/>
        </w:rPr>
        <w:outlineLvl w:val="2"/>
      </w:pPr>
      <w:r/>
      <w:bookmarkStart w:id="170" w:name="_Toc27458"/>
      <w:r>
        <w:rPr>
          <w:rFonts w:hint="eastAsia" w:ascii="宋体" w:hAnsi="宋体" w:cs="宋体"/>
          <w:b/>
          <w:color w:val="auto"/>
          <w:sz w:val="28"/>
          <w:szCs w:val="28"/>
          <w:highlight w:val="none"/>
        </w:rPr>
        <w:t xml:space="preserve">（七）</w:t>
      </w:r>
      <w:r>
        <w:rPr>
          <w:rFonts w:hint="eastAsia" w:ascii="宋体" w:hAnsi="宋体" w:cs="宋体"/>
          <w:b/>
          <w:bCs/>
          <w:color w:val="auto"/>
          <w:sz w:val="28"/>
          <w:szCs w:val="28"/>
          <w:highlight w:val="none"/>
        </w:rPr>
        <w:t xml:space="preserve">发放中标通知书</w:t>
      </w:r>
      <w:bookmarkEnd w:id="170"/>
      <w:r/>
      <w:r/>
    </w:p>
    <w:p>
      <w:pPr>
        <w:ind w:firstLine="560"/>
        <w:spacing w:line="420" w:lineRule="exact"/>
        <w:rPr>
          <w:rFonts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公告中标结果的同时，招标人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中标通知书发出后，招标人不得违法改变中标结果，中标人无正当理由不得放弃中标。</w:t>
      </w:r>
      <w:r/>
    </w:p>
    <w:p>
      <w:pPr>
        <w:ind w:firstLine="562"/>
        <w:spacing w:line="420" w:lineRule="exact"/>
        <w:rPr>
          <w:rFonts w:ascii="宋体" w:hAnsi="宋体" w:cs="宋体"/>
          <w:b/>
          <w:color w:val="auto"/>
          <w:sz w:val="28"/>
          <w:szCs w:val="28"/>
          <w:highlight w:val="none"/>
        </w:rPr>
        <w:outlineLvl w:val="2"/>
      </w:pPr>
      <w:r/>
      <w:bookmarkStart w:id="171" w:name="_Toc19733"/>
      <w:r>
        <w:rPr>
          <w:rFonts w:hint="eastAsia" w:ascii="宋体" w:hAnsi="宋体" w:cs="宋体"/>
          <w:b/>
          <w:color w:val="auto"/>
          <w:sz w:val="28"/>
          <w:szCs w:val="28"/>
          <w:highlight w:val="none"/>
        </w:rPr>
        <w:t xml:space="preserve">（八）其他</w:t>
      </w:r>
      <w:bookmarkEnd w:id="171"/>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当中标人无正当理由放弃中标，被查实存在影响中标结果的违法行为等情形，招标人有权按照政府采购相关法律法规的规定对其采取惩戒措施，包含但不限于列入采购失信人黑名单等措施。</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招标人拒签合同的情形等），招标人可以按照评标委员会提出的中标候选人名单排序依次确定其他中标候选人为中标人，也可以重新招标。</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72" w:name="_Toc23874"/>
      <w:r/>
      <w:bookmarkStart w:id="173" w:name="_Toc7997"/>
      <w:r>
        <w:rPr>
          <w:rFonts w:hint="eastAsia" w:ascii="宋体" w:hAnsi="宋体" w:cs="宋体"/>
          <w:bCs/>
          <w:color w:val="auto"/>
          <w:sz w:val="36"/>
          <w:szCs w:val="36"/>
          <w:highlight w:val="none"/>
        </w:rPr>
        <w:t xml:space="preserve">第五部分 质疑与投诉</w:t>
      </w:r>
      <w:bookmarkEnd w:id="172"/>
      <w:r/>
      <w:bookmarkEnd w:id="173"/>
      <w:r>
        <w:rPr>
          <w:rFonts w:hint="eastAsia" w:ascii="宋体" w:hAnsi="宋体" w:cs="宋体"/>
          <w:bCs/>
          <w:color w:val="auto"/>
          <w:sz w:val="36"/>
          <w:szCs w:val="36"/>
          <w:highlight w:val="none"/>
        </w:rPr>
        <w:t xml:space="preserve"> </w:t>
      </w:r>
      <w:r/>
    </w:p>
    <w:p>
      <w:pPr>
        <w:ind w:firstLine="560"/>
        <w:spacing w:line="460" w:lineRule="exact"/>
        <w:rPr>
          <w:rFonts w:ascii="宋体" w:hAnsi="宋体" w:cs="宋体"/>
          <w:color w:val="auto"/>
          <w:sz w:val="28"/>
          <w:szCs w:val="28"/>
          <w:highlight w:val="none"/>
        </w:rPr>
        <w:outlineLvl w:val="1"/>
      </w:pPr>
      <w:r/>
      <w:bookmarkStart w:id="174" w:name="_Toc23571"/>
      <w:r>
        <w:rPr>
          <w:rFonts w:hint="eastAsia" w:ascii="宋体" w:hAnsi="宋体" w:cs="宋体"/>
          <w:color w:val="auto"/>
          <w:sz w:val="28"/>
          <w:szCs w:val="28"/>
          <w:highlight w:val="none"/>
        </w:rPr>
        <w:t xml:space="preserve">一、质疑事项</w:t>
      </w:r>
      <w:bookmarkEnd w:id="174"/>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pStyle w:val="946"/>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2.1对可以质疑的招标文件提出质疑的，为收到招标文件之日或者招标文件公告期限届满之日；采购项目开标后，不再接受投标人对采购文件（含更正公告等）内容的异议或质询（质疑）。</w:t>
      </w:r>
      <w:r/>
    </w:p>
    <w:p>
      <w:pPr>
        <w:ind w:firstLine="562"/>
        <w:spacing w:line="460" w:lineRule="exact"/>
        <w:rPr>
          <w:rFonts w:ascii="宋体" w:hAnsi="宋体" w:cs="宋体"/>
          <w:b/>
          <w:bCs/>
          <w:color w:val="auto"/>
          <w:sz w:val="28"/>
          <w:szCs w:val="28"/>
          <w:highlight w:val="none"/>
        </w:rPr>
        <w:outlineLvl w:val="2"/>
      </w:pPr>
      <w:r/>
      <w:bookmarkStart w:id="175" w:name="_Toc32024"/>
      <w:r>
        <w:rPr>
          <w:rFonts w:hint="eastAsia" w:ascii="宋体" w:hAnsi="宋体" w:cs="宋体"/>
          <w:b/>
          <w:bCs/>
          <w:color w:val="auto"/>
          <w:sz w:val="28"/>
          <w:szCs w:val="28"/>
          <w:highlight w:val="none"/>
        </w:rPr>
        <w:t xml:space="preserve">2.2</w:t>
      </w:r>
      <w:r>
        <w:rPr>
          <w:rFonts w:hint="eastAsia" w:ascii="宋体" w:hAnsi="宋体" w:cs="宋体"/>
          <w:b/>
          <w:bCs/>
          <w:color w:val="auto"/>
          <w:sz w:val="28"/>
          <w:szCs w:val="28"/>
          <w:highlight w:val="none"/>
        </w:rPr>
        <w:t xml:space="preserve">对采购过程提出质疑的，为各采购程序环节结束之日；</w:t>
      </w:r>
      <w:bookmarkEnd w:id="175"/>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w:t>
      </w:r>
      <w:r>
        <w:rPr>
          <w:rFonts w:hint="eastAsia" w:ascii="宋体" w:hAnsi="宋体" w:cs="宋体"/>
          <w:color w:val="auto"/>
          <w:sz w:val="28"/>
          <w:szCs w:val="28"/>
          <w:highlight w:val="none"/>
        </w:rPr>
        <w:t xml:space="preserve">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4.对采购方式、招标文件中项目需求、投标人资格条件、评审方法和评审标准、资格审查结果等应当由招标人答复的质疑，请向招标人提出，由招标人负责答复。投标人对其他事项的质疑，请向招标代理机构提出，由招标人或招标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招标人及招标代理机构质疑接收人及联系方式，见招标文件第一部分。</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numPr>
          <w:ilvl w:val="0"/>
          <w:numId w:val="0"/>
        </w:numPr>
        <w:ind w:firstLine="560"/>
        <w:spacing w:line="460" w:lineRule="exact"/>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7.</w:t>
      </w:r>
      <w:r>
        <w:rPr>
          <w:rFonts w:hint="eastAsia" w:ascii="宋体" w:hAnsi="宋体" w:cs="宋体"/>
          <w:color w:val="auto"/>
          <w:sz w:val="28"/>
          <w:szCs w:val="28"/>
          <w:highlight w:val="none"/>
        </w:rPr>
        <w:t xml:space="preserve">投标人提出书面质疑必须有理、有据，不得捏造事实、提供虚假材料进行恶意质疑。否则，一经查实，招标代理机构有权依据招标的有关规定，报请采购监管部门对该投标人进行相应的行政处罚和记录该投标人的失信信息。</w:t>
      </w:r>
      <w:r/>
    </w:p>
    <w:p>
      <w:pPr>
        <w:numPr>
          <w:ilvl w:val="0"/>
          <w:numId w:val="0"/>
        </w:num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ascii="宋体" w:hAnsi="宋体" w:cs="宋体"/>
          <w:color w:val="auto"/>
          <w:sz w:val="28"/>
          <w:szCs w:val="28"/>
          <w:highlight w:val="none"/>
        </w:rPr>
        <w:outlineLvl w:val="1"/>
      </w:pPr>
      <w:r/>
      <w:bookmarkStart w:id="176" w:name="_Toc32547"/>
      <w:r>
        <w:rPr>
          <w:rFonts w:hint="eastAsia" w:ascii="宋体" w:hAnsi="宋体" w:cs="宋体"/>
          <w:color w:val="auto"/>
          <w:sz w:val="28"/>
          <w:szCs w:val="28"/>
          <w:highlight w:val="none"/>
        </w:rPr>
        <w:t xml:space="preserve">二、《质疑函》的受理和回复</w:t>
      </w:r>
      <w:bookmarkEnd w:id="17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5.因质疑情况复杂，组织论证或审查时间较长的，招标人、代理机构以书面形式通知质疑人，可适当延长质疑回复处理时间。</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①质疑成立的处理。招标人或代理机构终止招标，并建议有关部门给相关当事人予以处理。</w:t>
      </w:r>
      <w:r/>
    </w:p>
    <w:p>
      <w:pPr>
        <w:contextualSpacing/>
        <w:ind w:firstLine="560"/>
        <w:spacing w:line="460" w:lineRule="exact"/>
        <w:rPr>
          <w:rFonts w:ascii="宋体" w:hAnsi="宋体" w:cs="宋体"/>
          <w:color w:val="auto"/>
          <w:sz w:val="28"/>
          <w:szCs w:val="28"/>
          <w:highlight w:val="none"/>
        </w:rPr>
        <w:outlineLvl w:val="2"/>
      </w:pPr>
      <w:r/>
      <w:bookmarkStart w:id="177" w:name="_Toc18082"/>
      <w:r>
        <w:rPr>
          <w:rFonts w:hint="eastAsia" w:ascii="宋体" w:hAnsi="宋体" w:cs="宋体"/>
          <w:color w:val="auto"/>
          <w:sz w:val="28"/>
          <w:szCs w:val="28"/>
          <w:highlight w:val="none"/>
        </w:rPr>
        <w:t xml:space="preserve">②质疑不成立的处理。</w:t>
      </w:r>
      <w:bookmarkEnd w:id="177"/>
      <w:r/>
      <w:r/>
    </w:p>
    <w:p>
      <w:pPr>
        <w:contextualSpacing/>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4）质疑人虽提供了相关佐证材料，但不能证明其质疑成立的，招标人或代理机构请质疑人补充相关佐证材料，仍不能证明其质疑成立的，作违约处理。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5）质疑人不能提供相关佐证材料的，招标人、代理机构已指出，质疑人仍然坚持提出质疑的，作违约处理。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6）对明显有违事实的、经相关专家或评标小组认定无依据的、经其他投标人举证无依据的质疑，作违约处理，视情在招标人官网媒体予以披露。</w:t>
      </w:r>
      <w:r/>
    </w:p>
    <w:p>
      <w:pPr>
        <w:contextualSpacing/>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四、投诉不成立的作违约处理。投标人进行质疑后，招标人回复质疑不成立，投标人仍进行投诉的，并最终投诉不成立的，作违约处理。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五、《质疑函》《质疑回复函》，质疑、举报、投诉不成立等相关情况，视情在招标人官网等相关媒体予以披露。</w:t>
      </w:r>
      <w:r/>
    </w:p>
    <w:p>
      <w:pPr>
        <w:ind w:firstLine="560"/>
        <w:spacing w:line="460" w:lineRule="exact"/>
        <w:rPr>
          <w:rFonts w:ascii="宋体" w:hAnsi="宋体" w:cs="宋体"/>
          <w:bCs/>
          <w:color w:val="auto"/>
          <w:sz w:val="36"/>
          <w:szCs w:val="36"/>
          <w:highlight w:val="none"/>
        </w:rPr>
      </w:pPr>
      <w:r>
        <w:rPr>
          <w:rFonts w:hint="eastAsia" w:ascii="宋体" w:hAnsi="宋体" w:cs="宋体"/>
          <w:color w:val="auto"/>
          <w:sz w:val="28"/>
          <w:szCs w:val="28"/>
          <w:highlight w:val="none"/>
        </w:rPr>
        <w:t xml:space="preserve">六、质疑人对招标人或代理机构的答复不满意或者招标人、代理机构未在规定的时间内作出答复的，可以在答复期满后15个工作日内向相关监督管理部门投诉。</w:t>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outlineLvl w:val="0"/>
      </w:pPr>
      <w:r/>
      <w:bookmarkStart w:id="178" w:name="_Toc12704"/>
      <w:r/>
      <w:bookmarkStart w:id="179" w:name="_Toc20594"/>
      <w:r>
        <w:rPr>
          <w:rFonts w:hint="eastAsia" w:ascii="宋体" w:hAnsi="宋体" w:cs="宋体"/>
          <w:bCs/>
          <w:color w:val="auto"/>
          <w:sz w:val="36"/>
          <w:szCs w:val="36"/>
          <w:highlight w:val="none"/>
        </w:rPr>
        <w:t xml:space="preserve">第六部分  投标文件组成</w:t>
      </w:r>
      <w:bookmarkEnd w:id="178"/>
      <w:r/>
      <w:bookmarkEnd w:id="179"/>
      <w:r/>
      <w:r/>
    </w:p>
    <w:p>
      <w:pPr>
        <w:ind w:left="480"/>
        <w:spacing w:line="460" w:lineRule="exact"/>
        <w:rPr>
          <w:rFonts w:ascii="宋体" w:hAnsi="宋体" w:cs="宋体"/>
          <w:b/>
          <w:color w:val="auto"/>
          <w:sz w:val="28"/>
          <w:szCs w:val="28"/>
          <w:highlight w:val="none"/>
        </w:rPr>
        <w:outlineLvl w:val="1"/>
      </w:pPr>
      <w:r/>
      <w:bookmarkStart w:id="180" w:name="_Toc30344"/>
      <w:r>
        <w:rPr>
          <w:rFonts w:hint="eastAsia" w:ascii="宋体" w:hAnsi="宋体" w:cs="宋体"/>
          <w:b/>
          <w:color w:val="auto"/>
          <w:sz w:val="28"/>
          <w:szCs w:val="28"/>
          <w:highlight w:val="none"/>
        </w:rPr>
        <w:t xml:space="preserve">一、基本目录</w:t>
      </w:r>
      <w:bookmarkEnd w:id="180"/>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.技术要求响应及偏离表（带“▲”项）（格式见附件</w:t>
      </w: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w:t>
      </w:r>
      <w:r/>
    </w:p>
    <w:p>
      <w:pPr>
        <w:ind w:firstLine="560"/>
        <w:spacing w:line="460" w:lineRule="exact"/>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5.</w:t>
      </w:r>
      <w:r>
        <w:rPr>
          <w:rFonts w:hint="eastAsia" w:ascii="宋体" w:hAnsi="宋体" w:cs="宋体"/>
          <w:b w:val="0"/>
          <w:bCs/>
          <w:color w:val="auto"/>
          <w:sz w:val="28"/>
          <w:szCs w:val="28"/>
          <w:highlight w:val="none"/>
        </w:rPr>
        <w:t xml:space="preserve">技术要求响应及偏离表</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不带“▲”项</w:t>
      </w:r>
      <w:r>
        <w:rPr>
          <w:rFonts w:hint="eastAsia" w:ascii="宋体" w:hAnsi="宋体" w:cs="宋体"/>
          <w:b w:val="0"/>
          <w:bCs/>
          <w:color w:val="auto"/>
          <w:sz w:val="28"/>
          <w:szCs w:val="28"/>
          <w:highlight w:val="none"/>
          <w:lang w:eastAsia="zh-CN"/>
        </w:rPr>
        <w:t xml:space="preserve">）</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lang w:val="zh-CN"/>
        </w:rPr>
        <w:t xml:space="preserve">）；</w:t>
      </w:r>
      <w:r/>
    </w:p>
    <w:p>
      <w:pPr>
        <w:ind w:firstLine="560"/>
        <w:spacing w:line="440" w:lineRule="exact"/>
        <w:rPr>
          <w:rFonts w:ascii="宋体" w:hAnsi="宋体" w:cs="宋体"/>
          <w:color w:val="auto"/>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p>
    <w:p>
      <w:pPr>
        <w:ind w:left="480"/>
        <w:spacing w:line="460" w:lineRule="exact"/>
        <w:rPr>
          <w:rFonts w:ascii="宋体" w:hAnsi="宋体" w:cs="宋体"/>
          <w:b/>
          <w:color w:val="auto"/>
          <w:sz w:val="28"/>
          <w:szCs w:val="28"/>
          <w:highlight w:val="none"/>
        </w:rPr>
        <w:outlineLvl w:val="1"/>
      </w:pPr>
      <w:r/>
      <w:bookmarkStart w:id="181" w:name="_Toc19557"/>
      <w:r>
        <w:rPr>
          <w:rFonts w:hint="eastAsia" w:ascii="宋体" w:hAnsi="宋体" w:cs="宋体"/>
          <w:b/>
          <w:color w:val="auto"/>
          <w:sz w:val="28"/>
          <w:szCs w:val="28"/>
          <w:highlight w:val="none"/>
        </w:rPr>
        <w:t xml:space="preserve">二、资格审查内容</w:t>
      </w:r>
      <w:bookmarkEnd w:id="181"/>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w:t>
      </w:r>
      <w:r>
        <w:rPr>
          <w:rFonts w:hint="eastAsia" w:ascii="宋体" w:hAnsi="宋体" w:cs="宋体"/>
          <w:color w:val="auto"/>
          <w:sz w:val="28"/>
          <w:szCs w:val="28"/>
          <w:highlight w:val="none"/>
        </w:rPr>
        <w:t xml:space="preserve">中华人民共和国政府采购法</w:t>
      </w:r>
      <w:r>
        <w:rPr>
          <w:rFonts w:hint="eastAsia" w:ascii="宋体" w:hAnsi="宋体" w:cs="宋体"/>
          <w:color w:val="auto"/>
          <w:sz w:val="28"/>
          <w:szCs w:val="28"/>
          <w:highlight w:val="none"/>
        </w:rPr>
        <w:t xml:space="preserve">》第二十二条规定条件的承诺函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lang w:val="zh-CN"/>
        </w:rPr>
        <w:outlineLvl w:val="2"/>
      </w:pPr>
      <w:r/>
      <w:bookmarkStart w:id="182" w:name="_Toc31323"/>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bookmarkEnd w:id="182"/>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3.法定代表人授权委托书原件，</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zh-CN"/>
        </w:rPr>
        <w:t xml:space="preserve">代表本人身份证复印件（格式见附件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4.有效的营业执照复印件加盖公章；</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需要提交的资格审查证明材料（以下满足其一即可）：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5.1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5.2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5.3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注：上述“资格审查内容”中1-5条投标人必须逐条响应，否则作无效响应处理。</w:t>
      </w:r>
      <w:r/>
    </w:p>
    <w:p>
      <w:pPr>
        <w:ind w:left="480"/>
        <w:spacing w:line="460" w:lineRule="exact"/>
        <w:rPr>
          <w:rFonts w:ascii="宋体" w:hAnsi="宋体" w:cs="宋体"/>
          <w:b/>
          <w:color w:val="auto"/>
          <w:sz w:val="28"/>
          <w:szCs w:val="28"/>
          <w:highlight w:val="none"/>
        </w:rPr>
        <w:outlineLvl w:val="1"/>
      </w:pPr>
      <w:r/>
      <w:bookmarkStart w:id="183" w:name="_Toc2566"/>
      <w:r>
        <w:rPr>
          <w:rFonts w:hint="eastAsia" w:ascii="宋体" w:hAnsi="宋体" w:cs="宋体"/>
          <w:b/>
          <w:color w:val="auto"/>
          <w:sz w:val="28"/>
          <w:szCs w:val="28"/>
          <w:highlight w:val="none"/>
        </w:rPr>
        <w:t xml:space="preserve">三、符合性审查内容</w:t>
      </w:r>
      <w:bookmarkEnd w:id="183"/>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按招标文件第三部分项目需求“</w:t>
      </w:r>
      <w:r>
        <w:rPr>
          <w:rFonts w:hint="eastAsia" w:ascii="宋体" w:hAnsi="宋体" w:cs="宋体"/>
          <w:color w:val="auto"/>
          <w:sz w:val="28"/>
          <w:szCs w:val="28"/>
          <w:highlight w:val="none"/>
          <w:lang w:val="en-US" w:eastAsia="zh-CN"/>
        </w:rPr>
        <w:t xml:space="preserve">七</w:t>
      </w:r>
      <w:r>
        <w:rPr>
          <w:rFonts w:hint="eastAsia" w:ascii="宋体" w:hAnsi="宋体" w:cs="宋体"/>
          <w:color w:val="auto"/>
          <w:sz w:val="28"/>
          <w:szCs w:val="28"/>
          <w:highlight w:val="none"/>
        </w:rPr>
        <w:t xml:space="preserve">、采购需求中必须满足的实质性要求”的要求提供材料</w:t>
      </w:r>
      <w:r>
        <w:rPr>
          <w:rFonts w:hint="eastAsia" w:ascii="宋体" w:hAnsi="宋体" w:cs="宋体"/>
          <w:color w:val="auto"/>
          <w:sz w:val="28"/>
          <w:szCs w:val="28"/>
          <w:highlight w:val="none"/>
          <w:lang w:val="zh-CN"/>
        </w:rPr>
        <w:t xml:space="preserve">。</w:t>
      </w:r>
      <w:r/>
    </w:p>
    <w:p>
      <w:pPr>
        <w:numPr>
          <w:ilvl w:val="0"/>
          <w:numId w:val="0"/>
        </w:numPr>
        <w:ind w:firstLine="562"/>
        <w:jc w:val="left"/>
        <w:spacing w:line="440" w:lineRule="exact"/>
        <w:rPr>
          <w:rFonts w:hint="default" w:ascii="宋体" w:hAnsi="宋体" w:eastAsia="宋体" w:cs="宋体"/>
          <w:b/>
          <w:color w:val="auto"/>
          <w:sz w:val="28"/>
          <w:szCs w:val="28"/>
          <w:lang w:val="en-US" w:eastAsia="zh-CN" w:bidi="ar-SA"/>
        </w:rPr>
        <w:outlineLvl w:val="1"/>
      </w:pPr>
      <w:r/>
      <w:bookmarkStart w:id="184" w:name="_Toc21971"/>
      <w:r>
        <w:rPr>
          <w:rFonts w:hint="eastAsia" w:ascii="宋体" w:hAnsi="宋体" w:cs="宋体"/>
          <w:b w:val="0"/>
          <w:bCs/>
          <w:color w:val="auto"/>
          <w:sz w:val="28"/>
          <w:szCs w:val="28"/>
          <w:lang w:val="en-US" w:eastAsia="zh-CN" w:bidi="ar-SA"/>
        </w:rPr>
        <w:t xml:space="preserve">2.</w:t>
      </w:r>
      <w:r>
        <w:rPr>
          <w:rFonts w:hint="eastAsia" w:ascii="宋体" w:hAnsi="宋体" w:cs="宋体"/>
          <w:i w:val="0"/>
          <w:iCs w:val="0"/>
          <w:color w:val="auto"/>
          <w:sz w:val="28"/>
          <w:szCs w:val="28"/>
          <w:highlight w:val="none"/>
          <w:u w:val="none"/>
          <w:lang w:val="en-US" w:eastAsia="zh-CN" w:bidi="ar"/>
        </w:rPr>
        <w:t xml:space="preserve">异常低价审查（投标（响应）人在投标（响应）时无需提供佐证材料，上传空白页即可。</w:t>
      </w:r>
      <w:r/>
    </w:p>
    <w:p>
      <w:pPr>
        <w:numPr>
          <w:ilvl w:val="0"/>
          <w:numId w:val="0"/>
        </w:numPr>
        <w:ind w:firstLine="562"/>
        <w:jc w:val="left"/>
        <w:spacing w:line="440" w:lineRule="exact"/>
        <w:rPr>
          <w:rFonts w:ascii="宋体" w:hAnsi="宋体" w:cs="宋体"/>
          <w:b/>
          <w:color w:val="auto"/>
          <w:sz w:val="28"/>
          <w:szCs w:val="28"/>
          <w:highlight w:val="none"/>
        </w:rPr>
        <w:outlineLvl w:val="1"/>
      </w:pPr>
      <w:r>
        <w:rPr>
          <w:rFonts w:hint="eastAsia" w:ascii="宋体" w:hAnsi="宋体" w:eastAsia="宋体" w:cs="宋体"/>
          <w:b/>
          <w:color w:val="auto"/>
          <w:sz w:val="28"/>
          <w:szCs w:val="28"/>
          <w:lang w:val="en-US" w:eastAsia="zh-CN" w:bidi="ar-SA"/>
        </w:rPr>
        <w:t xml:space="preserve">四、</w:t>
      </w:r>
      <w:r>
        <w:rPr>
          <w:rFonts w:hint="eastAsia" w:ascii="宋体" w:hAnsi="宋体" w:cs="宋体"/>
          <w:b/>
          <w:color w:val="auto"/>
          <w:sz w:val="28"/>
          <w:szCs w:val="28"/>
          <w:highlight w:val="none"/>
        </w:rPr>
        <w:t xml:space="preserve">商务技术文件</w:t>
      </w:r>
      <w:bookmarkEnd w:id="184"/>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0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contextualSpacing/>
        <w:ind w:firstLine="562"/>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s="宋体"/>
          <w:color w:val="auto"/>
          <w:sz w:val="28"/>
          <w:szCs w:val="28"/>
          <w:highlight w:val="none"/>
        </w:rPr>
      </w:pPr>
      <w:r>
        <w:rPr>
          <w:rFonts w:hint="eastAsia" w:ascii="宋体" w:hAnsi="宋体" w:cs="宋体"/>
          <w:color w:val="auto"/>
          <w:sz w:val="32"/>
          <w:szCs w:val="32"/>
          <w:highlight w:val="none"/>
          <w:lang w:val="zh-CN"/>
        </w:rPr>
        <w:br w:type="page" w:clear="all"/>
      </w:r>
      <w:r>
        <w:rPr>
          <w:rFonts w:hint="eastAsia" w:ascii="宋体" w:hAnsi="宋体" w:cs="宋体"/>
          <w:color w:val="auto"/>
          <w:sz w:val="28"/>
          <w:szCs w:val="28"/>
          <w:highlight w:val="none"/>
        </w:rPr>
        <w:t xml:space="preserve">附件1</w:t>
      </w:r>
      <w:r/>
    </w:p>
    <w:p>
      <w:pPr>
        <w:jc w:val="center"/>
        <w:spacing w:line="480" w:lineRule="exact"/>
        <w:rPr>
          <w:rFonts w:ascii="宋体" w:hAnsi="宋体" w:cs="宋体"/>
          <w:color w:val="auto"/>
          <w:sz w:val="28"/>
          <w:szCs w:val="28"/>
          <w:highlight w:val="none"/>
        </w:rPr>
        <w:outlineLvl w:val="2"/>
      </w:pPr>
      <w:r/>
      <w:bookmarkStart w:id="185" w:name="_Toc27568"/>
      <w:r>
        <w:rPr>
          <w:rFonts w:hint="eastAsia" w:ascii="宋体" w:hAnsi="宋体" w:cs="宋体"/>
          <w:b/>
          <w:color w:val="auto"/>
          <w:sz w:val="28"/>
          <w:szCs w:val="28"/>
          <w:highlight w:val="none"/>
        </w:rPr>
        <w:t xml:space="preserve">开标一览表</w:t>
      </w:r>
      <w:bookmarkEnd w:id="185"/>
      <w:r/>
      <w:r/>
    </w:p>
    <w:p>
      <w:pPr>
        <w:ind w:firstLine="482"/>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投标人全称（加盖CA电子签章）：</w:t>
      </w:r>
      <w:r/>
    </w:p>
    <w:p>
      <w:pPr>
        <w:ind w:firstLine="482"/>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482"/>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                                   </w:t>
      </w:r>
      <w:r/>
    </w:p>
    <w:p>
      <w:pPr>
        <w:ind w:firstLine="482"/>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分包号：</w:t>
      </w:r>
      <w:r/>
    </w:p>
    <w:tbl>
      <w:tblPr>
        <w:tblStyle w:val="9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投标总报价</w:t>
            </w:r>
            <w:r/>
          </w:p>
        </w:tc>
      </w:tr>
      <w:tr>
        <w:trPr>
          <w:cantSplit/>
          <w:trHeight w:val="612"/>
        </w:trPr>
        <w:tc>
          <w:tcPr>
            <w:gridSpan w:val="2"/>
            <w:tcW w:w="8886" w:type="dxa"/>
            <w:vAlign w:val="center"/>
            <w:textDirection w:val="lrTb"/>
            <w:noWrap w:val="false"/>
          </w:tcPr>
          <w:p>
            <w:pPr>
              <w:jc w:val="left"/>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小写：                             （人民币：元）</w:t>
            </w:r>
            <w:r/>
          </w:p>
        </w:tc>
      </w:tr>
      <w:tr>
        <w:trPr>
          <w:cantSplit/>
          <w:trHeight w:val="612"/>
        </w:trPr>
        <w:tc>
          <w:tcPr>
            <w:tcW w:w="2481"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核心产品品牌</w:t>
            </w:r>
            <w:r/>
          </w:p>
        </w:tc>
        <w:tc>
          <w:tcPr>
            <w:tcW w:w="6405" w:type="dxa"/>
            <w:vAlign w:val="center"/>
            <w:textDirection w:val="lrTb"/>
            <w:noWrap w:val="false"/>
          </w:tcPr>
          <w:p>
            <w:pPr>
              <w:jc w:val="left"/>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00" w:beforeAutospacing="1" w:after="100" w:afterAutospacing="1" w:line="500" w:lineRule="atLeast"/>
        <w:widowControl/>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before="100" w:beforeAutospacing="1" w:after="100" w:afterAutospacing="1" w:line="500" w:lineRule="atLeast"/>
        <w:widowControl/>
        <w:rPr>
          <w:rFonts w:ascii="宋体" w:hAnsi="宋体" w:cs="宋体"/>
          <w:b/>
          <w:bCs/>
          <w:color w:val="auto"/>
          <w:sz w:val="28"/>
          <w:szCs w:val="28"/>
          <w:highlight w:val="none"/>
        </w:rPr>
      </w:pPr>
      <w:r>
        <w:rPr>
          <w:rFonts w:ascii="宋体" w:hAnsi="宋体" w:cs="宋体"/>
          <w:b/>
          <w:bCs/>
          <w:color w:val="auto"/>
          <w:sz w:val="28"/>
          <w:szCs w:val="28"/>
          <w:highlight w:val="none"/>
        </w:rPr>
      </w:r>
      <w:r/>
    </w:p>
    <w:p>
      <w:pPr>
        <w:contextualSpacing/>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附件2</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投标分项报价表</w:t>
      </w:r>
      <w:r/>
    </w:p>
    <w:p>
      <w:pPr>
        <w:pStyle w:val="1099"/>
        <w:ind w:left="0" w:firstLine="0"/>
        <w:rPr>
          <w:rFonts w:ascii="宋体" w:hAnsi="宋体" w:eastAsia="宋体" w:cs="宋体"/>
          <w:b/>
          <w:color w:val="auto"/>
          <w:szCs w:val="28"/>
          <w:highlight w:val="none"/>
        </w:rPr>
      </w:pPr>
      <w:r>
        <w:rPr>
          <w:rFonts w:ascii="宋体" w:hAnsi="宋体" w:eastAsia="宋体" w:cs="宋体"/>
          <w:b/>
          <w:color w:val="auto"/>
          <w:szCs w:val="28"/>
          <w:highlight w:val="none"/>
        </w:rPr>
      </w:r>
      <w:r/>
    </w:p>
    <w:tbl>
      <w:tblPr>
        <w:tblStyle w:val="953"/>
        <w:tblW w:w="56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545"/>
        <w:gridCol w:w="675"/>
        <w:gridCol w:w="675"/>
        <w:gridCol w:w="990"/>
        <w:gridCol w:w="1061"/>
        <w:gridCol w:w="1037"/>
        <w:gridCol w:w="737"/>
        <w:gridCol w:w="1140"/>
        <w:gridCol w:w="1184"/>
      </w:tblGrid>
      <w:tr>
        <w:trPr>
          <w:cantSplit/>
          <w:jc w:val="center"/>
          <w:trHeight w:val="685"/>
        </w:trPr>
        <w:tc>
          <w:tcPr>
            <w:tcW w:w="271"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序号</w:t>
            </w:r>
            <w:r/>
          </w:p>
        </w:tc>
        <w:tc>
          <w:tcPr>
            <w:tcW w:w="807"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名  称</w:t>
            </w:r>
            <w:r/>
          </w:p>
        </w:tc>
        <w:tc>
          <w:tcPr>
            <w:tcW w:w="352"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数量</w:t>
            </w:r>
            <w:r/>
          </w:p>
        </w:tc>
        <w:tc>
          <w:tcPr>
            <w:tcW w:w="352"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单位</w:t>
            </w:r>
            <w:r/>
          </w:p>
        </w:tc>
        <w:tc>
          <w:tcPr>
            <w:tcW w:w="517" w:type="pct"/>
            <w:vAlign w:val="center"/>
            <w:textDirection w:val="lrTb"/>
            <w:noWrap w:val="false"/>
          </w:tcPr>
          <w:p>
            <w:pPr>
              <w:jc w:val="center"/>
              <w:spacing w:line="360" w:lineRule="exact"/>
              <w:rPr>
                <w:rFonts w:hint="eastAsia" w:ascii="宋体" w:hAnsi="宋体" w:cs="宋体"/>
                <w:color w:val="auto"/>
                <w:sz w:val="28"/>
                <w:szCs w:val="36"/>
                <w:highlight w:val="none"/>
              </w:rPr>
            </w:pPr>
            <w:r>
              <w:rPr>
                <w:rFonts w:hint="eastAsia" w:ascii="宋体" w:hAnsi="宋体" w:cs="宋体"/>
                <w:color w:val="auto"/>
                <w:sz w:val="28"/>
                <w:szCs w:val="36"/>
                <w:highlight w:val="none"/>
              </w:rPr>
              <w:t xml:space="preserve">品牌</w:t>
            </w:r>
            <w:r/>
          </w:p>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（如有）</w:t>
            </w:r>
            <w:r/>
          </w:p>
        </w:tc>
        <w:tc>
          <w:tcPr>
            <w:tcW w:w="554"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规格型号</w:t>
            </w:r>
            <w:r/>
          </w:p>
        </w:tc>
        <w:tc>
          <w:tcPr>
            <w:tcW w:w="542"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制造商名称</w:t>
            </w:r>
            <w:r/>
          </w:p>
        </w:tc>
        <w:tc>
          <w:tcPr>
            <w:tcW w:w="385"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产地</w:t>
            </w:r>
            <w:r/>
          </w:p>
        </w:tc>
        <w:tc>
          <w:tcPr>
            <w:tcW w:w="596"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投标单价（元）</w:t>
            </w:r>
            <w:r/>
          </w:p>
        </w:tc>
        <w:tc>
          <w:tcPr>
            <w:tcW w:w="619"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投标合价（元）</w:t>
            </w:r>
            <w:r/>
          </w:p>
        </w:tc>
      </w:tr>
      <w:tr>
        <w:trPr>
          <w:cantSplit/>
          <w:jc w:val="center"/>
          <w:trHeight w:val="1045"/>
        </w:trPr>
        <w:tc>
          <w:tcPr>
            <w:tcW w:w="271"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1</w:t>
            </w:r>
            <w:r/>
          </w:p>
        </w:tc>
        <w:tc>
          <w:tcPr>
            <w:tcW w:w="807"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color w:val="auto"/>
                <w:sz w:val="28"/>
                <w:szCs w:val="36"/>
                <w:highlight w:val="none"/>
                <w:lang w:val="en-US" w:eastAsia="zh-CN"/>
              </w:rPr>
              <w:t xml:space="preserve">气动实验装置</w:t>
            </w:r>
            <w:r/>
          </w:p>
        </w:tc>
        <w:tc>
          <w:tcPr>
            <w:tcW w:w="352" w:type="pct"/>
            <w:vAlign w:val="center"/>
            <w:textDirection w:val="lrTb"/>
            <w:noWrap w:val="false"/>
          </w:tcPr>
          <w:p>
            <w:pPr>
              <w:jc w:val="center"/>
              <w:spacing w:line="360" w:lineRule="exact"/>
              <w:rPr>
                <w:rFonts w:hint="eastAsia" w:ascii="宋体" w:hAnsi="宋体" w:eastAsia="宋体" w:cs="宋体"/>
                <w:color w:val="auto"/>
                <w:sz w:val="28"/>
                <w:szCs w:val="36"/>
                <w:highlight w:val="none"/>
                <w:lang w:eastAsia="zh-CN"/>
              </w:rPr>
            </w:pPr>
            <w:r>
              <w:rPr>
                <w:rFonts w:hint="eastAsia" w:ascii="宋体" w:hAnsi="宋体" w:cs="宋体"/>
                <w:color w:val="auto"/>
                <w:sz w:val="28"/>
                <w:szCs w:val="36"/>
                <w:highlight w:val="none"/>
                <w:lang w:val="en-US" w:eastAsia="zh-CN"/>
              </w:rPr>
              <w:t xml:space="preserve">6</w:t>
            </w:r>
            <w:r/>
          </w:p>
        </w:tc>
        <w:tc>
          <w:tcPr>
            <w:tcW w:w="352"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台</w:t>
            </w:r>
            <w:r/>
          </w:p>
        </w:tc>
        <w:tc>
          <w:tcPr>
            <w:tcW w:w="517"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554"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542"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385"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596"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619"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r>
      <w:tr>
        <w:trPr>
          <w:cantSplit/>
          <w:jc w:val="center"/>
          <w:trHeight w:val="347"/>
        </w:trPr>
        <w:tc>
          <w:tcPr>
            <w:tcW w:w="271"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2</w:t>
            </w:r>
            <w:r/>
          </w:p>
        </w:tc>
        <w:tc>
          <w:tcPr>
            <w:tcW w:w="807" w:type="pct"/>
            <w:vAlign w:val="center"/>
            <w:textDirection w:val="lrTb"/>
            <w:noWrap w:val="false"/>
          </w:tcPr>
          <w:p>
            <w:pPr>
              <w:jc w:val="center"/>
              <w:spacing w:line="360" w:lineRule="exact"/>
              <w:rPr>
                <w:rFonts w:ascii="宋体" w:hAnsi="宋体" w:cs="宋体"/>
                <w:color w:val="auto"/>
                <w:sz w:val="28"/>
                <w:szCs w:val="32"/>
                <w:highlight w:val="none"/>
              </w:rPr>
            </w:pPr>
            <w:r>
              <w:rPr>
                <w:rFonts w:hint="eastAsia" w:ascii="宋体" w:hAnsi="宋体" w:eastAsia="宋体"/>
                <w:color w:val="auto"/>
                <w:sz w:val="28"/>
                <w:szCs w:val="28"/>
                <w:highlight w:val="none"/>
                <w:lang w:val="en-US" w:eastAsia="zh-CN"/>
              </w:rPr>
              <w:t xml:space="preserve">基本液压传动实验台</w:t>
            </w:r>
            <w:r/>
          </w:p>
        </w:tc>
        <w:tc>
          <w:tcPr>
            <w:tcW w:w="352" w:type="pct"/>
            <w:vAlign w:val="center"/>
            <w:textDirection w:val="lrTb"/>
            <w:noWrap w:val="false"/>
          </w:tcPr>
          <w:p>
            <w:pPr>
              <w:jc w:val="center"/>
              <w:spacing w:line="360" w:lineRule="exact"/>
              <w:rPr>
                <w:rFonts w:hint="eastAsia" w:ascii="宋体" w:hAnsi="宋体" w:eastAsia="宋体" w:cs="宋体"/>
                <w:color w:val="auto"/>
                <w:sz w:val="28"/>
                <w:szCs w:val="32"/>
                <w:highlight w:val="none"/>
                <w:lang w:eastAsia="zh-CN"/>
              </w:rPr>
            </w:pPr>
            <w:r>
              <w:rPr>
                <w:rFonts w:hint="eastAsia" w:ascii="宋体" w:hAnsi="宋体" w:cs="宋体"/>
                <w:color w:val="auto"/>
                <w:sz w:val="28"/>
                <w:szCs w:val="36"/>
                <w:highlight w:val="none"/>
                <w:lang w:val="en-US" w:eastAsia="zh-CN"/>
              </w:rPr>
              <w:t xml:space="preserve">3</w:t>
            </w:r>
            <w:r/>
          </w:p>
        </w:tc>
        <w:tc>
          <w:tcPr>
            <w:tcW w:w="352"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台</w:t>
            </w:r>
            <w:r/>
          </w:p>
        </w:tc>
        <w:tc>
          <w:tcPr>
            <w:tcW w:w="517"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554"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542"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385"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596"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c>
          <w:tcPr>
            <w:tcW w:w="619"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r>
      <w:tr>
        <w:trPr>
          <w:cantSplit/>
          <w:jc w:val="center"/>
          <w:trHeight w:val="645"/>
        </w:trPr>
        <w:tc>
          <w:tcPr>
            <w:gridSpan w:val="9"/>
            <w:tcW w:w="4380" w:type="pct"/>
            <w:vAlign w:val="center"/>
            <w:textDirection w:val="lrTb"/>
            <w:noWrap w:val="false"/>
          </w:tcPr>
          <w:p>
            <w:pPr>
              <w:jc w:val="center"/>
              <w:spacing w:line="360" w:lineRule="exact"/>
              <w:rPr>
                <w:rFonts w:ascii="宋体" w:hAnsi="宋体" w:cs="宋体"/>
                <w:color w:val="auto"/>
                <w:sz w:val="28"/>
                <w:szCs w:val="36"/>
                <w:highlight w:val="none"/>
              </w:rPr>
            </w:pPr>
            <w:r>
              <w:rPr>
                <w:rFonts w:hint="eastAsia" w:ascii="宋体" w:hAnsi="宋体" w:cs="宋体"/>
                <w:color w:val="auto"/>
                <w:sz w:val="28"/>
                <w:szCs w:val="36"/>
                <w:highlight w:val="none"/>
              </w:rPr>
              <w:t xml:space="preserve">投标总报价（元）</w:t>
            </w:r>
            <w:r/>
          </w:p>
        </w:tc>
        <w:tc>
          <w:tcPr>
            <w:tcW w:w="619" w:type="pct"/>
            <w:vAlign w:val="center"/>
            <w:textDirection w:val="lrTb"/>
            <w:noWrap w:val="false"/>
          </w:tcPr>
          <w:p>
            <w:pPr>
              <w:jc w:val="center"/>
              <w:spacing w:line="360" w:lineRule="exact"/>
              <w:rPr>
                <w:rFonts w:ascii="宋体" w:hAnsi="宋体" w:cs="宋体"/>
                <w:color w:val="auto"/>
                <w:sz w:val="28"/>
                <w:szCs w:val="36"/>
                <w:highlight w:val="none"/>
              </w:rPr>
            </w:pPr>
            <w:r>
              <w:rPr>
                <w:rFonts w:ascii="宋体" w:hAnsi="宋体" w:cs="宋体"/>
                <w:color w:val="auto"/>
                <w:sz w:val="28"/>
                <w:szCs w:val="36"/>
                <w:highlight w:val="none"/>
              </w:rPr>
            </w:r>
            <w:r/>
          </w:p>
        </w:tc>
      </w:tr>
    </w:tbl>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3.投标人需认真填写本报价表，尤其注意规格型号的准确填写。</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4.项目经办人可以根据项目实际需要对表格结构进行调整。</w:t>
      </w:r>
      <w:r/>
    </w:p>
    <w:p>
      <w:pPr>
        <w:spacing w:line="300" w:lineRule="auto"/>
        <w:rPr>
          <w:rFonts w:ascii="宋体" w:hAnsi="宋体" w:cs="宋体"/>
          <w:color w:val="auto"/>
          <w:sz w:val="32"/>
          <w:szCs w:val="32"/>
          <w:highlight w:val="none"/>
          <w:lang w:val="zh-CN"/>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color w:val="auto"/>
          <w:sz w:val="32"/>
          <w:szCs w:val="32"/>
          <w:highlight w:val="none"/>
          <w:lang w:val="zh-CN"/>
        </w:rPr>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附件3</w:t>
      </w:r>
      <w:r/>
    </w:p>
    <w:p>
      <w:pPr>
        <w:contextualSpacing/>
        <w:jc w:val="center"/>
        <w:spacing w:line="300" w:lineRule="auto"/>
        <w:tabs>
          <w:tab w:val="left" w:pos="12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953"/>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Borders>
              <w:top w:val="single" w:color="auto" w:sz="4" w:space="0"/>
              <w:left w:val="single" w:color="auto" w:sz="4" w:space="0"/>
            </w:tcBorders>
            <w:tcW w:w="1412"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10"/>
            <w:tcBorders>
              <w:top w:val="single" w:color="auto" w:sz="4" w:space="0"/>
              <w:right w:val="single" w:color="auto" w:sz="4" w:space="0"/>
            </w:tcBorders>
            <w:tcW w:w="775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trHeight w:val="397"/>
        </w:trPr>
        <w:tc>
          <w:tcPr>
            <w:gridSpan w:val="3"/>
            <w:tcBorders>
              <w:left w:val="single" w:color="auto" w:sz="4" w:space="0"/>
              <w:right w:val="single" w:color="auto" w:sz="4" w:space="0"/>
            </w:tcBorders>
            <w:tcW w:w="2177"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9"/>
            <w:tcBorders>
              <w:left w:val="single" w:color="auto" w:sz="4" w:space="0"/>
              <w:right w:val="single" w:color="auto" w:sz="4" w:space="0"/>
            </w:tcBorders>
            <w:tcW w:w="698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gridSpan w:val="2"/>
            <w:tcW w:w="1324"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8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Borders>
              <w:right w:val="single" w:color="auto" w:sz="4" w:space="0"/>
            </w:tcBorders>
            <w:tcW w:w="143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本次投标</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型    号</w:t>
            </w:r>
            <w:r/>
          </w:p>
        </w:tc>
        <w:tc>
          <w:tcPr>
            <w:tcW w:w="94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上年</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曾获何级何种奖励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主要用户</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其他</w:t>
            </w:r>
            <w:r/>
          </w:p>
        </w:tc>
        <w:tc>
          <w:tcPr>
            <w:gridSpan w:val="6"/>
            <w:tcW w:w="4206"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w:t>
            </w:r>
            <w:r>
              <w:rPr>
                <w:rFonts w:hint="eastAsia" w:ascii="宋体" w:hAnsi="宋体" w:cs="宋体"/>
                <w:color w:val="auto"/>
                <w:sz w:val="28"/>
                <w:szCs w:val="28"/>
                <w:highlight w:val="none"/>
                <w:lang w:eastAsia="zh-CN"/>
              </w:rPr>
              <w:t xml:space="preserve">而后</w:t>
            </w:r>
            <w:r>
              <w:rPr>
                <w:rFonts w:hint="eastAsia" w:ascii="宋体" w:hAnsi="宋体" w:cs="宋体"/>
                <w:color w:val="auto"/>
                <w:sz w:val="28"/>
                <w:szCs w:val="28"/>
                <w:highlight w:val="none"/>
              </w:rPr>
              <w:t xml:space="preserve">又被招标人或采购代理机构发现，或被</w:t>
            </w:r>
            <w:r>
              <w:rPr>
                <w:rFonts w:hint="eastAsia" w:ascii="宋体" w:hAnsi="宋体" w:cs="宋体"/>
                <w:color w:val="auto"/>
                <w:sz w:val="28"/>
                <w:szCs w:val="28"/>
                <w:highlight w:val="none"/>
                <w:lang w:eastAsia="zh-CN"/>
              </w:rPr>
              <w:t xml:space="preserve">他人</w:t>
            </w:r>
            <w:r>
              <w:rPr>
                <w:rFonts w:hint="eastAsia" w:ascii="宋体" w:hAnsi="宋体" w:cs="宋体"/>
                <w:color w:val="auto"/>
                <w:sz w:val="28"/>
                <w:szCs w:val="28"/>
                <w:highlight w:val="none"/>
              </w:rPr>
              <w:t xml:space="preserve">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附件4</w:t>
      </w:r>
      <w:r/>
    </w:p>
    <w:p>
      <w:pPr>
        <w:jc w:val="cente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技术要求响应及偏离表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带“▲”项</w:t>
      </w:r>
      <w:r>
        <w:rPr>
          <w:rFonts w:hint="eastAsia" w:ascii="宋体" w:hAnsi="宋体" w:cs="宋体"/>
          <w:b/>
          <w:color w:val="auto"/>
          <w:sz w:val="28"/>
          <w:szCs w:val="28"/>
          <w:highlight w:val="none"/>
          <w:lang w:eastAsia="zh-CN"/>
        </w:rPr>
        <w:t xml:space="preserve">）</w:t>
      </w:r>
      <w:r/>
    </w:p>
    <w:tbl>
      <w:tblPr>
        <w:tblStyle w:val="95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32"/>
        <w:gridCol w:w="1995"/>
        <w:gridCol w:w="1955"/>
      </w:tblGrid>
      <w:tr>
        <w:trPr>
          <w:trHeight w:val="23"/>
        </w:trPr>
        <w:tc>
          <w:tcPr>
            <w:tcW w:w="545"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4432"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技术</w:t>
            </w:r>
            <w:r>
              <w:rPr>
                <w:rFonts w:hint="eastAsia" w:ascii="宋体" w:hAnsi="宋体" w:eastAsia="宋体" w:cs="宋体"/>
                <w:color w:val="auto"/>
                <w:sz w:val="28"/>
                <w:szCs w:val="28"/>
                <w:highlight w:val="none"/>
              </w:rPr>
              <w:t xml:space="preserve">要求</w:t>
            </w:r>
            <w:r/>
          </w:p>
        </w:tc>
        <w:tc>
          <w:tcPr>
            <w:tcW w:w="1995"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投标响应情况</w:t>
            </w:r>
            <w:r/>
          </w:p>
        </w:tc>
        <w:tc>
          <w:tcPr>
            <w:tcW w:w="1955"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超出、符合或偏离</w:t>
            </w:r>
            <w:r/>
          </w:p>
        </w:tc>
      </w:tr>
      <w:tr>
        <w:trPr>
          <w:trHeight w:val="23"/>
        </w:trPr>
        <w:tc>
          <w:tcPr>
            <w:gridSpan w:val="4"/>
            <w:tcW w:w="89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val="en-US" w:eastAsia="zh-CN"/>
              </w:rPr>
              <w:t xml:space="preserve">气动实验装置</w:t>
            </w:r>
            <w:r/>
          </w:p>
        </w:tc>
      </w:tr>
      <w:tr>
        <w:trPr>
          <w:trHeight w:val="23"/>
        </w:trPr>
        <w:tc>
          <w:tcPr>
            <w:tcW w:w="545" w:type="dxa"/>
            <w:vAlign w:val="center"/>
            <w:textDirection w:val="lrTb"/>
            <w:noWrap w:val="false"/>
          </w:tcPr>
          <w:p>
            <w:pPr>
              <w:jc w:val="center"/>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w:t>
            </w:r>
            <w:r/>
          </w:p>
        </w:tc>
        <w:tc>
          <w:tcPr>
            <w:tcW w:w="4432" w:type="dxa"/>
            <w:vAlign w:val="center"/>
            <w:textDirection w:val="lrTb"/>
            <w:noWrap w:val="false"/>
          </w:tcPr>
          <w:p>
            <w:pPr>
              <w:ind w:left="0" w:firstLine="0"/>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工作台要求：</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主体框架：选用优质的冷轧板，桌脚采用≥72*72mm优质铝型材，桌脚要求采用四个铝压铸件悬浮式支撑脚链接，外形美观大方，便于拆装。</w:t>
            </w:r>
            <w:r>
              <w:rPr>
                <w:rFonts w:hint="eastAsia" w:ascii="宋体" w:hAnsi="宋体" w:cs="宋体"/>
                <w:b/>
                <w:bCs/>
                <w:color w:val="auto"/>
                <w:sz w:val="24"/>
                <w:szCs w:val="24"/>
                <w:highlight w:val="none"/>
                <w:lang w:val="en-US" w:eastAsia="zh-CN" w:bidi="ar"/>
              </w:rPr>
              <w:t xml:space="preserve">投标时提供第三方检测机构出具的CMA或CNAS检测报告（</w:t>
            </w:r>
            <w:r>
              <w:rPr>
                <w:rFonts w:hint="eastAsia" w:ascii="宋体" w:hAnsi="宋体" w:eastAsia="宋体" w:cs="宋体"/>
                <w:b/>
                <w:bCs/>
                <w:color w:val="auto"/>
                <w:sz w:val="24"/>
                <w:szCs w:val="24"/>
                <w:highlight w:val="none"/>
                <w:lang w:val="en-US" w:eastAsia="zh-CN" w:bidi="ar"/>
              </w:rPr>
              <w:t xml:space="preserve">悬浮式支撑脚符合国标的检测报告</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要求采用钣金结构与工业铝型材一体化设计，工业铝型材在钣金的基础上建立一个固定阀板的平台，主要用于安装相关元件，型材表面有标准的两道固定槽，最上面层主要以电气控制及挂件位置。实训屏的固定与实训桌融为一体，结构稳定，外形美观。</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实训桌桌面要求为防火、防水、绝缘、耐磨高密度板，厚度≥25</w:t>
            </w:r>
            <w:r>
              <w:rPr>
                <w:rFonts w:hint="eastAsia" w:ascii="宋体" w:hAnsi="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val="en-US" w:eastAsia="zh-CN" w:bidi="ar"/>
              </w:rPr>
              <w:t xml:space="preserve">。</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万向轮：要求试验台配有</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4个移动金属万向轮，移动灵活，承重性强。</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4）工具柜：配备</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4抽屉工具柜，用于存放气动元件、文件资料等。</w:t>
            </w:r>
            <w:r/>
          </w:p>
          <w:p>
            <w:pPr>
              <w:jc w:val="both"/>
              <w:keepLines w:val="0"/>
              <w:keepNext w:val="0"/>
              <w:pageBreakBefore w:val="0"/>
              <w:spacing w:line="460" w:lineRule="exact"/>
              <w:widowControl w:val="off"/>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5）运维控制桌：尺寸：</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700*550*750mm（长*宽*高）</w:t>
            </w:r>
            <w:r>
              <w:rPr>
                <w:rFonts w:hint="eastAsia" w:ascii="宋体" w:hAnsi="宋体" w:cs="宋体"/>
                <w:color w:val="auto"/>
                <w:sz w:val="24"/>
                <w:szCs w:val="24"/>
                <w:highlight w:val="none"/>
                <w:lang w:val="en-US" w:eastAsia="zh-CN" w:bidi="ar"/>
              </w:rPr>
              <w:t xml:space="preserve">；</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类型：可折叠</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545" w:type="dxa"/>
            <w:vAlign w:val="center"/>
            <w:textDirection w:val="lrTb"/>
            <w:noWrap w:val="false"/>
          </w:tcPr>
          <w:p>
            <w:pPr>
              <w:jc w:val="center"/>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p>
        </w:tc>
        <w:tc>
          <w:tcPr>
            <w:tcW w:w="4432" w:type="dxa"/>
            <w:textDirection w:val="lrTb"/>
            <w:noWrap w:val="false"/>
          </w:tcPr>
          <w:p>
            <w:pPr>
              <w:ind w:left="0"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电源控制模块要求：</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▲1)无线电源控制系统</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该系统能够对实训室设备进行无线电源管理,由平板电脑或智能手机、系统软件、核心控制板及通信模块等组成;核心板采用微控制器，具备100-340V电压供电。</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系统采用无线通信模式，无需电脑主站，无需布线。</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无线电源管理功能使用平板电脑或者智能手机作为移动控制端，要求具有全部通电、全部断电和任意设备通断电等功能，要求教师可随时随地处理设备通电需求；同时提供非无线电源控制的选择开关，满足在智能电源故障时进行手动切换。</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具有密码保护，防止学生误操作；该系统可实现信息掉电不丢失数据；具备可达≥256个节点电源控制。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确保产品质量可靠。</w:t>
            </w:r>
            <w:r>
              <w:rPr>
                <w:rFonts w:hint="eastAsia" w:ascii="宋体" w:hAnsi="宋体" w:eastAsia="宋体" w:cs="宋体"/>
                <w:b/>
                <w:bCs/>
                <w:color w:val="auto"/>
                <w:sz w:val="24"/>
                <w:szCs w:val="24"/>
                <w:highlight w:val="none"/>
                <w:lang w:val="en-US" w:eastAsia="zh-CN" w:bidi="ar"/>
              </w:rPr>
              <w:t xml:space="preserve">投标时提供手机端的控制界面截图，包含全部通电、全部断电和任意设备通电三个不同操作界面。</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p>
        </w:tc>
        <w:tc>
          <w:tcPr>
            <w:tcW w:w="4432"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PLC模块要求：</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4）PLC配置要求：</w:t>
            </w:r>
            <w:r/>
          </w:p>
          <w:p>
            <w:pPr>
              <w:ind w:left="0" w:firstLine="480"/>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板载数字量</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14点输入/10点输出、2路模拟量输入，数字量输入支持漏型/源型信号，数字量输出类型为继电器，最大阻性负载</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2A，模拟量输入支持0-10VDC信号，分辨路</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10位；支持</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8个模块扩展、1个信号板扩展、3个通讯模块；</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工作存储</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100kB、装载存储4MB、保持性存储</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10kB；过程映像</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1024字节输入/1024字节输出；支持</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6路高速计数器输入，最高100kHz；布尔运算</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0.08μs、移动字</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1.0μs、实数数学运算</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1.78μs；集成</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1个PROFINET端口10/100Mb/s自适应，支持</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12个HMI设备连接、8个客户端、4个编程设备、8个开放连接；电源电压允许AC85-264V。PLC端子全部引到面板上</w:t>
            </w:r>
            <w:r>
              <w:rPr>
                <w:rFonts w:hint="eastAsia" w:ascii="宋体" w:hAnsi="宋体" w:cs="宋体"/>
                <w:b/>
                <w:bCs/>
                <w:color w:val="auto"/>
                <w:sz w:val="24"/>
                <w:szCs w:val="24"/>
                <w:highlight w:val="none"/>
                <w:lang w:val="en-US" w:eastAsia="zh-CN" w:bidi="ar"/>
              </w:rPr>
              <w:t xml:space="preserve">（投标时</w:t>
            </w:r>
            <w:r>
              <w:rPr>
                <w:rFonts w:hint="eastAsia" w:ascii="宋体" w:hAnsi="宋体" w:eastAsia="宋体" w:cs="宋体"/>
                <w:b/>
                <w:bCs/>
                <w:color w:val="auto"/>
                <w:sz w:val="24"/>
                <w:szCs w:val="24"/>
                <w:highlight w:val="none"/>
                <w:lang w:val="en-US" w:eastAsia="zh-CN" w:bidi="ar"/>
              </w:rPr>
              <w:t xml:space="preserve">提供产品宣传彩页截图</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p>
        </w:tc>
        <w:tc>
          <w:tcPr>
            <w:tcW w:w="4432" w:type="dxa"/>
            <w:textDirection w:val="lrTb"/>
            <w:noWrap w:val="false"/>
          </w:tcPr>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气动元件要求</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气动元件要求主要包括：单作用气缸，</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1个；带磁环双作用气缸，</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2个；三联件，</w:t>
            </w:r>
            <w:r>
              <w:rPr>
                <w:rFonts w:hint="default" w:ascii="Arial" w:hAnsi="Arial" w:eastAsia="宋体" w:cs="Arial"/>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套；气控延时阀，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1个；梭阀（或阀），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2个；双压阀（与阀），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2个；快速排气阀，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2个；可调单向节流阀，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3个；调压阀，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2个；手旋阀，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2个；滚轮杠杆式机械阀，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2个；单电控二位三通阀（常开），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2个；单电控二位三通阀（常闭），</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2个；单电控二位五通阀，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2个；双电控二位五通阀，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2个；单气控二位三通阀，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2个；单气控二位三通阀，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2个；单气控二位五通阀，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2个；双气控二位五通阀，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2个；单电控二位二通阀，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2个；三位五通电磁换向阀（中封式），</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1个；三通接头，</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5个；四通接头，</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2个；管塞，</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10个；减径直通，</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2个；气管，</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20米；大剪刀，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1把；十字螺丝刀，</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1把；活动扳手，</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1把；生料带，</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盒；同时配套L型外螺纹二通接头，直通接头铜消声器PU气管等配件，组成气动实训元件组，每个气动元件成独立模块，均装有带弹性插脚的底板，底板采用ABS工程塑料，一次压制而成，实训时可在通用铝型材板上构建成各种气动回路，气动元件装卸快捷。</w:t>
            </w:r>
            <w:r/>
          </w:p>
          <w:p>
            <w:pPr>
              <w:ind w:left="0" w:firstLine="482"/>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投标时提供照片不少于5张，</w:t>
            </w:r>
            <w:r>
              <w:rPr>
                <w:rFonts w:hint="eastAsia" w:ascii="宋体" w:hAnsi="宋体" w:cs="宋体"/>
                <w:b/>
                <w:bCs/>
                <w:color w:val="auto"/>
                <w:sz w:val="24"/>
                <w:szCs w:val="24"/>
                <w:highlight w:val="none"/>
                <w:lang w:val="en-US" w:eastAsia="zh-CN" w:bidi="ar"/>
              </w:rPr>
              <w:t xml:space="preserve">包括但不限于：</w:t>
            </w:r>
            <w:r>
              <w:rPr>
                <w:rFonts w:hint="eastAsia" w:ascii="宋体" w:hAnsi="宋体" w:eastAsia="宋体" w:cs="宋体"/>
                <w:b/>
                <w:bCs/>
                <w:color w:val="auto"/>
                <w:sz w:val="24"/>
                <w:szCs w:val="24"/>
                <w:highlight w:val="none"/>
                <w:lang w:val="en-US" w:eastAsia="zh-CN" w:bidi="ar"/>
              </w:rPr>
              <w:t xml:space="preserve">带安装板的</w:t>
            </w:r>
            <w:r>
              <w:rPr>
                <w:rFonts w:hint="eastAsia" w:ascii="宋体" w:hAnsi="宋体" w:cs="宋体"/>
                <w:b/>
                <w:bCs/>
                <w:color w:val="auto"/>
                <w:sz w:val="24"/>
                <w:szCs w:val="24"/>
                <w:highlight w:val="none"/>
                <w:lang w:val="en-US" w:eastAsia="zh-CN" w:bidi="ar"/>
              </w:rPr>
              <w:t xml:space="preserve">实验台；</w:t>
            </w:r>
            <w:r>
              <w:rPr>
                <w:rFonts w:hint="eastAsia" w:ascii="宋体" w:hAnsi="宋体" w:eastAsia="宋体" w:cs="宋体"/>
                <w:b/>
                <w:bCs/>
                <w:color w:val="auto"/>
                <w:sz w:val="24"/>
                <w:szCs w:val="24"/>
                <w:highlight w:val="none"/>
                <w:lang w:val="en-US" w:eastAsia="zh-CN" w:bidi="ar"/>
              </w:rPr>
              <w:t xml:space="preserve">实训元件阀块介绍、实物图、剖视图和文字介绍</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用户可以旋转、放大缩小、平移阀块模型</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阀块阀体采用透明材质，用户可以直观清晰地了解内部结构。</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gridSpan w:val="4"/>
            <w:tcW w:w="8927"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lang w:val="en-US" w:eastAsia="zh-CN"/>
              </w:rPr>
              <w:t xml:space="preserve">液压传动</w:t>
            </w:r>
            <w:r>
              <w:rPr>
                <w:rFonts w:hint="eastAsia" w:ascii="宋体" w:hAnsi="宋体" w:cs="宋体"/>
                <w:b/>
                <w:bCs/>
                <w:color w:val="auto"/>
                <w:sz w:val="24"/>
                <w:szCs w:val="24"/>
                <w:highlight w:val="none"/>
                <w:lang w:val="en-US" w:eastAsia="zh-CN"/>
              </w:rPr>
              <w:t xml:space="preserve">实验台</w:t>
            </w:r>
            <w:r/>
          </w:p>
        </w:tc>
      </w:tr>
      <w:tr>
        <w:trPr>
          <w:trHeight w:val="23"/>
        </w:trPr>
        <w:tc>
          <w:tcPr>
            <w:tcW w:w="545"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w:t>
            </w:r>
            <w:r/>
          </w:p>
        </w:tc>
        <w:tc>
          <w:tcPr>
            <w:tcW w:w="4432"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电源控制模块要求：</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▲1)无线电源控制系统</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该系统能够对实训室设备进行无线电源管理,由平板电脑或智能手机、系统软件、核心控制板及通信模块等组成;核心板采用微控制器，具备100-340V电压供电。</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系统采用无线通信模式，无需电脑主站，无需布线。</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无线电源管理功能使用平板电脑或者智能手机作为移动控制端，要求具有全部通电、全部断电和任意设备通断电等功能，要求教师可随时随地处理设备通电需求；同时提供非无线电源控制的选择开关，满足在智能电源故障时进行手动切换。</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具有密码保护，防止学生误操作；该系统可实现信息掉电不丢失数据；具备可达≥256个节点电源控制。</w:t>
            </w:r>
            <w:r/>
          </w:p>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确保产品质量可靠。</w:t>
            </w:r>
            <w:r>
              <w:rPr>
                <w:rFonts w:hint="eastAsia" w:ascii="宋体" w:hAnsi="宋体" w:eastAsia="宋体" w:cs="宋体"/>
                <w:b/>
                <w:bCs/>
                <w:color w:val="auto"/>
                <w:sz w:val="24"/>
                <w:szCs w:val="24"/>
                <w:highlight w:val="none"/>
                <w:lang w:val="en-US" w:eastAsia="zh-CN" w:bidi="ar"/>
              </w:rPr>
              <w:t xml:space="preserve">投标时提供手机端的控制界面截图，包含全部通电、全部断电和任意设备通电三个不同操作界面。</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w:t>
            </w:r>
            <w:r/>
          </w:p>
        </w:tc>
        <w:tc>
          <w:tcPr>
            <w:tcW w:w="4432"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▲液压控制数字孪生仿真软件要求：</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1)支持通过内置通讯驱动与外部真实PLC连接，实现通讯，主要包含型号</w:t>
            </w:r>
            <w:r>
              <w:rPr>
                <w:rFonts w:hint="eastAsia" w:ascii="宋体" w:hAnsi="宋体" w:eastAsia="宋体" w:cs="宋体"/>
                <w:b/>
                <w:bCs/>
                <w:color w:val="auto"/>
                <w:sz w:val="24"/>
                <w:szCs w:val="24"/>
                <w:highlight w:val="none"/>
                <w:lang w:val="en-US" w:eastAsia="zh-CN" w:bidi="ar"/>
              </w:rPr>
              <w:t xml:space="preserve">（在投标文件中提供不少于5种PLC型号，且均能通讯，提供截图佐证）</w:t>
            </w:r>
            <w:r>
              <w:rPr>
                <w:rFonts w:hint="eastAsia" w:ascii="宋体" w:hAnsi="宋体" w:eastAsia="宋体" w:cs="宋体"/>
                <w:color w:val="auto"/>
                <w:sz w:val="24"/>
                <w:szCs w:val="24"/>
                <w:highlight w:val="none"/>
                <w:lang w:val="en-US" w:eastAsia="zh-CN" w:bidi="ar"/>
              </w:rPr>
              <w:t xml:space="preserve">，支持与虚拟PLC连接与通讯。</w:t>
            </w:r>
            <w:r/>
          </w:p>
          <w:p>
            <w:pPr>
              <w:ind w:left="0"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支持I/O点自由分配，非固I/O定形式，要求采用拖拽式的IO匹配功能，要求实现设备信号自由匹配到PLC的任意端口，包含数字量、模拟量等；同时可实现默认IO分配及清楚原有IO分配点。真正的做到PLC自由编程，虚拟界面自由动作。</w:t>
            </w:r>
            <w:r>
              <w:rPr>
                <w:rFonts w:hint="eastAsia" w:ascii="宋体" w:hAnsi="宋体" w:eastAsia="宋体" w:cs="宋体"/>
                <w:b/>
                <w:bCs/>
                <w:color w:val="auto"/>
                <w:sz w:val="24"/>
                <w:szCs w:val="24"/>
                <w:highlight w:val="none"/>
                <w:lang w:val="en-US" w:eastAsia="zh-CN" w:bidi="ar"/>
              </w:rPr>
              <w:t xml:space="preserve">投标时提供截图佐证。</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内部场景由现实实训1：1搭建，贴合实际课程，所有实训设备均为实物模拟操作方式与现实器件相对应，并设置“实物PLC控制方式”、“虚拟PLC控制方式”与“查看状态监控”“查看IO分配图”满足学生的需要。所有模块包含数字孪生仿真系统，包含的功能模块有虚拟PLC控制虚拟对象，真实PLC控制虚拟对象、真实PLC控制实物对象、虚拟PLC控制实物对象。</w:t>
            </w:r>
            <w:r/>
          </w:p>
          <w:p>
            <w:pPr>
              <w:ind w:left="0"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4)提供支持I/O点自由分配，非固I/O定形式，要求采用拖拽式的IO匹配功能，要求实现设备信号自由匹配到PLC的任意端口，包含数字量、模拟量等</w:t>
            </w:r>
            <w:r>
              <w:rPr>
                <w:rFonts w:hint="eastAsia" w:ascii="宋体" w:hAnsi="宋体" w:eastAsia="宋体" w:cs="宋体"/>
                <w:b w:val="0"/>
                <w:bCs w:val="0"/>
                <w:color w:val="auto"/>
                <w:sz w:val="24"/>
                <w:szCs w:val="24"/>
                <w:highlight w:val="none"/>
                <w:lang w:val="en-US" w:eastAsia="zh-CN" w:bidi="ar"/>
              </w:rPr>
              <w:t xml:space="preserve">；同时可实现默认IO分配及清除/复位原有IO分配点功能，且软件界面上需体现“采购人学校”字样。</w:t>
            </w:r>
            <w:r/>
          </w:p>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5)软件的源代码完全对学校开放，供学校老师二次开发，二次开发后师生具有相应知识产权，可用于其他类型成果展示及竞赛。</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w:t>
            </w:r>
            <w:r/>
          </w:p>
        </w:tc>
        <w:tc>
          <w:tcPr>
            <w:tcW w:w="4432" w:type="dxa"/>
            <w:textDirection w:val="lrTb"/>
            <w:noWrap w:val="false"/>
          </w:tcPr>
          <w:p>
            <w:pPr>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▲7</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液压元件要求</w:t>
            </w:r>
            <w:r/>
          </w:p>
          <w:p>
            <w:pPr>
              <w:pStyle w:val="1011"/>
              <w:numPr>
                <w:ilvl w:val="0"/>
                <w:numId w:val="0"/>
              </w:num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要求主要包括：</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双作用单出杆液压缸组件：缸径40mm</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行程200mm，额定压力≥10MPa；≥2个；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二通流量阀（调速阀）：板式连接结构阀；最大流量至15L/min；带单向阀；≥2只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二位三通电磁换向阀：板式连接结构阀；工作电压DC24V</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电磁铁可旋转90º；最高工作压力油口压力至35MPa；最大流量至80L/min；≥2只</w:t>
            </w:r>
            <w:r>
              <w:rPr>
                <w:rFonts w:hint="eastAsia" w:ascii="宋体" w:hAnsi="宋体" w:cs="宋体"/>
                <w:color w:val="auto"/>
                <w:sz w:val="24"/>
                <w:szCs w:val="24"/>
                <w:highlight w:val="none"/>
                <w:lang w:val="en-US" w:eastAsia="zh-CN" w:bidi="ar"/>
              </w:rPr>
              <w:t xml:space="preserve">；</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二位四通电磁换向阀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板式连接结构阀；工作电压DC24V</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电磁铁可旋转90º；最高工作压力油口压力至35MPa；最大流量至80L/min；≥2只</w:t>
            </w:r>
            <w:r>
              <w:rPr>
                <w:rFonts w:hint="eastAsia" w:ascii="宋体" w:hAnsi="宋体" w:cs="宋体"/>
                <w:color w:val="auto"/>
                <w:sz w:val="24"/>
                <w:szCs w:val="24"/>
                <w:highlight w:val="none"/>
                <w:lang w:val="en-US" w:eastAsia="zh-CN" w:bidi="ar"/>
              </w:rPr>
              <w:t xml:space="preserve">；</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二位四通手控换向阀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板式连接结构阀；包含、阀体、手柄、阀芯、定位器、推杆等。最高工作压力油口压力至31.5MPa；最大流量至60L/min；操纵力约20N；≥1只；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三位四通电磁换向阀:板式连接结构阀；中位机能O型、M型；工作电压DC24V,电磁铁可旋转90º；最高工作压力油口压力至35MPa；最大流量至80L/min；各≥1只；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三位四通电磁换向阀:板式连接结构阀；中位机能Y型</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工作电压DC24V</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电磁铁可旋转90º；最高工作压力油口压力至35MPa；最大流量至80L/min；≥1只；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单向节流阀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板式连接结构阀；8通径；最大压力至35MPa；单向阀开启压力0.05MPa；≥1只；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单向阀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板式连接结构阀；最高工作压力31.5MPa；单向阀开启压力0.05MPa；≥1只；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先导式溢流阀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板式连接结构阀；工作油口压力至35MPa；调节压力至10MPa；流量至250L/min；≥1只；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rPr>
                <w:rFonts w:hint="eastAsia" w:ascii="宋体" w:hAnsi="宋体" w:eastAsia="宋体" w:cs="宋体"/>
                <w:color w:val="auto"/>
                <w:sz w:val="24"/>
                <w:szCs w:val="24"/>
                <w:highlight w:val="none"/>
                <w:lang w:val="en-US" w:eastAsia="zh-CN" w:bidi="ar"/>
              </w:rPr>
              <w:t xml:space="preserve">直动式溢流阀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板式连接结构阀；最高工作压力40MPa；额定流量50L/min；≥1只；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val="en-US" w:eastAsia="zh-CN" w:bidi="ar"/>
              </w:rPr>
              <w:t xml:space="preserve">直动式顺序阀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板式连接结构阀；包括阀体、控制阀芯、弹簧、压力设定元件、单向阀等；入口压力至31.5MPa；最大流量至60L/min；压力级100；≥2只；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13）</w:t>
            </w:r>
            <w:r>
              <w:rPr>
                <w:rFonts w:hint="eastAsia" w:ascii="宋体" w:hAnsi="宋体" w:eastAsia="宋体" w:cs="宋体"/>
                <w:color w:val="auto"/>
                <w:sz w:val="24"/>
                <w:szCs w:val="24"/>
                <w:highlight w:val="none"/>
                <w:lang w:val="en-US" w:eastAsia="zh-CN" w:bidi="ar"/>
              </w:rPr>
              <w:t xml:space="preserve">直动式减压阀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板式连接结构阀；进口压力至31.5MPa；出口压力可调至7.5MPa；最大流量至60L/min；≥1只；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14）</w:t>
            </w:r>
            <w:r>
              <w:rPr>
                <w:rFonts w:hint="eastAsia" w:ascii="宋体" w:hAnsi="宋体" w:eastAsia="宋体" w:cs="宋体"/>
                <w:color w:val="auto"/>
                <w:sz w:val="24"/>
                <w:szCs w:val="24"/>
                <w:highlight w:val="none"/>
                <w:lang w:val="en-US" w:eastAsia="zh-CN" w:bidi="ar"/>
              </w:rPr>
              <w:t xml:space="preserve">液控单向阀</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板式连接结构阀；无泄漏口；X口控制面积2.2cm2；工作压力至31.5MPa；≥2只；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val="en-US" w:eastAsia="zh-CN" w:bidi="ar"/>
              </w:rPr>
              <w:t xml:space="preserve">压力继电器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板式连接结构阀；最高设定压力10MPa；配有带刻度调节手柄≥；2只；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16）</w:t>
            </w:r>
            <w:r>
              <w:rPr>
                <w:rFonts w:hint="eastAsia" w:ascii="宋体" w:hAnsi="宋体" w:eastAsia="宋体" w:cs="宋体"/>
                <w:color w:val="auto"/>
                <w:sz w:val="24"/>
                <w:szCs w:val="24"/>
                <w:highlight w:val="none"/>
                <w:lang w:val="en-US" w:eastAsia="zh-CN" w:bidi="ar"/>
              </w:rPr>
              <w:t xml:space="preserve">三通:（1）45#钢材质，带弹性卡脚、铜轴、钢质半圆按钮头（厚7mm）；（2）配装3个快速接头（具有套筒锁紧结构，采用平齐阀机构操作，符合ISO16028标准）、2个带组合垫油堵；（3）外形尺寸70×70×35mm(不含卡脚)；≥4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17）</w:t>
            </w:r>
            <w:r>
              <w:rPr>
                <w:rFonts w:hint="eastAsia" w:ascii="宋体" w:hAnsi="宋体" w:eastAsia="宋体" w:cs="宋体"/>
                <w:color w:val="auto"/>
                <w:sz w:val="24"/>
                <w:szCs w:val="24"/>
                <w:highlight w:val="none"/>
                <w:lang w:val="en-US" w:eastAsia="zh-CN" w:bidi="ar"/>
              </w:rPr>
              <w:t xml:space="preserve">四通:（1）45#钢材质，带弹性卡脚、铜轴、钢质半圆按钮头（厚7mm）；（2）配装4个快速接头（具有套筒锁紧结构，采用平齐阀机构操作，符合ISO16028标准）、2个带组合垫油堵；（3）外形尺寸90×70×35mm(不含卡脚)；≥3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18）</w:t>
            </w:r>
            <w:r>
              <w:rPr>
                <w:rFonts w:hint="eastAsia" w:ascii="宋体" w:hAnsi="宋体" w:eastAsia="宋体" w:cs="宋体"/>
                <w:color w:val="auto"/>
                <w:sz w:val="24"/>
                <w:szCs w:val="24"/>
                <w:highlight w:val="none"/>
                <w:lang w:val="en-US" w:eastAsia="zh-CN" w:bidi="ar"/>
              </w:rPr>
              <w:t xml:space="preserve">液压控制阀块1:（1）45#钢材质，带弹性卡脚、铜轴、钢质半圆按钮头（厚≥7mm）；（2）配装≥3个快速接头（具有套筒锁紧结构，采用平齐阀机构操作，符合ISO16028标准）、≥3个带组合垫油堵；（3）外形尺寸≥145×100×35mm(不含卡脚)；≥1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19）</w:t>
            </w:r>
            <w:r>
              <w:rPr>
                <w:rFonts w:hint="eastAsia" w:ascii="宋体" w:hAnsi="宋体" w:eastAsia="宋体" w:cs="宋体"/>
                <w:color w:val="auto"/>
                <w:sz w:val="24"/>
                <w:szCs w:val="24"/>
                <w:highlight w:val="none"/>
                <w:lang w:val="en-US" w:eastAsia="zh-CN" w:bidi="ar"/>
              </w:rPr>
              <w:t xml:space="preserve">液压控制阀块2:（1）45#钢材质，带弹性卡脚、铜轴、钢质半圆按钮头（厚≥7mm）；（2）配装4个快速接头（具有套筒锁紧结构，采用平齐阀机构操作，符合ISO16028标准）、≥8个带组合垫油堵；（3）外形尺寸≥75×110×35mm(不含卡脚)；≥6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val="en-US" w:eastAsia="zh-CN" w:bidi="ar"/>
              </w:rPr>
              <w:t xml:space="preserve">液压控制阀块3:（1）45#钢材质，带弹性卡脚、铜轴、钢质半圆按钮头（≥厚7mm）；（2）配装≥2个快速接头（具有套筒锁紧结构，采用平齐阀机构操作，符合ISO16028标准）、≥2个带组合垫油堵；（3）外形尺寸≥130×70×35mm(不含卡脚)；≥2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液压控制阀块4:（1）45#钢材质，带弹性卡脚、铜轴、钢质半圆按钮头（厚≥7mm）；（2）配装≥2个快速接头（具有套筒锁紧结构，采用平齐阀机构操作，符合ISO16028标准）、≥2个带组合垫油堵；（3）外形尺寸≥155×70×35mm(不含卡脚)；≥2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22)液压控制阀块5:（1）45#钢材质，带弹性卡脚、铜轴、钢质半圆按钮头（厚≥7mm）；（2）配装≥2个快速接头（具有套筒锁紧结构，采用平齐阀机构操作，符合ISO16028标准）、≥2个带组合垫油堵；（3）外形尺寸≥125×70×35mm(不含卡脚)；≥1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23)液压控制阀块6:（1）45#钢材质，带弹性卡脚、铜轴、钢质半圆按钮头（厚≥7mm）；（2）配装≥3个快速接头（具有套筒锁紧结构，采用平齐阀机构操作，符合ISO16028标准）、≥3个带组合垫油堵；（3）外形尺寸≥150×70×35mm(不含卡脚)；≥2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24)液压控制阀块7:（1）45#钢材质，带弹性卡脚、铜轴、钢质半圆按钮头（厚≥7mm）；（2）配装≥1个快速接头（具有套筒锁紧结构，采用平齐阀机构操作，符合ISO16028标准）、≥1个带组合垫油堵；（3）外形尺寸≥70×70×35mm(不含卡脚)；≥2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25)液压控制阀块8:（1）45#钢材质，带弹性卡脚、铜轴、钢质半圆按钮头（厚≥7mm）；（2）配装≥2个快速接头（具有套筒锁紧结构，采用平齐阀机构操作，符合ISO16028标准）、≥2个带组合垫油堵；（3）外形尺寸≥110×70×35mm(不含卡脚)；≥1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26)液压控制阀块9：（1）45#钢材质，带弹性卡脚、铜轴、钢质半圆按钮头（厚≥7mm）；（2）配装≥3个快速接头（具有套筒锁紧结构，采用平齐阀机构操作，符合ISO16028标准）、≥5个带组合垫油堵；（3）外形尺寸≥110×70×35mm(不含卡脚)；≥1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27)油缸加载附件：45#钢材质，≥1个；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28)耐震压力表：10MPa，≥2个；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29)电磁流量计：DN6，0.1-0.6m3/h，DC24V/带数显，≥1套；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30）空气过滤器：≥1个；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31）吸油滤油器：≥1个；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32）电源插排：AC250V 三孔，≥1个；</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33）油管（1.5m）：≥3条；</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34）三位四通手动换向阀（H型、O型）：各≥1个；</w:t>
            </w:r>
            <w:r/>
          </w:p>
          <w:p>
            <w:pPr>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投标时提供带液压控制阀块的照片不少于5张</w:t>
            </w:r>
            <w:r>
              <w:rPr>
                <w:rFonts w:hint="eastAsia" w:ascii="宋体" w:hAnsi="宋体" w:eastAsia="宋体" w:cs="宋体"/>
                <w:color w:val="auto"/>
                <w:sz w:val="24"/>
                <w:szCs w:val="24"/>
                <w:highlight w:val="none"/>
                <w:lang w:val="en-US" w:eastAsia="zh-CN" w:bidi="ar"/>
              </w:rPr>
              <w:t xml:space="preserve">。</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w:t>
            </w:r>
            <w:r/>
          </w:p>
        </w:tc>
        <w:tc>
          <w:tcPr>
            <w:tcW w:w="4432"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▲液压气动电气拓展实训系统：</w:t>
            </w:r>
            <w:r/>
          </w:p>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1）要求软件基于3D界面制作，可以从模型库中拖拽方式选择所需要的器件，库中模型</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21个，具有手动接线和自动接线演示，同时提供原理图进行参考，让学生掌握识图选器件并接线的知识点，具备考核功能，本软件总共有两个界面，分别为登录界面和仿真界面，用户需要在登录界面填入正确的账号和密码才能正常使用本软件，仿真界面包含有：实训项目选择菜单、模型选择区、线材工具选择区、得分显示区、错误提示区等。</w:t>
            </w:r>
            <w:r>
              <w:rPr>
                <w:rFonts w:hint="eastAsia" w:ascii="宋体" w:hAnsi="宋体" w:eastAsia="宋体" w:cs="宋体"/>
                <w:b/>
                <w:bCs/>
                <w:color w:val="auto"/>
                <w:sz w:val="24"/>
                <w:szCs w:val="24"/>
                <w:highlight w:val="none"/>
                <w:lang w:val="en-US" w:eastAsia="zh-CN" w:bidi="ar"/>
              </w:rPr>
              <w:t xml:space="preserve">投标时提供功能截图。</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2）软件总共需包含不少于20个实训项目，</w:t>
            </w:r>
            <w:r>
              <w:rPr>
                <w:rFonts w:hint="eastAsia" w:ascii="宋体" w:hAnsi="宋体" w:eastAsia="宋体" w:cs="宋体"/>
                <w:b/>
                <w:bCs/>
                <w:color w:val="auto"/>
                <w:sz w:val="24"/>
                <w:szCs w:val="24"/>
                <w:highlight w:val="none"/>
                <w:lang w:val="en-US" w:eastAsia="zh-CN" w:bidi="ar"/>
              </w:rPr>
              <w:t xml:space="preserve">投标时提供能满足要求的详细实训名称。</w:t>
            </w:r>
            <w:r>
              <w:rPr>
                <w:rFonts w:hint="eastAsia" w:ascii="宋体" w:hAnsi="宋体" w:eastAsia="宋体" w:cs="宋体"/>
                <w:color w:val="auto"/>
                <w:sz w:val="24"/>
                <w:szCs w:val="24"/>
                <w:highlight w:val="none"/>
                <w:lang w:val="en-US" w:eastAsia="zh-CN" w:bidi="ar"/>
              </w:rPr>
              <w:t xml:space="preserve">用户根据不同实训项目的原理图选择相对应的模型和正确的接线方式。</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3）模型选择区需包含二十多种器件模型名称，</w:t>
            </w:r>
            <w:r>
              <w:rPr>
                <w:rFonts w:hint="eastAsia" w:ascii="宋体" w:hAnsi="宋体" w:eastAsia="宋体" w:cs="宋体"/>
                <w:b/>
                <w:bCs/>
                <w:color w:val="auto"/>
                <w:sz w:val="24"/>
                <w:szCs w:val="24"/>
                <w:highlight w:val="none"/>
                <w:lang w:val="en-US" w:eastAsia="zh-CN" w:bidi="ar"/>
              </w:rPr>
              <w:t xml:space="preserve">投标时列出二十多种详细的器件模型名称，同时提供功能截图。</w:t>
            </w:r>
            <w:r>
              <w:rPr>
                <w:rFonts w:hint="eastAsia" w:ascii="宋体" w:hAnsi="宋体" w:eastAsia="宋体" w:cs="宋体"/>
                <w:color w:val="auto"/>
                <w:sz w:val="24"/>
                <w:szCs w:val="24"/>
                <w:highlight w:val="none"/>
                <w:lang w:val="en-US" w:eastAsia="zh-CN" w:bidi="ar"/>
              </w:rPr>
              <w:t xml:space="preserve">用户根据不同的实训项目需要选择模型，如果选错或者多选得分扣一分，如果已经选择模型还没放到面板上，可以按ESC键取消该模型并重新选择模型。</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线材工具选择：用户可以根据原理图进行接线，线材工具区包含有黄、绿、红、蓝、黑5种颜色导线，可以避免在线路复杂时分不清线材导通电路。用户需要严格按照原理图进行接线，如果接错扣一分并删除该导线。用户可以在选出线材后或者接好一头时按ESC键取消该导线。</w:t>
            </w:r>
            <w:r>
              <w:rPr>
                <w:rFonts w:hint="eastAsia" w:ascii="宋体" w:hAnsi="宋体" w:eastAsia="宋体" w:cs="宋体"/>
                <w:b/>
                <w:bCs/>
                <w:color w:val="auto"/>
                <w:sz w:val="24"/>
                <w:szCs w:val="24"/>
                <w:highlight w:val="none"/>
                <w:lang w:val="en-US" w:eastAsia="zh-CN" w:bidi="ar"/>
              </w:rPr>
              <w:t xml:space="preserve">投标时提供功能截图。</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5）智能评分：得分默认为100，模型或导线选择错误时会扣1，用户进行实验中切换到另一个实训项目时得分会恢复到100并清空之前实验的模型和线材。</w:t>
            </w:r>
            <w:r>
              <w:rPr>
                <w:rFonts w:hint="eastAsia" w:ascii="宋体" w:hAnsi="宋体" w:eastAsia="宋体" w:cs="宋体"/>
                <w:b/>
                <w:bCs/>
                <w:color w:val="auto"/>
                <w:sz w:val="24"/>
                <w:szCs w:val="24"/>
                <w:highlight w:val="none"/>
                <w:lang w:val="en-US" w:eastAsia="zh-CN" w:bidi="ar"/>
              </w:rPr>
              <w:t xml:space="preserve">投标时提供功能截图。</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6）一键示教功能：每一个实训项目对应一个自动接线功能，用户可以点击启用自动接线按钮，软件系统会自动生成该实训的模型和线材，用户可以在自动接线中进行仿真，能让用户更直观的观察实验现象。</w:t>
            </w:r>
            <w:r>
              <w:rPr>
                <w:rFonts w:hint="eastAsia" w:ascii="宋体" w:hAnsi="宋体" w:eastAsia="宋体" w:cs="宋体"/>
                <w:b/>
                <w:bCs/>
                <w:color w:val="auto"/>
                <w:sz w:val="24"/>
                <w:szCs w:val="24"/>
                <w:highlight w:val="none"/>
                <w:lang w:val="en-US" w:eastAsia="zh-CN" w:bidi="ar"/>
              </w:rPr>
              <w:t xml:space="preserve">投标时提供功能截图。</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w:t>
            </w:r>
            <w:r/>
          </w:p>
        </w:tc>
        <w:tc>
          <w:tcPr>
            <w:tcW w:w="4432"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▲教学资源要求：</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虚拟多功能实训模拟系统资源包</w:t>
            </w:r>
            <w:r>
              <w:rPr>
                <w:rFonts w:hint="eastAsia" w:ascii="宋体" w:hAnsi="宋体" w:eastAsia="宋体" w:cs="宋体"/>
                <w:b/>
                <w:bCs/>
                <w:color w:val="auto"/>
                <w:sz w:val="24"/>
                <w:szCs w:val="24"/>
                <w:highlight w:val="none"/>
                <w:lang w:val="en-US" w:eastAsia="zh-CN" w:bidi="ar"/>
              </w:rPr>
              <w:t xml:space="preserve">(投标时提供软件功能界面图不少于 5张)</w:t>
            </w:r>
            <w:r>
              <w:rPr>
                <w:rFonts w:hint="eastAsia" w:ascii="宋体" w:hAnsi="宋体" w:eastAsia="宋体" w:cs="宋体"/>
                <w:color w:val="auto"/>
                <w:sz w:val="24"/>
                <w:szCs w:val="24"/>
                <w:highlight w:val="none"/>
                <w:lang w:val="en-US" w:eastAsia="zh-CN" w:bidi="ar"/>
              </w:rPr>
              <w:t xml:space="preserve"> 。</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资源包含“液压气动教学培训模块”“三维虚拟仿真训练模块”“电器元件基础实训模块”“网络智能考核系统模块”“互联网大数据搜索引擎”“项目设备详情介绍模块”。可以充当教学学习满足学生对液压气动基础教学、实训教学、设备介绍、设备使用指导、智能考核、互联网引擎搜索等需求。“(DBMS)互联网智能虚拟实训考核系统”为密码登录可</w:t>
            </w:r>
            <w:r>
              <w:rPr>
                <w:rFonts w:hint="eastAsia" w:ascii="宋体" w:hAnsi="宋体" w:cs="宋体"/>
                <w:color w:val="auto"/>
                <w:sz w:val="24"/>
                <w:szCs w:val="24"/>
                <w:highlight w:val="none"/>
                <w:lang w:val="en-US" w:eastAsia="zh-CN" w:bidi="ar"/>
              </w:rPr>
              <w:t xml:space="preserve">短时间</w:t>
            </w:r>
            <w:r>
              <w:rPr>
                <w:rFonts w:hint="eastAsia" w:ascii="宋体" w:hAnsi="宋体" w:eastAsia="宋体" w:cs="宋体"/>
                <w:color w:val="auto"/>
                <w:sz w:val="24"/>
                <w:szCs w:val="24"/>
                <w:highlight w:val="none"/>
                <w:lang w:val="en-US" w:eastAsia="zh-CN" w:bidi="ar"/>
              </w:rPr>
              <w:t xml:space="preserve">保存密码方便下次登录，也可以删除原有密码</w:t>
            </w:r>
            <w:r>
              <w:rPr>
                <w:rFonts w:hint="eastAsia" w:ascii="宋体" w:hAnsi="宋体" w:cs="宋体"/>
                <w:color w:val="auto"/>
                <w:sz w:val="24"/>
                <w:szCs w:val="24"/>
                <w:highlight w:val="none"/>
                <w:lang w:val="en-US" w:eastAsia="zh-CN" w:bidi="ar"/>
              </w:rPr>
              <w:t xml:space="preserve">防止</w:t>
            </w:r>
            <w:r>
              <w:rPr>
                <w:rFonts w:hint="eastAsia" w:ascii="宋体" w:hAnsi="宋体" w:eastAsia="宋体" w:cs="宋体"/>
                <w:color w:val="auto"/>
                <w:sz w:val="24"/>
                <w:szCs w:val="24"/>
                <w:highlight w:val="none"/>
                <w:lang w:val="en-US" w:eastAsia="zh-CN" w:bidi="ar"/>
              </w:rPr>
              <w:t xml:space="preserve">密码外泄。</w:t>
            </w:r>
            <w:r/>
          </w:p>
        </w:tc>
        <w:tc>
          <w:tcPr>
            <w:tcW w:w="199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5" w:type="dxa"/>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bookmarkStart w:id="186" w:name="_Toc16702"/>
      <w:r>
        <w:rPr>
          <w:rFonts w:hint="eastAsia" w:ascii="宋体" w:hAnsi="宋体" w:cs="宋体"/>
          <w:color w:val="auto"/>
          <w:sz w:val="28"/>
          <w:szCs w:val="28"/>
          <w:highlight w:val="none"/>
        </w:rPr>
        <w:t xml:space="preserve">1.投标人需对技术要求逐条做出明确响应。</w:t>
      </w:r>
      <w:bookmarkEnd w:id="186"/>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jc w:val="left"/>
        <w:spacing w:line="24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contextualSpacing/>
        <w:spacing w:line="46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附件5</w:t>
      </w:r>
      <w:r/>
    </w:p>
    <w:p>
      <w:pPr>
        <w:jc w:val="cente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技术要求响应及偏离表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不带“▲”项</w:t>
      </w:r>
      <w:r>
        <w:rPr>
          <w:rFonts w:hint="eastAsia" w:ascii="宋体" w:hAnsi="宋体" w:cs="宋体"/>
          <w:b/>
          <w:color w:val="auto"/>
          <w:sz w:val="28"/>
          <w:szCs w:val="28"/>
          <w:highlight w:val="none"/>
          <w:lang w:eastAsia="zh-CN"/>
        </w:rPr>
        <w:t xml:space="preserve">）</w:t>
      </w:r>
      <w:r/>
    </w:p>
    <w:tbl>
      <w:tblPr>
        <w:tblStyle w:val="95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77"/>
        <w:gridCol w:w="2205"/>
        <w:gridCol w:w="2000"/>
      </w:tblGrid>
      <w:tr>
        <w:trPr>
          <w:trHeight w:val="23"/>
        </w:trPr>
        <w:tc>
          <w:tcPr>
            <w:tcW w:w="54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4177"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技术</w:t>
            </w:r>
            <w:r>
              <w:rPr>
                <w:rFonts w:hint="eastAsia" w:ascii="宋体" w:hAnsi="宋体" w:cs="宋体"/>
                <w:color w:val="auto"/>
                <w:sz w:val="28"/>
                <w:szCs w:val="28"/>
                <w:highlight w:val="none"/>
              </w:rPr>
              <w:t xml:space="preserve">要求</w:t>
            </w:r>
            <w:r/>
          </w:p>
        </w:tc>
        <w:tc>
          <w:tcPr>
            <w:tcW w:w="220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00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trHeight w:val="23"/>
        </w:trPr>
        <w:tc>
          <w:tcPr>
            <w:gridSpan w:val="4"/>
            <w:tcW w:w="8927"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eastAsia="宋体" w:cs="宋体"/>
                <w:b/>
                <w:bCs/>
                <w:color w:val="auto"/>
                <w:sz w:val="28"/>
                <w:szCs w:val="28"/>
                <w:highlight w:val="none"/>
                <w:lang w:val="en-US" w:eastAsia="zh-CN"/>
              </w:rPr>
              <w:t xml:space="preserve">气动</w:t>
            </w:r>
            <w:r>
              <w:rPr>
                <w:rFonts w:hint="eastAsia" w:ascii="宋体" w:hAnsi="宋体" w:cs="宋体"/>
                <w:b/>
                <w:bCs/>
                <w:color w:val="auto"/>
                <w:sz w:val="28"/>
                <w:szCs w:val="28"/>
                <w:highlight w:val="none"/>
                <w:lang w:val="en-US" w:eastAsia="zh-CN"/>
              </w:rPr>
              <w:t xml:space="preserve">实验</w:t>
            </w:r>
            <w:r>
              <w:rPr>
                <w:rFonts w:hint="eastAsia" w:ascii="宋体" w:hAnsi="宋体" w:eastAsia="宋体" w:cs="宋体"/>
                <w:b/>
                <w:bCs/>
                <w:color w:val="auto"/>
                <w:sz w:val="28"/>
                <w:szCs w:val="28"/>
                <w:highlight w:val="none"/>
                <w:lang w:val="en-US" w:eastAsia="zh-CN"/>
              </w:rPr>
              <w:t xml:space="preserve">装置</w:t>
            </w:r>
            <w:r/>
          </w:p>
        </w:tc>
      </w:tr>
      <w:tr>
        <w:trPr>
          <w:trHeight w:val="23"/>
        </w:trPr>
        <w:tc>
          <w:tcPr>
            <w:tcW w:w="545" w:type="dxa"/>
            <w:vAlign w:val="center"/>
            <w:textDirection w:val="lrTb"/>
            <w:noWrap w:val="false"/>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4177" w:type="dxa"/>
            <w:textDirection w:val="lrTb"/>
            <w:noWrap w:val="false"/>
          </w:tcPr>
          <w:p>
            <w:pPr>
              <w:ind w:left="0"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总体要求：</w:t>
            </w:r>
            <w:r/>
          </w:p>
          <w:p>
            <w:pPr>
              <w:ind w:left="0"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次项目建设需采用先进的气动元件和新颖的模块化设计，构成插接方便的气动训练组合装置，该组合装置需采用立体壁挂设计，能有效利用实训室空间，要求具备继电器控制、时间继电器控制、手动控制。同时要求配套先进的3D仿真资源，用于虚拟仿真训练，要求满足学生气动课程的实验要求及拓展训练要求，可以真正培养和提高学生的气动系统设计能力、动手能力和综合运用能力。</w:t>
            </w:r>
            <w:r>
              <w:rPr>
                <w:rFonts w:hint="eastAsia" w:ascii="宋体" w:hAnsi="宋体" w:cs="宋体"/>
                <w:b/>
                <w:bCs/>
                <w:color w:val="auto"/>
                <w:sz w:val="24"/>
                <w:szCs w:val="24"/>
                <w:highlight w:val="none"/>
                <w:lang w:val="en-US" w:eastAsia="zh-CN" w:bidi="ar"/>
              </w:rPr>
              <w:t xml:space="preserve">投标时</w:t>
            </w:r>
            <w:r>
              <w:rPr>
                <w:rFonts w:hint="eastAsia" w:ascii="宋体" w:hAnsi="宋体" w:eastAsia="宋体" w:cs="宋体"/>
                <w:b/>
                <w:bCs/>
                <w:color w:val="auto"/>
                <w:sz w:val="24"/>
                <w:szCs w:val="24"/>
                <w:highlight w:val="none"/>
                <w:lang w:val="en-US" w:eastAsia="zh-CN" w:bidi="ar"/>
              </w:rPr>
              <w:t xml:space="preserve">需提供整个实验室布局设计图、效果图</w:t>
            </w:r>
            <w:r>
              <w:rPr>
                <w:rFonts w:hint="eastAsia" w:ascii="宋体" w:hAnsi="宋体" w:cs="宋体"/>
                <w:b/>
                <w:bCs/>
                <w:color w:val="auto"/>
                <w:sz w:val="24"/>
                <w:szCs w:val="24"/>
                <w:highlight w:val="none"/>
                <w:lang w:val="en-US" w:eastAsia="zh-CN" w:bidi="ar"/>
              </w:rPr>
              <w:t xml:space="preserve">（现有实训室长16.8米，宽.7.8米）</w:t>
            </w:r>
            <w:r>
              <w:rPr>
                <w:rFonts w:hint="eastAsia" w:ascii="宋体" w:hAnsi="宋体" w:eastAsia="宋体" w:cs="宋体"/>
                <w:b/>
                <w:bCs/>
                <w:color w:val="auto"/>
                <w:sz w:val="24"/>
                <w:szCs w:val="24"/>
                <w:highlight w:val="none"/>
                <w:lang w:val="en-US" w:eastAsia="zh-CN" w:bidi="ar"/>
              </w:rPr>
              <w:t xml:space="preserve">。</w:t>
            </w:r>
            <w:r/>
          </w:p>
          <w:p>
            <w:pPr>
              <w:ind w:firstLine="0"/>
              <w:jc w:val="left"/>
              <w:keepLines w:val="0"/>
              <w:keepNext w:val="0"/>
              <w:pageBreakBefore w:val="0"/>
              <w:spacing w:line="460" w:lineRule="exact"/>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气动实验装置由工作台、空气压缩机、辅助设备、常用气动元件、电气控制单元、软件系统几部分组成。</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软件要求：</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1)提供丰富的气动、电气标准元件图库，支持在回路中设置相关元件的技术参数。</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2)支持气动知识的学习、回路的设计、测试和模拟。</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3)可设计并绘制符合工业标准化的回路图，包括气动回路图、电气控制电路图、气电控制回路。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4)软件具备回路设计正确性判别功能，并提供提示。</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电源控制模块要求：</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2)交直流电源要求</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提供三相固定380V交流电源，配有急停、启动按钮控制设备控制电源输出，输出均设有智能自动保护电路，并配置电源报警与复位功能，配有三相数字式智能电压表实时监控。</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配备三路AC220V交流电源和一路AC380V交流电源接口，可为外配仪器设备提供工作电源。</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直流电源DC24V/4A，设有输出指示，保护电路，电源接口≥3路。</w:t>
            </w:r>
            <w:r/>
          </w:p>
          <w:p>
            <w:pPr>
              <w:ind w:left="0"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配有安全电源系统：采用ARM核心处理器，具备USB、CAN、SPI、I2C、USART通信，集通用定时控制端口和PWM高级控制端口、具有24位系统多功能计数器、独立和窗口型看门狗，具备DMA控制器、具有ADC功能；系统配置分散采集和集中控制方法，数字、模拟信号的采集处理，</w:t>
            </w:r>
            <w:r>
              <w:rPr>
                <w:rFonts w:hint="eastAsia" w:ascii="宋体" w:hAnsi="宋体" w:eastAsia="宋体" w:cs="宋体"/>
                <w:color w:val="auto"/>
                <w:sz w:val="24"/>
                <w:szCs w:val="24"/>
                <w:highlight w:val="none"/>
                <w:lang w:val="en-US" w:eastAsia="zh-CN" w:bidi="ar"/>
              </w:rPr>
              <w:t xml:space="preserve">不同处理模块间的SPI高速通信传输,保证数据的实时性；数据采集处理模块对采集的信号进行过程运算，将计算结果打包编码，中心信息管理模块对编码数据进行解码，对安全接口实时监控信息进行处理；能够对安全接口连接电压、负载状态进行人性化指引，并将信息进行实时显示；监测到安全接口的数据信息异常时，中心信息管理模块对信息进行优先级判断，并通过语音或灯光告知和引导使用者对系统故障信息的正确处理，保障使用者的人身安全和学校财产安全；智能安全信息管理系统开放高速USB接口和RS485串行接口，用于连接PC机和设备升级扩展使用。</w:t>
            </w:r>
            <w:r/>
          </w:p>
          <w:p>
            <w:pPr>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3)气源要求：给设备提供一个干净、低噪音的用气环境，设备上配置了静音无油气泵，工作电源AC220V±10% </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50Hz，输入功率</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0.68kW；公称容积</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24L，额定流量：</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116L/min，额定输出气压</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0.7MPa。</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PLC模块要求：</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继电器模块要求：配置</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4只直流+24V继电器，开关量</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包括线圈</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接线端子全部引到面板上，并且线圈得电时有相应的指示灯指示。</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控制按钮模块要求：</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6只带绿灯自锁双刀双掷按钮开关，</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6只带红灯自复位双刀双掷按钮开关。按钮开关接线端子全部引到面板上。</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直流时间继电器模块要求：配置</w:t>
            </w:r>
            <w:r>
              <w:rPr>
                <w:rFonts w:hint="default" w:ascii="Arial" w:hAnsi="Arial" w:eastAsia="宋体" w:cs="Arial"/>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2只直流24V时间继电器，开关量（包括线圈）接线端子全部引在面板上。</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可完成实验台实验项目要求：</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可根据指导书搭建各种气动回路，也可根据配套的资源自行设计手动搭建系统回路，包含但不限于以下实训项目：</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1)单作用气缸的换向回路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（1）按钮阀直接控制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（2）两位三通单电控电磁阀控制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2)双作用气缸的换向回路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（1）两位五通手动换向阀控制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（2）按钮阀与两位五通单气控换向阀控制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（3）两个按钮阀与两位五通双气控换向阀控制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（4）两位五通单电控电磁阀控制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（5）两位五通双电控电磁阀控制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3)单作用气缸的速度控制回路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（1）单向（伸出）调速控制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（2）双向调速控制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（3）快速返回控制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4)双作用气缸的速度控制回路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（1）单向调速控制（供气节流、排气节流）</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（2）双向调速控制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（3）快速运动控制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5)压力控制回路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6)双手操作回路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7)单作用气缸自锁回路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8)双作用气缸自锁回路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9)双作用气缸单往复控制回路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（1）纯气动控制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（2）电气控制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10)双作用气缸连续往复控制回路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（1）纯气动控制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（2）电气控制</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11)延时回路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12)顺序动作回路</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2）以上参数和要求为气动实验台招标的基本准则，投标人应根据实际情况和技术能力进行详细的方案设计。</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4177" w:type="dxa"/>
            <w:textDirection w:val="lrTb"/>
            <w:noWrap w:val="false"/>
          </w:tcPr>
          <w:p>
            <w:pPr>
              <w:numPr>
                <w:ilvl w:val="0"/>
                <w:numId w:val="0"/>
              </w:numPr>
              <w:jc w:val="both"/>
              <w:keepLines w:val="0"/>
              <w:keepNext w:val="0"/>
              <w:pageBreakBefore w:val="0"/>
              <w:spacing w:line="460" w:lineRule="exact"/>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8.气动中控操作平台</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操作台要求满足气动实训台中软件的运行（如气动虚拟仿真平台，PLC</w:t>
            </w:r>
            <w:r>
              <w:rPr>
                <w:rFonts w:hint="eastAsia" w:ascii="宋体" w:hAnsi="宋体" w:cs="宋体"/>
                <w:color w:val="auto"/>
                <w:sz w:val="24"/>
                <w:szCs w:val="24"/>
                <w:highlight w:val="none"/>
                <w:lang w:val="en-US" w:eastAsia="zh-CN" w:bidi="ar"/>
              </w:rPr>
              <w:t xml:space="preserve">编程软件</w:t>
            </w:r>
            <w:r>
              <w:rPr>
                <w:rFonts w:hint="eastAsia" w:ascii="宋体" w:hAnsi="宋体" w:eastAsia="宋体" w:cs="宋体"/>
                <w:color w:val="auto"/>
                <w:sz w:val="24"/>
                <w:szCs w:val="24"/>
                <w:highlight w:val="none"/>
                <w:lang w:val="en-US" w:eastAsia="zh-CN" w:bidi="ar"/>
              </w:rPr>
              <w:t xml:space="preserve">等）。</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教学资源要求：</w:t>
            </w:r>
            <w:r/>
          </w:p>
          <w:p>
            <w:pPr>
              <w:numPr>
                <w:ilvl w:val="0"/>
                <w:numId w:val="0"/>
              </w:num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1）提供1套液压与气动彩色挂图，包括</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10个常用液压与气动元件的结构原理图和爆炸图；</w:t>
            </w:r>
            <w:r/>
          </w:p>
          <w:p>
            <w:pPr>
              <w:numPr>
                <w:ilvl w:val="0"/>
                <w:numId w:val="0"/>
              </w:num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2）提供</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1套液压与气动实训台教程、</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1套操作说明书、</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1套操作安全规程、保养手册等培训资料。</w:t>
            </w:r>
            <w:r/>
          </w:p>
          <w:p>
            <w:pPr>
              <w:numPr>
                <w:ilvl w:val="0"/>
                <w:numId w:val="0"/>
              </w:num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rPr>
              <w:t xml:space="preserve">液压气动虚拟仿真仿真教学软件要求：采用实物图形作为仿真软件元器件应用载体，能与真实液压元件及回路一致，学员可连接搭建相应回路并仿真运行，同时能同步控制真实液压回路的动作，软件具有气动路连接与仿真≥8个,液压仿真回路≥8个，元件结构仿真≥10个。</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4177" w:type="dxa"/>
            <w:textDirection w:val="lrTb"/>
            <w:noWrap w:val="false"/>
          </w:tcPr>
          <w:p>
            <w:pPr>
              <w:ind w:firstLine="0"/>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气、液一体化仿真软件要求：</w:t>
            </w:r>
            <w:r/>
          </w:p>
          <w:p>
            <w:pPr>
              <w:numPr>
                <w:ilvl w:val="0"/>
                <w:numId w:val="2"/>
              </w:numPr>
              <w:ind w:firstLine="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视图快速定位</w:t>
            </w:r>
            <w:r/>
          </w:p>
          <w:p>
            <w:pPr>
              <w:ind w:firstLine="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用户除了可以使用鼠标缩放、旋转、平移模型外，还可以点击右下方视图快捷方式来实现快速定位到某个指定的方向视图，方便用户更方便观察模型。</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gridSpan w:val="4"/>
            <w:tcW w:w="8927"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b/>
                <w:bCs/>
                <w:color w:val="auto"/>
                <w:sz w:val="28"/>
                <w:szCs w:val="28"/>
                <w:highlight w:val="none"/>
                <w:lang w:val="en-US" w:eastAsia="zh-CN"/>
              </w:rPr>
              <w:t xml:space="preserve">基本</w:t>
            </w:r>
            <w:r>
              <w:rPr>
                <w:rFonts w:hint="eastAsia" w:ascii="宋体" w:hAnsi="宋体" w:eastAsia="宋体" w:cs="宋体"/>
                <w:b/>
                <w:bCs/>
                <w:color w:val="auto"/>
                <w:sz w:val="28"/>
                <w:szCs w:val="28"/>
                <w:highlight w:val="none"/>
                <w:lang w:val="en-US" w:eastAsia="zh-CN"/>
              </w:rPr>
              <w:t xml:space="preserve">液压传动</w:t>
            </w:r>
            <w:r>
              <w:rPr>
                <w:rFonts w:hint="eastAsia" w:ascii="宋体" w:hAnsi="宋体" w:cs="宋体"/>
                <w:b/>
                <w:bCs/>
                <w:color w:val="auto"/>
                <w:sz w:val="28"/>
                <w:szCs w:val="28"/>
                <w:highlight w:val="none"/>
                <w:lang w:val="en-US" w:eastAsia="zh-CN"/>
              </w:rPr>
              <w:t xml:space="preserve">实验台</w:t>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总体要求：</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次项目建设需采用先进的液压元件和新颖的模块化设计，由立式实操工作台、液压泵站、工业液压元件模块、电气控制模块等组成。液压控制元件和电气控制部分均采用模块式结构设计，可由学生自主搭建液压传动回路及电气控制回路。具有手控、液控、电控等多种控制方式。可完成各种液压传动基本回路的设计、安装与连接、控制与运行实操教学。</w:t>
            </w:r>
            <w:bookmarkStart w:id="197" w:name="_GoBack"/>
            <w:r>
              <w:rPr>
                <w:rFonts w:hint="eastAsia" w:ascii="宋体" w:hAnsi="宋体" w:eastAsia="宋体" w:cs="宋体"/>
                <w:b/>
                <w:bCs/>
                <w:color w:val="auto"/>
                <w:sz w:val="24"/>
                <w:szCs w:val="24"/>
                <w:highlight w:val="none"/>
                <w:lang w:val="en-US" w:eastAsia="zh-CN" w:bidi="ar"/>
              </w:rPr>
              <w:t xml:space="preserve">投标时需提供整个实验室布局设计图、效果图</w:t>
            </w:r>
            <w:bookmarkEnd w:id="197"/>
            <w:r>
              <w:rPr>
                <w:rFonts w:hint="eastAsia" w:ascii="宋体" w:hAnsi="宋体" w:cs="宋体"/>
                <w:b/>
                <w:bCs/>
                <w:color w:val="auto"/>
                <w:sz w:val="24"/>
                <w:szCs w:val="24"/>
                <w:highlight w:val="none"/>
                <w:lang w:val="en-US" w:eastAsia="zh-CN" w:bidi="ar"/>
              </w:rPr>
              <w:t xml:space="preserve">（现有实训室长16.8米，宽.7.8米）</w:t>
            </w:r>
            <w:r>
              <w:rPr>
                <w:rFonts w:hint="eastAsia" w:ascii="宋体" w:hAnsi="宋体" w:eastAsia="宋体" w:cs="宋体"/>
                <w:b/>
                <w:bCs/>
                <w:color w:val="auto"/>
                <w:sz w:val="24"/>
                <w:szCs w:val="24"/>
                <w:highlight w:val="none"/>
                <w:lang w:val="en-US" w:eastAsia="zh-CN" w:bidi="ar"/>
              </w:rPr>
              <w:t xml:space="preserve">。</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工作台要求：</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1）主体</w:t>
            </w:r>
            <w:r>
              <w:rPr>
                <w:rFonts w:hint="eastAsia" w:ascii="宋体" w:hAnsi="宋体" w:eastAsia="宋体" w:cs="宋体"/>
                <w:color w:val="auto"/>
                <w:sz w:val="24"/>
                <w:szCs w:val="24"/>
                <w:highlight w:val="none"/>
                <w:lang w:val="en-US" w:eastAsia="zh-CN" w:bidi="ar"/>
              </w:rPr>
              <w:t xml:space="preserve">框架：采用铝合金型材框架结构，表面氧化处理，桌面设有凹式接油盘。立柱采用工业铝型材成型工艺，比重不小于3.0kg/m，四面带槽，端部配套塑料堵头，槽内适用工业铝型材通配螺母及配件。操作面板采用铝型材结构，数量不小于8根，截面尺寸：不小于20×80mm，型材表面有标准的两道固定槽，两道之间距离≤40mm。实操台侧面安装有油管放置架，底部设有接油盘。元器件储存柜采用铁质双层亚光密纹喷塑结构，双开门结构，内部设有隔板，外形尺寸≥800mm×550mm。万向轮：要求试验台配有4个移动金属万向轮，移动灵活，承重性强。</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2）运维控制桌要求</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尺寸：≥</w:t>
            </w:r>
            <w:r>
              <w:rPr>
                <w:rFonts w:hint="eastAsia" w:ascii="宋体" w:hAnsi="宋体" w:cs="宋体"/>
                <w:color w:val="auto"/>
                <w:sz w:val="24"/>
                <w:szCs w:val="24"/>
                <w:highlight w:val="none"/>
                <w:lang w:val="en-US" w:eastAsia="zh-CN" w:bidi="ar"/>
              </w:rPr>
              <w:t xml:space="preserve">70</w:t>
            </w:r>
            <w:r>
              <w:rPr>
                <w:rFonts w:hint="eastAsia" w:ascii="宋体" w:hAnsi="宋体" w:eastAsia="宋体" w:cs="宋体"/>
                <w:color w:val="auto"/>
                <w:sz w:val="24"/>
                <w:szCs w:val="24"/>
                <w:highlight w:val="none"/>
                <w:lang w:val="en-US" w:eastAsia="zh-CN" w:bidi="ar"/>
              </w:rPr>
              <w:t xml:space="preserve">0mm×</w:t>
            </w:r>
            <w:r>
              <w:rPr>
                <w:rFonts w:hint="eastAsia" w:ascii="宋体" w:hAnsi="宋体" w:cs="宋体"/>
                <w:color w:val="auto"/>
                <w:sz w:val="24"/>
                <w:szCs w:val="24"/>
                <w:highlight w:val="none"/>
                <w:lang w:val="en-US" w:eastAsia="zh-CN" w:bidi="ar"/>
              </w:rPr>
              <w:t xml:space="preserve">55</w:t>
            </w:r>
            <w:r>
              <w:rPr>
                <w:rFonts w:hint="eastAsia" w:ascii="宋体" w:hAnsi="宋体" w:eastAsia="宋体" w:cs="宋体"/>
                <w:color w:val="auto"/>
                <w:sz w:val="24"/>
                <w:szCs w:val="24"/>
                <w:highlight w:val="none"/>
                <w:lang w:val="en-US" w:eastAsia="zh-CN" w:bidi="ar"/>
              </w:rPr>
              <w:t xml:space="preserve">0mm×</w:t>
            </w:r>
            <w:r>
              <w:rPr>
                <w:rFonts w:hint="eastAsia" w:ascii="宋体" w:hAnsi="宋体" w:cs="宋体"/>
                <w:color w:val="auto"/>
                <w:sz w:val="24"/>
                <w:szCs w:val="24"/>
                <w:highlight w:val="none"/>
                <w:lang w:val="en-US" w:eastAsia="zh-CN" w:bidi="ar"/>
              </w:rPr>
              <w:t xml:space="preserve">75</w:t>
            </w:r>
            <w:r>
              <w:rPr>
                <w:rFonts w:hint="eastAsia" w:ascii="宋体" w:hAnsi="宋体" w:eastAsia="宋体" w:cs="宋体"/>
                <w:color w:val="auto"/>
                <w:sz w:val="24"/>
                <w:szCs w:val="24"/>
                <w:highlight w:val="none"/>
                <w:lang w:val="en-US" w:eastAsia="zh-CN" w:bidi="ar"/>
              </w:rPr>
              <w:t xml:space="preserve">0mm</w:t>
            </w:r>
            <w:r>
              <w:rPr>
                <w:rFonts w:hint="eastAsia" w:ascii="宋体" w:hAnsi="宋体" w:cs="宋体"/>
                <w:color w:val="auto"/>
                <w:sz w:val="24"/>
                <w:szCs w:val="24"/>
                <w:highlight w:val="none"/>
                <w:lang w:val="en-US" w:eastAsia="zh-CN" w:bidi="ar"/>
              </w:rPr>
              <w:t xml:space="preserve">（长宽高）</w:t>
            </w:r>
            <w:r>
              <w:rPr>
                <w:rFonts w:hint="eastAsia" w:ascii="宋体" w:hAnsi="宋体" w:eastAsia="宋体" w:cs="宋体"/>
                <w:color w:val="auto"/>
                <w:sz w:val="24"/>
                <w:szCs w:val="24"/>
                <w:highlight w:val="none"/>
                <w:lang w:val="en-US" w:eastAsia="zh-CN" w:bidi="ar"/>
              </w:rPr>
              <w:t xml:space="preserve">；</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类型</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可折叠。</w:t>
            </w:r>
            <w:r/>
          </w:p>
          <w:p>
            <w:pPr>
              <w:ind w:firstLine="0"/>
              <w:jc w:val="left"/>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电源控制模块要求：</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2)交直流电源要求</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要求提供配有漏电保护器、液压泵防反转保护、熔断器、启动/停止按钮、三相电源指示、交流电源输出接口。具有直流电源过载保护装置、DC24V直流电源接口。</w:t>
            </w:r>
            <w:r/>
          </w:p>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配有安全电源系统：采用ARM核心处理器，具备USB、CAN、SPI、I2C、USART通信，集通用定时控制端口和PWM高级控制端口、具有24位系统多功能计数器、独立和窗口型看门狗，具备DMA控制器、具有ADC功能；系统配置分散采集和集中控制方法，数字、模拟信号的采集处理，</w:t>
            </w:r>
            <w:r>
              <w:rPr>
                <w:rFonts w:hint="eastAsia" w:ascii="宋体" w:hAnsi="宋体" w:eastAsia="宋体" w:cs="宋体"/>
                <w:b w:val="0"/>
                <w:bCs w:val="0"/>
                <w:color w:val="auto"/>
                <w:sz w:val="24"/>
                <w:szCs w:val="24"/>
                <w:highlight w:val="none"/>
                <w:lang w:val="en-US" w:eastAsia="zh-CN" w:bidi="ar"/>
              </w:rPr>
              <w:t xml:space="preserve">不同处理模块间的SPI高速通信传输,保证数据的实时性；数据采集处理模块对采集的信号进行过程运算，将计算结果打包编码，中心信息管理模块对编码数据进行解码，对安全接口实时监控信息进行处理；能够对安全接口连接电压、负载状态进行人性化指引，并将信息进行实时显示；监测到安全接口的数据信息异常时，中心信息管理模块对信息进行优先级判断，并通过语音或灯光告知和引导使用者对系统故障信息的正确处理，保障使用者的人身安全和学校财产安全；智能安全信息管理系统开放高速USB接口和RS485串行接口，用于连接PC机和设备升级扩展使用。</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液压泵站要求：</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1）变量叶片泵：≥6.67ml/r；</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2）额定压力：≥6.3Mpa； </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3）驱动电机：AC380V±10%，50Hz，1.5KW，绝缘等级B；</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4）油箱容积：≥ 60L；</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5）风冷器额定流量：≥25L/min；</w:t>
            </w:r>
            <w:r/>
          </w:p>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6）液压油：32#抗磨液压油。</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PLC模块要求</w:t>
            </w:r>
            <w:r>
              <w:rPr>
                <w:rFonts w:hint="eastAsia" w:ascii="宋体" w:hAnsi="宋体" w:cs="宋体"/>
                <w:b/>
                <w:bCs/>
                <w:color w:val="auto"/>
                <w:sz w:val="24"/>
                <w:szCs w:val="24"/>
                <w:highlight w:val="none"/>
                <w:lang w:val="en-US" w:eastAsia="zh-CN" w:bidi="ar"/>
              </w:rPr>
              <w:t xml:space="preserve">：</w:t>
            </w:r>
            <w:r/>
          </w:p>
          <w:p>
            <w:pPr>
              <w:ind w:firstLine="0"/>
              <w:jc w:val="left"/>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 xml:space="preserve">1)继电器模块要求：配置≥4只直流+24V继电器，开关量(包括线圈)接线端子全部引到面板上，并且线圈得电时有相应的指示灯指示。</w:t>
            </w:r>
            <w:r/>
          </w:p>
          <w:p>
            <w:pPr>
              <w:ind w:firstLine="0"/>
              <w:jc w:val="left"/>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 xml:space="preserve">2)控制按钮模块要求：≥6只带绿灯自锁双刀双掷按钮开关，≥6只带红灯自复位双刀双掷按钮开关。按钮开关接线端子全部引到面板上。</w:t>
            </w:r>
            <w:r/>
          </w:p>
          <w:p>
            <w:pPr>
              <w:ind w:firstLine="0"/>
              <w:jc w:val="left"/>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 xml:space="preserve">3)直流时间继电器模块要求：配置≥2只直流24V时间继电器，开关量（包括线圈）接线端子全部引在面板上。</w:t>
            </w:r>
            <w:r/>
          </w:p>
          <w:p>
            <w:pPr>
              <w:ind w:firstLine="0"/>
              <w:jc w:val="left"/>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 xml:space="preserve">4）PLC配置要求：</w:t>
            </w:r>
            <w:r/>
          </w:p>
          <w:p>
            <w:pPr>
              <w:ind w:firstLine="0"/>
              <w:jc w:val="left"/>
              <w:keepLines w:val="0"/>
              <w:keepNext w:val="0"/>
              <w:pageBreakBefore w:val="0"/>
              <w:spacing w:line="460" w:lineRule="exact"/>
              <w:widowControl w:val="off"/>
              <w:rPr>
                <w:rFonts w:hint="eastAsia" w:ascii="宋体" w:hAnsi="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板载数字量</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14点输入/10点输出、2路模拟量输入，数字量输入支持漏型/源型信号，数字量输出类型为继电器，最大阻性负载</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2A，模拟量输入支持0-10VDC信号，分辨路</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10位；支持</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8个模块扩展、1个信号板扩展、3个通讯模块；工作存储</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100kB、装载存储</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4MB、保持性存储</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10kB；过程映像</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1024字节输入/1024字节输出；支持</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6路高速计数器输入，最高100kHz；布尔运算</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0.08μs、移动字</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1.0μs、实数数学运算</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1.78μs；集成1个PROFINET端口</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10/100Mb/s自适应，支持</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12个HMI设备连接、</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8个客户端、</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4个编程设备、</w:t>
            </w:r>
            <w:r>
              <w:rPr>
                <w:rFonts w:hint="eastAsia" w:ascii="宋体" w:hAnsi="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val="en-US" w:eastAsia="zh-CN" w:bidi="ar"/>
              </w:rPr>
              <w:t xml:space="preserve">8个开放连接；电源电压允许AC85-264V。PLC端子全部引到面板上。</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实操工具配件：</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1)实操导线：护套结构，≥1包；</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2)内六角扳手：九件套装，≥1套；</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3)活动扳手：0-150mm，≥1把；</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4)活动扳手：0-250mm，≥1把；</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5)高压胶管：通径6，≥20根；</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6)实操指导书：与设备配套，≥1本；</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7)发货U盘：指导书等，≥1个/批；</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8）螺丝刀（九件套）：≥1套；</w:t>
            </w:r>
            <w:r/>
          </w:p>
          <w:p>
            <w:pPr>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9）尖嘴钳：≥1把。</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完成的典型实训项目（可自行设计搭建其他液压控制回路）：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液压传动演示系统的搭建及分析</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液压传动基本回路系统的搭建及分析和设计</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1)压力控制回路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(1)简单的压力调节回路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(2)采用多个溢流阀的调压回路（二级调压回路）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(3)采用减压阀的减压回路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(4)采用换向阀的卸荷回路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(5)采用先导式溢流阀的卸荷回路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(6)采用顺序阀的平衡回路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(7)采用液控单向阀的保压回路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2)速度调节回路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(1)节流阀的节流调速回路(定压节流调速、变压节流调速)</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(2)调速阀的调速回路(定压节流调速、变压节流调速)</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(3)调速阀短接速度换接回路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(4)调速阀串联的速度换接回路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(5)调速阀并联的速度换接回路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(6)差动快速回路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(7)节流调速回路性能实验：节流阀安装在进油路、回油路、旁路油路、进口油路上时（分别安装在四种油路上），分别调节速度及负载的大小，并测量。列表画出速度—负载曲线（V—P曲线）。</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3)方向控制回路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4)锁紧回路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5)双缸工作控制回路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(1)采用顺序阀的顺序动作回路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(2)采用电器行程开关的顺序动作回路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(3)压力继电器顺序动作回路</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(4)液压缸同步回路 </w:t>
            </w:r>
            <w:r/>
          </w:p>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6)继电器控制液压基本回路的分析及控制逻辑</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4177" w:type="dxa"/>
            <w:textDirection w:val="lrTb"/>
            <w:noWrap w:val="false"/>
          </w:tcPr>
          <w:p>
            <w:pPr>
              <w:numPr>
                <w:ilvl w:val="0"/>
                <w:numId w:val="0"/>
              </w:numPr>
              <w:jc w:val="both"/>
              <w:keepLines w:val="0"/>
              <w:keepNext w:val="0"/>
              <w:pageBreakBefore w:val="0"/>
              <w:spacing w:line="460" w:lineRule="exact"/>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液压中控操作平台</w:t>
            </w:r>
            <w:r/>
          </w:p>
          <w:p>
            <w:pPr>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操作台要求满足</w:t>
            </w:r>
            <w:r>
              <w:rPr>
                <w:rFonts w:hint="eastAsia" w:ascii="宋体" w:hAnsi="宋体" w:cs="宋体"/>
                <w:color w:val="auto"/>
                <w:sz w:val="24"/>
                <w:szCs w:val="24"/>
                <w:highlight w:val="none"/>
                <w:lang w:val="en-US" w:eastAsia="zh-CN" w:bidi="ar"/>
              </w:rPr>
              <w:t xml:space="preserve">液压</w:t>
            </w:r>
            <w:r>
              <w:rPr>
                <w:rFonts w:hint="eastAsia" w:ascii="宋体" w:hAnsi="宋体" w:eastAsia="宋体" w:cs="宋体"/>
                <w:color w:val="auto"/>
                <w:sz w:val="24"/>
                <w:szCs w:val="24"/>
                <w:highlight w:val="none"/>
                <w:lang w:val="en-US" w:eastAsia="zh-CN" w:bidi="ar"/>
              </w:rPr>
              <w:t xml:space="preserve">实训台中软件的运行（如</w:t>
            </w:r>
            <w:r>
              <w:rPr>
                <w:rFonts w:hint="eastAsia" w:ascii="宋体" w:hAnsi="宋体" w:cs="宋体"/>
                <w:color w:val="auto"/>
                <w:sz w:val="24"/>
                <w:szCs w:val="24"/>
                <w:highlight w:val="none"/>
                <w:lang w:val="en-US" w:eastAsia="zh-CN" w:bidi="ar"/>
              </w:rPr>
              <w:t xml:space="preserve">液压</w:t>
            </w:r>
            <w:r>
              <w:rPr>
                <w:rFonts w:hint="eastAsia" w:ascii="宋体" w:hAnsi="宋体" w:eastAsia="宋体" w:cs="宋体"/>
                <w:color w:val="auto"/>
                <w:sz w:val="24"/>
                <w:szCs w:val="24"/>
                <w:highlight w:val="none"/>
                <w:lang w:val="en-US" w:eastAsia="zh-CN" w:bidi="ar"/>
              </w:rPr>
              <w:t xml:space="preserve">虚拟仿真平台，PLC</w:t>
            </w:r>
            <w:r>
              <w:rPr>
                <w:rFonts w:hint="eastAsia" w:ascii="宋体" w:hAnsi="宋体" w:cs="宋体"/>
                <w:color w:val="auto"/>
                <w:sz w:val="24"/>
                <w:szCs w:val="24"/>
                <w:highlight w:val="none"/>
                <w:lang w:val="en-US" w:eastAsia="zh-CN" w:bidi="ar"/>
              </w:rPr>
              <w:t xml:space="preserve">编程软件</w:t>
            </w:r>
            <w:r>
              <w:rPr>
                <w:rFonts w:hint="eastAsia" w:ascii="宋体" w:hAnsi="宋体" w:eastAsia="宋体" w:cs="宋体"/>
                <w:color w:val="auto"/>
                <w:sz w:val="24"/>
                <w:szCs w:val="24"/>
                <w:highlight w:val="none"/>
                <w:lang w:val="en-US" w:eastAsia="zh-CN" w:bidi="ar"/>
              </w:rPr>
              <w:t xml:space="preserve">等）。</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教学资源要求：</w:t>
            </w:r>
            <w:r/>
          </w:p>
          <w:p>
            <w:pPr>
              <w:numPr>
                <w:ilvl w:val="0"/>
                <w:numId w:val="0"/>
              </w:numPr>
              <w:jc w:val="left"/>
              <w:keepLines w:val="0"/>
              <w:keepNext w:val="0"/>
              <w:pageBreakBefore w:val="0"/>
              <w:spacing w:line="460" w:lineRule="exact"/>
              <w:shd w:val="clear" w:color="auto" w:fill="fdfdfe"/>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1）提供1套液压与气动彩色挂图，包括</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10个常用液压与气动元件的结构原理图和爆炸图；</w:t>
            </w:r>
            <w:r/>
          </w:p>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2）提供</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1套液压与气动实训台教程、</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1套操作说明书、</w:t>
            </w: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1套操作安全规程、保养手册等培训资料。</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23"/>
        </w:trPr>
        <w:tc>
          <w:tcPr>
            <w:tcW w:w="545" w:type="dxa"/>
            <w:vAlign w:val="center"/>
            <w:textDirection w:val="lrTb"/>
            <w:noWrap w:val="false"/>
          </w:tcPr>
          <w:p>
            <w:pPr>
              <w:jc w:val="center"/>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tcW w:w="4177" w:type="dxa"/>
            <w:textDirection w:val="lrTb"/>
            <w:noWrap w:val="false"/>
          </w:tcPr>
          <w:p>
            <w:pPr>
              <w:ind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气液一体化仿真软件要求：</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3）视图快速定位</w:t>
            </w:r>
            <w:r/>
          </w:p>
          <w:p>
            <w:pPr>
              <w:ind w:firstLine="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用户除了可以使用鼠标缩放、旋转、平移模型外，还可以点击右下方视图快捷方式来实现快速定位到某个指定的方向视图，方便用户更方便观察模型。</w:t>
            </w:r>
            <w:r/>
          </w:p>
        </w:tc>
        <w:tc>
          <w:tcPr>
            <w:tcW w:w="2205" w:type="dxa"/>
            <w:textDirection w:val="lrTb"/>
            <w:noWrap w:val="false"/>
          </w:tcPr>
          <w:p>
            <w:pPr>
              <w:jc w:val="center"/>
              <w:spacing w:line="480" w:lineRule="exact"/>
              <w:rPr>
                <w:rFonts w:ascii="宋体" w:hAnsi="宋体" w:cs="宋体"/>
                <w:color w:val="auto"/>
                <w:sz w:val="32"/>
                <w:szCs w:val="32"/>
                <w:highlight w:val="none"/>
              </w:rPr>
            </w:pPr>
            <w:r>
              <w:rPr>
                <w:rFonts w:ascii="宋体" w:hAnsi="宋体" w:cs="宋体"/>
                <w:color w:val="auto"/>
                <w:sz w:val="32"/>
                <w:szCs w:val="32"/>
                <w:highlight w:val="none"/>
              </w:rPr>
            </w:r>
            <w:r/>
          </w:p>
        </w:tc>
        <w:tc>
          <w:tcPr>
            <w:tcW w:w="200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contextualSpacing/>
        <w:spacing w:line="46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附件6</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商务要求响应及偏离表</w:t>
      </w:r>
      <w:r/>
    </w:p>
    <w:tbl>
      <w:tblPr>
        <w:tblStyle w:val="9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3191"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128"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3191"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128"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3191"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128"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bookmarkStart w:id="187" w:name="_Toc12886"/>
      <w:r>
        <w:rPr>
          <w:rFonts w:hint="eastAsia" w:ascii="宋体" w:hAnsi="宋体" w:cs="宋体"/>
          <w:color w:val="auto"/>
          <w:sz w:val="28"/>
          <w:szCs w:val="28"/>
          <w:highlight w:val="none"/>
        </w:rPr>
        <w:t xml:space="preserve">1.投标人需对商务要求逐条做出明确响应。</w:t>
      </w:r>
      <w:bookmarkEnd w:id="187"/>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978"/>
        <w:ind w:firstLine="240"/>
        <w:rPr>
          <w:rFonts w:ascii="宋体" w:hAnsi="宋体" w:cs="宋体"/>
          <w:color w:val="auto"/>
          <w:highlight w:val="none"/>
        </w:rPr>
      </w:pPr>
      <w:r>
        <w:rPr>
          <w:rFonts w:ascii="宋体" w:hAnsi="宋体" w:cs="宋体"/>
          <w:color w:val="auto"/>
          <w:highlight w:val="none"/>
        </w:rPr>
      </w:r>
      <w:r/>
    </w:p>
    <w:p>
      <w:pPr>
        <w:contextualSpacing/>
        <w:spacing w:line="460" w:lineRule="exact"/>
        <w:rPr>
          <w:rFonts w:hint="eastAsia" w:ascii="宋体" w:hAnsi="宋体" w:eastAsia="宋体" w:cs="宋体"/>
          <w:bCs/>
          <w:color w:val="auto"/>
          <w:sz w:val="28"/>
          <w:szCs w:val="28"/>
          <w:highlight w:val="none"/>
          <w:lang w:eastAsia="zh-CN" w:bidi="ar"/>
        </w:rPr>
      </w:pPr>
      <w:r>
        <w:rPr>
          <w:rFonts w:hint="eastAsia" w:ascii="宋体" w:hAnsi="宋体" w:cs="宋体"/>
          <w:bCs/>
          <w:color w:val="auto"/>
          <w:sz w:val="28"/>
          <w:szCs w:val="28"/>
          <w:highlight w:val="none"/>
          <w:lang w:bidi="ar"/>
        </w:rPr>
        <w:br w:type="page" w:clear="all"/>
      </w:r>
      <w:r>
        <w:rPr>
          <w:rFonts w:hint="eastAsia" w:ascii="宋体" w:hAnsi="宋体" w:cs="宋体"/>
          <w:color w:val="auto"/>
          <w:sz w:val="28"/>
          <w:szCs w:val="28"/>
          <w:highlight w:val="none"/>
          <w:lang w:val="en-US" w:eastAsia="zh-CN"/>
        </w:rPr>
        <w:t xml:space="preserve">附件7</w:t>
      </w:r>
      <w:r/>
    </w:p>
    <w:p>
      <w:pPr>
        <w:jc w:val="center"/>
        <w:spacing w:before="240" w:line="460" w:lineRule="exact"/>
        <w:rPr>
          <w:rFonts w:ascii="宋体" w:hAnsi="宋体" w:cs="宋体"/>
          <w:b/>
          <w:color w:val="auto"/>
          <w:sz w:val="28"/>
          <w:szCs w:val="28"/>
          <w:highlight w:val="none"/>
          <w:lang w:bidi="ar"/>
        </w:rPr>
      </w:pPr>
      <w:r>
        <w:rPr>
          <w:rFonts w:hint="eastAsia" w:ascii="宋体" w:hAnsi="宋体" w:cs="宋体"/>
          <w:b/>
          <w:color w:val="auto"/>
          <w:sz w:val="28"/>
          <w:szCs w:val="28"/>
          <w:highlight w:val="none"/>
          <w:lang w:bidi="ar"/>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七、上述承诺已向本单位员工作了宣传教育；</w:t>
      </w:r>
      <w:r/>
    </w:p>
    <w:p>
      <w:pPr>
        <w:ind w:right="1560"/>
        <w:jc w:val="left"/>
        <w:spacing w:line="460" w:lineRule="exact"/>
        <w:tabs>
          <w:tab w:val="left" w:pos="4860" w:leader="none"/>
        </w:tabs>
        <w:rPr>
          <w:rFonts w:ascii="宋体" w:hAnsi="宋体" w:cs="宋体"/>
          <w:b/>
          <w:color w:val="auto"/>
          <w:sz w:val="28"/>
          <w:szCs w:val="28"/>
          <w:highlight w:val="none"/>
          <w:lang w:val="zh-CN" w:bidi="ar"/>
        </w:rPr>
      </w:pPr>
      <w:r>
        <w:rPr>
          <w:rFonts w:hint="eastAsia" w:ascii="宋体" w:hAnsi="宋体" w:cs="宋体"/>
          <w:b/>
          <w:color w:val="auto"/>
          <w:sz w:val="28"/>
          <w:szCs w:val="28"/>
          <w:highlight w:val="none"/>
          <w:lang w:val="zh-CN" w:bidi="ar"/>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bidi="ar"/>
        </w:rPr>
        <w:t xml:space="preserve">投标</w:t>
      </w:r>
      <w:r>
        <w:rPr>
          <w:rFonts w:hint="eastAsia" w:ascii="宋体" w:hAnsi="宋体" w:cs="宋体"/>
          <w:color w:val="auto"/>
          <w:sz w:val="28"/>
          <w:szCs w:val="28"/>
          <w:highlight w:val="none"/>
          <w:lang w:bidi="ar"/>
        </w:rPr>
        <w:t xml:space="preserve">人</w:t>
      </w:r>
      <w:r>
        <w:rPr>
          <w:rFonts w:hint="eastAsia" w:ascii="宋体" w:hAnsi="宋体" w:cs="宋体"/>
          <w:color w:val="auto"/>
          <w:sz w:val="28"/>
          <w:szCs w:val="28"/>
          <w:highlight w:val="none"/>
          <w:lang w:val="zh-CN" w:bidi="ar"/>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bidi="ar"/>
        </w:rPr>
        <w:t xml:space="preserve">)：</w:t>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bidi="ar"/>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bidi="ar"/>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bidi="ar"/>
        </w:rPr>
        <w:t xml:space="preserve">时间：  年  月   日</w:t>
      </w:r>
      <w:r/>
    </w:p>
    <w:p>
      <w:pPr>
        <w:spacing w:line="460" w:lineRule="exact"/>
        <w:rPr>
          <w:rFonts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color w:val="auto"/>
          <w:sz w:val="28"/>
          <w:szCs w:val="28"/>
          <w:highlight w:val="none"/>
        </w:rPr>
      </w:r>
      <w:r/>
    </w:p>
    <w:p>
      <w:pPr>
        <w:contextualSpacing/>
        <w:spacing w:line="400" w:lineRule="exact"/>
        <w:rPr>
          <w:rFonts w:hint="eastAsia" w:ascii="宋体" w:hAnsi="宋体" w:cs="宋体"/>
          <w:color w:val="auto"/>
          <w:sz w:val="32"/>
          <w:szCs w:val="32"/>
          <w:highlight w:val="none"/>
          <w:lang w:val="en-US"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contextualSpacing/>
        <w:spacing w:line="400" w:lineRule="exact"/>
        <w:rPr>
          <w:rFonts w:hint="eastAsia" w:ascii="宋体" w:hAnsi="宋体" w:cs="宋体"/>
          <w:color w:val="auto"/>
          <w:sz w:val="32"/>
          <w:szCs w:val="32"/>
          <w:highlight w:val="none"/>
          <w:lang w:val="en-US" w:eastAsia="zh-CN"/>
        </w:rPr>
        <w:outlineLvl w:val="3"/>
      </w:pPr>
      <w:r>
        <w:rPr>
          <w:rFonts w:hint="eastAsia" w:ascii="宋体" w:hAnsi="宋体" w:cs="宋体"/>
          <w:color w:val="auto"/>
          <w:sz w:val="32"/>
          <w:szCs w:val="32"/>
          <w:highlight w:val="none"/>
          <w:lang w:val="en-US" w:eastAsia="zh-CN"/>
        </w:rPr>
      </w:r>
      <w:r/>
    </w:p>
    <w:p>
      <w:pPr>
        <w:jc w:val="center"/>
        <w:keepLines w:val="0"/>
        <w:keepNext w:val="0"/>
        <w:pageBreakBefore w:val="0"/>
        <w:spacing w:line="500" w:lineRule="exact"/>
        <w:widowControl w:val="off"/>
        <w:rPr>
          <w:rFonts w:hint="eastAsia" w:ascii="宋体" w:hAnsi="宋体" w:cs="宋体"/>
          <w:b/>
          <w:color w:val="auto"/>
          <w:sz w:val="28"/>
          <w:szCs w:val="28"/>
          <w:highlight w:val="none"/>
          <w:lang w:bidi="ar"/>
        </w:rPr>
      </w:pPr>
      <w:r>
        <w:rPr>
          <w:rFonts w:hint="eastAsia" w:ascii="宋体" w:hAnsi="宋体" w:cs="宋体"/>
          <w:b/>
          <w:color w:val="auto"/>
          <w:sz w:val="28"/>
          <w:szCs w:val="28"/>
          <w:highlight w:val="none"/>
          <w:lang w:bidi="ar"/>
        </w:rPr>
        <w:t xml:space="preserve">投标人符合《中华人民共和国政府采购法》第二十二条规定条件的声明函</w:t>
      </w:r>
      <w:r/>
    </w:p>
    <w:p>
      <w:pP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ind w:firstLine="560"/>
        <w:keepLines w:val="0"/>
        <w:keepNext w:val="0"/>
        <w:pageBreakBefore w:val="0"/>
        <w:spacing w:line="500" w:lineRule="exact"/>
        <w:widowControl w:val="off"/>
        <w:rPr>
          <w:rFonts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keepLines w:val="0"/>
        <w:keepNext w:val="0"/>
        <w:pageBreakBefore w:val="0"/>
        <w:spacing w:line="500" w:lineRule="exact"/>
        <w:widowControl w:val="off"/>
        <w:rPr>
          <w:rFonts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keepLines w:val="0"/>
        <w:keepNext w:val="0"/>
        <w:pageBreakBefore w:val="0"/>
        <w:spacing w:line="50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keepLines w:val="0"/>
        <w:keepNext w:val="0"/>
        <w:pageBreakBefore w:val="0"/>
        <w:spacing w:line="50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keepLines w:val="0"/>
        <w:keepNext w:val="0"/>
        <w:pageBreakBefore w:val="0"/>
        <w:spacing w:line="50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keepLines w:val="0"/>
        <w:keepNext w:val="0"/>
        <w:pageBreakBefore w:val="0"/>
        <w:spacing w:line="50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500" w:lineRule="exact"/>
        <w:widowControl w:val="off"/>
        <w:rPr>
          <w:rFonts w:ascii="宋体" w:hAnsi="宋体" w:cs="宋体"/>
          <w:color w:val="auto"/>
          <w:sz w:val="28"/>
          <w:szCs w:val="28"/>
          <w:highlight w:val="none"/>
        </w:rPr>
        <w:outlineLvl w:val="2"/>
      </w:pPr>
      <w:r/>
      <w:bookmarkStart w:id="188" w:name="_Toc9266"/>
      <w:r>
        <w:rPr>
          <w:rFonts w:hint="eastAsia" w:ascii="宋体" w:hAnsi="宋体" w:cs="宋体"/>
          <w:color w:val="auto"/>
          <w:sz w:val="28"/>
          <w:szCs w:val="28"/>
          <w:highlight w:val="none"/>
        </w:rPr>
        <w:t xml:space="preserve">6.我单位满足法律、行政法规规定的其他条件。</w:t>
      </w:r>
      <w:bookmarkEnd w:id="188"/>
      <w:r/>
      <w:r/>
    </w:p>
    <w:p>
      <w:pPr>
        <w:ind w:firstLine="56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r/>
    </w:p>
    <w:p>
      <w:pPr>
        <w:ind w:firstLine="560"/>
        <w:jc w:val="right"/>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9</w:t>
      </w:r>
      <w:r/>
    </w:p>
    <w:p>
      <w:pPr>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职务，为法定代表人，特此证明。</w:t>
      </w:r>
      <w:r/>
    </w:p>
    <w:p>
      <w:pPr>
        <w:ind w:firstLine="480"/>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rPr>
          <w:rFonts w:hint="eastAsia" w:ascii="宋体" w:hAnsi="宋体" w:cs="宋体"/>
          <w:color w:val="auto"/>
          <w:sz w:val="28"/>
          <w:szCs w:val="28"/>
          <w:highlight w:val="none"/>
          <w:u w:val="single"/>
        </w:rPr>
        <w:t xml:space="preserve">                                               </w:t>
      </w:r>
      <w:r/>
    </w:p>
    <w:p>
      <w:pPr>
        <w:ind w:firstLine="4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highlight w:val="none"/>
        </w:rPr>
      </w:pPr>
      <w:r>
        <w:rPr>
          <w:rFonts w:ascii="宋体" w:hAnsi="宋体" w:cs="宋体"/>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10</w:t>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法定代表人授权委托书</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eastAsia="zh-CN"/>
        </w:rPr>
      </w:pPr>
      <w:r>
        <w:rPr>
          <w:rFonts w:hint="eastAsia" w:ascii="宋体" w:hAnsi="宋体" w:cs="宋体"/>
          <w:color w:val="auto"/>
          <w:sz w:val="28"/>
          <w:szCs w:val="28"/>
          <w:highlight w:val="none"/>
        </w:rPr>
        <w:t xml:space="preserve">附件1</w:t>
      </w:r>
      <w:r>
        <w:rPr>
          <w:rFonts w:hint="eastAsia" w:ascii="宋体" w:hAnsi="宋体" w:cs="宋体"/>
          <w:color w:val="auto"/>
          <w:sz w:val="28"/>
          <w:szCs w:val="28"/>
          <w:highlight w:val="none"/>
          <w:lang w:val="en-US" w:eastAsia="zh-CN"/>
        </w:rPr>
        <w:t xml:space="preserve">1</w:t>
      </w:r>
      <w:r/>
    </w:p>
    <w:p>
      <w:pPr>
        <w:ind w:firstLine="281"/>
        <w:jc w:val="cente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中小微企业声明函（货物类项目）</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本公司（联合体）郑重声明，根据《政府采购促进中小企业发展管理办法》(财库〔2020〕46号)的规定，本公司（联合体）参加</w:t>
      </w:r>
      <w:r>
        <w:rPr>
          <w:rFonts w:hint="eastAsia" w:ascii="宋体" w:hAnsi="宋体" w:cs="宋体"/>
          <w:color w:val="auto"/>
          <w:sz w:val="28"/>
          <w:szCs w:val="28"/>
          <w:highlight w:val="none"/>
          <w:u w:val="single"/>
        </w:rPr>
        <w:t xml:space="preserve">（采购单位名称）</w:t>
      </w:r>
      <w:r>
        <w:rPr>
          <w:rFonts w:hint="eastAsia" w:ascii="宋体" w:hAnsi="宋体" w:cs="宋体"/>
          <w:color w:val="auto"/>
          <w:sz w:val="28"/>
          <w:szCs w:val="28"/>
          <w:highlight w:val="none"/>
        </w:rPr>
        <w:t xml:space="preserve">采购编号为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（项目名称）</w:t>
      </w:r>
      <w:r>
        <w:rPr>
          <w:rFonts w:hint="eastAsia" w:ascii="宋体" w:hAnsi="宋体" w:cs="宋体"/>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60" w:lineRule="exact"/>
        <w:rPr>
          <w:rFonts w:ascii="宋体" w:hAnsi="宋体" w:cs="宋体"/>
          <w:i/>
          <w:color w:val="auto"/>
          <w:sz w:val="28"/>
          <w:szCs w:val="28"/>
          <w:highlight w:val="none"/>
          <w:u w:val="single"/>
        </w:rPr>
      </w:pPr>
      <w:r>
        <w:rPr>
          <w:rFonts w:hint="eastAsia" w:ascii="宋体" w:hAnsi="宋体" w:cs="宋体"/>
          <w:color w:val="auto"/>
          <w:sz w:val="28"/>
          <w:szCs w:val="28"/>
          <w:highlight w:val="none"/>
        </w:rPr>
        <w:t xml:space="preserve">1.</w:t>
      </w:r>
      <w:r>
        <w:rPr>
          <w:rFonts w:hint="eastAsia" w:ascii="宋体" w:hAnsi="宋体" w:cs="宋体"/>
          <w:b/>
          <w:bCs/>
          <w:color w:val="auto"/>
          <w:sz w:val="28"/>
          <w:szCs w:val="28"/>
          <w:highlight w:val="none"/>
          <w:u w:val="single"/>
          <w:lang w:val="en-US" w:eastAsia="zh-CN"/>
        </w:rPr>
        <w:t xml:space="preserve">气动实验装置</w:t>
      </w:r>
      <w:r>
        <w:rPr>
          <w:rFonts w:hint="eastAsia" w:ascii="宋体" w:hAnsi="宋体" w:cs="宋体"/>
          <w:i/>
          <w:color w:val="auto"/>
          <w:sz w:val="28"/>
          <w:szCs w:val="28"/>
          <w:highlight w:val="non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eastAsia="zh-CN"/>
        </w:rPr>
        <w:t xml:space="preserve">工业</w:t>
      </w:r>
      <w:r>
        <w:rPr>
          <w:rFonts w:hint="eastAsia" w:ascii="宋体" w:hAnsi="宋体" w:cs="宋体"/>
          <w:b/>
          <w:bCs/>
          <w:color w:val="auto"/>
          <w:sz w:val="28"/>
          <w:szCs w:val="28"/>
          <w:highlight w:val="none"/>
          <w:u w:val="singl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（□中型企业 □小型企业 □微型企业）；</w:t>
      </w:r>
      <w:r/>
    </w:p>
    <w:p>
      <w:pPr>
        <w:ind w:firstLine="420"/>
        <w:spacing w:line="460" w:lineRule="exact"/>
        <w:rPr>
          <w:rFonts w:ascii="宋体" w:hAnsi="宋体" w:cs="宋体"/>
          <w:i/>
          <w:color w:val="auto"/>
          <w:sz w:val="28"/>
          <w:szCs w:val="28"/>
          <w:highlight w:val="none"/>
          <w:u w:val="single"/>
        </w:rPr>
      </w:pPr>
      <w:r>
        <w:rPr>
          <w:rFonts w:hint="eastAsia" w:ascii="宋体" w:hAnsi="宋体" w:cs="宋体"/>
          <w:color w:val="auto"/>
          <w:sz w:val="28"/>
          <w:szCs w:val="28"/>
          <w:highlight w:val="none"/>
        </w:rPr>
        <w:t xml:space="preserve">2.</w:t>
      </w:r>
      <w:r>
        <w:rPr>
          <w:rFonts w:hint="eastAsia" w:ascii="宋体" w:hAnsi="宋体" w:cs="宋体"/>
          <w:b/>
          <w:bCs/>
          <w:color w:val="auto"/>
          <w:sz w:val="28"/>
          <w:szCs w:val="28"/>
          <w:highlight w:val="none"/>
          <w:u w:val="single"/>
          <w:lang w:val="en-US" w:eastAsia="zh-CN"/>
        </w:rPr>
        <w:t xml:space="preserve">基本液压传动实验台</w:t>
      </w:r>
      <w:r>
        <w:rPr>
          <w:rFonts w:hint="eastAsia" w:ascii="宋体" w:hAnsi="宋体" w:cs="宋体"/>
          <w:i/>
          <w:color w:val="auto"/>
          <w:sz w:val="28"/>
          <w:szCs w:val="28"/>
          <w:highlight w:val="non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eastAsia="zh-CN"/>
        </w:rPr>
        <w:t xml:space="preserve">工业</w:t>
      </w:r>
      <w:r>
        <w:rPr>
          <w:rFonts w:hint="eastAsia" w:ascii="宋体" w:hAnsi="宋体" w:cs="宋体"/>
          <w:b/>
          <w:bCs/>
          <w:color w:val="auto"/>
          <w:sz w:val="28"/>
          <w:szCs w:val="28"/>
          <w:highlight w:val="none"/>
          <w:u w:val="singl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（□中型企业 □小型企业 □微型企业）；</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ind w:right="180" w:firstLine="420"/>
        <w:jc w:val="right"/>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企业名称（加盖CA电子公章）：</w:t>
      </w:r>
      <w:r/>
    </w:p>
    <w:p>
      <w:pPr>
        <w:ind w:right="480" w:firstLine="630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1.从业人员、营业收入、资产总额填报上一年度数据，无上一年度数据的新成立企业可不填报。</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2.专门面向中小微型企业采购的项目，投标人如不提供此声明函，则不能通过资格审查；非专门面向中小微型企业采购的项目，投标人如不提供此声明函，价格将不做相应扣除。</w:t>
      </w:r>
      <w:r/>
    </w:p>
    <w:p>
      <w:pPr>
        <w:ind w:left="560" w:hanging="140"/>
        <w:spacing w:line="460" w:lineRule="exact"/>
        <w:rPr>
          <w:rFonts w:ascii="宋体" w:hAnsi="宋体" w:cs="宋体"/>
          <w:color w:val="auto"/>
          <w:sz w:val="28"/>
          <w:szCs w:val="28"/>
          <w:highlight w:val="none"/>
        </w:rPr>
        <w:outlineLvl w:val="2"/>
      </w:pPr>
      <w:r/>
      <w:bookmarkStart w:id="189" w:name="_Toc28642"/>
      <w:r>
        <w:rPr>
          <w:rFonts w:hint="eastAsia" w:ascii="宋体" w:hAnsi="宋体" w:cs="宋体"/>
          <w:color w:val="auto"/>
          <w:sz w:val="28"/>
          <w:szCs w:val="28"/>
          <w:highlight w:val="none"/>
        </w:rPr>
        <w:t xml:space="preserve">3.投标人自行勾选制造商的企业规模类型。</w:t>
      </w:r>
      <w:bookmarkEnd w:id="189"/>
      <w:r/>
      <w:r/>
    </w:p>
    <w:p>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12</w:t>
      </w:r>
      <w:r/>
    </w:p>
    <w:p>
      <w:pPr>
        <w:ind w:left="561" w:hanging="141"/>
        <w:jc w:val="center"/>
        <w:spacing w:line="480" w:lineRule="exact"/>
        <w:rPr>
          <w:rFonts w:ascii="宋体" w:hAnsi="宋体" w:cs="宋体"/>
          <w:color w:val="auto"/>
          <w:sz w:val="28"/>
          <w:szCs w:val="28"/>
          <w:highlight w:val="none"/>
        </w:rPr>
        <w:outlineLvl w:val="1"/>
      </w:pPr>
      <w:r/>
      <w:bookmarkStart w:id="190" w:name="_Toc5882"/>
      <w:r>
        <w:rPr>
          <w:rFonts w:hint="eastAsia" w:ascii="宋体" w:hAnsi="宋体" w:cs="宋体"/>
          <w:b/>
          <w:color w:val="auto"/>
          <w:sz w:val="28"/>
          <w:szCs w:val="28"/>
          <w:highlight w:val="none"/>
        </w:rPr>
        <w:t xml:space="preserve">残疾人福利性单位声明函（货物类项目）（分包号：**）</w:t>
      </w:r>
      <w:bookmarkEnd w:id="190"/>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3.中标/中标人为残疾人福利性单位的，此声明函将随中标/成交结果同时公告，接受社会监督。</w:t>
      </w:r>
      <w:r/>
    </w:p>
    <w:p>
      <w:pPr>
        <w:ind w:firstLine="584"/>
        <w:spacing w:line="48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59" w:firstLine="584"/>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jc w:val="center"/>
        <w:spacing w:line="4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300" w:lineRule="auto"/>
        <w:tabs>
          <w:tab w:val="left" w:pos="12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jc w:val="center"/>
        <w:spacing w:line="42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质疑函范本</w:t>
      </w:r>
      <w:r/>
    </w:p>
    <w:p>
      <w:pPr>
        <w:spacing w:before="312" w:line="460" w:lineRule="exact"/>
        <w:rPr>
          <w:rFonts w:ascii="宋体" w:hAnsi="宋体" w:cs="宋体"/>
          <w:bCs/>
          <w:color w:val="auto"/>
          <w:sz w:val="28"/>
          <w:szCs w:val="28"/>
          <w:highlight w:val="none"/>
        </w:rPr>
        <w:outlineLvl w:val="1"/>
      </w:pPr>
      <w:r/>
      <w:bookmarkStart w:id="191" w:name="_Toc31083"/>
      <w:r>
        <w:rPr>
          <w:rFonts w:hint="eastAsia" w:ascii="宋体" w:hAnsi="宋体" w:cs="宋体"/>
          <w:bCs/>
          <w:color w:val="auto"/>
          <w:sz w:val="28"/>
          <w:szCs w:val="28"/>
          <w:highlight w:val="none"/>
        </w:rPr>
        <w:t xml:space="preserve">一、质疑投标人基本信息</w:t>
      </w:r>
      <w:bookmarkEnd w:id="191"/>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outlineLvl w:val="1"/>
      </w:pPr>
      <w:r/>
      <w:bookmarkStart w:id="192" w:name="_Toc10335"/>
      <w:r>
        <w:rPr>
          <w:rFonts w:hint="eastAsia" w:ascii="宋体" w:hAnsi="宋体" w:cs="宋体"/>
          <w:bCs/>
          <w:color w:val="auto"/>
          <w:sz w:val="28"/>
          <w:szCs w:val="28"/>
          <w:highlight w:val="none"/>
        </w:rPr>
        <w:t xml:space="preserve">二、质疑项目基本情况</w:t>
      </w:r>
      <w:bookmarkEnd w:id="192"/>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招标人名称：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outlineLvl w:val="1"/>
      </w:pPr>
      <w:r/>
      <w:bookmarkStart w:id="193" w:name="_Toc16480"/>
      <w:r>
        <w:rPr>
          <w:rFonts w:hint="eastAsia" w:ascii="宋体" w:hAnsi="宋体" w:cs="宋体"/>
          <w:bCs/>
          <w:color w:val="auto"/>
          <w:sz w:val="28"/>
          <w:szCs w:val="28"/>
          <w:highlight w:val="none"/>
        </w:rPr>
        <w:t xml:space="preserve">三、质疑事项具体内容</w:t>
      </w:r>
      <w:bookmarkEnd w:id="193"/>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outlineLvl w:val="1"/>
      </w:pPr>
      <w:r/>
      <w:bookmarkStart w:id="194" w:name="_Toc21173"/>
      <w:r>
        <w:rPr>
          <w:rFonts w:hint="eastAsia" w:ascii="宋体" w:hAnsi="宋体" w:cs="宋体"/>
          <w:bCs/>
          <w:color w:val="auto"/>
          <w:sz w:val="28"/>
          <w:szCs w:val="28"/>
          <w:highlight w:val="none"/>
        </w:rPr>
        <w:t xml:space="preserve">四、与质疑事项相关的质疑请求</w:t>
      </w:r>
      <w:bookmarkEnd w:id="194"/>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outlineLvl w:val="2"/>
      </w:pPr>
      <w:r/>
      <w:bookmarkStart w:id="195" w:name="_Toc29150"/>
      <w:r>
        <w:rPr>
          <w:rFonts w:hint="eastAsia" w:ascii="宋体" w:hAnsi="宋体" w:cs="宋体"/>
          <w:color w:val="auto"/>
          <w:sz w:val="28"/>
          <w:szCs w:val="28"/>
          <w:highlight w:val="none"/>
        </w:rPr>
        <w:t xml:space="preserve">1.投标人提出质疑时，应提交质疑函和必要的证明材料。</w:t>
      </w:r>
      <w:bookmarkEnd w:id="195"/>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w:t>
      </w:r>
      <w:r>
        <w:rPr>
          <w:rFonts w:hint="eastAsia" w:ascii="宋体" w:hAnsi="宋体" w:cs="宋体"/>
          <w:color w:val="auto"/>
          <w:sz w:val="28"/>
          <w:szCs w:val="28"/>
          <w:highlight w:val="none"/>
        </w:rPr>
        <w:t xml:space="preserve">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outlineLvl w:val="2"/>
      </w:pPr>
      <w:r/>
      <w:bookmarkStart w:id="196" w:name="_Toc8790"/>
      <w:r>
        <w:rPr>
          <w:rFonts w:hint="eastAsia" w:ascii="宋体" w:hAnsi="宋体" w:cs="宋体"/>
          <w:color w:val="auto"/>
          <w:sz w:val="28"/>
          <w:szCs w:val="28"/>
          <w:highlight w:val="none"/>
        </w:rPr>
        <w:t xml:space="preserve">5.质疑函的质疑请求应与质疑事项相关。</w:t>
      </w:r>
      <w:bookmarkEnd w:id="196"/>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江苏中润工程建设咨询有限公司</w:t>
      </w:r>
      <w:r/>
    </w:p>
    <w:p>
      <w:pPr>
        <w:jc w:val="center"/>
        <w:spacing w:line="120" w:lineRule="auto"/>
        <w:rPr>
          <w:rFonts w:hint="eastAsia" w:ascii="宋体" w:hAnsi="宋体" w:eastAsia="宋体" w:cs="宋体"/>
          <w:color w:val="auto"/>
          <w:sz w:val="30"/>
          <w:szCs w:val="30"/>
          <w:highlight w:val="none"/>
        </w:rPr>
      </w:pPr>
      <w:r>
        <w:rPr>
          <w:rFonts w:hint="eastAsia" w:ascii="宋体" w:hAnsi="宋体" w:eastAsia="宋体" w:cs="宋体"/>
          <w:color w:val="auto"/>
          <w:sz w:val="44"/>
          <w:szCs w:val="44"/>
          <w:highlight w:val="none"/>
        </w:rPr>
        <w:t xml:space="preserve">政府采购供应商友情提醒</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供应商在参与政府采购项目中的常见问题，现将有关常见问题提醒如下：</w:t>
      </w:r>
      <w:r/>
    </w:p>
    <w:p>
      <w:pPr>
        <w:ind w:firstLine="602"/>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一、如何参与政府采购项目？</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答：（1）潜在供应商如有意向参与本公司政府采购项目，必须按照以下方法进行操作，方可视为参与成功。</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（2）“CA数字证书”的办理材料以及供应商操作手册详见：</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http://www.ccgp-jiangsu.gov.cn/jiangsu/zlxz/ee/ee3a4bc5a3454aa2b0d9312230633ce9.html</w:t>
      </w:r>
      <w:r/>
    </w:p>
    <w:p>
      <w:pPr>
        <w:ind w:firstLine="602"/>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二、如何正确填写《中小企业声明函》？</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答：受中小企业扶持政策的供应商应当满足下列条件：在货物采购项目中，货物应当由中小企业</w:t>
      </w:r>
      <w:r>
        <w:rPr>
          <w:rFonts w:hint="eastAsia" w:ascii="宋体" w:hAnsi="宋体" w:eastAsia="宋体" w:cs="宋体"/>
          <w:b/>
          <w:bCs/>
          <w:color w:val="auto"/>
          <w:sz w:val="30"/>
          <w:szCs w:val="30"/>
          <w:highlight w:val="none"/>
        </w:rPr>
        <w:t xml:space="preserve">制造</w:t>
      </w:r>
      <w:r>
        <w:rPr>
          <w:rFonts w:hint="eastAsia" w:ascii="宋体" w:hAnsi="宋体" w:eastAsia="宋体" w:cs="宋体"/>
          <w:color w:val="auto"/>
          <w:sz w:val="30"/>
          <w:szCs w:val="30"/>
          <w:highlight w:val="none"/>
        </w:rPr>
        <w:t xml:space="preserve">，不对其中涉及的服务的承接商作出要求。货物类项目制造商在填写中小企业声明函时，需按照采购标的中的标的清单</w:t>
      </w:r>
      <w:r>
        <w:rPr>
          <w:rFonts w:hint="eastAsia" w:ascii="宋体" w:hAnsi="宋体" w:eastAsia="宋体" w:cs="宋体"/>
          <w:b/>
          <w:bCs/>
          <w:color w:val="auto"/>
          <w:sz w:val="30"/>
          <w:szCs w:val="30"/>
          <w:highlight w:val="none"/>
        </w:rPr>
        <w:t xml:space="preserve">逐项进行响应</w:t>
      </w:r>
      <w:r>
        <w:rPr>
          <w:rFonts w:hint="eastAsia" w:ascii="宋体" w:hAnsi="宋体" w:eastAsia="宋体" w:cs="宋体"/>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三、填写附件的时候有哪些需要注意的？</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四、报价时有哪些注意事项？</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此外，供应商最终报价出现下列情形之一的，评审委员会将启动异常低价投标（响应）审查程序：</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1.投标（响应）报价低于采购项目预算50%的，即投标（响应）报价&lt;采购项目预算×50%；</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2.投标（响应）报价低于采购项目最高限价45%的，即投标（响应）报价&lt;采购项目最高限价×45%；</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3.评审委员会认定的供应商报价过低、有可能影响产品质量或者不能诚信履约的其他情形。</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对报价异常低且经评审委员会启动相关审查机制后仍中标或成交的供应商，采购人将重点关注其履约能力、履约承诺、实际履约情况等。</w:t>
      </w:r>
      <w:r/>
    </w:p>
    <w:p>
      <w:pPr>
        <w:ind w:firstLine="602"/>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五、开评标过程中供应商的注意事项有哪些？</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六、评标结束后什么时候能查询结果？如何查询？</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答：对于采用公开招标或封闭式框架协议方式采购的项目，项目中标（入围）公告发布，参与供应商即可在“苏采云”系统中查看评审结果。</w:t>
      </w:r>
      <w:r/>
    </w:p>
    <w:p>
      <w:pPr>
        <w:ind w:firstLine="600"/>
        <w:spacing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查询评审结果的路径为：登录“苏采云”系统-点击【采购项目参与】-【评审结果查询】-点击【查看】按钮，进入评审结果详情页面。供应商可以查看到资格符合评审是否通过、评审总得分、排名和是否中标/成交。</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wps:spPr>
                    <wps:txbx>
                      <w:txbxContent>
                        <w:p>
                          <w:pPr>
                            <w:pStyle w:val="969"/>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69"/>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18415" b="44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969"/>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69"/>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1"/>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52"/>
    <w:link w:val="943"/>
    <w:uiPriority w:val="9"/>
    <w:rPr>
      <w:rFonts w:ascii="Arial" w:hAnsi="Arial" w:eastAsia="Arial" w:cs="Arial"/>
      <w:sz w:val="40"/>
      <w:szCs w:val="40"/>
    </w:rPr>
  </w:style>
  <w:style w:type="character" w:styleId="783">
    <w:name w:val="Heading 2 Char"/>
    <w:basedOn w:val="952"/>
    <w:link w:val="944"/>
    <w:uiPriority w:val="9"/>
    <w:rPr>
      <w:rFonts w:ascii="Arial" w:hAnsi="Arial" w:eastAsia="Arial" w:cs="Arial"/>
      <w:sz w:val="34"/>
    </w:rPr>
  </w:style>
  <w:style w:type="character" w:styleId="784">
    <w:name w:val="Heading 3 Char"/>
    <w:basedOn w:val="952"/>
    <w:link w:val="945"/>
    <w:uiPriority w:val="9"/>
    <w:rPr>
      <w:rFonts w:ascii="Arial" w:hAnsi="Arial" w:eastAsia="Arial" w:cs="Arial"/>
      <w:sz w:val="30"/>
      <w:szCs w:val="30"/>
    </w:rPr>
  </w:style>
  <w:style w:type="character" w:styleId="785">
    <w:name w:val="Heading 4 Char"/>
    <w:basedOn w:val="952"/>
    <w:link w:val="946"/>
    <w:uiPriority w:val="9"/>
    <w:rPr>
      <w:rFonts w:ascii="Arial" w:hAnsi="Arial" w:eastAsia="Arial" w:cs="Arial"/>
      <w:b/>
      <w:bCs/>
      <w:sz w:val="26"/>
      <w:szCs w:val="26"/>
    </w:rPr>
  </w:style>
  <w:style w:type="character" w:styleId="786">
    <w:name w:val="Heading 5 Char"/>
    <w:basedOn w:val="952"/>
    <w:link w:val="947"/>
    <w:uiPriority w:val="9"/>
    <w:rPr>
      <w:rFonts w:ascii="Arial" w:hAnsi="Arial" w:eastAsia="Arial" w:cs="Arial"/>
      <w:b/>
      <w:bCs/>
      <w:sz w:val="24"/>
      <w:szCs w:val="24"/>
    </w:rPr>
  </w:style>
  <w:style w:type="character" w:styleId="787">
    <w:name w:val="Heading 6 Char"/>
    <w:basedOn w:val="952"/>
    <w:link w:val="948"/>
    <w:uiPriority w:val="9"/>
    <w:rPr>
      <w:rFonts w:ascii="Arial" w:hAnsi="Arial" w:eastAsia="Arial" w:cs="Arial"/>
      <w:b/>
      <w:bCs/>
      <w:sz w:val="22"/>
      <w:szCs w:val="22"/>
    </w:rPr>
  </w:style>
  <w:style w:type="character" w:styleId="788">
    <w:name w:val="Heading 7 Char"/>
    <w:basedOn w:val="952"/>
    <w:link w:val="949"/>
    <w:uiPriority w:val="9"/>
    <w:rPr>
      <w:rFonts w:ascii="Arial" w:hAnsi="Arial" w:eastAsia="Arial" w:cs="Arial"/>
      <w:b/>
      <w:bCs/>
      <w:i/>
      <w:iCs/>
      <w:sz w:val="22"/>
      <w:szCs w:val="22"/>
    </w:rPr>
  </w:style>
  <w:style w:type="character" w:styleId="789">
    <w:name w:val="Heading 8 Char"/>
    <w:basedOn w:val="952"/>
    <w:link w:val="950"/>
    <w:uiPriority w:val="9"/>
    <w:rPr>
      <w:rFonts w:ascii="Arial" w:hAnsi="Arial" w:eastAsia="Arial" w:cs="Arial"/>
      <w:i/>
      <w:iCs/>
      <w:sz w:val="22"/>
      <w:szCs w:val="22"/>
    </w:rPr>
  </w:style>
  <w:style w:type="character" w:styleId="790">
    <w:name w:val="Heading 9 Char"/>
    <w:basedOn w:val="952"/>
    <w:link w:val="951"/>
    <w:uiPriority w:val="9"/>
    <w:rPr>
      <w:rFonts w:ascii="Arial" w:hAnsi="Arial" w:eastAsia="Arial" w:cs="Arial"/>
      <w:i/>
      <w:iCs/>
      <w:sz w:val="21"/>
      <w:szCs w:val="21"/>
    </w:rPr>
  </w:style>
  <w:style w:type="paragraph" w:styleId="791">
    <w:name w:val="Title"/>
    <w:basedOn w:val="942"/>
    <w:next w:val="942"/>
    <w:link w:val="792"/>
    <w:uiPriority w:val="10"/>
    <w:qFormat/>
    <w:pPr>
      <w:contextualSpacing/>
      <w:spacing w:before="300" w:after="200"/>
    </w:pPr>
    <w:rPr>
      <w:sz w:val="48"/>
      <w:szCs w:val="48"/>
    </w:rPr>
  </w:style>
  <w:style w:type="character" w:styleId="792">
    <w:name w:val="Title Char"/>
    <w:basedOn w:val="952"/>
    <w:link w:val="791"/>
    <w:uiPriority w:val="10"/>
    <w:rPr>
      <w:sz w:val="48"/>
      <w:szCs w:val="48"/>
    </w:rPr>
  </w:style>
  <w:style w:type="paragraph" w:styleId="793">
    <w:name w:val="Subtitle"/>
    <w:basedOn w:val="942"/>
    <w:next w:val="942"/>
    <w:link w:val="794"/>
    <w:uiPriority w:val="11"/>
    <w:qFormat/>
    <w:pPr>
      <w:spacing w:before="200" w:after="200"/>
    </w:pPr>
    <w:rPr>
      <w:sz w:val="24"/>
      <w:szCs w:val="24"/>
    </w:rPr>
  </w:style>
  <w:style w:type="character" w:styleId="794">
    <w:name w:val="Subtitle Char"/>
    <w:basedOn w:val="952"/>
    <w:link w:val="793"/>
    <w:uiPriority w:val="11"/>
    <w:rPr>
      <w:sz w:val="24"/>
      <w:szCs w:val="24"/>
    </w:rPr>
  </w:style>
  <w:style w:type="paragraph" w:styleId="795">
    <w:name w:val="Quote"/>
    <w:basedOn w:val="942"/>
    <w:next w:val="942"/>
    <w:link w:val="796"/>
    <w:uiPriority w:val="29"/>
    <w:qFormat/>
    <w:pPr>
      <w:ind w:left="720" w:right="720"/>
    </w:pPr>
    <w:rPr>
      <w:i/>
    </w:rPr>
  </w:style>
  <w:style w:type="character" w:styleId="796">
    <w:name w:val="Quote Char"/>
    <w:link w:val="795"/>
    <w:uiPriority w:val="29"/>
    <w:rPr>
      <w:i/>
    </w:rPr>
  </w:style>
  <w:style w:type="paragraph" w:styleId="797">
    <w:name w:val="Intense Quote"/>
    <w:basedOn w:val="942"/>
    <w:next w:val="942"/>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52"/>
    <w:link w:val="970"/>
    <w:uiPriority w:val="99"/>
  </w:style>
  <w:style w:type="character" w:styleId="800">
    <w:name w:val="Footer Char"/>
    <w:basedOn w:val="952"/>
    <w:link w:val="969"/>
    <w:uiPriority w:val="99"/>
  </w:style>
  <w:style w:type="paragraph" w:styleId="801">
    <w:name w:val="Caption"/>
    <w:basedOn w:val="942"/>
    <w:next w:val="942"/>
    <w:uiPriority w:val="35"/>
    <w:semiHidden/>
    <w:unhideWhenUsed/>
    <w:qFormat/>
    <w:pPr>
      <w:spacing w:line="276" w:lineRule="auto"/>
    </w:pPr>
    <w:rPr>
      <w:b/>
      <w:bCs/>
      <w:color w:val="4f81bd" w:themeColor="accent1"/>
      <w:sz w:val="18"/>
      <w:szCs w:val="18"/>
    </w:rPr>
  </w:style>
  <w:style w:type="character" w:styleId="802">
    <w:name w:val="Caption Char"/>
    <w:basedOn w:val="801"/>
    <w:link w:val="969"/>
    <w:uiPriority w:val="99"/>
  </w:style>
  <w:style w:type="table" w:styleId="803">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8">
    <w:name w:val="footnote text"/>
    <w:basedOn w:val="942"/>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52"/>
    <w:uiPriority w:val="99"/>
    <w:unhideWhenUsed/>
    <w:rPr>
      <w:vertAlign w:val="superscript"/>
    </w:rPr>
  </w:style>
  <w:style w:type="paragraph" w:styleId="931">
    <w:name w:val="endnote text"/>
    <w:basedOn w:val="942"/>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52"/>
    <w:uiPriority w:val="99"/>
    <w:semiHidden/>
    <w:unhideWhenUsed/>
    <w:rPr>
      <w:vertAlign w:val="superscript"/>
    </w:r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3">
    <w:name w:val="Heading 1"/>
    <w:basedOn w:val="942"/>
    <w:next w:val="942"/>
    <w:link w:val="986"/>
    <w:uiPriority w:val="0"/>
    <w:qFormat/>
    <w:pPr>
      <w:keepLines/>
      <w:keepNext/>
      <w:spacing w:before="340" w:after="330" w:line="578" w:lineRule="auto"/>
      <w:outlineLvl w:val="0"/>
    </w:pPr>
    <w:rPr>
      <w:b/>
      <w:bCs/>
      <w:sz w:val="44"/>
      <w:szCs w:val="44"/>
    </w:rPr>
  </w:style>
  <w:style w:type="paragraph" w:styleId="944">
    <w:name w:val="Heading 2"/>
    <w:basedOn w:val="942"/>
    <w:next w:val="942"/>
    <w:link w:val="987"/>
    <w:uiPriority w:val="0"/>
    <w:qFormat/>
    <w:pPr>
      <w:keepLines/>
      <w:keepNext/>
      <w:spacing w:before="260" w:after="260" w:line="416" w:lineRule="auto"/>
      <w:outlineLvl w:val="1"/>
    </w:pPr>
    <w:rPr>
      <w:rFonts w:ascii="Arial" w:hAnsi="Arial" w:eastAsia="黑体"/>
      <w:b/>
      <w:bCs/>
      <w:sz w:val="32"/>
      <w:szCs w:val="32"/>
    </w:rPr>
  </w:style>
  <w:style w:type="paragraph" w:styleId="945">
    <w:name w:val="Heading 3"/>
    <w:basedOn w:val="942"/>
    <w:next w:val="942"/>
    <w:link w:val="988"/>
    <w:uiPriority w:val="0"/>
    <w:qFormat/>
    <w:pPr>
      <w:keepLines/>
      <w:keepNext/>
      <w:spacing w:before="260" w:after="260" w:line="416" w:lineRule="auto"/>
      <w:outlineLvl w:val="2"/>
    </w:pPr>
    <w:rPr>
      <w:b/>
      <w:bCs/>
      <w:sz w:val="32"/>
      <w:szCs w:val="32"/>
    </w:rPr>
  </w:style>
  <w:style w:type="paragraph" w:styleId="946">
    <w:name w:val="Heading 4"/>
    <w:basedOn w:val="942"/>
    <w:next w:val="942"/>
    <w:link w:val="989"/>
    <w:uiPriority w:val="0"/>
    <w:qFormat/>
    <w:pPr>
      <w:jc w:val="center"/>
      <w:keepNext/>
      <w:outlineLvl w:val="3"/>
    </w:pPr>
    <w:rPr>
      <w:rFonts w:eastAsia="新宋体"/>
      <w:sz w:val="30"/>
      <w:szCs w:val="21"/>
    </w:rPr>
  </w:style>
  <w:style w:type="paragraph" w:styleId="947">
    <w:name w:val="Heading 5"/>
    <w:basedOn w:val="942"/>
    <w:next w:val="942"/>
    <w:link w:val="990"/>
    <w:uiPriority w:val="0"/>
    <w:qFormat/>
    <w:pPr>
      <w:keepLines/>
      <w:keepNext/>
      <w:spacing w:before="280" w:after="290" w:line="376" w:lineRule="auto"/>
      <w:outlineLvl w:val="4"/>
    </w:pPr>
    <w:rPr>
      <w:b/>
      <w:bCs/>
      <w:sz w:val="28"/>
      <w:szCs w:val="28"/>
    </w:rPr>
  </w:style>
  <w:style w:type="paragraph" w:styleId="948">
    <w:name w:val="Heading 6"/>
    <w:basedOn w:val="942"/>
    <w:next w:val="954"/>
    <w:link w:val="991"/>
    <w:uiPriority w:val="0"/>
    <w:qFormat/>
    <w:pPr>
      <w:jc w:val="center"/>
      <w:keepNext/>
      <w:outlineLvl w:val="5"/>
    </w:pPr>
    <w:rPr>
      <w:b/>
      <w:sz w:val="44"/>
      <w:szCs w:val="20"/>
    </w:rPr>
  </w:style>
  <w:style w:type="paragraph" w:styleId="949">
    <w:name w:val="Heading 7"/>
    <w:basedOn w:val="942"/>
    <w:next w:val="942"/>
    <w:link w:val="993"/>
    <w:uiPriority w:val="0"/>
    <w:qFormat/>
    <w:pPr>
      <w:keepLines/>
      <w:keepNext/>
      <w:spacing w:before="240" w:after="64" w:line="320" w:lineRule="auto"/>
      <w:outlineLvl w:val="6"/>
    </w:pPr>
    <w:rPr>
      <w:b/>
      <w:bCs/>
      <w:sz w:val="24"/>
    </w:rPr>
  </w:style>
  <w:style w:type="paragraph" w:styleId="950">
    <w:name w:val="Heading 8"/>
    <w:basedOn w:val="942"/>
    <w:next w:val="942"/>
    <w:link w:val="994"/>
    <w:uiPriority w:val="0"/>
    <w:qFormat/>
    <w:pPr>
      <w:keepLines/>
      <w:keepNext/>
      <w:spacing w:before="240" w:after="64" w:line="320" w:lineRule="auto"/>
      <w:outlineLvl w:val="7"/>
    </w:pPr>
    <w:rPr>
      <w:rFonts w:ascii="Arial" w:hAnsi="Arial" w:eastAsia="黑体"/>
      <w:sz w:val="24"/>
    </w:rPr>
  </w:style>
  <w:style w:type="paragraph" w:styleId="951">
    <w:name w:val="Heading 9"/>
    <w:basedOn w:val="942"/>
    <w:next w:val="942"/>
    <w:link w:val="995"/>
    <w:uiPriority w:val="0"/>
    <w:qFormat/>
    <w:pPr>
      <w:keepLines/>
      <w:keepNext/>
      <w:spacing w:before="240" w:after="64" w:line="320" w:lineRule="auto"/>
      <w:outlineLvl w:val="8"/>
    </w:pPr>
    <w:rPr>
      <w:rFonts w:ascii="Arial" w:hAnsi="Arial" w:eastAsia="黑体"/>
      <w:sz w:val="24"/>
      <w:szCs w:val="21"/>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Normal Indent"/>
    <w:basedOn w:val="942"/>
    <w:link w:val="992"/>
    <w:uiPriority w:val="0"/>
    <w:qFormat/>
    <w:pPr>
      <w:ind w:firstLine="420"/>
    </w:pPr>
    <w:rPr>
      <w:sz w:val="20"/>
      <w:szCs w:val="20"/>
    </w:rPr>
  </w:style>
  <w:style w:type="paragraph" w:styleId="955">
    <w:name w:val="Note Heading"/>
    <w:basedOn w:val="942"/>
    <w:next w:val="942"/>
    <w:uiPriority w:val="0"/>
    <w:qFormat/>
    <w:rPr>
      <w:rFonts w:ascii="Verdana" w:hAnsi="Verdana"/>
      <w:szCs w:val="20"/>
    </w:rPr>
  </w:style>
  <w:style w:type="paragraph" w:styleId="956">
    <w:name w:val="Document Map"/>
    <w:basedOn w:val="942"/>
    <w:link w:val="996"/>
    <w:uiPriority w:val="0"/>
    <w:semiHidden/>
    <w:qFormat/>
    <w:pPr>
      <w:shd w:val="clear" w:color="auto" w:fill="000080"/>
    </w:pPr>
    <w:rPr>
      <w:sz w:val="20"/>
    </w:rPr>
  </w:style>
  <w:style w:type="paragraph" w:styleId="957">
    <w:name w:val="toa heading"/>
    <w:basedOn w:val="942"/>
    <w:next w:val="942"/>
    <w:uiPriority w:val="0"/>
    <w:qFormat/>
    <w:pPr>
      <w:jc w:val="center"/>
      <w:spacing w:line="360" w:lineRule="atLeast"/>
    </w:pPr>
    <w:rPr>
      <w:rFonts w:ascii="Arial" w:hAnsi="Arial" w:eastAsia="黑体"/>
      <w:sz w:val="36"/>
      <w:szCs w:val="20"/>
    </w:rPr>
  </w:style>
  <w:style w:type="paragraph" w:styleId="958">
    <w:name w:val="annotation text"/>
    <w:basedOn w:val="942"/>
    <w:link w:val="997"/>
    <w:uiPriority w:val="99"/>
    <w:unhideWhenUsed/>
    <w:qFormat/>
    <w:pPr>
      <w:jc w:val="left"/>
    </w:pPr>
  </w:style>
  <w:style w:type="paragraph" w:styleId="959">
    <w:name w:val="Body Text 3"/>
    <w:basedOn w:val="942"/>
    <w:link w:val="998"/>
    <w:uiPriority w:val="0"/>
    <w:qFormat/>
    <w:pPr>
      <w:spacing w:after="120"/>
    </w:pPr>
    <w:rPr>
      <w:sz w:val="16"/>
      <w:szCs w:val="16"/>
    </w:rPr>
  </w:style>
  <w:style w:type="paragraph" w:styleId="960">
    <w:name w:val="Body Text"/>
    <w:basedOn w:val="942"/>
    <w:next w:val="942"/>
    <w:link w:val="999"/>
    <w:uiPriority w:val="0"/>
    <w:qFormat/>
    <w:rPr>
      <w:rFonts w:ascii="仿宋_GB2312" w:eastAsia="仿宋_GB2312"/>
      <w:sz w:val="24"/>
      <w:szCs w:val="20"/>
    </w:rPr>
  </w:style>
  <w:style w:type="paragraph" w:styleId="961">
    <w:name w:val="Body Text Indent"/>
    <w:basedOn w:val="942"/>
    <w:next w:val="962"/>
    <w:link w:val="1000"/>
    <w:uiPriority w:val="0"/>
    <w:qFormat/>
    <w:pPr>
      <w:ind w:left="765"/>
    </w:pPr>
    <w:rPr>
      <w:rFonts w:ascii="仿宋_GB2312" w:eastAsia="仿宋_GB2312"/>
      <w:sz w:val="28"/>
      <w:szCs w:val="20"/>
    </w:rPr>
  </w:style>
  <w:style w:type="paragraph" w:styleId="962">
    <w:name w:val="envelope return"/>
    <w:basedOn w:val="942"/>
    <w:uiPriority w:val="99"/>
    <w:unhideWhenUsed/>
    <w:qFormat/>
    <w:rPr>
      <w:rFonts w:ascii="Arial" w:hAnsi="Arial"/>
    </w:rPr>
  </w:style>
  <w:style w:type="paragraph" w:styleId="963">
    <w:name w:val="Block Text"/>
    <w:basedOn w:val="942"/>
    <w:next w:val="960"/>
    <w:uiPriority w:val="0"/>
    <w:qFormat/>
    <w:pPr>
      <w:ind w:right="210" w:firstLine="560"/>
      <w:spacing w:line="360" w:lineRule="auto"/>
    </w:pPr>
    <w:rPr>
      <w:rFonts w:ascii="宋体" w:hAnsi="宋体"/>
      <w:color w:val="000000"/>
      <w:spacing w:val="20"/>
      <w:sz w:val="24"/>
      <w:szCs w:val="18"/>
    </w:rPr>
  </w:style>
  <w:style w:type="paragraph" w:styleId="964">
    <w:name w:val="toc 3"/>
    <w:basedOn w:val="942"/>
    <w:next w:val="942"/>
    <w:uiPriority w:val="39"/>
    <w:unhideWhenUsed/>
    <w:qFormat/>
    <w:pPr>
      <w:ind w:left="840"/>
    </w:pPr>
  </w:style>
  <w:style w:type="paragraph" w:styleId="965">
    <w:name w:val="Plain Text"/>
    <w:basedOn w:val="942"/>
    <w:link w:val="1001"/>
    <w:uiPriority w:val="0"/>
    <w:qFormat/>
    <w:rPr>
      <w:rFonts w:ascii="宋体" w:hAnsi="Courier New"/>
      <w:sz w:val="20"/>
      <w:szCs w:val="21"/>
    </w:rPr>
  </w:style>
  <w:style w:type="paragraph" w:styleId="966">
    <w:name w:val="Date"/>
    <w:basedOn w:val="942"/>
    <w:next w:val="942"/>
    <w:link w:val="1002"/>
    <w:uiPriority w:val="0"/>
    <w:qFormat/>
    <w:rPr>
      <w:sz w:val="24"/>
      <w:szCs w:val="20"/>
    </w:rPr>
  </w:style>
  <w:style w:type="paragraph" w:styleId="967">
    <w:name w:val="Body Text Indent 2"/>
    <w:basedOn w:val="942"/>
    <w:link w:val="1003"/>
    <w:uiPriority w:val="0"/>
    <w:qFormat/>
    <w:pPr>
      <w:ind w:firstLine="560"/>
      <w:spacing w:line="500" w:lineRule="exact"/>
    </w:pPr>
    <w:rPr>
      <w:rFonts w:eastAsia="仿宋_GB2312"/>
      <w:sz w:val="28"/>
      <w:szCs w:val="20"/>
    </w:rPr>
  </w:style>
  <w:style w:type="paragraph" w:styleId="968">
    <w:name w:val="Balloon Text"/>
    <w:basedOn w:val="942"/>
    <w:link w:val="1004"/>
    <w:uiPriority w:val="0"/>
    <w:semiHidden/>
    <w:qFormat/>
    <w:rPr>
      <w:sz w:val="18"/>
      <w:szCs w:val="18"/>
    </w:rPr>
  </w:style>
  <w:style w:type="paragraph" w:styleId="969">
    <w:name w:val="Footer"/>
    <w:basedOn w:val="942"/>
    <w:link w:val="1005"/>
    <w:uiPriority w:val="99"/>
    <w:qFormat/>
    <w:pPr>
      <w:jc w:val="left"/>
      <w:tabs>
        <w:tab w:val="center" w:pos="4153" w:leader="none"/>
        <w:tab w:val="right" w:pos="8306" w:leader="none"/>
      </w:tabs>
    </w:pPr>
    <w:rPr>
      <w:sz w:val="18"/>
      <w:szCs w:val="20"/>
    </w:rPr>
  </w:style>
  <w:style w:type="paragraph" w:styleId="970">
    <w:name w:val="Header"/>
    <w:basedOn w:val="942"/>
    <w:link w:val="1006"/>
    <w:uiPriority w:val="0"/>
    <w:qFormat/>
    <w:pPr>
      <w:jc w:val="center"/>
      <w:tabs>
        <w:tab w:val="center" w:pos="4153" w:leader="none"/>
        <w:tab w:val="right" w:pos="8306" w:leader="none"/>
      </w:tabs>
      <w:pBdr>
        <w:bottom w:val="single" w:color="auto" w:sz="6" w:space="1"/>
      </w:pBdr>
    </w:pPr>
    <w:rPr>
      <w:sz w:val="18"/>
      <w:szCs w:val="18"/>
    </w:rPr>
  </w:style>
  <w:style w:type="paragraph" w:styleId="971">
    <w:name w:val="toc 1"/>
    <w:basedOn w:val="942"/>
    <w:next w:val="942"/>
    <w:uiPriority w:val="0"/>
    <w:semiHidden/>
    <w:qFormat/>
    <w:rPr>
      <w:sz w:val="24"/>
    </w:rPr>
  </w:style>
  <w:style w:type="paragraph" w:styleId="972">
    <w:name w:val="List"/>
    <w:basedOn w:val="942"/>
    <w:uiPriority w:val="0"/>
    <w:qFormat/>
    <w:pPr>
      <w:ind w:left="200" w:hanging="200"/>
    </w:pPr>
  </w:style>
  <w:style w:type="paragraph" w:styleId="973">
    <w:name w:val="Body Text Indent 3"/>
    <w:basedOn w:val="942"/>
    <w:next w:val="957"/>
    <w:link w:val="1007"/>
    <w:uiPriority w:val="0"/>
    <w:qFormat/>
    <w:pPr>
      <w:ind w:left="420"/>
      <w:spacing w:after="120"/>
    </w:pPr>
    <w:rPr>
      <w:sz w:val="16"/>
      <w:szCs w:val="16"/>
    </w:rPr>
  </w:style>
  <w:style w:type="paragraph" w:styleId="974">
    <w:name w:val="toc 2"/>
    <w:basedOn w:val="942"/>
    <w:next w:val="942"/>
    <w:uiPriority w:val="39"/>
    <w:unhideWhenUsed/>
    <w:qFormat/>
    <w:pPr>
      <w:ind w:left="420"/>
    </w:pPr>
  </w:style>
  <w:style w:type="paragraph" w:styleId="975">
    <w:name w:val="Body Text 2"/>
    <w:basedOn w:val="942"/>
    <w:link w:val="1008"/>
    <w:uiPriority w:val="0"/>
    <w:qFormat/>
    <w:rPr>
      <w:b/>
      <w:bCs/>
      <w:sz w:val="18"/>
    </w:rPr>
  </w:style>
  <w:style w:type="paragraph" w:styleId="976">
    <w:name w:val="Normal (Web)"/>
    <w:basedOn w:val="942"/>
    <w:uiPriority w:val="0"/>
    <w:qFormat/>
    <w:pPr>
      <w:jc w:val="left"/>
      <w:spacing w:before="100" w:beforeAutospacing="1" w:after="100" w:afterAutospacing="1"/>
      <w:widowControl/>
    </w:pPr>
    <w:rPr>
      <w:rFonts w:ascii="宋体" w:hAnsi="宋体"/>
      <w:color w:val="000000"/>
      <w:sz w:val="24"/>
    </w:rPr>
  </w:style>
  <w:style w:type="paragraph" w:styleId="977">
    <w:name w:val="annotation subject"/>
    <w:basedOn w:val="958"/>
    <w:next w:val="958"/>
    <w:link w:val="1009"/>
    <w:uiPriority w:val="99"/>
    <w:unhideWhenUsed/>
    <w:qFormat/>
    <w:rPr>
      <w:b/>
      <w:bCs/>
    </w:rPr>
  </w:style>
  <w:style w:type="paragraph" w:styleId="978">
    <w:name w:val="Body Text First Indent"/>
    <w:basedOn w:val="960"/>
    <w:next w:val="979"/>
    <w:link w:val="1010"/>
    <w:uiPriority w:val="0"/>
    <w:qFormat/>
    <w:pPr>
      <w:ind w:firstLine="420"/>
      <w:spacing w:after="120"/>
    </w:pPr>
    <w:rPr>
      <w:rFonts w:ascii="Times New Roman" w:eastAsia="宋体"/>
      <w:szCs w:val="24"/>
    </w:rPr>
  </w:style>
  <w:style w:type="paragraph" w:styleId="979">
    <w:name w:val="Body Text First Indent 2"/>
    <w:basedOn w:val="961"/>
    <w:next w:val="942"/>
    <w:uiPriority w:val="99"/>
    <w:unhideWhenUsed/>
    <w:qFormat/>
    <w:pPr>
      <w:ind w:firstLine="200"/>
    </w:pPr>
  </w:style>
  <w:style w:type="table" w:styleId="980">
    <w:name w:val="Table Grid"/>
    <w:basedOn w:val="9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1">
    <w:name w:val="Strong"/>
    <w:uiPriority w:val="0"/>
    <w:qFormat/>
    <w:rPr>
      <w:b/>
      <w:bCs/>
    </w:rPr>
  </w:style>
  <w:style w:type="character" w:styleId="982">
    <w:name w:val="page number"/>
    <w:uiPriority w:val="0"/>
    <w:qFormat/>
  </w:style>
  <w:style w:type="character" w:styleId="983">
    <w:name w:val="FollowedHyperlink"/>
    <w:uiPriority w:val="0"/>
    <w:qFormat/>
    <w:rPr>
      <w:color w:val="800080"/>
      <w:u w:val="single"/>
    </w:rPr>
  </w:style>
  <w:style w:type="character" w:styleId="984">
    <w:name w:val="Hyperlink"/>
    <w:uiPriority w:val="0"/>
    <w:qFormat/>
    <w:rPr>
      <w:color w:val="0000ff"/>
      <w:u w:val="single"/>
    </w:rPr>
  </w:style>
  <w:style w:type="character" w:styleId="985">
    <w:name w:val="annotation reference"/>
    <w:uiPriority w:val="99"/>
    <w:unhideWhenUsed/>
    <w:qFormat/>
    <w:rPr>
      <w:sz w:val="21"/>
      <w:szCs w:val="21"/>
    </w:rPr>
  </w:style>
  <w:style w:type="character" w:styleId="986" w:customStyle="1">
    <w:name w:val="标题 1 Char"/>
    <w:link w:val="943"/>
    <w:uiPriority w:val="0"/>
    <w:qFormat/>
    <w:rPr>
      <w:rFonts w:ascii="Times New Roman" w:hAnsi="Times New Roman" w:eastAsia="宋体" w:cs="Times New Roman"/>
      <w:b/>
      <w:bCs/>
      <w:sz w:val="44"/>
      <w:szCs w:val="44"/>
    </w:rPr>
  </w:style>
  <w:style w:type="character" w:styleId="987" w:customStyle="1">
    <w:name w:val="标题 2 Char"/>
    <w:link w:val="944"/>
    <w:uiPriority w:val="0"/>
    <w:qFormat/>
    <w:rPr>
      <w:rFonts w:ascii="Arial" w:hAnsi="Arial" w:eastAsia="黑体" w:cs="Times New Roman"/>
      <w:b/>
      <w:bCs/>
      <w:sz w:val="32"/>
      <w:szCs w:val="32"/>
    </w:rPr>
  </w:style>
  <w:style w:type="character" w:styleId="988" w:customStyle="1">
    <w:name w:val="标题 3 Char"/>
    <w:link w:val="945"/>
    <w:uiPriority w:val="0"/>
    <w:qFormat/>
    <w:rPr>
      <w:rFonts w:ascii="Times New Roman" w:hAnsi="Times New Roman" w:eastAsia="宋体" w:cs="Times New Roman"/>
      <w:b/>
      <w:bCs/>
      <w:sz w:val="32"/>
      <w:szCs w:val="32"/>
    </w:rPr>
  </w:style>
  <w:style w:type="character" w:styleId="989" w:customStyle="1">
    <w:name w:val="标题 4 Char"/>
    <w:link w:val="946"/>
    <w:uiPriority w:val="0"/>
    <w:qFormat/>
    <w:rPr>
      <w:rFonts w:ascii="Times New Roman" w:hAnsi="Times New Roman" w:eastAsia="新宋体" w:cs="Times New Roman"/>
      <w:sz w:val="30"/>
      <w:szCs w:val="21"/>
    </w:rPr>
  </w:style>
  <w:style w:type="character" w:styleId="990" w:customStyle="1">
    <w:name w:val="标题 5 Char"/>
    <w:link w:val="947"/>
    <w:uiPriority w:val="0"/>
    <w:qFormat/>
    <w:rPr>
      <w:rFonts w:ascii="Times New Roman" w:hAnsi="Times New Roman" w:eastAsia="宋体" w:cs="Times New Roman"/>
      <w:b/>
      <w:bCs/>
      <w:sz w:val="28"/>
      <w:szCs w:val="28"/>
    </w:rPr>
  </w:style>
  <w:style w:type="character" w:styleId="991" w:customStyle="1">
    <w:name w:val="标题 6 Char"/>
    <w:link w:val="948"/>
    <w:uiPriority w:val="0"/>
    <w:qFormat/>
    <w:rPr>
      <w:rFonts w:ascii="Times New Roman" w:hAnsi="Times New Roman" w:eastAsia="宋体" w:cs="Times New Roman"/>
      <w:b/>
      <w:sz w:val="44"/>
      <w:szCs w:val="20"/>
    </w:rPr>
  </w:style>
  <w:style w:type="character" w:styleId="992" w:customStyle="1">
    <w:name w:val="正文缩进 Char"/>
    <w:link w:val="954"/>
    <w:uiPriority w:val="0"/>
    <w:qFormat/>
    <w:rPr>
      <w:rFonts w:ascii="Times New Roman" w:hAnsi="Times New Roman" w:eastAsia="宋体" w:cs="Times New Roman"/>
      <w:sz w:val="20"/>
      <w:szCs w:val="20"/>
    </w:rPr>
  </w:style>
  <w:style w:type="character" w:styleId="993" w:customStyle="1">
    <w:name w:val="标题 7 Char"/>
    <w:link w:val="949"/>
    <w:uiPriority w:val="0"/>
    <w:qFormat/>
    <w:rPr>
      <w:rFonts w:ascii="Times New Roman" w:hAnsi="Times New Roman" w:eastAsia="宋体" w:cs="Times New Roman"/>
      <w:b/>
      <w:bCs/>
      <w:sz w:val="24"/>
      <w:szCs w:val="24"/>
    </w:rPr>
  </w:style>
  <w:style w:type="character" w:styleId="994" w:customStyle="1">
    <w:name w:val="标题 8 Char"/>
    <w:link w:val="950"/>
    <w:uiPriority w:val="0"/>
    <w:qFormat/>
    <w:rPr>
      <w:rFonts w:ascii="Arial" w:hAnsi="Arial" w:eastAsia="黑体" w:cs="Times New Roman"/>
      <w:sz w:val="24"/>
      <w:szCs w:val="24"/>
    </w:rPr>
  </w:style>
  <w:style w:type="character" w:styleId="995" w:customStyle="1">
    <w:name w:val="标题 9 Char"/>
    <w:link w:val="951"/>
    <w:uiPriority w:val="0"/>
    <w:qFormat/>
    <w:rPr>
      <w:rFonts w:ascii="Arial" w:hAnsi="Arial" w:eastAsia="黑体" w:cs="Times New Roman"/>
      <w:sz w:val="24"/>
      <w:szCs w:val="21"/>
    </w:rPr>
  </w:style>
  <w:style w:type="character" w:styleId="996" w:customStyle="1">
    <w:name w:val="文档结构图 Char"/>
    <w:link w:val="956"/>
    <w:uiPriority w:val="0"/>
    <w:semiHidden/>
    <w:qFormat/>
    <w:rPr>
      <w:szCs w:val="24"/>
      <w:shd w:val="clear" w:color="auto" w:fill="000080"/>
    </w:rPr>
  </w:style>
  <w:style w:type="character" w:styleId="997" w:customStyle="1">
    <w:name w:val="批注文字 Char"/>
    <w:link w:val="958"/>
    <w:uiPriority w:val="99"/>
    <w:qFormat/>
    <w:rPr>
      <w:sz w:val="21"/>
      <w:szCs w:val="24"/>
    </w:rPr>
  </w:style>
  <w:style w:type="character" w:styleId="998" w:customStyle="1">
    <w:name w:val="正文文本 3 Char"/>
    <w:link w:val="959"/>
    <w:uiPriority w:val="0"/>
    <w:qFormat/>
    <w:rPr>
      <w:rFonts w:ascii="Times New Roman" w:hAnsi="Times New Roman" w:eastAsia="宋体" w:cs="Times New Roman"/>
      <w:sz w:val="16"/>
      <w:szCs w:val="16"/>
    </w:rPr>
  </w:style>
  <w:style w:type="character" w:styleId="999" w:customStyle="1">
    <w:name w:val="正文文本 Char"/>
    <w:link w:val="960"/>
    <w:uiPriority w:val="0"/>
    <w:qFormat/>
    <w:rPr>
      <w:rFonts w:ascii="仿宋_GB2312" w:hAnsi="Times New Roman" w:eastAsia="仿宋_GB2312" w:cs="Times New Roman"/>
      <w:sz w:val="24"/>
      <w:szCs w:val="20"/>
    </w:rPr>
  </w:style>
  <w:style w:type="character" w:styleId="1000" w:customStyle="1">
    <w:name w:val="正文文本缩进 Char"/>
    <w:link w:val="961"/>
    <w:uiPriority w:val="0"/>
    <w:qFormat/>
    <w:rPr>
      <w:rFonts w:ascii="仿宋_GB2312" w:hAnsi="Times New Roman" w:eastAsia="仿宋_GB2312" w:cs="Times New Roman"/>
      <w:sz w:val="28"/>
      <w:szCs w:val="20"/>
    </w:rPr>
  </w:style>
  <w:style w:type="character" w:styleId="1001" w:customStyle="1">
    <w:name w:val="纯文本 Char"/>
    <w:link w:val="965"/>
    <w:uiPriority w:val="0"/>
    <w:qFormat/>
    <w:rPr>
      <w:rFonts w:ascii="宋体" w:hAnsi="Courier New" w:eastAsia="宋体" w:cs="Courier New"/>
      <w:szCs w:val="21"/>
    </w:rPr>
  </w:style>
  <w:style w:type="character" w:styleId="1002" w:customStyle="1">
    <w:name w:val="日期 Char"/>
    <w:link w:val="966"/>
    <w:uiPriority w:val="0"/>
    <w:qFormat/>
    <w:rPr>
      <w:rFonts w:ascii="Times New Roman" w:hAnsi="Times New Roman" w:eastAsia="宋体" w:cs="Times New Roman"/>
      <w:sz w:val="24"/>
      <w:szCs w:val="20"/>
    </w:rPr>
  </w:style>
  <w:style w:type="character" w:styleId="1003" w:customStyle="1">
    <w:name w:val="正文文本缩进 2 Char"/>
    <w:link w:val="967"/>
    <w:uiPriority w:val="0"/>
    <w:qFormat/>
    <w:rPr>
      <w:rFonts w:ascii="Times New Roman" w:hAnsi="Times New Roman" w:eastAsia="仿宋_GB2312" w:cs="Times New Roman"/>
      <w:sz w:val="28"/>
      <w:szCs w:val="20"/>
    </w:rPr>
  </w:style>
  <w:style w:type="character" w:styleId="1004" w:customStyle="1">
    <w:name w:val="批注框文本 Char"/>
    <w:link w:val="968"/>
    <w:uiPriority w:val="0"/>
    <w:semiHidden/>
    <w:qFormat/>
    <w:rPr>
      <w:sz w:val="18"/>
      <w:szCs w:val="18"/>
    </w:rPr>
  </w:style>
  <w:style w:type="character" w:styleId="1005" w:customStyle="1">
    <w:name w:val="页脚 Char"/>
    <w:link w:val="969"/>
    <w:uiPriority w:val="99"/>
    <w:qFormat/>
    <w:rPr>
      <w:rFonts w:ascii="Times New Roman" w:hAnsi="Times New Roman" w:eastAsia="宋体" w:cs="Times New Roman"/>
      <w:sz w:val="18"/>
      <w:szCs w:val="20"/>
    </w:rPr>
  </w:style>
  <w:style w:type="character" w:styleId="1006" w:customStyle="1">
    <w:name w:val="页眉 Char"/>
    <w:link w:val="970"/>
    <w:uiPriority w:val="0"/>
    <w:qFormat/>
    <w:rPr>
      <w:rFonts w:ascii="Times New Roman" w:hAnsi="Times New Roman" w:eastAsia="宋体" w:cs="Times New Roman"/>
      <w:sz w:val="18"/>
      <w:szCs w:val="18"/>
    </w:rPr>
  </w:style>
  <w:style w:type="character" w:styleId="1007" w:customStyle="1">
    <w:name w:val="正文文本缩进 3 Char"/>
    <w:link w:val="973"/>
    <w:uiPriority w:val="0"/>
    <w:qFormat/>
    <w:rPr>
      <w:rFonts w:ascii="Times New Roman" w:hAnsi="Times New Roman" w:eastAsia="宋体" w:cs="Times New Roman"/>
      <w:sz w:val="16"/>
      <w:szCs w:val="16"/>
    </w:rPr>
  </w:style>
  <w:style w:type="character" w:styleId="1008" w:customStyle="1">
    <w:name w:val="正文文本 2 Char"/>
    <w:link w:val="975"/>
    <w:uiPriority w:val="0"/>
    <w:qFormat/>
    <w:rPr>
      <w:rFonts w:ascii="Times New Roman" w:hAnsi="Times New Roman" w:eastAsia="宋体" w:cs="Times New Roman"/>
      <w:b/>
      <w:bCs/>
      <w:sz w:val="18"/>
      <w:szCs w:val="24"/>
    </w:rPr>
  </w:style>
  <w:style w:type="character" w:styleId="1009" w:customStyle="1">
    <w:name w:val="批注主题 Char"/>
    <w:link w:val="977"/>
    <w:uiPriority w:val="99"/>
    <w:semiHidden/>
    <w:qFormat/>
    <w:rPr>
      <w:b/>
      <w:bCs/>
      <w:sz w:val="21"/>
      <w:szCs w:val="24"/>
    </w:rPr>
  </w:style>
  <w:style w:type="character" w:styleId="1010" w:customStyle="1">
    <w:name w:val="正文首行缩进 Char"/>
    <w:link w:val="978"/>
    <w:uiPriority w:val="0"/>
    <w:qFormat/>
    <w:rPr>
      <w:rFonts w:ascii="Times New Roman" w:hAnsi="Times New Roman" w:eastAsia="宋体" w:cs="Times New Roman"/>
      <w:sz w:val="24"/>
      <w:szCs w:val="24"/>
    </w:rPr>
  </w:style>
  <w:style w:type="paragraph" w:styleId="1011">
    <w:name w:val="List Paragraph"/>
    <w:basedOn w:val="942"/>
    <w:link w:val="1012"/>
    <w:uiPriority w:val="99"/>
    <w:qFormat/>
    <w:pPr>
      <w:ind w:firstLine="420"/>
    </w:pPr>
    <w:rPr>
      <w:sz w:val="20"/>
      <w:szCs w:val="20"/>
    </w:rPr>
  </w:style>
  <w:style w:type="character" w:styleId="1012" w:customStyle="1">
    <w:name w:val="列出段落 Char"/>
    <w:link w:val="1011"/>
    <w:uiPriority w:val="99"/>
    <w:qFormat/>
  </w:style>
  <w:style w:type="paragraph" w:styleId="1013" w:customStyle="1">
    <w:name w:val="style4"/>
    <w:basedOn w:val="942"/>
    <w:next w:val="1014"/>
    <w:uiPriority w:val="0"/>
    <w:qFormat/>
    <w:pPr>
      <w:spacing w:before="280" w:after="280"/>
      <w:widowControl/>
    </w:pPr>
    <w:rPr>
      <w:rFonts w:ascii="宋体"/>
      <w:sz w:val="18"/>
    </w:rPr>
  </w:style>
  <w:style w:type="paragraph" w:styleId="1014" w:customStyle="1">
    <w:name w:val="2"/>
    <w:next w:val="942"/>
    <w:uiPriority w:val="0"/>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Default"/>
    <w:basedOn w:val="942"/>
    <w:uiPriority w:val="0"/>
    <w:qFormat/>
    <w:pPr>
      <w:jc w:val="left"/>
    </w:pPr>
    <w:rPr>
      <w:rFonts w:ascii="Arial" w:hAnsi="Arial" w:eastAsia="PMingLiU"/>
      <w:sz w:val="20"/>
      <w:szCs w:val="20"/>
    </w:rPr>
  </w:style>
  <w:style w:type="paragraph" w:styleId="1016" w:customStyle="1">
    <w:name w:val="无间隔1"/>
    <w:uiPriority w:val="0"/>
    <w:qFormat/>
    <w:rPr>
      <w:rFonts w:ascii="Times New Roman" w:hAnsi="Times New Roman" w:eastAsia="宋体" w:cs="Calibri"/>
      <w:sz w:val="22"/>
      <w:lang w:val="en-US" w:eastAsia="zh-CN" w:bidi="ar-SA"/>
    </w:rPr>
  </w:style>
  <w:style w:type="paragraph" w:styleId="1017" w:customStyle="1">
    <w:name w:val="正文缩进1"/>
    <w:basedOn w:val="942"/>
    <w:uiPriority w:val="0"/>
    <w:qFormat/>
    <w:pPr>
      <w:ind w:firstLine="420"/>
      <w:jc w:val="left"/>
      <w:widowControl/>
    </w:pPr>
  </w:style>
  <w:style w:type="character" w:styleId="1018" w:customStyle="1">
    <w:name w:val="文档结构图 Char1"/>
    <w:uiPriority w:val="99"/>
    <w:semiHidden/>
    <w:qFormat/>
    <w:rPr>
      <w:rFonts w:ascii="宋体" w:hAnsi="Times New Roman" w:eastAsia="宋体" w:cs="Times New Roman"/>
      <w:sz w:val="18"/>
      <w:szCs w:val="18"/>
    </w:rPr>
  </w:style>
  <w:style w:type="character" w:styleId="1019" w:customStyle="1">
    <w:name w:val="普通正文 Char"/>
    <w:link w:val="1020"/>
    <w:uiPriority w:val="0"/>
    <w:qFormat/>
    <w:rPr>
      <w:rFonts w:ascii="Arial" w:hAnsi="Arial"/>
      <w:sz w:val="24"/>
      <w:szCs w:val="24"/>
    </w:rPr>
  </w:style>
  <w:style w:type="paragraph" w:styleId="1020" w:customStyle="1">
    <w:name w:val="普通正文"/>
    <w:basedOn w:val="942"/>
    <w:link w:val="1019"/>
    <w:uiPriority w:val="0"/>
    <w:qFormat/>
    <w:pPr>
      <w:ind w:left="-2" w:right="120" w:firstLine="480"/>
      <w:jc w:val="center"/>
      <w:spacing w:before="120" w:after="120" w:line="360" w:lineRule="auto"/>
    </w:pPr>
    <w:rPr>
      <w:rFonts w:ascii="Arial" w:hAnsi="Arial"/>
      <w:sz w:val="24"/>
    </w:rPr>
  </w:style>
  <w:style w:type="character" w:styleId="1021" w:customStyle="1">
    <w:name w:val="FA正文 Char"/>
    <w:link w:val="1022"/>
    <w:uiPriority w:val="0"/>
    <w:qFormat/>
    <w:rPr>
      <w:rFonts w:ascii="宋体" w:hAnsi="宋体" w:eastAsia="宋体" w:cs="Times New Roman"/>
      <w:sz w:val="28"/>
      <w:szCs w:val="28"/>
    </w:rPr>
  </w:style>
  <w:style w:type="paragraph" w:styleId="1022" w:customStyle="1">
    <w:name w:val="FA正文"/>
    <w:basedOn w:val="942"/>
    <w:link w:val="1021"/>
    <w:uiPriority w:val="0"/>
    <w:qFormat/>
    <w:pPr>
      <w:ind w:firstLine="538"/>
      <w:spacing w:line="440" w:lineRule="atLeast"/>
      <w:tabs>
        <w:tab w:val="left" w:pos="3375" w:leader="none"/>
      </w:tabs>
    </w:pPr>
    <w:rPr>
      <w:rFonts w:ascii="宋体" w:hAnsi="宋体"/>
      <w:sz w:val="28"/>
      <w:szCs w:val="28"/>
    </w:rPr>
  </w:style>
  <w:style w:type="character" w:styleId="1023" w:customStyle="1">
    <w:name w:val="正文缩进2格 Char"/>
    <w:link w:val="1024"/>
    <w:uiPriority w:val="0"/>
    <w:qFormat/>
    <w:rPr>
      <w:rFonts w:ascii="仿宋_GB2312" w:hAnsi="宋体" w:eastAsia="仿宋_GB2312" w:cs="Times New Roman"/>
      <w:sz w:val="31"/>
      <w:szCs w:val="28"/>
    </w:rPr>
  </w:style>
  <w:style w:type="paragraph" w:styleId="1024" w:customStyle="1">
    <w:name w:val="正文缩进2格"/>
    <w:basedOn w:val="942"/>
    <w:link w:val="1023"/>
    <w:uiPriority w:val="0"/>
    <w:qFormat/>
    <w:pPr>
      <w:ind w:firstLine="639"/>
      <w:spacing w:line="600" w:lineRule="exact"/>
    </w:pPr>
    <w:rPr>
      <w:rFonts w:ascii="仿宋_GB2312" w:hAnsi="宋体" w:eastAsia="仿宋_GB2312"/>
      <w:sz w:val="31"/>
      <w:szCs w:val="28"/>
    </w:rPr>
  </w:style>
  <w:style w:type="character" w:styleId="1025" w:customStyle="1">
    <w:name w:val="cn_text1"/>
    <w:uiPriority w:val="0"/>
    <w:qFormat/>
    <w:rPr>
      <w:rFonts w:hint="default" w:ascii="ˎ̥" w:hAnsi="ˎ̥"/>
      <w:color w:val="003399"/>
      <w:spacing w:val="15"/>
      <w:sz w:val="18"/>
      <w:szCs w:val="18"/>
    </w:rPr>
  </w:style>
  <w:style w:type="character" w:styleId="1026" w:customStyle="1">
    <w:name w:val="ssss Char"/>
    <w:uiPriority w:val="0"/>
    <w:qFormat/>
    <w:rPr>
      <w:rFonts w:eastAsia="宋体"/>
      <w:sz w:val="24"/>
      <w:szCs w:val="24"/>
      <w:lang w:val="en-US" w:eastAsia="zh-CN" w:bidi="ar-SA"/>
    </w:rPr>
  </w:style>
  <w:style w:type="character" w:styleId="1027" w:customStyle="1">
    <w:name w:val="ssss Char1"/>
    <w:link w:val="1028"/>
    <w:uiPriority w:val="0"/>
    <w:qFormat/>
    <w:rPr>
      <w:rFonts w:ascii="Times New Roman" w:hAnsi="Times New Roman" w:eastAsia="宋体" w:cs="Times New Roman"/>
      <w:sz w:val="24"/>
      <w:szCs w:val="24"/>
    </w:rPr>
  </w:style>
  <w:style w:type="paragraph" w:styleId="1028" w:customStyle="1">
    <w:name w:val="ssss"/>
    <w:basedOn w:val="942"/>
    <w:link w:val="1027"/>
    <w:uiPriority w:val="0"/>
    <w:qFormat/>
    <w:pPr>
      <w:ind w:firstLine="480"/>
      <w:spacing w:line="360" w:lineRule="auto"/>
    </w:pPr>
    <w:rPr>
      <w:sz w:val="24"/>
    </w:rPr>
  </w:style>
  <w:style w:type="character" w:styleId="1029" w:customStyle="1">
    <w:name w:val="标题 4 Char1"/>
    <w:uiPriority w:val="0"/>
    <w:qFormat/>
    <w:rPr>
      <w:rFonts w:ascii="Arial" w:hAnsi="Arial" w:eastAsia="黑体"/>
      <w:b/>
      <w:bCs/>
      <w:sz w:val="28"/>
      <w:szCs w:val="28"/>
      <w:lang w:val="en-US" w:eastAsia="zh-CN" w:bidi="ar-SA"/>
    </w:rPr>
  </w:style>
  <w:style w:type="character" w:styleId="1030" w:customStyle="1">
    <w:name w:val="列表段落 字符"/>
    <w:uiPriority w:val="34"/>
    <w:qFormat/>
    <w:rPr>
      <w:rFonts w:ascii="Calibri" w:hAnsi="Calibri"/>
      <w:sz w:val="21"/>
      <w:szCs w:val="22"/>
    </w:rPr>
  </w:style>
  <w:style w:type="character" w:styleId="1031" w:customStyle="1">
    <w:name w:val="批注框文本 Char1"/>
    <w:uiPriority w:val="99"/>
    <w:semiHidden/>
    <w:qFormat/>
    <w:rPr>
      <w:rFonts w:ascii="Times New Roman" w:hAnsi="Times New Roman" w:eastAsia="宋体" w:cs="Times New Roman"/>
      <w:sz w:val="18"/>
      <w:szCs w:val="18"/>
    </w:rPr>
  </w:style>
  <w:style w:type="character" w:styleId="1032" w:customStyle="1">
    <w:name w:val="样式 ssss + 宋体 五号1 Char"/>
    <w:link w:val="1033"/>
    <w:uiPriority w:val="0"/>
    <w:qFormat/>
    <w:rPr>
      <w:rFonts w:ascii="宋体" w:hAnsi="宋体" w:eastAsia="宋体" w:cs="Times New Roman"/>
      <w:sz w:val="24"/>
      <w:szCs w:val="24"/>
    </w:rPr>
  </w:style>
  <w:style w:type="paragraph" w:styleId="1033" w:customStyle="1">
    <w:name w:val="样式 ssss + 宋体 五号1"/>
    <w:basedOn w:val="1028"/>
    <w:link w:val="1032"/>
    <w:uiPriority w:val="0"/>
    <w:qFormat/>
    <w:rPr>
      <w:rFonts w:ascii="宋体" w:hAnsi="宋体"/>
    </w:rPr>
  </w:style>
  <w:style w:type="character" w:styleId="1034" w:customStyle="1">
    <w:name w:val="point_normal1"/>
    <w:uiPriority w:val="0"/>
    <w:qFormat/>
    <w:rPr>
      <w:rFonts w:hint="default" w:ascii="Arial" w:hAnsi="Arial" w:cs="Arial"/>
      <w:sz w:val="16"/>
      <w:szCs w:val="16"/>
    </w:rPr>
  </w:style>
  <w:style w:type="paragraph" w:styleId="1035" w:customStyle="1">
    <w:name w:val="样式 正文文本缩进 3 + 四号"/>
    <w:basedOn w:val="973"/>
    <w:uiPriority w:val="0"/>
    <w:qFormat/>
    <w:pPr>
      <w:ind w:left="0" w:firstLine="437"/>
      <w:spacing w:after="0" w:line="360" w:lineRule="auto"/>
    </w:pPr>
    <w:rPr>
      <w:sz w:val="24"/>
      <w:szCs w:val="21"/>
    </w:rPr>
  </w:style>
  <w:style w:type="paragraph" w:styleId="1036" w:customStyle="1">
    <w:name w:val="2cxsplast"/>
    <w:basedOn w:val="942"/>
    <w:uiPriority w:val="0"/>
    <w:qFormat/>
    <w:pPr>
      <w:jc w:val="left"/>
      <w:spacing w:before="100" w:beforeAutospacing="1" w:after="100" w:afterAutospacing="1"/>
      <w:widowControl/>
    </w:pPr>
    <w:rPr>
      <w:rFonts w:ascii="宋体" w:hAnsi="宋体" w:cs="宋体"/>
      <w:sz w:val="24"/>
    </w:rPr>
  </w:style>
  <w:style w:type="paragraph" w:styleId="1037" w:customStyle="1">
    <w:name w:val="ec_msonormal"/>
    <w:basedOn w:val="942"/>
    <w:uiPriority w:val="0"/>
    <w:qFormat/>
    <w:pPr>
      <w:jc w:val="left"/>
      <w:spacing w:before="100" w:beforeAutospacing="1" w:after="100" w:afterAutospacing="1"/>
      <w:widowControl/>
    </w:pPr>
    <w:rPr>
      <w:rFonts w:ascii="宋体" w:hAnsi="宋体"/>
      <w:sz w:val="24"/>
    </w:rPr>
  </w:style>
  <w:style w:type="paragraph" w:styleId="1038" w:customStyle="1">
    <w:name w:val="Char Char Char Char"/>
    <w:basedOn w:val="942"/>
    <w:uiPriority w:val="0"/>
    <w:qFormat/>
    <w:rPr>
      <w:rFonts w:ascii="Tahoma" w:hAnsi="Tahoma"/>
      <w:sz w:val="24"/>
      <w:szCs w:val="20"/>
    </w:rPr>
  </w:style>
  <w:style w:type="paragraph" w:styleId="1039" w:customStyle="1">
    <w:name w:val="Char Char Char Char Char Char Char Char Char Char Char Char Char"/>
    <w:basedOn w:val="942"/>
    <w:uiPriority w:val="0"/>
    <w:qFormat/>
  </w:style>
  <w:style w:type="paragraph" w:styleId="1040" w:customStyle="1">
    <w:name w:val="表格正文"/>
    <w:basedOn w:val="942"/>
    <w:uiPriority w:val="0"/>
    <w:qFormat/>
    <w:pPr>
      <w:jc w:val="left"/>
      <w:spacing w:line="360" w:lineRule="auto"/>
    </w:pPr>
    <w:rPr>
      <w:rFonts w:ascii="Calibri" w:hAnsi="Calibri"/>
      <w:color w:val="000000"/>
      <w:szCs w:val="28"/>
    </w:rPr>
  </w:style>
  <w:style w:type="paragraph" w:styleId="1041"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42" w:customStyle="1">
    <w:name w:val="Char Char Char Char1"/>
    <w:basedOn w:val="942"/>
    <w:uiPriority w:val="0"/>
    <w:qFormat/>
    <w:rPr>
      <w:rFonts w:ascii="Tahoma" w:hAnsi="Tahoma"/>
      <w:sz w:val="24"/>
      <w:szCs w:val="20"/>
    </w:rPr>
  </w:style>
  <w:style w:type="paragraph" w:styleId="1043" w:customStyle="1">
    <w:name w:val="Char Char Char"/>
    <w:basedOn w:val="942"/>
    <w:uiPriority w:val="0"/>
    <w:qFormat/>
    <w:rPr>
      <w:rFonts w:ascii="Tahoma" w:hAnsi="Tahoma"/>
      <w:sz w:val="24"/>
      <w:szCs w:val="20"/>
    </w:rPr>
  </w:style>
  <w:style w:type="paragraph" w:styleId="1044" w:customStyle="1">
    <w:name w:val="标题-----3"/>
    <w:basedOn w:val="945"/>
    <w:uiPriority w:val="0"/>
    <w:qFormat/>
    <w:pPr>
      <w:spacing w:before="0" w:after="0" w:line="240" w:lineRule="auto"/>
      <w:outlineLvl w:val="0"/>
    </w:pPr>
    <w:rPr>
      <w:rFonts w:ascii="宋体" w:hAnsi="宋体"/>
      <w:b w:val="0"/>
      <w:bCs w:val="0"/>
      <w:sz w:val="28"/>
      <w:szCs w:val="28"/>
    </w:rPr>
  </w:style>
  <w:style w:type="paragraph" w:styleId="1045" w:customStyle="1">
    <w:name w:val="样式 ssss + 居中"/>
    <w:basedOn w:val="1028"/>
    <w:uiPriority w:val="0"/>
    <w:qFormat/>
    <w:pPr>
      <w:jc w:val="center"/>
    </w:pPr>
    <w:rPr>
      <w:rFonts w:cs="宋体"/>
      <w:szCs w:val="20"/>
    </w:rPr>
  </w:style>
  <w:style w:type="paragraph" w:styleId="1046" w:customStyle="1">
    <w:name w:val="样式 宋体 四号 黑色 左侧:  0.74 厘米 首行缩进:  0.74 厘米 行距: 1.5 倍行距"/>
    <w:basedOn w:val="942"/>
    <w:uiPriority w:val="0"/>
    <w:qFormat/>
    <w:pPr>
      <w:ind w:firstLine="420"/>
      <w:spacing w:line="360" w:lineRule="auto"/>
    </w:pPr>
    <w:rPr>
      <w:rFonts w:ascii="宋体"/>
      <w:color w:val="000000"/>
      <w:sz w:val="24"/>
      <w:szCs w:val="21"/>
    </w:rPr>
  </w:style>
  <w:style w:type="paragraph" w:styleId="1047" w:customStyle="1">
    <w:name w:val="样式 样式 ssss + 宋体 五号 + 首行缩进:  2 字符"/>
    <w:basedOn w:val="1048"/>
    <w:uiPriority w:val="0"/>
    <w:qFormat/>
    <w:pPr>
      <w:ind w:firstLine="480"/>
    </w:pPr>
  </w:style>
  <w:style w:type="paragraph" w:styleId="1048" w:customStyle="1">
    <w:name w:val="样式 ssss + 宋体 五号"/>
    <w:basedOn w:val="1028"/>
    <w:uiPriority w:val="0"/>
    <w:qFormat/>
    <w:pPr>
      <w:ind w:firstLine="420"/>
    </w:pPr>
    <w:rPr>
      <w:rFonts w:ascii="宋体" w:hAnsi="宋体" w:cs="宋体"/>
      <w:szCs w:val="20"/>
    </w:rPr>
  </w:style>
  <w:style w:type="paragraph" w:styleId="1049" w:customStyle="1">
    <w:name w:val="msonormalcxsplast"/>
    <w:basedOn w:val="942"/>
    <w:uiPriority w:val="0"/>
    <w:qFormat/>
    <w:pPr>
      <w:jc w:val="left"/>
      <w:spacing w:before="100" w:beforeAutospacing="1" w:after="100" w:afterAutospacing="1"/>
      <w:widowControl/>
    </w:pPr>
    <w:rPr>
      <w:rFonts w:ascii="宋体" w:hAnsi="宋体" w:cs="宋体"/>
      <w:sz w:val="24"/>
    </w:rPr>
  </w:style>
  <w:style w:type="paragraph" w:styleId="1050" w:customStyle="1">
    <w:name w:val="Char"/>
    <w:basedOn w:val="942"/>
    <w:uiPriority w:val="0"/>
    <w:qFormat/>
    <w:rPr>
      <w:rFonts w:ascii="Tahoma" w:hAnsi="Tahoma"/>
      <w:sz w:val="24"/>
      <w:szCs w:val="20"/>
    </w:rPr>
  </w:style>
  <w:style w:type="paragraph" w:styleId="1051" w:customStyle="1">
    <w:name w:val="xl25"/>
    <w:basedOn w:val="942"/>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52" w:customStyle="1">
    <w:name w:val="标题------4"/>
    <w:basedOn w:val="94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53" w:customStyle="1">
    <w:name w:val="msonormalcxspmiddle"/>
    <w:basedOn w:val="942"/>
    <w:uiPriority w:val="0"/>
    <w:qFormat/>
    <w:pPr>
      <w:jc w:val="left"/>
      <w:spacing w:before="100" w:beforeAutospacing="1" w:after="100" w:afterAutospacing="1"/>
      <w:widowControl/>
    </w:pPr>
    <w:rPr>
      <w:rFonts w:ascii="宋体" w:hAnsi="宋体" w:cs="宋体"/>
      <w:sz w:val="24"/>
    </w:rPr>
  </w:style>
  <w:style w:type="paragraph" w:styleId="1054" w:customStyle="1">
    <w:name w:val="Char Char Char Char Char Char Char Char Char Char Char Char Char1"/>
    <w:basedOn w:val="942"/>
    <w:uiPriority w:val="0"/>
    <w:qFormat/>
    <w:rPr>
      <w:sz w:val="24"/>
    </w:rPr>
  </w:style>
  <w:style w:type="paragraph" w:styleId="1055" w:customStyle="1">
    <w:name w:val="表格"/>
    <w:basedOn w:val="942"/>
    <w:uiPriority w:val="0"/>
    <w:qFormat/>
    <w:rPr>
      <w:rFonts w:ascii="Arial" w:hAnsi="Arial"/>
      <w:sz w:val="24"/>
    </w:rPr>
  </w:style>
  <w:style w:type="paragraph" w:styleId="1056" w:customStyle="1">
    <w:name w:val="正文样式1"/>
    <w:basedOn w:val="942"/>
    <w:uiPriority w:val="0"/>
    <w:qFormat/>
    <w:pPr>
      <w:ind w:firstLine="480"/>
      <w:spacing w:before="120" w:after="120" w:line="360" w:lineRule="auto"/>
    </w:pPr>
    <w:rPr>
      <w:sz w:val="24"/>
      <w:szCs w:val="20"/>
    </w:rPr>
  </w:style>
  <w:style w:type="paragraph" w:styleId="1057" w:customStyle="1">
    <w:name w:val="Char Char1 Char Char Char Char Char Char"/>
    <w:basedOn w:val="942"/>
    <w:uiPriority w:val="0"/>
    <w:qFormat/>
    <w:pPr>
      <w:jc w:val="left"/>
      <w:spacing w:after="160" w:line="240" w:lineRule="exact"/>
      <w:widowControl/>
    </w:pPr>
    <w:rPr>
      <w:rFonts w:ascii="Verdana" w:hAnsi="Verdana" w:eastAsia="仿宋_GB2312"/>
      <w:sz w:val="24"/>
      <w:szCs w:val="20"/>
      <w:lang w:eastAsia="en-US"/>
    </w:rPr>
  </w:style>
  <w:style w:type="paragraph" w:styleId="1058" w:customStyle="1">
    <w:name w:val="Char Char Char Char Char Char Char Char Char Char"/>
    <w:basedOn w:val="942"/>
    <w:uiPriority w:val="0"/>
    <w:qFormat/>
    <w:rPr>
      <w:rFonts w:ascii="Tahoma" w:hAnsi="Tahoma"/>
      <w:sz w:val="24"/>
      <w:szCs w:val="20"/>
    </w:rPr>
  </w:style>
  <w:style w:type="paragraph" w:styleId="1059" w:customStyle="1">
    <w:name w:val="Char1"/>
    <w:basedOn w:val="942"/>
    <w:uiPriority w:val="0"/>
    <w:qFormat/>
    <w:pPr>
      <w:tabs>
        <w:tab w:val="left" w:pos="360" w:leader="none"/>
      </w:tabs>
    </w:pPr>
    <w:rPr>
      <w:sz w:val="24"/>
    </w:rPr>
  </w:style>
  <w:style w:type="paragraph" w:styleId="1060" w:customStyle="1">
    <w:name w:val="标题1"/>
    <w:basedOn w:val="942"/>
    <w:next w:val="9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customStyle="1">
    <w:name w:val="Header2"/>
    <w:basedOn w:val="942"/>
    <w:uiPriority w:val="0"/>
    <w:qFormat/>
    <w:pPr>
      <w:numPr>
        <w:ilvl w:val="0"/>
        <w:numId w:val="1"/>
      </w:numPr>
    </w:pPr>
  </w:style>
  <w:style w:type="paragraph" w:styleId="1062" w:customStyle="1">
    <w:name w:val="Char Char 字元 字元 字元 Char Char Char Char"/>
    <w:basedOn w:val="942"/>
    <w:uiPriority w:val="0"/>
    <w:qFormat/>
    <w:pPr>
      <w:spacing w:line="360" w:lineRule="auto"/>
    </w:pPr>
    <w:rPr>
      <w:sz w:val="24"/>
      <w:szCs w:val="20"/>
    </w:rPr>
  </w:style>
  <w:style w:type="paragraph" w:styleId="1063" w:customStyle="1">
    <w:name w:val="2cxspmiddle"/>
    <w:basedOn w:val="942"/>
    <w:uiPriority w:val="0"/>
    <w:qFormat/>
    <w:pPr>
      <w:jc w:val="left"/>
      <w:spacing w:before="100" w:beforeAutospacing="1" w:after="100" w:afterAutospacing="1"/>
      <w:widowControl/>
    </w:pPr>
    <w:rPr>
      <w:rFonts w:ascii="宋体" w:hAnsi="宋体" w:cs="宋体"/>
      <w:sz w:val="24"/>
    </w:rPr>
  </w:style>
  <w:style w:type="paragraph" w:styleId="106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6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66" w:customStyle="1">
    <w:name w:val="网格型1"/>
    <w:basedOn w:val="95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7" w:customStyle="1">
    <w:name w:val="列出段落1"/>
    <w:basedOn w:val="942"/>
    <w:uiPriority w:val="34"/>
    <w:qFormat/>
    <w:pPr>
      <w:contextualSpacing/>
      <w:ind w:left="720"/>
      <w:jc w:val="left"/>
      <w:widowControl/>
    </w:pPr>
    <w:rPr>
      <w:sz w:val="24"/>
      <w:lang w:eastAsia="en-US" w:bidi="en-US"/>
    </w:rPr>
  </w:style>
  <w:style w:type="paragraph" w:styleId="1068" w:customStyle="1">
    <w:name w:val="DAS正文"/>
    <w:basedOn w:val="942"/>
    <w:uiPriority w:val="0"/>
    <w:qFormat/>
    <w:pPr>
      <w:ind w:right="181" w:firstLine="480"/>
      <w:spacing w:line="360" w:lineRule="auto"/>
    </w:pPr>
    <w:rPr>
      <w:rFonts w:ascii="Verdana" w:hAnsi="Verdana"/>
      <w:sz w:val="24"/>
      <w:szCs w:val="20"/>
    </w:rPr>
  </w:style>
  <w:style w:type="paragraph" w:styleId="1069" w:customStyle="1">
    <w:name w:val="普通(网站) Char"/>
    <w:basedOn w:val="942"/>
    <w:uiPriority w:val="99"/>
    <w:qFormat/>
    <w:pPr>
      <w:jc w:val="left"/>
      <w:spacing w:before="100" w:beforeAutospacing="1" w:after="100" w:afterAutospacing="1"/>
      <w:widowControl/>
    </w:pPr>
    <w:rPr>
      <w:rFonts w:ascii="宋体" w:hAnsi="宋体" w:cs="宋体"/>
      <w:sz w:val="24"/>
    </w:rPr>
  </w:style>
  <w:style w:type="paragraph" w:styleId="1070">
    <w:name w:val="No Spacing"/>
    <w:uiPriority w:val="1"/>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071" w:customStyle="1">
    <w:name w:val="首行缩进"/>
    <w:basedOn w:val="942"/>
    <w:uiPriority w:val="99"/>
    <w:qFormat/>
    <w:pPr>
      <w:ind w:firstLine="480"/>
    </w:pPr>
    <w:rPr>
      <w:rFonts w:ascii="等线" w:hAnsi="等线" w:eastAsia="等线"/>
      <w:szCs w:val="22"/>
      <w:lang w:val="zh-CN"/>
    </w:rPr>
  </w:style>
  <w:style w:type="paragraph" w:styleId="1072" w:customStyle="1">
    <w:name w:val="p0"/>
    <w:basedOn w:val="942"/>
    <w:uiPriority w:val="0"/>
    <w:qFormat/>
    <w:pPr>
      <w:widowControl/>
    </w:pPr>
    <w:rPr>
      <w:sz w:val="20"/>
      <w:szCs w:val="21"/>
      <w:lang w:val="zh-CN"/>
    </w:rPr>
  </w:style>
  <w:style w:type="paragraph" w:styleId="1073" w:customStyle="1">
    <w:name w:val="Table Text"/>
    <w:basedOn w:val="942"/>
    <w:uiPriority w:val="0"/>
    <w:semiHidden/>
    <w:qFormat/>
    <w:rPr>
      <w:rFonts w:ascii="仿宋" w:hAnsi="仿宋" w:eastAsia="仿宋" w:cs="仿宋"/>
      <w:sz w:val="24"/>
      <w:lang w:eastAsia="en-US"/>
    </w:rPr>
  </w:style>
  <w:style w:type="table" w:styleId="1074" w:customStyle="1">
    <w:name w:val="Table Normal"/>
    <w:uiPriority w:val="0"/>
    <w:unhideWhenUsed/>
    <w:qFormat/>
    <w:tblPr>
      <w:tblCellMar>
        <w:left w:w="0" w:type="dxa"/>
        <w:top w:w="0" w:type="dxa"/>
        <w:right w:w="0" w:type="dxa"/>
        <w:bottom w:w="0" w:type="dxa"/>
      </w:tblCellMar>
    </w:tblPr>
  </w:style>
  <w:style w:type="character" w:styleId="1075" w:customStyle="1">
    <w:name w:val="NormalCharacter"/>
    <w:uiPriority w:val="99"/>
    <w:qFormat/>
  </w:style>
  <w:style w:type="character" w:styleId="1076"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77" w:customStyle="1">
    <w:name w:val="font91"/>
    <w:uiPriority w:val="0"/>
    <w:qFormat/>
    <w:rPr>
      <w:rFonts w:hint="default" w:ascii="Times New Roman" w:hAnsi="Times New Roman" w:cs="Times New Roman"/>
      <w:color w:val="000000"/>
      <w:sz w:val="20"/>
      <w:szCs w:val="20"/>
      <w:u w:val="none"/>
    </w:rPr>
  </w:style>
  <w:style w:type="character" w:styleId="1078" w:customStyle="1">
    <w:name w:val="font11"/>
    <w:uiPriority w:val="0"/>
    <w:qFormat/>
    <w:rPr>
      <w:rFonts w:hint="eastAsia" w:ascii="宋体" w:hAnsi="宋体" w:eastAsia="宋体" w:cs="宋体"/>
      <w:color w:val="000000"/>
      <w:sz w:val="20"/>
      <w:szCs w:val="20"/>
      <w:u w:val="none"/>
    </w:rPr>
  </w:style>
  <w:style w:type="character" w:styleId="1079" w:customStyle="1">
    <w:name w:val="font101"/>
    <w:uiPriority w:val="0"/>
    <w:qFormat/>
    <w:rPr>
      <w:rFonts w:hint="default" w:ascii="Arial" w:hAnsi="Arial" w:cs="Arial"/>
      <w:color w:val="000000"/>
      <w:sz w:val="20"/>
      <w:szCs w:val="20"/>
      <w:u w:val="none"/>
    </w:rPr>
  </w:style>
  <w:style w:type="character" w:styleId="1080" w:customStyle="1">
    <w:name w:val="font291"/>
    <w:uiPriority w:val="0"/>
    <w:qFormat/>
    <w:rPr>
      <w:rFonts w:hint="eastAsia" w:ascii="宋体" w:hAnsi="宋体" w:eastAsia="宋体" w:cs="宋体"/>
      <w:color w:val="000000"/>
      <w:sz w:val="20"/>
      <w:szCs w:val="20"/>
      <w:u w:val="none"/>
    </w:rPr>
  </w:style>
  <w:style w:type="character" w:styleId="1081" w:customStyle="1">
    <w:name w:val="font61"/>
    <w:uiPriority w:val="0"/>
    <w:qFormat/>
    <w:rPr>
      <w:rFonts w:hint="eastAsia" w:ascii="等线" w:hAnsi="等线" w:eastAsia="等线" w:cs="等线"/>
      <w:color w:val="000000"/>
      <w:sz w:val="20"/>
      <w:szCs w:val="20"/>
      <w:u w:val="none"/>
    </w:rPr>
  </w:style>
  <w:style w:type="character" w:styleId="1082" w:customStyle="1">
    <w:name w:val="font71"/>
    <w:basedOn w:val="952"/>
    <w:uiPriority w:val="0"/>
    <w:qFormat/>
    <w:rPr>
      <w:rFonts w:hint="eastAsia" w:ascii="宋体" w:hAnsi="宋体" w:eastAsia="宋体" w:cs="宋体"/>
      <w:color w:val="000000"/>
      <w:sz w:val="20"/>
      <w:szCs w:val="20"/>
      <w:u w:val="none"/>
    </w:rPr>
  </w:style>
  <w:style w:type="character" w:styleId="1083"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084"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085" w:customStyle="1">
    <w:name w:val="font81"/>
    <w:uiPriority w:val="0"/>
    <w:qFormat/>
    <w:rPr>
      <w:rFonts w:hint="eastAsia" w:ascii="宋体" w:hAnsi="宋体" w:eastAsia="宋体" w:cs="宋体"/>
      <w:color w:val="000000"/>
      <w:sz w:val="20"/>
      <w:szCs w:val="20"/>
      <w:u w:val="none"/>
    </w:rPr>
  </w:style>
  <w:style w:type="character" w:styleId="1086" w:customStyle="1">
    <w:name w:val="font112"/>
    <w:uiPriority w:val="0"/>
    <w:qFormat/>
    <w:rPr>
      <w:rFonts w:hint="eastAsia" w:ascii="等线" w:hAnsi="等线" w:eastAsia="等线" w:cs="等线"/>
      <w:color w:val="000000"/>
      <w:sz w:val="20"/>
      <w:szCs w:val="20"/>
      <w:u w:val="none"/>
    </w:rPr>
  </w:style>
  <w:style w:type="character" w:styleId="1087" w:customStyle="1">
    <w:name w:val="font312"/>
    <w:uiPriority w:val="0"/>
    <w:qFormat/>
    <w:rPr>
      <w:rFonts w:hint="default" w:ascii="Arial" w:hAnsi="Arial" w:cs="Arial"/>
      <w:color w:val="000000"/>
      <w:sz w:val="20"/>
      <w:szCs w:val="20"/>
      <w:u w:val="none"/>
    </w:rPr>
  </w:style>
  <w:style w:type="character" w:styleId="1088" w:customStyle="1">
    <w:name w:val="font321"/>
    <w:uiPriority w:val="0"/>
    <w:qFormat/>
    <w:rPr>
      <w:rFonts w:ascii="微软雅黑" w:hAnsi="微软雅黑" w:eastAsia="微软雅黑" w:cs="微软雅黑"/>
      <w:color w:val="000000"/>
      <w:sz w:val="20"/>
      <w:szCs w:val="20"/>
      <w:u w:val="none"/>
    </w:rPr>
  </w:style>
  <w:style w:type="character" w:styleId="1089" w:customStyle="1">
    <w:name w:val="font151"/>
    <w:uiPriority w:val="0"/>
    <w:qFormat/>
    <w:rPr>
      <w:rFonts w:hint="eastAsia" w:ascii="宋体" w:hAnsi="宋体" w:eastAsia="宋体" w:cs="宋体"/>
      <w:color w:val="000000"/>
      <w:sz w:val="22"/>
      <w:szCs w:val="22"/>
      <w:u w:val="none"/>
    </w:rPr>
  </w:style>
  <w:style w:type="character" w:styleId="1090" w:customStyle="1">
    <w:name w:val="font121"/>
    <w:uiPriority w:val="0"/>
    <w:qFormat/>
    <w:rPr>
      <w:rFonts w:hint="eastAsia" w:ascii="宋体" w:hAnsi="宋体" w:eastAsia="宋体" w:cs="宋体"/>
      <w:b/>
      <w:bCs/>
      <w:color w:val="000000"/>
      <w:sz w:val="20"/>
      <w:szCs w:val="20"/>
      <w:u w:val="none"/>
    </w:rPr>
  </w:style>
  <w:style w:type="character" w:styleId="1091" w:customStyle="1">
    <w:name w:val="font21"/>
    <w:uiPriority w:val="0"/>
    <w:qFormat/>
    <w:rPr>
      <w:rFonts w:hint="eastAsia" w:ascii="宋体" w:hAnsi="宋体" w:eastAsia="宋体" w:cs="宋体"/>
      <w:b/>
      <w:bCs/>
      <w:color w:val="000000"/>
      <w:sz w:val="24"/>
      <w:szCs w:val="24"/>
      <w:u w:val="none"/>
    </w:rPr>
  </w:style>
  <w:style w:type="character" w:styleId="1092" w:customStyle="1">
    <w:name w:val="font131"/>
    <w:uiPriority w:val="0"/>
    <w:qFormat/>
    <w:rPr>
      <w:rFonts w:ascii="宋体" w:hAnsi="宋体" w:eastAsia="宋体" w:cs="宋体"/>
      <w:b/>
      <w:bCs/>
      <w:color w:val="000000"/>
      <w:sz w:val="24"/>
      <w:szCs w:val="24"/>
      <w:u w:val="none"/>
    </w:rPr>
  </w:style>
  <w:style w:type="character" w:styleId="1093" w:customStyle="1">
    <w:name w:val="font141"/>
    <w:uiPriority w:val="0"/>
    <w:qFormat/>
    <w:rPr>
      <w:rFonts w:ascii="微软雅黑" w:hAnsi="微软雅黑" w:eastAsia="微软雅黑" w:cs="微软雅黑"/>
      <w:color w:val="000000"/>
      <w:sz w:val="24"/>
      <w:szCs w:val="24"/>
      <w:u w:val="none"/>
    </w:rPr>
  </w:style>
  <w:style w:type="paragraph" w:styleId="1094" w:customStyle="1">
    <w:name w:val="标题 41"/>
    <w:basedOn w:val="942"/>
    <w:next w:val="942"/>
    <w:uiPriority w:val="0"/>
    <w:qFormat/>
    <w:pPr>
      <w:jc w:val="center"/>
      <w:keepNext/>
      <w:outlineLvl w:val="3"/>
    </w:pPr>
    <w:rPr>
      <w:rFonts w:eastAsia="新宋体"/>
      <w:sz w:val="30"/>
      <w:szCs w:val="21"/>
    </w:rPr>
  </w:style>
  <w:style w:type="paragraph" w:styleId="1095" w:customStyle="1">
    <w:name w:val="样式1"/>
    <w:basedOn w:val="942"/>
    <w:uiPriority w:val="0"/>
    <w:qFormat/>
    <w:pPr>
      <w:jc w:val="center"/>
    </w:pPr>
    <w:rPr>
      <w:szCs w:val="21"/>
    </w:rPr>
  </w:style>
  <w:style w:type="paragraph" w:styleId="1096" w:customStyle="1">
    <w:name w:val="正文首行缩进1"/>
    <w:basedOn w:val="1097"/>
    <w:uiPriority w:val="0"/>
    <w:qFormat/>
    <w:pPr>
      <w:ind w:firstLine="200"/>
      <w:spacing w:line="360" w:lineRule="auto"/>
    </w:pPr>
    <w:rPr>
      <w:rFonts w:ascii="仿宋_GB2312" w:hAnsi="Times New Roman" w:eastAsia="仿宋_GB2312"/>
      <w:sz w:val="30"/>
      <w:szCs w:val="30"/>
    </w:rPr>
  </w:style>
  <w:style w:type="paragraph" w:styleId="1097" w:customStyle="1">
    <w:name w:val="正文文本1"/>
    <w:basedOn w:val="942"/>
    <w:next w:val="942"/>
    <w:uiPriority w:val="0"/>
    <w:qFormat/>
    <w:rPr>
      <w:rFonts w:ascii="楷体_GB2312" w:hAnsi="Arial" w:eastAsia="楷体_GB2312"/>
      <w:sz w:val="28"/>
      <w:szCs w:val="28"/>
    </w:rPr>
  </w:style>
  <w:style w:type="paragraph" w:styleId="1098" w:customStyle="1">
    <w:name w:val="正文+首行缩进2字符"/>
    <w:basedOn w:val="942"/>
    <w:uiPriority w:val="0"/>
    <w:qFormat/>
    <w:pPr>
      <w:ind w:firstLine="480"/>
    </w:pPr>
  </w:style>
  <w:style w:type="paragraph" w:styleId="1099" w:customStyle="1">
    <w:name w:val="正文首行缩进 21"/>
    <w:basedOn w:val="961"/>
    <w:uiPriority w:val="99"/>
    <w:unhideWhenUsed/>
    <w:qFormat/>
    <w:pPr>
      <w:ind w:firstLine="200"/>
    </w:pPr>
  </w:style>
  <w:style w:type="paragraph" w:styleId="1100" w:customStyle="1">
    <w:name w:val="正文首行缩进11"/>
    <w:basedOn w:val="1097"/>
    <w:uiPriority w:val="0"/>
    <w:qFormat/>
    <w:pPr>
      <w:ind w:firstLine="200"/>
      <w:spacing w:line="360" w:lineRule="auto"/>
    </w:pPr>
    <w:rPr>
      <w:rFonts w:ascii="仿宋_GB2312" w:eastAsia="仿宋_GB2312"/>
      <w:sz w:val="30"/>
      <w:szCs w:val="30"/>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61</cp:revision>
  <dcterms:created xsi:type="dcterms:W3CDTF">2025-07-13T08:55:00Z</dcterms:created>
  <dcterms:modified xsi:type="dcterms:W3CDTF">2025-09-23T08:32:15Z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A4CAC1D9B44C460584D732A64CCE690B_13</vt:lpwstr>
  </property>
  <property fmtid="{D5CDD505-2E9C-101B-9397-08002B2CF9AE}" pid="4" name="KSOTemplateDocerSaveRecord">
    <vt:lpwstr>eyJoZGlkIjoiMGJlNTBlZTJkMzNmMTJlYTRlNDRkMzg2YjliNjZmZjgiLCJ1c2VySWQiOiIxNjE0MzM0OTc0In0=</vt:lpwstr>
  </property>
</Properties>
</file>