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spacing w:before="120" w:beforeAutospacing="0" w:after="12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120" w:beforeAutospacing="0" w:after="120" w:afterAutospacing="0" w:line="360" w:lineRule="auto"/>
        <w:rPr>
          <w:rFonts w:ascii="Arial" w:hAnsi="Arial" w:cs="Arial"/>
          <w:b/>
          <w:color w:val="000000" w:themeColor="text1"/>
          <w:sz w:val="84"/>
          <w:szCs w:val="84"/>
          <w:highlight w:val="none"/>
          <w14:textFill>
            <w14:solidFill>
              <w14:schemeClr w14:val="tx1"/>
            </w14:solidFill>
          </w14:textFill>
        </w:rPr>
        <w:outlineLvl w:val="9"/>
      </w:pPr>
      <w:r>
        <w:rPr>
          <w:rFonts w:ascii="Arial" w:hAnsi="Arial" w:cs="Arial"/>
          <w:b/>
          <w:color w:val="000000" w:themeColor="text1"/>
          <w:sz w:val="84"/>
          <w:szCs w:val="84"/>
          <w:highlight w:val="none"/>
          <w14:textFill>
            <w14:solidFill>
              <w14:schemeClr w14:val="tx1"/>
            </w14:solidFill>
          </w14:textFill>
        </w:rPr>
      </w:r>
      <w:r/>
    </w:p>
    <w:p>
      <w:pPr>
        <w:pStyle w:val="740"/>
        <w:jc w:val="center"/>
        <w:spacing w:before="120" w:beforeAutospacing="0" w:after="120" w:afterAutospacing="0" w:line="360" w:lineRule="auto"/>
        <w:rPr>
          <w:color w:val="000000" w:themeColor="text1"/>
          <w:highlight w:val="none"/>
          <w14:textFill>
            <w14:solidFill>
              <w14:schemeClr w14:val="tx1"/>
            </w14:solidFill>
          </w14:textFill>
        </w:rPr>
        <w:outlineLvl w:val="9"/>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740"/>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outlineLvl w:val="9"/>
      </w:pPr>
      <w:r>
        <w:rPr>
          <w:rFonts w:ascii="Arial" w:hAnsi="Arial" w:cs="Arial"/>
          <w:b/>
          <w:color w:val="000000" w:themeColor="text1"/>
          <w:sz w:val="32"/>
          <w:szCs w:val="32"/>
          <w:highlight w:val="none"/>
          <w14:textFill>
            <w14:solidFill>
              <w14:schemeClr w14:val="tx1"/>
            </w14:solidFill>
          </w14:textFill>
        </w:rPr>
      </w:r>
      <w:r/>
    </w:p>
    <w:p>
      <w:pPr>
        <w:pStyle w:val="740"/>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outlineLvl w:val="9"/>
      </w:pPr>
      <w:r>
        <w:rPr>
          <w:rFonts w:ascii="Arial" w:hAnsi="Arial" w:cs="Arial"/>
          <w:b/>
          <w:color w:val="000000" w:themeColor="text1"/>
          <w:sz w:val="32"/>
          <w:szCs w:val="32"/>
          <w:highlight w:val="none"/>
          <w14:textFill>
            <w14:solidFill>
              <w14:schemeClr w14:val="tx1"/>
            </w14:solidFill>
          </w14:textFill>
        </w:rPr>
      </w:r>
      <w:r/>
    </w:p>
    <w:p>
      <w:pPr>
        <w:pStyle w:val="740"/>
        <w:spacing w:before="120" w:beforeAutospacing="0" w:after="120" w:afterAutospacing="0" w:line="360" w:lineRule="auto"/>
        <w:rPr>
          <w:rFonts w:hint="eastAsia" w:ascii="Arial" w:hAnsi="Arial" w:cs="Arial"/>
          <w:b/>
          <w:color w:val="000000" w:themeColor="text1"/>
          <w:sz w:val="32"/>
          <w:szCs w:val="32"/>
          <w:highlight w:val="none"/>
          <w:lang w:eastAsia="zh-CN"/>
          <w14:textFill>
            <w14:solidFill>
              <w14:schemeClr w14:val="tx1"/>
            </w14:solidFill>
          </w14:textFill>
        </w:rPr>
        <w:outlineLvl w:val="9"/>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lang w:eastAsia="zh-CN"/>
          <w14:textFill>
            <w14:solidFill>
              <w14:schemeClr w14:val="tx1"/>
            </w14:solidFill>
          </w14:textFill>
        </w:rPr>
        <w:t xml:space="preserve">盐城市第一人民医院病历及病案首页质控</w:t>
      </w:r>
      <w:r/>
    </w:p>
    <w:p>
      <w:pPr>
        <w:pStyle w:val="740"/>
        <w:ind w:firstLine="2891"/>
        <w:spacing w:before="120" w:beforeAutospacing="0" w:after="120" w:afterAutospacing="0" w:line="360" w:lineRule="auto"/>
        <w:rPr>
          <w:rFonts w:hint="eastAsia" w:eastAsiaTheme="minorEastAsia"/>
          <w:color w:val="000000" w:themeColor="text1"/>
          <w:highlight w:val="none"/>
          <w:lang w:eastAsia="zh-CN"/>
          <w14:textFill>
            <w14:solidFill>
              <w14:schemeClr w14:val="tx1"/>
            </w14:solidFill>
          </w14:textFill>
        </w:rPr>
        <w:outlineLvl w:val="9"/>
      </w:pPr>
      <w:r>
        <w:rPr>
          <w:rFonts w:hint="eastAsia" w:ascii="Arial" w:hAnsi="Arial" w:cs="Arial"/>
          <w:b/>
          <w:color w:val="000000" w:themeColor="text1"/>
          <w:sz w:val="32"/>
          <w:szCs w:val="32"/>
          <w:highlight w:val="none"/>
          <w:lang w:eastAsia="zh-CN"/>
          <w14:textFill>
            <w14:solidFill>
              <w14:schemeClr w14:val="tx1"/>
            </w14:solidFill>
          </w14:textFill>
        </w:rPr>
        <w:t xml:space="preserve">系统采购项目（</w:t>
      </w:r>
      <w:r>
        <w:rPr>
          <w:rFonts w:hint="eastAsia" w:ascii="Arial" w:hAnsi="Arial" w:cs="Arial"/>
          <w:b/>
          <w:color w:val="000000" w:themeColor="text1"/>
          <w:sz w:val="32"/>
          <w:szCs w:val="32"/>
          <w:highlight w:val="none"/>
          <w:lang w:val="en-US" w:eastAsia="zh-CN"/>
          <w14:textFill>
            <w14:solidFill>
              <w14:schemeClr w14:val="tx1"/>
            </w14:solidFill>
          </w14:textFill>
        </w:rPr>
        <w:t xml:space="preserve">二次</w:t>
      </w:r>
      <w:r>
        <w:rPr>
          <w:rFonts w:hint="eastAsia" w:ascii="Arial" w:hAnsi="Arial" w:cs="Arial"/>
          <w:b/>
          <w:color w:val="000000" w:themeColor="text1"/>
          <w:sz w:val="32"/>
          <w:szCs w:val="32"/>
          <w:highlight w:val="none"/>
          <w:lang w:eastAsia="zh-CN"/>
          <w14:textFill>
            <w14:solidFill>
              <w14:schemeClr w14:val="tx1"/>
            </w14:solidFill>
          </w14:textFill>
        </w:rPr>
        <w:t xml:space="preserve">）</w:t>
      </w:r>
      <w:r/>
    </w:p>
    <w:p>
      <w:pPr>
        <w:pStyle w:val="740"/>
        <w:jc w:val="both"/>
        <w:spacing w:before="120" w:beforeAutospacing="0" w:after="120" w:afterAutospacing="0" w:line="360" w:lineRule="auto"/>
        <w:rPr>
          <w:rFonts w:hint="default"/>
          <w:color w:val="000000" w:themeColor="text1"/>
          <w:highlight w:val="none"/>
          <w:lang w:val="en-US"/>
          <w14:textFill>
            <w14:solidFill>
              <w14:schemeClr w14:val="tx1"/>
            </w14:solidFill>
          </w14:textFill>
        </w:rPr>
        <w:outlineLvl w:val="9"/>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lang w:val="en-US" w:eastAsia="zh-CN"/>
          <w14:textFill>
            <w14:solidFill>
              <w14:schemeClr w14:val="tx1"/>
            </w14:solidFill>
          </w14:textFill>
        </w:rPr>
        <w:t xml:space="preserve">JSZC-RHHH-G2025-0116</w:t>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spacing w:beforeAutospacing="0" w:afterAutospacing="0" w:line="36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120" w:beforeAutospacing="0" w:after="120" w:afterAutospacing="0" w:line="360" w:lineRule="auto"/>
        <w:rPr>
          <w:rFonts w:hint="eastAsia" w:ascii="Arial" w:hAnsi="Arial" w:cs="Arial" w:eastAsiaTheme="minorEastAsia"/>
          <w:b/>
          <w:color w:val="000000" w:themeColor="text1"/>
          <w:sz w:val="32"/>
          <w:szCs w:val="32"/>
          <w:highlight w:val="none"/>
          <w:lang w:eastAsia="zh-CN"/>
          <w14:textFill>
            <w14:solidFill>
              <w14:schemeClr w14:val="tx1"/>
            </w14:solidFill>
          </w14:textFill>
        </w:rPr>
        <w:outlineLvl w:val="9"/>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：盐城市第一人民医院</w:t>
      </w:r>
      <w:r/>
    </w:p>
    <w:p>
      <w:pPr>
        <w:pStyle w:val="740"/>
        <w:jc w:val="center"/>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outlineLvl w:val="9"/>
      </w:pPr>
      <w:r>
        <w:rPr>
          <w:rFonts w:hint="eastAsia" w:ascii="Arial" w:hAnsi="Arial" w:cs="Arial"/>
          <w:b/>
          <w:color w:val="000000" w:themeColor="text1"/>
          <w:sz w:val="32"/>
          <w:szCs w:val="32"/>
          <w:highlight w:val="none"/>
          <w:lang w:val="en-US" w:eastAsia="zh-CN"/>
          <w14:textFill>
            <w14:solidFill>
              <w14:schemeClr w14:val="tx1"/>
            </w14:solidFill>
          </w14:textFill>
        </w:rPr>
        <w:t xml:space="preserve">2025</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10</w:t>
      </w:r>
      <w:r>
        <w:rPr>
          <w:rFonts w:ascii="Arial" w:hAnsi="Arial" w:cs="Arial"/>
          <w:b/>
          <w:color w:val="000000" w:themeColor="text1"/>
          <w:sz w:val="32"/>
          <w:szCs w:val="32"/>
          <w:highlight w:val="none"/>
          <w14:textFill>
            <w14:solidFill>
              <w14:schemeClr w14:val="tx1"/>
            </w14:solidFill>
          </w14:textFill>
        </w:rPr>
        <w:t xml:space="preserve">月</w:t>
      </w:r>
      <w:r/>
    </w:p>
    <w:p>
      <w:pPr>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br w:type="page" w:clear="all"/>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ind w:left="0" w:right="0" w:firstLine="0"/>
        <w:jc w:val="center"/>
        <w:spacing w:before="0" w:after="0" w:line="240" w:lineRule="auto"/>
        <w:rPr>
          <w:rFonts w:hint="eastAsia" w:ascii="黑体" w:hAnsi="黑体" w:eastAsia="黑体" w:cs="黑体"/>
          <w:color w:val="000000" w:themeColor="text1"/>
          <w:sz w:val="48"/>
          <w:szCs w:val="56"/>
          <w:highlight w:val="none"/>
          <w14:textFill>
            <w14:solidFill>
              <w14:schemeClr w14:val="tx1"/>
            </w14:solidFill>
          </w14:textFill>
        </w:rPr>
        <w:outlineLvl w:val="9"/>
      </w:pPr>
      <w:r>
        <w:rPr>
          <w:rFonts w:hint="eastAsia" w:ascii="黑体" w:hAnsi="黑体" w:eastAsia="黑体" w:cs="黑体"/>
          <w:color w:val="000000" w:themeColor="text1"/>
          <w:sz w:val="48"/>
          <w:szCs w:val="56"/>
          <w:highlight w:val="none"/>
          <w14:textFill>
            <w14:solidFill>
              <w14:schemeClr w14:val="tx1"/>
            </w14:solidFill>
          </w14:textFill>
        </w:rPr>
        <w:t xml:space="preserve">目</w:t>
      </w:r>
      <w:r>
        <w:rPr>
          <w:rFonts w:hint="eastAsia" w:ascii="黑体" w:hAnsi="黑体" w:eastAsia="黑体" w:cs="黑体"/>
          <w:color w:val="000000" w:themeColor="text1"/>
          <w:sz w:val="48"/>
          <w:szCs w:val="56"/>
          <w:highlight w:val="none"/>
          <w:lang w:val="en-US" w:eastAsia="zh-CN"/>
          <w14:textFill>
            <w14:solidFill>
              <w14:schemeClr w14:val="tx1"/>
            </w14:solidFill>
          </w14:textFill>
        </w:rPr>
        <w:t xml:space="preserve"> </w:t>
      </w:r>
      <w:r>
        <w:rPr>
          <w:rFonts w:hint="eastAsia" w:ascii="黑体" w:hAnsi="黑体" w:eastAsia="黑体" w:cs="黑体"/>
          <w:color w:val="000000" w:themeColor="text1"/>
          <w:sz w:val="48"/>
          <w:szCs w:val="56"/>
          <w:highlight w:val="none"/>
          <w14:textFill>
            <w14:solidFill>
              <w14:schemeClr w14:val="tx1"/>
            </w14:solidFill>
          </w14:textFill>
        </w:rPr>
        <w:t xml:space="preserve">录</w:t>
      </w:r>
      <w:r/>
    </w:p>
    <w:p>
      <w:pPr>
        <w:ind w:left="0" w:right="0" w:firstLine="0"/>
        <w:jc w:val="center"/>
        <w:spacing w:before="0" w:after="0" w:line="240" w:lineRule="auto"/>
        <w:rPr>
          <w:rFonts w:hint="eastAsia" w:ascii="黑体" w:hAnsi="黑体" w:eastAsia="黑体" w:cs="黑体"/>
          <w:color w:val="000000" w:themeColor="text1"/>
          <w:sz w:val="40"/>
          <w:szCs w:val="48"/>
          <w:highlight w:val="none"/>
          <w14:textFill>
            <w14:solidFill>
              <w14:schemeClr w14:val="tx1"/>
            </w14:solidFill>
          </w14:textFill>
        </w:rPr>
        <w:outlineLvl w:val="9"/>
      </w:pPr>
      <w:r>
        <w:rPr>
          <w:rFonts w:hint="eastAsia" w:ascii="黑体" w:hAnsi="黑体" w:eastAsia="黑体" w:cs="黑体"/>
          <w:color w:val="000000" w:themeColor="text1"/>
          <w:sz w:val="40"/>
          <w:szCs w:val="48"/>
          <w:highlight w:val="none"/>
          <w14:textFill>
            <w14:solidFill>
              <w14:schemeClr w14:val="tx1"/>
            </w14:solidFill>
          </w14:textFill>
        </w:rPr>
      </w:r>
      <w:r/>
    </w:p>
    <w:p>
      <w:pPr>
        <w:pStyle w:val="922"/>
        <w:keepLines w:val="0"/>
        <w:keepNext w:val="0"/>
        <w:pageBreakBefore w:val="0"/>
        <w:spacing w:line="480" w:lineRule="auto"/>
        <w:widowControl/>
        <w:tabs>
          <w:tab w:val="right" w:pos="8306" w:leader="dot"/>
        </w:tabs>
        <w:rPr>
          <w:b/>
          <w:bCs/>
          <w:color w:val="000000" w:themeColor="text1"/>
          <w:highlight w:val="none"/>
          <w14:textFill>
            <w14:solidFill>
              <w14:schemeClr w14:val="tx1"/>
            </w14:solidFill>
          </w14:textFill>
        </w:rPr>
        <w:outlineLvl w:val="9"/>
      </w:pPr>
      <w:r>
        <w:rPr>
          <w:b/>
          <w:bCs/>
          <w:color w:val="000000" w:themeColor="text1"/>
          <w:highlight w:val="none"/>
          <w14:textFill>
            <w14:solidFill>
              <w14:schemeClr w14:val="tx1"/>
            </w14:solidFill>
          </w14:textFill>
        </w:rPr>
      </w:r>
      <w:r/>
    </w:p>
    <w:p>
      <w:pPr>
        <w:pStyle w:val="751"/>
        <w:spacing w:line="600" w:lineRule="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fldChar w:fldCharType="begin"/>
      </w:r>
      <w:r>
        <w:rPr>
          <w:rFonts w:hint="eastAsia" w:ascii="宋体" w:hAnsi="宋体" w:eastAsia="宋体" w:cs="宋体"/>
          <w:b/>
          <w:bCs/>
          <w:color w:val="000000" w:themeColor="text1"/>
          <w:sz w:val="36"/>
          <w:szCs w:val="36"/>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_Toc28162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第一章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招标公告</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_Toc28162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1</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51"/>
        <w:spacing w:line="600" w:lineRule="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_Toc4202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第二章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投标人须知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_Toc4202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5</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51"/>
        <w:spacing w:line="600" w:lineRule="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_Toc28440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第三</w:t>
      </w:r>
      <w:r>
        <w:rPr>
          <w:rFonts w:hint="eastAsia" w:ascii="宋体" w:hAnsi="宋体" w:eastAsia="宋体" w:cs="宋体"/>
          <w:color w:val="000000" w:themeColor="text1"/>
          <w:sz w:val="36"/>
          <w:szCs w:val="36"/>
          <w:highlight w:val="none"/>
          <w:lang w:eastAsia="zh-CN"/>
          <w14:textFill>
            <w14:solidFill>
              <w14:schemeClr w14:val="tx1"/>
            </w14:solidFill>
          </w14:textFill>
        </w:rPr>
        <w:t xml:space="preserve">章</w:t>
      </w:r>
      <w:r>
        <w:rPr>
          <w:rFonts w:hint="eastAsia" w:ascii="宋体" w:hAnsi="宋体" w:eastAsia="宋体" w:cs="宋体"/>
          <w:color w:val="000000" w:themeColor="text1"/>
          <w:sz w:val="36"/>
          <w:szCs w:val="36"/>
          <w:highlight w:val="none"/>
          <w14:textFill>
            <w14:solidFill>
              <w14:schemeClr w14:val="tx1"/>
            </w14:solidFill>
          </w14:textFill>
        </w:rPr>
        <w:t xml:space="preserve"> 合同条款</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_Toc28440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22</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51"/>
        <w:spacing w:line="600" w:lineRule="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_Toc10508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第四章 采购需求</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_Toc10508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30</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51"/>
        <w:spacing w:line="600" w:lineRule="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_Toc16937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第五章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评标方法与评标标准</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_Toc16937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60</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51"/>
        <w:spacing w:line="600" w:lineRule="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_Toc1818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第六章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_Toc1818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65</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40"/>
        <w:jc w:val="both"/>
        <w:keepLines w:val="0"/>
        <w:keepNext w:val="0"/>
        <w:pageBreakBefore w:val="0"/>
        <w:spacing w:beforeAutospacing="0" w:afterAutospacing="0" w:line="600" w:lineRule="auto"/>
        <w:rPr>
          <w:rFonts w:hint="eastAsia" w:ascii="宋体" w:hAnsi="宋体" w:eastAsia="宋体" w:cs="宋体"/>
          <w:color w:val="000000" w:themeColor="text1"/>
          <w:sz w:val="36"/>
          <w:szCs w:val="36"/>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740"/>
        <w:jc w:val="both"/>
        <w:spacing w:beforeAutospacing="0" w:afterAutospacing="0"/>
        <w:rPr>
          <w:rFonts w:cs="Times New Roman" w:asciiTheme="minorHAnsi" w:hAnsiTheme="minorHAnsi" w:eastAsiaTheme="minorEastAsia"/>
          <w:color w:val="000000" w:themeColor="text1"/>
          <w:sz w:val="24"/>
          <w:szCs w:val="24"/>
          <w:highlight w:val="none"/>
          <w:lang w:val="en-US" w:eastAsia="zh-CN" w:bidi="ar-SA"/>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9"/>
      </w:pPr>
      <w:r>
        <w:rPr>
          <w:rFonts w:cs="Times New Roman" w:asciiTheme="minorHAnsi" w:hAnsiTheme="minorHAnsi" w:eastAsiaTheme="minorEastAsia"/>
          <w:color w:val="000000" w:themeColor="text1"/>
          <w:sz w:val="24"/>
          <w:szCs w:val="24"/>
          <w:highlight w:val="none"/>
          <w:lang w:val="en-US" w:eastAsia="zh-CN" w:bidi="ar-SA"/>
          <w14:textFill>
            <w14:solidFill>
              <w14:schemeClr w14:val="tx1"/>
            </w14:solidFill>
          </w14:textFill>
        </w:rPr>
      </w:r>
      <w:r/>
    </w:p>
    <w:p>
      <w:pPr>
        <w:pStyle w:val="728"/>
        <w:rPr>
          <w:rFonts w:hint="default"/>
          <w:color w:val="000000" w:themeColor="text1"/>
          <w:highlight w:val="none"/>
          <w:lang w:val="en-US" w:eastAsia="zh-CN"/>
          <w14:textFill>
            <w14:solidFill>
              <w14:schemeClr w14:val="tx1"/>
            </w14:solidFill>
          </w14:textFill>
        </w:rPr>
      </w:pPr>
      <w:r/>
      <w:bookmarkStart w:id="0" w:name="_Toc28162"/>
      <w:r/>
      <w:bookmarkStart w:id="1" w:name="_Toc28359086"/>
      <w:r>
        <w:rPr>
          <w:rFonts w:hint="eastAsia"/>
          <w:color w:val="000000" w:themeColor="text1"/>
          <w:highlight w:val="none"/>
          <w14:textFill>
            <w14:solidFill>
              <w14:schemeClr w14:val="tx1"/>
            </w14:solidFill>
          </w14:textFill>
        </w:rPr>
        <w:t xml:space="preserve">第一章</w:t>
      </w:r>
      <w:r>
        <w:rPr>
          <w:rFonts w:hint="eastAsia"/>
          <w:color w:val="000000" w:themeColor="text1"/>
          <w:highlight w:val="none"/>
          <w:lang w:val="en-US" w:eastAsia="zh-CN"/>
          <w14:textFill>
            <w14:solidFill>
              <w14:schemeClr w14:val="tx1"/>
            </w14:solidFill>
          </w14:textFill>
        </w:rPr>
        <w:t xml:space="preserve"> 招标公告</w:t>
      </w:r>
      <w:bookmarkEnd w:id="0"/>
      <w:r/>
      <w:r/>
    </w:p>
    <w:p>
      <w:pPr>
        <w:pStyle w:val="740"/>
        <w:ind w:firstLine="482"/>
        <w:jc w:val="both"/>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740"/>
        <w:ind w:firstLine="482"/>
        <w:jc w:val="both"/>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000000" w:themeColor="text1"/>
          <w:sz w:val="24"/>
          <w:szCs w:val="24"/>
          <w:highlight w:val="none"/>
          <w:u w:val="single"/>
          <w14:textFill>
            <w14:solidFill>
              <w14:schemeClr w14:val="tx1"/>
            </w14:solidFill>
          </w14:textFill>
        </w:rPr>
        <w:t xml:space="preserve">盐城市第一人民医院病历及病案首页质控系统采购</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的潜在投标人可在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2025</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月7</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740"/>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 w:name="_Hlk24379207"/>
      <w:r/>
      <w:bookmarkStart w:id="3" w:name="_Toc28359079"/>
      <w:r/>
      <w:bookmarkStart w:id="4" w:name="_Toc28359002"/>
      <w:r/>
      <w:bookmarkStart w:id="5" w:name="_Toc38985263"/>
      <w:r/>
      <w:bookmarkStart w:id="6" w:name="_Toc35393790"/>
      <w:r/>
      <w:bookmarkStart w:id="7" w:name="_Toc35393621"/>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bookmarkEnd w:id="6"/>
      <w:r/>
      <w:bookmarkEnd w:id="7"/>
      <w:r/>
      <w:r/>
    </w:p>
    <w:p>
      <w:pPr>
        <w:pStyle w:val="740"/>
        <w:ind w:firstLine="480"/>
        <w:jc w:val="both"/>
        <w:pageBreakBefore w:val="0"/>
        <w:spacing w:beforeAutospacing="0" w:afterAutospacing="0" w:line="520" w:lineRule="exact"/>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outlineLvl w:val="9"/>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1.项目编号：JSZC-RHHH-G2025-</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0116</w:t>
      </w:r>
      <w:bookmarkStart w:id="220" w:name="_GoBack"/>
      <w:r/>
      <w:bookmarkEnd w:id="220"/>
      <w:r/>
      <w:r/>
    </w:p>
    <w:p>
      <w:pPr>
        <w:pStyle w:val="740"/>
        <w:ind w:firstLine="480"/>
        <w:jc w:val="both"/>
        <w:pageBreakBefore w:val="0"/>
        <w:spacing w:beforeAutospacing="0" w:afterAutospacing="0" w:line="520" w:lineRule="exact"/>
        <w:rPr>
          <w:rFonts w:hint="default" w:ascii="宋体" w:hAnsi="宋体" w:eastAsia="宋体" w:cs="宋体"/>
          <w:color w:val="000000" w:themeColor="text1"/>
          <w:sz w:val="24"/>
          <w:szCs w:val="24"/>
          <w:highlight w:val="none"/>
          <w:u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目名称：</w:t>
      </w:r>
      <w:r>
        <w:rPr>
          <w:rFonts w:hint="eastAsia" w:ascii="宋体" w:hAnsi="宋体" w:eastAsia="宋体" w:cs="宋体"/>
          <w:color w:val="000000" w:themeColor="text1"/>
          <w:sz w:val="24"/>
          <w:szCs w:val="24"/>
          <w:highlight w:val="none"/>
          <w:u w:val="none"/>
          <w14:textFill>
            <w14:solidFill>
              <w14:schemeClr w14:val="tx1"/>
            </w14:solidFill>
          </w14:textFill>
        </w:rPr>
        <w:t xml:space="preserve">盐城市第一人民医院病历及病案首页质控系统采购</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二次</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公开招标</w:t>
      </w:r>
      <w:r/>
    </w:p>
    <w:p>
      <w:pPr>
        <w:pStyle w:val="740"/>
        <w:ind w:firstLine="480"/>
        <w:jc w:val="both"/>
        <w:pageBreakBefore w:val="0"/>
        <w:spacing w:beforeAutospacing="0" w:afterAutospacing="0" w:line="520" w:lineRule="exact"/>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130万元</w:t>
      </w:r>
      <w:r/>
    </w:p>
    <w:p>
      <w:pPr>
        <w:pStyle w:val="740"/>
        <w:ind w:firstLine="480"/>
        <w:jc w:val="both"/>
        <w:pageBreakBefore w:val="0"/>
        <w:spacing w:beforeAutospacing="0" w:afterAutospacing="0" w:line="520" w:lineRule="exact"/>
        <w:rPr>
          <w:rFonts w:hint="default" w:ascii="宋体" w:hAnsi="宋体" w:eastAsia="宋体" w:cs="宋体"/>
          <w:color w:val="000000" w:themeColor="text1"/>
          <w:sz w:val="24"/>
          <w:szCs w:val="24"/>
          <w:highlight w:val="none"/>
          <w:shd w:val="clear" w:color="ffffff" w:fill="d9d9d9"/>
          <w:lang w:val="en-US" w:eastAsia="zh-CN"/>
          <w14:textFill>
            <w14:solidFill>
              <w14:schemeClr w14:val="tx1"/>
            </w14:solidFill>
          </w14:textFill>
        </w:rPr>
        <w:outlineLvl w:val="9"/>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最高限价：</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130万元</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.采购需求（简介）：</w:t>
      </w:r>
      <w:r>
        <w:rPr>
          <w:rFonts w:hint="eastAsia" w:ascii="宋体" w:hAnsi="宋体" w:eastAsia="宋体" w:cs="宋体"/>
          <w:color w:val="000000" w:themeColor="text1"/>
          <w:sz w:val="24"/>
          <w:szCs w:val="24"/>
          <w:highlight w:val="none"/>
          <w:u w:val="none"/>
          <w14:textFill>
            <w14:solidFill>
              <w14:schemeClr w14:val="tx1"/>
            </w14:solidFill>
          </w14:textFill>
        </w:rPr>
        <w:t xml:space="preserve">盐城市第一人民医院病历及病案首页质控系统</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详</w:t>
      </w:r>
      <w:r>
        <w:rPr>
          <w:rFonts w:hint="eastAsia" w:ascii="宋体" w:hAnsi="宋体" w:eastAsia="宋体" w:cs="宋体"/>
          <w:color w:val="000000" w:themeColor="text1"/>
          <w:sz w:val="24"/>
          <w:szCs w:val="24"/>
          <w:highlight w:val="none"/>
          <w14:textFill>
            <w14:solidFill>
              <w14:schemeClr w14:val="tx1"/>
            </w14:solidFill>
          </w14:textFill>
        </w:rPr>
        <w:t xml:space="preserve">细内容见本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文件第四章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40"/>
        <w:ind w:firstLine="480"/>
        <w:jc w:val="both"/>
        <w:pageBreakBefore w:val="0"/>
        <w:spacing w:beforeAutospacing="0" w:afterAutospacing="0"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90日历天。</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ffff00"/>
          <w14:textFill>
            <w14:solidFill>
              <w14:schemeClr w14:val="tx1"/>
            </w14:solidFill>
          </w14:textFill>
        </w:rPr>
        <w:outlineLvl w:val="9"/>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不</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接受联合体</w:t>
      </w:r>
      <w:r>
        <w:rPr>
          <w:rFonts w:hint="eastAsia" w:ascii="宋体" w:hAnsi="宋体" w:eastAsia="宋体" w:cs="宋体"/>
          <w:color w:val="000000" w:themeColor="text1"/>
          <w:sz w:val="24"/>
          <w:szCs w:val="24"/>
          <w:highlight w:val="none"/>
          <w14:textFill>
            <w14:solidFill>
              <w14:schemeClr w14:val="tx1"/>
            </w14:solidFill>
          </w14:textFill>
        </w:rPr>
        <w:t xml:space="preserve">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p>
    <w:p>
      <w:pPr>
        <w:pStyle w:val="740"/>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8" w:name="_Toc28359003"/>
      <w:r/>
      <w:bookmarkStart w:id="9" w:name="_Toc38985264"/>
      <w:r/>
      <w:bookmarkStart w:id="10" w:name="_Toc35393622"/>
      <w:r/>
      <w:bookmarkStart w:id="11" w:name="_Toc28359080"/>
      <w:r/>
      <w:bookmarkStart w:id="12" w:name="_Toc35393791"/>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bookmarkEnd w:id="12"/>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1.1法人或者其他组织的营业执照等证明文件，自然人的身份证明；</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表</w:t>
      </w:r>
      <w:r>
        <w:rPr>
          <w:rFonts w:hint="eastAsia" w:ascii="宋体" w:hAnsi="宋体" w:eastAsia="宋体" w:cs="宋体"/>
          <w:color w:val="000000" w:themeColor="text1"/>
          <w:sz w:val="24"/>
          <w:szCs w:val="24"/>
          <w:highlight w:val="none"/>
          <w14:textFill>
            <w14:solidFill>
              <w14:schemeClr w14:val="tx1"/>
            </w14:solidFill>
          </w14:textFill>
        </w:rPr>
        <w:t xml:space="preserve">（至少提供资产负债表、利润表、现金流量表，成立不满一年无需提供）；</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具备履行合同所必需的设备和专业技术能力的声明；</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文件中无需提供证明材料）</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商，不得参加同一合同项下的政府采购活动。（投标文件中需提供声明材料）</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：无。</w:t>
      </w:r>
      <w:r/>
    </w:p>
    <w:p>
      <w:pPr>
        <w:pStyle w:val="740"/>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三、获取招标文件</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bookmarkStart w:id="13" w:name="_Toc38985266"/>
      <w:r/>
      <w:bookmarkStart w:id="14" w:name="_Toc28359005"/>
      <w:r/>
      <w:bookmarkStart w:id="15" w:name="_Toc35393793"/>
      <w:r/>
      <w:bookmarkStart w:id="16" w:name="_Toc28359082"/>
      <w:r/>
      <w:bookmarkStart w:id="17" w:name="_Toc35393624"/>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bookmarkEnd w:id="13"/>
      <w:r/>
      <w:bookmarkEnd w:id="14"/>
      <w:r/>
      <w:bookmarkEnd w:id="15"/>
      <w:r/>
      <w:bookmarkEnd w:id="16"/>
      <w:r/>
      <w:bookmarkEnd w:id="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自招标文件公告发布之日起5个工作日。</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2.地点：“苏采云”系统内免费下载（投标人必须在苏采云系统中获取采购文件，方能参与政府采购项目）；</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3.方式：本项目采用网上注册登记方式。</w:t>
      </w:r>
      <w:r/>
    </w:p>
    <w:p>
      <w:pPr>
        <w:ind w:firstLine="480"/>
        <w:jc w:val="left"/>
        <w:pageBreakBefore w:val="0"/>
        <w:spacing w:line="520" w:lineRule="exact"/>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4.售价：0元</w:t>
      </w:r>
      <w:r/>
    </w:p>
    <w:p>
      <w:pPr>
        <w:pStyle w:val="740"/>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四、提交投标文件截止时间、开标时间和地点</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1.时间：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2025</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11</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月7</w:t>
      </w:r>
      <w:r>
        <w:rPr>
          <w:rFonts w:hint="eastAsia" w:ascii="宋体" w:hAnsi="宋体" w:eastAsia="宋体" w:cs="宋体"/>
          <w:i w:val="0"/>
          <w:iCs w:val="0"/>
          <w:caps w:val="0"/>
          <w:color w:val="000000" w:themeColor="text1"/>
          <w:spacing w:val="0"/>
          <w:sz w:val="24"/>
          <w:szCs w:val="24"/>
          <w:highlight w:val="none"/>
          <w:u w:val="single"/>
          <w:shd w:val="clear" w:color="auto" w:fill="auto"/>
          <w14:textFill>
            <w14:solidFill>
              <w14:schemeClr w14:val="tx1"/>
            </w14:solidFill>
          </w14:textFill>
        </w:rPr>
        <w:t xml:space="preserve">日</w:t>
      </w:r>
      <w:r>
        <w:rPr>
          <w:rFonts w:hint="eastAsia" w:ascii="宋体" w:hAnsi="宋体" w:eastAsia="宋体" w:cs="宋体"/>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15点00分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740"/>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2.地点：苏采云“不见面”开标大厅</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40"/>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8" w:name="_Toc35393794"/>
      <w:r/>
      <w:bookmarkStart w:id="19" w:name="_Toc28359007"/>
      <w:r/>
      <w:bookmarkStart w:id="20" w:name="_Toc38985267"/>
      <w:r/>
      <w:bookmarkStart w:id="21" w:name="_Toc28359084"/>
      <w:r/>
      <w:bookmarkStart w:id="22" w:name="_Toc35393625"/>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18"/>
      <w:r/>
      <w:bookmarkEnd w:id="19"/>
      <w:r/>
      <w:bookmarkEnd w:id="20"/>
      <w:r/>
      <w:bookmarkEnd w:id="21"/>
      <w:r/>
      <w:bookmarkEnd w:id="22"/>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bookmarkStart w:id="23" w:name="_Toc35393626"/>
      <w:r/>
      <w:bookmarkStart w:id="24" w:name="_Toc38985268"/>
      <w:r/>
      <w:bookmarkStart w:id="25" w:name="_Toc3539379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23"/>
      <w:r/>
      <w:bookmarkEnd w:id="24"/>
      <w:r/>
      <w:bookmarkEnd w:id="25"/>
      <w:r/>
      <w:r/>
    </w:p>
    <w:p>
      <w:pPr>
        <w:pStyle w:val="740"/>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bookmarkStart w:id="26" w:name="_Toc2835901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2.潜在供应商访问电子招标响应交易平台的网络地址和方法：</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2.2潜在投标人访问“苏采云”系统方法：江苏省政府采购网首页-“苏采云”链接。</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2.3采购文件（后缀名为“.kedt”）、供应商操作手册及政府采购客户端工具可通过“苏采云”系统相应链接进行下载。</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2.4采购代理机构将数据电文形式的采购文件加载至“苏采云”系统，供潜在供应商下载或者查阅。</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如潜在投标人未按上述要求操作，将自行承担所产生的风险。</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3.有关本次招标的事项若存在变动或修改，敬请及时关注采购人在“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江苏政府采购网”“盐城市政府采购网”发布的更正公告。</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4.本次招标不收取投标保证金，不收取质量保证金。</w:t>
      </w:r>
      <w:r/>
    </w:p>
    <w:p>
      <w:pPr>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14:textFill>
            <w14:solidFill>
              <w14:schemeClr w14:val="tx1"/>
            </w14:solidFill>
          </w14:textFill>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14:textFill>
            <w14:solidFill>
              <w14:schemeClr w14:val="tx1"/>
            </w14:solidFill>
          </w14:textFill>
        </w:rPr>
        <w:t xml:space="preserve">提出询问，请按以下方式联系。</w:t>
      </w:r>
      <w:bookmarkEnd w:id="26"/>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1.采购人信息</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单位名称：盐城市第一人民医院</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单位地址：盐城市人民南路66号</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联系人：何老师</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联系电话：0515-66696855</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2.采购代理机构信息</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单位名称：江苏仁禾中衡工程咨询房地产估价有限公司</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单位地址：盐城市青年西路8号805室</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联系人：胡女士</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联系电话：13815581495</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3.项目联系方式</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项目联系人：胡女士</w:t>
      </w:r>
      <w:r/>
    </w:p>
    <w:p>
      <w:pPr>
        <w:pStyle w:val="740"/>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电话：13815581495</w:t>
      </w:r>
      <w:r/>
    </w:p>
    <w:p>
      <w:pPr>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27" w:name="_Toc120614211"/>
      <w:r/>
      <w:r/>
    </w:p>
    <w:p>
      <w:pPr>
        <w:pStyle w:val="728"/>
        <w:rPr>
          <w:color w:val="000000" w:themeColor="text1"/>
          <w:highlight w:val="none"/>
          <w14:textFill>
            <w14:solidFill>
              <w14:schemeClr w14:val="tx1"/>
            </w14:solidFill>
          </w14:textFill>
        </w:rPr>
      </w:pPr>
      <w:r/>
      <w:bookmarkStart w:id="28" w:name="_Toc4202"/>
      <w:r>
        <w:rPr>
          <w:rFonts w:hint="eastAsia"/>
          <w:color w:val="000000" w:themeColor="text1"/>
          <w:highlight w:val="none"/>
          <w14:textFill>
            <w14:solidFill>
              <w14:schemeClr w14:val="tx1"/>
            </w14:solidFill>
          </w14:textFill>
        </w:rPr>
        <w:t xml:space="preserve">第二章</w:t>
      </w:r>
      <w:bookmarkEnd w:id="27"/>
      <w:r/>
      <w:bookmarkStart w:id="29" w:name="_Toc16938518"/>
      <w:r/>
      <w:bookmarkStart w:id="30" w:name="_Toc513029202"/>
      <w:r/>
      <w:bookmarkStart w:id="31" w:name="_Toc120614213"/>
      <w:r/>
      <w:bookmarkStart w:id="32" w:name="_Toc20823274"/>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投标人须知</w:t>
      </w:r>
      <w:bookmarkEnd w:id="28"/>
      <w:r/>
      <w:bookmarkEnd w:id="29"/>
      <w:r/>
      <w:bookmarkEnd w:id="30"/>
      <w:r/>
      <w:bookmarkEnd w:id="31"/>
      <w:r/>
      <w:bookmarkEnd w:id="32"/>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33" w:name="_Toc20823275"/>
      <w:r/>
      <w:bookmarkStart w:id="34" w:name="_Toc513029203"/>
      <w:r/>
      <w:bookmarkStart w:id="35" w:name="_Toc16938519"/>
      <w:r/>
      <w:bookmarkStart w:id="36" w:name="_Toc120614214"/>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一、总则</w:t>
      </w:r>
      <w:bookmarkEnd w:id="33"/>
      <w:r/>
      <w:bookmarkEnd w:id="34"/>
      <w:r/>
      <w:bookmarkEnd w:id="35"/>
      <w:r/>
      <w:bookmarkEnd w:id="36"/>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37" w:name="_Toc20823276"/>
      <w:r/>
      <w:bookmarkStart w:id="38" w:name="_Toc16938520"/>
      <w:r/>
      <w:bookmarkStart w:id="39" w:name="_Toc513029204"/>
      <w:r/>
      <w:bookmarkStart w:id="40" w:name="_Toc458694821"/>
      <w:r/>
      <w:bookmarkStart w:id="41" w:name="_Hlt1661947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bookmarkEnd w:id="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、招标方式</w:t>
      </w:r>
      <w:bookmarkEnd w:id="38"/>
      <w:r/>
      <w:bookmarkEnd w:id="39"/>
      <w:r/>
      <w:bookmarkEnd w:id="40"/>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42" w:name="_Toc513029205"/>
      <w:r/>
      <w:bookmarkStart w:id="43" w:name="_Toc16938521"/>
      <w:r/>
      <w:bookmarkStart w:id="44" w:name="_Toc2082327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2、合格的投标人</w:t>
      </w:r>
      <w:bookmarkEnd w:id="42"/>
      <w:r/>
      <w:bookmarkEnd w:id="43"/>
      <w:r/>
      <w:bookmarkEnd w:id="44"/>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2.1满足招标公告中供应商的资格要求的规定。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2.2满足本文件实质性要求和条件的规定。</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45" w:name="_Toc513029206"/>
      <w:r/>
      <w:bookmarkStart w:id="46" w:name="_Toc20823278"/>
      <w:r/>
      <w:bookmarkStart w:id="47" w:name="_Toc169385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3、适用法律</w:t>
      </w:r>
      <w:bookmarkEnd w:id="45"/>
      <w:r/>
      <w:bookmarkEnd w:id="46"/>
      <w:r/>
      <w:bookmarkEnd w:id="47"/>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48" w:name="_Toc462564067"/>
      <w:r/>
      <w:bookmarkStart w:id="49" w:name="_Toc513029207"/>
      <w:r/>
      <w:bookmarkStart w:id="50" w:name="_Toc20823279"/>
      <w:r/>
      <w:bookmarkStart w:id="51" w:name="_Toc1693852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4、投标费用</w:t>
      </w:r>
      <w:bookmarkEnd w:id="48"/>
      <w:r/>
      <w:bookmarkEnd w:id="49"/>
      <w:r/>
      <w:bookmarkEnd w:id="50"/>
      <w:r/>
      <w:bookmarkEnd w:id="51"/>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采购人、代理机构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在任何情况下均无义务和责任承担这些费用。</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招标文件的约束力</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5.1投标人一旦参加本项目采购活动，即被认为接受了本招标文件的规定和约束。</w:t>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52" w:name="_Toc16938525"/>
      <w:r/>
      <w:bookmarkStart w:id="53" w:name="_Toc120614215"/>
      <w:r/>
      <w:bookmarkStart w:id="54" w:name="_Toc513029209"/>
      <w:r/>
      <w:bookmarkStart w:id="55" w:name="_Toc20823281"/>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二、招标文件</w:t>
      </w:r>
      <w:bookmarkEnd w:id="52"/>
      <w:r/>
      <w:bookmarkEnd w:id="53"/>
      <w:r/>
      <w:bookmarkEnd w:id="54"/>
      <w:r/>
      <w:bookmarkEnd w:id="55"/>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56" w:name="_Toc16938526"/>
      <w:r/>
      <w:bookmarkStart w:id="57" w:name="_Toc513029210"/>
      <w:r/>
      <w:bookmarkStart w:id="58" w:name="_Toc2082328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6、招标文件构成</w:t>
      </w:r>
      <w:bookmarkEnd w:id="56"/>
      <w:r/>
      <w:bookmarkEnd w:id="57"/>
      <w:r/>
      <w:bookmarkEnd w:id="58"/>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6.1招标文件由以下部分组成：</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招标公告</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（2）投标人须知</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（3）合同文本</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（4）采购需求</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（5）评标方法与评标标准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（6）投标文件格式</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联系解决。</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59" w:name="_Toc513029211"/>
      <w:r/>
      <w:bookmarkStart w:id="60" w:name="_Toc462564070"/>
      <w:r/>
      <w:bookmarkStart w:id="61" w:name="_Toc20823283"/>
      <w:r/>
      <w:bookmarkStart w:id="62" w:name="_Toc1693852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7、招标文件的澄清</w:t>
      </w:r>
      <w:bookmarkEnd w:id="59"/>
      <w:r/>
      <w:bookmarkEnd w:id="60"/>
      <w:r/>
      <w:bookmarkEnd w:id="61"/>
      <w:r/>
      <w:bookmarkEnd w:id="62"/>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7.1任何要求对招标文件进行澄清的投标人，应在投标截止期</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十日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前按招标公告中的通讯地址，以书面形式通知</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63" w:name="_Toc462564071"/>
      <w:r/>
      <w:bookmarkStart w:id="64" w:name="_Toc513029212"/>
      <w:r/>
      <w:bookmarkStart w:id="65" w:name="_Toc20823284"/>
      <w:r/>
      <w:bookmarkStart w:id="66" w:name="_Toc1693852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8、招标文件的修改</w:t>
      </w:r>
      <w:bookmarkEnd w:id="63"/>
      <w:r/>
      <w:bookmarkEnd w:id="64"/>
      <w:r/>
      <w:bookmarkEnd w:id="65"/>
      <w:r/>
      <w:bookmarkEnd w:id="66"/>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8.1在投标截止时间前，采购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可以对招标文件进行修改。</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有权按照法定的要求推迟投标截止日期和开标日期。</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8.3招标文件的修改将在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中国政府采购网</w:t>
      </w:r>
      <w:r>
        <w:rPr>
          <w:rFonts w:hint="eastAsia" w:asciiTheme="minorEastAsia" w:hAnsiTheme="minorEastAsia" w:eastAsiaTheme="minorEastAsia" w:cstheme="minorEastAsia"/>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江苏政府采购网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盐城市政府采购网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公布，补充文件将作为招标文件的组成部分，并对投标人具有约束力。</w:t>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67" w:name="_Toc462564072"/>
      <w:r/>
      <w:bookmarkStart w:id="68" w:name="_Toc120614216"/>
      <w:r/>
      <w:bookmarkStart w:id="69" w:name="_Toc16938529"/>
      <w:r/>
      <w:bookmarkStart w:id="70" w:name="_Toc20823285"/>
      <w:r/>
      <w:bookmarkStart w:id="71" w:name="_Toc51302921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三、投标文件的编制</w:t>
      </w:r>
      <w:bookmarkEnd w:id="67"/>
      <w:r/>
      <w:bookmarkEnd w:id="68"/>
      <w:r/>
      <w:bookmarkEnd w:id="69"/>
      <w:r/>
      <w:bookmarkEnd w:id="70"/>
      <w:r/>
      <w:bookmarkEnd w:id="71"/>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72" w:name="_Toc16938530"/>
      <w:r/>
      <w:bookmarkStart w:id="73" w:name="_Toc462564073"/>
      <w:r/>
      <w:bookmarkStart w:id="74" w:name="_Toc513029214"/>
      <w:r/>
      <w:bookmarkStart w:id="75" w:name="_Toc2082328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9、投标文件的语言及度量衡单位</w:t>
      </w:r>
      <w:bookmarkEnd w:id="72"/>
      <w:r/>
      <w:bookmarkEnd w:id="73"/>
      <w:r/>
      <w:bookmarkEnd w:id="74"/>
      <w:r/>
      <w:bookmarkEnd w:id="75"/>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9.1投标人提交的投标文件以及投标人与采购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简体中文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9.2除技术性能另有规定外，投标文件所使用的度量衡单位，均须采用国家法定计量单位。</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76" w:name="_Toc513029215"/>
      <w:r/>
      <w:bookmarkStart w:id="77" w:name="_Toc462564074"/>
      <w:r/>
      <w:bookmarkStart w:id="78" w:name="_Toc20823287"/>
      <w:r/>
      <w:bookmarkStart w:id="79" w:name="_Toc1693853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10、投标文件构成</w:t>
      </w:r>
      <w:bookmarkEnd w:id="76"/>
      <w:r/>
      <w:bookmarkEnd w:id="77"/>
      <w:r/>
      <w:bookmarkEnd w:id="78"/>
      <w:r/>
      <w:bookmarkEnd w:id="79"/>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10.2如标书制作工具中格式和内容与</w:t>
      </w:r>
      <w:r>
        <w:rPr>
          <w:rFonts w:hint="eastAsia" w:asciiTheme="minorEastAsia" w:hAnsiTheme="minorEastAsia" w:eastAsiaTheme="minorEastAsia" w:cstheme="minorEastAsia"/>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中国政府采购网”“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江苏政府采购网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盐城市政府采购网</w:t>
      </w:r>
      <w:r>
        <w:rPr>
          <w:rFonts w:hint="eastAsia" w:asciiTheme="minorEastAsia" w:hAnsiTheme="minorEastAsia" w:eastAsiaTheme="minorEastAsia" w:cstheme="minorEastAsia"/>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发布的招标文件不一致，请以</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中国政府采购网”“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江苏政府采购网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盐城市政府采购网</w:t>
      </w:r>
      <w:r>
        <w:rPr>
          <w:rFonts w:hint="eastAsia" w:asciiTheme="minorEastAsia" w:hAnsiTheme="minorEastAsia" w:eastAsiaTheme="minorEastAsia" w:cstheme="minorEastAsia"/>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发布的招标文件为准。</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80" w:name="_Toc14577354"/>
      <w:r/>
      <w:bookmarkStart w:id="81" w:name="_Toc49090509"/>
      <w:r/>
      <w:bookmarkStart w:id="82" w:name="_Toc14577355"/>
      <w:r/>
      <w:bookmarkStart w:id="83" w:name="_Toc49090508"/>
      <w:r/>
      <w:bookmarkStart w:id="84" w:name="_Toc513029219"/>
      <w:r/>
      <w:bookmarkStart w:id="85" w:name="_Toc513029216"/>
      <w:r/>
      <w:bookmarkStart w:id="86" w:name="_Toc49090507"/>
      <w:r/>
      <w:bookmarkStart w:id="87" w:name="_Toc14577357"/>
      <w:r/>
      <w:bookmarkStart w:id="88" w:name="_Hlt26668975"/>
      <w:r/>
      <w:bookmarkStart w:id="89" w:name="_Hlt26954838"/>
      <w:r/>
      <w:bookmarkStart w:id="90" w:name="_Hlt266703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11、证明投标人及投标标的符合招标文件规定的文件</w:t>
      </w:r>
      <w:bookmarkEnd w:id="80"/>
      <w:r/>
      <w:bookmarkEnd w:id="81"/>
      <w:r/>
      <w:bookmarkEnd w:id="82"/>
      <w:r/>
      <w:bookmarkEnd w:id="83"/>
      <w:r/>
      <w:bookmarkEnd w:id="84"/>
      <w:r/>
      <w:bookmarkEnd w:id="85"/>
      <w:r/>
      <w:bookmarkEnd w:id="86"/>
      <w:r/>
      <w:bookmarkEnd w:id="87"/>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11.1投标人应按照招标文件要求提交证明文件，证明其及投标标的符合招标文件规定。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12、投标分项报价表</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12.1投标人应按照招标文件规定格式填报投标分项报价表。</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91" w:name="_Hlt26954848"/>
      <w:r/>
      <w:bookmarkStart w:id="92" w:name="_Hlt26954731"/>
      <w:r/>
      <w:bookmarkStart w:id="93" w:name="_Hlt26954846"/>
      <w:r/>
      <w:bookmarkStart w:id="94" w:name="_Hlt26670482"/>
      <w:r/>
      <w:bookmarkStart w:id="95" w:name="_Hlt2667048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13、技术要求响应及偏离表、商务要求响应及偏离表</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13.1投标人需对招标文件中的技术要求与商务要求逐项作出响应或偏离，并说明原因。</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13.2投标人可在投标文件中提供认为需要的其他技术文件或说明。</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14、服务承诺、培训计划、人员安排及其他</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14.1投标人需根据招标文件要求提供有关售后服务的管理制度，售后服务机构的分布情况，售后服务人员的数量、素质、技术水平及售后服务的反应能力等。</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14.2投标人需根据招标文件要求提供培训计划。</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14.3投标人需根据招标文件要求提供所投标的的主要组成部分、功能设计、实现思路及关键技术等。</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96" w:name="_Toc49090510"/>
      <w:r/>
      <w:bookmarkStart w:id="97" w:name="_Toc1457735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15、投标函和开标一览表</w:t>
      </w:r>
      <w:bookmarkEnd w:id="96"/>
      <w:r/>
      <w:bookmarkEnd w:id="97"/>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15.1投标人应按照招标文件中提供的格式完整、正确填写投标函、开标一览表。</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98" w:name="_Toc14577360"/>
      <w:r/>
      <w:bookmarkStart w:id="99" w:name="_Toc4909051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16、投标有效期</w:t>
      </w:r>
      <w:bookmarkEnd w:id="98"/>
      <w:r/>
      <w:bookmarkEnd w:id="99"/>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16.1投标有效期为采购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规定的开标之日后</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 xml:space="preserve">九</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 xml:space="preserve">9</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0）天</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17、投标有效期的延长</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17.1在特殊情况下，采购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的这一要求而放弃投标，同意延长投标有效期的投标人既不能要求也不允许修改其投标文件。受投标有效期约束的所有权利与义务均延长至新的有效期。</w:t>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00" w:name="_Toc120614217"/>
      <w:r/>
      <w:bookmarkStart w:id="101" w:name="_Toc513029224"/>
      <w:r/>
      <w:bookmarkStart w:id="102" w:name="_Toc20823296"/>
      <w:r/>
      <w:bookmarkStart w:id="103" w:name="_Toc16938540"/>
      <w:r/>
      <w:bookmarkStart w:id="104" w:name="_Hlt26954739"/>
      <w:r/>
      <w:bookmarkStart w:id="105" w:name="_Hlt26954852"/>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四、投标文件的递交</w:t>
      </w:r>
      <w:bookmarkEnd w:id="100"/>
      <w:r/>
      <w:bookmarkEnd w:id="101"/>
      <w:r/>
      <w:bookmarkEnd w:id="102"/>
      <w:r/>
      <w:bookmarkEnd w:id="103"/>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06" w:name="_Toc16938541"/>
      <w:r/>
      <w:bookmarkStart w:id="107" w:name="_Toc513029225"/>
      <w:r/>
      <w:bookmarkStart w:id="108" w:name="_Toc20823297"/>
      <w:r/>
      <w:bookmarkStart w:id="109" w:name="_Toc4625640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18、电子投标文件</w:t>
      </w:r>
      <w:bookmarkEnd w:id="106"/>
      <w:r/>
      <w:bookmarkEnd w:id="107"/>
      <w:r/>
      <w:bookmarkEnd w:id="108"/>
      <w:r/>
      <w:bookmarkEnd w:id="10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的递交</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18.1投标人应当按照《操作手册》规定，在投标截止时间前制作并上传电子投标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w:t>
      </w:r>
      <w:bookmarkStart w:id="110" w:name="_Toc16938542"/>
      <w:r/>
      <w:bookmarkEnd w:id="110"/>
      <w:r/>
      <w:bookmarkStart w:id="111" w:name="_Toc20823298"/>
      <w:r/>
      <w:bookmarkEnd w:id="111"/>
      <w:r/>
      <w:bookmarkStart w:id="112" w:name="_Toc513029226"/>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19、投标截止日期</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i/>
          <w:color w:val="000000" w:themeColor="text1"/>
          <w:sz w:val="24"/>
          <w:szCs w:val="24"/>
          <w:highlight w:val="none"/>
          <w:u w:val="single"/>
          <w14:textFill>
            <w14:solidFill>
              <w14:schemeClr w14:val="tx1"/>
            </w14:solidFill>
          </w14:textFill>
        </w:rPr>
        <w:t xml:space="preserve">19.1投标人上传电子投标文件的时间不得迟于招标公告中规定的投标截止时间。</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19.2采购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13" w:name="_Toc20823299"/>
      <w:r/>
      <w:bookmarkStart w:id="114" w:name="_Toc16938543"/>
      <w:r/>
      <w:bookmarkStart w:id="115" w:name="_Toc51302922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20、投标文件</w:t>
      </w:r>
      <w:bookmarkEnd w:id="113"/>
      <w:r/>
      <w:bookmarkEnd w:id="114"/>
      <w:r/>
      <w:bookmarkEnd w:id="11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的拒收</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20.1采购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拒绝接收在其规定的投标截止时间后上传的任何投标文件。</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16" w:name="_Toc513029228"/>
      <w:r/>
      <w:bookmarkStart w:id="117" w:name="_Toc16938544"/>
      <w:r/>
      <w:bookmarkStart w:id="118" w:name="_Toc2082330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21、投标文件的撤回和修改</w:t>
      </w:r>
      <w:bookmarkEnd w:id="116"/>
      <w:r/>
      <w:bookmarkEnd w:id="117"/>
      <w:r/>
      <w:bookmarkEnd w:id="118"/>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21.1投标文件的撤回</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21.1.1电子投标文件的撤回</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21.1.2投标人撤回电子投标文件，则认为其不再参与本项目投标活动。</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21.2投标文件的修改</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21.2.2在投标截止时间之后，投标人不得对其电子投标文件作任何修改。</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21.3在投标截止时间至招标文件中规定的投标有效期满之间的这段时间内，投标人不得撤回其投标。</w:t>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19" w:name="_Toc20823301"/>
      <w:r/>
      <w:bookmarkStart w:id="120" w:name="_Toc120614218"/>
      <w:r/>
      <w:bookmarkStart w:id="121" w:name="_Toc513029229"/>
      <w:r/>
      <w:bookmarkStart w:id="122" w:name="_Toc16938545"/>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五、开标与评标</w:t>
      </w:r>
      <w:bookmarkEnd w:id="119"/>
      <w:r/>
      <w:bookmarkEnd w:id="120"/>
      <w:r/>
      <w:bookmarkEnd w:id="121"/>
      <w:r/>
      <w:bookmarkEnd w:id="122"/>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23" w:name="_Toc20823302"/>
      <w:r/>
      <w:bookmarkStart w:id="124" w:name="_Toc16938546"/>
      <w:r/>
      <w:bookmarkStart w:id="125" w:name="_Toc51302923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22、开标</w:t>
      </w:r>
      <w:bookmarkEnd w:id="123"/>
      <w:r/>
      <w:bookmarkEnd w:id="124"/>
      <w:r/>
      <w:bookmarkEnd w:id="125"/>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22.1</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将在招标公告中规定的时间和地点组织公开开标。投标人应当按照《操作手册》规定，参加开标活动和在苏采云系统规定的时间内对投标文件进行解密。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22.2开标仪式由</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组织。苏采云系统将自动对项目进行开标，并宣布各投标人名称和投标价格。</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26" w:name="_Toc20823303"/>
      <w:r/>
      <w:bookmarkStart w:id="127" w:name="_Toc513029231"/>
      <w:r/>
      <w:bookmarkStart w:id="128" w:name="_Toc169385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23、评标委员会</w:t>
      </w:r>
      <w:bookmarkEnd w:id="126"/>
      <w:r/>
      <w:bookmarkEnd w:id="127"/>
      <w:r/>
      <w:bookmarkEnd w:id="128"/>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23.1开标后，采购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将立即组织评标委员会（以下简称评委会）进行评标。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23.2评委会由采购人代表和有关技术、经济等方面的专家组成，且人员构成符合政府采购有关规定。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23.3评委会独立工作，负责评审所有投标文件并确定中标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候选人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24．评标过程的保密与公正</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24.1凡是与审查、澄清、评价和比较投标的有关资料以及授标建议等，采购人、评委、采购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均不得向投标人或与评标无关的其他人员透露。</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24.3采购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24.4采用综合评分法的项目，未中标的投标人可于中标结果公告期限届满之日起通过苏采云系统查看自己的评审得分及排序情况。</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29" w:name="_Toc513029232"/>
      <w:r/>
      <w:bookmarkStart w:id="130" w:name="_Toc20823304"/>
      <w:r/>
      <w:bookmarkStart w:id="131" w:name="_Toc1693854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25．投标文件的澄清</w:t>
      </w:r>
      <w:bookmarkEnd w:id="129"/>
      <w:r/>
      <w:bookmarkEnd w:id="130"/>
      <w:r/>
      <w:bookmarkEnd w:id="131"/>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32" w:name="_Toc20823305"/>
      <w:r/>
      <w:bookmarkStart w:id="133" w:name="_Toc16938549"/>
      <w:r/>
      <w:bookmarkStart w:id="134" w:name="_Toc51302923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bookmarkEnd w:id="132"/>
      <w:r/>
      <w:bookmarkEnd w:id="133"/>
      <w:r/>
      <w:bookmarkEnd w:id="134"/>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评标委员会并非对每个投标人都做澄清要求。</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25.3接到评委会澄清、说明和补正要求的投标人如未按规定</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出澄清、说明和补正，其风险由投标人自行承担。</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26、对投标文件的初审</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26.1投标文件初审分为资格审查和符合性审查。</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26.1.1资格审查：依据法律法规和招标文件的规定，由采购人对投标文件中的资格证明文件进行审查。资格审查的结论，采购人以书面形式向评委会进行反馈。</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26.1.3未通过资格审查或符合性审查的投标人，采购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将在苏采云系统中告知未通过资格审查或符合性审查的原因，评审结束后，采购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将不再告知未通过资格审查或符合性审查的原因。</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符</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合要求的偏离或保留而使其投标成为实质性响应的投标。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（2）大写金额和小写金额不一致的，以大写金额为准。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同时出现两种以上错误的，按照前款规定的顺序修正。</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35" w:name="_Toc16938550"/>
      <w:r/>
      <w:bookmarkStart w:id="136" w:name="_Toc513029234"/>
      <w:r/>
      <w:bookmarkStart w:id="137" w:name="_Toc2082330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5"/>
      <w:r/>
      <w:bookmarkEnd w:id="136"/>
      <w:r/>
      <w:bookmarkEnd w:id="137"/>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26.7投标人在开、评标全过程中应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保持通信畅通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，及时登录苏采云系统查阅、答复相关信息，并安排专人与采购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及评标委员会联系。</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27、无效投标条款和废标条款</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38" w:name="_Toc16938551"/>
      <w:r/>
      <w:bookmarkStart w:id="139" w:name="_Toc20823307"/>
      <w:r/>
      <w:bookmarkStart w:id="140" w:name="_Toc51302923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27.1无效投标条款</w:t>
      </w:r>
      <w:bookmarkEnd w:id="138"/>
      <w:r/>
      <w:bookmarkEnd w:id="139"/>
      <w:r/>
      <w:bookmarkEnd w:id="140"/>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27.1.1投标人在苏采云系统规定的时间内未成功解密电子投标文件的。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27.1.2投标人未按照招标文件要求上传电子投标文件的。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27.1.3同一投标人提交两个（含两个）以上不同的投标报价的。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27.1.4投标人不具备招标文件中规定资格要求的。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27.1.5投标人的报价超过了采购预算或最高限价的。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27.1.6未通过符合性审查的。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27.1.7不符合招标文件中规定的实质性要求和条件的（</w:t>
      </w:r>
      <w:r>
        <w:rPr>
          <w:rFonts w:hint="eastAsia" w:asciiTheme="minorEastAsia" w:hAnsiTheme="minorEastAsia" w:eastAsiaTheme="minorEastAsia" w:cstheme="minorEastAsia"/>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27.1.9投标文件含有采购人不能接受的附加条件的。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27.1.11本项目采购产品被财政部、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国家发展改革委</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、生态环境部等列入“节能产品品目清单</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27.1.12投标文件未按照招标文件要求加盖CA电子公章的。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27.1.13其他法律、法规及本招标文件规定的属无效投标的情形。</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27.2废标条款</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27.2.1符合专业条件的供应商或者对招标文件作实质响应的供应商不足三家的。27.2.2出现影响采购公正的违法、违规行为的。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27.2.3因重大变故，采购任务取消的。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27.2.4评标委员会认定招标文件存在歧义、重大缺陷导致评审工作无法进行。</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27.2.5因苏采云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系统故障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原因造成开标不成功的。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27.3投标截止时间结束后参加投标的供应商不足三家的处理：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41" w:name="_Toc120614219"/>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六、定标</w:t>
      </w:r>
      <w:bookmarkEnd w:id="141"/>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42" w:name="_Toc20823310"/>
      <w:r/>
      <w:bookmarkStart w:id="143" w:name="_Toc513029238"/>
      <w:r/>
      <w:bookmarkStart w:id="144" w:name="_Toc1693855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w:t>
      </w:r>
      <w:bookmarkEnd w:id="1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确定</w:t>
      </w:r>
      <w:bookmarkEnd w:id="143"/>
      <w:r/>
      <w:bookmarkEnd w:id="14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中标单位</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28.1中标候选人的选取原则和数量见招标文件第五章规定。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28.2采购人应根据评委会推荐的中标候选人确定中标人。</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28.3</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中国政府采购网”“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江苏政府采购网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盐城市政府采购网</w:t>
      </w:r>
      <w:r>
        <w:rPr>
          <w:rFonts w:hint="eastAsia" w:asciiTheme="minorEastAsia" w:hAnsiTheme="minorEastAsia" w:eastAsiaTheme="minorEastAsia" w:cstheme="minorEastAsia"/>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发布中标公告，公告期限为1个工作日。</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28.4若有充分证据证明，中标人出现下列情况之一的，一经查实，将被取消中标资格：</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28.4.1提供虚假材料谋取中标的。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28.4.2向采购人、</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行贿或者提供其他不正当利益的。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28.4.4与采购人或者其他供应商恶意串通的。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28.4.5采取不正当手段诋毁、排挤其他供应商的。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45" w:name="_Toc2004519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28.5有下列情形之一的，视为投标人串通投标，投标无效：</w:t>
      </w:r>
      <w:bookmarkEnd w:id="145"/>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28.5.1不同投标人的投标文件由同一单位或者个人编制；</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28.5.2不同投标人委托同一单位或者个人办理投标事宜；</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28.5.3不同投标人的投标文件载明的项目管理成员或者联系人员为同一人；</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29、质疑处理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或采购人提出质疑。上述应知其权益受到损害之日，是指：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29.2.2对采购过程提出质疑的，为各采购程序环节结束之日；</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29.2.3对中标或者成交结果提出质疑的，为中标或者成交结果公告期限届满之日。</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、采购人将只对供应商第一次质疑作出答复。</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提出，由</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负责答复。</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采购人及</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只接收以纸质原件形式送达的质疑,采购人和</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不接受未填写快递运单的快件。质疑接收联系地址：盐城市</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青年西路8号8楼805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，联系电话：0515-</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69057406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29.5以下情形的质疑不予受理</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29.5.1内容不符合《政府采购质疑和投诉办法》第十二条规定的质疑。</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29.5.2超出政府采购法定期限的质疑。</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29.5.3以传真、电子邮件等方式递交的非原件形式的质疑。</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29.5.4未参加投标活动的供应商或在投标活动中自身权益未受到损害的供应商所提出的质疑。</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29.5.5供应商组成联合体参加投标，联合体中任何一方或多方未按要求签字、盖章、加盖公章的质疑。</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30、中标通知书</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30.l中标结果确定后，采购</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0"/>
        <w:ind w:left="0" w:firstLine="482"/>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46" w:name="_Toc16938552"/>
      <w:r/>
      <w:bookmarkStart w:id="147" w:name="_Toc20823308"/>
      <w:r/>
      <w:bookmarkStart w:id="148" w:name="_Toc120614220"/>
      <w:r/>
      <w:bookmarkStart w:id="149" w:name="_Toc513029236"/>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七、授予合同</w:t>
      </w:r>
      <w:bookmarkEnd w:id="146"/>
      <w:r/>
      <w:bookmarkEnd w:id="147"/>
      <w:r/>
      <w:bookmarkEnd w:id="148"/>
      <w:r/>
      <w:bookmarkEnd w:id="149"/>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bookmarkStart w:id="150" w:name="_Toc20823309"/>
      <w:r/>
      <w:bookmarkStart w:id="151" w:name="_Toc16938553"/>
      <w:r/>
      <w:bookmarkStart w:id="152" w:name="_Toc5130292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31.签订合同</w:t>
      </w:r>
      <w:bookmarkEnd w:id="150"/>
      <w:r/>
      <w:bookmarkEnd w:id="151"/>
      <w:r/>
      <w:bookmarkEnd w:id="152"/>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31.l中标人应当在中标通知书发出之日起三十日内，按照招标文件确定的事项与采购人签订政府采购合同。</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31.3签订合同后，</w:t>
      </w:r>
      <w:r>
        <w:rPr>
          <w:rFonts w:hint="eastAsia" w:asciiTheme="minorEastAsia" w:hAnsiTheme="minorEastAsia" w:eastAsiaTheme="minorEastAsia" w:cstheme="minorEastAsia"/>
          <w:i/>
          <w:color w:val="000000" w:themeColor="text1"/>
          <w:sz w:val="24"/>
          <w:szCs w:val="24"/>
          <w:highlight w:val="none"/>
          <w:u w:val="single"/>
          <w14:textFill>
            <w14:solidFill>
              <w14:schemeClr w14:val="tx1"/>
            </w14:solidFill>
          </w14:textFill>
        </w:rPr>
        <w:t xml:space="preserve">中标人不得将合同标的进行转包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购人损失的，中标人应承担相应赔偿责任。</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32、货物（包含与货物相关的服务）的追加</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0"/>
        <w:numPr>
          <w:ilvl w:val="0"/>
          <w:numId w:val="0"/>
        </w:numPr>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33.政府采购政策功能落实</w:t>
      </w:r>
      <w:r/>
    </w:p>
    <w:p>
      <w:pPr>
        <w:pStyle w:val="740"/>
        <w:ind w:left="0" w:firstLine="480"/>
        <w:jc w:val="both"/>
        <w:keepLines/>
        <w:keepNext/>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33.1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政府采购</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线上合同信用融资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政策</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根据《转发江苏省财政厅中国人民银行南京分行</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江苏省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33.2进口产品</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进口产品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33.3中小企业、监狱企业及残疾人福利性单位</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.3.1中小企业定义：</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政府采购促进中小企业发展管理办法》（财库〔2020〕46号）、《关于印发中小企业划型标准规定的通知》（工信部联企业〔2011〕300号）、《国务院关于进一步促进中小企业发展的若干意见》（国发〔2009〕36号）。</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.3.2供应商提供的货物、工程或者服务符合下列情形的，享受中小企业扶持政策：</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.3.2.2在工程采购项目中，工程由中小企业承建，即工程施工单位为中小企业；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.3.6残疾人福利单位定义：享受政府采购支持政策的残疾人福利性单位应当同时满足以下条件：</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.3.6.1安置的残疾人占本单位在职职工人数的比例不低于25%（含25%），并且安置的残疾人人数不少于10人（含10人）；</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.3.6.2依法与安置的每位残疾人签订了一年以上（含一年）的劳动合同或服务协议；</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.3.7本项目是否专门面向中小企业预留采购份额见第一章《</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招标公告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.3.8采购标的对应的中小企业划分标准所属行业见第四章《采购需求》。</w:t>
      </w:r>
      <w:r/>
    </w:p>
    <w:p>
      <w:pPr>
        <w:pStyle w:val="740"/>
        <w:ind w:left="0" w:firstLine="480"/>
        <w:jc w:val="both"/>
        <w:pageBreakBefore w:val="0"/>
        <w:spacing w:beforeAutospacing="0" w:afterAutospacing="0"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.3.9小微企业价格评审优惠的政策：见第五章《评标方法和评标标准》。</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33.4政府采购节能产品、环境标志产品</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其他条件相同情况下，应当优先采购节能产品、环境标志产品。</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33.5绿色包装</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33.6政府采购创新产品</w:t>
      </w:r>
      <w:r/>
    </w:p>
    <w:p>
      <w:pPr>
        <w:ind w:left="0" w:right="0" w:firstLine="480"/>
        <w:jc w:val="both"/>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33.7绿色数据中心政策</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33.8履约保证金政策</w:t>
      </w:r>
      <w:r/>
    </w:p>
    <w:p>
      <w:pPr>
        <w:pStyle w:val="920"/>
        <w:ind w:left="0" w:firstLine="480"/>
        <w:pageBreakBefore w:val="0"/>
        <w:spacing w:after="0"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履约保证金金额</w:t>
      </w:r>
      <w:r>
        <w:rPr>
          <w:rFonts w:hint="eastAsia" w:asciiTheme="minorEastAsia" w:hAnsiTheme="minorEastAsia" w:cstheme="minorEastAsia"/>
          <w:color w:val="000000" w:themeColor="text1"/>
          <w:sz w:val="24"/>
          <w:szCs w:val="24"/>
          <w:highlight w:val="none"/>
          <w:lang w:val="en-US" w:eastAsia="zh-CN" w:bidi="ar-SA"/>
          <w14:textFill>
            <w14:solidFill>
              <w14:schemeClr w14:val="tx1"/>
            </w14:solidFill>
          </w14:textFill>
        </w:rPr>
        <w:t xml:space="preserve">为</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w:t>
      </w:r>
      <w:r>
        <w:rPr>
          <w:rFonts w:hint="eastAsia" w:asciiTheme="minorEastAsia" w:hAnsiTheme="minorEastAsia" w:cstheme="minorEastAsia"/>
          <w:color w:val="000000" w:themeColor="text1"/>
          <w:sz w:val="24"/>
          <w:szCs w:val="24"/>
          <w:highlight w:val="none"/>
          <w:lang w:val="en-US" w:eastAsia="zh-CN" w:bidi="ar-SA"/>
          <w14:textFill>
            <w14:solidFill>
              <w14:schemeClr w14:val="tx1"/>
            </w14:solidFill>
          </w14:textFill>
        </w:rPr>
        <w:t xml:space="preserve">为5%</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w:t>
      </w:r>
      <w:r/>
    </w:p>
    <w:p>
      <w:pPr>
        <w:ind w:left="0" w:firstLine="480"/>
        <w:pageBreakBefore w:val="0"/>
        <w:spacing w:line="520" w:lineRule="exact"/>
        <w:widowControl w:val="off"/>
        <w:tabs>
          <w:tab w:val="left" w:pos="1381" w:leader="none"/>
        </w:tabs>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34.预付款制度</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Theme="minorEastAsia" w:hAnsiTheme="minorEastAsia" w:cstheme="minorEastAsia"/>
          <w:color w:val="000000" w:themeColor="text1"/>
          <w:sz w:val="24"/>
          <w:szCs w:val="24"/>
          <w:highlight w:val="none"/>
          <w:lang w:val="en-US" w:eastAsia="zh-CN" w:bidi="ar-SA"/>
          <w14:textFill>
            <w14:solidFill>
              <w14:schemeClr w14:val="tx1"/>
            </w14:solidFill>
          </w14:textFill>
        </w:rPr>
        <w:t xml:space="preserve">30</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八、其他</w:t>
      </w:r>
      <w:r/>
    </w:p>
    <w:p>
      <w:pPr>
        <w:ind w:left="0"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代理机构按项目中标金额的下列比例收取代理服务费，由中标供应商在领取中标通知书前一次性向代理机构付清，中标金额的100万及以下部分费率为0.825%，100万（以上）至500万（含500万）部分费率为0.44%。上述费用均由中标人考虑到投标报价中，无须单独列项，招标人不另支付上述费用。</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40"/>
        <w:jc w:val="both"/>
        <w:spacing w:beforeAutospacing="0" w:afterAutospacing="0" w:line="0" w:lineRule="atLeas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p>
      <w:pPr>
        <w:pStyle w:val="728"/>
        <w:rPr>
          <w:color w:val="000000" w:themeColor="text1"/>
          <w:highlight w:val="none"/>
          <w14:textFill>
            <w14:solidFill>
              <w14:schemeClr w14:val="tx1"/>
            </w14:solidFill>
          </w14:textFill>
        </w:rPr>
      </w:pPr>
      <w:r/>
      <w:bookmarkStart w:id="153" w:name="_Toc28440"/>
      <w:r/>
      <w:bookmarkStart w:id="154" w:name="_Toc479757211"/>
      <w:r/>
      <w:bookmarkStart w:id="155" w:name="_Toc16938590"/>
      <w:r/>
      <w:bookmarkStart w:id="156" w:name="_Toc120614244"/>
      <w:r/>
      <w:bookmarkStart w:id="157" w:name="_Toc20823346"/>
      <w:r/>
      <w:bookmarkStart w:id="158" w:name="_Toc462564139"/>
      <w:r/>
      <w:bookmarkStart w:id="159" w:name="_Hlt16619350"/>
      <w:r/>
      <w:bookmarkStart w:id="160" w:name="_Hlt16619369"/>
      <w:r>
        <w:rPr>
          <w:rFonts w:hint="eastAsia"/>
          <w:color w:val="000000" w:themeColor="text1"/>
          <w:highlight w:val="none"/>
          <w14:textFill>
            <w14:solidFill>
              <w14:schemeClr w14:val="tx1"/>
            </w14:solidFill>
          </w14:textFill>
        </w:rPr>
        <w:t xml:space="preserve">第三</w:t>
      </w:r>
      <w:r>
        <w:rPr>
          <w:rFonts w:hint="eastAsia"/>
          <w:color w:val="000000" w:themeColor="text1"/>
          <w:highlight w:val="none"/>
          <w:lang w:eastAsia="zh-CN"/>
          <w14:textFill>
            <w14:solidFill>
              <w14:schemeClr w14:val="tx1"/>
            </w14:solidFill>
          </w14:textFill>
        </w:rPr>
        <w:t xml:space="preserve">章</w:t>
      </w:r>
      <w:r>
        <w:rPr>
          <w:rFonts w:hint="eastAsia"/>
          <w:color w:val="000000" w:themeColor="text1"/>
          <w:highlight w:val="none"/>
          <w14:textFill>
            <w14:solidFill>
              <w14:schemeClr w14:val="tx1"/>
            </w14:solidFill>
          </w14:textFill>
        </w:rPr>
        <w:t xml:space="preserve"> 合同条款</w:t>
      </w:r>
      <w:bookmarkEnd w:id="153"/>
      <w:r/>
      <w:r/>
    </w:p>
    <w:p>
      <w:pPr>
        <w:rPr>
          <w:rFonts w:ascii="宋体" w:hAnsi="宋体" w:cs="宋体"/>
          <w:color w:val="000000" w:themeColor="text1"/>
          <w:highlight w:val="none"/>
          <w14:textFill>
            <w14:solidFill>
              <w14:schemeClr w14:val="tx1"/>
            </w14:solidFill>
          </w14:textFill>
        </w:rPr>
        <w:outlineLvl w:val="9"/>
      </w:pPr>
      <w:r/>
      <w:bookmarkStart w:id="161" w:name="EB6d2006462e294de090c16e672cecc3bd"/>
      <w:r/>
      <w:bookmarkEnd w:id="161"/>
      <w:r/>
      <w:r/>
    </w:p>
    <w:p>
      <w:pPr>
        <w:ind w:left="0" w:firstLine="0"/>
        <w:jc w:val="center"/>
        <w:keepLines w:val="0"/>
        <w:keepNext w:val="0"/>
        <w:pageBreakBefore w:val="0"/>
        <w:spacing w:line="900" w:lineRule="exact"/>
        <w:widowControl/>
        <w:rPr>
          <w:rFonts w:hint="eastAsia" w:ascii="新宋体" w:hAnsi="新宋体" w:eastAsia="新宋体" w:cs="新宋体"/>
          <w:color w:val="000000" w:themeColor="text1"/>
          <w:sz w:val="72"/>
          <w:szCs w:val="72"/>
          <w:highlight w:val="none"/>
          <w14:textFill>
            <w14:solidFill>
              <w14:schemeClr w14:val="tx1"/>
            </w14:solidFill>
          </w14:textFill>
        </w:rPr>
        <w:outlineLvl w:val="9"/>
      </w:pPr>
      <w:r>
        <w:rPr>
          <w:rFonts w:hint="eastAsia" w:ascii="新宋体" w:hAnsi="新宋体" w:eastAsia="新宋体" w:cs="新宋体"/>
          <w:color w:val="000000" w:themeColor="text1"/>
          <w:sz w:val="72"/>
          <w:szCs w:val="72"/>
          <w:highlight w:val="none"/>
          <w14:textFill>
            <w14:solidFill>
              <w14:schemeClr w14:val="tx1"/>
            </w14:solidFill>
          </w14:textFill>
        </w:rPr>
      </w:r>
      <w:r/>
    </w:p>
    <w:p>
      <w:pPr>
        <w:ind w:left="0" w:firstLine="0"/>
        <w:jc w:val="center"/>
        <w:keepLines w:val="0"/>
        <w:keepNext w:val="0"/>
        <w:pageBreakBefore w:val="0"/>
        <w:spacing w:line="900" w:lineRule="exact"/>
        <w:widowControl/>
        <w:rPr>
          <w:rFonts w:hint="eastAsia" w:ascii="新宋体" w:hAnsi="新宋体" w:eastAsia="新宋体" w:cs="新宋体"/>
          <w:color w:val="000000" w:themeColor="text1"/>
          <w:sz w:val="72"/>
          <w:szCs w:val="72"/>
          <w:highlight w:val="none"/>
          <w14:textFill>
            <w14:solidFill>
              <w14:schemeClr w14:val="tx1"/>
            </w14:solidFill>
          </w14:textFill>
        </w:rPr>
        <w:outlineLvl w:val="9"/>
      </w:pPr>
      <w:r>
        <w:rPr>
          <w:rFonts w:hint="eastAsia" w:ascii="新宋体" w:hAnsi="新宋体" w:eastAsia="新宋体" w:cs="新宋体"/>
          <w:color w:val="000000" w:themeColor="text1"/>
          <w:sz w:val="72"/>
          <w:szCs w:val="72"/>
          <w:highlight w:val="none"/>
          <w14:textFill>
            <w14:solidFill>
              <w14:schemeClr w14:val="tx1"/>
            </w14:solidFill>
          </w14:textFill>
        </w:rPr>
      </w:r>
      <w:r/>
    </w:p>
    <w:p>
      <w:pPr>
        <w:ind w:left="0" w:firstLine="0"/>
        <w:jc w:val="center"/>
        <w:keepLines w:val="0"/>
        <w:keepNext w:val="0"/>
        <w:pageBreakBefore w:val="0"/>
        <w:spacing w:line="900" w:lineRule="exact"/>
        <w:widowControl/>
        <w:rPr>
          <w:rFonts w:hint="eastAsia" w:ascii="新宋体" w:hAnsi="新宋体" w:eastAsia="新宋体" w:cs="新宋体"/>
          <w:color w:val="000000" w:themeColor="text1"/>
          <w:sz w:val="72"/>
          <w:szCs w:val="72"/>
          <w:highlight w:val="none"/>
          <w14:textFill>
            <w14:solidFill>
              <w14:schemeClr w14:val="tx1"/>
            </w14:solidFill>
          </w14:textFill>
        </w:rPr>
        <w:outlineLvl w:val="9"/>
      </w:pPr>
      <w:r>
        <w:rPr>
          <w:rFonts w:hint="eastAsia" w:ascii="新宋体" w:hAnsi="新宋体" w:eastAsia="新宋体" w:cs="新宋体"/>
          <w:color w:val="000000" w:themeColor="text1"/>
          <w:sz w:val="72"/>
          <w:szCs w:val="72"/>
          <w:highlight w:val="none"/>
          <w14:textFill>
            <w14:solidFill>
              <w14:schemeClr w14:val="tx1"/>
            </w14:solidFill>
          </w14:textFill>
        </w:rPr>
        <w:t xml:space="preserve">采 购 合 同</w:t>
      </w:r>
      <w:r/>
    </w:p>
    <w:p>
      <w:pPr>
        <w:keepLines w:val="0"/>
        <w:keepNext w:val="0"/>
        <w:pageBreakBefore w:val="0"/>
        <w:spacing w:line="900" w:lineRule="exact"/>
        <w:widowControl/>
        <w:rPr>
          <w:rFonts w:ascii="方正小标宋_GBK" w:eastAsia="方正小标宋_GBK"/>
          <w:color w:val="000000" w:themeColor="text1"/>
          <w:sz w:val="32"/>
          <w:szCs w:val="32"/>
          <w:highlight w:val="none"/>
          <w14:textFill>
            <w14:solidFill>
              <w14:schemeClr w14:val="tx1"/>
            </w14:solidFill>
          </w14:textFill>
        </w:rPr>
        <w:outlineLvl w:val="9"/>
      </w:pPr>
      <w:r>
        <w:rPr>
          <w:rFonts w:ascii="方正小标宋_GBK" w:eastAsia="方正小标宋_GBK"/>
          <w:color w:val="000000" w:themeColor="text1"/>
          <w:sz w:val="32"/>
          <w:szCs w:val="32"/>
          <w:highlight w:val="none"/>
          <w14:textFill>
            <w14:solidFill>
              <w14:schemeClr w14:val="tx1"/>
            </w14:solidFill>
          </w14:textFill>
        </w:rPr>
      </w:r>
      <w:r/>
    </w:p>
    <w:p>
      <w:pPr>
        <w:rPr>
          <w:rFonts w:ascii="方正小标宋_GBK" w:eastAsia="方正小标宋_GBK"/>
          <w:color w:val="000000" w:themeColor="text1"/>
          <w:sz w:val="32"/>
          <w:szCs w:val="32"/>
          <w:highlight w:val="none"/>
          <w14:textFill>
            <w14:solidFill>
              <w14:schemeClr w14:val="tx1"/>
            </w14:solidFill>
          </w14:textFill>
        </w:rPr>
        <w:outlineLvl w:val="9"/>
      </w:pPr>
      <w:r>
        <w:rPr>
          <w:rFonts w:ascii="方正小标宋_GBK" w:eastAsia="方正小标宋_GBK"/>
          <w:color w:val="000000" w:themeColor="text1"/>
          <w:sz w:val="32"/>
          <w:szCs w:val="32"/>
          <w:highlight w:val="none"/>
          <w14:textFill>
            <w14:solidFill>
              <w14:schemeClr w14:val="tx1"/>
            </w14:solidFill>
          </w14:textFill>
        </w:rPr>
      </w:r>
      <w:r/>
    </w:p>
    <w:p>
      <w:pPr>
        <w:rPr>
          <w:rFonts w:ascii="方正小标宋_GBK" w:eastAsia="方正小标宋_GBK"/>
          <w:color w:val="000000" w:themeColor="text1"/>
          <w:sz w:val="32"/>
          <w:szCs w:val="32"/>
          <w:highlight w:val="none"/>
          <w14:textFill>
            <w14:solidFill>
              <w14:schemeClr w14:val="tx1"/>
            </w14:solidFill>
          </w14:textFill>
        </w:rPr>
        <w:outlineLvl w:val="9"/>
      </w:pPr>
      <w:r>
        <w:rPr>
          <w:rFonts w:ascii="方正小标宋_GBK" w:eastAsia="方正小标宋_GBK"/>
          <w:color w:val="000000" w:themeColor="text1"/>
          <w:sz w:val="32"/>
          <w:szCs w:val="32"/>
          <w:highlight w:val="none"/>
          <w14:textFill>
            <w14:solidFill>
              <w14:schemeClr w14:val="tx1"/>
            </w14:solidFill>
          </w14:textFill>
        </w:rPr>
      </w:r>
      <w:r/>
    </w:p>
    <w:p>
      <w:pPr>
        <w:keepLines w:val="0"/>
        <w:keepNext w:val="0"/>
        <w:pageBreakBefore w:val="0"/>
        <w:spacing w:line="640" w:lineRule="exact"/>
        <w:widowControl/>
        <w:rPr>
          <w:rFonts w:hint="eastAsia" w:ascii="宋体" w:hAnsi="宋体" w:cs="宋体"/>
          <w:color w:val="000000" w:themeColor="text1"/>
          <w:sz w:val="32"/>
          <w:szCs w:val="32"/>
          <w:highlight w:val="none"/>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项目名称：盐城市第一人民医院病历及病案首页质控</w:t>
      </w:r>
      <w:r/>
    </w:p>
    <w:p>
      <w:pPr>
        <w:ind w:firstLine="3200"/>
        <w:keepLines w:val="0"/>
        <w:keepNext w:val="0"/>
        <w:pageBreakBefore w:val="0"/>
        <w:spacing w:line="640" w:lineRule="exact"/>
        <w:widowControl/>
        <w:rPr>
          <w:rFonts w:hint="eastAsia" w:ascii="宋体" w:hAnsi="宋体" w:cs="宋体"/>
          <w:color w:val="000000" w:themeColor="text1"/>
          <w:sz w:val="32"/>
          <w:szCs w:val="32"/>
          <w:highlight w:val="none"/>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系统采购项目</w:t>
      </w:r>
      <w:r/>
    </w:p>
    <w:p>
      <w:pPr>
        <w:keepLines w:val="0"/>
        <w:keepNext w:val="0"/>
        <w:pageBreakBefore w:val="0"/>
        <w:spacing w:line="640" w:lineRule="exact"/>
        <w:widowControl/>
        <w:rPr>
          <w:rFonts w:ascii="宋体" w:hAnsi="宋体" w:cs="宋体"/>
          <w:color w:val="000000" w:themeColor="text1"/>
          <w:sz w:val="32"/>
          <w:szCs w:val="32"/>
          <w:highlight w:val="none"/>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甲    方：盐城市第一人民医院</w:t>
      </w:r>
      <w:r/>
    </w:p>
    <w:p>
      <w:pPr>
        <w:keepLines w:val="0"/>
        <w:keepNext w:val="0"/>
        <w:pageBreakBefore w:val="0"/>
        <w:spacing w:line="640" w:lineRule="exact"/>
        <w:widowControl/>
        <w:rPr>
          <w:rFonts w:ascii="宋体" w:hAnsi="宋体" w:cs="宋体"/>
          <w:color w:val="000000" w:themeColor="text1"/>
          <w:sz w:val="32"/>
          <w:szCs w:val="32"/>
          <w:highlight w:val="none"/>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甲方地址：盐城市人民南路66号</w:t>
      </w:r>
      <w:r/>
    </w:p>
    <w:p>
      <w:pPr>
        <w:keepLines w:val="0"/>
        <w:keepNext w:val="0"/>
        <w:pageBreakBefore w:val="0"/>
        <w:spacing w:line="640" w:lineRule="exact"/>
        <w:widowControl/>
        <w:rPr>
          <w:rFonts w:hint="default" w:ascii="宋体" w:hAnsi="宋体" w:eastAsia="宋体" w:cs="宋体"/>
          <w:color w:val="000000" w:themeColor="text1"/>
          <w:sz w:val="32"/>
          <w:szCs w:val="32"/>
          <w:highlight w:val="none"/>
          <w:lang w:val="en-US" w:eastAsia="zh-CN"/>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乙    方：</w:t>
      </w:r>
      <w:r/>
    </w:p>
    <w:p>
      <w:pPr>
        <w:keepLines w:val="0"/>
        <w:keepNext w:val="0"/>
        <w:pageBreakBefore w:val="0"/>
        <w:spacing w:line="640" w:lineRule="exact"/>
        <w:widowControl/>
        <w:rPr>
          <w:rFonts w:hint="default" w:ascii="宋体" w:hAnsi="宋体" w:eastAsia="宋体" w:cs="宋体"/>
          <w:color w:val="000000" w:themeColor="text1"/>
          <w:sz w:val="32"/>
          <w:szCs w:val="32"/>
          <w:highlight w:val="none"/>
          <w:lang w:val="en-US" w:eastAsia="zh-CN"/>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乙方地址：</w:t>
      </w:r>
      <w:r/>
    </w:p>
    <w:p>
      <w:pPr>
        <w:keepLines w:val="0"/>
        <w:keepNext w:val="0"/>
        <w:pageBreakBefore w:val="0"/>
        <w:spacing w:line="640" w:lineRule="exact"/>
        <w:widowControl/>
        <w:rPr>
          <w:rFonts w:hint="eastAsia" w:ascii="宋体" w:hAnsi="宋体" w:cs="宋体"/>
          <w:color w:val="000000" w:themeColor="text1"/>
          <w:sz w:val="32"/>
          <w:szCs w:val="32"/>
          <w:highlight w:val="none"/>
          <w14:textFill>
            <w14:solidFill>
              <w14:schemeClr w14:val="tx1"/>
            </w14:solidFill>
          </w14:textFill>
        </w:rPr>
        <w:outlineLvl w:val="9"/>
      </w:pPr>
      <w:r>
        <w:rPr>
          <w:rFonts w:hint="eastAsia" w:ascii="宋体" w:hAnsi="宋体" w:cs="宋体"/>
          <w:color w:val="000000" w:themeColor="text1"/>
          <w:sz w:val="32"/>
          <w:szCs w:val="32"/>
          <w:highlight w:val="none"/>
          <w14:textFill>
            <w14:solidFill>
              <w14:schemeClr w14:val="tx1"/>
            </w14:solidFill>
          </w14:textFill>
        </w:rPr>
        <w:t xml:space="preserve">签订日期：2025年  月  日</w:t>
      </w:r>
      <w:r/>
    </w:p>
    <w:p>
      <w:pPr>
        <w:rPr>
          <w:rFonts w:hint="eastAsia" w:cs="宋体"/>
          <w:b/>
          <w:color w:val="000000" w:themeColor="text1"/>
          <w:sz w:val="36"/>
          <w:szCs w:val="36"/>
          <w:highlight w:val="none"/>
          <w:lang w:val="en-US" w:eastAsia="zh-CN"/>
          <w14:textFill>
            <w14:solidFill>
              <w14:schemeClr w14:val="tx1"/>
            </w14:solidFill>
          </w14:textFill>
        </w:rPr>
      </w:pPr>
      <w:r>
        <w:rPr>
          <w:rFonts w:hint="eastAsia" w:cs="宋体"/>
          <w:b/>
          <w:color w:val="000000" w:themeColor="text1"/>
          <w:sz w:val="36"/>
          <w:szCs w:val="36"/>
          <w:highlight w:val="none"/>
          <w:lang w:val="en-US" w:eastAsia="zh-CN"/>
          <w14:textFill>
            <w14:solidFill>
              <w14:schemeClr w14:val="tx1"/>
            </w14:solidFill>
          </w14:textFill>
        </w:rPr>
        <w:br w:type="page" w:clear="all"/>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等法律法规的规定，甲、乙双方根据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盐城市第一人民医院病历及病案首页质控系统采购项目</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szCs w:val="24"/>
          <w:highlight w:val="none"/>
          <w14:textFill>
            <w14:solidFill>
              <w14:schemeClr w14:val="tx1"/>
            </w14:solidFill>
          </w14:textFill>
        </w:rPr>
        <w:t xml:space="preserve">结果，签订本合同。</w:t>
      </w:r>
      <w:r/>
    </w:p>
    <w:p>
      <w:pPr>
        <w:ind w:firstLine="482"/>
        <w:keepLines w:val="0"/>
        <w:keepNext w:val="0"/>
        <w:pageBreakBefore w:val="0"/>
        <w:spacing w:line="52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一、标的物内容</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盐城市第一人民医院病历及病案首页质控系统</w:t>
      </w:r>
      <w:r/>
    </w:p>
    <w:p>
      <w:pPr>
        <w:ind w:firstLine="482"/>
        <w:keepLines w:val="0"/>
        <w:keepNext w:val="0"/>
        <w:pageBreakBefore w:val="0"/>
        <w:spacing w:line="52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二、下列文件为本合同不可分割部分</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乙方的投标文件及投标过程中所作的承诺、声明、书面澄清等；</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甲乙双方商定的其他文件等。</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以上与本合同具有同等法律效力。</w:t>
      </w:r>
      <w:r/>
    </w:p>
    <w:p>
      <w:pPr>
        <w:ind w:firstLine="482"/>
        <w:keepLines w:val="0"/>
        <w:keepNext w:val="0"/>
        <w:pageBreakBefore w:val="0"/>
        <w:spacing w:line="52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三、价格与支付</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合同总金额（大写）：人民币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元），分项价款在乙方“分项报价表”中有明确规定。本项目采用固定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eastAsia="宋体" w:cs="宋体"/>
          <w:color w:val="000000" w:themeColor="text1"/>
          <w:sz w:val="24"/>
          <w:szCs w:val="24"/>
          <w:highlight w:val="none"/>
          <w14:textFill>
            <w14:solidFill>
              <w14:schemeClr w14:val="tx1"/>
            </w14:solidFill>
          </w14:textFill>
        </w:rPr>
        <w:t xml:space="preserve">法，即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合同价</w:t>
      </w:r>
      <w:r>
        <w:rPr>
          <w:rFonts w:hint="eastAsia" w:ascii="宋体" w:hAnsi="宋体" w:eastAsia="宋体" w:cs="宋体"/>
          <w:color w:val="000000" w:themeColor="text1"/>
          <w:sz w:val="24"/>
          <w:szCs w:val="24"/>
          <w:highlight w:val="none"/>
          <w14:textFill>
            <w14:solidFill>
              <w14:schemeClr w14:val="tx1"/>
            </w14:solidFill>
          </w14:textFill>
        </w:rPr>
        <w:t xml:space="preserve">包含与本合同有关的全部费用，及合同包含的所有风险、责任等各项应用费用。包括但不限于全部货物或服务、附件、包装、报关（如有）、运输、安装、与医院的信息接口对接、验收、培训、各种税费、利润、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两年维护费</w:t>
      </w:r>
      <w:r>
        <w:rPr>
          <w:rFonts w:hint="eastAsia" w:ascii="宋体" w:hAnsi="宋体" w:eastAsia="宋体" w:cs="宋体"/>
          <w:color w:val="000000" w:themeColor="text1"/>
          <w:sz w:val="24"/>
          <w:szCs w:val="24"/>
          <w:highlight w:val="none"/>
          <w14:textFill>
            <w14:solidFill>
              <w14:schemeClr w14:val="tx1"/>
            </w14:solidFill>
          </w14:textFill>
        </w:rPr>
        <w:t xml:space="preserve">、人工费、检测费、管理费、保险费、备件费、临时设施费、交通住宿费、税金等。</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2.合同价款支付</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预付款支付时间：合同签订后，甲方收到乙方等额的合法发票后10个工作日内，预付款支付比例为合同金额的30%。</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2.2进度款支付时间：系统安装调试结束并经甲方验收合格后，</w:t>
      </w:r>
      <w:r>
        <w:rPr>
          <w:rFonts w:hint="eastAsia" w:ascii="宋体" w:hAnsi="宋体" w:eastAsia="宋体" w:cs="宋体"/>
          <w:color w:val="000000" w:themeColor="text1"/>
          <w:sz w:val="24"/>
          <w:szCs w:val="24"/>
          <w:highlight w:val="none"/>
          <w14:textFill>
            <w14:solidFill>
              <w14:schemeClr w14:val="tx1"/>
            </w14:solidFill>
          </w14:textFill>
        </w:rPr>
        <w:t xml:space="preserve">甲方收到乙方等额的合法发票后10个工作日内，支付比例为合同金额的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质保期满后，</w:t>
      </w:r>
      <w:r>
        <w:rPr>
          <w:rFonts w:hint="eastAsia" w:ascii="宋体" w:hAnsi="宋体" w:eastAsia="宋体" w:cs="宋体"/>
          <w:color w:val="000000" w:themeColor="text1"/>
          <w:sz w:val="24"/>
          <w:szCs w:val="24"/>
          <w:highlight w:val="none"/>
          <w14:textFill>
            <w14:solidFill>
              <w14:schemeClr w14:val="tx1"/>
            </w14:solidFill>
          </w14:textFill>
        </w:rPr>
        <w:t xml:space="preserve">甲方收到乙方等额的合法发票后10个工作日内，支付比例为合同金额的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注：按以上付款，无任何银行利息，由乙方事先提供税务发票，一律通过银行结转。</w:t>
      </w:r>
      <w:r/>
    </w:p>
    <w:tbl>
      <w:tblPr>
        <w:tblStyle w:val="738"/>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3249"/>
        <w:gridCol w:w="3233"/>
      </w:tblGrid>
      <w:tr>
        <w:trPr>
          <w:trHeight w:val="614"/>
        </w:trPr>
        <w:tc>
          <w:tcPr>
            <w:tcW w:w="1927"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tcW w:w="3249"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p>
        </w:tc>
        <w:tc>
          <w:tcPr>
            <w:tcW w:w="3233"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p>
        </w:tc>
      </w:tr>
      <w:tr>
        <w:trPr>
          <w:trHeight w:val="614"/>
        </w:trPr>
        <w:tc>
          <w:tcPr>
            <w:tcW w:w="1927"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收款户名</w:t>
            </w:r>
            <w:r/>
          </w:p>
        </w:tc>
        <w:tc>
          <w:tcPr>
            <w:tcW w:w="3249"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盐城市第一人民医院</w:t>
            </w:r>
            <w:r/>
          </w:p>
        </w:tc>
        <w:tc>
          <w:tcPr>
            <w:tcW w:w="3233"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14"/>
        </w:trPr>
        <w:tc>
          <w:tcPr>
            <w:tcW w:w="1927"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24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中国建设银行股份有限公司</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盐城迎宾支行</w:t>
            </w:r>
            <w:r/>
          </w:p>
        </w:tc>
        <w:tc>
          <w:tcPr>
            <w:tcW w:w="3233"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14"/>
        </w:trPr>
        <w:tc>
          <w:tcPr>
            <w:tcW w:w="1927"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324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32001735136051464002</w:t>
            </w:r>
            <w:r/>
          </w:p>
        </w:tc>
        <w:tc>
          <w:tcPr>
            <w:tcW w:w="3233" w:type="dxa"/>
            <w:vAlign w:val="center"/>
            <w:textDirection w:val="lrTb"/>
            <w:noWrap w:val="false"/>
          </w:tcPr>
          <w:p>
            <w:pPr>
              <w:jc w:val="center"/>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四、履约保证金</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1、乙方</w:t>
      </w:r>
      <w:r>
        <w:rPr>
          <w:rFonts w:hint="eastAsia" w:ascii="宋体" w:hAnsi="宋体" w:eastAsia="宋体" w:cs="宋体"/>
          <w:color w:val="000000" w:themeColor="text1"/>
          <w:sz w:val="24"/>
          <w:szCs w:val="24"/>
          <w:highlight w:val="none"/>
          <w14:textFill>
            <w14:solidFill>
              <w14:schemeClr w14:val="tx1"/>
            </w14:solidFill>
          </w14:textFill>
        </w:rPr>
        <w:t xml:space="preserve">签订合同前向招标人缴纳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（合同价的10%）</w:t>
      </w:r>
      <w:r>
        <w:rPr>
          <w:rFonts w:hint="eastAsia" w:ascii="宋体" w:hAnsi="宋体" w:eastAsia="宋体" w:cs="宋体"/>
          <w:color w:val="000000" w:themeColor="text1"/>
          <w:sz w:val="24"/>
          <w:szCs w:val="24"/>
          <w:highlight w:val="none"/>
          <w14:textFill>
            <w14:solidFill>
              <w14:schemeClr w14:val="tx1"/>
            </w14:solidFill>
          </w14:textFill>
        </w:rPr>
        <w:t xml:space="preserve">的履约保证金，履约保证金以转账或电汇或网汇形式转至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指定账户并存于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处，待服务结束并通过验收合格后且无违约情况方可退还。</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信用等级为AA级及以上的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中标价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的5</w:t>
      </w:r>
      <w:r>
        <w:rPr>
          <w:rFonts w:hint="eastAsia" w:ascii="宋体" w:hAnsi="宋体" w:eastAsia="宋体" w:cs="宋体"/>
          <w:color w:val="000000" w:themeColor="text1"/>
          <w:sz w:val="24"/>
          <w:szCs w:val="24"/>
          <w:highlight w:val="none"/>
          <w14:textFill>
            <w14:solidFill>
              <w14:schemeClr w14:val="tx1"/>
            </w14:solidFill>
          </w14:textFill>
        </w:rPr>
        <w:t xml:space="preserve">%缴纳履约保证金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信用等级为A级及其以下的投标人需足额缴纳履约保证金；投标人适用上述少缴情形的，需在签订合同前提供“江苏省信用服务机构管理系统”中申报信息的第三方信用服务机构，依据《江苏省企业信用评价指引（试行）》（以下简称《指引》）出具的信用报告（经盐城市信用管理部门审核备案并在“信用中国（江苏盐城）”网站对外公示）。</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.1方式：无息退还至乙方缴纳履约保证金的账户。如为保函，在到期时自行失效。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.2时间：如为支票、汇票、本票，在服务期满后30日内退还。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五、交货地点</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交货地点：甲方指定地点。</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甲方代表联系人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乙方代表联系人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六、质量要求</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乙方所提供服务的质量应与采购文件要求及投标文件承诺的内容相一致，并符合国家最高质量标准。</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应确保本次采购所有项目的安全稳定运行，并承诺提供</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b/>
          <w:bCs/>
          <w:color w:val="000000" w:themeColor="text1"/>
          <w:sz w:val="24"/>
          <w:szCs w:val="24"/>
          <w:highlight w:val="none"/>
          <w14:textFill>
            <w14:solidFill>
              <w14:schemeClr w14:val="tx1"/>
            </w14:solidFill>
          </w14:textFill>
        </w:rPr>
        <w:t xml:space="preserve">免费维护</w:t>
      </w:r>
      <w:r>
        <w:rPr>
          <w:rFonts w:hint="eastAsia" w:ascii="宋体" w:hAnsi="宋体" w:eastAsia="宋体" w:cs="宋体"/>
          <w:color w:val="000000" w:themeColor="text1"/>
          <w:sz w:val="24"/>
          <w:szCs w:val="24"/>
          <w:highlight w:val="none"/>
          <w14:textFill>
            <w14:solidFill>
              <w14:schemeClr w14:val="tx1"/>
            </w14:solidFill>
          </w14:textFill>
        </w:rPr>
        <w:t xml:space="preserve">服务（自验收报告签字确认日起，开始进入免费</w:t>
      </w:r>
      <w:r>
        <w:rPr>
          <w:rFonts w:hint="eastAsia" w:ascii="宋体" w:hAnsi="宋体" w:eastAsia="宋体" w:cs="宋体"/>
          <w:b/>
          <w:bCs/>
          <w:color w:val="000000" w:themeColor="text1"/>
          <w:sz w:val="24"/>
          <w:szCs w:val="24"/>
          <w:highlight w:val="none"/>
          <w14:textFill>
            <w14:solidFill>
              <w14:schemeClr w14:val="tx1"/>
            </w14:solidFill>
          </w14:textFill>
        </w:rPr>
        <w:t xml:space="preserve">维护期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免费维护期满后，</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双方协商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后续</w:t>
      </w:r>
      <w:r>
        <w:rPr>
          <w:rFonts w:hint="eastAsia" w:ascii="宋体" w:hAnsi="宋体" w:eastAsia="宋体" w:cs="宋体"/>
          <w:b w:val="0"/>
          <w:bCs/>
          <w:color w:val="000000" w:themeColor="text1"/>
          <w:sz w:val="24"/>
          <w:szCs w:val="24"/>
          <w:highlight w:val="none"/>
          <w14:textFill>
            <w14:solidFill>
              <w14:schemeClr w14:val="tx1"/>
            </w14:solidFill>
          </w14:textFill>
        </w:rPr>
        <w:t xml:space="preserve">维保协议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后续</w:t>
      </w:r>
      <w:r>
        <w:rPr>
          <w:rFonts w:hint="eastAsia" w:ascii="宋体" w:hAnsi="宋体" w:eastAsia="宋体" w:cs="宋体"/>
          <w:color w:val="000000" w:themeColor="text1"/>
          <w:sz w:val="24"/>
          <w:szCs w:val="24"/>
          <w:highlight w:val="none"/>
          <w14:textFill>
            <w14:solidFill>
              <w14:schemeClr w14:val="tx1"/>
            </w14:solidFill>
          </w14:textFill>
        </w:rPr>
        <w:t xml:space="preserve">维保费用不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14:textFill>
            <w14:solidFill>
              <w14:schemeClr w14:val="tx1"/>
            </w14:solidFill>
          </w14:textFill>
        </w:rPr>
        <w:t xml:space="preserve">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主合同初始总</w:t>
      </w:r>
      <w:r>
        <w:rPr>
          <w:rFonts w:hint="eastAsia" w:ascii="宋体" w:hAnsi="宋体" w:eastAsia="宋体" w:cs="宋体"/>
          <w:color w:val="000000" w:themeColor="text1"/>
          <w:sz w:val="24"/>
          <w:szCs w:val="24"/>
          <w:highlight w:val="none"/>
          <w14:textFill>
            <w14:solidFill>
              <w14:schemeClr w14:val="tx1"/>
            </w14:solidFill>
          </w14:textFill>
        </w:rPr>
        <w:t xml:space="preserve">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10%，具体由甲乙双方另行协商。</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七、安装、调试及验收</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乙方按照采购文件要求、乙方投标文件承诺和甲方要求，完成服务。</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整个服务工作不得影响甲方的正常工作流程及秩序。</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项目验收工作由甲方组织、乙方配合，验收时乙方必须在现场积极配合并响应（时间由甲、乙双方另行商定）。</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甲方可以邀请参加本项目的其他投标人或者第三方机构参与验收。</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验收标准根据国家有关质量标准、行业通行标准、采购文件要求和投标文件承诺进行。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若有异议，甲方有权委托中国有资质的机构进行质量检测，费用由乙方承担；如发现不符合本协议约定，甲方可视为乙方违约，甲方则有权终止该合同，由此引起的一切损失由乙方承担。</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八、售后服务</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乙方应按照国家有关法律法规规章、“三包”规定、采购文件和投标文件所规定的“服务承诺”提供服务，自项目验收合格之日起算，提供</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年的原厂免费维护期（含技术支持及升级服务），并提供2年免费维保服务。</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免费维护期满后，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eastAsia="宋体" w:cs="宋体"/>
          <w:color w:val="000000" w:themeColor="text1"/>
          <w:sz w:val="24"/>
          <w:szCs w:val="24"/>
          <w:highlight w:val="none"/>
          <w14:textFill>
            <w14:solidFill>
              <w14:schemeClr w14:val="tx1"/>
            </w14:solidFill>
          </w14:textFill>
        </w:rPr>
        <w:t xml:space="preserve">双方协商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签订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w:t>
      </w:r>
      <w:r>
        <w:rPr>
          <w:rFonts w:hint="eastAsia" w:ascii="宋体" w:hAnsi="宋体" w:eastAsia="宋体" w:cs="宋体"/>
          <w:color w:val="000000" w:themeColor="text1"/>
          <w:sz w:val="24"/>
          <w:szCs w:val="24"/>
          <w:highlight w:val="none"/>
          <w14:textFill>
            <w14:solidFill>
              <w14:schemeClr w14:val="tx1"/>
            </w14:solidFill>
          </w14:textFill>
        </w:rPr>
        <w:t xml:space="preserve">维保协议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w:t>
      </w:r>
      <w:r>
        <w:rPr>
          <w:rFonts w:hint="eastAsia" w:ascii="宋体" w:hAnsi="宋体" w:eastAsia="宋体" w:cs="宋体"/>
          <w:color w:val="000000" w:themeColor="text1"/>
          <w:sz w:val="24"/>
          <w:szCs w:val="24"/>
          <w:highlight w:val="none"/>
          <w14:textFill>
            <w14:solidFill>
              <w14:schemeClr w14:val="tx1"/>
            </w14:solidFill>
          </w14:textFill>
        </w:rPr>
        <w:t xml:space="preserve">维保费用不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14:textFill>
            <w14:solidFill>
              <w14:schemeClr w14:val="tx1"/>
            </w14:solidFill>
          </w14:textFill>
        </w:rPr>
        <w:t xml:space="preserve">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主合同初始总</w:t>
      </w:r>
      <w:r>
        <w:rPr>
          <w:rFonts w:hint="eastAsia" w:ascii="宋体" w:hAnsi="宋体" w:eastAsia="宋体" w:cs="宋体"/>
          <w:color w:val="000000" w:themeColor="text1"/>
          <w:sz w:val="24"/>
          <w:szCs w:val="24"/>
          <w:highlight w:val="none"/>
          <w14:textFill>
            <w14:solidFill>
              <w14:schemeClr w14:val="tx1"/>
            </w14:solidFill>
          </w14:textFill>
        </w:rPr>
        <w:t xml:space="preserve">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10%，具体由甲乙双方另行协商。</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所有货物保修服务方式均为乙方上门保修，即由乙方派人员到货物使用现场维修，由此产生的一切费用均由乙方承担。</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无论在保修期内还是保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修期</w:t>
      </w:r>
      <w:r>
        <w:rPr>
          <w:rFonts w:hint="eastAsia" w:ascii="宋体" w:hAnsi="宋体" w:eastAsia="宋体" w:cs="宋体"/>
          <w:color w:val="000000" w:themeColor="text1"/>
          <w:sz w:val="24"/>
          <w:szCs w:val="24"/>
          <w:highlight w:val="none"/>
          <w14:textFill>
            <w14:solidFill>
              <w14:schemeClr w14:val="tx1"/>
            </w14:solidFill>
          </w14:textFill>
        </w:rPr>
        <w:t xml:space="preserve">外，乙方上门维修前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需与甲方代表（同上）取得联系，在完成相应登记手续后，与甲方工程师共同完成维修工作。否则，引起的一切责任由乙方承担。</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如该货物需跟甲方网络连接，乙方将免费开放货物所有接口，并承诺免费提供货物的配套的所有软件的对接、维护、升级等服务，以满足临床业务开展需要。</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如乙方提供的设备设有维修软件密码，乙方保证无条件地为甲方永久免费打开。</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质保期后的货物维护由双方协商再定。</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九、所有权转移及保密</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乙方向甲方交付货物后，在甲方验收合格后或者支付首批货款后，货物所有权归属于甲方。</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本合同涉及的其他资料、信息属保密性质，未经双方同意，任何一方不得向第三方泄露。对不属于本方、且受知识产权保护的产品、资料、信息不得用于其他目的。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乙方保证甲方使用其提供的服务及产品不存在保留所有权买卖、不会产生知识产权侵权等问题，否则责任一律由乙方承担。乙方拥有就项目技术成果完全独立开展市场活动并获益的权力。</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十、不可抗力</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十一、违约责任</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甲乙双方应当自觉维护国家利益和社会公共利益。合同履行过程中出现危害国家利益和社会公共利益问题的，甲方有权立即终止合同。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合同继续履行将损害国家利益和社会公共利益，甲方有权变更、中止或者终止、解除合同。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乙方逾期交货的，乙方应立即发货并应按照逾期交货部分货款的每天万分之四支付逾期交货违约金，同时承担甲方因此遭致的损失费用。</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能交货（逾期超过十五天视为不能交货），或交货不合格从而影响甲方按期正常使用的，或不能按招标文件规定及投标文件承诺提供伴随服务的，甲方有权解除合同，乙方向甲方偿付合同总价款的5%作为违约金，违约金不足以补偿损失的甲方有权要求乙方补足。</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向甲方支付合同总价5%的违约金，同时，乙方还须赔偿甲方因此遭受的损失。</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十二、合同的变更和终止</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本合同一经签订，甲乙双方不得擅自变更、中止或终止合同。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除发生法律规定的不能预见、不能避免并不能克服的客观情况外，甲乙双方不得放弃或拒绝履行合同。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有权解除合同的一方，应当书面通知对方解除合同，合同在书面通知到达对方时解除。</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十三、合同的转让</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合同的部分和全部都不得转让。</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十四、诚信和廉政</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乙方应诚实信用，严格按照招标文件、投标文件、承诺等履行合同。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2"/>
        <w:keepLines w:val="0"/>
        <w:keepNext w:val="0"/>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十五、法律责任及其他</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乙方承诺提供的各类资质文件、证书等均合法、真实、有效，如有违反，一切后果都由乙方承担。</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乙方应做好职员的安全生产教育，为职员提供必要的劳动保护条件，职员的一切安全责任均由乙方自己负责。</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因履行本合同引起的或与本合同有关的争议，甲、乙双方应首先通过友好协商解决；如果协商不能解决争议，则采取向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所在地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人民法院诉讼</w:t>
      </w:r>
      <w:r>
        <w:rPr>
          <w:rFonts w:hint="eastAsia" w:ascii="宋体" w:hAnsi="宋体" w:eastAsia="宋体" w:cs="宋体"/>
          <w:color w:val="000000" w:themeColor="text1"/>
          <w:sz w:val="24"/>
          <w:szCs w:val="24"/>
          <w:highlight w:val="none"/>
          <w14:textFill>
            <w14:solidFill>
              <w14:schemeClr w14:val="tx1"/>
            </w14:solidFill>
          </w14:textFill>
        </w:rPr>
        <w:t xml:space="preserve">的方式解决争议。</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陆</w:t>
      </w:r>
      <w:r>
        <w:rPr>
          <w:rFonts w:hint="eastAsia" w:ascii="宋体" w:hAnsi="宋体" w:eastAsia="宋体" w:cs="宋体"/>
          <w:color w:val="000000" w:themeColor="text1"/>
          <w:sz w:val="24"/>
          <w:szCs w:val="24"/>
          <w:highlight w:val="none"/>
          <w14:textFill>
            <w14:solidFill>
              <w14:schemeClr w14:val="tx1"/>
            </w14:solidFill>
          </w14:textFill>
        </w:rPr>
        <w:t xml:space="preserve">份，甲方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14:textFill>
            <w14:solidFill>
              <w14:schemeClr w14:val="tx1"/>
            </w14:solidFill>
          </w14:textFill>
        </w:rPr>
        <w:t xml:space="preserve">份，乙方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4"/>
          <w:szCs w:val="24"/>
          <w:highlight w:val="none"/>
          <w14:textFill>
            <w14:solidFill>
              <w14:schemeClr w14:val="tx1"/>
            </w14:solidFill>
          </w14:textFill>
        </w:rPr>
        <w:t xml:space="preserve">份，经甲乙双方签字盖章并加盖骑缝章后生效。</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未尽事宜按《中华人民共和国民法典》以及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相关法律法规之规定解释执行。</w:t>
      </w:r>
      <w:r/>
    </w:p>
    <w:p>
      <w:pPr>
        <w:pStyle w:val="739"/>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9"/>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39"/>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乙方（盖章）：</w:t>
      </w:r>
      <w:r/>
    </w:p>
    <w:p>
      <w:pPr>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法定代表人或授权代表：</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法定代表人或授权代表：</w:t>
      </w:r>
      <w:r/>
    </w:p>
    <w:p>
      <w:pPr>
        <w:ind w:left="0" w:firstLine="96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（签字或盖章）</w:t>
      </w:r>
      <w:r/>
    </w:p>
    <w:p>
      <w:pPr>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p>
    <w:p>
      <w:pPr>
        <w:pStyle w:val="924"/>
        <w:jc w:val="center"/>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签订日期：     年    月   日</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p>
    <w:p>
      <w:pPr>
        <w:pStyle w:val="728"/>
        <w:rPr>
          <w:color w:val="000000" w:themeColor="text1"/>
          <w:highlight w:val="none"/>
          <w14:textFill>
            <w14:solidFill>
              <w14:schemeClr w14:val="tx1"/>
            </w14:solidFill>
          </w14:textFill>
        </w:rPr>
      </w:pPr>
      <w:r/>
      <w:bookmarkStart w:id="162" w:name="_Toc10508"/>
      <w:r>
        <w:rPr>
          <w:rFonts w:hint="eastAsia"/>
          <w:color w:val="000000" w:themeColor="text1"/>
          <w:highlight w:val="none"/>
          <w14:textFill>
            <w14:solidFill>
              <w14:schemeClr w14:val="tx1"/>
            </w14:solidFill>
          </w14:textFill>
        </w:rPr>
        <w:t xml:space="preserve">第</w:t>
      </w:r>
      <w:bookmarkEnd w:id="154"/>
      <w:r>
        <w:rPr>
          <w:rFonts w:hint="eastAsia"/>
          <w:color w:val="000000" w:themeColor="text1"/>
          <w:highlight w:val="none"/>
          <w14:textFill>
            <w14:solidFill>
              <w14:schemeClr w14:val="tx1"/>
            </w14:solidFill>
          </w14:textFill>
        </w:rPr>
        <w:t xml:space="preserve">四章 采购需求</w:t>
      </w:r>
      <w:bookmarkEnd w:id="155"/>
      <w:r/>
      <w:bookmarkEnd w:id="156"/>
      <w:r/>
      <w:bookmarkEnd w:id="157"/>
      <w:r/>
      <w:bookmarkEnd w:id="158"/>
      <w:r/>
      <w:bookmarkEnd w:id="159"/>
      <w:r/>
      <w:bookmarkEnd w:id="162"/>
      <w:r/>
      <w:r/>
    </w:p>
    <w:p>
      <w:pPr>
        <w:pStyle w:val="74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63" w:name="_Toc26554093"/>
      <w:r/>
      <w:bookmarkStart w:id="164" w:name="_Toc49090575"/>
      <w:r>
        <w:rPr>
          <w:rFonts w:hint="eastAsia" w:ascii="宋体" w:hAnsi="宋体" w:eastAsia="宋体" w:cs="宋体"/>
          <w:color w:val="000000" w:themeColor="text1"/>
          <w:sz w:val="24"/>
          <w:szCs w:val="24"/>
          <w:highlight w:val="none"/>
          <w14:textFill>
            <w14:solidFill>
              <w14:schemeClr w14:val="tx1"/>
            </w14:solidFill>
          </w14:textFill>
        </w:rPr>
        <w:t xml:space="preserve">项目属性:货物类项目</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bookmarkEnd w:id="163"/>
      <w:r/>
      <w:bookmarkEnd w:id="164"/>
      <w:r/>
      <w:r/>
    </w:p>
    <w:p>
      <w:pPr>
        <w:pStyle w:val="740"/>
        <w:jc w:val="both"/>
        <w:keepLines w:val="0"/>
        <w:keepNext w:val="0"/>
        <w:pageBreakBefore w:val="0"/>
        <w:spacing w:beforeAutospacing="0" w:afterAutospacing="0" w:line="360"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一、技术要求</w:t>
      </w:r>
      <w:r/>
    </w:p>
    <w:p>
      <w:pPr>
        <w:jc w:val="left"/>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1、系统功能要求</w:t>
      </w:r>
      <w:r/>
    </w:p>
    <w:tbl>
      <w:tblPr>
        <w:tblStyle w:val="738"/>
        <w:tblW w:w="5395" w:type="pct"/>
        <w:tblInd w:w="-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1604"/>
        <w:gridCol w:w="6282"/>
      </w:tblGrid>
      <w:tr>
        <w:trPr>
          <w:trHeight w:val="284"/>
        </w:trPr>
        <w:tc>
          <w:tcPr>
            <w:gridSpan w:val="3"/>
            <w:shd w:val="clear" w:color="auto" w:fill="auto"/>
            <w:tcW w:w="8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门诊病历质量控制系统</w:t>
            </w:r>
            <w:r/>
          </w:p>
        </w:tc>
      </w:tr>
      <w:tr>
        <w:trPr>
          <w:trHeight w:val="284"/>
        </w:trPr>
        <w:tc>
          <w:tcPr>
            <w:shd w:val="clear" w:color="auto" w:fill="auto"/>
            <w:tcW w:w="1276"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分系统名称</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系统功能</w:t>
            </w:r>
            <w:r/>
          </w:p>
        </w:tc>
        <w:tc>
          <w:tcPr>
            <w:shd w:val="clear" w:color="auto" w:fill="auto"/>
            <w:tcW w:w="612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功能描述及要求</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i/>
                <w:iCs/>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none"/>
                <w14:textFill>
                  <w14:solidFill>
                    <w14:schemeClr w14:val="tx1"/>
                  </w14:solidFill>
                </w14:textFill>
              </w:rPr>
              <w:t xml:space="preserve">门诊医生端智能辅助</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实时提醒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当医生在门诊电子病历系统编辑病历点击保存，即刻以插件形式提供实时质控缺陷提醒。</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iCs/>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iCs/>
                <w:color w:val="000000" w:themeColor="text1"/>
                <w:sz w:val="21"/>
                <w:szCs w:val="21"/>
                <w:highlight w:val="none"/>
                <w:u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病历评分提醒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可以根据配置的评分表展示门诊病历分数与等级，支持点击分数查看详细的评分表。</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iCs/>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iCs/>
                <w:color w:val="000000" w:themeColor="text1"/>
                <w:sz w:val="21"/>
                <w:szCs w:val="21"/>
                <w:highlight w:val="none"/>
                <w:u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质控缺陷提醒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支持实时展示质控缺陷问题，包括缺陷问题质控点名称、质控类型（机器/人工）、备注、扣分；</w:t>
            </w:r>
            <w:r/>
          </w:p>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可对系统质控情况及人工质控的批注进行申诉。</w:t>
            </w:r>
            <w:r/>
          </w:p>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可根据不同质控点等级展示不同提示图标</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门诊病历审核端功能</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4、</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病历查询</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1、条件查询：支持按日期、科室、医生、病历等级、病历得分、患者类型、单项否决等条件查询病历列表；</w:t>
            </w:r>
            <w:r/>
          </w:p>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2、精准查询：支持按患者姓名、就诊号等对病历进行精准搜索；</w:t>
            </w:r>
            <w:r/>
          </w:p>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3、病历详情查看：支持查看病历详情，可按文书列表、评分表维度重点查看病历质控详情。</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病历及诊疗资料浏览</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▲病历及诊疗资料浏览</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，具体内容如下：</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1、病历文书：提供病历文书浏览和内容基本项目缺陷检查功能。</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2、医嘱/处方内容：提供医嘱/处方内容浏览功能，应至少包括：西药、成药、中药等，并展示给药途径和给药剂量等信息。</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3、检查/检验：提供检查/检验结果浏览功能，重点标记检验异常项目。</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4、诊断信息：提供患者的诊断信息查询。</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人工审核</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1、质控缺陷总览：系统支持门诊管理端查看病历AI审核结果，包括：病历详情、病历质控问题数量分布、质控结果（问题缺陷、备注、质控类型、反馈、状态、操作）等维度进行结果展示，并支持二次人工审核。</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2、病历及诊疗资料360浏览：支持在审核过程中随时浏览患者本次就诊的360维度信息，应包括：患者基本信息、门诊病历、医嘱/处方、检验报告、检查报告、诊断记录等相关信息。</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3、缺陷定位：系统可展示出选中病历文书的所有缺陷详情，支持点击缺陷条目后，跳转至病历文书的原文位置，并且以不同背景颜色提示。</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4、质控结果人工修改：系统支持对AI质控结果进行修改，如：通过、编辑、新增或删除质控条目等。</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统计分析</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科室质量分析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支持对全院各门诊科室病历质量情况进行统计分析，包括门诊患者数、问题数、修正问题数、科室质量情况分布等。</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医生质量分析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支持对全院各门诊医生病历质量情况进行统计分析，包括门诊患者数、问题数、修正问题数、门诊医生质量情况分布等。</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问题分析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支持查看门诊病历的缺陷问题明细列表，分析全院缺陷问题，包括各缺陷问题的质控患者数汇总、质控失败患者数汇总、质控修正患者数汇总、质控患者修正率汇总、质控点等级。</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质控点维护</w:t>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质控点列表</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支持在质控点查询页面查看每条质控点的质控逻辑、质控点状态。</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10、</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质控点管理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支持按质控点名称、质控逻辑、类型、状态、提醒级别进行质控点的查询。</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支持对质控点的生效状态进行开启/关闭。</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支持质控点级别的自定义配置，支持3级配置，3级为最高级别。</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系统管理</w:t>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用户管理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提供用户使用系统的授权控制。</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支持用户功能权限的配置管理。</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支持用户数据权限范围的授权管理。</w:t>
            </w:r>
            <w:r/>
          </w:p>
        </w:tc>
      </w:tr>
      <w:tr>
        <w:trPr>
          <w:trHeight w:val="284"/>
        </w:trPr>
        <w:tc>
          <w:tcPr>
            <w:shd w:val="clear" w:color="auto" w:fill="auto"/>
            <w:tcW w:w="127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门诊病历形式质控点</w:t>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形式质控点覆盖</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系统应覆盖门诊病历、门诊复诊病历、门诊补充续打病历等内容的书写一致性、完整性、合规性。如：</w:t>
            </w:r>
            <w:r/>
          </w:p>
          <w:p>
            <w:pPr>
              <w:numPr>
                <w:ilvl w:val="0"/>
                <w:numId w:val="0"/>
              </w:numPr>
              <w:ind w:right="0"/>
              <w:jc w:val="both"/>
              <w:keepLines w:val="0"/>
              <w:keepNext w:val="0"/>
              <w:spacing w:before="0" w:beforeAutospacing="0" w:after="0" w:afterAutospacing="0" w:line="400" w:lineRule="exact"/>
              <w:widowControl w:val="off"/>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t xml:space="preserve">1、门诊病历主诉完整性质检；</w:t>
            </w:r>
            <w:r/>
          </w:p>
          <w:p>
            <w:pPr>
              <w:numPr>
                <w:ilvl w:val="0"/>
                <w:numId w:val="0"/>
              </w:numPr>
              <w:ind w:right="0"/>
              <w:jc w:val="both"/>
              <w:keepLines w:val="0"/>
              <w:keepNext w:val="0"/>
              <w:spacing w:before="0" w:beforeAutospacing="0" w:after="0" w:afterAutospacing="0" w:line="400" w:lineRule="exact"/>
              <w:widowControl w:val="off"/>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t xml:space="preserve">2、门诊病历门诊诊断完整性质检；</w:t>
            </w:r>
            <w:r/>
          </w:p>
          <w:p>
            <w:pPr>
              <w:numPr>
                <w:ilvl w:val="0"/>
                <w:numId w:val="0"/>
              </w:numPr>
              <w:ind w:right="0"/>
              <w:jc w:val="both"/>
              <w:keepLines w:val="0"/>
              <w:keepNext w:val="0"/>
              <w:spacing w:before="0" w:beforeAutospacing="0" w:after="0" w:afterAutospacing="0" w:line="400" w:lineRule="exact"/>
              <w:widowControl w:val="off"/>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t xml:space="preserve">3、门诊复诊病历-既往史填写规范性质检；</w:t>
            </w:r>
            <w:r/>
          </w:p>
          <w:p>
            <w:pPr>
              <w:numPr>
                <w:ilvl w:val="0"/>
                <w:numId w:val="0"/>
              </w:numPr>
              <w:ind w:right="0"/>
              <w:jc w:val="both"/>
              <w:keepLines w:val="0"/>
              <w:keepNext w:val="0"/>
              <w:spacing w:before="0" w:beforeAutospacing="0" w:after="0" w:afterAutospacing="0" w:line="400" w:lineRule="exact"/>
              <w:widowControl w:val="off"/>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lang w:val="en-US" w:eastAsia="zh-CN" w:bidi="ar-SA"/>
                <w14:textFill>
                  <w14:solidFill>
                    <w14:schemeClr w14:val="tx1"/>
                  </w14:solidFill>
                </w14:textFill>
              </w:rPr>
              <w:t xml:space="preserve">4、门诊复诊病历-体格检查填写规范性质检。</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门诊病历内涵质控点</w:t>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内涵质控点覆盖</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系统通过自然语言处理智能分析病历文书、医嘱/处方、检验检查结果等多维度病历信息，实现门诊病历内涵的全覆盖，包括内涵一致性、诊疗过程合理性、文书书写缺陷、客观逻辑一致性。</w:t>
            </w:r>
            <w:r/>
          </w:p>
        </w:tc>
      </w:tr>
      <w:tr>
        <w:trPr>
          <w:trHeight w:val="90"/>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内涵一致性质控点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▲系统可检查文书中对同一情况的记录是否一致进行质控，以此来保证数据准确性，如：</w:t>
            </w:r>
            <w:r/>
          </w:p>
          <w:p>
            <w:pPr>
              <w:numPr>
                <w:ilvl w:val="0"/>
                <w:numId w:val="1"/>
              </w:numPr>
              <w:ind w:left="440" w:right="0" w:hanging="440"/>
              <w:jc w:val="both"/>
              <w:keepLines w:val="0"/>
              <w:keepNext w:val="0"/>
              <w:spacing w:before="0" w:beforeAutospacing="0" w:after="0" w:afterAutospacing="0" w:line="400" w:lineRule="exact"/>
              <w:widowControl w:val="off"/>
              <w:rPr>
                <w:rFonts w:hint="eastAsia" w:ascii="宋体" w:hAnsi="宋体" w:eastAsia="宋体" w:cs="Times New Roman"/>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门诊体格检查心率与脉搏数值不一致；</w:t>
            </w:r>
            <w:r/>
          </w:p>
          <w:p>
            <w:pPr>
              <w:numPr>
                <w:ilvl w:val="0"/>
                <w:numId w:val="1"/>
              </w:numPr>
              <w:ind w:left="440" w:right="0" w:hanging="440"/>
              <w:jc w:val="both"/>
              <w:keepLines w:val="0"/>
              <w:keepNext w:val="0"/>
              <w:spacing w:before="0" w:beforeAutospacing="0" w:after="0" w:afterAutospacing="0" w:line="400" w:lineRule="exact"/>
              <w:widowControl w:val="off"/>
              <w:rPr>
                <w:rFonts w:hint="eastAsia" w:ascii="宋体" w:hAnsi="宋体" w:eastAsia="宋体" w:cs="Times New Roman"/>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处置记录药品名称和医嘱不一致；</w:t>
            </w:r>
            <w:r/>
          </w:p>
          <w:p>
            <w:pPr>
              <w:numPr>
                <w:ilvl w:val="0"/>
                <w:numId w:val="1"/>
              </w:numPr>
              <w:ind w:left="440" w:right="0" w:hanging="440"/>
              <w:jc w:val="both"/>
              <w:keepLines w:val="0"/>
              <w:keepNext w:val="0"/>
              <w:spacing w:before="0" w:beforeAutospacing="0" w:after="0" w:afterAutospacing="0" w:line="400" w:lineRule="exact"/>
              <w:widowControl w:val="off"/>
              <w:rPr>
                <w:rFonts w:hint="eastAsia" w:ascii="宋体" w:hAnsi="宋体" w:eastAsia="宋体" w:cs="Times New Roman"/>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手术史和体格检查结果矛盾；</w:t>
            </w:r>
            <w:r/>
          </w:p>
          <w:p>
            <w:pPr>
              <w:numPr>
                <w:ilvl w:val="0"/>
                <w:numId w:val="1"/>
              </w:numPr>
              <w:ind w:left="440" w:right="0" w:hanging="440"/>
              <w:jc w:val="both"/>
              <w:keepLines w:val="0"/>
              <w:keepNext w:val="0"/>
              <w:spacing w:before="0" w:beforeAutospacing="0" w:after="0" w:afterAutospacing="0" w:line="400" w:lineRule="exact"/>
              <w:widowControl w:val="off"/>
              <w:rPr>
                <w:rFonts w:hint="eastAsia" w:ascii="宋体" w:hAnsi="宋体" w:eastAsia="宋体" w:cs="Times New Roman"/>
                <w:b/>
                <w:bCs/>
                <w:i/>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门诊复诊病历，主诉和门诊诊断中的方位不一致。</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诊疗过程合理性质控点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▲系统可结合患者全病历文书以及医嘱/处方、检验检查结果等，判断医生的诊断、检查检查开立和药物的使用及病程记录是否符合患者病情特点，如：</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门诊病历诊断内容合理性质检（门诊病历中，诊断里填写的内容不能出现“体检、配药、复诊”等不符合规范的名称）；</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门诊病历-处置记录中的药品名称，和诊断无对应关系。</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14、</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文书书写缺陷质控点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系统可检查各病历文书的记录内容是否存在缺陷；如：</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病历中缺少相应诊断依据；</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门诊手术外伤史具体名称未记录；</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3、</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门诊初诊患者，主诉中缺失主要症状；</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4、</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门诊病历药品用法书写不规范（是否有书写用法、剂量等描述）。</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15、</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客观逻辑一致性质控点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系统可检查全病历中记录的内容是否符合客观逻辑一致性。如：患者生命体征数值不合理。</w:t>
            </w:r>
            <w:r/>
          </w:p>
        </w:tc>
      </w:tr>
      <w:tr>
        <w:trPr>
          <w:trHeight w:val="284"/>
        </w:trPr>
        <w:tc>
          <w:tcPr>
            <w:gridSpan w:val="3"/>
            <w:shd w:val="clear" w:color="auto" w:fill="auto"/>
            <w:tcW w:w="8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住院病历质量控制系统</w:t>
            </w:r>
            <w:r/>
          </w:p>
        </w:tc>
      </w:tr>
      <w:tr>
        <w:trPr>
          <w:trHeight w:val="284"/>
        </w:trPr>
        <w:tc>
          <w:tcPr>
            <w:shd w:val="clear" w:color="auto" w:fill="auto"/>
            <w:tcW w:w="127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分系统</w:t>
            </w:r>
            <w:r/>
          </w:p>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名称</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系统功能</w:t>
            </w:r>
            <w:r/>
          </w:p>
        </w:tc>
        <w:tc>
          <w:tcPr>
            <w:shd w:val="clear" w:color="auto" w:fill="auto"/>
            <w:tcW w:w="612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功能描述及要求</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住院医生端</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智能辅助</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实时提醒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当医生在电子病历系统编辑病历点击保存，即刻以插件形式提供实时质控提醒。无需进入单独的病历质控程序就可查看实时质控内容。</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17、</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小图标提醒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实时展示病历问题数，点击小图标可以打开浮窗查看更详细的质控结果信息。</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18</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、浮窗提醒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可以根据配置的评分表展示病历分数与等级，支持点击分数根据医生权限查看详细的评分表信息。</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医生查看不同质控级别质控员对同一份病历的历次“人工评价单”结果，医生可对人工评价单结果进行查收和确定。每个人工评价单，需展示包括创建任务、机器质控、人工审核、评价单下发、科室查收、医生确定、任务关闭的人工质控闭环流程。</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同时支持根据医院流程进行定制化配置。</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展示问题汇总数量；分类展示各个文书的问题数量，至少包含：入院记录、首次病程记录、病程记录、谈话记录、手术管理、出院记录等模块。</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可展示登录医生的待反馈问题总数、人工评价单总数；点击可查看详细的列表。</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19、</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质控明细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评分表</w:t>
            </w:r>
            <w:r/>
          </w:p>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（1）可直观展示当前病历的病历等级（甲/乙/丙）、病历得分、运行病历评分表/总体病历评分表及扣分详情；</w:t>
            </w:r>
            <w:r/>
          </w:p>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）可根据登录his的医生账号来判定是否具有审核权限；</w:t>
            </w:r>
            <w:r/>
          </w:p>
          <w:p>
            <w:pPr>
              <w:ind w:left="273"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1）有权限：可以在提醒端进行评分表明细查看与问题审核，进行人工评分；</w:t>
            </w:r>
            <w:r/>
          </w:p>
          <w:p>
            <w:pPr>
              <w:ind w:left="273"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2）无权限：可查看整张表的打分情况与扣分理由</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质控点</w:t>
            </w:r>
            <w:r/>
          </w:p>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（1）可根据文书分类展示，展示质控点名称、质控类型（机器/人工）、备注、扣分；</w:t>
            </w:r>
            <w:r/>
          </w:p>
          <w:p>
            <w:pPr>
              <w:ind w:left="0" w:right="0"/>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）可对系统质控情况及人工质控的批注进行申诉，申诉的问题会实时展示在审核端，审核人员可对申诉信息进行再反馈，再反馈信息实时同步至医生端。</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b w:val="0"/>
                <w:bCs w:val="0"/>
                <w:i/>
                <w:iCs/>
                <w:color w:val="000000" w:themeColor="text1"/>
                <w:sz w:val="21"/>
                <w:szCs w:val="21"/>
                <w:highlight w:val="none"/>
                <w:u w:val="single"/>
                <w14:textFill>
                  <w14:solidFill>
                    <w14:schemeClr w14:val="tx1"/>
                  </w14:solidFill>
                </w14:textFill>
              </w:rPr>
              <w:t xml:space="preserve">3</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单项否决质控点重点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r/>
          </w:p>
        </w:tc>
      </w:tr>
      <w:tr>
        <w:trPr>
          <w:trHeight w:val="90"/>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3、人工评价单列表：支持查看医生权限下的所有质控员人工质控审核过的评价单数量及列表，包括待查收、待确认、已经确定的评价单列表明细，并支持下钻；支持单击“全部查收”按钮，对当前未查看的评价进行一键查收。</w:t>
            </w:r>
            <w:r/>
          </w:p>
          <w:p>
            <w:pPr>
              <w:ind w:left="0" w:right="0" w:firstLine="0"/>
              <w:jc w:val="both"/>
              <w:spacing w:before="0" w:after="0"/>
              <w:rPr>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4"/>
                <w:u w:val="none"/>
              </w:rPr>
              <w:t xml:space="preserve">投标人需根据项目需求提供的演示内容制作演示视频文件。</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4</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、待反馈问题列表：支持查看医生权限下的所有待反馈问题数量及列表，包括人工质控待反馈列表、机器质控待反馈列表、待质控员确定列表、已确定的问题列表明细，并支持下钻。</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住院病历审核端功能</w:t>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20、病历查询</w:t>
            </w:r>
            <w:r>
              <w:rPr>
                <w:rFonts w:hint="default"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 </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1、支持运行病历/终末病历查询，并支持以患者列表、问题列表多维度展示。</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（1）条件查询：支持按日期、科室、病历特征、质控文书、质控点标签、质控点类型、标签等条件查询运行病历/终末病历患者列表;</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）精准查询：支持按病历号、病案号、患者姓名等对病历进行精准搜索。</w:t>
            </w:r>
            <w:r/>
          </w:p>
          <w:p>
            <w:pPr>
              <w:ind w:left="0" w:right="0"/>
              <w:jc w:val="left"/>
              <w:keepLines w:val="0"/>
              <w:keepNext w:val="0"/>
              <w:spacing w:before="0" w:beforeAutospacing="0" w:after="0" w:afterAutospacing="0" w:line="400" w:lineRule="exact"/>
              <w:rPr>
                <w:rFonts w:hint="eastAsia" w:ascii="宋体" w:hAnsi="宋体" w:eastAsia="宋体" w:cs="宋体"/>
                <w:b w:val="0"/>
                <w:bCs w:val="0"/>
                <w:i/>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自定义创建多个重点关注病历查询页面，每个查询页面可单独生成；支持通过多个搜索条件新增查询页面，搜索条件包括不仅限于入院日期、当前科室、病历特征、质控级别、病历等级、诊断类型、质控文书、质控点标签、病历得分等；支持设置是否在“工作台重点关注”栏展示。</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支持对病历列表的标题展示列是否展示、列宽宽度进行自定义配置，展示列包括不仅限于待质控员回复、待医生反馈、机器现存问题、质控医生、病历等级、病历得分、现存问题、质控状态、标签、病区、医疗组、主治医生等。</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）支持对病历标签名称、标签描述进行自定义设置；支持为每份病历人工选择维护好的标签进行标注；支持通过标签快速检索病历。</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）支持病历各文书时效性快速查看，包括文书完成状态、起始时间、截止时间、剩余时间、完成时间等，并对超时病历的“剩余时间”栏显示数据进行标红处理。</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2、支持病历查看：</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（1）支持以不同颜色区分病历质控状态及问题数量，红色圆圈显示待质控员回复病历及问题数量、橙色圆圈显示待医生反馈病历及问题数量、绿色圆圈显示病历机器质控现存问题数量。</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）支持对病历进行下钻，可查看病历质控详情，可按文书列表、评分表、质控闭环多个维度展示；</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）文书列表：文书列表包括不仅限于：入院记录、病程记录、手术记录、出院/死亡记录、谈话记录、医嘱单、检验报告、检查报告、生命体征、病理报告、诊断记录。</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4</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）评分表：支持根据医院配置的评分表内容，进行评分表展现。</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5</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问题闭环：支持查看每个缺陷问题项目闭环流程，对机器/人工发现问题时间，是否进行修改与反馈，人工是否进行质控和确认均可进行留痕查看，并对整本病历的质控提交与审核等各个节点有时间轴记录时间轴。</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21、</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病历评价-任务管理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1、质控任务创建</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（1）任务基本信息维护：支持对新建的质控任务基本信息维护。</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▲（2）自动抽取病历</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1）支持对质控任务的病历的质控情况进行选择，包括全部病历、只抽取人工质控提交过的病历、只抽取人工未提交过的病历；</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）支持对病历自动选择质控点进行配置，支持按不同方式进行抽查，如：按比例抽查、按病例数抽查；支持对抽查方式进行批量操作。</w:t>
            </w:r>
            <w:r/>
          </w:p>
          <w:p>
            <w:pPr>
              <w:ind w:left="0" w:right="0"/>
              <w:jc w:val="left"/>
              <w:keepLines w:val="0"/>
              <w:keepNext w:val="0"/>
              <w:spacing w:before="0" w:beforeAutospacing="0" w:after="0" w:afterAutospacing="0" w:line="400" w:lineRule="exact"/>
              <w:rPr>
                <w:rFonts w:hint="eastAsia" w:ascii="宋体" w:hAnsi="宋体" w:eastAsia="宋体" w:cs="宋体"/>
                <w:b/>
                <w:bCs/>
                <w:i/>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（3）分配质控病历：支持将抽取的病历，按科室分配给不同的质控员。</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2、查看质控任务</w:t>
            </w:r>
            <w:r/>
          </w:p>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（1）支持查看病历质控任务的病历总数，选中病历数，质控抽取率；</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）支持查看质控任务中各质控员的质控病历列表，以及时间段内未抽查的所有病历列表，方便对未选择的病历进行人工分配。</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3、筛选质控病历并二次分配</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（1）支持通过多维度快速搜索病历并再次指派给质控员，筛选的维度至少包括：审核状态、科室、病历等级、病历特征、标签、手术级别等；</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2</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）病历特征选择包括不仅限于：基本特征、手术及操作、患者诊断、住院时间、专科特征、护理、医嘱用药、其他、特殊用药等。</w:t>
            </w:r>
            <w:r/>
          </w:p>
          <w:p>
            <w:pPr>
              <w:ind w:left="0" w:right="0"/>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3</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）支持对搜索的病历进行单项/批量指派给质控员。</w:t>
            </w:r>
            <w:r/>
          </w:p>
          <w:p>
            <w:pPr>
              <w:ind w:left="0" w:right="0" w:firstLine="0"/>
              <w:jc w:val="both"/>
              <w:spacing w:before="0" w:after="0"/>
              <w:rPr>
                <w:b/>
                <w:bCs/>
                <w:i w:val="0"/>
                <w:iCs w:val="0"/>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4"/>
                <w:u w:val="none"/>
              </w:rPr>
              <w:t xml:space="preserve">投标人需根据项目需求提供的演示内容制作演示视频文件。</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4、查看质控项目及病历</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质控任务项目开始后，质控管理人员可随时查看病历审核任务的进度、剩余时间、病历详情，并以不同颜色对剩余时间进行预警</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5、质控任务列表生成并下载</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支持一键生成未完成、已完成、已关闭、全部质控任务的下载文件并下载。</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22、病历评价-任务执行</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质控人员登录系统，可查看到分配给质控员的所有质控任务列表，包括质控任务名称、抽取类型、质控病历时间、病历总数、质控级别、质控负责人、进度、剩余时间（天）、创建日期、创建人、状态、操作等。</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支持以不同颜色对剩余时间进行预警，如剩余时间小于</w:t>
            </w:r>
            <w:r>
              <w:rPr>
                <w:rFonts w:hint="default" w:ascii="宋体" w:hAnsi="宋体" w:eastAsia="宋体" w:cs="Times New Roman"/>
                <w:i/>
                <w:iCs/>
                <w:color w:val="000000" w:themeColor="text1"/>
                <w:sz w:val="21"/>
                <w:szCs w:val="21"/>
                <w:highlight w:val="none"/>
                <w:u w:val="single"/>
                <w14:textFill>
                  <w14:solidFill>
                    <w14:schemeClr w14:val="tx1"/>
                  </w14:solidFill>
                </w14:textFill>
              </w:rPr>
              <w:t xml:space="preserve">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天，则橙色提醒；剩余时间小于</w:t>
            </w:r>
            <w:r>
              <w:rPr>
                <w:rFonts w:hint="default" w:ascii="宋体" w:hAnsi="宋体" w:eastAsia="宋体" w:cs="Times New Roman"/>
                <w:i/>
                <w:iCs/>
                <w:color w:val="000000" w:themeColor="text1"/>
                <w:sz w:val="21"/>
                <w:szCs w:val="21"/>
                <w:highlight w:val="none"/>
                <w:u w:val="single"/>
                <w14:textFill>
                  <w14:solidFill>
                    <w14:schemeClr w14:val="tx1"/>
                  </w14:solidFill>
                </w14:textFill>
              </w:rPr>
              <w:t xml:space="preserve">0</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（延期），则红色提醒；</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支持查看每份病历的详细病历质控详情，并在线进行人工病历审核。</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人工审核</w:t>
            </w:r>
            <w:r>
              <w:rPr>
                <w:rFonts w:hint="default" w:ascii="宋体" w:hAnsi="宋体" w:eastAsia="宋体" w:cs="Times New Roman"/>
                <w:color w:val="000000" w:themeColor="text1"/>
                <w:sz w:val="21"/>
                <w:szCs w:val="21"/>
                <w:highlight w:val="none"/>
                <w14:textFill>
                  <w14:solidFill>
                    <w14:schemeClr w14:val="tx1"/>
                  </w14:solidFill>
                </w14:textFill>
              </w:rPr>
              <w:t xml:space="preserve"> </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1、质控缺陷总览：</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在质控员选择一份病历进行人工审核时，系统智能提示当前病历的各文书的缺陷问题数量，支持根据质控员查看的文书不同展示当前文书下的所有问题缺陷、备注问题缺陷原因、扣分、质控类型（机器/人工）等。</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2、人工质控与结果确认：</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▲（1）支持点击缺陷问题，系统自动跳转至缺陷对应的段落或原文，且高亮并划线对应到质控点上。</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人员根据系统的质控结果对病历的缺陷进行人工确认，如果认为此缺陷对病历质量影响不大，可以确认完成；如果认为此缺陷要求医生修改，可点击“回复”把修改建议反馈给临床医生，且质控类型立马由机器转变成人工。</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针对质控员建议医生修改的缺陷问题，系统需支持在缺陷问题右上角进行不同颜色展示，方便质控员根据颜色快速定位到医生对缺陷建议的反馈情况，并对反馈结果进行确认。如：橙色显示质控员提交或回复后，医生暂时没有反馈；红色显示医生申诉后，质控员没做任何处理。</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vertAlign w:val="baseli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vertAlign w:val="baseline"/>
                <w14:textFill>
                  <w14:solidFill>
                    <w14:schemeClr w14:val="tx1"/>
                  </w14:solidFill>
                </w14:textFill>
              </w:rPr>
              <w:t xml:space="preserve">（</w:t>
            </w:r>
            <w:r>
              <w:rPr>
                <w:rFonts w:hint="default" w:ascii="宋体" w:hAnsi="宋体" w:eastAsia="宋体" w:cs="宋体"/>
                <w:b/>
                <w:bCs/>
                <w:i w:val="0"/>
                <w:iCs w:val="0"/>
                <w:color w:val="000000" w:themeColor="text1"/>
                <w:sz w:val="21"/>
                <w:szCs w:val="21"/>
                <w:highlight w:val="none"/>
                <w:u w:val="none"/>
                <w:vertAlign w:val="baseline"/>
                <w14:textFill>
                  <w14:solidFill>
                    <w14:schemeClr w14:val="tx1"/>
                  </w14:solidFill>
                </w14:textFill>
              </w:rPr>
              <w:t xml:space="preserve">4</w:t>
            </w:r>
            <w:r>
              <w:rPr>
                <w:rFonts w:hint="eastAsia" w:ascii="宋体" w:hAnsi="宋体" w:eastAsia="宋体" w:cs="宋体"/>
                <w:b/>
                <w:bCs/>
                <w:i w:val="0"/>
                <w:iCs w:val="0"/>
                <w:color w:val="000000" w:themeColor="text1"/>
                <w:sz w:val="21"/>
                <w:szCs w:val="21"/>
                <w:highlight w:val="none"/>
                <w:u w:val="none"/>
                <w:vertAlign w:val="baseline"/>
                <w14:textFill>
                  <w14:solidFill>
                    <w14:schemeClr w14:val="tx1"/>
                  </w14:solidFill>
                </w14:textFill>
              </w:rPr>
              <w:t xml:space="preserve">）</w:t>
            </w:r>
            <w:r>
              <w:rPr>
                <w:rFonts w:hint="eastAsia" w:ascii="宋体" w:hAnsi="宋体" w:eastAsia="宋体" w:cs="宋体"/>
                <w:b/>
                <w:bCs/>
                <w:i w:val="0"/>
                <w:iCs w:val="0"/>
                <w:color w:val="000000" w:themeColor="text1"/>
                <w:sz w:val="21"/>
                <w:szCs w:val="21"/>
                <w:highlight w:val="none"/>
                <w:u w:val="none"/>
                <w:vertAlign w:val="baseline"/>
                <w:lang w:val="en-US" w:eastAsia="zh-CN" w:bidi="ar"/>
                <w14:textFill>
                  <w14:solidFill>
                    <w14:schemeClr w14:val="tx1"/>
                  </w14:solidFill>
                </w14:textFill>
              </w:rPr>
              <w:t xml:space="preserve">审核病历时，除系统自动识别的书写问题，支持通过鼠标滑选对存在缺陷的文字直接进行标记，同时触发信息输入弹窗，包括选择文书类型、选择对应的质控点（提供所有质控点下拉窗，并支持关键字搜索）、扣分分值、科室（提供所有科室下拉窗并支持关键字搜索）、医生（提供所有医生名单下拉窗并支持关键字搜索），提供回复医生信息输入框且可添加及编辑模版</w:t>
            </w:r>
            <w:r>
              <w:rPr>
                <w:rFonts w:hint="eastAsia" w:ascii="宋体" w:hAnsi="宋体" w:eastAsia="宋体" w:cs="宋体"/>
                <w:b/>
                <w:bCs/>
                <w:i w:val="0"/>
                <w:iCs w:val="0"/>
                <w:color w:val="000000" w:themeColor="text1"/>
                <w:sz w:val="21"/>
                <w:szCs w:val="21"/>
                <w:highlight w:val="none"/>
                <w:u w:val="none"/>
                <w:vertAlign w:val="baseline"/>
                <w14:textFill>
                  <w14:solidFill>
                    <w14:schemeClr w14:val="tx1"/>
                  </w14:solidFill>
                </w14:textFill>
              </w:rPr>
              <w:t xml:space="preserve">。</w:t>
            </w:r>
            <w:r/>
          </w:p>
          <w:p>
            <w:pPr>
              <w:ind w:left="0" w:right="0" w:firstLine="0"/>
              <w:jc w:val="both"/>
              <w:spacing w:before="0" w:after="0"/>
              <w:rPr>
                <w:u w:val="single"/>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4"/>
                <w:u w:val="none"/>
                <w:vertAlign w:val="baseline"/>
              </w:rPr>
              <w:t xml:space="preserve">投标人需根据项目需求提供的演示内容制作演示视频文件。</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▲3、多级人工质控评价</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（1）支持专家、院级、科室等多级质控员对同一份病历进行人工质控；</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）支持单独页面展示每个级别质控员的质控结果及详情，详情中包括该质控员对每个质控问题的质控结果以及评分表结果。页面中还应包括质控任务名称、责任人、审核时间、质控审核人等基本信息；</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（3）支持上级质控专家查看和修改低级别的质控员的质控情况，同级别质控员只能修改分配给自己的质控结果，但是可以查看其他同级别质控员结果，低级别的质控员不能查看高级版的质控员的质控结果。</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4</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、病历评分表：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（1）系统根据医院评分表的配置及质控点关联，自动对病历进行评分，质控员可以进行人工评分。</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（2）支持根据评分项目导航快速定位不同评分项目，并对扣分项目进行标红处理，点击可查看具体扣分点、扣分结果、扣分理由，方便质控员对扣分情况进行确认/调整。</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（3）支持通过添加/删除缺陷问题进行人工干预评分，也支持通过人工修改该评估项目的扣分结果调整病历总体得分。</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5</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、病历缺陷问题质控过程闭环展示：</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（1）支持查看病历缺陷问题列表，了解每个缺陷问题的状态、医生申诉情况、扣分等，及时了解医生、质控员对现存问题的处理进度及详情。</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2）支持查看医生对病历缺陷问题是否申诉，点击回复可快速查看质控员与临床医生在线沟通历史详情，以及当前缺陷问题的整个流转过程，包括发现问题时间、人工质控回复医生时间、问题申诉时间及操作人员等。</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（3）支持一键溯源到缺陷问题对应的文书段落或原文。</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000000"/>
                <w:sz w:val="24"/>
                <w:u w:val="none"/>
              </w:rPr>
              <w:t xml:space="preserve">投标人需根据项目需求提供的演示内容制作演示视频文件。</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▲6、病历整体质控过程闭环展示：</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支持查看病历人工质控的闭环流程，需包括机器质控、人工审核、评价单下发、科室查收、医生确定、任务关闭等阶段的人工质控闭环流程。</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同时支持根据医院流程进行定制化配置。</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人工评价单下发管理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▲质控员在机器质控基础上完成人工审核后，系统自动生成该质控员所属质控级别的评价单，质管员可以进行批量下发给相关科室或医生，医生端可及时查看下发的人工评价单，并在线查收、确认；</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支持与医院的现有短信平台对接，完成下发时的短信通知。</w:t>
            </w:r>
            <w:r/>
          </w:p>
        </w:tc>
      </w:tr>
      <w:tr>
        <w:trPr>
          <w:trHeight w:val="3160"/>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审核意见反馈交互</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实现质控员与临床端医生的审核意见反馈交互，具体内容如下：</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1、临床端反馈：书写病历时，支持医生对AI质控的问题在线进行问题申诉；</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2、质控员审核：支持质控员对每个质控问题的申诉情况进行查看，可再次对修改不正确的缺陷进行再次回复并填写修改建议。</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3、临床端查看：临床端医生可对质控人员要求修改的病历问题进行查看和修改，如果对质控结果存在异议可在线进行申诉。</w:t>
            </w:r>
            <w:r/>
          </w:p>
          <w:p>
            <w:pPr>
              <w:ind w:left="0" w:right="0"/>
              <w:jc w:val="left"/>
              <w:keepLines w:val="0"/>
              <w:keepNext w:val="0"/>
              <w:spacing w:before="0" w:beforeAutospacing="0" w:after="0" w:afterAutospacing="0" w:line="400" w:lineRule="exact"/>
              <w:rPr>
                <w:rFonts w:hint="eastAsia" w:ascii="宋体" w:hAnsi="宋体" w:eastAsia="宋体" w:cs="宋体"/>
                <w:b/>
                <w:bCs/>
                <w:i/>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4、质控员确认：支持质控员按缺陷申诉情况查看病历，并对医生申诉的缺陷进行再次确认通过或再次编辑回复修改建议。</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统计与分析端功能</w:t>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24、</w:t>
            </w:r>
            <w:r>
              <w:rPr>
                <w:rFonts w:hint="eastAsia" w:ascii="宋体" w:hAnsi="宋体" w:eastAsia="宋体" w:cs="宋体"/>
                <w:b w:val="0"/>
                <w:bCs w:val="0"/>
                <w:i/>
                <w:iCs/>
                <w:color w:val="000000" w:themeColor="text1"/>
                <w:sz w:val="21"/>
                <w:szCs w:val="21"/>
                <w:highlight w:val="none"/>
                <w:u w:val="single"/>
                <w14:textFill>
                  <w14:solidFill>
                    <w14:schemeClr w14:val="tx1"/>
                  </w14:solidFill>
                </w14:textFill>
              </w:rPr>
              <w:t xml:space="preserve">工作台</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▲我的贡献：支持查看本年工作情况总览，包括本年运行质控审核病历数、本年终末质控审核病历数、本年任务完成或关闭的病历数及完成率、本年任务未完成的病历数及任务率等。</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我创建的评价任务：支持查看我创建的未完成任务列表及任务剩余天数，并以柱状图展示各质控员未完成任务的情况。</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待我执行的任务：支持查看我未完成的任务列表、运行待评价的任务列表、终末待评价的任务列表，可下钻到详细的病历列表及病历详情。</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我的运行/终末病历质控：支持查看在院/出院的病历数、关注的重点病历、重点问题列表，并支持自定义配置关注的重点病历、重点问题列表。</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自定义配置工作台：支持对工作台展示的内容进行自定义维护。</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25、整体分析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1、在院监测</w:t>
            </w:r>
            <w:r/>
          </w:p>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1</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）支持查看当前在院病历的在院病历数、问题病历数、问题总数、平均问题数、病历平均分，并支持下钻到当前病历数的详细病历列表；</w:t>
            </w:r>
            <w:r/>
          </w:p>
          <w:p>
            <w:pPr>
              <w:ind w:left="0" w:right="0" w:firstLine="0"/>
              <w:jc w:val="both"/>
              <w:spacing w:before="0" w:after="0"/>
              <w:rPr>
                <w:i w:val="0"/>
                <w:iCs w:val="0"/>
                <w:u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000000"/>
                <w:sz w:val="24"/>
                <w:u w:val="none"/>
              </w:rPr>
              <w:t xml:space="preserve">投标人需根据项目需求提供的演示内容制作演示视频文件。</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（2）支持对全院在院病例的病历质控情况进行实时监测，以柱状图、折线图、饼图、列表等直观展示在院病历质量、质控管理情况，包括科室问题病历分布、病历等级、在院问题占比T</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OP10</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、及时性完成情况、问题类型分布、及时性问题排名、问题文书排名、病历质控率趋势等。</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2、出院分析</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（1）支持按“今年、去年、本季、上季、本月、上月”快捷按钮或者“年度、季度、月份”维度自定义对病历的质控情况进行多维度统计分析。</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）支持查看当前医院的病历总数、问题病历数、病历平均分、平均问题数，且需包括各指标的环比、同比（年）；</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当前医院的病历等级、病历质量、病历问题、问题修正率、病历质控等情况，并以折线图、饼图、列表等形式直观展示，包括不仅限于病历级别分布、病历质量趋势分析、科室平均问题数排名、病历问题TOP10、及时性问题TOP5、质控点类型分布、问题修正率、质控率占比、质控管理情况等。</w:t>
            </w:r>
            <w:r/>
          </w:p>
        </w:tc>
      </w:tr>
      <w:tr>
        <w:trPr>
          <w:trHeight w:val="283"/>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14:textFill>
                  <w14:solidFill>
                    <w14:schemeClr w14:val="tx1"/>
                  </w14:solidFill>
                </w14:textFill>
              </w:rPr>
              <w:t xml:space="preserve">26、运行质控分析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支持按年度、季度、月、自定义时间对运行病历质控情况进行可视化、多维度统计分析展示，满足医院质控管理者快速了解全院运行病历质量情况。包括：</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1、评分表分析：支持以表格的形式，对医院各科室/医疗组/医生的运行病历评分情况进行统计分析，包括病历数、平均分、问题数、平均问题数、人工平均问题数、机器平均问题数；</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人工抽查分析：支持以趋势图、柱状图、表格多种形式展示医院病历质控评价情况，按科室质控分析、医疗组质控分析、医生质控分析、科室评价分析、医疗组评价分析、医生评价分析进行统计分析，包括在院病历数、审核病历数、病历质控率等，支持下钻到详细病历列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3、缺陷责任分析：支持按缺陷科室、缺陷医生维度查看全院运行病历缺陷问题情况及问题修改情况，包括触发问题数、现场问题数、现存问题率、修正问题数、问题修正率。</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4、工作量分析：支持以图形、表格对机器质控、科室质控、专家质控、医生质控的病历数、质控占比、质控问题数等工作情况进行统计分析。</w:t>
            </w:r>
            <w:r/>
          </w:p>
        </w:tc>
      </w:tr>
      <w:tr>
        <w:trPr>
          <w:trHeight w:val="283"/>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27、</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终末质控分析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支持按年度、季度、月、自定义时间对终末病历质控情况进行可视化、多维度统计分析展示，满足医院质控管理者快速了解全院终末病历质量情况。包括：</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1、质量分析：</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科室/医疗组/医生质量分析：支持以趋势图、柱状图、表格多种形式展示各科室/医疗组/医生的病历质量情况，包括不仅限于病历数、问题病历数、现存问题数、修正问题数、问题修正率、病历平均分、平均问题数等。</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（2）问题分析：支持查看终末病历的缺陷问题明细列表，点击缺陷问题可下钻到问题分析详情，包括按科室/医疗组/医生展示缺陷问题发生的病历数、失败率、修正病历数、问题修正率。</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2、评分表分析：支持以表格的形式，对各科室/医疗组/医生的总体病历评分情况进行统计分析，包括病历数、病历平均分、甲/乙/丙级病历占比等。</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人工抽查分析：支持以趋势图、柱状图、表格多种形式展示医院病历质控评价情况，按科室质控分析、医疗组质控分析、医生质控分析、科室评价分析、医疗组评价分析、医生评价分析进行统计分析，包括病历数、审核病历数、病历质控率等，支持下钻到详细病历列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4、缺陷责任分析：支持按缺陷科室、缺陷医生维度查看全院终末病历缺陷问题情况及问题修改情况，包括触发问题数、现场问题数、现存问题率、修正问题数、问题修正率。</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5、工作量分析：支持以图形、表格对机器质控、科室质控、专家质控、医生质控的病历数、质控占比、质控问题数等工作情况进行统计分析。</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配置引擎</w:t>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28、质控点管理</w:t>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、质控点查看：支持查看医院所有质控点，包括质控点名称、质控逻辑、质控点标签、质控类型、专科类型、提醒级别、状态、是否关联评分表等；</w:t>
            </w:r>
            <w:r/>
          </w:p>
        </w:tc>
      </w:tr>
      <w:tr>
        <w:trPr>
          <w:trHeight w:val="284"/>
        </w:trPr>
        <w:tc>
          <w:tcPr>
            <w:shd w:val="clear" w:color="auto" w:fill="auto"/>
            <w:tcW w:w="1276"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、质控点维护：</w:t>
            </w:r>
            <w:r/>
          </w:p>
          <w:p>
            <w:pPr>
              <w:ind w:left="0" w:right="0"/>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（1）支持根据医院质控需求对质控点进行开启关闭，提醒级别进行自定义配置（三级提醒：小图标/浮窗/大窗弹出卡控）；</w:t>
            </w:r>
            <w:r/>
          </w:p>
          <w:p>
            <w:pPr>
              <w:ind w:left="0" w:right="0"/>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（2）支持对质控点的标签名称、标签描述进行自定义设置；支持为每条质控点选择维护好的标签进行标注；支持通过质控点标签快速检索质控点。</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（3）支持对时效性质控点进行倒计时提醒时间的配置。如：入院记录要在24小时内完成，配置成8小时倒计时提醒，患者入院16小时后如果未书写入院记录，系统进行倒计时提醒。</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29、</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评分表配置</w:t>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支持对总体病历评分表、运行病历评分表进行自定义配置，如开启/关闭、是否在提醒端展示；至少</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包含：江苏省住院病历质量评定标准（</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2025版</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）内容。</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系统需内置多版本评分表模板，方便医院在模板基础上快速自定义编辑修改。</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新增、修改、删除具体评分项，评分项需包括：病历类型、项目分值、评分标准、评分方法、分值设置、扣分逻辑、单项缺陷设置及关联质控点等模块。支持单项否决、单项否决乙级、单项否决丙级的配置；并能满足单项扣分与累计扣分两种扣分逻辑，可编辑评分表名称与等级设置。</w:t>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65" w:name="_Hlk160722892"/>
            <w:r>
              <w:rPr>
                <w:rFonts w:hint="eastAsia" w:ascii="宋体" w:hAnsi="宋体" w:eastAsia="宋体" w:cs="宋体"/>
                <w:color w:val="000000" w:themeColor="text1"/>
                <w:sz w:val="21"/>
                <w:szCs w:val="21"/>
                <w:highlight w:val="none"/>
                <w14:textFill>
                  <w14:solidFill>
                    <w14:schemeClr w14:val="tx1"/>
                  </w14:solidFill>
                </w14:textFill>
              </w:rPr>
              <w:t xml:space="preserve">系统设置</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30、用户管理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系统应支持管理员设置不同角色权限，不同权限的角色在使用时功能模块和数据不一致。</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31、功能权限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系统应支持管理员对角色的功能模块权限进行自定义配置管理。</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32、数据权限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系统应支持管理员对角色数据查看权限的范围进行自定义配置管理。</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33、质控级别</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可根据每家医院情况设置多个质控级别，可自定义每个级别的级别名称、简称、级别等级，病历进行人工质控时自动按照级别从低到高进行流转。高级别可以修改低级别的质控结果；同级别只能查看其他同级别质控结果；低级别无法查看高级别质控结果。</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34、质控组维护</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系统应支持对质控组的质控级别、成员、科室进行自定义配置管理。</w:t>
            </w:r>
            <w:bookmarkEnd w:id="165"/>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住院病历形式质控点</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35、质控点覆盖</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病历文书包括入院记录、首次病程记录、手术记录、会诊记录、输血记录、转科记录等。</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形式质控内容包括病历文书记录的完整性、合理性、一致性、时效性。</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（所有质控点具体实现效果与国家政策变动、医院数据质量、临床工作需要相关，实现情况有所差异）</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66" w:name="_Hlk160723091"/>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36、完整性质控点</w:t>
            </w:r>
            <w:r/>
          </w:p>
        </w:tc>
        <w:tc>
          <w:tcPr>
            <w:shd w:val="clear" w:color="auto" w:fill="auto"/>
            <w:tcW w:w="6123" w:type="dxa"/>
            <w:vAlign w:val="center"/>
            <w:textDirection w:val="lrTb"/>
            <w:noWrap w:val="false"/>
          </w:tcPr>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入院记录专科检查完整性质检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入院记录初步诊断完整性质检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入院记录婚育史年龄完整性质检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入院记录婚育史子女数量完整性质检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入院记录家族史父母情况完整性质检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入院记录家族史兄弟姐妹情况完整性质检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入院记录无辅助检查记录（注明外院机构名称及日期）</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入院记录体格检查完整性质检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首次病程记录病例特点完整性质检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首次病程记录诊断依据完整性质检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首次病程记录鉴别诊断完整性质检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首次病程记录诊疗计划完整性质检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入院记录月经史完整性质检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手术记录麻醉方式完整性质检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手术记录手术经过完整性质检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手术前主刀医生查房记录完整性校验</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手术知情同意书完整性质检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输血记录输血反应完整性质检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术后首次病程记录麻醉方式完整性质检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术后首次病程记录手术方式完整性质检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术后首次病程记录手术经过完整性质检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术后首次病程记录术后处理措施完整性质检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术后首次病程记录术后诊断完整性质检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术前讨论记录完整性质检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术前讨论手术指征完整性质检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术前小结术前诊断完整性质检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死亡病例讨论记录病历摘要完整性质检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死亡病例讨论记录死亡时间完整性质检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死亡病例讨论记录死亡原因完整性质检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死亡病例讨论记录死亡诊断完整性质检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死亡病例讨论记录讨论结果完整性质检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死亡病例讨论记录治疗及抢救经过完整性质检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疑难病例讨论记录病历摘要完整性质检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疑难病例讨论记录讨论记录完整性质检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病危病人日常病程记录填写完整性质检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出院记录中出院医嘱相关描述完整性质检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出院医嘱完整性质检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出院记录诊疗经过完整性质检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会诊记录完整性质检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麻醉记录完整性质检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抢救记录完整性质检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危重病例患者，科主任或主（副主）任医师查房记录完整性质检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死亡病例的抢救记录完整性质检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疑难病例患者，科主任或主（副主）任医师查房记录完整性质检</w:t>
            </w:r>
            <w:r/>
          </w:p>
          <w:p>
            <w:pPr>
              <w:numPr>
                <w:ilvl w:val="0"/>
                <w:numId w:val="2"/>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输血治疗同意书完整性质检</w:t>
            </w:r>
            <w:bookmarkEnd w:id="166"/>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67" w:name="_Hlk160723138"/>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37、时效性质控点</w:t>
            </w:r>
            <w:r/>
          </w:p>
        </w:tc>
        <w:tc>
          <w:tcPr>
            <w:shd w:val="clear" w:color="auto" w:fill="auto"/>
            <w:tcW w:w="6123" w:type="dxa"/>
            <w:vAlign w:val="center"/>
            <w:textDirection w:val="lrTb"/>
            <w:noWrap w:val="false"/>
          </w:tcPr>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普通病人日常病程记录填写及时性质检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术前小结及时性质检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手术后日常病程记录填写及时性质检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病危病人日常病程记录填写及时性质检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病重病人日常病程记录填写及时性质检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入院记录书写及时性质检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首次病程记录及时性质检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阶段小结完成及时性质检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入院后首次主治医师查房记录及时性质检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主任医师|副主任医师日常查房记录时效性质检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抢救记录时效性质控</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入院三天内的病程记录填写及时性质检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转科后日常病程记录填写及时性质检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术后主刀医生病程记录及时性质检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死亡病例讨论记录及时性质检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首次上级医师查房记录及时性质检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default" w:ascii="Calibri" w:hAnsi="Calibri" w:eastAsia="宋体" w:cs="Times New Roman"/>
                <w:i/>
                <w:iCs/>
                <w:color w:val="000000" w:themeColor="text1"/>
                <w:sz w:val="24"/>
                <w:szCs w:val="24"/>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转科后转入记录完成及时性质检</w:t>
            </w:r>
            <w:r/>
          </w:p>
          <w:p>
            <w:pPr>
              <w:numPr>
                <w:ilvl w:val="0"/>
                <w:numId w:val="3"/>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术后三天内无上级医师或术者查房记录</w:t>
            </w:r>
            <w:bookmarkEnd w:id="167"/>
            <w:r/>
            <w:r/>
          </w:p>
        </w:tc>
      </w:tr>
      <w:tr>
        <w:trPr>
          <w:trHeight w:val="284"/>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住院病历内涵质控点</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38、质控点覆盖</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内涵质控点包括病历的完整性质控点、合理性质控点、一致性质控点、雷同性质控点。</w:t>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68" w:name="_Hlk160723185"/>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39、内涵完整性质控点</w:t>
            </w:r>
            <w:r/>
          </w:p>
        </w:tc>
        <w:tc>
          <w:tcPr>
            <w:shd w:val="clear" w:color="auto" w:fill="auto"/>
            <w:tcW w:w="6123" w:type="dxa"/>
            <w:vAlign w:val="center"/>
            <w:textDirection w:val="lrTb"/>
            <w:noWrap w:val="false"/>
          </w:tcPr>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入院记录主诉时间不完整；</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出院记录中出院带药信息不完整</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入院记录体格检查中缺少固定查体项目（头颈部、胸、腹、四肢、神经系统）；</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抢救记录中缺少抢救中的病情变化描述</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入院记录中过敏史记录内容遗漏</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入院记录中传染病记录内容遗漏</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入院记录现病史对一般情况描述有遗漏</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入院记录中手术史记录内容遗漏</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入院记录个人史缺少必要的描述</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入院记录既往史中，输血史未描述</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入院记录手术外伤史记录缺少具体内容</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入院记录体格检查中缺少数值描述</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首次病程诊疗计划中缺少填写护理等级</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术前讨论的讨论意见未在术前小结中记录</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死亡记录中未写明死亡原因</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术后首次病程记录缺少病理家属过目及送检情况</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术后首次病程无术后特别观察、注意事项</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首次病程病例特点中缺少鉴别诊断相关的阳性阴性症状或体征</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有创操作记录中无操作后体征描述</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输血记录中缺少输血后疗效评价</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有明确病理报告的患者，在首次病程鉴别诊断缺少病理确诊的证据描述</w:t>
            </w:r>
            <w:r/>
          </w:p>
          <w:p>
            <w:pPr>
              <w:numPr>
                <w:ilvl w:val="0"/>
                <w:numId w:val="4"/>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术中冰冻病理检查结果未在手术记录中体现</w:t>
            </w:r>
            <w:bookmarkEnd w:id="168"/>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69" w:name="_Hlk160723216"/>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40、内涵一致性质控点</w:t>
            </w:r>
            <w:r/>
          </w:p>
        </w:tc>
        <w:tc>
          <w:tcPr>
            <w:shd w:val="clear" w:color="auto" w:fill="auto"/>
            <w:tcW w:w="6123" w:type="dxa"/>
            <w:vAlign w:val="center"/>
            <w:textDirection w:val="lrTb"/>
            <w:noWrap w:val="false"/>
          </w:tcPr>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手术记录和术后首次病程记录的出血量不一致</w:t>
            </w:r>
            <w:r/>
          </w:p>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出院记录中出院医嘱和医嘱系统中出院带药不一致</w:t>
            </w: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w:t>
            </w:r>
            <w:r/>
          </w:p>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入院记录病史陈述者与患者意识状态矛盾</w:t>
            </w:r>
            <w:r/>
          </w:p>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手术记录和手麻系统的手术时间不一致</w:t>
            </w:r>
            <w:r/>
          </w:p>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入院记录主诉与现病史中，症状描述的时间不一致</w:t>
            </w:r>
            <w:r/>
          </w:p>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入院记录中主诉和现病史描述关联较少</w:t>
            </w:r>
            <w:r/>
          </w:p>
          <w:p>
            <w:pPr>
              <w:numPr>
                <w:ilvl w:val="0"/>
                <w:numId w:val="5"/>
              </w:numPr>
              <w:ind w:left="440" w:right="0" w:hanging="44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主诉和入院记录诊断无明显关联</w:t>
            </w:r>
            <w:bookmarkEnd w:id="169"/>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70" w:name="_Hlk160723230"/>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41、诊疗过程合理性质控点</w:t>
            </w:r>
            <w:r/>
          </w:p>
        </w:tc>
        <w:tc>
          <w:tcPr>
            <w:shd w:val="clear" w:color="auto" w:fill="auto"/>
            <w:tcW w:w="6123" w:type="dxa"/>
            <w:vAlign w:val="center"/>
            <w:textDirection w:val="lrTb"/>
            <w:noWrap w:val="false"/>
          </w:tcPr>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细菌培养结果需要在病程记录中有对应记录</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CT/MRI检查结果需记录在病程记录中；</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有创操作记录中未记录操作后注意事项</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住院患者应用抗菌药物后需记录在病程记录中</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抢救记录无对应抢救医嘱</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缺少出院前上级医师同意出院的记录</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抢救记录中描述的关键时间节点未精确到分</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抢救记录中未记录关键时间节点</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术中病理检查结果未在手术记录中体现</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常规病理检查结果未在日常病程记录中体现</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病程记录中对血常规、肝功能、肾功能、电解质检验结果未分析</w:t>
            </w:r>
            <w:r/>
          </w:p>
          <w:p>
            <w:pPr>
              <w:numPr>
                <w:ilvl w:val="0"/>
                <w:numId w:val="6"/>
              </w:numPr>
              <w:ind w:left="440" w:right="0" w:hanging="44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suppressLineNumbers w:val="0"/>
            </w:pPr>
            <w:r>
              <w:rPr>
                <w:rFonts w:hint="eastAsia" w:ascii="宋体" w:hAnsi="宋体" w:eastAsia="宋体" w:cs="宋体"/>
                <w:b w:val="0"/>
                <w:bCs w:val="0"/>
                <w:i/>
                <w:iCs/>
                <w:color w:val="000000" w:themeColor="text1"/>
                <w:sz w:val="21"/>
                <w:szCs w:val="21"/>
                <w:highlight w:val="none"/>
                <w:u w:val="single"/>
                <w:lang w:val="en-US" w:eastAsia="zh-CN" w:bidi="ar-SA"/>
                <w14:textFill>
                  <w14:solidFill>
                    <w14:schemeClr w14:val="tx1"/>
                  </w14:solidFill>
                </w14:textFill>
              </w:rPr>
              <w:t xml:space="preserve">死亡记录中死亡时间不具体</w:t>
            </w:r>
            <w:bookmarkEnd w:id="170"/>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42、专科质控质控点</w:t>
            </w:r>
            <w:r/>
          </w:p>
        </w:tc>
        <w:tc>
          <w:tcPr>
            <w:shd w:val="clear" w:color="auto" w:fill="auto"/>
            <w:tcW w:w="6123" w:type="dxa"/>
            <w:vAlign w:val="center"/>
            <w:textDirection w:val="lrTb"/>
            <w:noWrap w:val="false"/>
          </w:tcPr>
          <w:p>
            <w:pPr>
              <w:ind w:left="0" w:right="0" w:firstLine="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系统支持泌尿外科、肾内科、</w:t>
            </w: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产科、肿瘤</w:t>
            </w: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相关的专科质控点。</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bookmarkStart w:id="171" w:name="_Hlk160723268"/>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慢性肾病5期患者，入院记录中专科查体结果缺失</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IgA肾病患者，专科检查中缺失IgA肾病相关体征</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患者诊断胎膜早破，现病史中需记录阴道流液性状描述和ph试纸检测结果</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患者接受膀胱肿瘤相关手术，现病史中典型症状记录缺失</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入院第一诊断为结直肠恶性肿瘤，辅助检查中需要书写结肠镜检查结果</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社区获得性肺炎患者-首次病程记录辅助检查缺少血气分析或血氧饱和度检测</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社区获得性肺炎患者-入院记录既往史中缺少吸烟史具体内容</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社区获得性肺炎患者-入院记录既往史中未明确疫苗接种史具体内容</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社区获得性肺炎患者-入院记录现病史中缺少胸部影像学检查结果</w:t>
            </w:r>
            <w:r/>
          </w:p>
          <w:p>
            <w:pPr>
              <w:numPr>
                <w:ilvl w:val="0"/>
                <w:numId w:val="7"/>
              </w:numPr>
              <w:ind w:left="440" w:right="0" w:hanging="44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哮喘急性发作患者-入院记录初步诊断中缺少病情严重程度</w:t>
            </w:r>
            <w:bookmarkEnd w:id="171"/>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72" w:name="_Hlk160723289"/>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43、客观逻辑一致性质控点</w:t>
            </w:r>
            <w:r/>
          </w:p>
        </w:tc>
        <w:tc>
          <w:tcPr>
            <w:shd w:val="clear" w:color="auto" w:fill="auto"/>
            <w:tcW w:w="6123" w:type="dxa"/>
            <w:vAlign w:val="center"/>
            <w:textDirection w:val="lrTb"/>
            <w:noWrap w:val="false"/>
          </w:tcPr>
          <w:p>
            <w:pPr>
              <w:numPr>
                <w:ilvl w:val="0"/>
                <w:numId w:val="8"/>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男性患者不应存在月经史描述；</w:t>
            </w:r>
            <w:r/>
          </w:p>
          <w:p>
            <w:pPr>
              <w:numPr>
                <w:ilvl w:val="0"/>
                <w:numId w:val="8"/>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女性患者查体与性别不符</w:t>
            </w:r>
            <w:r/>
          </w:p>
          <w:p>
            <w:pPr>
              <w:numPr>
                <w:ilvl w:val="0"/>
                <w:numId w:val="8"/>
              </w:numPr>
              <w:ind w:left="440" w:right="0" w:hanging="440"/>
              <w:jc w:val="both"/>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男性患者查体与性别不符</w:t>
            </w:r>
            <w:r/>
          </w:p>
          <w:p>
            <w:pPr>
              <w:numPr>
                <w:ilvl w:val="0"/>
                <w:numId w:val="8"/>
              </w:numPr>
              <w:ind w:left="440" w:right="0" w:hanging="44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入院记录中患者和联系人电话不应一致</w:t>
            </w:r>
            <w:bookmarkEnd w:id="172"/>
            <w:r/>
            <w:r/>
          </w:p>
        </w:tc>
      </w:tr>
      <w:tr>
        <w:trPr>
          <w:trHeight w:val="284"/>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bookmarkStart w:id="173" w:name="_Hlk160723303"/>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44、雷同性质控点</w:t>
            </w:r>
            <w:r/>
          </w:p>
        </w:tc>
        <w:tc>
          <w:tcPr>
            <w:shd w:val="clear" w:color="auto" w:fill="auto"/>
            <w:tcW w:w="6123" w:type="dxa"/>
            <w:vAlign w:val="center"/>
            <w:textDirection w:val="lrTb"/>
            <w:noWrap w:val="false"/>
          </w:tcPr>
          <w:p>
            <w:pPr>
              <w:numPr>
                <w:ilvl w:val="0"/>
                <w:numId w:val="9"/>
              </w:numPr>
              <w:ind w:left="425" w:right="0" w:hanging="425"/>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病程记录（首次病程/首次查房/日常查房/上级医师查房）高度雷同</w:t>
            </w:r>
            <w:r/>
          </w:p>
          <w:p>
            <w:pPr>
              <w:numPr>
                <w:ilvl w:val="0"/>
                <w:numId w:val="9"/>
              </w:numPr>
              <w:ind w:left="425" w:right="0" w:hanging="425"/>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首次病程中病例特点的内容与入院记录现病史存在高度相似情况</w:t>
            </w:r>
            <w:r/>
          </w:p>
          <w:p>
            <w:pPr>
              <w:numPr>
                <w:ilvl w:val="0"/>
                <w:numId w:val="9"/>
              </w:numPr>
              <w:ind w:left="425" w:right="0" w:hanging="425"/>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default" w:ascii="宋体" w:hAnsi="宋体" w:eastAsia="宋体" w:cs="宋体"/>
                <w:i/>
                <w:iCs/>
                <w:color w:val="000000" w:themeColor="text1"/>
                <w:sz w:val="21"/>
                <w:szCs w:val="21"/>
                <w:highlight w:val="none"/>
                <w:u w:val="single"/>
                <w14:textFill>
                  <w14:solidFill>
                    <w14:schemeClr w14:val="tx1"/>
                  </w14:solidFill>
                </w14:textFill>
              </w:rPr>
              <w:t xml:space="preserve">术前讨论简要病情描述和首次病程病历特点高度重合</w:t>
            </w:r>
            <w:bookmarkEnd w:id="173"/>
            <w:r/>
            <w:r/>
          </w:p>
        </w:tc>
      </w:tr>
      <w:tr>
        <w:trPr>
          <w:trHeight w:val="227"/>
        </w:trPr>
        <w:tc>
          <w:tcPr>
            <w:gridSpan w:val="3"/>
            <w:shd w:val="clear" w:color="auto" w:fill="auto"/>
            <w:tcW w:w="8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病案首页质量控制系统</w:t>
            </w:r>
            <w:r/>
          </w:p>
        </w:tc>
      </w:tr>
      <w:tr>
        <w:trPr>
          <w:trHeight w:val="227"/>
        </w:trPr>
        <w:tc>
          <w:tcPr>
            <w:shd w:val="clear" w:color="auto" w:fill="auto"/>
            <w:tcW w:w="1276"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分系统名称</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系统功能</w:t>
            </w:r>
            <w:r/>
          </w:p>
        </w:tc>
        <w:tc>
          <w:tcPr>
            <w:shd w:val="clear" w:color="auto" w:fill="auto"/>
            <w:tcW w:w="612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功能描述及要求</w:t>
            </w:r>
            <w:r/>
          </w:p>
        </w:tc>
      </w:tr>
      <w:tr>
        <w:trPr>
          <w:trHeight w:val="227"/>
        </w:trPr>
        <w:tc>
          <w:tcPr>
            <w:shd w:val="clear" w:color="auto" w:fill="auto"/>
            <w:tcW w:w="127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事前提醒</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45、编码员实时质控</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1、支持病案室端在编码过程中实时质控，并智能提示，编码员可根据系统提示内容和建议修改病案首页。</w:t>
            </w:r>
            <w:r/>
          </w:p>
          <w:p>
            <w:pPr>
              <w:ind w:left="0" w:right="0"/>
              <w:jc w:val="left"/>
              <w:keepLines w:val="0"/>
              <w:keepNext w:val="0"/>
              <w:spacing w:before="0" w:beforeAutospacing="0" w:after="0" w:afterAutospacing="0" w:line="400" w:lineRule="exact"/>
              <w:rPr>
                <w:rFonts w:hint="default" w:ascii="Times New Roman" w:hAnsi="Times New Roman"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2、支持临床医生端在编码过程中实时质控，并智能提示，编码员可根据系统提示内容和建议修改病案首页。</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3、支持以首页缺陷问题进行提醒，展示质控点名称、备注、机器/人工。</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4、支持查看人工质控结果，对人工质控的问题进行实时反馈。</w:t>
            </w:r>
            <w:r/>
          </w:p>
          <w:p>
            <w:pPr>
              <w:ind w:left="0" w:right="0"/>
              <w:jc w:val="left"/>
              <w:keepLines w:val="0"/>
              <w:keepNext w:val="0"/>
              <w:spacing w:before="0" w:beforeAutospacing="0" w:after="0" w:afterAutospacing="0" w:line="400" w:lineRule="exact"/>
              <w:rPr>
                <w:rFonts w:hint="default" w:ascii="Times New Roman" w:hAnsi="Times New Roman"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5、支持查看所属数据权限下的待反馈病案数量及待反馈问题数量，并查看问题。</w:t>
            </w:r>
            <w:r/>
          </w:p>
        </w:tc>
      </w:tr>
      <w:tr>
        <w:trPr>
          <w:trHeight w:val="227"/>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病案质控管理端</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46、首页</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1、统计当前出院月份下临床医生端首页质量和编码质量的问题，包括饼状图、柱状图、列表等，可查看数据的趋势走向。</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2、统计当前出院月份下病案室端首页质量和编码质量的问题，包括饼状图、柱状图、列表等，可查看数据的趋势走向。</w:t>
            </w:r>
            <w:r/>
          </w:p>
        </w:tc>
      </w:tr>
      <w:tr>
        <w:trPr>
          <w:trHeight w:val="227"/>
        </w:trPr>
        <w:tc>
          <w:tcPr>
            <w:shd w:val="clear" w:color="auto" w:fill="auto"/>
            <w:tcW w:w="1276"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47、病案查询</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支持多个病案查询页面展示，分别为质控查询、精确查询。并支持按患者、按问题多维度查询病案列表。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质控查询：支持病案首页按出院科室、质控点类型、出院日期、编码员、回复状态、质控医生、首页等级、诊断、诊断类型、手术、首页得分、病案归档状态、病案编码状态、病理特征、标签等条件进行快速查询，可根据数据权限按科室、按病区控制数据查询范围。</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（2）精确查询：支持按病历号、病案号、患者姓名等对病案进行精准查询。</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病案列表的字段展示列进行自定义选择配置，选择项包括不仅限于待质控员回复、待医生反馈、机器现存问题、质控医生、病案等级、病案得分、现存问题、质控状态、标签、病区、医疗组、主治医生、主任医生、住院医生等。</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支持对病案首页标签名称、标签描述进行自定义设置；支持为每份病案首页人工选择维护好的标签进行标注；支持通过标签快速检索病案。</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支持对检索到的病案快速生成患者列表、患者问题列表、患者评分列表，并支持列表的查看、下载。</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48、病案查看</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支持点击列表中病历号或点击操作列查看按钮对病案进行下钻，可查看病案质控详情，包括文书列表、评分表等；</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1、文书列表：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支持查看患者病案缺陷问题详情，以及患者本次住院的360维度信息，应包括：患者病案首页、入院记录、出院/死亡记录、病程记录、医嘱、检验检查结果、谈话记录等相关信息。</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2、评分表：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支持根据医院配置的评分表内容，进行评分表展现。评分表包括不仅限于评分项目、评分标准、评分方法、扣分结果、扣分理由；</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支持展示病案的得分情况，以及具体的评分明细，并根据评分项目导航快速定位不同评分项目；</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支持对扣分项目进行标红处理，点击可查看具体扣分情况。</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▲3、质控闭环：</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通过质控闭环可以清晰的看到当前病历的质控流程机器发现问题时间、医生主动修改时间、人工确认时间以及操作人员。通过闭环可以看到某一个缺陷问题整个的流转过程。</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49、质控人员实时质控</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1、质控缺陷总览：</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在质控员选择一份病案首页进行人工审核时，系统智能提示当前病案首页的缺陷问题数量，支持展示所有缺陷问题详情、备注问题缺陷原因、扣分、质控类型（机器/人工）等。</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质控员可对质控问题进行备注和修改完成操作。</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▲2、人工质控与结果确认：</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支持点击缺陷问题，系统自动跳转至缺陷对应的原文，且高亮并划线对应到质控点上；</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支持质控人员根据系统的质控结果对病案的缺陷进行人工确认；</w:t>
            </w:r>
            <w:r/>
          </w:p>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对于系统未发现的问题，需支持人工添加缺陷问题，并与质控库中的质控点进行关联，可对添加问题进行备注说明。</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3、评分表：</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系统根据医院评分表的配置及质控点关联，自动对病案进行评分，质控员可以进行人工评分。</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支持根据评分项目导航快速定位不同评分项目，并对扣分项目进行标红处理，点击可查看具体扣分点、扣分结果、扣分理由，方便质控员对扣分情况进行确认/调整。</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支持通过添加/删除缺陷问题进行人工干预评分，也支持通过人工修改该评估项目的扣分结果调整病案总体得分。</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4、质控闭环：</w:t>
            </w:r>
            <w:r/>
          </w:p>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支持查看病案缺陷详细问题，了解每个缺陷问题的状态、医生沟通情况、扣分等，及时了解医生、质控员对现存问题的处理进度及详情。</w:t>
            </w:r>
            <w:r/>
          </w:p>
        </w:tc>
      </w:tr>
      <w:tr>
        <w:trPr>
          <w:trHeight w:val="227"/>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病案质量分析</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50、</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首页质量分析</w:t>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支持按年度、季度、月份、自定义对全院病案（归档/未归档、编码/未编码）的质控情况进行多维度统计分析。</w:t>
            </w:r>
            <w:r/>
          </w:p>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系统应支持全院病案首页问题情况在一定时间段内的多维度数据展示，至少应包括：病案首页数、平均分、平均问题数，且需包括各指标的环比、同比（年）；</w:t>
            </w:r>
            <w:r/>
          </w:p>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系统应支持不同科室/医疗组/编码员病案首页的质量情况进行分析，至少应包括：病案首页问题、平均问题数、平均分、首页等级等质量情况分布。</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51、病案问题分析</w:t>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首页问题分析：支持查看病案的缺陷问题明细列表，可按质控点类型、是否单项否决、专科类型等条件搜索，查看病案缺陷问题的质控总数、不通过数、不通过率、修正问题数、修正率等。</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编码问题分析：支持查看病案编码的缺陷问题明细列表，包括病案编码缺陷问题的质控总数、不通过数、不通过率、修正问题数、修正率。</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问题分析详情：支持点击缺陷问题下钻到问题分析详情，支持以科室/医疗组/医生展示缺陷问题发生的问题首页数、失败率、修正首页数、问题修正率。</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52、评分表分析</w:t>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支持以表格的形式，对各科室/医疗组/医生的首页评分情况进行统计分析，包括首页数、首页平均分、优级/良级/可级/差级首页占比、首页平均问题。</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53、首页质量管理分析</w:t>
            </w:r>
            <w:r/>
          </w:p>
        </w:tc>
        <w:tc>
          <w:tcPr>
            <w:shd w:val="clear" w:color="auto" w:fill="auto"/>
            <w:tcW w:w="61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支持以柱状图展示各科室/医疗组/编码员/质控员的质控首页情况分布，并以表格的形式展示各科室/医疗组/编码员/质控员的首页数、质控首页数、首页质控率，支持下钻到详细病案列表。</w:t>
            </w:r>
            <w:r/>
          </w:p>
        </w:tc>
      </w:tr>
      <w:tr>
        <w:trPr>
          <w:trHeight w:val="227"/>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质控点配置</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54、首页质控点查看</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支持按质控点名称/质控逻辑、质控点类型、专科类型、提醒级别等维度进行检索并查看全院首页相关的质控点。</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55、编码质控点查看</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支持按质控点原文、章节、专业类型、提醒级别等维度检索并查看手术/诊断编码相关的质控点。</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56、质控点维护</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系统设置支持临床版和病案版的首页质控点及编码质控点的配置，包括质控点的关闭、开启、医生端是否提醒等操作。</w:t>
            </w:r>
            <w:r/>
          </w:p>
        </w:tc>
      </w:tr>
      <w:tr>
        <w:trPr>
          <w:trHeight w:val="227"/>
        </w:trPr>
        <w:tc>
          <w:tcPr>
            <w:tcW w:w="1276" w:type="dxa"/>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支持对质控点的批量开启和关闭</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支持质控点的质控级别进行配置，支持3级配置（1级：小图标；2级：浮窗；3级：大窗弹出卡控），3级为最高级别。</w:t>
            </w:r>
            <w:r/>
          </w:p>
        </w:tc>
      </w:tr>
      <w:tr>
        <w:trPr>
          <w:trHeight w:val="227"/>
        </w:trPr>
        <w:tc>
          <w:tcPr>
            <w:tcW w:w="1276" w:type="dxa"/>
            <w:vAlign w:val="center"/>
            <w:vMerge w:val="restart"/>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评分表配置</w:t>
            </w:r>
            <w:r/>
          </w:p>
        </w:tc>
        <w:tc>
          <w:tcPr>
            <w:tcW w:w="1563" w:type="dxa"/>
            <w:vAlign w:val="center"/>
            <w:vMerge w:val="restart"/>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57、</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评分表配置</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支持对临床版和病案版评分表的自定义配置功能，可对评分表进行启用、提醒端是否提示、病案等级是否提示等操作。</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系统需内置多版本评分表模板，方便医院在模板基础上快速自定义编辑修改。</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支持新增、修改、删除具体评分项，评分项需包括：类型、项目分值、评分标准、评分方法、分值设置、扣分逻辑、单项缺陷设置及关联质控点等模块。支持单项否决、单项否决乙级、单项否决丙级的配置；并能满足单项扣分与累计扣分两种扣分逻辑，可编辑评分表名称与病案等级设置。</w:t>
            </w:r>
            <w:r/>
          </w:p>
        </w:tc>
      </w:tr>
      <w:tr>
        <w:trPr>
          <w:trHeight w:val="227"/>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权限配置</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58、</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用户管理</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系统支持管理员设置不同角色权限，不同权限的角色在使用时功能模块和数据不一致。</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59、</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功能权限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系统支持管理员对角色的功能模块权限进行自定义配置管理。</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60、</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数据权限</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系统支持管理员对角色数据查看权限的范围进行自定义配置管理。</w:t>
            </w:r>
            <w:r/>
          </w:p>
        </w:tc>
      </w:tr>
      <w:tr>
        <w:trPr>
          <w:trHeight w:val="227"/>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病案首页形式质控点</w:t>
            </w:r>
            <w:r/>
          </w:p>
        </w:tc>
        <w:tc>
          <w:tcPr>
            <w:shd w:val="clear" w:color="auto" w:fill="auto"/>
            <w:tcW w:w="1563"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病案首页数据完整性质控点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满足国卫办医发〔</w:t>
            </w:r>
            <w:r>
              <w:rPr>
                <w:rFonts w:hint="default" w:ascii="宋体" w:hAnsi="宋体" w:eastAsia="宋体" w:cs="Times New Roman"/>
                <w:i/>
                <w:iCs/>
                <w:color w:val="000000" w:themeColor="text1"/>
                <w:sz w:val="21"/>
                <w:szCs w:val="21"/>
                <w:highlight w:val="none"/>
                <w:u w:val="single"/>
                <w14:textFill>
                  <w14:solidFill>
                    <w14:schemeClr w14:val="tx1"/>
                  </w14:solidFill>
                </w14:textFill>
              </w:rPr>
              <w:t xml:space="preserve">2016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rPr>
                <w:rFonts w:hint="default" w:ascii="宋体" w:hAnsi="宋体" w:eastAsia="宋体" w:cs="Times New Roman"/>
                <w:i/>
                <w:iCs/>
                <w:color w:val="000000" w:themeColor="text1"/>
                <w:sz w:val="21"/>
                <w:szCs w:val="21"/>
                <w:highlight w:val="none"/>
                <w:u w:val="single"/>
                <w14:textFill>
                  <w14:solidFill>
                    <w14:schemeClr w14:val="tx1"/>
                  </w14:solidFill>
                </w14:textFill>
              </w:rPr>
              <w:t xml:space="preserve">24</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号《国家卫生计生委办公厅关于印发住院病案首页数据填写质量规范（暂行）和住院病案首页数据质量管理与控制指标（</w:t>
            </w:r>
            <w:r>
              <w:rPr>
                <w:rFonts w:hint="default" w:ascii="宋体" w:hAnsi="宋体" w:eastAsia="宋体" w:cs="Times New Roman"/>
                <w:i/>
                <w:iCs/>
                <w:color w:val="000000" w:themeColor="text1"/>
                <w:sz w:val="21"/>
                <w:szCs w:val="21"/>
                <w:highlight w:val="none"/>
                <w:u w:val="single"/>
                <w14:textFill>
                  <w14:solidFill>
                    <w14:schemeClr w14:val="tx1"/>
                  </w14:solidFill>
                </w14:textFill>
              </w:rPr>
              <w:t xml:space="preserve">2016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版）的通知》中病案首页数据质量填写规范的要求。</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563"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可质检首页字段完整性：</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病案首页病案号完整性质检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病案首页籍贯完整性质检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病案首页民族完整性质检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病案首页国籍完整性质检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病案首页身份证号完整性质检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病案首页职业完整性质检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病案首页婚姻状况完整性质检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病案首页现住址完整性质检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病案首页住址电话号码完整性质检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病案首页现住址邮编完整性质检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病案首页性别完整性质检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病案首页户口地址完整性质检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病案首页户口地址邮编完整性质检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病案首页工作单位及地址完整性质检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病案首页单位电话完整性质检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病案首页单位邮编完整性质检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病案首页联系人姓名完整性质检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病案首页关系完整性质检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病案首页联系人地址完整性质检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病案首页联系人电话号码完整性质检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病案首页出生日期完整性质检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病案首页年龄完整性质检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病案首页患者姓名完整性质检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病案首页出生地完整性质检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病案首页门诊诊断完整性质检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病案首页手术及操作名称完整性质检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病案首页血型完整性质检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病案首页主任（副主任）医师完整性质检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病案首页主治医师完整性质检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病案首页住院医师完整性质检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病案首页质控医师完整性质检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病案首页抢救成功次数完整性质检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病案首页抢救次数完整性质检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病案首页抢救情况完整性质检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病案首页主要诊断编码完整性质检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病案首页损伤、中毒的外部因素完整性质检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病案首页是否有31天内再住院计划完整性质检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病案首页颅脑损伤患者昏迷时间完整性质检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病案首页离院方式完整性质检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病案首页过敏史完整性质检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病案首页完成及时性质检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病案首页入院时间完整性质检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病案首页入院途径完整性质检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病案首页入院科室完整性质检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病案首页手术及操作日期完整性质检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病案首页转科情况完整性质检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病案首页出院时间完整性质检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病案首页出院科室完整性质检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病案首页医疗付费方式完整性质检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病案首页重症监护信息完整性质检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病案首页呼吸机使用时间完整性质检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病案首页新生儿入院体重完整性质检</w:t>
            </w:r>
            <w:r/>
          </w:p>
          <w:p>
            <w:pPr>
              <w:numPr>
                <w:ilvl w:val="0"/>
                <w:numId w:val="10"/>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病案首页新生儿出生体重完整性质检</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首页一致性质控点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对首页信息的与其他文书或入院信息的一致性进行校验：</w:t>
            </w:r>
            <w:r/>
          </w:p>
          <w:p>
            <w:pPr>
              <w:numPr>
                <w:ilvl w:val="0"/>
                <w:numId w:val="11"/>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病案首页与血型化验的血型一致性质检</w:t>
            </w:r>
            <w:r/>
          </w:p>
          <w:p>
            <w:pPr>
              <w:numPr>
                <w:ilvl w:val="0"/>
                <w:numId w:val="11"/>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病案首页与入院信息的联系人姓名一致性质检</w:t>
            </w:r>
            <w:r/>
          </w:p>
          <w:p>
            <w:pPr>
              <w:numPr>
                <w:ilvl w:val="0"/>
                <w:numId w:val="11"/>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病案首页与入院信息的联系人地址一致性质检</w:t>
            </w:r>
            <w:r/>
          </w:p>
          <w:p>
            <w:pPr>
              <w:numPr>
                <w:ilvl w:val="0"/>
                <w:numId w:val="11"/>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病案首页与入院信息的联系人电话号码一致性质检</w:t>
            </w:r>
            <w:r/>
          </w:p>
          <w:p>
            <w:pPr>
              <w:numPr>
                <w:ilvl w:val="0"/>
                <w:numId w:val="11"/>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病案首页与入院信息的籍贯一致性质检</w:t>
            </w:r>
            <w:r/>
          </w:p>
          <w:p>
            <w:pPr>
              <w:numPr>
                <w:ilvl w:val="0"/>
                <w:numId w:val="11"/>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病案首页与入院信息的民族一致性质检</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首页合规性质控点</w:t>
            </w:r>
            <w:r/>
          </w:p>
        </w:tc>
        <w:tc>
          <w:tcPr>
            <w:shd w:val="clear" w:color="auto" w:fill="auto"/>
            <w:tcW w:w="6123" w:type="dxa"/>
            <w:vAlign w:val="center"/>
            <w:textDirection w:val="lrTb"/>
            <w:noWrap w:val="false"/>
          </w:tcPr>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病案首页联系人关系合规性质检</w:t>
            </w:r>
            <w:r/>
          </w:p>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病案首页死亡患者尸检合规性质检</w:t>
            </w:r>
            <w:r/>
          </w:p>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病案首页新生儿出生体重合规性质检</w:t>
            </w:r>
            <w:r/>
          </w:p>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病案首页住院天数合规性质检</w:t>
            </w:r>
            <w:r/>
          </w:p>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病案首页新生儿入院体重合规性质检</w:t>
            </w:r>
            <w:r/>
          </w:p>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死亡病例病案首页离院方式合规性质检</w:t>
            </w:r>
            <w:r/>
          </w:p>
          <w:p>
            <w:pPr>
              <w:numPr>
                <w:ilvl w:val="0"/>
                <w:numId w:val="12"/>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死亡患者病案首页是否出院31天再住院计划合规性质检</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64、</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诊断合规性质控点</w:t>
            </w:r>
            <w:r/>
          </w:p>
        </w:tc>
        <w:tc>
          <w:tcPr>
            <w:shd w:val="clear" w:color="auto" w:fill="auto"/>
            <w:tcW w:w="6123" w:type="dxa"/>
            <w:vAlign w:val="center"/>
            <w:textDirection w:val="lrTb"/>
            <w:noWrap w:val="false"/>
          </w:tcPr>
          <w:p>
            <w:pPr>
              <w:numPr>
                <w:ilvl w:val="0"/>
                <w:numId w:val="13"/>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病案首页贫血未明确分度</w:t>
            </w:r>
            <w:r/>
          </w:p>
          <w:p>
            <w:pPr>
              <w:numPr>
                <w:ilvl w:val="0"/>
                <w:numId w:val="13"/>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病案首页电解质紊乱诊断不明确</w:t>
            </w:r>
            <w:r/>
          </w:p>
          <w:p>
            <w:pPr>
              <w:numPr>
                <w:ilvl w:val="0"/>
                <w:numId w:val="13"/>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病案首页心律失常诊断未明确分类</w:t>
            </w:r>
            <w:r/>
          </w:p>
          <w:p>
            <w:pPr>
              <w:numPr>
                <w:ilvl w:val="0"/>
                <w:numId w:val="13"/>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病案首页糖尿病诊断未明确分型</w:t>
            </w:r>
            <w:r/>
          </w:p>
          <w:p>
            <w:pPr>
              <w:numPr>
                <w:ilvl w:val="0"/>
                <w:numId w:val="13"/>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病案首页呼吸衰竭诊断未明确分型、性质</w:t>
            </w:r>
            <w:r/>
          </w:p>
          <w:p>
            <w:pPr>
              <w:numPr>
                <w:ilvl w:val="0"/>
                <w:numId w:val="13"/>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Times New Roman"/>
                <w:i/>
                <w:iCs/>
                <w:color w:val="000000" w:themeColor="text1"/>
                <w:sz w:val="21"/>
                <w:szCs w:val="21"/>
                <w:highlight w:val="none"/>
                <w:u w:val="single"/>
                <w14:textFill>
                  <w14:solidFill>
                    <w14:schemeClr w14:val="tx1"/>
                  </w14:solidFill>
                </w14:textFill>
              </w:rPr>
              <w:t xml:space="preserve">病案首页高血压诊断未明确分类、分层</w:t>
            </w:r>
            <w:r/>
          </w:p>
        </w:tc>
      </w:tr>
      <w:tr>
        <w:trPr>
          <w:trHeight w:val="227"/>
        </w:trPr>
        <w:tc>
          <w:tcPr>
            <w:shd w:val="clear" w:color="auto" w:fill="auto"/>
            <w:tcW w:w="1276" w:type="dxa"/>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病案首页内涵质控点</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65、</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首页合规性质控点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对上报数据的合规性进行质量控制，如：</w:t>
            </w:r>
            <w:r/>
          </w:p>
          <w:p>
            <w:pPr>
              <w:numPr>
                <w:ilvl w:val="0"/>
                <w:numId w:val="14"/>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当首页出院诊断ICD10编码中含有S06（颅内损伤）时，入院前颅脑损伤患者昏迷时间不能为空，不需要填写的应为“-”</w:t>
            </w:r>
            <w:r/>
          </w:p>
          <w:p>
            <w:pPr>
              <w:numPr>
                <w:ilvl w:val="0"/>
                <w:numId w:val="14"/>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当首页出院诊断编码中含有S06（颅内损伤）时，入院后颅脑损伤患者昏迷时间不能为空，不需要填写的应为“-”</w:t>
            </w:r>
            <w:r/>
          </w:p>
          <w:p>
            <w:pPr>
              <w:numPr>
                <w:ilvl w:val="0"/>
                <w:numId w:val="14"/>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病案首页现住址邮编合规性质检</w:t>
            </w:r>
            <w:r/>
          </w:p>
          <w:p>
            <w:pPr>
              <w:numPr>
                <w:ilvl w:val="0"/>
                <w:numId w:val="14"/>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病案首页住址电话合规性质检</w:t>
            </w:r>
            <w:r/>
          </w:p>
          <w:p>
            <w:pPr>
              <w:numPr>
                <w:ilvl w:val="0"/>
                <w:numId w:val="14"/>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病案首页身份证号合规性质检</w:t>
            </w:r>
            <w:r/>
          </w:p>
          <w:p>
            <w:pPr>
              <w:numPr>
                <w:ilvl w:val="0"/>
                <w:numId w:val="14"/>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病案首页联系人姓名合规性质检</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66、</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首页一致性质控点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对患者基本信息、诊断、手术等信息相互间矛盾的情况进行质量控制</w:t>
            </w:r>
            <w:r/>
          </w:p>
          <w:p>
            <w:pPr>
              <w:numPr>
                <w:ilvl w:val="0"/>
                <w:numId w:val="15"/>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病案首页入院病情为有的诊断与入院记录的入院诊断不一致（入院时病情不明确的情况除外）</w:t>
            </w:r>
            <w:r/>
          </w:p>
          <w:p>
            <w:pPr>
              <w:numPr>
                <w:ilvl w:val="0"/>
                <w:numId w:val="15"/>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病案首页与入院记录过敏药物记录内容不一致</w:t>
            </w:r>
            <w:r/>
          </w:p>
          <w:p>
            <w:pPr>
              <w:numPr>
                <w:ilvl w:val="0"/>
                <w:numId w:val="15"/>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出院记录与病案首页记录的出院日期不一致</w:t>
            </w:r>
            <w:r/>
          </w:p>
          <w:p>
            <w:pPr>
              <w:numPr>
                <w:ilvl w:val="0"/>
                <w:numId w:val="15"/>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病案首页与入院记录婚姻状态不一致</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67、</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主诊断选择合理性质控点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对病案首页主诊断选择的合理性进行质量控制：</w:t>
            </w:r>
            <w:r/>
          </w:p>
          <w:p>
            <w:pPr>
              <w:numPr>
                <w:ilvl w:val="0"/>
                <w:numId w:val="16"/>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产科主诊断应选择产科并发症或伴随疾病</w:t>
            </w:r>
            <w:r/>
          </w:p>
          <w:p>
            <w:pPr>
              <w:numPr>
                <w:ilvl w:val="0"/>
                <w:numId w:val="16"/>
              </w:numPr>
              <w:ind w:left="425" w:right="0" w:hanging="425"/>
              <w:jc w:val="left"/>
              <w:keepLines w:val="0"/>
              <w:keepNext w:val="0"/>
              <w:spacing w:before="0" w:beforeAutospacing="0" w:after="0" w:afterAutospacing="0" w:line="400" w:lineRule="exact"/>
              <w:rPr>
                <w:rFonts w:hint="eastAsia" w:ascii="宋体" w:hAnsi="宋体" w:eastAsia="宋体" w:cs="Times New Roman"/>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选择剖宫产原因作为主诊断</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68、</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其他诊断遗漏质控点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对病案首页其他诊断遗漏的情况进行质控提醒：</w:t>
            </w:r>
            <w:r/>
          </w:p>
          <w:p>
            <w:pPr>
              <w:numPr>
                <w:ilvl w:val="0"/>
                <w:numId w:val="17"/>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RIS报告中提示的疾病未加入病案首页诊断中</w:t>
            </w:r>
            <w:r/>
          </w:p>
          <w:p>
            <w:pPr>
              <w:numPr>
                <w:ilvl w:val="0"/>
                <w:numId w:val="17"/>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既往史在病案首页的遗漏</w:t>
            </w:r>
            <w:r/>
          </w:p>
          <w:p>
            <w:pPr>
              <w:numPr>
                <w:ilvl w:val="0"/>
                <w:numId w:val="17"/>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术后诊断在病案首页的遗漏</w:t>
            </w:r>
            <w:r/>
          </w:p>
          <w:p>
            <w:pPr>
              <w:numPr>
                <w:ilvl w:val="0"/>
                <w:numId w:val="17"/>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出院诊断在病案首页的遗漏</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69、</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其他诊断错误质控点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入院记录正在治疗的疾病未列入病案首页其他诊断中：</w:t>
            </w:r>
            <w:r/>
          </w:p>
          <w:p>
            <w:pPr>
              <w:numPr>
                <w:ilvl w:val="0"/>
                <w:numId w:val="18"/>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病案首页出院诊断中Z37开头的ICD编码(分娩结局)存在重复</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70</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手术操作错误质控点</w:t>
            </w:r>
            <w:r/>
          </w:p>
        </w:tc>
        <w:tc>
          <w:tcPr>
            <w:shd w:val="clear" w:color="auto" w:fill="auto"/>
            <w:tcW w:w="6123" w:type="dxa"/>
            <w:vAlign w:val="center"/>
            <w:textDirection w:val="lrTb"/>
            <w:noWrap w:val="false"/>
          </w:tcPr>
          <w:p>
            <w:pPr>
              <w:numPr>
                <w:ilvl w:val="0"/>
                <w:numId w:val="19"/>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本次住院期间的手术不应书写为术后状态的诊断</w:t>
            </w:r>
            <w:r/>
          </w:p>
          <w:p>
            <w:pPr>
              <w:numPr>
                <w:ilvl w:val="0"/>
                <w:numId w:val="19"/>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手术入路在病案首页中的错误</w:t>
            </w:r>
            <w:r/>
          </w:p>
          <w:p>
            <w:pPr>
              <w:numPr>
                <w:ilvl w:val="0"/>
                <w:numId w:val="19"/>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病案首页四级手术分级选择错误</w:t>
            </w:r>
            <w:r/>
          </w:p>
        </w:tc>
      </w:tr>
      <w:tr>
        <w:trPr>
          <w:trHeight w:val="227"/>
        </w:trPr>
        <w:tc>
          <w:tcPr>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71、</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手术操作遗漏质控点</w:t>
            </w:r>
            <w:r/>
          </w:p>
        </w:tc>
        <w:tc>
          <w:tcPr>
            <w:shd w:val="clear" w:color="auto" w:fill="auto"/>
            <w:tcW w:w="6123" w:type="dxa"/>
            <w:vAlign w:val="center"/>
            <w:textDirection w:val="lrTb"/>
            <w:noWrap w:val="false"/>
          </w:tcPr>
          <w:p>
            <w:pPr>
              <w:numPr>
                <w:ilvl w:val="0"/>
                <w:numId w:val="20"/>
              </w:numPr>
              <w:ind w:left="425" w:right="0" w:hanging="425"/>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手术记录|术后首次病程|术前小结中的手术/操作在病案首页中的遗漏</w:t>
            </w:r>
            <w:r/>
          </w:p>
          <w:p>
            <w:pPr>
              <w:numPr>
                <w:ilvl w:val="0"/>
                <w:numId w:val="20"/>
              </w:numPr>
              <w:ind w:left="425" w:right="0" w:hanging="425"/>
              <w:jc w:val="left"/>
              <w:keepLines w:val="0"/>
              <w:keepNext w:val="0"/>
              <w:spacing w:before="0" w:beforeAutospacing="0" w:after="0" w:afterAutospacing="0" w:line="400" w:lineRule="exact"/>
              <w:widowControl w:val="off"/>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bidi="ar-SA"/>
                <w14:textFill>
                  <w14:solidFill>
                    <w14:schemeClr w14:val="tx1"/>
                  </w14:solidFill>
                </w14:textFill>
              </w:rPr>
              <w:t xml:space="preserve">手术经过中血管操作在病案首页手术/操作中存在遗漏</w:t>
            </w:r>
            <w:r/>
          </w:p>
        </w:tc>
      </w:tr>
      <w:tr>
        <w:trPr>
          <w:trHeight w:val="227"/>
        </w:trPr>
        <w:tc>
          <w:tcPr>
            <w:shd w:val="clear" w:color="auto" w:fill="auto"/>
            <w:tcW w:w="1276" w:type="dxa"/>
            <w:vAlign w:val="center"/>
            <w:vMerge w:val="restart"/>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编码质控点</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质控点覆盖</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宋体"/>
                <w:b/>
                <w:bCs/>
                <w:i w:val="0"/>
                <w:iCs w:val="0"/>
                <w:color w:val="000000" w:themeColor="text1"/>
                <w:sz w:val="21"/>
                <w:szCs w:val="21"/>
                <w:highlight w:val="none"/>
                <w:u w:val="none"/>
                <w14:textFill>
                  <w14:solidFill>
                    <w14:schemeClr w14:val="tx1"/>
                  </w14:solidFill>
                </w14:textFill>
              </w:rPr>
              <w:outlineLvl w:val="9"/>
              <w:suppressLineNumbers w:val="0"/>
            </w:pP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支持不低于</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3</w:t>
            </w: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000多条编码质控</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点</w:t>
            </w: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，至少包含对疾病诊断和手术操作编码质控</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点</w:t>
            </w:r>
            <w:r>
              <w:rPr>
                <w:rFonts w:hint="default" w:ascii="宋体" w:hAnsi="宋体" w:eastAsia="宋体" w:cs="宋体"/>
                <w:b/>
                <w:bCs/>
                <w:i w:val="0"/>
                <w:iCs w:val="0"/>
                <w:color w:val="000000" w:themeColor="text1"/>
                <w:sz w:val="21"/>
                <w:szCs w:val="21"/>
                <w:highlight w:val="none"/>
                <w:u w:val="none"/>
                <w14:textFill>
                  <w14:solidFill>
                    <w14:schemeClr w14:val="tx1"/>
                  </w14:solidFill>
                </w14:textFill>
              </w:rPr>
              <w:t xml:space="preserve">。</w:t>
            </w:r>
            <w:r/>
          </w:p>
          <w:p>
            <w:pPr>
              <w:ind w:left="0" w:right="0" w:firstLine="0"/>
              <w:jc w:val="both"/>
              <w:spacing w:before="0" w:after="0"/>
              <w:rPr>
                <w:b/>
                <w:bCs/>
                <w:i w:val="0"/>
                <w:iCs w:val="0"/>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4"/>
                <w:u w:val="none"/>
              </w:rPr>
              <w:t xml:space="preserve">投标人需根据项目需求提供的演示内容制作演示视频文件。</w:t>
            </w:r>
            <w:r/>
          </w:p>
        </w:tc>
      </w:tr>
      <w:tr>
        <w:trPr>
          <w:trHeight w:val="227"/>
        </w:trPr>
        <w:tc>
          <w:tcPr>
            <w:shd w:val="clear" w:color="auto" w:fill="auto"/>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72、</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诊断编码质控点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系统应涵盖主诊选择错误、诊断漏编、合并编码、编码冲突、以及编码位置错误等诊断编码质控点。</w:t>
            </w:r>
            <w:r/>
          </w:p>
        </w:tc>
      </w:tr>
      <w:tr>
        <w:trPr>
          <w:trHeight w:val="227"/>
        </w:trPr>
        <w:tc>
          <w:tcPr>
            <w:shd w:val="clear" w:color="auto" w:fill="auto"/>
            <w:tcW w:w="1276" w:type="dxa"/>
            <w:vAlign w:val="center"/>
            <w:vMerge w:val="continue"/>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73、</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手术编码质控点</w:t>
            </w:r>
            <w:r/>
          </w:p>
        </w:tc>
        <w:tc>
          <w:tcPr>
            <w:shd w:val="clear" w:color="auto" w:fill="auto"/>
            <w:tcW w:w="6123"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iCs/>
                <w:color w:val="000000" w:themeColor="text1"/>
                <w:sz w:val="21"/>
                <w:szCs w:val="21"/>
                <w:highlight w:val="none"/>
                <w:u w:val="single"/>
                <w14:textFill>
                  <w14:solidFill>
                    <w14:schemeClr w14:val="tx1"/>
                  </w14:solidFill>
                </w14:textFill>
              </w:rPr>
              <w:outlineLvl w:val="9"/>
              <w:suppressLineNumbers w:val="0"/>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系统应涵盖另编码遗漏、另编码疑似遗漏、手术省略编码多编、手术编码冲突以及合并编码等不同手术编码质控点。</w:t>
            </w:r>
            <w:r/>
          </w:p>
        </w:tc>
      </w:tr>
      <w:tr>
        <w:trPr>
          <w:trHeight w:val="227"/>
        </w:trPr>
        <w:tc>
          <w:tcPr>
            <w:gridSpan w:val="3"/>
            <w:shd w:val="clear" w:color="auto" w:fill="auto"/>
            <w:tcW w:w="8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罕见病风险预警模块</w:t>
            </w:r>
            <w:r/>
          </w:p>
        </w:tc>
      </w:tr>
      <w:tr>
        <w:trPr>
          <w:trHeight w:val="227"/>
        </w:trPr>
        <w:tc>
          <w:tcPr>
            <w:shd w:val="clear" w:color="auto" w:fill="auto"/>
            <w:tcW w:w="127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分系统名称</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系统功能</w:t>
            </w:r>
            <w:r/>
          </w:p>
        </w:tc>
        <w:tc>
          <w:tcPr>
            <w:shd w:val="clear" w:color="auto" w:fill="auto"/>
            <w:tcW w:w="612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功能描述及要求</w:t>
            </w:r>
            <w:r/>
          </w:p>
        </w:tc>
      </w:tr>
      <w:tr>
        <w:trPr>
          <w:trHeight w:val="1180"/>
        </w:trPr>
        <w:tc>
          <w:tcPr>
            <w:shd w:val="clear" w:color="auto" w:fill="auto"/>
            <w:tcW w:w="127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罕见病风险预警模块</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罕见病风险预警模块</w:t>
            </w:r>
            <w:r/>
          </w:p>
        </w:tc>
        <w:tc>
          <w:tcPr>
            <w:shd w:val="clear" w:color="auto" w:fill="auto"/>
            <w:tcW w:w="6123"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▲病种覆盖至少一个罕见病，例如非典型溶血尿毒综合征</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持基于患者数据筛选，帮助医生快速识别特定患病风险的群体</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支持医生端展示风险预警结果，一键溯源查看病历原文</w:t>
            </w:r>
            <w:r>
              <w:rPr>
                <w:rFonts w:hint="default"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p>
        </w:tc>
      </w:tr>
      <w:tr>
        <w:trPr>
          <w:trHeight w:val="510"/>
        </w:trPr>
        <w:tc>
          <w:tcPr>
            <w:gridSpan w:val="3"/>
            <w:shd w:val="clear" w:color="auto" w:fill="auto"/>
            <w:tcW w:w="8961"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信息技术应用创新要求</w:t>
            </w:r>
            <w:r/>
          </w:p>
        </w:tc>
      </w:tr>
      <w:tr>
        <w:trPr>
          <w:trHeight w:val="1180"/>
        </w:trPr>
        <w:tc>
          <w:tcPr>
            <w:shd w:val="clear" w:color="auto" w:fill="auto"/>
            <w:tcW w:w="1276" w:type="dxa"/>
            <w:vAlign w:val="top"/>
            <w:textDirection w:val="lrTb"/>
            <w:noWrap w:val="false"/>
          </w:tcPr>
          <w:p>
            <w:pPr>
              <w:ind w:left="0" w:firstLine="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信息技术应用创新要求</w:t>
            </w:r>
            <w:r/>
          </w:p>
        </w:tc>
        <w:tc>
          <w:tcPr>
            <w:shd w:val="clear" w:color="auto" w:fill="auto"/>
            <w:tcW w:w="1563" w:type="dxa"/>
            <w:vAlign w:val="top"/>
            <w:textDirection w:val="lrTb"/>
            <w:noWrap w:val="false"/>
          </w:tcPr>
          <w:p>
            <w:pPr>
              <w:ind w:left="0" w:firstLine="0"/>
              <w:jc w:val="both"/>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信息技术应用创新要求</w:t>
            </w:r>
            <w:r/>
          </w:p>
        </w:tc>
        <w:tc>
          <w:tcPr>
            <w:shd w:val="clear" w:color="auto" w:fill="auto"/>
            <w:tcW w:w="612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w:t>
            </w:r>
            <w:r>
              <w:rPr>
                <w:rFonts w:hint="eastAsia" w:ascii="宋体" w:hAnsi="宋体" w:cs="宋体"/>
                <w:b w:val="0"/>
                <w:bCs w:val="0"/>
                <w:i w:val="0"/>
                <w:iCs w:val="0"/>
                <w:color w:val="000000" w:themeColor="text1"/>
                <w:szCs w:val="21"/>
                <w:highlight w:val="none"/>
                <w:u w:val="none"/>
                <w:lang w:eastAsia="zh-CN"/>
                <w14:textFill>
                  <w14:solidFill>
                    <w14:schemeClr w14:val="tx1"/>
                  </w14:solidFill>
                </w14:textFill>
              </w:rPr>
              <w:t xml:space="preserve">无条件免费配合医院完成</w:t>
            </w:r>
            <w:r>
              <w:rPr>
                <w:rFonts w:hint="eastAsia" w:ascii="宋体" w:hAnsi="宋体" w:cs="宋体"/>
                <w:b w:val="0"/>
                <w:bCs w:val="0"/>
                <w:i w:val="0"/>
                <w:iCs w:val="0"/>
                <w:color w:val="000000" w:themeColor="text1"/>
                <w:szCs w:val="21"/>
                <w:highlight w:val="none"/>
                <w:u w:val="none"/>
                <w:lang w:val="en-US" w:eastAsia="zh-CN"/>
                <w14:textFill>
                  <w14:solidFill>
                    <w14:schemeClr w14:val="tx1"/>
                  </w14:solidFill>
                </w14:textFill>
              </w:rPr>
              <w:t xml:space="preserve">服务所用软件进行相关适配测试，确保产品在国产化环境下能够正常运行。</w:t>
            </w:r>
            <w:r>
              <w:rPr>
                <w:rFonts w:hint="eastAsia" w:cs="宋体"/>
                <w:b w:val="0"/>
                <w:bCs w:val="0"/>
                <w:i w:val="0"/>
                <w:iCs w:val="0"/>
                <w:color w:val="000000" w:themeColor="text1"/>
                <w:szCs w:val="21"/>
                <w:highlight w:val="none"/>
                <w:u w:val="none"/>
                <w:lang w:val="en-US" w:eastAsia="zh-CN"/>
                <w14:textFill>
                  <w14:solidFill>
                    <w14:schemeClr w14:val="tx1"/>
                  </w14:solidFill>
                </w14:textFill>
              </w:rPr>
              <w:t xml:space="preserve">投标时需</w:t>
            </w:r>
            <w:r>
              <w:rPr>
                <w:rFonts w:hint="eastAsia" w:cs="宋体"/>
                <w:b w:val="0"/>
                <w:bCs w:val="0"/>
                <w:i w:val="0"/>
                <w:iCs w:val="0"/>
                <w:color w:val="000000" w:themeColor="text1"/>
                <w:szCs w:val="21"/>
                <w:highlight w:val="none"/>
                <w:u w:val="none"/>
                <w:lang w:eastAsia="zh-CN"/>
                <w14:textFill>
                  <w14:solidFill>
                    <w14:schemeClr w14:val="tx1"/>
                  </w14:solidFill>
                </w14:textFill>
              </w:rPr>
              <w:t xml:space="preserve">提供承诺书</w:t>
            </w:r>
            <w:r>
              <w:rPr>
                <w:rFonts w:hint="eastAsia" w:cs="宋体"/>
                <w:b w:val="0"/>
                <w:bCs w:val="0"/>
                <w:i w:val="0"/>
                <w:iCs w:val="0"/>
                <w:color w:val="000000" w:themeColor="text1"/>
                <w:szCs w:val="21"/>
                <w:highlight w:val="none"/>
                <w:u w:val="none"/>
                <w:lang w:val="en-US" w:eastAsia="zh-CN"/>
                <w14:textFill>
                  <w14:solidFill>
                    <w14:schemeClr w14:val="tx1"/>
                  </w14:solidFill>
                </w14:textFill>
              </w:rPr>
              <w:t xml:space="preserve">并加盖投标单位公章</w:t>
            </w:r>
            <w:r>
              <w:rPr>
                <w:rFonts w:hint="eastAsia" w:cs="宋体"/>
                <w:b w:val="0"/>
                <w:bCs w:val="0"/>
                <w:i w:val="0"/>
                <w:iCs w:val="0"/>
                <w:color w:val="000000" w:themeColor="text1"/>
                <w:szCs w:val="21"/>
                <w:highlight w:val="none"/>
                <w:u w:val="none"/>
                <w:lang w:eastAsia="zh-CN"/>
                <w14:textFill>
                  <w14:solidFill>
                    <w14:schemeClr w14:val="tx1"/>
                  </w14:solidFill>
                </w14:textFill>
              </w:rPr>
              <w:t xml:space="preserve">（</w:t>
            </w:r>
            <w:r>
              <w:rPr>
                <w:rFonts w:hint="eastAsia" w:cs="宋体"/>
                <w:b w:val="0"/>
                <w:bCs w:val="0"/>
                <w:i w:val="0"/>
                <w:iCs w:val="0"/>
                <w:color w:val="000000" w:themeColor="text1"/>
                <w:szCs w:val="21"/>
                <w:highlight w:val="none"/>
                <w:u w:val="none"/>
                <w:lang w:val="en-US" w:eastAsia="zh-CN"/>
                <w14:textFill>
                  <w14:solidFill>
                    <w14:schemeClr w14:val="tx1"/>
                  </w14:solidFill>
                </w14:textFill>
              </w:rPr>
              <w:t xml:space="preserve">格式自制，承诺内容需符合上述要求</w:t>
            </w:r>
            <w:r>
              <w:rPr>
                <w:rFonts w:hint="eastAsia" w:cs="宋体"/>
                <w:b w:val="0"/>
                <w:bCs w:val="0"/>
                <w:i w:val="0"/>
                <w:iCs w:val="0"/>
                <w:color w:val="000000" w:themeColor="text1"/>
                <w:szCs w:val="21"/>
                <w:highlight w:val="none"/>
                <w:u w:val="none"/>
                <w:lang w:eastAsia="zh-CN"/>
                <w14:textFill>
                  <w14:solidFill>
                    <w14:schemeClr w14:val="tx1"/>
                  </w14:solidFill>
                </w14:textFill>
              </w:rPr>
              <w:t xml:space="preserve">）</w:t>
            </w:r>
            <w:r>
              <w:rPr>
                <w:rFonts w:hint="eastAsia" w:ascii="宋体" w:hAnsi="宋体" w:cs="宋体"/>
                <w:b w:val="0"/>
                <w:bCs w:val="0"/>
                <w:i w:val="0"/>
                <w:iCs w:val="0"/>
                <w:color w:val="000000" w:themeColor="text1"/>
                <w:szCs w:val="21"/>
                <w:highlight w:val="none"/>
                <w:u w:val="none"/>
                <w:lang w:eastAsia="zh-CN"/>
                <w14:textFill>
                  <w14:solidFill>
                    <w14:schemeClr w14:val="tx1"/>
                  </w14:solidFill>
                </w14:textFill>
              </w:rPr>
              <w:t xml:space="preserve">。</w:t>
            </w:r>
            <w:r/>
          </w:p>
        </w:tc>
      </w:tr>
      <w:tr>
        <w:trPr>
          <w:trHeight w:val="480"/>
        </w:trPr>
        <w:tc>
          <w:tcPr>
            <w:gridSpan w:val="3"/>
            <w:shd w:val="clear" w:color="auto" w:fill="auto"/>
            <w:tcW w:w="8961" w:type="dxa"/>
            <w:vAlign w:val="center"/>
            <w:textDirection w:val="lrTb"/>
            <w:noWrap w:val="false"/>
          </w:tcPr>
          <w:p>
            <w:pPr>
              <w:ind w:right="0"/>
              <w:jc w:val="center"/>
              <w:keepLines w:val="0"/>
              <w:keepNext w:val="0"/>
              <w:spacing w:before="0" w:beforeAutospacing="0" w:after="0" w:afterAutospacing="0"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AI模型应用</w:t>
            </w:r>
            <w:r/>
          </w:p>
        </w:tc>
      </w:tr>
      <w:tr>
        <w:trPr>
          <w:trHeight w:val="568"/>
        </w:trPr>
        <w:tc>
          <w:tcPr>
            <w:shd w:val="clear" w:color="auto" w:fill="auto"/>
            <w:tcW w:w="1276" w:type="dxa"/>
            <w:vAlign w:val="center"/>
            <w:textDirection w:val="lrTb"/>
            <w:noWrap w:val="false"/>
          </w:tcPr>
          <w:p>
            <w:pPr>
              <w:jc w:val="both"/>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AI模型应用</w:t>
            </w:r>
            <w:r/>
          </w:p>
        </w:tc>
        <w:tc>
          <w:tcPr>
            <w:shd w:val="clear" w:color="auto" w:fill="auto"/>
            <w:tcW w:w="1563" w:type="dxa"/>
            <w:vAlign w:val="center"/>
            <w:textDirection w:val="lrTb"/>
            <w:noWrap w:val="false"/>
          </w:tcPr>
          <w:p>
            <w:pPr>
              <w:jc w:val="both"/>
              <w:rPr>
                <w:rFonts w:hint="eastAsia" w:ascii="宋体" w:hAnsi="宋体" w:cs="宋体"/>
                <w:b/>
                <w:bCs/>
                <w:i/>
                <w:color w:val="000000" w:themeColor="text1"/>
                <w:szCs w:val="21"/>
                <w:highlight w:val="none"/>
                <w14:textFill>
                  <w14:solidFill>
                    <w14:schemeClr w14:val="tx1"/>
                  </w14:solidFill>
                </w14:textFill>
              </w:rPr>
            </w:pPr>
            <w:r>
              <w:rPr>
                <w:rFonts w:hint="eastAsia" w:ascii="宋体" w:hAnsi="宋体" w:cs="宋体"/>
                <w:b/>
                <w:bCs/>
                <w:i/>
                <w:iCs/>
                <w:color w:val="000000" w:themeColor="text1"/>
                <w:szCs w:val="21"/>
                <w:highlight w:val="none"/>
                <w:lang w:eastAsia="zh-CN"/>
                <w14:textFill>
                  <w14:solidFill>
                    <w14:schemeClr w14:val="tx1"/>
                  </w14:solidFill>
                </w14:textFill>
              </w:rPr>
              <w:t xml:space="preserve">病历文书生成</w:t>
            </w:r>
            <w:r/>
          </w:p>
        </w:tc>
        <w:tc>
          <w:tcPr>
            <w:shd w:val="clear" w:color="auto" w:fill="auto"/>
            <w:tcW w:w="6123" w:type="dxa"/>
            <w:vAlign w:val="center"/>
            <w:textDirection w:val="lrTb"/>
            <w:noWrap w:val="false"/>
          </w:tcPr>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22"/>
                <w:u w:val="none"/>
              </w:rPr>
              <w:t xml:space="preserve">1</w:t>
            </w:r>
            <w:r>
              <w:rPr>
                <w:rFonts w:ascii="Arial" w:hAnsi="Arial" w:eastAsia="Arial" w:cs="Arial"/>
                <w:b/>
                <w:bCs w:val="0"/>
                <w:i w:val="0"/>
                <w:iCs/>
                <w:color w:val="000000"/>
                <w:sz w:val="22"/>
                <w:u w:val="none"/>
              </w:rPr>
              <w:t xml:space="preserve">、核心功能需求​</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（一）</w:t>
            </w:r>
            <w:r>
              <w:rPr>
                <w:rFonts w:ascii="宋体" w:hAnsi="宋体" w:eastAsia="宋体" w:cs="宋体"/>
                <w:b/>
                <w:bCs w:val="0"/>
                <w:i w:val="0"/>
                <w:iCs/>
                <w:color w:val="000000"/>
                <w:sz w:val="22"/>
                <w:u w:val="none"/>
              </w:rPr>
              <w:t xml:space="preserve">AI </w:t>
            </w:r>
            <w:r>
              <w:rPr>
                <w:rFonts w:ascii="Arial" w:hAnsi="Arial" w:eastAsia="Arial" w:cs="Arial"/>
                <w:b/>
                <w:bCs w:val="0"/>
                <w:i w:val="0"/>
                <w:iCs/>
                <w:color w:val="000000"/>
                <w:sz w:val="22"/>
                <w:u w:val="none"/>
              </w:rPr>
              <w:t xml:space="preserve">病历文书生成功能​</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支持根据门诊、住院等不同场景，基于患者基础信息（姓名、性别、年龄等）、主诉、现病史、检查检验结果等数据，自动生成结构化病历文书初稿，涵盖门诊病历、住院志、病程记录、出院小结等类型。​</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生成内容需符合医疗文书书写规范，术语准确，逻辑连贯，可允许医护人员后续编辑修改。​</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具备学习优化能力，可根据用户修改记录与反馈，持续提升病历生成的准确性与贴合度。​</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（二）病历质控系统功能​</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自动检测病历文书中的规范性问题，至少包括错别字、语句不通顺、必填项缺失、格式错误等。​</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基于医疗规范与临床路径，对病历内容的合理性进行质控，如诊断与症状匹配度、用药与诊断关联性、病程记录时间逻辑等，实时提示问题并给出修改建议。​</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（三）病案首页质控功能​</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对接医院系统，自动提取病案首页数据，检测数据完整性（如必填字段是否缺失）、准确性（如编码与诊断对应关系、数值格式是否正确）。​</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依据国家医保结算清单、分组要求，对病案首页主要诊断、其他诊断、手术操作等填报内容进行合规性校验，避免分组错误。​</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22"/>
                <w:u w:val="none"/>
              </w:rPr>
              <w:t xml:space="preserve">2</w:t>
            </w:r>
            <w:r>
              <w:rPr>
                <w:rFonts w:ascii="Arial" w:hAnsi="Arial" w:eastAsia="Arial" w:cs="Arial"/>
                <w:b/>
                <w:bCs w:val="0"/>
                <w:i w:val="0"/>
                <w:iCs/>
                <w:color w:val="000000"/>
                <w:sz w:val="22"/>
                <w:u w:val="none"/>
              </w:rPr>
              <w:t xml:space="preserve">、技术要求​</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22"/>
                <w:u w:val="none"/>
              </w:rPr>
              <w:t xml:space="preserve">AI </w:t>
            </w:r>
            <w:r>
              <w:rPr>
                <w:rFonts w:ascii="Arial" w:hAnsi="Arial" w:eastAsia="Arial" w:cs="Arial"/>
                <w:b/>
                <w:bCs w:val="0"/>
                <w:i w:val="0"/>
                <w:iCs/>
                <w:color w:val="000000"/>
                <w:sz w:val="22"/>
                <w:u w:val="none"/>
              </w:rPr>
              <w:t xml:space="preserve">模型：采用成熟的自然语言处理、机器学习算法，模型训练数据需符合医疗数据安全规范，具备良好的泛化能力，支持在医院现有硬件环境中稳定运行（响应时间≤</w:t>
            </w:r>
            <w:r>
              <w:rPr>
                <w:rFonts w:ascii="宋体" w:hAnsi="宋体" w:eastAsia="宋体" w:cs="宋体"/>
                <w:b/>
                <w:bCs w:val="0"/>
                <w:i w:val="0"/>
                <w:iCs/>
                <w:color w:val="000000"/>
                <w:sz w:val="22"/>
                <w:u w:val="none"/>
              </w:rPr>
              <w:t xml:space="preserve">3</w:t>
            </w:r>
            <w:r>
              <w:rPr>
                <w:rFonts w:ascii="Arial" w:hAnsi="Arial" w:eastAsia="Arial" w:cs="Arial"/>
                <w:b/>
                <w:bCs w:val="0"/>
                <w:i w:val="0"/>
                <w:iCs/>
                <w:color w:val="000000"/>
                <w:sz w:val="22"/>
                <w:u w:val="none"/>
              </w:rPr>
              <w:t xml:space="preserve">秒</w:t>
            </w:r>
            <w:r>
              <w:rPr>
                <w:rFonts w:ascii="宋体" w:hAnsi="宋体" w:eastAsia="宋体" w:cs="宋体"/>
                <w:b/>
                <w:bCs w:val="0"/>
                <w:i w:val="0"/>
                <w:iCs/>
                <w:color w:val="000000"/>
                <w:sz w:val="22"/>
                <w:u w:val="none"/>
              </w:rPr>
              <w:t xml:space="preserve">/</w:t>
            </w:r>
            <w:r>
              <w:rPr>
                <w:rFonts w:ascii="Arial" w:hAnsi="Arial" w:eastAsia="Arial" w:cs="Arial"/>
                <w:b/>
                <w:bCs w:val="0"/>
                <w:i w:val="0"/>
                <w:iCs/>
                <w:color w:val="000000"/>
                <w:sz w:val="22"/>
                <w:u w:val="none"/>
              </w:rPr>
              <w:t xml:space="preserve">次）。​</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数据接口：支持与医院现有电子病历系统、医院信息系统、实验室信息系统等对接，实现数据双向传输与共享，接口兼容性需符合国家医疗数据交互标准。​</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安全性：符合《中华人民共和国数据安全法》《中华人民共和国个人信息保护法》及医疗行业数据安全要求，具备数据加密、访问权限控制、操作日志追溯等功能，防止患者隐私信息泄露。</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Arial" w:hAnsi="Arial" w:eastAsia="Arial" w:cs="Arial"/>
                <w:b/>
                <w:bCs w:val="0"/>
                <w:i w:val="0"/>
                <w:iCs/>
                <w:color w:val="000000"/>
                <w:sz w:val="22"/>
                <w:u w:val="none"/>
              </w:rPr>
              <w:t xml:space="preserve">投标时提供基于大模型的出院记录自动生成服务与对接证明材料。</w:t>
            </w:r>
            <w:r/>
          </w:p>
          <w:p>
            <w:pPr>
              <w:ind w:left="0" w:right="0" w:firstLine="0"/>
              <w:jc w:val="both"/>
              <w:spacing w:before="0" w:after="0"/>
              <w:rPr>
                <w:b/>
                <w:bCs w:val="0"/>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24"/>
                <w:u w:val="none"/>
              </w:rPr>
              <w:t xml:space="preserve">投标人需根据项目需求提供的演示内容制作演示视频文件。</w:t>
            </w:r>
            <w:r/>
          </w:p>
        </w:tc>
      </w:tr>
    </w:tbl>
    <w:p>
      <w:pPr>
        <w:ind w:left="0" w:right="0" w:firstLine="0"/>
        <w:jc w:val="both"/>
        <w:spacing w:before="0" w:after="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ind w:left="0" w:right="0" w:firstLine="482"/>
        <w:jc w:val="both"/>
        <w:keepLines w:val="0"/>
        <w:keepNext w:val="0"/>
        <w:pageBreakBefore w:val="0"/>
        <w:spacing w:before="0" w:after="0" w:line="360" w:lineRule="auto"/>
        <w:widowControl w:val="off"/>
        <w:rPr>
          <w:rFonts w:ascii="宋体" w:hAnsi="宋体" w:eastAsia="宋体" w:cs="宋体"/>
          <w:b w:val="0"/>
          <w:bCs/>
          <w:i/>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000000"/>
          <w:sz w:val="24"/>
          <w:u w:val="single"/>
        </w:rPr>
        <w:t xml:space="preserve">特别说明：</w:t>
      </w:r>
      <w:r>
        <w:rPr>
          <w:rFonts w:ascii="宋体" w:hAnsi="宋体" w:eastAsia="宋体" w:cs="宋体"/>
          <w:b w:val="0"/>
          <w:bCs/>
          <w:color w:val="000000"/>
          <w:sz w:val="24"/>
          <w:u w:val="single"/>
        </w:rPr>
        <w:t xml:space="preserve">（1）</w:t>
      </w:r>
      <w:r>
        <w:rPr>
          <w:rFonts w:hint="eastAsia" w:ascii="宋体" w:hAnsi="宋体" w:eastAsia="宋体" w:cs="Times New Roman"/>
          <w:b w:val="0"/>
          <w:bCs/>
          <w:i/>
          <w:iCs/>
          <w:color w:val="000000" w:themeColor="text1"/>
          <w:sz w:val="24"/>
          <w:szCs w:val="24"/>
          <w:highlight w:val="none"/>
          <w:u w:val="single"/>
          <w:lang w:val="en-US" w:eastAsia="zh-CN" w:bidi="ar-SA"/>
          <w14:textFill>
            <w14:solidFill>
              <w14:schemeClr w14:val="tx1"/>
            </w14:solidFill>
          </w14:textFill>
        </w:rPr>
        <w:t xml:space="preserve">以上采购需求技术参数中，带</w:t>
      </w:r>
      <w:r>
        <w:rPr>
          <w:rFonts w:ascii="宋体" w:hAnsi="宋体" w:eastAsia="宋体" w:cs="宋体"/>
          <w:b w:val="0"/>
          <w:bCs/>
          <w:i/>
          <w:iCs/>
          <w:color w:val="000000"/>
          <w:sz w:val="24"/>
          <w:u w:val="single"/>
        </w:rPr>
        <w:t xml:space="preserve">斜体</w:t>
      </w:r>
      <w:r>
        <w:rPr>
          <w:rFonts w:hint="eastAsia" w:ascii="宋体" w:hAnsi="宋体" w:eastAsia="宋体" w:cs="宋体"/>
          <w:b w:val="0"/>
          <w:bCs/>
          <w:i/>
          <w:iCs/>
          <w:color w:val="000000"/>
          <w:sz w:val="24"/>
          <w:u w:val="single"/>
          <w:lang w:val="en-US" w:eastAsia="zh-CN"/>
        </w:rPr>
        <w:t xml:space="preserve">和</w:t>
      </w:r>
      <w:r>
        <w:rPr>
          <w:rFonts w:ascii="宋体" w:hAnsi="宋体" w:eastAsia="宋体" w:cs="宋体"/>
          <w:b w:val="0"/>
          <w:bCs/>
          <w:i/>
          <w:iCs/>
          <w:color w:val="000000"/>
          <w:sz w:val="24"/>
          <w:u w:val="single"/>
        </w:rPr>
        <w:t xml:space="preserve">下划线部分</w:t>
      </w:r>
      <w:r>
        <w:rPr>
          <w:rFonts w:hint="eastAsia" w:ascii="宋体" w:hAnsi="宋体" w:eastAsia="宋体" w:cs="宋体"/>
          <w:b w:val="0"/>
          <w:bCs/>
          <w:i/>
          <w:iCs/>
          <w:color w:val="000000"/>
          <w:sz w:val="24"/>
          <w:u w:val="single"/>
          <w:lang w:val="en-US" w:eastAsia="zh-CN"/>
        </w:rPr>
        <w:t xml:space="preserve">的技术参数为必须满足的实质性要求，供应商</w:t>
      </w:r>
      <w:r>
        <w:rPr>
          <w:rFonts w:hint="eastAsia" w:ascii="宋体" w:hAnsi="宋体" w:eastAsia="宋体" w:cs="Times New Roman"/>
          <w:b w:val="0"/>
          <w:bCs/>
          <w:i/>
          <w:iCs/>
          <w:color w:val="000000" w:themeColor="text1"/>
          <w:sz w:val="24"/>
          <w:szCs w:val="24"/>
          <w:highlight w:val="none"/>
          <w:u w:val="single"/>
          <w:lang w:val="en-US" w:eastAsia="zh-CN" w:bidi="ar-SA"/>
          <w14:textFill>
            <w14:solidFill>
              <w14:schemeClr w14:val="tx1"/>
            </w14:solidFill>
          </w14:textFill>
        </w:rPr>
        <w:t xml:space="preserve">需在《技术响应偏离表中》逐条响应</w:t>
      </w:r>
      <w:r>
        <w:rPr>
          <w:rFonts w:ascii="宋体" w:hAnsi="宋体" w:eastAsia="宋体" w:cs="宋体"/>
          <w:b w:val="0"/>
          <w:bCs/>
          <w:i/>
          <w:iCs/>
          <w:color w:val="000000"/>
          <w:sz w:val="24"/>
          <w:u w:val="single"/>
        </w:rPr>
        <w:t xml:space="preserve">并完全响应招标文件要求，承诺满足(或优于)招标文件要求即可】，否则将视为未实质性响应采购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p>
    <w:p>
      <w:pPr>
        <w:ind w:firstLine="480"/>
        <w:jc w:val="both"/>
        <w:keepLines w:val="0"/>
        <w:keepNext w:val="0"/>
        <w:pageBreakBefore w:val="0"/>
        <w:spacing w:line="360" w:lineRule="auto"/>
        <w:widowControl w:val="off"/>
        <w:rPr>
          <w:rFonts w:ascii="宋体" w:hAnsi="宋体" w:eastAsia="宋体" w:cs="宋体"/>
          <w:b w:val="0"/>
          <w:bCs/>
          <w:i w:val="0"/>
          <w:iCs w:val="0"/>
          <w:color w:val="000000"/>
          <w:sz w:val="24"/>
        </w:rPr>
        <w:outlineLvl w:val="9"/>
      </w:pPr>
      <w:r>
        <w:rPr>
          <w:rFonts w:hint="eastAsia" w:ascii="宋体" w:hAnsi="宋体" w:eastAsia="宋体" w:cs="宋体"/>
          <w:b w:val="0"/>
          <w:bCs/>
          <w:i w:val="0"/>
          <w:iCs w:val="0"/>
          <w:color w:val="000000"/>
          <w:sz w:val="24"/>
          <w:lang w:eastAsia="zh-CN"/>
        </w:rPr>
        <w:t xml:space="preserve">（</w:t>
      </w:r>
      <w:r>
        <w:rPr>
          <w:rFonts w:hint="eastAsia" w:ascii="宋体" w:hAnsi="宋体" w:eastAsia="宋体" w:cs="宋体"/>
          <w:b w:val="0"/>
          <w:bCs/>
          <w:i w:val="0"/>
          <w:iCs w:val="0"/>
          <w:color w:val="000000"/>
          <w:sz w:val="24"/>
          <w:lang w:val="en-US" w:eastAsia="zh-CN"/>
        </w:rPr>
        <w:t xml:space="preserve">2</w:t>
      </w:r>
      <w:r>
        <w:rPr>
          <w:rFonts w:hint="eastAsia" w:ascii="宋体" w:hAnsi="宋体" w:eastAsia="宋体" w:cs="宋体"/>
          <w:b w:val="0"/>
          <w:bCs/>
          <w:i w:val="0"/>
          <w:iCs w:val="0"/>
          <w:color w:val="000000"/>
          <w:sz w:val="24"/>
          <w:lang w:eastAsia="zh-CN"/>
        </w:rPr>
        <w:t xml:space="preserve">）</w:t>
      </w:r>
      <w:r>
        <w:rPr>
          <w:rFonts w:ascii="宋体" w:hAnsi="宋体" w:eastAsia="宋体" w:cs="宋体"/>
          <w:b w:val="0"/>
          <w:bCs/>
          <w:i w:val="0"/>
          <w:iCs w:val="0"/>
          <w:color w:val="000000"/>
          <w:sz w:val="24"/>
        </w:rPr>
        <w:t xml:space="preserve">以上项目需求</w:t>
      </w:r>
      <w:r>
        <w:rPr>
          <w:rFonts w:hint="eastAsia" w:ascii="宋体" w:hAnsi="宋体" w:eastAsia="宋体" w:cs="宋体"/>
          <w:b w:val="0"/>
          <w:bCs/>
          <w:i w:val="0"/>
          <w:iCs w:val="0"/>
          <w:color w:val="000000"/>
          <w:sz w:val="24"/>
          <w:lang w:val="en-US" w:eastAsia="zh-CN"/>
        </w:rPr>
        <w:t xml:space="preserve">技术参数</w:t>
      </w:r>
      <w:r>
        <w:rPr>
          <w:rFonts w:ascii="宋体" w:hAnsi="宋体" w:eastAsia="宋体" w:cs="宋体"/>
          <w:b w:val="0"/>
          <w:bCs/>
          <w:i w:val="0"/>
          <w:iCs w:val="0"/>
          <w:color w:val="000000"/>
          <w:sz w:val="24"/>
        </w:rPr>
        <w:t xml:space="preserve">中，带“▲”技术参数</w:t>
      </w:r>
      <w:r>
        <w:rPr>
          <w:rFonts w:hint="eastAsia" w:ascii="宋体" w:hAnsi="宋体" w:eastAsia="宋体" w:cs="宋体"/>
          <w:b w:val="0"/>
          <w:bCs/>
          <w:i w:val="0"/>
          <w:iCs w:val="0"/>
          <w:color w:val="000000"/>
          <w:sz w:val="24"/>
          <w:lang w:val="en-US" w:eastAsia="zh-CN"/>
        </w:rPr>
        <w:t xml:space="preserve">为技术响应加分项，</w:t>
      </w:r>
      <w:r>
        <w:rPr>
          <w:rFonts w:hint="eastAsia" w:ascii="宋体" w:hAnsi="宋体"/>
          <w:b w:val="0"/>
          <w:bCs/>
          <w:color w:val="000000" w:themeColor="text1"/>
          <w:sz w:val="24"/>
          <w:highlight w:val="none"/>
          <w:lang w:val="en-US" w:eastAsia="zh-CN"/>
          <w14:textFill>
            <w14:solidFill>
              <w14:schemeClr w14:val="tx1"/>
            </w14:solidFill>
          </w14:textFill>
        </w:rPr>
        <w:t xml:space="preserve">本项目</w:t>
      </w:r>
      <w:r>
        <w:rPr>
          <w:rFonts w:hint="eastAsia" w:ascii="宋体" w:hAnsi="宋体"/>
          <w:b w:val="0"/>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技术参数</w:t>
      </w:r>
      <w:r>
        <w:rPr>
          <w:rFonts w:hint="eastAsia" w:ascii="宋体" w:hAnsi="宋体"/>
          <w:b w:val="0"/>
          <w:bCs/>
          <w:color w:val="000000" w:themeColor="text1"/>
          <w:sz w:val="24"/>
          <w:highlight w:val="none"/>
          <w14:textFill>
            <w14:solidFill>
              <w14:schemeClr w14:val="tx1"/>
            </w14:solidFill>
          </w14:textFill>
        </w:rPr>
        <w:t xml:space="preserve">”中标注“</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”的技术</w:t>
      </w:r>
      <w:r>
        <w:rPr>
          <w:rFonts w:hint="eastAsia" w:ascii="宋体" w:hAnsi="宋体"/>
          <w:b w:val="0"/>
          <w:bCs/>
          <w:color w:val="000000" w:themeColor="text1"/>
          <w:sz w:val="24"/>
          <w:highlight w:val="none"/>
          <w:lang w:val="en-US" w:eastAsia="zh-CN"/>
          <w14:textFill>
            <w14:solidFill>
              <w14:schemeClr w14:val="tx1"/>
            </w14:solidFill>
          </w14:textFill>
        </w:rPr>
        <w:t xml:space="preserve">参数共30项，</w:t>
      </w:r>
      <w:r>
        <w:rPr>
          <w:rFonts w:hint="eastAsia" w:ascii="宋体" w:hAnsi="宋体"/>
          <w:b w:val="0"/>
          <w:bCs/>
          <w:color w:val="000000" w:themeColor="text1"/>
          <w:sz w:val="24"/>
          <w:highlight w:val="none"/>
          <w14:textFill>
            <w14:solidFill>
              <w14:schemeClr w14:val="tx1"/>
            </w14:solidFill>
          </w14:textFill>
        </w:rPr>
        <w:t xml:space="preserve">每有一项不满足（</w:t>
      </w:r>
      <w:r>
        <w:rPr>
          <w:rFonts w:hint="eastAsia" w:ascii="宋体" w:hAnsi="宋体"/>
          <w:b w:val="0"/>
          <w:bCs/>
          <w:color w:val="000000" w:themeColor="text1"/>
          <w:sz w:val="24"/>
          <w:highlight w:val="none"/>
          <w:lang w:val="en-US" w:eastAsia="zh-CN"/>
          <w14:textFill>
            <w14:solidFill>
              <w14:schemeClr w14:val="tx1"/>
            </w14:solidFill>
          </w14:textFill>
        </w:rPr>
        <w:t xml:space="preserve">或</w:t>
      </w:r>
      <w:r>
        <w:rPr>
          <w:rFonts w:hint="eastAsia" w:ascii="宋体" w:hAnsi="宋体"/>
          <w:b w:val="0"/>
          <w:bCs/>
          <w:color w:val="000000" w:themeColor="text1"/>
          <w:sz w:val="24"/>
          <w:highlight w:val="none"/>
          <w14:textFill>
            <w14:solidFill>
              <w14:schemeClr w14:val="tx1"/>
            </w14:solidFill>
          </w14:textFill>
        </w:rPr>
        <w:t xml:space="preserve">负偏离）的扣</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 w:val="0"/>
          <w:bCs/>
          <w:color w:val="000000" w:themeColor="text1"/>
          <w:sz w:val="24"/>
          <w:highlight w:val="none"/>
          <w14:textFill>
            <w14:solidFill>
              <w14:schemeClr w14:val="tx1"/>
            </w14:solidFill>
          </w14:textFill>
        </w:rPr>
        <w:t xml:space="preserve">分，扣完为止</w:t>
      </w:r>
      <w:r>
        <w:rPr>
          <w:rFonts w:hint="eastAsia" w:ascii="宋体" w:hAnsi="宋体"/>
          <w:b w:val="0"/>
          <w:bCs/>
          <w:color w:val="000000" w:themeColor="text1"/>
          <w:sz w:val="24"/>
          <w:highlight w:val="none"/>
          <w:lang w:val="en-US"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投标人投标时</w:t>
      </w:r>
      <w:r>
        <w:rPr>
          <w:rFonts w:hint="eastAsia" w:ascii="宋体" w:hAnsi="宋体"/>
          <w:b w:val="0"/>
          <w:bCs/>
          <w:color w:val="000000" w:themeColor="text1"/>
          <w:sz w:val="24"/>
          <w:highlight w:val="none"/>
          <w:lang w:val="en-US" w:eastAsia="zh-CN"/>
          <w14:textFill>
            <w14:solidFill>
              <w14:schemeClr w14:val="tx1"/>
            </w14:solidFill>
          </w14:textFill>
        </w:rPr>
        <w:t xml:space="preserve">需在</w:t>
      </w:r>
      <w:r>
        <w:rPr>
          <w:rFonts w:hint="eastAsia" w:ascii="宋体" w:hAnsi="宋体"/>
          <w:b w:val="0"/>
          <w:bCs/>
          <w:color w:val="000000" w:themeColor="text1"/>
          <w:sz w:val="24"/>
          <w:highlight w:val="none"/>
          <w14:textFill>
            <w14:solidFill>
              <w14:schemeClr w14:val="tx1"/>
            </w14:solidFill>
          </w14:textFill>
        </w:rPr>
        <w:t xml:space="preserve">《技术要求响应及偏离表》</w:t>
      </w:r>
      <w:r>
        <w:rPr>
          <w:rFonts w:hint="eastAsia" w:ascii="宋体" w:hAnsi="宋体"/>
          <w:b w:val="0"/>
          <w:bCs/>
          <w:color w:val="000000" w:themeColor="text1"/>
          <w:sz w:val="24"/>
          <w:highlight w:val="none"/>
          <w:lang w:val="en-US" w:eastAsia="zh-CN"/>
          <w14:textFill>
            <w14:solidFill>
              <w14:schemeClr w14:val="tx1"/>
            </w14:solidFill>
          </w14:textFill>
        </w:rPr>
        <w:t xml:space="preserve">逐条响应</w:t>
      </w:r>
      <w:r>
        <w:rPr>
          <w:rFonts w:hint="eastAsia" w:ascii="宋体" w:hAnsi="宋体"/>
          <w:b w:val="0"/>
          <w:bCs/>
          <w:color w:val="000000" w:themeColor="text1"/>
          <w:sz w:val="24"/>
          <w:highlight w:val="none"/>
          <w:lang w:eastAsia="zh-CN"/>
          <w14:textFill>
            <w14:solidFill>
              <w14:schemeClr w14:val="tx1"/>
            </w14:solidFill>
          </w14:textFill>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b/>
          <w:bCs w:val="0"/>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000000"/>
          <w:sz w:val="24"/>
          <w:lang w:eastAsia="zh-CN"/>
        </w:rPr>
        <w:t xml:space="preserve">（</w:t>
      </w:r>
      <w:r>
        <w:rPr>
          <w:rFonts w:hint="eastAsia" w:ascii="宋体" w:hAnsi="宋体" w:eastAsia="宋体" w:cs="宋体"/>
          <w:b w:val="0"/>
          <w:bCs/>
          <w:i w:val="0"/>
          <w:iCs w:val="0"/>
          <w:color w:val="000000"/>
          <w:sz w:val="24"/>
          <w:lang w:val="en-US" w:eastAsia="zh-CN"/>
        </w:rPr>
        <w:t xml:space="preserve">3</w:t>
      </w:r>
      <w:r>
        <w:rPr>
          <w:rFonts w:hint="eastAsia" w:ascii="宋体" w:hAnsi="宋体" w:eastAsia="宋体" w:cs="宋体"/>
          <w:b w:val="0"/>
          <w:bCs/>
          <w:i w:val="0"/>
          <w:iCs w:val="0"/>
          <w:color w:val="000000"/>
          <w:sz w:val="24"/>
          <w:lang w:eastAsia="zh-CN"/>
        </w:rPr>
        <w:t xml:space="preserve">）</w:t>
      </w:r>
      <w:r>
        <w:rPr>
          <w:rFonts w:ascii="宋体" w:hAnsi="宋体" w:eastAsia="宋体" w:cs="宋体"/>
          <w:b w:val="0"/>
          <w:bCs/>
          <w:i w:val="0"/>
          <w:iCs w:val="0"/>
          <w:color w:val="000000"/>
          <w:sz w:val="24"/>
        </w:rPr>
        <w:t xml:space="preserve">以上项目需求</w:t>
      </w:r>
      <w:r>
        <w:rPr>
          <w:rFonts w:hint="eastAsia" w:ascii="宋体" w:hAnsi="宋体" w:eastAsia="宋体" w:cs="宋体"/>
          <w:b w:val="0"/>
          <w:bCs/>
          <w:i w:val="0"/>
          <w:iCs w:val="0"/>
          <w:color w:val="000000"/>
          <w:sz w:val="24"/>
          <w:lang w:val="en-US" w:eastAsia="zh-CN"/>
        </w:rPr>
        <w:t xml:space="preserve">技术参数</w:t>
      </w:r>
      <w:r>
        <w:rPr>
          <w:rFonts w:ascii="宋体" w:hAnsi="宋体" w:eastAsia="宋体" w:cs="宋体"/>
          <w:b w:val="0"/>
          <w:bCs/>
          <w:i w:val="0"/>
          <w:iCs w:val="0"/>
          <w:color w:val="000000"/>
          <w:sz w:val="24"/>
        </w:rPr>
        <w:t xml:space="preserve">中</w:t>
      </w:r>
      <w:r>
        <w:rPr>
          <w:rFonts w:hint="eastAsia" w:ascii="宋体" w:hAnsi="宋体" w:eastAsia="宋体" w:cs="宋体"/>
          <w:b w:val="0"/>
          <w:bCs/>
          <w:i w:val="0"/>
          <w:iCs w:val="0"/>
          <w:color w:val="000000"/>
          <w:sz w:val="24"/>
          <w:lang w:eastAsia="zh-CN"/>
        </w:rPr>
        <w:t xml:space="preserve">，</w:t>
      </w:r>
      <w:r>
        <w:rPr>
          <w:rFonts w:hint="eastAsia" w:ascii="宋体" w:hAnsi="宋体" w:eastAsia="宋体" w:cs="宋体"/>
          <w:b w:val="0"/>
          <w:bCs/>
          <w:i w:val="0"/>
          <w:iCs w:val="0"/>
          <w:color w:val="000000"/>
          <w:sz w:val="24"/>
          <w:lang w:val="en-US" w:eastAsia="zh-CN"/>
        </w:rPr>
        <w:t xml:space="preserve">字体加粗部分的技术参数需提供视频演示，</w:t>
      </w:r>
      <w:r>
        <w:rPr>
          <w:rFonts w:ascii="宋体" w:hAnsi="宋体" w:eastAsia="宋体" w:cs="宋体"/>
          <w:b w:val="0"/>
          <w:bCs/>
          <w:i w:val="0"/>
          <w:iCs w:val="0"/>
          <w:color w:val="000000"/>
          <w:sz w:val="24"/>
        </w:rPr>
        <w:t xml:space="preserve">视频演示内容按</w:t>
      </w:r>
      <w:r>
        <w:rPr>
          <w:rFonts w:hint="eastAsia" w:ascii="宋体" w:hAnsi="宋体" w:eastAsia="宋体" w:cs="宋体"/>
          <w:b w:val="0"/>
          <w:bCs/>
          <w:i w:val="0"/>
          <w:iCs w:val="0"/>
          <w:color w:val="000000"/>
          <w:sz w:val="24"/>
          <w:lang w:val="en-US" w:eastAsia="zh-CN"/>
        </w:rPr>
        <w:t xml:space="preserve">本项目</w:t>
      </w:r>
      <w:r>
        <w:rPr>
          <w:rFonts w:ascii="宋体" w:hAnsi="宋体" w:eastAsia="宋体" w:cs="宋体"/>
          <w:b w:val="0"/>
          <w:bCs/>
          <w:i w:val="0"/>
          <w:iCs w:val="0"/>
          <w:color w:val="000000"/>
          <w:sz w:val="24"/>
        </w:rPr>
        <w:t xml:space="preserve">评分标准执行</w:t>
      </w:r>
      <w:r>
        <w:rPr>
          <w:rFonts w:hint="eastAsia" w:ascii="宋体" w:hAnsi="宋体" w:eastAsia="宋体" w:cs="宋体"/>
          <w:b w:val="0"/>
          <w:bCs/>
          <w:i w:val="0"/>
          <w:iCs w:val="0"/>
          <w:color w:val="000000"/>
          <w:sz w:val="24"/>
          <w:lang w:eastAsia="zh-CN"/>
        </w:rPr>
        <w:t xml:space="preserve">。</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系统安装要求</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2.1安装实施步骤​</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期准备：供应商应在安装前至少7个工作日内，派技术人员到采购人（医院）现场，与我院相关部门（如信息科、医务科、病案科等）进行充分沟通，了解我院现有系统的架构、数据情况和业务流程，制定详细的安装调试方案和项目实施计划，明确项目负责人、实施团队成员、实施时间节点和具体工作内容，并报我院审核确认。同时，供应商应准备好系统安装所需的软件安装包、授权文件、技术文档等相关资料。​</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查硬件环境（服务器配置、存储容量、网络带宽）与软件环境（操作系统版本、数据库类型、现有电子病历系统/医院信息系统版本），出具《环境适配报告》，明确需补充或调整的设备/软件（如服务器内存不足需升级，需标注具体参数要求），确保与质控系统兼容性。</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硬件设备部署（若需）：若涉及新硬件设备的部署，供应商应负责将服务器、客户端等硬件设备安装到位，并进行硬件设备的初始化配置，如服务器的操作系统安装、网络设置、硬件驱动程序安装等，确保硬件设备正常运行。​</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软件安装与配置：供应商应按照审核通过的安装调试方案，在我院指定的服务器上完成病历及病案首页质控系统的软件安装、数据库安装和配置工作，包括系统参数设置、数据库连接配置、用户账号初始化等。同时，完成与我院现有系统的接口开发和配置，确保系统能够正常获取和交互数据。数据迁移与导入（若需）：若我院需要将历史病历及病案首页数据导入到新系统中，供应商应负责制定详细的数据迁移方案，对历史数据进行清洗、整理和转换，确保数据的准确性和完整性，然后将数据成功导入到新系统中，并进行数据验证和测试，确保迁移后的数据能够正常使用。​</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据与接口准备：供应商需提前与采购方信息科对接，明确系统需对接的数据源（HIS、LIS、EMR等），协助采购方梳理数据字段映射关系，提供接口开发规范，确保安装前完成接口测试环境搭建，接口连通性测试通过率需达 100%。</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装资料与工具准备：供应商需至少提前3个工作日提交完整安装资料，包括系统安装手册（含步骤、参数配置说明）、软件安装包（含AI模型组件、质控模块）、授权文件、测试用例；同时准备专用安装工具（含数据迁移工具、环境检测工具），并确保工具符合医疗数据安全标准。</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2.2核心安装实施要求</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器部署：若采用本地部署，需在采购方指定服务器（或供应商提供的符合要求的服务器）上安装系统核心组件，包括AI模型引擎、质控规则引擎、数据存储模块，部署过程需开启数据加密功能（符合国家医疗数据加密标准），服务器资源占用率需控制在70%以内（峰值时段）。​</w:t>
      </w:r>
      <w:r/>
    </w:p>
    <w:p>
      <w:pPr>
        <w:ind w:left="0" w:right="0" w:firstLine="480"/>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客户端安装：支持医护人员工作站（系统）客户端安装，或通过浏览器访问（兼容主流浏览器，版本不低于近3个迭代版），客户端安装需简化流程，支持批量部署，单个客户端安装时间不超过10分钟。​</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口部署与调试：完成与系统的接口部署，实现患者基础信息、检查检验数据、病历文书数据的实时同步（数据同步延迟≤5秒），调试期间需模拟不少于100条真实业务数据进行接口稳定性测试，无数据丢失、错漏情况。</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3、系统测试要求</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系统安装配置完成后，供应商应组织我院相关人员进行系统测试，至少包括功能测试、性能测试、接口测试、数据准确性测试等。测试过程中发现的问题，供应商应及时进行修改和完善，直至系统测试通过，满足我院的业务需求和性能要求。​</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系统上线与切换：系统测试通过后，供应商应协助我院制定系统上线方案和应急预案，在双方约定的时间内完成系统的上线工作，并实现与原有工作模式的平稳切换。上线初期，供应商应安排技术人员在我院现场提供技术支持，及时解决系统运行过程中出现的问题，确保系统正常运行。​</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数据安全与备份要求​</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供应商在安装调试过程中，应采取有效的数据安全防护措施，确保我院病历及病案首页数据的安全性和保密性，不得泄露、篡改或丢失数据。​</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系统应具备完善的数据备份和恢复机制，支持手动备份和自动定时备份（如每日自动备份），备份数据应存储在不同的物理位置（如本地服务器和异地备份服务器），并定期对备份数据进行恢复测试，确保备份数据的有效性和可恢复性。​供应商应向我院提供详细的数据备份和恢复操作指南，培训我院相关人员掌握数据备份和恢复的方法和技巧。</w:t>
      </w:r>
      <w:r/>
    </w:p>
    <w:p>
      <w:pPr>
        <w:pStyle w:val="740"/>
        <w:ind w:firstLine="480"/>
        <w:jc w:val="both"/>
        <w:keepLines w:val="0"/>
        <w:keepNext w:val="0"/>
        <w:pageBreakBefore w:val="0"/>
        <w:spacing w:beforeAutospacing="0" w:afterAutospacing="0" w:line="360" w:lineRule="auto"/>
        <w:widowControl w:val="off"/>
        <w:rPr>
          <w:rFonts w:ascii="宋体" w:hAnsi="宋体" w:eastAsia="宋体" w:cs="宋体"/>
          <w:color w:val="000000"/>
          <w:sz w:val="24"/>
          <w:szCs w:val="24"/>
        </w:rPr>
        <w:outlineLvl w:val="9"/>
      </w:pPr>
      <w:r>
        <w:rPr>
          <w:rFonts w:ascii="宋体" w:hAnsi="宋体" w:eastAsia="宋体" w:cs="宋体"/>
          <w:color w:val="000000"/>
          <w:sz w:val="24"/>
        </w:rPr>
        <w:t xml:space="preserve">功能测试要求：安装完成后，供应商需联合采购方开展功能测试，覆盖病案首页质控（错误识别率≥95%）、病历质控（规范性/合理性校验准确率≥90%）、数据同步（无延迟/丢失）等核心功能，测试用例通过率需达100%，并出具《功能测试报告》。​</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ascii="宋体" w:hAnsi="宋体" w:eastAsia="宋体" w:cs="宋体"/>
          <w:color w:val="000000"/>
          <w:sz w:val="24"/>
        </w:rPr>
        <w:t xml:space="preserve">性能测试要求：模拟至少100人同时在线操作、每日1条病历数据生成 / 质控的场景，测试系统响应时间（单笔操作≤3秒）、并发处理能力（无卡顿、崩溃）、服务器资源占用（CPU/内存占用≤80%），性能指标需全部达标，出具《性能测试报告》。​</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ascii="宋体" w:hAnsi="宋体" w:eastAsia="宋体" w:cs="宋体"/>
          <w:color w:val="000000"/>
          <w:sz w:val="24"/>
        </w:rPr>
        <w:t xml:space="preserve">验收流程：测试通过后，进入至少7天试运行期，试运行期间无重大故障（如系统崩溃、数据泄露），采购人组织信息科、临床科室（如内科、外科）进行最终验收，签署《安装验收报告》，验收合格后系统正式交付使用。</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培训、售后服务及维保</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sz w:val="24"/>
        </w:rPr>
        <w:t xml:space="preserve">安装后培训：验收合格后至少3个工作日内，供应商需开展不少于2场针对性培训（信息科技术培训、临床科室操作培训），培训内容包括系统维护、日常操作、故障排查，培训后需组织考核，考核通过率需达100%，并提供培训视频、操作手册等资料。</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（2）技术响应时间：至少7*24小时技术支持，故障响应时间工程师需至少4小时内到场。</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（3）维保服务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免费质保期至少2年内系统功能迭代、补丁更新。</w:t>
      </w:r>
      <w:r/>
    </w:p>
    <w:p>
      <w:pPr>
        <w:pStyle w:val="740"/>
        <w:numPr>
          <w:ilvl w:val="0"/>
          <w:numId w:val="21"/>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商务要求</w:t>
      </w:r>
      <w:r/>
    </w:p>
    <w:p>
      <w:pPr>
        <w:pStyle w:val="740"/>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5、采购内容包含：盐城市第一人民医院门诊病历质量控制系统、住院病历质量控制系统、病案首页质量控制系统和罕见病风险预警模块、信息技术应用创新、AI模拟应用等。</w:t>
      </w:r>
      <w:r/>
    </w:p>
    <w:p>
      <w:pPr>
        <w:pStyle w:val="740"/>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采购项目交付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地点：盐城市第一人民医院</w:t>
      </w:r>
      <w:r/>
    </w:p>
    <w:p>
      <w:pPr>
        <w:pStyle w:val="740"/>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7、交付期：90日历天</w:t>
      </w:r>
      <w:r/>
    </w:p>
    <w:p>
      <w:pPr>
        <w:pStyle w:val="740"/>
        <w:ind w:firstLine="480"/>
        <w:jc w:val="both"/>
        <w:keepLines w:val="0"/>
        <w:keepNext w:val="0"/>
        <w:pageBreakBefore w:val="0"/>
        <w:spacing w:beforeAutospacing="0" w:afterAutospacing="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8、免费维保期：至少2年</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演示要求</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bookmarkStart w:id="174" w:name="_Toc3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演示方式 上传视频演示</w:t>
      </w:r>
      <w:bookmarkEnd w:id="174"/>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投标人需按照招标文件规定的演示内容制作演示视频文件，演示方式可采用</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PPT</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、Damo等</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形式不限</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视频时长总计不超过</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15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分钟</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40"/>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演示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如下：</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9.1</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人工评价单列表</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支持查看医生权限下的所有质控员人工质控审核过的评价单数量及列表，至少包括待查收、待确认、已经确定的评价单列表明细，并支持下钻；支持单击“全部查收”按钮，对当前未查看的评价进行一键查收。</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9.2</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筛选质控病历并二次分配</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支持通过多维度快速搜索病历并再次指派给质控员，筛选的维度至少包括：审核状态、科室、病历等级、病历特征、标签、手术级别等。</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支持通过多维度快速搜索病历并再次指派给质控员，筛选的维度至少包括：审核状态、科室、病历等级、病历特征、标签、手术级别等。</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left="0" w:right="0" w:firstLine="560"/>
        <w:spacing w:before="0" w:after="0"/>
        <w:rPr>
          <w:b/>
          <w:bCs/>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white"/>
        </w:rPr>
        <w:t xml:space="preserve">具备基于多维度条件的高级病历检索与再指派功能。系统需演示在千份级病历库中，通过至少5个维度的条件进行检索，结果响应时间至少低于10秒。筛选维度必须明确且至少包含：</w:t>
      </w:r>
      <w:r>
        <w:rPr>
          <w:b/>
          <w:bCs/>
          <w:sz w:val="24"/>
          <w:szCs w:val="24"/>
        </w:rPr>
      </w:r>
      <w:r/>
    </w:p>
    <w:p>
      <w:pPr>
        <w:ind w:left="0" w:right="0" w:firstLine="560"/>
        <w:spacing w:before="0" w:after="0"/>
        <w:rPr>
          <w:b/>
          <w:bCs/>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white"/>
        </w:rPr>
        <w:t xml:space="preserve">1）审核状态：未质控、已初审、已终审、已复审等。</w:t>
      </w:r>
      <w:r>
        <w:rPr>
          <w:b/>
          <w:bCs/>
          <w:sz w:val="24"/>
          <w:szCs w:val="24"/>
        </w:rPr>
      </w:r>
      <w:r/>
    </w:p>
    <w:p>
      <w:pPr>
        <w:ind w:left="0" w:right="0" w:firstLine="560"/>
        <w:spacing w:before="0" w:after="0"/>
        <w:rPr>
          <w:b/>
          <w:bCs/>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white"/>
        </w:rPr>
        <w:t xml:space="preserve">2）科室：支持按全院、科室、医疗组乃至医师筛选。</w:t>
      </w:r>
      <w:r>
        <w:rPr>
          <w:b/>
          <w:bCs/>
          <w:sz w:val="24"/>
          <w:szCs w:val="24"/>
        </w:rPr>
      </w:r>
      <w:r/>
    </w:p>
    <w:p>
      <w:pPr>
        <w:ind w:left="0" w:right="0" w:firstLine="560"/>
        <w:spacing w:before="0" w:after="0"/>
        <w:rPr>
          <w:b/>
          <w:bCs/>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white"/>
        </w:rPr>
        <w:t xml:space="preserve">3）病历等级：至少支持甲级、乙级、丙级筛选。</w:t>
      </w:r>
      <w:r>
        <w:rPr>
          <w:b/>
          <w:bCs/>
          <w:sz w:val="24"/>
          <w:szCs w:val="24"/>
        </w:rPr>
      </w:r>
      <w:r/>
    </w:p>
    <w:p>
      <w:pPr>
        <w:ind w:left="0" w:right="0" w:firstLine="560"/>
        <w:spacing w:before="0" w:after="0"/>
        <w:rPr>
          <w:rFonts w:ascii="SimSun" w:hAnsi="SimSun" w:eastAsia="SimSun" w:cs="SimSun"/>
          <w:b/>
          <w:bCs/>
          <w:color w:val="000000"/>
          <w:sz w:val="24"/>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white"/>
        </w:rPr>
        <w:t xml:space="preserve">4）病历特征标签：支持系统内置标签（如“疑难病历”、“危重病历”等）与用户自定义标签。</w:t>
      </w:r>
      <w:r>
        <w:rPr>
          <w:b/>
          <w:bCs/>
          <w:sz w:val="24"/>
          <w:szCs w:val="24"/>
        </w:rPr>
      </w:r>
      <w:r/>
    </w:p>
    <w:p>
      <w:pPr>
        <w:ind w:left="0" w:right="0" w:firstLine="560"/>
        <w:spacing w:before="0" w:after="0"/>
        <w:rPr>
          <w:b/>
          <w:bCs/>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highlight w:val="white"/>
        </w:rPr>
      </w:r>
      <w:r>
        <w:rPr>
          <w:rFonts w:ascii="SimSun" w:hAnsi="SimSun" w:eastAsia="SimSun" w:cs="SimSun"/>
          <w:b/>
          <w:bCs/>
          <w:color w:val="000000"/>
          <w:sz w:val="24"/>
          <w:szCs w:val="24"/>
          <w:highlight w:val="white"/>
        </w:rPr>
        <w:t xml:space="preserve">5）手术级别：</w:t>
      </w:r>
      <w:r>
        <w:rPr>
          <w:rFonts w:ascii="SimSun" w:hAnsi="SimSun" w:eastAsia="SimSun" w:cs="SimSun"/>
          <w:b/>
          <w:bCs/>
          <w:color w:val="000000"/>
          <w:sz w:val="24"/>
          <w:szCs w:val="24"/>
          <w:highlight w:val="white"/>
        </w:rPr>
        <w:t xml:space="preserve">至少</w:t>
      </w:r>
      <w:r>
        <w:rPr>
          <w:rFonts w:ascii="SimSun" w:hAnsi="SimSun" w:eastAsia="SimSun" w:cs="SimSun"/>
          <w:b/>
          <w:bCs/>
          <w:color w:val="000000"/>
          <w:sz w:val="24"/>
          <w:szCs w:val="24"/>
          <w:highlight w:val="white"/>
        </w:rPr>
        <w:t xml:space="preserve">支持一至四级手术等筛选。</w:t>
      </w:r>
      <w:r>
        <w:rPr>
          <w:b/>
          <w:bCs/>
          <w:sz w:val="24"/>
          <w:szCs w:val="24"/>
        </w:rPr>
      </w:r>
      <w:r/>
    </w:p>
    <w:p>
      <w:pPr>
        <w:ind w:left="0" w:right="0" w:firstLine="562"/>
        <w:spacing w:before="0" w:after="0"/>
        <w:rPr>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病历特征选择至少包括6项内容：</w:t>
      </w:r>
      <w:r>
        <w:rPr>
          <w:rFonts w:ascii="SimSun" w:hAnsi="SimSun" w:eastAsia="SimSun" w:cs="SimSun"/>
          <w:b/>
          <w:color w:val="000000"/>
          <w:sz w:val="24"/>
          <w:szCs w:val="24"/>
          <w:highlight w:val="white"/>
        </w:rPr>
        <w:t xml:space="preserve">基本特征、手术及操作、患者诊断、住院时间、专科特征、诊疗过程等。筛选结果与所选特征的匹配度≥99.5%，支持系统溯源。</w:t>
      </w:r>
      <w:r>
        <w:rPr>
          <w:sz w:val="24"/>
          <w:szCs w:val="24"/>
        </w:rPr>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支持对搜索的病历进行单项/批量指派给质控员。</w:t>
      </w:r>
      <w:r>
        <w:rPr>
          <w:rFonts w:ascii="SimSun" w:hAnsi="SimSun" w:eastAsia="SimSun" w:cs="SimSun"/>
          <w:b/>
          <w:color w:val="000000"/>
          <w:sz w:val="24"/>
          <w:highlight w:val="white"/>
        </w:rPr>
        <w:t xml:space="preserve">需演示如何将至少50份的病历，一次性单项/批量指派给单一或多个质控员，系统需至少在3秒内完成指派，并能清晰展示指派进度与结果。需演示如何根据预设规则（如：按科室对应、按病种对应、或随机分配）进行指派，并支持设置每位质控员的最大负荷量，可查询“谁、在何时、将哪些病历、指派给了谁”。</w:t>
      </w:r>
      <w:r>
        <w:rPr>
          <w:rFonts w:hint="eastAsia" w:ascii="宋体" w:hAnsi="宋体" w:eastAsia="宋体" w:cs="宋体"/>
          <w:b/>
          <w:bCs/>
          <w:sz w:val="24"/>
          <w:szCs w:val="24"/>
          <w:highlight w:val="none"/>
          <w:shd w:val="clear" w:color="auto" w:fill="auto"/>
          <w14:textFill>
            <w14:solidFill>
              <w14:schemeClr w14:val="tx1"/>
            </w14:solidFill>
          </w14:textFill>
        </w:rPr>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9.3人工审核病历</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审阅病历时，除系统自动识别的书写问题，支持通过鼠标滑选对存在缺陷的文字直接进行标记，同时触发信息输入弹窗，至少包括选择文书类型、选择对应的质控点（提供所有质控点下拉窗，并支持关键字搜索）、扣分分值、科室（提供所有科室下拉窗并支持关键字搜索）、医生（提供所有医生名单下拉窗并支持关键字搜索），提供回复医生信息输入框且可添加及编辑模版</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9.4</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病历缺陷问题质控过程闭环</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支持查看病历缺陷问题列表，了解每个缺陷问题的状态、医生申诉情况、扣分等，及时了解医生、质控员对现存问题的处理进度及详情。</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支持查看医生对病历缺陷问题是否申诉，点击回复可快速查看质控员与临床医生在线沟通历史详情，以及当前缺陷问题的整个流转过程，包括发现问题时间、人工质控回复医生时间、问题申诉时间及操作人员等。</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支持一键溯源到缺陷问题对应的文书段落或原文。</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9.5在院监测</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住院病历质控</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支持查看当前在院病历的在院病历数、问题病历数、问题总数、平均问题数、病历平均分，并支持下钻到当前病历数的详细病历列表。</w:t>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9.6</w:t>
      </w:r>
      <w:r>
        <w:rPr>
          <w:rFonts w:hint="default" w:ascii="宋体" w:hAnsi="宋体" w:eastAsia="宋体" w:cs="宋体"/>
          <w:b/>
          <w:bCs/>
          <w:color w:val="000000" w:themeColor="text1"/>
          <w:sz w:val="24"/>
          <w:szCs w:val="24"/>
          <w:highlight w:val="none"/>
          <w:shd w:val="clear" w:color="auto" w:fill="auto"/>
          <w14:textFill>
            <w14:solidFill>
              <w14:schemeClr w14:val="tx1"/>
            </w14:solidFill>
          </w14:textFill>
        </w:rPr>
        <w:t xml:space="preserve">编码质控</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点</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default" w:ascii="宋体" w:hAnsi="宋体" w:eastAsia="宋体" w:cs="宋体"/>
          <w:b/>
          <w:bCs/>
          <w:color w:val="000000" w:themeColor="text1"/>
          <w:sz w:val="24"/>
          <w:szCs w:val="24"/>
          <w:highlight w:val="none"/>
          <w:shd w:val="clear" w:color="auto" w:fill="auto"/>
          <w14:textFill>
            <w14:solidFill>
              <w14:schemeClr w14:val="tx1"/>
            </w14:solidFill>
          </w14:textFill>
        </w:rPr>
        <w:t xml:space="preserve">支持不低于</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3</w:t>
      </w:r>
      <w:r>
        <w:rPr>
          <w:rFonts w:hint="default" w:ascii="宋体" w:hAnsi="宋体" w:eastAsia="宋体" w:cs="宋体"/>
          <w:b/>
          <w:bCs/>
          <w:color w:val="000000" w:themeColor="text1"/>
          <w:sz w:val="24"/>
          <w:szCs w:val="24"/>
          <w:highlight w:val="none"/>
          <w:shd w:val="clear" w:color="auto" w:fill="auto"/>
          <w14:textFill>
            <w14:solidFill>
              <w14:schemeClr w14:val="tx1"/>
            </w14:solidFill>
          </w14:textFill>
        </w:rPr>
        <w:t xml:space="preserve">000多条编码质控</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点</w:t>
      </w:r>
      <w:r>
        <w:rPr>
          <w:rFonts w:hint="default" w:ascii="宋体" w:hAnsi="宋体" w:eastAsia="宋体" w:cs="宋体"/>
          <w:b/>
          <w:bCs/>
          <w:color w:val="000000" w:themeColor="text1"/>
          <w:sz w:val="24"/>
          <w:szCs w:val="24"/>
          <w:highlight w:val="none"/>
          <w:shd w:val="clear" w:color="auto" w:fill="auto"/>
          <w14:textFill>
            <w14:solidFill>
              <w14:schemeClr w14:val="tx1"/>
            </w14:solidFill>
          </w14:textFill>
        </w:rPr>
        <w:t xml:space="preserve">，至少包含对疾病诊断和手术操作编码质控</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点</w:t>
      </w:r>
      <w:r>
        <w:rPr>
          <w:rFonts w:hint="default"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p>
    <w:p>
      <w:pPr>
        <w:ind w:left="0" w:right="0" w:firstLine="482"/>
        <w:jc w:val="both"/>
        <w:keepLines w:val="0"/>
        <w:keepNext w:val="0"/>
        <w:pageBreakBefore w:val="0"/>
        <w:spacing w:line="360" w:lineRule="auto"/>
        <w:widowControl w:val="off"/>
        <w:rPr>
          <w:rFonts w:ascii="宋体" w:hAnsi="宋体" w:eastAsia="宋体" w:cs="宋体"/>
          <w:b/>
          <w:bCs/>
          <w:i w:val="0"/>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4"/>
          <w:szCs w:val="24"/>
          <w:highlight w:val="none"/>
          <w:shd w:val="clear" w:color="auto" w:fill="auto"/>
          <w:lang w:val="en-US" w:eastAsia="zh-CN"/>
          <w14:textFill>
            <w14:solidFill>
              <w14:schemeClr w14:val="tx1"/>
            </w14:solidFill>
          </w14:textFill>
        </w:rPr>
        <w:t xml:space="preserve">9.7</w:t>
      </w:r>
      <w:r>
        <w:rPr>
          <w:rFonts w:ascii="宋体" w:hAnsi="宋体" w:eastAsia="宋体" w:cs="宋体"/>
          <w:b/>
          <w:bCs/>
          <w:i w:val="0"/>
          <w:iCs w:val="0"/>
          <w:color w:val="000000"/>
          <w:sz w:val="22"/>
        </w:rPr>
        <w:t xml:space="preserve">AI模型应用病历文书生成</w:t>
      </w:r>
      <w:r/>
    </w:p>
    <w:p>
      <w:pPr>
        <w:ind w:left="0" w:right="0" w:firstLine="440"/>
        <w:jc w:val="both"/>
        <w:keepLines w:val="0"/>
        <w:keepNext w:val="0"/>
        <w:pageBreakBefore w:val="0"/>
        <w:spacing w:line="360" w:lineRule="auto"/>
        <w:widowControl w:val="off"/>
        <w:rPr>
          <w:b/>
          <w:bCs/>
          <w:i w:val="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2"/>
        </w:rPr>
        <w:t xml:space="preserve">9.7.1</w:t>
      </w:r>
      <w:r>
        <w:rPr>
          <w:rFonts w:ascii="Arial" w:hAnsi="Arial" w:eastAsia="Arial" w:cs="Arial"/>
          <w:b/>
          <w:bCs/>
          <w:i w:val="0"/>
          <w:iCs w:val="0"/>
          <w:color w:val="000000"/>
          <w:sz w:val="22"/>
        </w:rPr>
        <w:t xml:space="preserve">核心功能需求​</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（一）</w:t>
      </w:r>
      <w:r>
        <w:rPr>
          <w:rFonts w:ascii="宋体" w:hAnsi="宋体" w:eastAsia="宋体" w:cs="宋体"/>
          <w:b/>
          <w:bCs/>
          <w:i w:val="0"/>
          <w:iCs w:val="0"/>
          <w:color w:val="000000"/>
          <w:sz w:val="22"/>
        </w:rPr>
        <w:t xml:space="preserve">AI </w:t>
      </w:r>
      <w:r>
        <w:rPr>
          <w:rFonts w:ascii="Arial" w:hAnsi="Arial" w:eastAsia="Arial" w:cs="Arial"/>
          <w:b/>
          <w:bCs/>
          <w:i w:val="0"/>
          <w:iCs w:val="0"/>
          <w:color w:val="000000"/>
          <w:sz w:val="22"/>
        </w:rPr>
        <w:t xml:space="preserve">病历文书生成功能​</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支持根据门诊、住院等不同场景，基于患者基础信息（姓名、性别、年龄     等）、主诉、现病史、检查检验结果等数据，自动生成结构化病历文书初稿，涵盖门诊病历、住院志、病程记录、出院小结等类型。​</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生成内容需符合医疗文书书写规范，术语准确，逻辑连贯，可允许医护人员后续编辑修改。​</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具备学习优化能力，可根据用户修改记录与反馈，持续提升病历生成的准确性与贴合度。​</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（二）病历质控系统功能​</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自动检测病历文书中的规范性问题，包括错别字、语句不通顺、必填项缺失、格式错误等。​</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基于医疗规范与临床路径，对病历内容的合理性进行质控，如诊断与症状匹配度、用药与诊断关联性、病程记录时间逻辑等，实时提示问题并给出修改建议。​</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（三）病案首页质控功能​</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对接医院系统，自动提取病案首页数据，检测数据完整性（如必填字段是否缺失）、准确性（如编码与诊断对应关系、数值格式是否正确）。​</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依据国家医保结算清单、分组要求，对病案首页主要诊断、其他诊断、手术操作等填报内容进行合规性校验，避免分组错误。​</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2"/>
        </w:rPr>
        <w:t xml:space="preserve">9.7.2</w:t>
      </w:r>
      <w:r>
        <w:rPr>
          <w:rFonts w:ascii="Arial" w:hAnsi="Arial" w:eastAsia="Arial" w:cs="Arial"/>
          <w:b/>
          <w:bCs/>
          <w:i w:val="0"/>
          <w:iCs w:val="0"/>
          <w:color w:val="000000"/>
          <w:sz w:val="22"/>
        </w:rPr>
        <w:t xml:space="preserve">技术要求​</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val="0"/>
          <w:color w:val="000000"/>
          <w:sz w:val="22"/>
        </w:rPr>
        <w:t xml:space="preserve">AI</w:t>
      </w:r>
      <w:r>
        <w:rPr>
          <w:rFonts w:ascii="Arial" w:hAnsi="Arial" w:eastAsia="Arial" w:cs="Arial"/>
          <w:b/>
          <w:bCs/>
          <w:i w:val="0"/>
          <w:iCs w:val="0"/>
          <w:color w:val="000000"/>
          <w:sz w:val="22"/>
        </w:rPr>
        <w:t xml:space="preserve">模型：采用成熟的自然语言处理、机器学习算法，模型训练数据需符合医疗数据安全规范，具备良好的泛化能力，支持在医院现有硬件环境中稳定运行（响应时间≤</w:t>
      </w:r>
      <w:r>
        <w:rPr>
          <w:rFonts w:ascii="宋体" w:hAnsi="宋体" w:eastAsia="宋体" w:cs="宋体"/>
          <w:b/>
          <w:bCs/>
          <w:i w:val="0"/>
          <w:iCs w:val="0"/>
          <w:color w:val="000000"/>
          <w:sz w:val="22"/>
        </w:rPr>
        <w:t xml:space="preserve">3</w:t>
      </w:r>
      <w:r>
        <w:rPr>
          <w:rFonts w:ascii="Arial" w:hAnsi="Arial" w:eastAsia="Arial" w:cs="Arial"/>
          <w:b/>
          <w:bCs/>
          <w:i w:val="0"/>
          <w:iCs w:val="0"/>
          <w:color w:val="000000"/>
          <w:sz w:val="22"/>
        </w:rPr>
        <w:t xml:space="preserve">秒</w:t>
      </w:r>
      <w:r>
        <w:rPr>
          <w:rFonts w:ascii="宋体" w:hAnsi="宋体" w:eastAsia="宋体" w:cs="宋体"/>
          <w:b/>
          <w:bCs/>
          <w:i w:val="0"/>
          <w:iCs w:val="0"/>
          <w:color w:val="000000"/>
          <w:sz w:val="22"/>
        </w:rPr>
        <w:t xml:space="preserve">/</w:t>
      </w:r>
      <w:r>
        <w:rPr>
          <w:rFonts w:ascii="Arial" w:hAnsi="Arial" w:eastAsia="Arial" w:cs="Arial"/>
          <w:b/>
          <w:bCs/>
          <w:i w:val="0"/>
          <w:iCs w:val="0"/>
          <w:color w:val="000000"/>
          <w:sz w:val="22"/>
        </w:rPr>
        <w:t xml:space="preserve">次）。​</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数据接口：支持与医院现有电子病历系统、医院信息系统、实验室信息系统等对接，实现数据双向传输与共享，接口兼容性需符合国家医疗数据交互标准。​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安全性：符合《</w:t>
      </w:r>
      <w:r>
        <w:rPr>
          <w:rFonts w:ascii="宋体" w:hAnsi="宋体" w:eastAsia="宋体" w:cs="宋体"/>
          <w:b/>
          <w:color w:val="000000"/>
          <w:sz w:val="22"/>
        </w:rPr>
        <w:t xml:space="preserve">中华人民共和国</w:t>
      </w:r>
      <w:r>
        <w:rPr>
          <w:rFonts w:ascii="Arial" w:hAnsi="Arial" w:eastAsia="Arial" w:cs="Arial"/>
          <w:b/>
          <w:bCs/>
          <w:i w:val="0"/>
          <w:iCs w:val="0"/>
          <w:color w:val="000000"/>
          <w:sz w:val="22"/>
        </w:rPr>
        <w:t xml:space="preserve">数据安全法》《</w:t>
      </w:r>
      <w:r>
        <w:rPr>
          <w:rFonts w:ascii="宋体" w:hAnsi="宋体" w:eastAsia="宋体" w:cs="宋体"/>
          <w:b/>
          <w:color w:val="000000"/>
          <w:sz w:val="22"/>
        </w:rPr>
        <w:t xml:space="preserve">中华人民共和国</w:t>
      </w:r>
      <w:r>
        <w:rPr>
          <w:rFonts w:ascii="Arial" w:hAnsi="Arial" w:eastAsia="Arial" w:cs="Arial"/>
          <w:b/>
          <w:bCs/>
          <w:i w:val="0"/>
          <w:iCs w:val="0"/>
          <w:color w:val="000000"/>
          <w:sz w:val="22"/>
        </w:rPr>
        <w:t xml:space="preserve">个人信息保护法》及医疗行业数据安全要求，具备数据加密、访问权限控制、操作日志追溯等功能，防止患者隐私信息泄露。</w:t>
      </w:r>
      <w:r/>
    </w:p>
    <w:p>
      <w:pPr>
        <w:ind w:left="0" w:right="0" w:firstLine="440"/>
        <w:jc w:val="both"/>
        <w:keepLines w:val="0"/>
        <w:keepNext w:val="0"/>
        <w:pageBreakBefore w:val="0"/>
        <w:spacing w:line="360" w:lineRule="auto"/>
        <w:widowControl w:val="off"/>
        <w:rPr>
          <w:b/>
          <w:bCs/>
          <w:i w:val="0"/>
        </w:rPr>
        <w:pBdr>
          <w:top w:val="none" w:color="000000" w:sz="0" w:space="0"/>
          <w:left w:val="none" w:color="000000" w:sz="0" w:space="0"/>
          <w:bottom w:val="none" w:color="000000" w:sz="0" w:space="0"/>
          <w:right w:val="none" w:color="000000" w:sz="0" w:space="0"/>
        </w:pBdr>
      </w:pPr>
      <w:r>
        <w:rPr>
          <w:rFonts w:ascii="Arial" w:hAnsi="Arial" w:eastAsia="Arial" w:cs="Arial"/>
          <w:b/>
          <w:bCs/>
          <w:i w:val="0"/>
          <w:iCs w:val="0"/>
          <w:color w:val="000000"/>
          <w:sz w:val="22"/>
        </w:rPr>
        <w:t xml:space="preserve">投标时提供基于大模型的出院记录自动生成服务与对接证明材料。</w:t>
      </w:r>
      <w:r/>
    </w:p>
    <w:p>
      <w:pPr>
        <w:pStyle w:val="74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
          <w:bCs/>
          <w:i/>
          <w:iCs/>
          <w:color w:val="000000" w:themeColor="text1"/>
          <w:sz w:val="24"/>
          <w:szCs w:val="24"/>
          <w:highlight w:val="none"/>
          <w:u w:val="single"/>
          <w:shd w:val="clear" w:color="auto" w:fill="auto"/>
          <w14:textFill>
            <w14:solidFill>
              <w14:schemeClr w14:val="tx1"/>
            </w14:solidFill>
          </w14:textFill>
        </w:rPr>
        <w:t xml:space="preserve">本项目</w:t>
      </w:r>
      <w:r>
        <w:rPr>
          <w:rFonts w:hint="eastAsia" w:ascii="宋体" w:hAnsi="宋体" w:eastAsia="宋体" w:cs="宋体"/>
          <w:b/>
          <w:bCs/>
          <w:i/>
          <w:iCs/>
          <w:color w:val="000000" w:themeColor="text1"/>
          <w:sz w:val="24"/>
          <w:szCs w:val="24"/>
          <w:highlight w:val="none"/>
          <w:u w:val="single"/>
          <w:shd w:val="clear" w:color="auto" w:fill="auto"/>
          <w:lang w:val="en-US" w:eastAsia="zh-CN"/>
          <w14:textFill>
            <w14:solidFill>
              <w14:schemeClr w14:val="tx1"/>
            </w14:solidFill>
          </w14:textFill>
        </w:rPr>
        <w:t xml:space="preserve">不接收</w:t>
      </w:r>
      <w:r>
        <w:rPr>
          <w:rFonts w:hint="eastAsia" w:ascii="宋体" w:hAnsi="宋体" w:eastAsia="宋体" w:cs="宋体"/>
          <w:b/>
          <w:bCs/>
          <w:i/>
          <w:iCs/>
          <w:color w:val="000000" w:themeColor="text1"/>
          <w:sz w:val="24"/>
          <w:szCs w:val="24"/>
          <w:highlight w:val="none"/>
          <w:u w:val="single"/>
          <w:shd w:val="clear" w:color="auto" w:fill="auto"/>
          <w14:textFill>
            <w14:solidFill>
              <w14:schemeClr w14:val="tx1"/>
            </w14:solidFill>
          </w14:textFill>
        </w:rPr>
        <w:t xml:space="preserve">进口产品投标</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740"/>
        <w:ind w:firstLine="482"/>
        <w:jc w:val="both"/>
        <w:keepLines w:val="0"/>
        <w:keepNext w:val="0"/>
        <w:pageBreakBefore w:val="0"/>
        <w:spacing w:beforeAutospacing="0" w:afterAutospacing="0" w:line="360" w:lineRule="auto"/>
        <w:widowControl w:val="off"/>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三、综合实力要求</w:t>
      </w:r>
      <w:r/>
    </w:p>
    <w:p>
      <w:pPr>
        <w:pStyle w:val="740"/>
        <w:ind w:firstLine="482"/>
        <w:jc w:val="both"/>
        <w:keepLines w:val="0"/>
        <w:keepNext w:val="0"/>
        <w:pageBreakBefore w:val="0"/>
        <w:spacing w:beforeAutospacing="0" w:afterAutospacing="0" w:line="360" w:lineRule="auto"/>
        <w:widowControl w:val="off"/>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企业实力</w:t>
      </w:r>
      <w:r/>
    </w:p>
    <w:p>
      <w:pPr>
        <w:pStyle w:val="740"/>
        <w:ind w:firstLine="480"/>
        <w:jc w:val="both"/>
        <w:keepLines w:val="0"/>
        <w:keepNext w:val="0"/>
        <w:pageBreakBefore w:val="0"/>
        <w:spacing w:beforeAutospacing="0" w:afterAutospacing="0" w:line="360" w:lineRule="auto"/>
        <w:widowControl w:val="off"/>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本采购项目具有较强的专业性，通过考察投标人的综合实力确保项目高质量实施，</w:t>
      </w: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投标人或制造商取得有效的隐私信息管理体系认证证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取得有效的业务连续性管理体系认证证书的</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优先</w:t>
      </w: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pStyle w:val="740"/>
        <w:ind w:firstLine="482"/>
        <w:jc w:val="both"/>
        <w:keepLines w:val="0"/>
        <w:keepNext w:val="0"/>
        <w:pageBreakBefore w:val="0"/>
        <w:spacing w:beforeAutospacing="0" w:afterAutospacing="0" w:line="360" w:lineRule="auto"/>
        <w:widowControl w:val="off"/>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2、</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软件著作权</w:t>
      </w:r>
      <w:r/>
    </w:p>
    <w:p>
      <w:pPr>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投标人或制造商具备病历质量控制、病案首页质量控制、疾病知识库等计算机软件著作权登记证书的优先。</w:t>
      </w:r>
      <w:r/>
    </w:p>
    <w:p>
      <w:pPr>
        <w:pStyle w:val="740"/>
        <w:ind w:firstLine="482"/>
        <w:jc w:val="both"/>
        <w:keepLines w:val="0"/>
        <w:keepNext w:val="0"/>
        <w:pageBreakBefore w:val="0"/>
        <w:spacing w:beforeAutospacing="0" w:afterAutospacing="0" w:line="360"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3、业绩</w:t>
      </w:r>
      <w:r/>
    </w:p>
    <w:p>
      <w:pPr>
        <w:pStyle w:val="740"/>
        <w:ind w:firstLine="480"/>
        <w:jc w:val="both"/>
        <w:keepLines w:val="0"/>
        <w:keepNext w:val="0"/>
        <w:pageBreakBefore w:val="0"/>
        <w:spacing w:beforeAutospacing="0" w:afterAutospacing="0" w:line="360" w:lineRule="auto"/>
        <w:widowControl w:val="off"/>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自2022年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日（时间以合同签订日期为准）以来，投标人或制造商具有与本招标项目类似业绩的的</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优先</w:t>
      </w:r>
      <w: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
    </w:p>
    <w:p>
      <w:pPr>
        <w:pStyle w:val="740"/>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采购标的对应的中小企业划分标准所属行业一览表</w:t>
      </w:r>
      <w:r/>
    </w:p>
    <w:tbl>
      <w:tblPr>
        <w:tblStyle w:val="738"/>
        <w:tblW w:w="744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99"/>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盐城市第一人民医院病历及病案首页质控系统</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软件和信息技术</w:t>
            </w:r>
            <w:r/>
          </w:p>
          <w:p>
            <w:pPr>
              <w:pStyle w:val="740"/>
              <w:jc w:val="center"/>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服务业</w:t>
            </w:r>
            <w:r/>
          </w:p>
        </w:tc>
      </w:tr>
    </w:tbl>
    <w:p>
      <w:pPr>
        <w:rPr>
          <w:rFonts w:hint="eastAsia" w:ascii="宋体" w:hAnsi="宋体" w:eastAsia="宋体" w:cs="宋体"/>
          <w:color w:val="000000" w:themeColor="text1"/>
          <w:sz w:val="24"/>
          <w:szCs w:val="24"/>
          <w:highlight w:val="none"/>
          <w14:textFill>
            <w14:solidFill>
              <w14:schemeClr w14:val="tx1"/>
            </w14:solidFill>
          </w14:textFill>
        </w:rPr>
      </w:pPr>
      <w:r/>
      <w:bookmarkStart w:id="175" w:name="_Toc120614281"/>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728"/>
        <w:rPr>
          <w:color w:val="000000" w:themeColor="text1"/>
          <w:highlight w:val="none"/>
          <w14:textFill>
            <w14:solidFill>
              <w14:schemeClr w14:val="tx1"/>
            </w14:solidFill>
          </w14:textFill>
        </w:rPr>
      </w:pPr>
      <w:r/>
      <w:bookmarkStart w:id="176" w:name="_Toc16937"/>
      <w:r>
        <w:rPr>
          <w:rFonts w:hint="eastAsia" w:ascii="黑体" w:hAnsi="宋体" w:eastAsia="黑体" w:cs="黑体"/>
          <w:color w:val="000000" w:themeColor="text1"/>
          <w:sz w:val="44"/>
          <w:szCs w:val="44"/>
          <w:highlight w:val="none"/>
          <w14:textFill>
            <w14:solidFill>
              <w14:schemeClr w14:val="tx1"/>
            </w14:solidFill>
          </w14:textFill>
        </w:rPr>
        <w:t xml:space="preserve">第五章</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bookmarkEnd w:id="176"/>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ind w:left="0" w:right="0" w:firstLine="482"/>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left="0" w:right="0"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 </w:t>
      </w:r>
      <w:r>
        <w:rPr>
          <w:rFonts w:hint="eastAsia" w:ascii="宋体" w:hAnsi="宋体" w:eastAsia="宋体" w:cs="宋体"/>
          <w:bCs/>
          <w:color w:val="000000" w:themeColor="text1"/>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740"/>
        <w:ind w:left="0" w:right="0" w:firstLine="482"/>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919"/>
        <w:ind w:left="0" w:right="0" w:firstLine="480"/>
        <w:keepLines w:val="0"/>
        <w:keepNext w:val="0"/>
        <w:pageBreakBefore w:val="0"/>
        <w:spacing w:before="0" w:after="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专门面向中小企业采购，对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符合规定的</w:t>
      </w:r>
      <w:r>
        <w:rPr>
          <w:rFonts w:hint="eastAsia" w:ascii="宋体" w:hAnsi="宋体" w:eastAsia="宋体" w:cs="宋体"/>
          <w:color w:val="000000" w:themeColor="text1"/>
          <w:sz w:val="24"/>
          <w:szCs w:val="24"/>
          <w:highlight w:val="none"/>
          <w14:textFill>
            <w14:solidFill>
              <w14:schemeClr w14:val="tx1"/>
            </w14:solidFill>
          </w14:textFill>
        </w:rPr>
        <w:t xml:space="preserve">小型和微型企业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给予20%的扣除价格，用扣除后的价格参与评审。</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（2）供应商需按照采购文件的要求提供相应的《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中小微</w:t>
      </w:r>
      <w:r>
        <w:rPr>
          <w:rFonts w:hint="eastAsia" w:ascii="宋体" w:hAnsi="宋体" w:eastAsia="宋体" w:cs="宋体"/>
          <w:color w:val="000000" w:themeColor="text1"/>
          <w:sz w:val="24"/>
          <w:szCs w:val="24"/>
          <w:highlight w:val="none"/>
          <w14:textFill>
            <w14:solidFill>
              <w14:schemeClr w14:val="tx1"/>
            </w14:solidFill>
          </w14:textFill>
        </w:rPr>
        <w:t xml:space="preserve">企业声明函》。</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u w:val="singl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u w:val="singl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0"/>
        <w:ind w:left="0" w:right="0" w:firstLine="480"/>
        <w:keepLines w:val="0"/>
        <w:keepNext w:val="0"/>
        <w:pageBreakBefore w:val="0"/>
        <w:spacing w:beforeAutospacing="0" w:afterAutospacing="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left="0" w:right="0"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i/>
          <w:color w:val="000000" w:themeColor="text1"/>
          <w:sz w:val="24"/>
          <w:szCs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其他条件相同情况下，应当优先采购节能产品、环境标志产品。</w:t>
      </w:r>
      <w:r/>
    </w:p>
    <w:p>
      <w:pPr>
        <w:ind w:left="0" w:right="0" w:firstLine="480"/>
        <w:keepLines w:val="0"/>
        <w:keepNext w:val="0"/>
        <w:pageBreakBefore w:val="0"/>
        <w:spacing w:line="5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Arial"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8"/>
          <w:sz w:val="24"/>
          <w:szCs w:val="24"/>
          <w:highlight w:val="none"/>
          <w14:textFill>
            <w14:solidFill>
              <w14:schemeClr w14:val="tx1"/>
            </w14:solidFill>
          </w14:textFill>
        </w:rPr>
        <w:t xml:space="preserve">强化政府采购异常低价审查</w:t>
      </w:r>
      <w:r/>
    </w:p>
    <w:p>
      <w:pPr>
        <w:ind w:left="0" w:right="0" w:firstLine="548"/>
        <w:keepLines w:val="0"/>
        <w:keepNext w:val="0"/>
        <w:pageBreakBefore w:val="0"/>
        <w:spacing w:line="5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pacing w:val="17"/>
          <w:sz w:val="24"/>
          <w:szCs w:val="24"/>
          <w:highlight w:val="none"/>
          <w14:textFill>
            <w14:solidFill>
              <w14:schemeClr w14:val="tx1"/>
            </w14:solidFill>
          </w14:textFill>
        </w:rPr>
        <w:t xml:space="preserve">采购人应在采购文件中明确评审委员会启动</w:t>
      </w:r>
      <w:r>
        <w:rPr>
          <w:rFonts w:ascii="宋体" w:hAnsi="宋体" w:eastAsia="宋体" w:cs="宋体"/>
          <w:color w:val="000000" w:themeColor="text1"/>
          <w:spacing w:val="16"/>
          <w:sz w:val="24"/>
          <w:szCs w:val="24"/>
          <w:highlight w:val="none"/>
          <w14:textFill>
            <w14:solidFill>
              <w14:schemeClr w14:val="tx1"/>
            </w14:solidFill>
          </w14:textFill>
        </w:rPr>
        <w:t xml:space="preserve">异常低价投标</w:t>
      </w:r>
      <w:r>
        <w:rPr>
          <w:rFonts w:ascii="宋体" w:hAnsi="宋体" w:eastAsia="宋体" w:cs="宋体"/>
          <w:color w:val="000000" w:themeColor="text1"/>
          <w:spacing w:val="5"/>
          <w:sz w:val="24"/>
          <w:szCs w:val="24"/>
          <w:highlight w:val="none"/>
          <w14:textFill>
            <w14:solidFill>
              <w14:schemeClr w14:val="tx1"/>
            </w14:solidFill>
          </w14:textFill>
        </w:rPr>
        <w:t xml:space="preserve">（响应）审查的情形和具体要求，包括：</w:t>
      </w:r>
      <w:r/>
    </w:p>
    <w:p>
      <w:pPr>
        <w:ind w:left="0" w:right="0" w:firstLine="488"/>
        <w:keepLines w:val="0"/>
        <w:keepNext w:val="0"/>
        <w:pageBreakBefore w:val="0"/>
        <w:spacing w:line="5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pacing w:val="2"/>
          <w:sz w:val="24"/>
          <w:szCs w:val="24"/>
          <w:highlight w:val="none"/>
          <w14:textFill>
            <w14:solidFill>
              <w14:schemeClr w14:val="tx1"/>
            </w14:solidFill>
          </w14:textFill>
        </w:rPr>
        <w:t xml:space="preserve">（一）评审过程中出现下列情形之一的，评审委员会应当启动异常低价投标（响应）审查程序：</w:t>
      </w:r>
      <w:r/>
    </w:p>
    <w:p>
      <w:pPr>
        <w:ind w:left="0" w:right="0" w:firstLine="436"/>
        <w:keepLines w:val="0"/>
        <w:keepNext w:val="0"/>
        <w:pageBreakBefore w:val="0"/>
        <w:spacing w:line="5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Times New Roman" w:cs="宋体"/>
          <w:color w:val="000000" w:themeColor="text1"/>
          <w:spacing w:val="-11"/>
          <w:sz w:val="24"/>
          <w:szCs w:val="24"/>
          <w:highlight w:val="none"/>
          <w14:textFill>
            <w14:solidFill>
              <w14:schemeClr w14:val="tx1"/>
            </w14:solidFill>
          </w14:textFill>
        </w:rPr>
        <w:t xml:space="preserve">1.</w:t>
      </w:r>
      <w:r>
        <w:rPr>
          <w:rFonts w:ascii="宋体" w:hAnsi="宋体" w:eastAsia="宋体" w:cs="宋体"/>
          <w:color w:val="000000" w:themeColor="text1"/>
          <w:spacing w:val="-11"/>
          <w:sz w:val="24"/>
          <w:szCs w:val="24"/>
          <w:highlight w:val="none"/>
          <w14:textFill>
            <w14:solidFill>
              <w14:schemeClr w14:val="tx1"/>
            </w14:solidFill>
          </w14:textFill>
        </w:rPr>
        <w:t xml:space="preserve">投标（响应）报价低于采购项目预算</w:t>
      </w:r>
      <w:r>
        <w:rPr>
          <w:rFonts w:ascii="宋体" w:hAnsi="宋体" w:eastAsia="Times New Roman" w:cs="宋体"/>
          <w:color w:val="000000" w:themeColor="text1"/>
          <w:spacing w:val="-11"/>
          <w:sz w:val="24"/>
          <w:szCs w:val="24"/>
          <w:highlight w:val="none"/>
          <w14:textFill>
            <w14:solidFill>
              <w14:schemeClr w14:val="tx1"/>
            </w14:solidFill>
          </w14:textFill>
        </w:rPr>
        <w:t xml:space="preserve">50%</w:t>
      </w:r>
      <w:r>
        <w:rPr>
          <w:rFonts w:ascii="宋体" w:hAnsi="宋体" w:eastAsia="宋体" w:cs="宋体"/>
          <w:color w:val="000000" w:themeColor="text1"/>
          <w:spacing w:val="-11"/>
          <w:sz w:val="24"/>
          <w:szCs w:val="24"/>
          <w:highlight w:val="none"/>
          <w14:textFill>
            <w14:solidFill>
              <w14:schemeClr w14:val="tx1"/>
            </w14:solidFill>
          </w14:textFill>
        </w:rPr>
        <w:t xml:space="preserve">的，即投标（响</w:t>
      </w:r>
      <w:r>
        <w:rPr>
          <w:rFonts w:ascii="宋体" w:hAnsi="宋体" w:eastAsia="宋体" w:cs="宋体"/>
          <w:color w:val="000000" w:themeColor="text1"/>
          <w:spacing w:val="2"/>
          <w:sz w:val="24"/>
          <w:szCs w:val="24"/>
          <w:highlight w:val="none"/>
          <w14:textFill>
            <w14:solidFill>
              <w14:schemeClr w14:val="tx1"/>
            </w14:solidFill>
          </w14:textFill>
        </w:rPr>
        <w:t xml:space="preserve">应）报价</w:t>
      </w:r>
      <w:r>
        <w:rPr>
          <w:rFonts w:ascii="宋体" w:hAnsi="宋体" w:eastAsia="Times New Roman" w:cs="宋体"/>
          <w:color w:val="000000" w:themeColor="text1"/>
          <w:spacing w:val="2"/>
          <w:sz w:val="24"/>
          <w:szCs w:val="24"/>
          <w:highlight w:val="none"/>
          <w14:textFill>
            <w14:solidFill>
              <w14:schemeClr w14:val="tx1"/>
            </w14:solidFill>
          </w14:textFill>
        </w:rPr>
        <w:t xml:space="preserve">&lt;</w:t>
      </w:r>
      <w:r>
        <w:rPr>
          <w:rFonts w:ascii="宋体" w:hAnsi="宋体" w:eastAsia="宋体" w:cs="宋体"/>
          <w:color w:val="000000" w:themeColor="text1"/>
          <w:spacing w:val="2"/>
          <w:sz w:val="24"/>
          <w:szCs w:val="24"/>
          <w:highlight w:val="none"/>
          <w14:textFill>
            <w14:solidFill>
              <w14:schemeClr w14:val="tx1"/>
            </w14:solidFill>
          </w14:textFill>
        </w:rPr>
        <w:t xml:space="preserve">采购项目预算</w:t>
      </w:r>
      <w:r>
        <w:rPr>
          <w:rFonts w:ascii="宋体" w:hAnsi="宋体" w:eastAsia="仿宋" w:cs="宋体"/>
          <w:color w:val="000000" w:themeColor="text1"/>
          <w:spacing w:val="2"/>
          <w:sz w:val="24"/>
          <w:szCs w:val="24"/>
          <w:highlight w:val="none"/>
          <w14:textFill>
            <w14:solidFill>
              <w14:schemeClr w14:val="tx1"/>
            </w14:solidFill>
          </w14:textFill>
        </w:rPr>
        <w:t xml:space="preserve">×</w:t>
      </w:r>
      <w:r>
        <w:rPr>
          <w:rFonts w:ascii="宋体" w:hAnsi="宋体" w:eastAsia="Times New Roman" w:cs="宋体"/>
          <w:color w:val="000000" w:themeColor="text1"/>
          <w:spacing w:val="2"/>
          <w:sz w:val="24"/>
          <w:szCs w:val="24"/>
          <w:highlight w:val="none"/>
          <w14:textFill>
            <w14:solidFill>
              <w14:schemeClr w14:val="tx1"/>
            </w14:solidFill>
          </w14:textFill>
        </w:rPr>
        <w:t xml:space="preserve">50%</w:t>
      </w:r>
      <w:r>
        <w:rPr>
          <w:rFonts w:ascii="宋体" w:hAnsi="宋体" w:eastAsia="宋体" w:cs="宋体"/>
          <w:color w:val="000000" w:themeColor="text1"/>
          <w:spacing w:val="2"/>
          <w:sz w:val="24"/>
          <w:szCs w:val="24"/>
          <w:highlight w:val="none"/>
          <w14:textFill>
            <w14:solidFill>
              <w14:schemeClr w14:val="tx1"/>
            </w14:solidFill>
          </w14:textFill>
        </w:rPr>
        <w:t xml:space="preserve">；</w:t>
      </w:r>
      <w:r/>
    </w:p>
    <w:p>
      <w:pPr>
        <w:ind w:left="0" w:right="0" w:firstLine="504"/>
        <w:keepLines w:val="0"/>
        <w:keepNext w:val="0"/>
        <w:pageBreakBefore w:val="0"/>
        <w:spacing w:line="5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Times New Roman" w:cs="宋体"/>
          <w:color w:val="000000" w:themeColor="text1"/>
          <w:spacing w:val="6"/>
          <w:sz w:val="24"/>
          <w:szCs w:val="24"/>
          <w:highlight w:val="none"/>
          <w14:textFill>
            <w14:solidFill>
              <w14:schemeClr w14:val="tx1"/>
            </w14:solidFill>
          </w14:textFill>
        </w:rPr>
        <w:t xml:space="preserve">2.</w:t>
      </w:r>
      <w:r>
        <w:rPr>
          <w:rFonts w:ascii="宋体" w:hAnsi="宋体" w:eastAsia="宋体" w:cs="宋体"/>
          <w:color w:val="000000" w:themeColor="text1"/>
          <w:spacing w:val="6"/>
          <w:sz w:val="24"/>
          <w:szCs w:val="24"/>
          <w:highlight w:val="none"/>
          <w14:textFill>
            <w14:solidFill>
              <w14:schemeClr w14:val="tx1"/>
            </w14:solidFill>
          </w14:textFill>
        </w:rPr>
        <w:t xml:space="preserve">投标（响应）报价低于采购项目最高限价</w:t>
      </w:r>
      <w:r>
        <w:rPr>
          <w:rFonts w:ascii="宋体" w:hAnsi="宋体" w:eastAsia="Times New Roman" w:cs="宋体"/>
          <w:color w:val="000000" w:themeColor="text1"/>
          <w:spacing w:val="6"/>
          <w:sz w:val="24"/>
          <w:szCs w:val="24"/>
          <w:highlight w:val="none"/>
          <w14:textFill>
            <w14:solidFill>
              <w14:schemeClr w14:val="tx1"/>
            </w14:solidFill>
          </w14:textFill>
        </w:rPr>
        <w:t xml:space="preserve">45%</w:t>
      </w:r>
      <w:r>
        <w:rPr>
          <w:rFonts w:ascii="宋体" w:hAnsi="宋体" w:eastAsia="宋体" w:cs="宋体"/>
          <w:color w:val="000000" w:themeColor="text1"/>
          <w:spacing w:val="6"/>
          <w:sz w:val="24"/>
          <w:szCs w:val="24"/>
          <w:highlight w:val="none"/>
          <w14:textFill>
            <w14:solidFill>
              <w14:schemeClr w14:val="tx1"/>
            </w14:solidFill>
          </w14:textFill>
        </w:rPr>
        <w:t xml:space="preserve">的，</w:t>
      </w:r>
      <w:r>
        <w:rPr>
          <w:rFonts w:ascii="宋体" w:hAnsi="宋体" w:eastAsia="宋体" w:cs="宋体"/>
          <w:color w:val="000000" w:themeColor="text1"/>
          <w:spacing w:val="5"/>
          <w:sz w:val="24"/>
          <w:szCs w:val="24"/>
          <w:highlight w:val="none"/>
          <w14:textFill>
            <w14:solidFill>
              <w14:schemeClr w14:val="tx1"/>
            </w14:solidFill>
          </w14:textFill>
        </w:rPr>
        <w:t xml:space="preserve">即投</w:t>
      </w:r>
      <w:r>
        <w:rPr>
          <w:rFonts w:ascii="宋体" w:hAnsi="宋体" w:eastAsia="宋体" w:cs="宋体"/>
          <w:color w:val="000000" w:themeColor="text1"/>
          <w:spacing w:val="1"/>
          <w:sz w:val="24"/>
          <w:szCs w:val="24"/>
          <w:highlight w:val="none"/>
          <w14:textFill>
            <w14:solidFill>
              <w14:schemeClr w14:val="tx1"/>
            </w14:solidFill>
          </w14:textFill>
        </w:rPr>
        <w:t xml:space="preserve">标（响应）报价</w:t>
      </w:r>
      <w:r>
        <w:rPr>
          <w:rFonts w:ascii="宋体" w:hAnsi="宋体" w:eastAsia="Times New Roman" w:cs="宋体"/>
          <w:color w:val="000000" w:themeColor="text1"/>
          <w:spacing w:val="1"/>
          <w:sz w:val="24"/>
          <w:szCs w:val="24"/>
          <w:highlight w:val="none"/>
          <w14:textFill>
            <w14:solidFill>
              <w14:schemeClr w14:val="tx1"/>
            </w14:solidFill>
          </w14:textFill>
        </w:rPr>
        <w:t xml:space="preserve">&lt;</w:t>
      </w:r>
      <w:r>
        <w:rPr>
          <w:rFonts w:ascii="宋体" w:hAnsi="宋体" w:eastAsia="宋体" w:cs="宋体"/>
          <w:color w:val="000000" w:themeColor="text1"/>
          <w:spacing w:val="1"/>
          <w:sz w:val="24"/>
          <w:szCs w:val="24"/>
          <w:highlight w:val="none"/>
          <w14:textFill>
            <w14:solidFill>
              <w14:schemeClr w14:val="tx1"/>
            </w14:solidFill>
          </w14:textFill>
        </w:rPr>
        <w:t xml:space="preserve">采购项目最高限价</w:t>
      </w:r>
      <w:r>
        <w:rPr>
          <w:rFonts w:ascii="宋体" w:hAnsi="宋体" w:eastAsia="仿宋" w:cs="宋体"/>
          <w:color w:val="000000" w:themeColor="text1"/>
          <w:spacing w:val="1"/>
          <w:sz w:val="24"/>
          <w:szCs w:val="24"/>
          <w:highlight w:val="none"/>
          <w14:textFill>
            <w14:solidFill>
              <w14:schemeClr w14:val="tx1"/>
            </w14:solidFill>
          </w14:textFill>
        </w:rPr>
        <w:t xml:space="preserve">×</w:t>
      </w:r>
      <w:r>
        <w:rPr>
          <w:rFonts w:ascii="宋体" w:hAnsi="宋体" w:eastAsia="Times New Roman" w:cs="宋体"/>
          <w:color w:val="000000" w:themeColor="text1"/>
          <w:spacing w:val="1"/>
          <w:sz w:val="24"/>
          <w:szCs w:val="24"/>
          <w:highlight w:val="none"/>
          <w14:textFill>
            <w14:solidFill>
              <w14:schemeClr w14:val="tx1"/>
            </w14:solidFill>
          </w14:textFill>
        </w:rPr>
        <w:t xml:space="preserve">45%</w:t>
      </w:r>
      <w:r>
        <w:rPr>
          <w:rFonts w:ascii="宋体" w:hAnsi="宋体" w:eastAsia="宋体" w:cs="宋体"/>
          <w:color w:val="000000" w:themeColor="text1"/>
          <w:spacing w:val="1"/>
          <w:sz w:val="24"/>
          <w:szCs w:val="24"/>
          <w:highlight w:val="none"/>
          <w14:textFill>
            <w14:solidFill>
              <w14:schemeClr w14:val="tx1"/>
            </w14:solidFill>
          </w14:textFill>
        </w:rPr>
        <w:t xml:space="preserve">；</w:t>
      </w:r>
      <w:r/>
    </w:p>
    <w:p>
      <w:pPr>
        <w:ind w:left="0" w:right="0" w:firstLine="508"/>
        <w:keepLines w:val="0"/>
        <w:keepNext w:val="0"/>
        <w:pageBreakBefore w:val="0"/>
        <w:spacing w:line="5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Times New Roman" w:cs="宋体"/>
          <w:color w:val="000000" w:themeColor="text1"/>
          <w:spacing w:val="7"/>
          <w:sz w:val="24"/>
          <w:szCs w:val="24"/>
          <w:highlight w:val="none"/>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评审委员会认定的供应商报价过低、有可能影响产品质量或者不能诚信履约的其他情形。</w:t>
      </w:r>
      <w:r/>
    </w:p>
    <w:p>
      <w:pPr>
        <w:ind w:left="0" w:right="0" w:firstLine="476"/>
        <w:keepLines w:val="0"/>
        <w:keepNext w:val="0"/>
        <w:pageBreakBefore w:val="0"/>
        <w:spacing w:line="52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pacing w:val="-1"/>
          <w:sz w:val="24"/>
          <w:szCs w:val="24"/>
          <w:highlight w:val="none"/>
          <w14:textFill>
            <w14:solidFill>
              <w14:schemeClr w14:val="tx1"/>
            </w14:solidFill>
          </w14:textFill>
        </w:rPr>
        <w:t xml:space="preserve">（二）启动异常低价投标（响应）审查后，评审委员会应当</w:t>
      </w:r>
      <w:r>
        <w:rPr>
          <w:rFonts w:ascii="宋体" w:hAnsi="宋体" w:eastAsia="宋体" w:cs="宋体"/>
          <w:color w:val="000000" w:themeColor="text1"/>
          <w:spacing w:val="4"/>
          <w:sz w:val="24"/>
          <w:szCs w:val="24"/>
          <w:highlight w:val="none"/>
          <w14:textFill>
            <w14:solidFill>
              <w14:schemeClr w14:val="tx1"/>
            </w14:solidFill>
          </w14:textFill>
        </w:rPr>
        <w:t xml:space="preserve">要求相关供应商在评标现场合理的时间内，提供项目具体成本测</w:t>
      </w:r>
      <w:r>
        <w:rPr>
          <w:rFonts w:ascii="宋体" w:hAnsi="宋体" w:eastAsia="Arial" w:cs="宋体"/>
          <w:color w:val="000000" w:themeColor="text1"/>
          <w:spacing w:val="10"/>
          <w:sz w:val="24"/>
          <w:szCs w:val="24"/>
          <w:highlight w:val="none"/>
          <w14:textFill>
            <w14:solidFill>
              <w14:schemeClr w14:val="tx1"/>
            </w14:solidFill>
          </w14:textFill>
        </w:rPr>
        <w:t xml:space="preserve"> </w:t>
      </w:r>
      <w:r>
        <w:rPr>
          <w:rFonts w:ascii="宋体" w:hAnsi="宋体" w:eastAsia="宋体" w:cs="宋体"/>
          <w:color w:val="000000" w:themeColor="text1"/>
          <w:spacing w:val="1"/>
          <w:sz w:val="24"/>
          <w:szCs w:val="24"/>
          <w:highlight w:val="none"/>
          <w14:textFill>
            <w14:solidFill>
              <w14:schemeClr w14:val="tx1"/>
            </w14:solidFill>
          </w14:textFill>
        </w:rPr>
        <w:t xml:space="preserve">算等与报价合理性相关的书面说明及相关证明材料，对投标（响</w:t>
      </w:r>
      <w:r>
        <w:rPr>
          <w:rFonts w:ascii="宋体" w:hAnsi="宋体" w:eastAsia="宋体" w:cs="宋体"/>
          <w:color w:val="000000" w:themeColor="text1"/>
          <w:spacing w:val="4"/>
          <w:sz w:val="24"/>
          <w:szCs w:val="24"/>
          <w:highlight w:val="none"/>
          <w14:textFill>
            <w14:solidFill>
              <w14:schemeClr w14:val="tx1"/>
            </w14:solidFill>
          </w14:textFill>
        </w:rPr>
        <w:t xml:space="preserve">应）价格作出解释，由评审委员会结合同类产品在主要电商平台的价格、该行业当地薪资水平等情况，依据专业经验对供应商报</w:t>
      </w:r>
      <w:r>
        <w:rPr>
          <w:rFonts w:ascii="宋体" w:hAnsi="宋体" w:eastAsia="宋体" w:cs="宋体"/>
          <w:color w:val="000000" w:themeColor="text1"/>
          <w:spacing w:val="1"/>
          <w:sz w:val="24"/>
          <w:szCs w:val="24"/>
          <w:highlight w:val="none"/>
          <w14:textFill>
            <w14:solidFill>
              <w14:schemeClr w14:val="tx1"/>
            </w14:solidFill>
          </w14:textFill>
        </w:rPr>
        <w:t xml:space="preserve">价合理性进行判断。投标（响应）供应商不提供书面说明、证明</w:t>
      </w:r>
      <w:r>
        <w:rPr>
          <w:rFonts w:ascii="宋体" w:hAnsi="宋体" w:eastAsia="Arial" w:cs="宋体"/>
          <w:color w:val="000000" w:themeColor="text1"/>
          <w:sz w:val="24"/>
          <w:szCs w:val="24"/>
          <w:highlight w:val="none"/>
          <w14:textFill>
            <w14:solidFill>
              <w14:schemeClr w14:val="tx1"/>
            </w14:solidFill>
          </w14:textFill>
        </w:rPr>
        <w:t xml:space="preserve"> </w:t>
      </w:r>
      <w:r>
        <w:rPr>
          <w:rFonts w:ascii="宋体" w:hAnsi="宋体" w:eastAsia="宋体" w:cs="宋体"/>
          <w:color w:val="000000" w:themeColor="text1"/>
          <w:spacing w:val="-3"/>
          <w:sz w:val="24"/>
          <w:szCs w:val="24"/>
          <w:highlight w:val="none"/>
          <w14:textFill>
            <w14:solidFill>
              <w14:schemeClr w14:val="tx1"/>
            </w14:solidFill>
          </w14:textFill>
        </w:rPr>
        <w:t xml:space="preserve">材料，或者提供的书面说明、证明材料不能证明其报价合理性的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2"/>
          <w:sz w:val="24"/>
          <w:szCs w:val="24"/>
          <w:highlight w:val="none"/>
          <w14:textFill>
            <w14:solidFill>
              <w14:schemeClr w14:val="tx1"/>
            </w14:solidFill>
          </w14:textFill>
        </w:rPr>
        <w:t xml:space="preserve">评审委员会应当将其作为无效投标（响应）</w:t>
      </w:r>
      <w:r>
        <w:rPr>
          <w:rFonts w:ascii="宋体" w:hAnsi="宋体" w:eastAsia="宋体" w:cs="宋体"/>
          <w:color w:val="000000" w:themeColor="text1"/>
          <w:spacing w:val="1"/>
          <w:sz w:val="24"/>
          <w:szCs w:val="24"/>
          <w:highlight w:val="none"/>
          <w14:textFill>
            <w14:solidFill>
              <w14:schemeClr w14:val="tx1"/>
            </w14:solidFill>
          </w14:textFill>
        </w:rPr>
        <w:t xml:space="preserve">处理。审查相关情况应当在评审报告中进行记录。</w:t>
      </w:r>
      <w:r/>
    </w:p>
    <w:p>
      <w:pPr>
        <w:pStyle w:val="740"/>
        <w:ind w:firstLine="482"/>
        <w:spacing w:before="120" w:beforeAutospacing="0" w:after="12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评标方法与评标标准</w:t>
      </w:r>
      <w:r/>
    </w:p>
    <w:tbl>
      <w:tblPr>
        <w:tblStyle w:val="738"/>
        <w:tblpPr w:horzAnchor="page" w:tblpX="1533" w:vertAnchor="text" w:tblpY="413" w:leftFromText="180" w:topFromText="0" w:rightFromText="180" w:bottomFromText="0"/>
        <w:tblW w:w="90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40"/>
        <w:gridCol w:w="746"/>
        <w:gridCol w:w="6489"/>
      </w:tblGrid>
      <w:tr>
        <w:trPr/>
        <w:tc>
          <w:tcPr>
            <w:tcW w:w="658" w:type="dxa"/>
            <w:vAlign w:val="center"/>
            <w:textDirection w:val="lrTb"/>
            <w:noWrap/>
          </w:tcPr>
          <w:p>
            <w:pPr>
              <w:jc w:val="center"/>
              <w:widowControl/>
              <w:rPr>
                <w:rFonts w:ascii="宋体" w:hAnsi="宋体"/>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序号</w:t>
            </w:r>
            <w:r/>
          </w:p>
        </w:tc>
        <w:tc>
          <w:tcPr>
            <w:tcW w:w="1140" w:type="dxa"/>
            <w:vAlign w:val="center"/>
            <w:textDirection w:val="lrTb"/>
            <w:noWrap/>
          </w:tcPr>
          <w:p>
            <w:pPr>
              <w:jc w:val="center"/>
              <w:widowControl/>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评审项目</w:t>
            </w:r>
            <w:r/>
          </w:p>
        </w:tc>
        <w:tc>
          <w:tcPr>
            <w:tcW w:w="746" w:type="dxa"/>
            <w:vAlign w:val="center"/>
            <w:textDirection w:val="lrTb"/>
            <w:noWrap/>
          </w:tcPr>
          <w:p>
            <w:pPr>
              <w:jc w:val="center"/>
              <w:widowControl/>
              <w:rPr>
                <w:rFonts w:ascii="宋体" w:hAnsi="宋体"/>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分值</w:t>
            </w:r>
            <w:r/>
          </w:p>
        </w:tc>
        <w:tc>
          <w:tcPr>
            <w:tcW w:w="6489" w:type="dxa"/>
            <w:vAlign w:val="center"/>
            <w:textDirection w:val="lrTb"/>
            <w:noWrap/>
          </w:tcPr>
          <w:p>
            <w:pPr>
              <w:jc w:val="center"/>
              <w:widowControl/>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评审细则</w:t>
            </w:r>
            <w:r/>
          </w:p>
        </w:tc>
      </w:tr>
      <w:tr>
        <w:trPr>
          <w:trHeight w:val="2870"/>
        </w:trPr>
        <w:tc>
          <w:tcPr>
            <w:tcW w:w="658" w:type="dxa"/>
            <w:vAlign w:val="center"/>
            <w:textDirection w:val="lrTb"/>
            <w:noWrap/>
          </w:tcPr>
          <w:p>
            <w:pPr>
              <w:jc w:val="center"/>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1</w:t>
            </w:r>
            <w:r/>
          </w:p>
        </w:tc>
        <w:tc>
          <w:tcPr>
            <w:tcW w:w="1140" w:type="dxa"/>
            <w:vAlign w:val="center"/>
            <w:textDirection w:val="lrTb"/>
            <w:noWrap/>
          </w:tcPr>
          <w:p>
            <w:pPr>
              <w:jc w:val="center"/>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投标报价</w:t>
            </w:r>
            <w:r/>
          </w:p>
        </w:tc>
        <w:tc>
          <w:tcPr>
            <w:tcW w:w="746" w:type="dxa"/>
            <w:vAlign w:val="center"/>
            <w:textDirection w:val="lrTb"/>
            <w:noWrap/>
          </w:tcPr>
          <w:p>
            <w:pPr>
              <w:jc w:val="center"/>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分</w:t>
            </w:r>
            <w:r/>
          </w:p>
        </w:tc>
        <w:tc>
          <w:tcPr>
            <w:tcW w:w="6489" w:type="dxa"/>
            <w:vAlign w:val="center"/>
            <w:textDirection w:val="lrTb"/>
            <w:noWrap/>
          </w:tcPr>
          <w:p>
            <w:pPr>
              <w:jc w:val="both"/>
              <w:keepLines w:val="0"/>
              <w:keepNext w:val="0"/>
              <w:pageBreakBefore w:val="0"/>
              <w:spacing w:line="240" w:lineRule="auto"/>
              <w:widowControl w:val="off"/>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采用低价优先法，即满足招标文件要求且投标价格最低的有效投标报价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有效投标报价为未被评标委员会判定为无效标的投标文件</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为评标基准价，其价格分为满分。</w:t>
            </w:r>
            <w:r/>
          </w:p>
          <w:p>
            <w:pPr>
              <w:jc w:val="both"/>
              <w:keepLines w:val="0"/>
              <w:keepNext w:val="0"/>
              <w:pageBreakBefore w:val="0"/>
              <w:spacing w:line="240" w:lineRule="auto"/>
              <w:widowControl w:val="off"/>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其他投标人的价格分统一按下列公式计算：投标报价得分＝（评标基准价/投标报价）×</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（小数点</w:t>
            </w:r>
            <w:r>
              <w:rPr>
                <w:rFonts w:hint="eastAsia" w:ascii="宋体" w:hAnsi="宋体"/>
                <w:color w:val="000000" w:themeColor="text1"/>
                <w:sz w:val="24"/>
                <w:highlight w:val="none"/>
                <w:lang w:val="en-US" w:eastAsia="zh-CN"/>
                <w14:textFill>
                  <w14:solidFill>
                    <w14:schemeClr w14:val="tx1"/>
                  </w14:solidFill>
                </w14:textFill>
              </w:rPr>
              <w:t xml:space="preserve">后</w:t>
            </w:r>
            <w:r>
              <w:rPr>
                <w:rFonts w:hint="eastAsia" w:ascii="宋体" w:hAnsi="宋体"/>
                <w:color w:val="000000" w:themeColor="text1"/>
                <w:sz w:val="24"/>
                <w:highlight w:val="none"/>
                <w14:textFill>
                  <w14:solidFill>
                    <w14:schemeClr w14:val="tx1"/>
                  </w14:solidFill>
                </w14:textFill>
              </w:rPr>
              <w:t xml:space="preserve">保留两位），因落实政府采购政策需进行价格扣除的，以扣除后的价格计算评标基准价和投标报价（得分保留两位小数）。</w:t>
            </w:r>
            <w:r/>
          </w:p>
        </w:tc>
      </w:tr>
      <w:tr>
        <w:trPr>
          <w:trHeight w:val="1840"/>
        </w:trPr>
        <w:tc>
          <w:tcPr>
            <w:tcW w:w="658" w:type="dxa"/>
            <w:vAlign w:val="center"/>
            <w:textDirection w:val="lrTb"/>
            <w:noWrap/>
          </w:tcPr>
          <w:p>
            <w:pPr>
              <w:jc w:val="center"/>
              <w:rPr>
                <w:rFonts w:hint="eastAsia" w:ascii="宋体" w:hAnsi="宋体" w:eastAsia="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2</w:t>
            </w:r>
            <w:r/>
          </w:p>
        </w:tc>
        <w:tc>
          <w:tcPr>
            <w:tcW w:w="1140" w:type="dxa"/>
            <w:vAlign w:val="center"/>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企业</w:t>
            </w:r>
            <w:r/>
          </w:p>
          <w:p>
            <w:pPr>
              <w:jc w:val="center"/>
              <w:rPr>
                <w:rFonts w:ascii="宋体" w:hAnsi="宋体" w:eastAsia="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实力</w:t>
            </w:r>
            <w:r/>
          </w:p>
        </w:tc>
        <w:tc>
          <w:tcPr>
            <w:tcW w:w="746" w:type="dxa"/>
            <w:vAlign w:val="center"/>
            <w:textDirection w:val="lrTb"/>
            <w:noWrap/>
          </w:tcPr>
          <w:p>
            <w:pPr>
              <w:jc w:val="center"/>
              <w:rPr>
                <w:rFonts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4分</w:t>
            </w:r>
            <w:r/>
          </w:p>
        </w:tc>
        <w:tc>
          <w:tcPr>
            <w:tcW w:w="6489" w:type="dxa"/>
            <w:vAlign w:val="center"/>
            <w:textDirection w:val="lrTb"/>
            <w:noWrap/>
          </w:tcPr>
          <w:p>
            <w:pPr>
              <w:jc w:val="both"/>
              <w:keepLines w:val="0"/>
              <w:keepNext w:val="0"/>
              <w:pageBreakBefore w:val="0"/>
              <w:spacing w:line="240" w:lineRule="auto"/>
              <w:widowControl w:val="off"/>
              <w:rPr>
                <w:rFonts w:ascii="宋体" w:hAnsi="宋体"/>
                <w:color w:val="000000" w:themeColor="text1"/>
                <w:sz w:val="24"/>
                <w:highlight w:val="none"/>
                <w:lang w:val="en-US" w:eastAsia="zh-CN"/>
                <w14:textFill>
                  <w14:solidFill>
                    <w14:schemeClr w14:val="tx1"/>
                  </w14:solidFill>
                </w14:textFill>
              </w:rPr>
              <w:outlineLvl w:val="9"/>
            </w:pPr>
            <w:r>
              <w:rPr>
                <w:rFonts w:ascii="宋体" w:hAnsi="宋体"/>
                <w:color w:val="000000" w:themeColor="text1"/>
                <w:sz w:val="24"/>
                <w:highlight w:val="none"/>
                <w:lang w:val="en-US" w:eastAsia="zh-CN"/>
                <w14:textFill>
                  <w14:solidFill>
                    <w14:schemeClr w14:val="tx1"/>
                  </w14:solidFill>
                </w14:textFill>
              </w:rPr>
              <w:t xml:space="preserve">投标人或制造商取得有效的</w:t>
            </w:r>
            <w:r>
              <w:rPr>
                <w:rFonts w:hint="eastAsia" w:ascii="宋体" w:hAnsi="宋体"/>
                <w:color w:val="000000" w:themeColor="text1"/>
                <w:sz w:val="24"/>
                <w:highlight w:val="none"/>
                <w:lang w:val="en-US" w:eastAsia="zh-CN"/>
                <w14:textFill>
                  <w14:solidFill>
                    <w14:schemeClr w14:val="tx1"/>
                  </w14:solidFill>
                </w14:textFill>
              </w:rPr>
              <w:t xml:space="preserve">隐私信息管理体系认证证书</w:t>
            </w:r>
            <w:r>
              <w:rPr>
                <w:rFonts w:ascii="宋体" w:hAnsi="宋体"/>
                <w:color w:val="000000" w:themeColor="text1"/>
                <w:sz w:val="24"/>
                <w:highlight w:val="none"/>
                <w:lang w:val="en-US" w:eastAsia="zh-CN"/>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lang w:val="en-US" w:eastAsia="zh-CN"/>
                <w14:textFill>
                  <w14:solidFill>
                    <w14:schemeClr w14:val="tx1"/>
                  </w14:solidFill>
                </w14:textFill>
              </w:rPr>
              <w:t xml:space="preserve">分，取得有效的</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业务连续性管理体系认证证书</w:t>
            </w:r>
            <w:r>
              <w:rPr>
                <w:rFonts w:ascii="宋体" w:hAnsi="宋体"/>
                <w:color w:val="000000" w:themeColor="text1"/>
                <w:sz w:val="24"/>
                <w:highlight w:val="none"/>
                <w:lang w:val="en-US" w:eastAsia="zh-CN"/>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lang w:val="en-US" w:eastAsia="zh-CN"/>
                <w14:textFill>
                  <w14:solidFill>
                    <w14:schemeClr w14:val="tx1"/>
                  </w14:solidFill>
                </w14:textFill>
              </w:rPr>
              <w:t xml:space="preserve">分；本项</w:t>
            </w:r>
            <w:r>
              <w:rPr>
                <w:rFonts w:hint="eastAsia" w:ascii="宋体" w:hAnsi="宋体"/>
                <w:color w:val="000000" w:themeColor="text1"/>
                <w:sz w:val="24"/>
                <w:highlight w:val="none"/>
                <w:lang w:val="en-US" w:eastAsia="zh-CN"/>
                <w14:textFill>
                  <w14:solidFill>
                    <w14:schemeClr w14:val="tx1"/>
                  </w14:solidFill>
                </w14:textFill>
              </w:rPr>
              <w:t xml:space="preserve">最高得4</w:t>
            </w:r>
            <w:r>
              <w:rPr>
                <w:rFonts w:ascii="宋体" w:hAnsi="宋体"/>
                <w:color w:val="000000" w:themeColor="text1"/>
                <w:sz w:val="24"/>
                <w:highlight w:val="none"/>
                <w:lang w:val="en-US" w:eastAsia="zh-CN"/>
                <w14:textFill>
                  <w14:solidFill>
                    <w14:schemeClr w14:val="tx1"/>
                  </w14:solidFill>
                </w14:textFill>
              </w:rPr>
              <w:t xml:space="preserve">分。</w:t>
            </w:r>
            <w:r/>
          </w:p>
          <w:p>
            <w:pPr>
              <w:jc w:val="both"/>
              <w:keepLines w:val="0"/>
              <w:keepNext w:val="0"/>
              <w:pageBreakBefore w:val="0"/>
              <w:spacing w:line="240" w:lineRule="auto"/>
              <w:widowControl w:val="off"/>
              <w:rPr>
                <w:rFonts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注：投标时提供上述证书的彩色扫描件，否则不予认可。</w:t>
            </w:r>
            <w:r/>
          </w:p>
        </w:tc>
      </w:tr>
      <w:tr>
        <w:trPr>
          <w:trHeight w:val="1840"/>
        </w:trPr>
        <w:tc>
          <w:tcPr>
            <w:tcW w:w="658" w:type="dxa"/>
            <w:vAlign w:val="center"/>
            <w:textDirection w:val="lrTb"/>
            <w:noWrap/>
          </w:tcPr>
          <w:p>
            <w:pPr>
              <w:jc w:val="center"/>
              <w:rPr>
                <w:rFonts w:hint="default"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3</w:t>
            </w:r>
            <w:r/>
          </w:p>
        </w:tc>
        <w:tc>
          <w:tcPr>
            <w:tcW w:w="1140" w:type="dxa"/>
            <w:vAlign w:val="center"/>
            <w:textDirection w:val="lrTb"/>
            <w:noWrap/>
          </w:tcPr>
          <w:p>
            <w:pPr>
              <w:jc w:val="center"/>
              <w:rPr>
                <w:rFonts w:hint="default"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软件著作权</w:t>
            </w:r>
            <w:r/>
          </w:p>
        </w:tc>
        <w:tc>
          <w:tcPr>
            <w:tcW w:w="746" w:type="dxa"/>
            <w:vAlign w:val="center"/>
            <w:textDirection w:val="lrTb"/>
            <w:noWrap/>
          </w:tcPr>
          <w:p>
            <w:pPr>
              <w:jc w:val="center"/>
              <w:rPr>
                <w:rFonts w:hint="default"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6分</w:t>
            </w:r>
            <w:r/>
          </w:p>
        </w:tc>
        <w:tc>
          <w:tcPr>
            <w:tcW w:w="6489" w:type="dxa"/>
            <w:vAlign w:val="center"/>
            <w:textDirection w:val="lrTb"/>
            <w:noWrap/>
          </w:tcPr>
          <w:p>
            <w:pPr>
              <w:jc w:val="both"/>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投标人或制造商具备病历质量控制、病案首页质量控制、疾病知识库等</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3项</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计算机软件著作</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权登记</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证书，每提供1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项</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得</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分，最高</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分，未提供的不得分。</w:t>
            </w:r>
            <w:r/>
          </w:p>
          <w:p>
            <w:pPr>
              <w:pStyle w:val="739"/>
              <w:rPr>
                <w:rFonts w:hint="default"/>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备注：1、提供的</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证书</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中</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需包含</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符合上述要求的内容（功能）说明及关键信息</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否则不得分。2、投标人提供的证书扫描件或加盖投标单位公章的复印件，</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否则不予认可。</w:t>
            </w:r>
            <w:r/>
          </w:p>
        </w:tc>
      </w:tr>
      <w:tr>
        <w:trPr>
          <w:trHeight w:val="2480"/>
        </w:trPr>
        <w:tc>
          <w:tcPr>
            <w:tcW w:w="658" w:type="dxa"/>
            <w:vAlign w:val="center"/>
            <w:textDirection w:val="lrTb"/>
            <w:noWrap/>
          </w:tcPr>
          <w:p>
            <w:pPr>
              <w:jc w:val="center"/>
              <w:rPr>
                <w:rFonts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4</w:t>
            </w:r>
            <w:r/>
          </w:p>
        </w:tc>
        <w:tc>
          <w:tcPr>
            <w:tcW w:w="1140" w:type="dxa"/>
            <w:vAlign w:val="center"/>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业绩</w:t>
            </w:r>
            <w:r/>
          </w:p>
        </w:tc>
        <w:tc>
          <w:tcPr>
            <w:tcW w:w="746" w:type="dxa"/>
            <w:vAlign w:val="center"/>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tc>
        <w:tc>
          <w:tcPr>
            <w:tcW w:w="6489" w:type="dxa"/>
            <w:vAlign w:val="center"/>
            <w:textDirection w:val="lrTb"/>
            <w:noWrap/>
          </w:tcPr>
          <w:p>
            <w:pPr>
              <w:jc w:val="both"/>
              <w:keepLines w:val="0"/>
              <w:keepNext w:val="0"/>
              <w:pageBreakBefore w:val="0"/>
              <w:spacing w:line="240" w:lineRule="auto"/>
              <w:widowControl w:val="off"/>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自2022年1月1日（时间以合同签订日期为准）以来，投标人或制造商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具有与本招标项目类似</w:t>
            </w:r>
            <w:r>
              <w:rPr>
                <w:rFonts w:hint="eastAsia" w:ascii="宋体" w:hAnsi="宋体"/>
                <w:color w:val="000000" w:themeColor="text1"/>
                <w:sz w:val="24"/>
                <w:highlight w:val="none"/>
                <w:lang w:val="en-US" w:eastAsia="zh-CN"/>
                <w14:textFill>
                  <w14:solidFill>
                    <w14:schemeClr w14:val="tx1"/>
                  </w14:solidFill>
                </w14:textFill>
              </w:rPr>
              <w:t xml:space="preserve">业绩的，每有一项得2分，本项最高得6分。</w:t>
            </w:r>
            <w:r/>
          </w:p>
          <w:p>
            <w:pPr>
              <w:jc w:val="both"/>
              <w:keepLines w:val="0"/>
              <w:keepNext w:val="0"/>
              <w:pageBreakBefore w:val="0"/>
              <w:spacing w:line="240" w:lineRule="auto"/>
              <w:widowControl w:val="off"/>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注：需提供业绩合同原件扫描件，合同项目名称、合同价、合同主体名称、合同签订日期、盖章页等主要内容须在合同中体现，否则不予认可。</w:t>
            </w:r>
            <w:r/>
          </w:p>
        </w:tc>
      </w:tr>
      <w:tr>
        <w:trPr>
          <w:trHeight w:val="1678"/>
        </w:trPr>
        <w:tc>
          <w:tcPr>
            <w:tcW w:w="658" w:type="dxa"/>
            <w:vAlign w:val="center"/>
            <w:textDirection w:val="lrTb"/>
            <w:noWrap/>
          </w:tcPr>
          <w:p>
            <w:pPr>
              <w:jc w:val="center"/>
              <w:rPr>
                <w:rFonts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5</w:t>
            </w:r>
            <w:r/>
          </w:p>
        </w:tc>
        <w:tc>
          <w:tcPr>
            <w:tcW w:w="1140" w:type="dxa"/>
            <w:vAlign w:val="center"/>
            <w:textDirection w:val="lrTb"/>
            <w:noWrap/>
          </w:tcPr>
          <w:p>
            <w:pPr>
              <w:jc w:val="center"/>
              <w:rPr>
                <w:rFonts w:hint="eastAsia" w:ascii="宋体" w:hAnsi="宋体" w:cs="Times New Roman" w:eastAsiaTheme="minorEastAsia"/>
                <w:color w:val="000000" w:themeColor="text1"/>
                <w:sz w:val="24"/>
                <w:szCs w:val="24"/>
                <w:highlight w:val="none"/>
                <w:lang w:val="en-US" w:eastAsia="zh-CN" w:bidi="ar-SA"/>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技术参数</w:t>
            </w:r>
            <w:r>
              <w:rPr>
                <w:rFonts w:hint="eastAsia" w:ascii="宋体" w:hAnsi="宋体"/>
                <w:color w:val="000000" w:themeColor="text1"/>
                <w:sz w:val="24"/>
                <w:highlight w:val="none"/>
                <w:lang w:eastAsia="zh-CN"/>
                <w14:textFill>
                  <w14:solidFill>
                    <w14:schemeClr w14:val="tx1"/>
                  </w14:solidFill>
                </w14:textFill>
              </w:rPr>
              <w:t xml:space="preserve">响应</w:t>
            </w:r>
            <w:r/>
          </w:p>
        </w:tc>
        <w:tc>
          <w:tcPr>
            <w:tcW w:w="746" w:type="dxa"/>
            <w:vAlign w:val="center"/>
            <w:textDirection w:val="lrTb"/>
            <w:noWrap/>
          </w:tcPr>
          <w:p>
            <w:pPr>
              <w:jc w:val="cente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分</w:t>
            </w:r>
            <w:r/>
          </w:p>
        </w:tc>
        <w:tc>
          <w:tcPr>
            <w:tcW w:w="6489" w:type="dxa"/>
            <w:vAlign w:val="center"/>
            <w:textDirection w:val="lrTb"/>
            <w:noWrap/>
          </w:tcPr>
          <w:p>
            <w:pPr>
              <w:jc w:val="both"/>
              <w:keepLines w:val="0"/>
              <w:keepNext w:val="0"/>
              <w:pageBreakBefore w:val="0"/>
              <w:spacing w:line="240" w:lineRule="auto"/>
              <w:widowControl w:val="off"/>
              <w:rPr>
                <w:rFonts w:hint="eastAsia" w:ascii="宋体" w:hAnsi="宋体" w:eastAsiaTheme="minorEastAsia"/>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本项目</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技术参数</w:t>
            </w:r>
            <w:r>
              <w:rPr>
                <w:rFonts w:hint="eastAsia" w:ascii="宋体" w:hAnsi="宋体"/>
                <w:color w:val="000000" w:themeColor="text1"/>
                <w:sz w:val="24"/>
                <w:highlight w:val="none"/>
                <w14:textFill>
                  <w14:solidFill>
                    <w14:schemeClr w14:val="tx1"/>
                  </w14:solidFill>
                </w14:textFill>
              </w:rPr>
              <w:t xml:space="preserve">”中标注“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”的技术</w:t>
            </w:r>
            <w:r>
              <w:rPr>
                <w:rFonts w:hint="eastAsia" w:ascii="宋体" w:hAnsi="宋体"/>
                <w:color w:val="000000" w:themeColor="text1"/>
                <w:sz w:val="24"/>
                <w:highlight w:val="none"/>
                <w:lang w:val="en-US" w:eastAsia="zh-CN"/>
                <w14:textFill>
                  <w14:solidFill>
                    <w14:schemeClr w14:val="tx1"/>
                  </w14:solidFill>
                </w14:textFill>
              </w:rPr>
              <w:t xml:space="preserve">参数共30项，</w:t>
            </w:r>
            <w:r>
              <w:rPr>
                <w:rFonts w:hint="eastAsia" w:ascii="宋体" w:hAnsi="宋体"/>
                <w:color w:val="000000" w:themeColor="text1"/>
                <w:sz w:val="24"/>
                <w:highlight w:val="none"/>
                <w14:textFill>
                  <w14:solidFill>
                    <w14:schemeClr w14:val="tx1"/>
                  </w14:solidFill>
                </w14:textFill>
              </w:rPr>
              <w:t xml:space="preserve">每有一项不满足（</w:t>
            </w:r>
            <w:r>
              <w:rPr>
                <w:rFonts w:hint="eastAsia" w:ascii="宋体" w:hAnsi="宋体"/>
                <w:color w:val="000000" w:themeColor="text1"/>
                <w:sz w:val="24"/>
                <w:highlight w:val="none"/>
                <w:lang w:val="en-US" w:eastAsia="zh-CN"/>
                <w14:textFill>
                  <w14:solidFill>
                    <w14:schemeClr w14:val="tx1"/>
                  </w14:solidFill>
                </w14:textFill>
              </w:rPr>
              <w:t xml:space="preserve">或</w:t>
            </w:r>
            <w:r>
              <w:rPr>
                <w:rFonts w:hint="eastAsia" w:ascii="宋体" w:hAnsi="宋体"/>
                <w:color w:val="000000" w:themeColor="text1"/>
                <w:sz w:val="24"/>
                <w:highlight w:val="none"/>
                <w14:textFill>
                  <w14:solidFill>
                    <w14:schemeClr w14:val="tx1"/>
                  </w14:solidFill>
                </w14:textFill>
              </w:rPr>
              <w:t xml:space="preserve">负偏离）的扣</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分，扣完为止</w:t>
            </w:r>
            <w:r>
              <w:rPr>
                <w:rFonts w:hint="eastAsia" w:ascii="宋体" w:hAnsi="宋体"/>
                <w:color w:val="000000" w:themeColor="text1"/>
                <w:sz w:val="24"/>
                <w:highlight w:val="none"/>
                <w:lang w:val="en-US" w:eastAsia="zh-CN"/>
                <w14:textFill>
                  <w14:solidFill>
                    <w14:schemeClr w14:val="tx1"/>
                  </w14:solidFill>
                </w14:textFill>
              </w:rPr>
              <w:t xml:space="preserve">。</w:t>
            </w:r>
            <w:r/>
          </w:p>
          <w:p>
            <w:pPr>
              <w:jc w:val="both"/>
              <w:keepLines w:val="0"/>
              <w:keepNext w:val="0"/>
              <w:pageBreakBefore w:val="0"/>
              <w:spacing w:line="240" w:lineRule="auto"/>
              <w:widowControl w:val="off"/>
              <w:rPr>
                <w:rFonts w:hint="eastAsia" w:ascii="宋体" w:hAnsi="宋体" w:cs="Times New Roman" w:eastAsiaTheme="minorEastAsia"/>
                <w:color w:val="000000" w:themeColor="text1"/>
                <w:sz w:val="24"/>
                <w:szCs w:val="24"/>
                <w:highlight w:val="none"/>
                <w:lang w:val="en-US" w:eastAsia="zh-CN" w:bidi="ar-SA"/>
                <w14:textFill>
                  <w14:solidFill>
                    <w14:schemeClr w14:val="tx1"/>
                  </w14:solidFill>
                </w14:textFill>
              </w:rPr>
              <w:outlineLvl w:val="9"/>
            </w:pPr>
            <w:r>
              <w:rPr>
                <w:rFonts w:hint="eastAsia" w:ascii="宋体" w:hAnsi="宋体"/>
                <w:b/>
                <w:bCs/>
                <w:color w:val="000000" w:themeColor="text1"/>
                <w:sz w:val="24"/>
                <w:highlight w:val="none"/>
                <w:lang w:val="en-US" w:eastAsia="zh-CN"/>
                <w14:textFill>
                  <w14:solidFill>
                    <w14:schemeClr w14:val="tx1"/>
                  </w14:solidFill>
                </w14:textFill>
              </w:rPr>
              <w:t xml:space="preserve">注</w:t>
            </w:r>
            <w:r>
              <w:rPr>
                <w:rFonts w:hint="eastAsia" w:ascii="宋体" w:hAnsi="宋体"/>
                <w:b/>
                <w:bCs/>
                <w:color w:val="000000" w:themeColor="text1"/>
                <w:sz w:val="24"/>
                <w:highlight w:val="none"/>
                <w14:textFill>
                  <w14:solidFill>
                    <w14:schemeClr w14:val="tx1"/>
                  </w14:solidFill>
                </w14:textFill>
              </w:rPr>
              <w:t xml:space="preserve">：标注“</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”的技术</w:t>
            </w:r>
            <w:r>
              <w:rPr>
                <w:rFonts w:hint="eastAsia" w:ascii="宋体" w:hAnsi="宋体"/>
                <w:b/>
                <w:bCs/>
                <w:color w:val="000000" w:themeColor="text1"/>
                <w:sz w:val="24"/>
                <w:highlight w:val="none"/>
                <w:lang w:val="en-US" w:eastAsia="zh-CN"/>
                <w14:textFill>
                  <w14:solidFill>
                    <w14:schemeClr w14:val="tx1"/>
                  </w14:solidFill>
                </w14:textFill>
              </w:rPr>
              <w:t xml:space="preserve">参数</w:t>
            </w:r>
            <w:r>
              <w:rPr>
                <w:rFonts w:hint="eastAsia" w:ascii="宋体" w:hAnsi="宋体"/>
                <w:b/>
                <w:bCs/>
                <w:color w:val="000000" w:themeColor="text1"/>
                <w:sz w:val="24"/>
                <w:highlight w:val="none"/>
                <w14:textFill>
                  <w14:solidFill>
                    <w14:schemeClr w14:val="tx1"/>
                  </w14:solidFill>
                </w14:textFill>
              </w:rPr>
              <w:t xml:space="preserve">，投标人投标时</w:t>
            </w:r>
            <w:r>
              <w:rPr>
                <w:rFonts w:hint="eastAsia" w:ascii="宋体" w:hAnsi="宋体"/>
                <w:b/>
                <w:bCs/>
                <w:color w:val="000000" w:themeColor="text1"/>
                <w:sz w:val="24"/>
                <w:highlight w:val="none"/>
                <w:lang w:val="en-US" w:eastAsia="zh-CN"/>
                <w14:textFill>
                  <w14:solidFill>
                    <w14:schemeClr w14:val="tx1"/>
                  </w14:solidFill>
                </w14:textFill>
              </w:rPr>
              <w:t xml:space="preserve">需在</w:t>
            </w:r>
            <w:r>
              <w:rPr>
                <w:rFonts w:hint="eastAsia" w:ascii="宋体" w:hAnsi="宋体"/>
                <w:b/>
                <w:bCs/>
                <w:color w:val="000000" w:themeColor="text1"/>
                <w:sz w:val="24"/>
                <w:highlight w:val="none"/>
                <w14:textFill>
                  <w14:solidFill>
                    <w14:schemeClr w14:val="tx1"/>
                  </w14:solidFill>
                </w14:textFill>
              </w:rPr>
              <w:t xml:space="preserve">《技术要求响应及偏离表》</w:t>
            </w:r>
            <w:r>
              <w:rPr>
                <w:rFonts w:hint="eastAsia" w:ascii="宋体" w:hAnsi="宋体"/>
                <w:b/>
                <w:bCs/>
                <w:color w:val="000000" w:themeColor="text1"/>
                <w:sz w:val="24"/>
                <w:highlight w:val="none"/>
                <w:lang w:val="en-US" w:eastAsia="zh-CN"/>
                <w14:textFill>
                  <w14:solidFill>
                    <w14:schemeClr w14:val="tx1"/>
                  </w14:solidFill>
                </w14:textFill>
              </w:rPr>
              <w:t xml:space="preserve">逐条响应</w:t>
            </w:r>
            <w:r>
              <w:rPr>
                <w:rFonts w:hint="eastAsia" w:ascii="宋体" w:hAnsi="宋体"/>
                <w:b/>
                <w:bCs/>
                <w:color w:val="000000" w:themeColor="text1"/>
                <w:sz w:val="24"/>
                <w:highlight w:val="none"/>
                <w:lang w:eastAsia="zh-CN"/>
                <w14:textFill>
                  <w14:solidFill>
                    <w14:schemeClr w14:val="tx1"/>
                  </w14:solidFill>
                </w14:textFill>
              </w:rPr>
              <w:t xml:space="preserve">。</w:t>
            </w:r>
            <w:r/>
          </w:p>
        </w:tc>
      </w:tr>
      <w:tr>
        <w:trPr>
          <w:trHeight w:val="1390"/>
        </w:trPr>
        <w:tc>
          <w:tcPr>
            <w:tcW w:w="658" w:type="dxa"/>
            <w:vAlign w:val="center"/>
            <w:vMerge w:val="restart"/>
            <w:textDirection w:val="lrTb"/>
            <w:noWrap/>
          </w:tcPr>
          <w:p>
            <w:pPr>
              <w:jc w:val="center"/>
              <w:rPr>
                <w:rFonts w:hint="eastAsia" w:ascii="宋体" w:hAnsi="宋体" w:eastAsia="宋体"/>
                <w:color w:val="000000" w:themeColor="text1"/>
                <w:sz w:val="24"/>
                <w:highlight w:val="none"/>
                <w:lang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6</w:t>
            </w:r>
            <w:r/>
          </w:p>
        </w:tc>
        <w:tc>
          <w:tcPr>
            <w:tcW w:w="1140" w:type="dxa"/>
            <w:vAlign w:val="center"/>
            <w:vMerge w:val="restart"/>
            <w:textDirection w:val="lrTb"/>
            <w:noWrap/>
          </w:tcPr>
          <w:p>
            <w:pPr>
              <w:jc w:val="center"/>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技术</w:t>
            </w:r>
            <w:r>
              <w:rPr>
                <w:rFonts w:hint="eastAsia" w:ascii="宋体" w:hAnsi="宋体"/>
                <w:color w:val="000000" w:themeColor="text1"/>
                <w:sz w:val="24"/>
                <w:highlight w:val="none"/>
                <w14:textFill>
                  <w14:solidFill>
                    <w14:schemeClr w14:val="tx1"/>
                  </w14:solidFill>
                </w14:textFill>
              </w:rPr>
              <w:t xml:space="preserve">方案</w:t>
            </w:r>
            <w:r/>
          </w:p>
        </w:tc>
        <w:tc>
          <w:tcPr>
            <w:tcW w:w="746" w:type="dxa"/>
            <w:vAlign w:val="center"/>
            <w:vMerge w:val="restart"/>
            <w:textDirection w:val="lrTb"/>
            <w:noWrap/>
          </w:tcPr>
          <w:p>
            <w:pPr>
              <w:jc w:val="center"/>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分</w:t>
            </w:r>
            <w:r/>
          </w:p>
        </w:tc>
        <w:tc>
          <w:tcPr>
            <w:tcW w:w="6489" w:type="dxa"/>
            <w:vAlign w:val="center"/>
            <w:textDirection w:val="lrTb"/>
            <w:noWrap/>
          </w:tcPr>
          <w:p>
            <w:pPr>
              <w:numPr>
                <w:ilvl w:val="0"/>
                <w:numId w:val="0"/>
              </w:numPr>
              <w:ind w:firstLine="480"/>
              <w:jc w:val="both"/>
              <w:keepLines w:val="0"/>
              <w:keepNext w:val="0"/>
              <w:pageBreakBefore w:val="0"/>
              <w:spacing w:line="240" w:lineRule="auto"/>
              <w:widowControl w:val="off"/>
              <w:rPr>
                <w:rFonts w:hint="default" w:ascii="宋体" w:hAnsi="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投标人根据本项目招标文件第四章采购需求“2、系统安装要求”，编制系统安装方案，至少包含：（1）安装实施步骤；（2）核心安装实施方案。</w:t>
            </w:r>
            <w:r>
              <w:rPr>
                <w:rFonts w:hint="eastAsia" w:ascii="宋体" w:hAnsi="宋体"/>
                <w:b w:val="0"/>
                <w:bCs w:val="0"/>
                <w:color w:val="000000" w:themeColor="text1"/>
                <w:sz w:val="24"/>
                <w:highlight w:val="none"/>
                <w:lang w:val="en-US" w:eastAsia="zh-CN"/>
                <w14:textFill>
                  <w14:solidFill>
                    <w14:schemeClr w14:val="tx1"/>
                  </w14:solidFill>
                </w14:textFill>
              </w:rPr>
              <w:t xml:space="preserve">方案优于项目需求</w:t>
            </w:r>
            <w:r>
              <w:rPr>
                <w:rFonts w:hint="eastAsia"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方案满足项目需求</w:t>
            </w:r>
            <w:r>
              <w:rPr>
                <w:rFonts w:hint="eastAsia"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b w:val="0"/>
                <w:bCs w:val="0"/>
                <w:color w:val="000000" w:themeColor="text1"/>
                <w:sz w:val="24"/>
                <w:highlight w:val="none"/>
                <w14:textFill>
                  <w14:solidFill>
                    <w14:schemeClr w14:val="tx1"/>
                  </w14:solidFill>
                </w14:textFill>
              </w:rPr>
              <w:t xml:space="preserve">分；不提供方案</w:t>
            </w:r>
            <w:r>
              <w:rPr>
                <w:rFonts w:hint="eastAsia" w:ascii="宋体" w:hAnsi="宋体"/>
                <w:b w:val="0"/>
                <w:bCs w:val="0"/>
                <w:color w:val="000000" w:themeColor="text1"/>
                <w:sz w:val="24"/>
                <w:highlight w:val="none"/>
                <w:lang w:val="en-US" w:eastAsia="zh-CN"/>
                <w14:textFill>
                  <w14:solidFill>
                    <w14:schemeClr w14:val="tx1"/>
                  </w14:solidFill>
                </w14:textFill>
              </w:rPr>
              <w:t xml:space="preserve">或不满足采购需求的，</w:t>
            </w:r>
            <w:r>
              <w:rPr>
                <w:rFonts w:hint="eastAsia" w:ascii="宋体" w:hAnsi="宋体"/>
                <w:b w:val="0"/>
                <w:bCs w:val="0"/>
                <w:color w:val="000000" w:themeColor="text1"/>
                <w:sz w:val="24"/>
                <w:highlight w:val="none"/>
                <w14:textFill>
                  <w14:solidFill>
                    <w14:schemeClr w14:val="tx1"/>
                  </w14:solidFill>
                </w14:textFill>
              </w:rPr>
              <w:t xml:space="preserve">不得分。</w:t>
            </w:r>
            <w:r/>
          </w:p>
        </w:tc>
      </w:tr>
      <w:tr>
        <w:trPr>
          <w:trHeight w:val="1390"/>
        </w:trPr>
        <w:tc>
          <w:tcPr>
            <w:tcW w:w="658" w:type="dxa"/>
            <w:vAlign w:val="center"/>
            <w:vMerge w:val="continue"/>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r>
            <w:r/>
          </w:p>
        </w:tc>
        <w:tc>
          <w:tcPr>
            <w:tcW w:w="1140" w:type="dxa"/>
            <w:vAlign w:val="center"/>
            <w:vMerge w:val="continue"/>
            <w:textDirection w:val="lrTb"/>
            <w:noWrap/>
          </w:tcPr>
          <w:p>
            <w:pPr>
              <w:jc w:val="center"/>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r>
            <w:r/>
          </w:p>
        </w:tc>
        <w:tc>
          <w:tcPr>
            <w:tcW w:w="746" w:type="dxa"/>
            <w:vAlign w:val="center"/>
            <w:vMerge w:val="continue"/>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r>
            <w:r/>
          </w:p>
        </w:tc>
        <w:tc>
          <w:tcPr>
            <w:tcW w:w="6489" w:type="dxa"/>
            <w:vAlign w:val="center"/>
            <w:textDirection w:val="lrTb"/>
            <w:noWrap/>
          </w:tcPr>
          <w:p>
            <w:pPr>
              <w:ind w:firstLine="480"/>
              <w:jc w:val="both"/>
              <w:keepLines w:val="0"/>
              <w:keepNext w:val="0"/>
              <w:pageBreakBefore w:val="0"/>
              <w:spacing w:line="240" w:lineRule="auto"/>
              <w:widowControl w:val="off"/>
              <w:rPr>
                <w:rFonts w:hint="default" w:ascii="宋体" w:hAnsi="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投标人根据本项目招标文件第四章采购需求“3、系统测试要求”，编制</w:t>
            </w:r>
            <w:r>
              <w:rPr>
                <w:rFonts w:hint="eastAsia" w:ascii="宋体" w:hAnsi="宋体" w:eastAsia="宋体" w:cs="宋体"/>
                <w:b w:val="0"/>
                <w:bCs w:val="0"/>
                <w:color w:val="000000" w:themeColor="text1"/>
                <w:sz w:val="24"/>
                <w:szCs w:val="24"/>
                <w:highlight w:val="none"/>
                <w:shd w:val="clear" w:color="auto" w:fill="auto"/>
                <w:lang w:val="en-US" w:eastAsia="zh-CN"/>
                <w14:textFill>
                  <w14:solidFill>
                    <w14:schemeClr w14:val="tx1"/>
                  </w14:solidFill>
                </w14:textFill>
              </w:rPr>
              <w:t xml:space="preserve">系统测试方案，</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至少包含：功能测试、性能测试</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、数据安全与备份方案、验收流程。</w:t>
            </w:r>
            <w:r>
              <w:rPr>
                <w:rFonts w:hint="eastAsia" w:ascii="宋体" w:hAnsi="宋体"/>
                <w:b w:val="0"/>
                <w:bCs w:val="0"/>
                <w:color w:val="000000" w:themeColor="text1"/>
                <w:sz w:val="24"/>
                <w:highlight w:val="none"/>
                <w:lang w:val="en-US" w:eastAsia="zh-CN"/>
                <w14:textFill>
                  <w14:solidFill>
                    <w14:schemeClr w14:val="tx1"/>
                  </w14:solidFill>
                </w14:textFill>
              </w:rPr>
              <w:t xml:space="preserve">方案优于项目需求</w:t>
            </w:r>
            <w:r>
              <w:rPr>
                <w:rFonts w:hint="eastAsia"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方案满足项目需求</w:t>
            </w:r>
            <w:r>
              <w:rPr>
                <w:rFonts w:hint="eastAsia"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b w:val="0"/>
                <w:bCs w:val="0"/>
                <w:color w:val="000000" w:themeColor="text1"/>
                <w:sz w:val="24"/>
                <w:highlight w:val="none"/>
                <w14:textFill>
                  <w14:solidFill>
                    <w14:schemeClr w14:val="tx1"/>
                  </w14:solidFill>
                </w14:textFill>
              </w:rPr>
              <w:t xml:space="preserve">分；不提供方案</w:t>
            </w:r>
            <w:r>
              <w:rPr>
                <w:rFonts w:hint="eastAsia" w:ascii="宋体" w:hAnsi="宋体"/>
                <w:b w:val="0"/>
                <w:bCs w:val="0"/>
                <w:color w:val="000000" w:themeColor="text1"/>
                <w:sz w:val="24"/>
                <w:highlight w:val="none"/>
                <w:lang w:val="en-US" w:eastAsia="zh-CN"/>
                <w14:textFill>
                  <w14:solidFill>
                    <w14:schemeClr w14:val="tx1"/>
                  </w14:solidFill>
                </w14:textFill>
              </w:rPr>
              <w:t xml:space="preserve">或不满足采购需求的，</w:t>
            </w:r>
            <w:r>
              <w:rPr>
                <w:rFonts w:hint="eastAsia" w:ascii="宋体" w:hAnsi="宋体"/>
                <w:b w:val="0"/>
                <w:bCs w:val="0"/>
                <w:color w:val="000000" w:themeColor="text1"/>
                <w:sz w:val="24"/>
                <w:highlight w:val="none"/>
                <w14:textFill>
                  <w14:solidFill>
                    <w14:schemeClr w14:val="tx1"/>
                  </w14:solidFill>
                </w14:textFill>
              </w:rPr>
              <w:t xml:space="preserve">不得分。</w:t>
            </w:r>
            <w:r/>
          </w:p>
        </w:tc>
      </w:tr>
      <w:tr>
        <w:trPr>
          <w:trHeight w:val="1390"/>
        </w:trPr>
        <w:tc>
          <w:tcPr>
            <w:tcW w:w="658" w:type="dxa"/>
            <w:vAlign w:val="center"/>
            <w:vMerge w:val="continue"/>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r>
            <w:r/>
          </w:p>
        </w:tc>
        <w:tc>
          <w:tcPr>
            <w:tcW w:w="1140" w:type="dxa"/>
            <w:vAlign w:val="center"/>
            <w:vMerge w:val="continue"/>
            <w:textDirection w:val="lrTb"/>
            <w:noWrap/>
          </w:tcPr>
          <w:p>
            <w:pPr>
              <w:jc w:val="center"/>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r>
            <w:r/>
          </w:p>
        </w:tc>
        <w:tc>
          <w:tcPr>
            <w:tcW w:w="746" w:type="dxa"/>
            <w:vAlign w:val="center"/>
            <w:vMerge w:val="continue"/>
            <w:textDirection w:val="lrTb"/>
            <w:noWrap/>
          </w:tcPr>
          <w:p>
            <w:pPr>
              <w:jc w:val="center"/>
              <w:rPr>
                <w:rFonts w:hint="eastAsia"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r>
            <w:r/>
          </w:p>
        </w:tc>
        <w:tc>
          <w:tcPr>
            <w:tcW w:w="6489" w:type="dxa"/>
            <w:vAlign w:val="center"/>
            <w:textDirection w:val="lrTb"/>
            <w:noWrap/>
          </w:tcPr>
          <w:p>
            <w:pPr>
              <w:pStyle w:val="740"/>
              <w:ind w:firstLine="480"/>
              <w:jc w:val="both"/>
              <w:keepLines w:val="0"/>
              <w:keepNext w:val="0"/>
              <w:pageBreakBefore w:val="0"/>
              <w:spacing w:beforeAutospacing="0" w:afterAutospacing="0" w:line="240" w:lineRule="auto"/>
              <w:widowControl w:val="off"/>
              <w:rPr>
                <w:rFonts w:hint="eastAsia" w:ascii="宋体" w:hAnsi="宋体" w:eastAsiaTheme="minorEastAsia"/>
                <w:b w:val="0"/>
                <w:bCs w:val="0"/>
                <w:color w:val="000000" w:themeColor="text1"/>
                <w:sz w:val="24"/>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投标人根据本项目招标文件第四章采购需求“4、售后服务及维保要求”，编制培训、售后服务及维保</w:t>
            </w:r>
            <w:r>
              <w:rPr>
                <w:rFonts w:hint="eastAsia" w:ascii="宋体" w:hAnsi="宋体" w:eastAsia="宋体" w:cs="宋体"/>
                <w:b w:val="0"/>
                <w:bCs w:val="0"/>
                <w:color w:val="000000" w:themeColor="text1"/>
                <w:sz w:val="24"/>
                <w:szCs w:val="24"/>
                <w:highlight w:val="none"/>
                <w:shd w:val="clear" w:color="auto" w:fill="auto"/>
                <w:lang w:val="en-US" w:eastAsia="zh-CN"/>
                <w14:textFill>
                  <w14:solidFill>
                    <w14:schemeClr w14:val="tx1"/>
                  </w14:solidFill>
                </w14:textFill>
              </w:rPr>
              <w:t xml:space="preserve">方案，至少包含：安装后培训方案、售后服务方案、维保方案。</w:t>
            </w:r>
            <w:r/>
          </w:p>
          <w:p>
            <w:pPr>
              <w:ind w:firstLine="480"/>
              <w:jc w:val="both"/>
              <w:keepLines w:val="0"/>
              <w:keepNext w:val="0"/>
              <w:pageBreakBefore w:val="0"/>
              <w:spacing w:line="240" w:lineRule="auto"/>
              <w:widowControl w:val="off"/>
              <w:rPr>
                <w:rFonts w:hint="eastAsia" w:ascii="宋体" w:hAnsi="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b w:val="0"/>
                <w:bCs w:val="0"/>
                <w:color w:val="000000" w:themeColor="text1"/>
                <w:sz w:val="24"/>
                <w:highlight w:val="none"/>
                <w:lang w:val="en-US" w:eastAsia="zh-CN"/>
                <w14:textFill>
                  <w14:solidFill>
                    <w14:schemeClr w14:val="tx1"/>
                  </w14:solidFill>
                </w14:textFill>
              </w:rPr>
              <w:t xml:space="preserve">方案优于项目需求</w:t>
            </w:r>
            <w:r>
              <w:rPr>
                <w:rFonts w:hint="eastAsia"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方案满足项目需求</w:t>
            </w:r>
            <w:r>
              <w:rPr>
                <w:rFonts w:hint="eastAsia"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highlight w:val="none"/>
                <w14:textFill>
                  <w14:solidFill>
                    <w14:schemeClr w14:val="tx1"/>
                  </w14:solidFill>
                </w14:textFill>
              </w:rPr>
              <w:t xml:space="preserve">分；不提供方案</w:t>
            </w:r>
            <w:r>
              <w:rPr>
                <w:rFonts w:hint="eastAsia" w:ascii="宋体" w:hAnsi="宋体"/>
                <w:b w:val="0"/>
                <w:bCs w:val="0"/>
                <w:color w:val="000000" w:themeColor="text1"/>
                <w:sz w:val="24"/>
                <w:highlight w:val="none"/>
                <w:lang w:val="en-US" w:eastAsia="zh-CN"/>
                <w14:textFill>
                  <w14:solidFill>
                    <w14:schemeClr w14:val="tx1"/>
                  </w14:solidFill>
                </w14:textFill>
              </w:rPr>
              <w:t xml:space="preserve">或不满足采购需求的，</w:t>
            </w:r>
            <w:r>
              <w:rPr>
                <w:rFonts w:hint="eastAsia" w:ascii="宋体" w:hAnsi="宋体"/>
                <w:b w:val="0"/>
                <w:bCs w:val="0"/>
                <w:color w:val="000000" w:themeColor="text1"/>
                <w:sz w:val="24"/>
                <w:highlight w:val="none"/>
                <w14:textFill>
                  <w14:solidFill>
                    <w14:schemeClr w14:val="tx1"/>
                  </w14:solidFill>
                </w14:textFill>
              </w:rPr>
              <w:t xml:space="preserve">不得分。</w:t>
            </w:r>
            <w:r/>
          </w:p>
        </w:tc>
      </w:tr>
      <w:tr>
        <w:trPr>
          <w:trHeight w:val="2355"/>
        </w:trPr>
        <w:tc>
          <w:tcPr>
            <w:tcW w:w="658" w:type="dxa"/>
            <w:vAlign w:val="center"/>
            <w:textDirection w:val="lrTb"/>
            <w:noWrap/>
          </w:tcPr>
          <w:p>
            <w:pPr>
              <w:jc w:val="center"/>
              <w:rPr>
                <w:rFonts w:hint="default"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7</w:t>
            </w:r>
            <w:r/>
          </w:p>
        </w:tc>
        <w:tc>
          <w:tcPr>
            <w:tcW w:w="1140" w:type="dxa"/>
            <w:vAlign w:val="center"/>
            <w:textDirection w:val="lrTb"/>
            <w:noWrap/>
          </w:tcPr>
          <w:p>
            <w:pPr>
              <w:jc w:val="center"/>
              <w:rPr>
                <w:rFonts w:hint="default" w:ascii="宋体" w:hAnsi="宋体"/>
                <w:color w:val="000000" w:themeColor="text1"/>
                <w:sz w:val="24"/>
                <w:highlight w:val="none"/>
                <w:lang w:val="en-US" w:eastAsia="zh-CN"/>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系统演示</w:t>
            </w:r>
            <w:r/>
          </w:p>
        </w:tc>
        <w:tc>
          <w:tcPr>
            <w:tcW w:w="746" w:type="dxa"/>
            <w:vAlign w:val="center"/>
            <w:textDirection w:val="lrTb"/>
            <w:noWrap/>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10分</w:t>
            </w:r>
            <w:r/>
          </w:p>
        </w:tc>
        <w:tc>
          <w:tcPr>
            <w:tcW w:w="6489" w:type="dxa"/>
            <w:vAlign w:val="center"/>
            <w:textDirection w:val="lrTb"/>
            <w:noWrap/>
          </w:tcPr>
          <w:p>
            <w:pPr>
              <w:ind w:firstLine="480"/>
              <w:jc w:val="both"/>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需提供系统演示视频（可配讲解），总时长不超过15分钟。</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（1）投标人根据本项目招标文件第四章项目需求“9.1人工评价单列表”提供演示视频，演示内容优于项目需求得2分；演示内容满足项目需求得1分；不提供演示视频或不满足采购需求或画面模糊不清的，不得分。</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投标人根据本项目招标文件第四章项目需求“9.2筛选质控病历并二次分配”提供演示视频，演示内容优于项目需求得2分；演示内容满足项目需求得1分；不提供演示视频或不满足采购需求或画面模糊不清的，不得分。</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投标人根据本项目招标文件第四章项目需求“9.3人工审核病历”提供演示视频演示视频，演示内容优于项目需求得2分；演示内容满足项目需求得1分；不提供演示视频或不满足采购需求或画面模糊不清的，不得分。</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投标人根据本项目招标文件第四章项目需求“9.4</w:t>
            </w:r>
            <w:r>
              <w:rPr>
                <w:rFonts w:hint="eastAsia" w:ascii="宋体" w:hAnsi="宋体" w:eastAsia="宋体" w:cs="宋体"/>
                <w:color w:val="000000" w:themeColor="text1"/>
                <w:sz w:val="24"/>
                <w:szCs w:val="24"/>
                <w:highlight w:val="none"/>
                <w14:textFill>
                  <w14:solidFill>
                    <w14:schemeClr w14:val="tx1"/>
                  </w14:solidFill>
                </w14:textFill>
              </w:rPr>
              <w:t xml:space="preserve">病历缺陷问题质控过程闭环展示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”提供演示视频，演示内容优于项目需求得1分；演示内容满足项目需求得0.5分；不提供演示视频或不满足采购需求或画面模糊不清的，不得分。</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投标人根据本项目招标文件第四章项目需求“9.5在院监测”提供演示视频，演示内容优于项目需求得1分；演示内容满足项目需求得0.5分；不提供演示视频或不满足采购需求或画面模糊不清的，不得分。</w:t>
            </w:r>
            <w:r/>
          </w:p>
          <w:p>
            <w:pPr>
              <w:pStyle w:val="740"/>
              <w:ind w:firstLine="480"/>
              <w:jc w:val="both"/>
              <w:keepLines w:val="0"/>
              <w:keepNext w:val="0"/>
              <w:pageBreakBefore w:val="0"/>
              <w:spacing w:beforeAutospacing="0" w:afterAutospacing="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(6)投标人根据本项目招标文件第四章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“9.6编码质控点”提供演示视频，演示内容优于项目需求得1分；演示内容满足项目需求得0.5分；不提供演示视频或不满足采购需求或画面模糊不清的，不得分。</w:t>
            </w:r>
            <w:r/>
          </w:p>
          <w:p>
            <w:pPr>
              <w:pStyle w:val="739"/>
              <w:ind w:firstLine="480"/>
              <w:keepLines w:val="0"/>
              <w:keepNext w:val="0"/>
              <w:pageBreakBefore w:val="0"/>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(7)投标人根据本项目招标文件第四章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9.7AI模型应用病历文书生成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”提供演示视频，演示内容优于项目需求得1分；演示内容满足项目需求得0.5分；不提供演示视频或不满足采购需求或画面模糊不清的，不得分。</w:t>
            </w:r>
            <w:r/>
          </w:p>
          <w:p>
            <w:pPr>
              <w:ind w:firstLine="480"/>
              <w:jc w:val="both"/>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评标委员会根据投标人上传的视频进行评分。</w:t>
            </w:r>
            <w:r/>
          </w:p>
        </w:tc>
      </w:tr>
    </w:tbl>
    <w:p>
      <w:pPr>
        <w:pStyle w:val="740"/>
        <w:ind w:firstLine="154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728"/>
        <w:rPr>
          <w:rFonts w:hint="eastAsia"/>
          <w:color w:val="000000" w:themeColor="text1"/>
          <w:highlight w:val="none"/>
          <w14:textFill>
            <w14:solidFill>
              <w14:schemeClr w14:val="tx1"/>
            </w14:solidFill>
          </w14:textFill>
        </w:rPr>
      </w:pPr>
      <w:r/>
      <w:bookmarkStart w:id="177" w:name="_Toc1818"/>
      <w:r/>
      <w:r/>
    </w:p>
    <w:p>
      <w:pPr>
        <w:pStyle w:val="728"/>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投标文件格式</w:t>
      </w:r>
      <w:bookmarkEnd w:id="177"/>
      <w:r/>
      <w:r/>
    </w:p>
    <w:p>
      <w:pPr>
        <w:pStyle w:val="740"/>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outlineLvl w:val="9"/>
      </w:pPr>
      <w:r/>
      <w:bookmarkStart w:id="178" w:name="_Toc49090576"/>
      <w:r/>
      <w:bookmarkEnd w:id="178"/>
      <w:r/>
      <w:bookmarkStart w:id="179" w:name="_Toc120614282"/>
      <w:r/>
      <w:bookmarkEnd w:id="179"/>
      <w:r/>
      <w:bookmarkStart w:id="180" w:name="_Toc11583"/>
      <w:r/>
      <w:bookmarkStart w:id="181" w:name="_Toc26554094"/>
      <w:r/>
      <w:bookmarkStart w:id="182" w:name="_Hlt26671244"/>
      <w:r/>
      <w:bookmarkStart w:id="183" w:name="_Hlt26955039"/>
      <w:r/>
      <w:r/>
    </w:p>
    <w:p>
      <w:pPr>
        <w:pStyle w:val="740"/>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outlineLvl w:val="9"/>
      </w:pPr>
      <w:r>
        <w:rPr>
          <w:rFonts w:hint="eastAsia" w:ascii="宋体" w:hAnsi="宋体" w:eastAsia="宋体" w:cs="宋体"/>
          <w:b/>
          <w:color w:val="000000" w:themeColor="text1"/>
          <w:sz w:val="72"/>
          <w:szCs w:val="72"/>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bookmarkEnd w:id="180"/>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1084"/>
        <w:jc w:val="both"/>
        <w:spacing w:beforeAutospacing="0" w:afterAutospacing="0"/>
        <w:rPr>
          <w:color w:val="000000" w:themeColor="text1"/>
          <w:highlight w:val="none"/>
          <w14:textFill>
            <w14:solidFill>
              <w14:schemeClr w14:val="tx1"/>
            </w14:solidFill>
          </w14:textFill>
        </w:rPr>
        <w:outlineLvl w:val="9"/>
      </w:pPr>
      <w:r/>
      <w:bookmarkStart w:id="184" w:name="_Toc21157"/>
      <w:r>
        <w:rPr>
          <w:rFonts w:hint="eastAsia" w:ascii="宋体" w:hAnsi="宋体" w:eastAsia="宋体" w:cs="宋体"/>
          <w:b/>
          <w:color w:val="000000" w:themeColor="text1"/>
          <w:sz w:val="36"/>
          <w:szCs w:val="36"/>
          <w:highlight w:val="none"/>
          <w14:textFill>
            <w14:solidFill>
              <w14:schemeClr w14:val="tx1"/>
            </w14:solidFill>
          </w14:textFill>
        </w:rPr>
        <w:t xml:space="preserve">项目名称：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bookmarkEnd w:id="184"/>
      <w:r/>
      <w:r/>
    </w:p>
    <w:p>
      <w:pPr>
        <w:pStyle w:val="740"/>
        <w:ind w:firstLine="1084"/>
        <w:jc w:val="both"/>
        <w:spacing w:beforeAutospacing="0" w:afterAutospacing="0"/>
        <w:rPr>
          <w:color w:val="000000" w:themeColor="text1"/>
          <w:highlight w:val="none"/>
          <w14:textFill>
            <w14:solidFill>
              <w14:schemeClr w14:val="tx1"/>
            </w14:solidFill>
          </w14:textFill>
        </w:rPr>
        <w:outlineLvl w:val="9"/>
      </w:pPr>
      <w:r/>
      <w:bookmarkStart w:id="185" w:name="_Toc6094"/>
      <w:r>
        <w:rPr>
          <w:rFonts w:hint="eastAsia" w:ascii="宋体" w:hAnsi="宋体" w:eastAsia="宋体" w:cs="宋体"/>
          <w:b/>
          <w:color w:val="000000" w:themeColor="text1"/>
          <w:sz w:val="36"/>
          <w:szCs w:val="36"/>
          <w:highlight w:val="none"/>
          <w14:textFill>
            <w14:solidFill>
              <w14:schemeClr w14:val="tx1"/>
            </w14:solidFill>
          </w14:textFill>
        </w:rPr>
        <w:t xml:space="preserve">项目编号：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bookmarkEnd w:id="185"/>
      <w:r/>
      <w:r/>
    </w:p>
    <w:p>
      <w:pPr>
        <w:pStyle w:val="740"/>
        <w:jc w:val="both"/>
        <w:spacing w:beforeAutospacing="0" w:afterAutospacing="0"/>
        <w:rPr>
          <w:color w:val="000000" w:themeColor="text1"/>
          <w:highlight w:val="none"/>
          <w14:textFill>
            <w14:solidFill>
              <w14:schemeClr w14:val="tx1"/>
            </w14:solidFill>
          </w14:textFill>
        </w:rPr>
        <w:outlineLvl w:val="9"/>
      </w:pPr>
      <w:r/>
      <w:bookmarkStart w:id="186" w:name="_Toc4850"/>
      <w:r>
        <w:rPr>
          <w:rFonts w:hint="eastAsia" w:ascii="宋体" w:hAnsi="宋体" w:eastAsia="宋体" w:cs="宋体"/>
          <w:b/>
          <w:color w:val="000000" w:themeColor="text1"/>
          <w:sz w:val="36"/>
          <w:szCs w:val="36"/>
          <w:highlight w:val="none"/>
          <w14:textFill>
            <w14:solidFill>
              <w14:schemeClr w14:val="tx1"/>
            </w14:solidFill>
          </w14:textFill>
        </w:rPr>
        <w:t xml:space="preserve">   投标人名称：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bookmarkEnd w:id="186"/>
      <w:r/>
      <w:r/>
    </w:p>
    <w:p>
      <w:pPr>
        <w:pStyle w:val="740"/>
        <w:jc w:val="both"/>
        <w:spacing w:beforeAutospacing="0" w:afterAutospacing="0"/>
        <w:rPr>
          <w:color w:val="000000" w:themeColor="text1"/>
          <w:highlight w:val="none"/>
          <w14:textFill>
            <w14:solidFill>
              <w14:schemeClr w14:val="tx1"/>
            </w14:solidFill>
          </w14:textFill>
        </w:rPr>
        <w:outlineLvl w:val="9"/>
      </w:pPr>
      <w:r/>
      <w:bookmarkStart w:id="187" w:name="_Toc16794"/>
      <w:r>
        <w:rPr>
          <w:rFonts w:hint="eastAsia" w:ascii="宋体" w:hAnsi="宋体" w:eastAsia="宋体" w:cs="宋体"/>
          <w:b/>
          <w:color w:val="000000" w:themeColor="text1"/>
          <w:sz w:val="36"/>
          <w:szCs w:val="36"/>
          <w:highlight w:val="none"/>
          <w14:textFill>
            <w14:solidFill>
              <w14:schemeClr w14:val="tx1"/>
            </w14:solidFill>
          </w14:textFill>
        </w:rPr>
        <w:t xml:space="preserve">   日期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bookmarkEnd w:id="187"/>
      <w:r>
        <w:t xml:space="preserve"> </w:t>
      </w:r>
      <w:r/>
    </w:p>
    <w:p>
      <w:pPr>
        <w:rPr>
          <w:rFonts w:hint="eastAsia" w:ascii="宋体" w:hAnsi="宋体" w:eastAsia="宋体" w:cs="宋体"/>
          <w:b/>
          <w:color w:val="000000" w:themeColor="text1"/>
          <w:sz w:val="32"/>
          <w:szCs w:val="32"/>
          <w:highlight w:val="none"/>
          <w14:textFill>
            <w14:solidFill>
              <w14:schemeClr w14:val="tx1"/>
            </w14:solidFill>
          </w14:textFill>
        </w:rPr>
      </w:pPr>
      <w:r/>
      <w:bookmarkStart w:id="188" w:name="_Toc5531"/>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bookmarkEnd w:id="188"/>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left="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outlineLvl w:val="9"/>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二、上一年度的财务状况报表（至少提供资产负债表、利润表、现金流量表，</w:t>
      </w:r>
      <w:r>
        <w:rPr>
          <w:rFonts w:hint="eastAsia" w:ascii="宋体" w:hAnsi="宋体" w:eastAsia="宋体" w:cs="宋体"/>
          <w:i w:val="0"/>
          <w:iCs/>
          <w:color w:val="000000" w:themeColor="text1"/>
          <w:highlight w:val="none"/>
          <w:u w:val="none"/>
          <w14:textFill>
            <w14:solidFill>
              <w14:schemeClr w14:val="tx1"/>
            </w14:solidFill>
          </w14:textFill>
        </w:rPr>
        <w:t xml:space="preserve">投标人成立不满一年无需提供）</w:t>
      </w:r>
      <w:r/>
    </w:p>
    <w:p>
      <w:pPr>
        <w:pStyle w:val="740"/>
        <w:ind w:left="480"/>
        <w:jc w:val="both"/>
        <w:keepLines w:val="0"/>
        <w:keepNext w:val="0"/>
        <w:pageBreakBefore w:val="0"/>
        <w:spacing w:beforeAutospacing="0" w:afterAutospacing="0" w:line="360" w:lineRule="auto"/>
        <w:rPr>
          <w:rFonts w:hint="eastAsia" w:ascii="宋体" w:hAnsi="宋体" w:eastAsia="宋体" w:cs="宋体"/>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740"/>
        <w:ind w:left="480"/>
        <w:jc w:val="both"/>
        <w:keepLines w:val="0"/>
        <w:keepNext w:val="0"/>
        <w:pageBreakBefore w:val="0"/>
        <w:spacing w:beforeAutospacing="0" w:afterAutospacing="0" w:line="360" w:lineRule="auto"/>
        <w:rPr>
          <w:rFonts w:hint="eastAsia" w:ascii="宋体" w:hAnsi="宋体" w:eastAsia="宋体" w:cs="宋体"/>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740"/>
        <w:ind w:firstLine="480"/>
        <w:jc w:val="both"/>
        <w:keepLines w:val="0"/>
        <w:keepNext w:val="0"/>
        <w:pageBreakBefore w:val="0"/>
        <w:spacing w:beforeAutospacing="0" w:afterAutospacing="0" w:line="360" w:lineRule="auto"/>
        <w:rPr>
          <w:rFonts w:hint="eastAsia" w:ascii="宋体" w:hAnsi="宋体" w:eastAsia="宋体" w:cs="宋体"/>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lang w:eastAsia="zh-CN"/>
          <w14:textFill>
            <w14:solidFill>
              <w14:schemeClr w14:val="tx1"/>
            </w14:solidFill>
          </w14:textFill>
        </w:rPr>
        <w:t xml:space="preserve">七、</w:t>
      </w:r>
      <w:r>
        <w:rPr>
          <w:rFonts w:hint="eastAsia" w:ascii="宋体" w:hAnsi="宋体" w:eastAsia="宋体" w:cs="宋体"/>
          <w:i w:val="0"/>
          <w:iCs/>
          <w:color w:val="000000" w:themeColor="text1"/>
          <w:highlight w:val="none"/>
          <w:u w:val="none"/>
          <w14:textFill>
            <w14:solidFill>
              <w14:schemeClr w14:val="tx1"/>
            </w14:solidFill>
          </w14:textFill>
        </w:rPr>
        <w:t xml:space="preserve">特定资格要求的证明文件（如果本项目设置特定资格要求，则需要提供）</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lang w:eastAsia="zh-CN"/>
          <w14:textFill>
            <w14:solidFill>
              <w14:schemeClr w14:val="tx1"/>
            </w14:solidFill>
          </w14:textFill>
        </w:rPr>
        <w:t xml:space="preserve">八</w:t>
      </w:r>
      <w:r>
        <w:rPr>
          <w:rFonts w:hint="eastAsia" w:ascii="宋体" w:hAnsi="宋体" w:eastAsia="宋体" w:cs="宋体"/>
          <w:i w:val="0"/>
          <w:iCs/>
          <w:color w:val="000000" w:themeColor="text1"/>
          <w:highlight w:val="none"/>
          <w:u w:val="none"/>
          <w14:textFill>
            <w14:solidFill>
              <w14:schemeClr w14:val="tx1"/>
            </w14:solidFill>
          </w14:textFill>
        </w:rPr>
        <w:t xml:space="preserve">、法人授权书</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lang w:eastAsia="zh-CN"/>
          <w14:textFill>
            <w14:solidFill>
              <w14:schemeClr w14:val="tx1"/>
            </w14:solidFill>
          </w14:textFill>
        </w:rPr>
        <w:t xml:space="preserve">九</w:t>
      </w:r>
      <w:r>
        <w:rPr>
          <w:rFonts w:hint="eastAsia" w:ascii="宋体" w:hAnsi="宋体" w:eastAsia="宋体" w:cs="宋体"/>
          <w:i w:val="0"/>
          <w:iCs/>
          <w:color w:val="000000" w:themeColor="text1"/>
          <w:highlight w:val="none"/>
          <w:u w:val="none"/>
          <w14:textFill>
            <w14:solidFill>
              <w14:schemeClr w14:val="tx1"/>
            </w14:solidFill>
          </w14:textFill>
        </w:rPr>
        <w:t xml:space="preserve">、投标函</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lang w:eastAsia="zh-CN"/>
          <w14:textFill>
            <w14:solidFill>
              <w14:schemeClr w14:val="tx1"/>
            </w14:solidFill>
          </w14:textFill>
        </w:rPr>
        <w:t xml:space="preserve">十</w:t>
      </w:r>
      <w:r>
        <w:rPr>
          <w:rFonts w:hint="eastAsia" w:ascii="宋体" w:hAnsi="宋体" w:eastAsia="宋体" w:cs="宋体"/>
          <w:i w:val="0"/>
          <w:iCs/>
          <w:color w:val="000000" w:themeColor="text1"/>
          <w:highlight w:val="none"/>
          <w:u w:val="none"/>
          <w14:textFill>
            <w14:solidFill>
              <w14:schemeClr w14:val="tx1"/>
            </w14:solidFill>
          </w14:textFill>
        </w:rPr>
        <w:t xml:space="preserve">、</w:t>
      </w: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中小微</w:t>
      </w:r>
      <w:r>
        <w:rPr>
          <w:rFonts w:hint="eastAsia" w:ascii="宋体" w:hAnsi="宋体" w:eastAsia="宋体" w:cs="宋体"/>
          <w:i w:val="0"/>
          <w:iCs/>
          <w:color w:val="000000" w:themeColor="text1"/>
          <w:highlight w:val="none"/>
          <w:u w:val="none"/>
          <w14:textFill>
            <w14:solidFill>
              <w14:schemeClr w14:val="tx1"/>
            </w14:solidFill>
          </w14:textFill>
        </w:rPr>
        <w:t xml:space="preserve">企业声明函</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十</w:t>
      </w:r>
      <w:r>
        <w:rPr>
          <w:rFonts w:hint="eastAsia" w:ascii="宋体" w:hAnsi="宋体" w:eastAsia="宋体" w:cs="宋体"/>
          <w:i w:val="0"/>
          <w:iCs/>
          <w:color w:val="000000" w:themeColor="text1"/>
          <w:highlight w:val="none"/>
          <w:u w:val="none"/>
          <w:lang w:eastAsia="zh-CN"/>
          <w14:textFill>
            <w14:solidFill>
              <w14:schemeClr w14:val="tx1"/>
            </w14:solidFill>
          </w14:textFill>
        </w:rPr>
        <w:t xml:space="preserve">一</w:t>
      </w:r>
      <w:r>
        <w:rPr>
          <w:rFonts w:hint="eastAsia" w:ascii="宋体" w:hAnsi="宋体" w:eastAsia="宋体" w:cs="宋体"/>
          <w:i w:val="0"/>
          <w:iCs/>
          <w:color w:val="000000" w:themeColor="text1"/>
          <w:highlight w:val="none"/>
          <w:u w:val="none"/>
          <w14:textFill>
            <w14:solidFill>
              <w14:schemeClr w14:val="tx1"/>
            </w14:solidFill>
          </w14:textFill>
        </w:rPr>
        <w:t xml:space="preserve">、残疾人福利性单位声明函</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十二、投标分项报价表</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十三、技术要求响应及偏离表</w:t>
      </w:r>
      <w:r/>
    </w:p>
    <w:p>
      <w:pPr>
        <w:pStyle w:val="740"/>
        <w:ind w:firstLine="480"/>
        <w:jc w:val="both"/>
        <w:keepLines w:val="0"/>
        <w:keepNext w:val="0"/>
        <w:pageBreakBefore w:val="0"/>
        <w:spacing w:beforeAutospacing="0" w:afterAutospacing="0" w:line="360" w:lineRule="auto"/>
        <w:rPr>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十四、商务要求响应及偏离表</w:t>
      </w:r>
      <w:r/>
    </w:p>
    <w:p>
      <w:pPr>
        <w:pStyle w:val="740"/>
        <w:ind w:firstLine="480"/>
        <w:jc w:val="both"/>
        <w:keepLines w:val="0"/>
        <w:keepNext w:val="0"/>
        <w:pageBreakBefore w:val="0"/>
        <w:spacing w:beforeAutospacing="0" w:afterAutospacing="0" w:line="360" w:lineRule="auto"/>
        <w:rPr>
          <w:rFonts w:ascii="宋体" w:hAnsi="宋体" w:eastAsia="宋体" w:cs="宋体"/>
          <w:i w:val="0"/>
          <w:iCs/>
          <w:color w:val="000000" w:themeColor="text1"/>
          <w:highlight w:val="none"/>
          <w:u w:val="none"/>
          <w14:textFill>
            <w14:solidFill>
              <w14:schemeClr w14:val="tx1"/>
            </w14:solidFill>
          </w14:textFill>
        </w:rPr>
        <w:outlineLvl w:val="9"/>
      </w:pPr>
      <w:r>
        <w:rPr>
          <w:rFonts w:hint="eastAsia" w:ascii="宋体" w:hAnsi="宋体" w:eastAsia="宋体" w:cs="宋体"/>
          <w:i w:val="0"/>
          <w:iCs/>
          <w:color w:val="000000" w:themeColor="text1"/>
          <w:highlight w:val="none"/>
          <w:u w:val="none"/>
          <w14:textFill>
            <w14:solidFill>
              <w14:schemeClr w14:val="tx1"/>
            </w14:solidFill>
          </w14:textFill>
        </w:rPr>
        <w:t xml:space="preserve">十五、开标一览表</w:t>
      </w:r>
      <w:r/>
    </w:p>
    <w:p>
      <w:pPr>
        <w:ind w:firstLine="480"/>
        <w:keepLines w:val="0"/>
        <w:keepNext w:val="0"/>
        <w:pageBreakBefore w:val="0"/>
        <w:spacing w:before="50" w:after="50" w:line="360" w:lineRule="auto"/>
        <w:widowControl/>
        <w:rPr>
          <w:rFonts w:ascii="宋体" w:hAnsi="宋体" w:eastAsia="宋体" w:cs="宋体"/>
          <w:i w:val="0"/>
          <w:iCs/>
          <w:color w:val="000000" w:themeColor="text1"/>
          <w:sz w:val="24"/>
          <w:highlight w:val="none"/>
          <w:u w:val="none"/>
          <w14:textFill>
            <w14:solidFill>
              <w14:schemeClr w14:val="tx1"/>
            </w14:solidFill>
          </w14:textFill>
        </w:rPr>
        <w:outlineLvl w:val="9"/>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十六、技术方案、服务承诺、培训承诺等</w:t>
      </w:r>
      <w:r/>
    </w:p>
    <w:p>
      <w:pPr>
        <w:ind w:firstLine="480"/>
        <w:keepLines w:val="0"/>
        <w:keepNext w:val="0"/>
        <w:pageBreakBefore w:val="0"/>
        <w:spacing w:before="50" w:after="50" w:line="360" w:lineRule="auto"/>
        <w:widowControl/>
        <w:rPr>
          <w:rFonts w:hint="eastAsia" w:ascii="宋体" w:hAnsi="宋体" w:eastAsia="宋体" w:cs="宋体"/>
          <w:i w:val="0"/>
          <w:iCs/>
          <w:color w:val="000000" w:themeColor="text1"/>
          <w:sz w:val="24"/>
          <w:highlight w:val="none"/>
          <w:u w:val="none"/>
          <w14:textFill>
            <w14:solidFill>
              <w14:schemeClr w14:val="tx1"/>
            </w14:solidFill>
          </w14:textFill>
        </w:rPr>
        <w:outlineLvl w:val="9"/>
      </w:pPr>
      <w:r>
        <w:rPr>
          <w:rFonts w:hint="eastAsia" w:ascii="宋体" w:hAnsi="宋体" w:eastAsia="宋体" w:cs="宋体"/>
          <w:i w:val="0"/>
          <w:iCs/>
          <w:color w:val="000000" w:themeColor="text1"/>
          <w:sz w:val="24"/>
          <w:highlight w:val="none"/>
          <w:u w:val="none"/>
          <w14:textFill>
            <w14:solidFill>
              <w14:schemeClr w14:val="tx1"/>
            </w14:solidFill>
          </w14:textFill>
        </w:rPr>
        <w:t xml:space="preserve">十七、盐城市政府采购事前信用承诺书</w:t>
      </w:r>
      <w:bookmarkStart w:id="189" w:name="_Toc31005"/>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br w:type="page" w:clear="all"/>
      </w:r>
      <w:r/>
    </w:p>
    <w:p>
      <w:pPr>
        <w:pStyle w:val="740"/>
        <w:jc w:val="both"/>
        <w:spacing w:beforeAutospacing="0" w:afterAutospacing="0"/>
        <w:rPr>
          <w:i w:val="0"/>
          <w:iCs/>
          <w:color w:val="000000" w:themeColor="text1"/>
          <w:highlight w:val="none"/>
          <w14:textFill>
            <w14:solidFill>
              <w14:schemeClr w14:val="tx1"/>
            </w14:solidFill>
          </w14:textFill>
        </w:rPr>
        <w:outlineLvl w:val="9"/>
      </w:pP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一、法人或者其他组织的营业执照等证明文件，自然人的身份证明</w:t>
      </w:r>
      <w:bookmarkEnd w:id="189"/>
      <w:r/>
      <w:r/>
    </w:p>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both"/>
        <w:spacing w:beforeAutospacing="0" w:afterAutospacing="0"/>
        <w:rPr>
          <w:rFonts w:hint="eastAsia" w:eastAsia="黑体"/>
          <w:i w:val="0"/>
          <w:iCs/>
          <w:color w:val="000000" w:themeColor="text1"/>
          <w:highlight w:val="none"/>
          <w:lang w:val="en-US" w:eastAsia="zh-CN"/>
          <w14:textFill>
            <w14:solidFill>
              <w14:schemeClr w14:val="tx1"/>
            </w14:solidFill>
          </w14:textFill>
        </w:rPr>
        <w:outlineLvl w:val="9"/>
      </w:pPr>
      <w:r/>
      <w:bookmarkStart w:id="190" w:name="_Toc29113"/>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二、上一年度的财务状况报</w:t>
      </w: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告</w:t>
      </w:r>
      <w:bookmarkEnd w:id="190"/>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outlineLvl w:val="9"/>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（至少提供资产负债表、利润表、现金流量表，投标人成立不满一年无需提供）</w:t>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outlineLvl w:val="9"/>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pStyle w:val="740"/>
        <w:jc w:val="both"/>
        <w:spacing w:beforeAutospacing="0" w:afterAutospacing="0"/>
        <w:rPr>
          <w:i w:val="0"/>
          <w:iCs/>
          <w:color w:val="000000" w:themeColor="text1"/>
          <w:highlight w:val="none"/>
          <w14:textFill>
            <w14:solidFill>
              <w14:schemeClr w14:val="tx1"/>
            </w14:solidFill>
          </w14:textFill>
        </w:rPr>
        <w:outlineLvl w:val="9"/>
      </w:pPr>
      <w:r/>
      <w:bookmarkStart w:id="191" w:name="_Toc6511"/>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、具备履行合同所必需的设备和专业技术能力的声明</w:t>
      </w:r>
      <w:bookmarkEnd w:id="191"/>
      <w:r/>
      <w:r/>
    </w:p>
    <w:p>
      <w:pPr>
        <w:pStyle w:val="740"/>
        <w:ind w:firstLine="492"/>
        <w:jc w:val="both"/>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40"/>
        <w:ind w:firstLine="492"/>
        <w:jc w:val="both"/>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740"/>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ind w:firstLine="40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left="4620" w:firstLine="4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日 期：</w:t>
      </w:r>
      <w:r/>
    </w:p>
    <w:p>
      <w:pPr>
        <w:pStyle w:val="740"/>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740"/>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740"/>
        <w:jc w:val="both"/>
        <w:spacing w:beforeAutospacing="0" w:afterAutospacing="0"/>
        <w:rPr>
          <w:i w:val="0"/>
          <w:iCs/>
          <w:color w:val="000000" w:themeColor="text1"/>
          <w:highlight w:val="none"/>
          <w14:textFill>
            <w14:solidFill>
              <w14:schemeClr w14:val="tx1"/>
            </w14:solidFill>
          </w14:textFill>
        </w:rPr>
        <w:outlineLvl w:val="9"/>
      </w:pPr>
      <w:r/>
      <w:bookmarkStart w:id="192" w:name="_Toc15582"/>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、依法缴纳税收和社会保障资金的相关材料</w:t>
      </w:r>
      <w:bookmarkEnd w:id="192"/>
      <w:r/>
      <w:r/>
    </w:p>
    <w:p>
      <w:pPr>
        <w:pStyle w:val="740"/>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ind w:firstLine="40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left="4620" w:firstLine="4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日 期：</w:t>
      </w:r>
      <w:r/>
    </w:p>
    <w:p>
      <w:pPr>
        <w:pStyle w:val="740"/>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both"/>
        <w:spacing w:beforeAutospacing="0" w:afterAutospacing="0"/>
        <w:rPr>
          <w:i w:val="0"/>
          <w:iCs/>
          <w:color w:val="000000" w:themeColor="text1"/>
          <w:highlight w:val="none"/>
          <w14:textFill>
            <w14:solidFill>
              <w14:schemeClr w14:val="tx1"/>
            </w14:solidFill>
          </w14:textFill>
        </w:rPr>
        <w:outlineLvl w:val="9"/>
      </w:pPr>
      <w:r/>
      <w:bookmarkStart w:id="193" w:name="_Toc21836"/>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五、参加政府采购活动前</w:t>
      </w: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3</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年内在经营活动中没有重大违法记录的声明</w:t>
      </w:r>
      <w:bookmarkEnd w:id="193"/>
      <w:r/>
      <w:r/>
    </w:p>
    <w:p>
      <w:pPr>
        <w:pStyle w:val="740"/>
        <w:jc w:val="both"/>
        <w:spacing w:beforeAutospacing="0" w:afterAutospacing="0" w:line="0" w:lineRule="atLeast"/>
        <w:rPr>
          <w:rFonts w:ascii="宋体" w:hAnsi="宋体" w:eastAsia="宋体" w:cs="宋体"/>
          <w:b/>
          <w:color w:val="000000" w:themeColor="text1"/>
          <w:sz w:val="44"/>
          <w:szCs w:val="44"/>
          <w:highlight w:val="none"/>
          <w14:textFill>
            <w14:solidFill>
              <w14:schemeClr w14:val="tx1"/>
            </w14:solidFill>
          </w14:textFill>
        </w:rPr>
        <w:outlineLvl w:val="9"/>
      </w:pPr>
      <w:r>
        <w:rPr>
          <w:rFonts w:ascii="宋体" w:hAnsi="宋体" w:eastAsia="宋体" w:cs="宋体"/>
          <w:b/>
          <w:color w:val="000000" w:themeColor="text1"/>
          <w:sz w:val="44"/>
          <w:szCs w:val="44"/>
          <w:highlight w:val="none"/>
          <w14:textFill>
            <w14:solidFill>
              <w14:schemeClr w14:val="tx1"/>
            </w14:solidFill>
          </w14:textFill>
        </w:rPr>
      </w:r>
      <w:r/>
    </w:p>
    <w:p>
      <w:pPr>
        <w:pStyle w:val="740"/>
        <w:ind w:firstLine="3092"/>
        <w:jc w:val="both"/>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44"/>
          <w:szCs w:val="44"/>
          <w:highlight w:val="none"/>
          <w14:textFill>
            <w14:solidFill>
              <w14:schemeClr w14:val="tx1"/>
            </w14:solidFill>
          </w14:textFill>
        </w:rPr>
        <w:t xml:space="preserve">声  明</w:t>
      </w:r>
      <w:r/>
    </w:p>
    <w:p>
      <w:pPr>
        <w:pStyle w:val="740"/>
        <w:ind w:firstLine="480"/>
        <w:jc w:val="both"/>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ind w:firstLine="4080"/>
        <w:spacing w:line="520" w:lineRule="exact"/>
        <w:rPr>
          <w:rFonts w:ascii="宋体" w:hAnsi="宋体" w:cs="宋体"/>
          <w:color w:val="000000" w:themeColor="text1"/>
          <w:sz w:val="24"/>
          <w:highlight w:val="none"/>
          <w14:textFill>
            <w14:solidFill>
              <w14:schemeClr w14:val="tx1"/>
            </w14:solidFill>
          </w14:textFill>
        </w:rPr>
        <w:outlineLvl w:val="9"/>
      </w:pPr>
      <w:r/>
      <w:bookmarkStart w:id="194" w:name="_Toc19586"/>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left="4620" w:firstLine="4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日 期：</w:t>
      </w:r>
      <w:r/>
    </w:p>
    <w:p>
      <w:pPr>
        <w:pStyle w:val="923"/>
        <w:numPr>
          <w:ilvl w:val="0"/>
          <w:numId w:val="0"/>
        </w:numPr>
        <w:ind w:left="210"/>
        <w:spacing w:beforeAutospacing="0" w:afterAutospacing="0" w:line="0" w:lineRule="atLeast"/>
        <w:rPr>
          <w:rFonts w:hint="eastAsia"/>
          <w:b/>
          <w:bCs/>
          <w:color w:val="000000" w:themeColor="text1"/>
          <w:sz w:val="32"/>
          <w:szCs w:val="32"/>
          <w:highlight w:val="none"/>
          <w:lang w:val="en-US" w:eastAsia="zh-CN"/>
          <w14:textFill>
            <w14:solidFill>
              <w14:schemeClr w14:val="tx1"/>
            </w14:solidFill>
          </w14:textFill>
        </w:rPr>
        <w:outlineLvl w:val="9"/>
      </w:pPr>
      <w:r>
        <w:rPr>
          <w:rFonts w:hint="eastAsia"/>
          <w:b/>
          <w:bCs/>
          <w:color w:val="000000" w:themeColor="text1"/>
          <w:sz w:val="32"/>
          <w:szCs w:val="32"/>
          <w:highlight w:val="none"/>
          <w:lang w:val="en-US" w:eastAsia="zh-CN"/>
          <w14:textFill>
            <w14:solidFill>
              <w14:schemeClr w14:val="tx1"/>
            </w14:solidFill>
          </w14:textFill>
        </w:rPr>
      </w:r>
      <w:r/>
    </w:p>
    <w:p>
      <w:pPr>
        <w:pStyle w:val="923"/>
        <w:numPr>
          <w:ilvl w:val="0"/>
          <w:numId w:val="0"/>
        </w:numPr>
        <w:ind w:left="210"/>
        <w:spacing w:beforeAutospacing="0" w:afterAutospacing="0" w:line="0" w:lineRule="atLeast"/>
        <w:rPr>
          <w:rFonts w:hint="eastAsia"/>
          <w:b/>
          <w:bCs/>
          <w:color w:val="000000" w:themeColor="text1"/>
          <w:sz w:val="32"/>
          <w:szCs w:val="32"/>
          <w:highlight w:val="none"/>
          <w14:textFill>
            <w14:solidFill>
              <w14:schemeClr w14:val="tx1"/>
            </w14:solidFill>
          </w14:textFill>
        </w:rPr>
        <w:outlineLvl w:val="9"/>
      </w:pPr>
      <w:r>
        <w:rPr>
          <w:rFonts w:hint="eastAsia"/>
          <w:b/>
          <w:bCs/>
          <w:color w:val="000000" w:themeColor="text1"/>
          <w:sz w:val="32"/>
          <w:szCs w:val="32"/>
          <w:highlight w:val="none"/>
          <w:lang w:val="en-US" w:eastAsia="zh-CN"/>
          <w14:textFill>
            <w14:solidFill>
              <w14:schemeClr w14:val="tx1"/>
            </w14:solidFill>
          </w14:textFill>
        </w:rPr>
        <w:t xml:space="preserve">六</w:t>
      </w:r>
      <w:r>
        <w:rPr>
          <w:rFonts w:hint="eastAsia"/>
          <w:b/>
          <w:bCs/>
          <w:color w:val="000000" w:themeColor="text1"/>
          <w:sz w:val="32"/>
          <w:szCs w:val="32"/>
          <w:highlight w:val="none"/>
          <w:lang w:eastAsia="zh-CN"/>
          <w14:textFill>
            <w14:solidFill>
              <w14:schemeClr w14:val="tx1"/>
            </w14:solidFill>
          </w14:textFill>
        </w:rPr>
        <w:t xml:space="preserve">、</w:t>
      </w:r>
      <w:r>
        <w:rPr>
          <w:rFonts w:hint="eastAsia"/>
          <w:b/>
          <w:bCs/>
          <w:color w:val="000000" w:themeColor="text1"/>
          <w:sz w:val="32"/>
          <w:szCs w:val="32"/>
          <w:highlight w:val="none"/>
          <w14:textFill>
            <w14:solidFill>
              <w14:schemeClr w14:val="tx1"/>
            </w14:solidFill>
          </w14:textFill>
        </w:rPr>
        <w:t xml:space="preserve">单位负责人为同一人或者存在直接控股、管理关系的不同供应商，不得参加同一合同项下的政府采购活动</w:t>
      </w:r>
      <w:r/>
    </w:p>
    <w:p>
      <w:pPr>
        <w:pStyle w:val="923"/>
        <w:jc w:val="center"/>
        <w:spacing w:beforeAutospacing="0" w:afterAutospacing="0" w:line="0" w:lineRule="atLeast"/>
        <w:rPr>
          <w:b/>
          <w:bCs/>
          <w:color w:val="000000" w:themeColor="text1"/>
          <w:sz w:val="44"/>
          <w:szCs w:val="44"/>
          <w:highlight w:val="none"/>
          <w14:textFill>
            <w14:solidFill>
              <w14:schemeClr w14:val="tx1"/>
            </w14:solidFill>
          </w14:textFill>
        </w:rPr>
        <w:outlineLvl w:val="9"/>
      </w:pPr>
      <w:r>
        <w:rPr>
          <w:rFonts w:hint="eastAsia"/>
          <w:b/>
          <w:bCs/>
          <w:color w:val="000000" w:themeColor="text1"/>
          <w:sz w:val="44"/>
          <w:szCs w:val="44"/>
          <w:highlight w:val="none"/>
          <w14:textFill>
            <w14:solidFill>
              <w14:schemeClr w14:val="tx1"/>
            </w14:solidFill>
          </w14:textFill>
        </w:rPr>
        <w:t xml:space="preserve">声 明</w:t>
      </w:r>
      <w:r/>
    </w:p>
    <w:p>
      <w:pPr>
        <w:pStyle w:val="923"/>
        <w:ind w:firstLine="482"/>
        <w:jc w:val="both"/>
        <w:spacing w:beforeAutospacing="0" w:afterAutospacing="0" w:line="500" w:lineRule="exact"/>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740"/>
        <w:jc w:val="center"/>
        <w:spacing w:beforeAutospacing="0" w:afterAutospacing="0" w:line="500" w:lineRule="exact"/>
        <w:rPr>
          <w:rFonts w:ascii="黑体" w:hAnsi="宋体" w:eastAsia="黑体" w:cs="黑体"/>
          <w:i/>
          <w:color w:val="000000" w:themeColor="text1"/>
          <w:sz w:val="32"/>
          <w:szCs w:val="32"/>
          <w:highlight w:val="none"/>
          <w:u w:val="single"/>
          <w14:textFill>
            <w14:solidFill>
              <w14:schemeClr w14:val="tx1"/>
            </w14:solidFill>
          </w14:textFill>
        </w:rPr>
        <w:outlineLvl w:val="9"/>
      </w:pPr>
      <w:r>
        <w:rPr>
          <w:rFonts w:ascii="黑体" w:hAnsi="宋体" w:eastAsia="黑体" w:cs="黑体"/>
          <w:i/>
          <w:color w:val="000000" w:themeColor="text1"/>
          <w:sz w:val="32"/>
          <w:szCs w:val="32"/>
          <w:highlight w:val="none"/>
          <w:u w:val="single"/>
          <w14:textFill>
            <w14:solidFill>
              <w14:schemeClr w14:val="tx1"/>
            </w14:solidFill>
          </w14:textFill>
        </w:rPr>
      </w:r>
      <w:r/>
    </w:p>
    <w:p>
      <w:pPr>
        <w:pStyle w:val="740"/>
        <w:jc w:val="center"/>
        <w:spacing w:beforeAutospacing="0" w:afterAutospacing="0" w:line="500" w:lineRule="exact"/>
        <w:rPr>
          <w:rFonts w:ascii="黑体" w:hAnsi="宋体" w:eastAsia="黑体" w:cs="黑体"/>
          <w:i/>
          <w:color w:val="000000" w:themeColor="text1"/>
          <w:sz w:val="32"/>
          <w:szCs w:val="32"/>
          <w:highlight w:val="none"/>
          <w:u w:val="single"/>
          <w14:textFill>
            <w14:solidFill>
              <w14:schemeClr w14:val="tx1"/>
            </w14:solidFill>
          </w14:textFill>
        </w:rPr>
        <w:outlineLvl w:val="9"/>
      </w:pPr>
      <w:r>
        <w:rPr>
          <w:rFonts w:ascii="黑体" w:hAnsi="宋体" w:eastAsia="黑体" w:cs="黑体"/>
          <w:i/>
          <w:color w:val="000000" w:themeColor="text1"/>
          <w:sz w:val="32"/>
          <w:szCs w:val="32"/>
          <w:highlight w:val="none"/>
          <w:u w:val="single"/>
          <w14:textFill>
            <w14:solidFill>
              <w14:schemeClr w14:val="tx1"/>
            </w14:solidFill>
          </w14:textFill>
        </w:rPr>
      </w:r>
      <w:r/>
    </w:p>
    <w:p>
      <w:pPr>
        <w:ind w:firstLine="40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left="4620" w:firstLine="4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日 期：</w:t>
      </w:r>
      <w:r/>
    </w:p>
    <w:p>
      <w:pPr>
        <w:pStyle w:val="740"/>
        <w:jc w:val="both"/>
        <w:spacing w:beforeAutospacing="0" w:afterAutospacing="0"/>
        <w:rPr>
          <w:rFonts w:hint="eastAsia" w:ascii="黑体" w:hAnsi="宋体" w:eastAsia="黑体" w:cs="黑体"/>
          <w:i w:val="0"/>
          <w:iCs/>
          <w:color w:val="000000" w:themeColor="text1"/>
          <w:sz w:val="32"/>
          <w:szCs w:val="32"/>
          <w:highlight w:val="none"/>
          <w:u w:val="single"/>
          <w14:textFill>
            <w14:solidFill>
              <w14:schemeClr w14:val="tx1"/>
            </w14:solidFill>
          </w14:textFill>
        </w:rPr>
        <w:outlineLvl w:val="9"/>
      </w:pPr>
      <w:r>
        <w:rPr>
          <w:rFonts w:hint="eastAsia" w:ascii="黑体" w:hAnsi="宋体" w:eastAsia="黑体" w:cs="黑体"/>
          <w:i w:val="0"/>
          <w:iCs/>
          <w:color w:val="000000" w:themeColor="text1"/>
          <w:sz w:val="32"/>
          <w:szCs w:val="32"/>
          <w:highlight w:val="none"/>
          <w:u w:val="single"/>
          <w14:textFill>
            <w14:solidFill>
              <w14:schemeClr w14:val="tx1"/>
            </w14:solidFill>
          </w14:textFill>
        </w:rPr>
      </w:r>
      <w:r/>
    </w:p>
    <w:p>
      <w:pPr>
        <w:pStyle w:val="740"/>
        <w:jc w:val="both"/>
        <w:spacing w:beforeAutospacing="0" w:afterAutospacing="0"/>
        <w:rPr>
          <w:i w:val="0"/>
          <w:iCs/>
          <w:color w:val="000000" w:themeColor="text1"/>
          <w:highlight w:val="none"/>
          <w14:textFill>
            <w14:solidFill>
              <w14:schemeClr w14:val="tx1"/>
            </w14:solidFill>
          </w14:textFill>
        </w:rPr>
        <w:outlineLvl w:val="9"/>
      </w:pP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七</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、特定资格要求的证明文件</w:t>
      </w:r>
      <w:bookmarkEnd w:id="194"/>
      <w:r/>
      <w:r/>
    </w:p>
    <w:p>
      <w:pPr>
        <w:pStyle w:val="740"/>
        <w:ind w:firstLine="480"/>
        <w:jc w:val="both"/>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如果本项目申请人的特定资格要求中要求提供的，必须提供。</w:t>
      </w:r>
      <w:r/>
    </w:p>
    <w:p>
      <w:pPr>
        <w:pStyle w:val="740"/>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outlineLvl w:val="9"/>
      </w:pPr>
      <w:r/>
      <w:bookmarkStart w:id="195" w:name="_Toc120614284"/>
      <w:r/>
      <w:r/>
    </w:p>
    <w:p>
      <w:pPr>
        <w:pStyle w:val="740"/>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outlineLvl w:val="9"/>
      </w:pPr>
      <w:r>
        <w:rPr>
          <w:rFonts w:ascii="黑体" w:hAnsi="宋体" w:eastAsia="黑体" w:cs="黑体"/>
          <w:i/>
          <w:color w:val="000000" w:themeColor="text1"/>
          <w:sz w:val="32"/>
          <w:szCs w:val="32"/>
          <w:highlight w:val="none"/>
          <w:u w:val="single"/>
          <w14:textFill>
            <w14:solidFill>
              <w14:schemeClr w14:val="tx1"/>
            </w14:solidFill>
          </w14:textFill>
        </w:rPr>
      </w:r>
      <w:r/>
    </w:p>
    <w:p>
      <w:pPr>
        <w:pStyle w:val="740"/>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outlineLvl w:val="9"/>
      </w:pPr>
      <w:r>
        <w:rPr>
          <w:rFonts w:ascii="黑体" w:hAnsi="宋体" w:eastAsia="黑体" w:cs="黑体"/>
          <w:i/>
          <w:color w:val="000000" w:themeColor="text1"/>
          <w:sz w:val="32"/>
          <w:szCs w:val="32"/>
          <w:highlight w:val="none"/>
          <w:u w:val="single"/>
          <w14:textFill>
            <w14:solidFill>
              <w14:schemeClr w14:val="tx1"/>
            </w14:solidFill>
          </w14:textFill>
        </w:rPr>
      </w:r>
      <w:r/>
    </w:p>
    <w:p>
      <w:pPr>
        <w:pStyle w:val="740"/>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outlineLvl w:val="9"/>
      </w:pPr>
      <w:r>
        <w:rPr>
          <w:rFonts w:ascii="黑体" w:hAnsi="宋体" w:eastAsia="黑体" w:cs="黑体"/>
          <w:i/>
          <w:color w:val="000000" w:themeColor="text1"/>
          <w:sz w:val="32"/>
          <w:szCs w:val="32"/>
          <w:highlight w:val="none"/>
          <w:u w:val="singl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br w:type="page" w:clear="all"/>
      </w:r>
      <w:r/>
    </w:p>
    <w:p>
      <w:pPr>
        <w:pStyle w:val="740"/>
        <w:jc w:val="center"/>
        <w:spacing w:beforeAutospacing="0" w:afterAutospacing="0"/>
        <w:rPr>
          <w:i w:val="0"/>
          <w:iCs/>
          <w:color w:val="000000" w:themeColor="text1"/>
          <w:highlight w:val="none"/>
          <w14:textFill>
            <w14:solidFill>
              <w14:schemeClr w14:val="tx1"/>
            </w14:solidFill>
          </w14:textFill>
        </w:rPr>
        <w:outlineLvl w:val="9"/>
      </w:pPr>
      <w:r/>
      <w:bookmarkStart w:id="196" w:name="_Toc2894"/>
      <w:r>
        <w:rPr>
          <w:rFonts w:hint="eastAsia" w:ascii="黑体" w:hAnsi="宋体" w:eastAsia="黑体" w:cs="黑体"/>
          <w:i w:val="0"/>
          <w:iCs/>
          <w:color w:val="000000" w:themeColor="text1"/>
          <w:sz w:val="32"/>
          <w:szCs w:val="32"/>
          <w:highlight w:val="none"/>
          <w:u w:val="single"/>
          <w:lang w:eastAsia="zh-CN"/>
          <w14:textFill>
            <w14:solidFill>
              <w14:schemeClr w14:val="tx1"/>
            </w14:solidFill>
          </w14:textFill>
        </w:rPr>
        <w:t xml:space="preserve">八</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、法人授权书</w:t>
      </w:r>
      <w:bookmarkEnd w:id="196"/>
      <w:r/>
      <w:r/>
    </w:p>
    <w:p>
      <w:pPr>
        <w:pStyle w:val="740"/>
        <w:ind w:firstLine="480"/>
        <w:jc w:val="both"/>
        <w:spacing w:beforeAutospacing="0" w:afterAutospacing="0"/>
        <w:tabs>
          <w:tab w:val="left" w:pos="360" w:leader="none"/>
        </w:tabs>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pStyle w:val="740"/>
        <w:ind w:firstLine="480"/>
        <w:jc w:val="both"/>
        <w:spacing w:beforeAutospacing="0" w:afterAutospacing="0"/>
        <w:tabs>
          <w:tab w:val="left" w:pos="360" w:leader="none"/>
        </w:tabs>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pStyle w:val="740"/>
        <w:ind w:firstLine="48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740"/>
        <w:ind w:firstLine="48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本授权书于______年____月____日起生效，特此声明。</w:t>
      </w:r>
      <w:r/>
    </w:p>
    <w:p>
      <w:pPr>
        <w:pStyle w:val="74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          被授权人身份证号码：</w:t>
      </w:r>
      <w:r>
        <w:rPr>
          <w:rFonts w:ascii="Times New Roman" w:hAnsi="Times New Roman"/>
          <w:color w:val="000000" w:themeColor="text1"/>
          <w:highlight w:val="none"/>
          <w:u w:val="single"/>
          <w14:textFill>
            <w14:solidFill>
              <w14:schemeClr w14:val="tx1"/>
            </w14:solidFill>
          </w14:textFill>
        </w:rPr>
        <w:t xml:space="preserve">                              </w:t>
      </w:r>
      <w:r/>
    </w:p>
    <w:p>
      <w:pPr>
        <w:pStyle w:val="74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          被授权人联系电话：（手机）</w:t>
      </w:r>
      <w:r>
        <w:rPr>
          <w:rFonts w:ascii="Times New Roman" w:hAnsi="Times New Roman"/>
          <w:color w:val="000000" w:themeColor="text1"/>
          <w:highlight w:val="none"/>
          <w:u w:val="single"/>
          <w14:textFill>
            <w14:solidFill>
              <w14:schemeClr w14:val="tx1"/>
            </w14:solidFill>
          </w14:textFill>
        </w:rPr>
        <w:t xml:space="preserve">                          </w:t>
      </w:r>
      <w:r/>
    </w:p>
    <w:p>
      <w:pPr>
        <w:pStyle w:val="740"/>
        <w:ind w:firstLine="72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授权单位名称：</w:t>
      </w:r>
      <w:r>
        <w:rPr>
          <w:rFonts w:ascii="Times New Roman" w:hAnsi="Times New Roman"/>
          <w:color w:val="000000" w:themeColor="text1"/>
          <w:highlight w:val="none"/>
          <w:u w:val="single"/>
          <w14:textFill>
            <w14:solidFill>
              <w14:schemeClr w14:val="tx1"/>
            </w14:solidFill>
          </w14:textFill>
        </w:rPr>
        <w:t xml:space="preserve">（加盖CA电子公章）</w:t>
      </w:r>
      <w:r/>
    </w:p>
    <w:p>
      <w:pPr>
        <w:pStyle w:val="740"/>
        <w:ind w:firstLine="48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    单位地址：</w:t>
      </w:r>
      <w:r>
        <w:rPr>
          <w:rFonts w:ascii="Times New Roman" w:hAnsi="Times New Roman"/>
          <w:color w:val="000000" w:themeColor="text1"/>
          <w:highlight w:val="none"/>
          <w:u w:val="single"/>
          <w14:textFill>
            <w14:solidFill>
              <w14:schemeClr w14:val="tx1"/>
            </w14:solidFill>
          </w14:textFill>
        </w:rPr>
        <w:t xml:space="preserve">                                         </w:t>
      </w:r>
      <w:r/>
    </w:p>
    <w:p>
      <w:pPr>
        <w:pStyle w:val="740"/>
        <w:ind w:firstLine="480"/>
        <w:jc w:val="both"/>
        <w:keepLines w:val="0"/>
        <w:keepNext w:val="0"/>
        <w:pageBreakBefore w:val="0"/>
        <w:spacing w:beforeAutospacing="0" w:afterAutospacing="0" w:line="360" w:lineRule="auto"/>
        <w:widowControl w:val="off"/>
        <w:tabs>
          <w:tab w:val="left" w:pos="360" w:leader="none"/>
        </w:tabs>
        <w:rPr>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t xml:space="preserve">    日期：</w:t>
      </w:r>
      <w:bookmarkStart w:id="197" w:name="_格式3__银行出具的资信证明"/>
      <w:r/>
      <w:bookmarkStart w:id="198" w:name="_Hlt26671380"/>
      <w:r/>
      <w:bookmarkStart w:id="199" w:name="_Hlt26955070"/>
      <w:r>
        <w:rPr>
          <w:rFonts w:ascii="Times New Roman" w:hAnsi="Times New Roman"/>
          <w:color w:val="000000" w:themeColor="text1"/>
          <w:highlight w:val="none"/>
          <w:u w:val="single"/>
          <w14:textFill>
            <w14:solidFill>
              <w14:schemeClr w14:val="tx1"/>
            </w14:solidFill>
          </w14:textFill>
        </w:rPr>
        <w:t xml:space="preserve">                                         </w:t>
      </w:r>
      <w:r/>
    </w:p>
    <w:p>
      <w:pPr>
        <w:pStyle w:val="740"/>
        <w:ind w:firstLine="42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line="0" w:lineRule="atLeast"/>
        <w:rPr>
          <w:color w:val="000000" w:themeColor="text1"/>
          <w:highlight w:val="none"/>
          <w:shd w:val="clear" w:color="auto" w:fill="auto"/>
          <w14:textFill>
            <w14:solidFill>
              <w14:schemeClr w14:val="tx1"/>
            </w14:solidFill>
          </w14:textFill>
        </w:rPr>
        <w:outlineLvl w:val="9"/>
      </w:pPr>
      <w:r>
        <w:rPr>
          <w:color w:val="000000" w:themeColor="text1"/>
          <w:highlight w:val="none"/>
          <w:shd w:val="clear" w:color="auto" w:fill="auto"/>
          <w14:textFill>
            <w14:solidFill>
              <w14:schemeClr w14:val="tx1"/>
            </w14:solidFill>
          </w14:textFill>
        </w:rPr>
        <w:t xml:space="preserve"> </w:t>
      </w:r>
      <w:r/>
    </w:p>
    <w:p>
      <w:pPr>
        <w:pStyle w:val="740"/>
        <w:ind w:firstLine="3390"/>
        <w:jc w:val="both"/>
        <w:keepLines/>
        <w:keepNext/>
        <w:spacing w:before="260" w:beforeAutospacing="0" w:after="260" w:afterAutospacing="0" w:line="415" w:lineRule="auto"/>
        <w:rPr>
          <w:color w:val="000000" w:themeColor="text1"/>
          <w:highlight w:val="none"/>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br w:type="page" w:clear="all"/>
      </w:r>
      <w:bookmarkStart w:id="200" w:name="_Toc28624"/>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val="0"/>
          <w:iCs/>
          <w:color w:val="000000" w:themeColor="text1"/>
          <w:sz w:val="32"/>
          <w:szCs w:val="32"/>
          <w:highlight w:val="none"/>
          <w:u w:val="single"/>
          <w:lang w:eastAsia="zh-CN"/>
          <w14:textFill>
            <w14:solidFill>
              <w14:schemeClr w14:val="tx1"/>
            </w14:solidFill>
          </w14:textFill>
        </w:rPr>
        <w:t xml:space="preserve">九</w:t>
      </w:r>
      <w:r>
        <w:rPr>
          <w:rFonts w:hint="eastAsia" w:ascii="黑体" w:hAnsi="宋体" w:eastAsia="黑体" w:cs="黑体"/>
          <w:b/>
          <w:i w:val="0"/>
          <w:iCs/>
          <w:color w:val="000000" w:themeColor="text1"/>
          <w:sz w:val="32"/>
          <w:szCs w:val="32"/>
          <w:highlight w:val="none"/>
          <w:u w:val="single"/>
          <w14:textFill>
            <w14:solidFill>
              <w14:schemeClr w14:val="tx1"/>
            </w14:solidFill>
          </w14:textFill>
        </w:rPr>
        <w:t xml:space="preserve">、投标函</w:t>
      </w:r>
      <w:bookmarkEnd w:id="200"/>
      <w:r/>
      <w:r/>
    </w:p>
    <w:p>
      <w:pPr>
        <w:pStyle w:val="740"/>
        <w:keepLines w:val="0"/>
        <w:keepNext w:val="0"/>
        <w:pageBreakBefore w:val="0"/>
        <w:spacing w:beforeAutospacing="0" w:afterAutospacing="0" w:line="240" w:lineRule="auto"/>
        <w:widowControl w:val="off"/>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致：盐城市</w:t>
      </w:r>
      <w:r>
        <w:rPr>
          <w:rFonts w:hint="eastAsia" w:ascii="宋体" w:hAnsi="宋体" w:eastAsia="宋体" w:cs="宋体"/>
          <w:color w:val="000000" w:themeColor="text1"/>
          <w:highlight w:val="none"/>
          <w:lang w:eastAsia="zh-CN"/>
          <w14:textFill>
            <w14:solidFill>
              <w14:schemeClr w14:val="tx1"/>
            </w14:solidFill>
          </w14:textFill>
        </w:rPr>
        <w:t xml:space="preserve">第一人民医院</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根据贵方的JSZC-***</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号招标文件，正式授权下述签字人_________________(姓名)代表我方_________（投标人的名称），全权处理本次项目投标的有关事宜。</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1.按招标文件规定的各项要求，向买方提供所需货物（包含与货物相关的服务）。</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40"/>
        <w:ind w:firstLine="480"/>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40"/>
        <w:ind w:left="425"/>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地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址：</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邮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编：</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电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话：</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传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真：</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账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号： </w:t>
      </w:r>
      <w:r/>
    </w:p>
    <w:p>
      <w:pPr>
        <w:pStyle w:val="740"/>
        <w:ind w:left="420" w:firstLine="480"/>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日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期：________年____月____日</w:t>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ind w:firstLine="2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bookmarkStart w:id="201" w:name="_Toc29960"/>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十</w:t>
      </w:r>
      <w:r>
        <w:rPr>
          <w:rFonts w:hint="eastAsia" w:ascii="黑体" w:hAnsi="宋体" w:eastAsia="黑体" w:cs="黑体"/>
          <w:b/>
          <w:color w:val="000000" w:themeColor="text1"/>
          <w:sz w:val="32"/>
          <w:szCs w:val="32"/>
          <w:highlight w:val="none"/>
          <w14:textFill>
            <w14:solidFill>
              <w14:schemeClr w14:val="tx1"/>
            </w14:solidFill>
          </w14:textFill>
        </w:rPr>
        <w:t xml:space="preserve">、</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货物</w:t>
      </w:r>
      <w:r>
        <w:rPr>
          <w:rFonts w:hint="eastAsia" w:ascii="黑体" w:hAnsi="宋体" w:eastAsia="黑体" w:cs="黑体"/>
          <w:b/>
          <w:color w:val="000000" w:themeColor="text1"/>
          <w:sz w:val="32"/>
          <w:szCs w:val="32"/>
          <w:highlight w:val="none"/>
          <w14:textFill>
            <w14:solidFill>
              <w14:schemeClr w14:val="tx1"/>
            </w14:solidFill>
          </w14:textFill>
        </w:rPr>
        <w:t xml:space="preserve">）</w:t>
      </w:r>
      <w:bookmarkEnd w:id="201"/>
      <w:r/>
      <w:r/>
    </w:p>
    <w:p>
      <w:pPr>
        <w:ind w:firstLine="480"/>
        <w:jc w:val="both"/>
        <w:spacing w:line="500" w:lineRule="exact"/>
        <w:rPr>
          <w:rFonts w:hint="eastAsia"/>
          <w:color w:val="000000" w:themeColor="text1"/>
          <w:sz w:val="24"/>
          <w:highlight w:val="none"/>
          <w14:textFill>
            <w14:solidFill>
              <w14:schemeClr w14:val="tx1"/>
            </w14:solidFill>
          </w14:textFill>
        </w:rPr>
        <w:outlineLvl w:val="9"/>
      </w:pPr>
      <w:r>
        <w:rPr>
          <w:rFonts w:hint="eastAsia"/>
          <w:color w:val="000000" w:themeColor="text1"/>
          <w:sz w:val="24"/>
          <w:highlight w:val="none"/>
          <w14:textFill>
            <w14:solidFill>
              <w14:schemeClr w14:val="tx1"/>
            </w14:solidFill>
          </w14:textFill>
        </w:rPr>
      </w:r>
      <w:r/>
    </w:p>
    <w:p>
      <w:pPr>
        <w:ind w:firstLine="480"/>
        <w:jc w:val="both"/>
        <w:spacing w:line="500" w:lineRule="exact"/>
        <w:rPr>
          <w:rFonts w:hint="eastAsia"/>
          <w:color w:val="000000" w:themeColor="text1"/>
          <w:sz w:val="24"/>
          <w:highlight w:val="none"/>
          <w14:textFill>
            <w14:solidFill>
              <w14:schemeClr w14:val="tx1"/>
            </w14:solidFill>
          </w14:textFill>
        </w:rPr>
        <w:outlineLvl w:val="9"/>
      </w:pPr>
      <w:r>
        <w:rPr>
          <w:rFonts w:hint="eastAsia"/>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color w:val="000000" w:themeColor="text1"/>
          <w:sz w:val="24"/>
          <w:highlight w:val="none"/>
          <w:lang w:eastAsia="zh-CN"/>
          <w14:textFill>
            <w14:solidFill>
              <w14:schemeClr w14:val="tx1"/>
            </w14:solidFill>
          </w14:textFill>
        </w:rPr>
        <w:t xml:space="preserve">〔2020〕46号</w:t>
      </w:r>
      <w:r>
        <w:rPr>
          <w:rFonts w:hint="eastAsia"/>
          <w:color w:val="000000" w:themeColor="text1"/>
          <w:sz w:val="24"/>
          <w:highlight w:val="none"/>
          <w14:textFill>
            <w14:solidFill>
              <w14:schemeClr w14:val="tx1"/>
            </w14:solidFill>
          </w14:textFill>
        </w:rPr>
        <w:t xml:space="preserve">)的规定，本公司（联合体）参加盐城市</w:t>
      </w:r>
      <w:r>
        <w:rPr>
          <w:rFonts w:hint="eastAsia"/>
          <w:color w:val="000000" w:themeColor="text1"/>
          <w:sz w:val="24"/>
          <w:highlight w:val="none"/>
          <w:lang w:val="en-US" w:eastAsia="zh-CN"/>
          <w14:textFill>
            <w14:solidFill>
              <w14:schemeClr w14:val="tx1"/>
            </w14:solidFill>
          </w14:textFill>
        </w:rPr>
        <w:t xml:space="preserve">第一人民医院</w:t>
      </w:r>
      <w:r>
        <w:rPr>
          <w:rFonts w:hint="eastAsia"/>
          <w:color w:val="000000" w:themeColor="text1"/>
          <w:sz w:val="24"/>
          <w:highlight w:val="none"/>
          <w14:textFill>
            <w14:solidFill>
              <w14:schemeClr w14:val="tx1"/>
            </w14:solidFill>
          </w14:textFill>
        </w:rPr>
        <w:t xml:space="preserve">组织的采购编号为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的采购活动，提供的货物全部由符合政策要求的</w:t>
      </w:r>
      <w:r>
        <w:rPr>
          <w:rFonts w:hint="eastAsia"/>
          <w:color w:val="000000" w:themeColor="text1"/>
          <w:sz w:val="24"/>
          <w:highlight w:val="none"/>
          <w:lang w:val="en-US" w:eastAsia="zh-CN"/>
          <w14:textFill>
            <w14:solidFill>
              <w14:schemeClr w14:val="tx1"/>
            </w14:solidFill>
          </w14:textFill>
        </w:rPr>
        <w:t xml:space="preserve">中小</w:t>
      </w:r>
      <w:r>
        <w:rPr>
          <w:rFonts w:hint="eastAsia"/>
          <w:color w:val="000000" w:themeColor="text1"/>
          <w:sz w:val="24"/>
          <w:highlight w:val="none"/>
          <w14:textFill>
            <w14:solidFill>
              <w14:schemeClr w14:val="tx1"/>
            </w14:solidFill>
          </w14:textFill>
        </w:rPr>
        <w:t xml:space="preserve">企业制造。相关企业（含联合体中</w:t>
      </w:r>
      <w:r>
        <w:rPr>
          <w:rFonts w:hint="eastAsia"/>
          <w:color w:val="000000" w:themeColor="text1"/>
          <w:sz w:val="24"/>
          <w:highlight w:val="none"/>
          <w:lang w:val="en-US" w:eastAsia="zh-CN"/>
          <w14:textFill>
            <w14:solidFill>
              <w14:schemeClr w14:val="tx1"/>
            </w14:solidFill>
          </w14:textFill>
        </w:rPr>
        <w:t xml:space="preserve">的中小</w:t>
      </w:r>
      <w:r>
        <w:rPr>
          <w:rFonts w:hint="eastAsia"/>
          <w:color w:val="000000" w:themeColor="text1"/>
          <w:sz w:val="24"/>
          <w:highlight w:val="none"/>
          <w14:textFill>
            <w14:solidFill>
              <w14:schemeClr w14:val="tx1"/>
            </w14:solidFill>
          </w14:textFill>
        </w:rPr>
        <w:t xml:space="preserve">企业、签订分包意向协议的</w:t>
      </w:r>
      <w:r>
        <w:rPr>
          <w:rFonts w:hint="eastAsia"/>
          <w:color w:val="000000" w:themeColor="text1"/>
          <w:sz w:val="24"/>
          <w:highlight w:val="none"/>
          <w:lang w:val="en-US" w:eastAsia="zh-CN"/>
          <w14:textFill>
            <w14:solidFill>
              <w14:schemeClr w14:val="tx1"/>
            </w14:solidFill>
          </w14:textFill>
        </w:rPr>
        <w:t xml:space="preserve">中</w:t>
      </w:r>
      <w:r>
        <w:rPr>
          <w:rFonts w:hint="eastAsia"/>
          <w:color w:val="000000" w:themeColor="text1"/>
          <w:sz w:val="24"/>
          <w:highlight w:val="none"/>
          <w14:textFill>
            <w14:solidFill>
              <w14:schemeClr w14:val="tx1"/>
            </w14:solidFill>
          </w14:textFill>
        </w:rPr>
        <w:t xml:space="preserve">小企业）的具体情况如下：</w:t>
      </w:r>
      <w:r/>
    </w:p>
    <w:p>
      <w:pPr>
        <w:pStyle w:val="740"/>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740"/>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u w:val="single"/>
          <w14:textFill>
            <w14:solidFill>
              <w14:schemeClr w14:val="tx1"/>
            </w14:solidFill>
          </w14:textFill>
        </w:rPr>
        <w:t xml:space="preserve">（标的名称）</w:t>
      </w:r>
      <w:r>
        <w:rPr>
          <w:rFonts w:hint="eastAsia"/>
          <w:i/>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lang w:val="en-US" w:eastAsia="zh-CN"/>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行业；制造商为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pStyle w:val="740"/>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w:t>
      </w:r>
      <w:r/>
    </w:p>
    <w:p>
      <w:pPr>
        <w:pStyle w:val="740"/>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40"/>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pStyle w:val="740"/>
        <w:ind w:right="72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right="180" w:firstLine="360"/>
        <w:jc w:val="right"/>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企业名称（加盖CA电子公章）：</w:t>
      </w:r>
      <w:r/>
    </w:p>
    <w:p>
      <w:pPr>
        <w:pStyle w:val="740"/>
        <w:ind w:right="480" w:firstLine="540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日  期：</w:t>
      </w:r>
      <w:r/>
    </w:p>
    <w:p>
      <w:pPr>
        <w:pStyle w:val="740"/>
        <w:ind w:firstLine="36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48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740"/>
        <w:ind w:firstLine="480"/>
        <w:jc w:val="both"/>
        <w:spacing w:before="0" w:beforeAutospacing="0" w:after="0" w:afterAutospacing="0" w:line="360" w:lineRule="auto"/>
        <w:widowControl w:val="off"/>
        <w:rPr>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t xml:space="preserve">备注2：供应商如不提供此声明函，价格将不做相应扣除（如项目全面面向中小企业，则资格审查不通过）。</w:t>
      </w:r>
      <w:r/>
    </w:p>
    <w:p>
      <w:pPr>
        <w:pStyle w:val="740"/>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r>
      <w:r/>
    </w:p>
    <w:p>
      <w:pPr>
        <w:pStyle w:val="740"/>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r>
      <w:r/>
    </w:p>
    <w:p>
      <w:pPr>
        <w:pStyle w:val="740"/>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r>
      <w:r/>
    </w:p>
    <w:p>
      <w:pPr>
        <w:pStyle w:val="740"/>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r>
      <w:r/>
    </w:p>
    <w:p>
      <w:pPr>
        <w:pStyle w:val="740"/>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highlight w:val="none"/>
        </w:rPr>
        <w:outlineLvl w:val="9"/>
      </w:pPr>
      <w:r>
        <w:rPr>
          <w:highlight w:val="none"/>
        </w:rPr>
      </w:r>
      <w:r/>
    </w:p>
    <w:p>
      <w:pPr>
        <w:pStyle w:val="740"/>
        <w:jc w:val="center"/>
        <w:spacing w:beforeAutospacing="0" w:afterAutospacing="0" w:line="0" w:lineRule="atLeast"/>
        <w:rPr>
          <w:highlight w:val="none"/>
        </w:rPr>
        <w:outlineLvl w:val="9"/>
      </w:pPr>
      <w:r/>
      <w:bookmarkStart w:id="202" w:name="_Toc19675"/>
      <w:r>
        <w:rPr>
          <w:rFonts w:hint="eastAsia" w:ascii="黑体" w:hAnsi="宋体" w:eastAsia="黑体" w:cs="黑体"/>
          <w:b/>
          <w:color w:val="000000" w:themeColor="text1"/>
          <w:sz w:val="32"/>
          <w:szCs w:val="32"/>
          <w:highlight w:val="none"/>
          <w14:textFill>
            <w14:solidFill>
              <w14:schemeClr w14:val="tx1"/>
            </w14:solidFill>
          </w14:textFill>
        </w:rPr>
        <w:t xml:space="preserve"> 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一</w:t>
      </w:r>
      <w:r>
        <w:rPr>
          <w:rFonts w:hint="eastAsia" w:ascii="黑体" w:hAnsi="宋体" w:eastAsia="黑体" w:cs="黑体"/>
          <w:b/>
          <w:color w:val="000000" w:themeColor="text1"/>
          <w:sz w:val="32"/>
          <w:szCs w:val="32"/>
          <w:highlight w:val="none"/>
          <w14:textFill>
            <w14:solidFill>
              <w14:schemeClr w14:val="tx1"/>
            </w14:solidFill>
          </w14:textFill>
        </w:rPr>
        <w:t xml:space="preserve">、残疾人福利性单位声明函</w:t>
      </w:r>
      <w:bookmarkEnd w:id="202"/>
      <w:r/>
      <w:r/>
    </w:p>
    <w:p>
      <w:pPr>
        <w:pStyle w:val="740"/>
        <w:ind w:firstLine="482"/>
        <w:jc w:val="both"/>
        <w:keepLines w:val="0"/>
        <w:keepNext w:val="0"/>
        <w:pageBreakBefore w:val="0"/>
        <w:spacing w:beforeAutospacing="0" w:afterAutospacing="0"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740"/>
        <w:ind w:firstLine="482"/>
        <w:jc w:val="both"/>
        <w:keepLines w:val="0"/>
        <w:keepNext w:val="0"/>
        <w:pageBreakBefore w:val="0"/>
        <w:spacing w:beforeAutospacing="0" w:afterAutospacing="0"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pStyle w:val="740"/>
        <w:ind w:firstLine="482"/>
        <w:jc w:val="both"/>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740"/>
        <w:ind w:firstLine="482"/>
        <w:jc w:val="both"/>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740"/>
        <w:ind w:firstLine="482"/>
        <w:jc w:val="both"/>
        <w:keepLines w:val="0"/>
        <w:keepNext w:val="0"/>
        <w:pageBreakBefore w:val="0"/>
        <w:spacing w:beforeAutospacing="0" w:afterAutospacing="0" w:line="240" w:lineRule="auto"/>
        <w:widowControl w:val="off"/>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firstLine="482"/>
        <w:jc w:val="both"/>
        <w:keepLines w:val="0"/>
        <w:keepNext w:val="0"/>
        <w:pageBreakBefore w:val="0"/>
        <w:spacing w:beforeAutospacing="0" w:afterAutospacing="0" w:line="240" w:lineRule="auto"/>
        <w:widowControl w:val="off"/>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pStyle w:val="740"/>
        <w:ind w:firstLine="624"/>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ind w:right="1560" w:firstLine="624"/>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outlineLvl w:val="9"/>
      </w:pPr>
      <w:r>
        <w:rPr>
          <w:rFonts w:ascii="仿宋_GB2312" w:eastAsia="仿宋_GB2312" w:cs="仿宋_GB2312"/>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p>
    <w:p>
      <w:pPr>
        <w:pStyle w:val="740"/>
        <w:ind w:right="1560"/>
        <w:jc w:val="both"/>
        <w:spacing w:beforeAutospacing="0" w:afterAutospacing="0" w:line="480" w:lineRule="auto"/>
        <w:tabs>
          <w:tab w:val="left" w:pos="4864" w:leader="none"/>
        </w:tabs>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740"/>
        <w:ind w:right="1560"/>
        <w:jc w:val="both"/>
        <w:spacing w:beforeAutospacing="0" w:afterAutospacing="0" w:line="480" w:lineRule="auto"/>
        <w:tabs>
          <w:tab w:val="left" w:pos="4864" w:leader="none"/>
        </w:tabs>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日  期：</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numPr>
          <w:ilvl w:val="0"/>
          <w:numId w:val="22"/>
        </w:numPr>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p>
      <w:pPr>
        <w:pStyle w:val="740"/>
        <w:numPr>
          <w:ilvl w:val="0"/>
          <w:numId w:val="0"/>
        </w:numPr>
        <w:jc w:val="both"/>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r>
      <w:r/>
    </w:p>
    <w:p>
      <w:pPr>
        <w:pStyle w:val="740"/>
        <w:numPr>
          <w:ilvl w:val="0"/>
          <w:numId w:val="0"/>
        </w:numPr>
        <w:jc w:val="center"/>
        <w:spacing w:beforeAutospacing="0" w:afterAutospacing="0" w:line="0" w:lineRule="atLeast"/>
        <w:rPr>
          <w:rFonts w:hint="eastAsia" w:ascii="黑体" w:hAnsi="宋体" w:eastAsia="黑体" w:cs="黑体"/>
          <w:b/>
          <w:color w:val="000000" w:themeColor="text1"/>
          <w:sz w:val="32"/>
          <w:szCs w:val="32"/>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盐城市第一人民医院病历及病案首页质控系统采购项目（二次）</w:t>
      </w:r>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w:t>
      </w:r>
      <w:r/>
    </w:p>
    <w:p>
      <w:pPr>
        <w:pStyle w:val="740"/>
        <w:numPr>
          <w:ilvl w:val="0"/>
          <w:numId w:val="0"/>
        </w:numPr>
        <w:jc w:val="both"/>
        <w:spacing w:beforeAutospacing="0" w:afterAutospacing="0" w:line="0" w:lineRule="atLeast"/>
        <w:rPr>
          <w:rFonts w:hint="default" w:ascii="宋体" w:hAnsi="宋体" w:eastAsia="宋体" w:cs="宋体"/>
          <w:color w:val="000000" w:themeColor="text1"/>
          <w:highlight w:val="none"/>
          <w:lang w:val="en-US" w:eastAsia="zh-CN"/>
          <w14:textFill>
            <w14:solidFill>
              <w14:schemeClr w14:val="tx1"/>
            </w14:solidFill>
          </w14:textFill>
        </w:rPr>
        <w:outlineLvl w:val="9"/>
      </w:pPr>
      <w:r>
        <w:rPr>
          <w:rFonts w:hint="default" w:ascii="宋体" w:hAnsi="宋体" w:eastAsia="宋体" w:cs="宋体"/>
          <w:color w:val="000000" w:themeColor="text1"/>
          <w:highlight w:val="none"/>
          <w:lang w:val="en-US" w:eastAsia="zh-CN"/>
          <w14:textFill>
            <w14:solidFill>
              <w14:schemeClr w14:val="tx1"/>
            </w14:solidFill>
          </w14:textFill>
        </w:rPr>
      </w:r>
      <w:r/>
    </w:p>
    <w:tbl>
      <w:tblPr>
        <w:tblStyle w:val="738"/>
        <w:tblW w:w="9480" w:type="dxa"/>
        <w:tblCellSpacing w:w="0" w:type="dxa"/>
        <w:tblInd w:w="-761" w:type="dxa"/>
        <w:tblLayout w:type="fixed"/>
        <w:tblCellMar>
          <w:left w:w="108" w:type="dxa"/>
          <w:top w:w="0" w:type="dxa"/>
          <w:right w:w="108" w:type="dxa"/>
          <w:bottom w:w="0" w:type="dxa"/>
        </w:tblCellMar>
        <w:tblLook w:val="04A0" w:firstRow="1" w:lastRow="0" w:firstColumn="1" w:lastColumn="0" w:noHBand="0" w:noVBand="1"/>
      </w:tblPr>
      <w:tblGrid>
        <w:gridCol w:w="870"/>
        <w:gridCol w:w="1515"/>
        <w:gridCol w:w="833"/>
        <w:gridCol w:w="1298"/>
        <w:gridCol w:w="746"/>
        <w:gridCol w:w="918"/>
        <w:gridCol w:w="696"/>
        <w:gridCol w:w="1261"/>
        <w:gridCol w:w="1343"/>
      </w:tblGrid>
      <w:tr>
        <w:trPr>
          <w:tblCellSpacing w:w="0" w:type="dxa"/>
          <w:trHeight w:val="679"/>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w:t>
            </w:r>
            <w:r/>
          </w:p>
        </w:tc>
      </w:tr>
      <w:tr>
        <w:trPr>
          <w:tblCellSpacing w:w="0" w:type="dxa"/>
          <w:trHeight w:val="832"/>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产品</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规格</w:t>
            </w:r>
            <w:r/>
          </w:p>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分项单价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元</w:t>
            </w:r>
            <w:r>
              <w:rPr>
                <w:rFonts w:hint="eastAsia" w:ascii="宋体" w:hAnsi="宋体" w:eastAsia="宋体" w:cs="宋体"/>
                <w:color w:val="000000" w:themeColor="text1"/>
                <w:highlight w:val="none"/>
                <w:lang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分项总价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元</w:t>
            </w:r>
            <w:r>
              <w:rPr>
                <w:rFonts w:hint="eastAsia" w:ascii="宋体" w:hAnsi="宋体" w:eastAsia="宋体" w:cs="宋体"/>
                <w:color w:val="000000" w:themeColor="text1"/>
                <w:highlight w:val="none"/>
                <w:lang w:eastAsia="zh-CN"/>
                <w14:textFill>
                  <w14:solidFill>
                    <w14:schemeClr w14:val="tx1"/>
                  </w14:solidFill>
                </w14:textFill>
              </w:rPr>
              <w:t xml:space="preserve">）</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rFonts w:hint="default" w:eastAsia="宋体"/>
                <w:color w:val="000000" w:themeColor="text1"/>
                <w:highlight w:val="none"/>
                <w:lang w:val="en-US"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门诊病历质量控制系统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1008"/>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val="en-US"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住院病历质量控制系统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rFonts w:hint="eastAsia" w:eastAsia="宋体"/>
                <w:color w:val="000000" w:themeColor="text1"/>
                <w:highlight w:val="none"/>
                <w:lang w:val="en-US"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病案首页质量控制系统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default"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rFonts w:hint="default" w:eastAsia="宋体"/>
                <w:color w:val="000000" w:themeColor="text1"/>
                <w:highlight w:val="none"/>
                <w:lang w:val="en-US"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罕见病风险预警模块</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default"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rFonts w:hint="default" w:eastAsia="宋体"/>
                <w:color w:val="000000" w:themeColor="text1"/>
                <w:highlight w:val="none"/>
                <w:lang w:val="en-US"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信息技术应用创新</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default"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center"/>
              <w:spacing w:beforeAutospacing="0" w:afterAutospacing="0" w:line="0" w:lineRule="atLeast"/>
              <w:rPr>
                <w:rFonts w:hint="default" w:eastAsia="宋体"/>
                <w:color w:val="000000" w:themeColor="text1"/>
                <w:highlight w:val="none"/>
                <w:lang w:val="en-US"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AI模型应用</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rFonts w:hint="default" w:cs="Times New Roman" w:asciiTheme="minorHAnsi" w:hAnsiTheme="minorHAnsi" w:eastAsiaTheme="minorEastAsia"/>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both"/>
              <w:spacing w:beforeAutospacing="0" w:afterAutospacing="0" w:line="0" w:lineRule="atLeast"/>
              <w:rPr>
                <w:rFonts w:hint="default" w:cs="Times New Roman" w:asciiTheme="minorHAnsi" w:hAnsiTheme="minorHAnsi" w:eastAsiaTheme="minorEastAsia"/>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0"/>
              <w:jc w:val="center"/>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line="0" w:lineRule="atLeas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813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740"/>
              <w:jc w:val="both"/>
              <w:spacing w:beforeAutospacing="0" w:afterAutospacing="0"/>
              <w:rPr>
                <w:rFonts w:hint="default"/>
                <w:color w:val="000000" w:themeColor="text1"/>
                <w:highlight w:val="none"/>
                <w:lang w:val="en-US"/>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bl>
    <w:p>
      <w:pPr>
        <w:pStyle w:val="740"/>
        <w:jc w:val="both"/>
        <w:spacing w:beforeAutospacing="0" w:afterAutospacing="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备注：</w:t>
      </w:r>
      <w:r/>
    </w:p>
    <w:p>
      <w:pPr>
        <w:pStyle w:val="740"/>
        <w:jc w:val="both"/>
        <w:spacing w:beforeAutospacing="0" w:afterAutospacing="0"/>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40"/>
        <w:jc w:val="both"/>
        <w:spacing w:beforeAutospacing="0" w:afterAutospacing="0"/>
        <w:rPr>
          <w:color w:val="000000" w:themeColor="text1"/>
          <w:highlight w:val="none"/>
          <w:shd w:val="clear" w:color="auto" w:fill="auto"/>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ind w:firstLine="40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left="4620" w:firstLine="480"/>
        <w:spacing w:line="520" w:lineRule="exact"/>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日 期：</w:t>
      </w:r>
      <w:r/>
    </w:p>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highlight w:val="none"/>
          <w14:textFill>
            <w14:solidFill>
              <w14:schemeClr w14:val="tx1"/>
            </w14:solidFill>
          </w14:textFill>
        </w:rPr>
        <w:t xml:space="preserve">、技术要求响应及偏离表</w:t>
      </w:r>
      <w:r/>
    </w:p>
    <w:tbl>
      <w:tblPr>
        <w:tblStyle w:val="7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证明</w:t>
            </w:r>
            <w:r/>
          </w:p>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highlight w:val="none"/>
                <w:u w:val="none"/>
                <w14:textFill>
                  <w14:solidFill>
                    <w14:schemeClr w14:val="tx1"/>
                  </w14:solidFill>
                </w14:textFill>
              </w:rPr>
              <w:outlineLvl w:val="9"/>
            </w:pPr>
            <w:r>
              <w:rPr>
                <w:rFonts w:hint="eastAsia" w:ascii="宋体" w:hAnsi="宋体" w:eastAsia="宋体" w:cs="宋体"/>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门诊医生端智能辅助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highlight w:val="none"/>
                <w:u w:val="none"/>
                <w14:textFill>
                  <w14:solidFill>
                    <w14:schemeClr w14:val="tx1"/>
                  </w14:solidFill>
                </w14:textFill>
              </w:rPr>
              <w:outlineLvl w:val="9"/>
            </w:pPr>
            <w:r>
              <w:rPr>
                <w:rFonts w:hint="eastAsia" w:ascii="宋体" w:hAnsi="宋体" w:eastAsia="宋体" w:cs="宋体"/>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highlight w:val="none"/>
                <w:u w:val="none"/>
                <w14:textFill>
                  <w14:solidFill>
                    <w14:schemeClr w14:val="tx1"/>
                  </w14:solidFill>
                </w14:textFill>
              </w:rPr>
              <w:outlineLvl w:val="9"/>
            </w:pPr>
            <w:r>
              <w:rPr>
                <w:rFonts w:hint="eastAsia" w:ascii="宋体" w:hAnsi="宋体" w:eastAsia="宋体" w:cs="宋体"/>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highlight w:val="none"/>
                <w:u w:val="none"/>
                <w14:textFill>
                  <w14:solidFill>
                    <w14:schemeClr w14:val="tx1"/>
                  </w14:solidFill>
                </w14:textFill>
              </w:rPr>
              <w:outlineLvl w:val="9"/>
            </w:pPr>
            <w:r>
              <w:rPr>
                <w:rFonts w:hint="eastAsia" w:ascii="宋体" w:hAnsi="宋体" w:eastAsia="宋体" w:cs="宋体"/>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rPr>
                <w:rFonts w:hint="eastAsia" w:eastAsia="宋体"/>
                <w:i w:val="0"/>
                <w:iCs w:val="0"/>
                <w:color w:val="000000" w:themeColor="text1"/>
                <w:highlight w:val="none"/>
                <w:u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实时提醒</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当医生在门诊电子病历系统编辑病历点击保存，即刻以插件形式提供实时质控缺陷提醒。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rPr>
                <w:rFonts w:hint="eastAsia" w:eastAsia="宋体"/>
                <w:i w:val="0"/>
                <w:iCs w:val="0"/>
                <w:color w:val="000000" w:themeColor="text1"/>
                <w:highlight w:val="none"/>
                <w:u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病历评分提醒</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可以根据配置的评分表展示门诊病历分数与等级，支持点击分数查看详细的评分表。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rPr>
                <w:rFonts w:hint="eastAsia" w:eastAsia="宋体"/>
                <w:i w:val="0"/>
                <w:iCs w:val="0"/>
                <w:color w:val="000000" w:themeColor="text1"/>
                <w:highlight w:val="none"/>
                <w:u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质控缺陷提醒</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支持实时展示质控缺陷问题，包括缺陷问题质控点名称、质控类型（机器/人工）、备注、扣分；</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可对系统质控情况及人工质控的批注进行申诉。</w:t>
            </w:r>
            <w:r/>
          </w:p>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可根据不同质控点等级展示不同提示图标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门诊病历审核端功能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病历查询</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条件查询：支持按日期、科室、医生、病历等级、病历得分、患者类型、单项否决等条件查询病历列表；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精准查询：支持按患者姓名、就诊号等对病历进行精准搜索；</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病历详情查看：支持查看病历详情，可按文书列表、评分表维度重点查看病历质控详情。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人工审核</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质控缺陷总览：系统支持门诊管理端查看病历AI审核结果，包括：病历详情、病历质控问题数量分布、质控结果（问题缺陷、备注、质控类型、反馈、状态、操作）等维度进行结果展示，并支持二次人工审核。</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病历及诊疗资料360浏览：支持在审核过程中随时浏览患者本次就诊的360维度信息，应包括：患者基本信息、门诊病历、医嘱/处方、检验报告、检查报告、诊断记录等相关信息。</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缺陷定位：系统可展示出选中病历文书的所有缺陷详情，支持点击缺陷条目后，跳转至病历文书的原文位置，并且以不同背景颜色提示。</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质控结果人工修改：系统支持对AI质控结果进行修改，如：通过、编辑、新增或删除质控条目等。</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科室质量分析</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p>
          <w:p>
            <w:pPr>
              <w:pStyle w:val="740"/>
              <w:jc w:val="left"/>
              <w:spacing w:beforeAutospacing="0" w:afterAutospacing="0"/>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支持对全院各门诊科室病历质量情况进行统计分析，包括门诊患者数、问题数、修正问题数、科室质量情况分布等。</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医生质量分析</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p>
          <w:p>
            <w:pPr>
              <w:pStyle w:val="740"/>
              <w:jc w:val="left"/>
              <w:spacing w:beforeAutospacing="0" w:afterAutospacing="0"/>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支持对全院各门诊医生病历质量情况进行统计分析，包括门诊患者数、问题数、修正问题数、门诊医生质量情况分布等。</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问题分析</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支持查看门诊病历的缺陷问题明细列表，分析全院缺陷问题，包括各缺陷问题的质控患者数汇总、质控失败患者数汇总、质控修正患者数汇总、质控患者修正率汇总、质控点等级。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质控点维护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质控点列表</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支持在质控点查询页面查看每条质控点的质控逻辑、质控点状态。</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质控点管理</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：支持按质控点名称、质控逻辑、类型、状态、提醒级别进行质控点的查询。</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支持对质控点的生效状态进行开启/关闭。</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支持质控点级别的自定义配置，支持3级配置，3级为最高级别。</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用户管理提供用户使用系统的授权控制。</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支持用户功能权限的配置管理。</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支持用户数据权限范围的授权管理。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门诊病历形式质控点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形式质控点覆盖</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系统应覆盖门诊病历、门诊复诊病历、门诊补充续打病历等内容的书写一致性、完整性、合规性。如：</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门诊病历主诉完整性质检；</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门诊病历门诊诊断完整性质检；</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门诊复诊病历-既往史填写规范性质检；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4、门诊复诊病历-体格检查填写规范性质检。</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门诊病历内涵质控点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内涵质控点覆盖</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系统通过自然语言处理智能分析病历文书、医嘱/处方、检验检查结果等多维度病历信息，实现门诊病历内涵的全覆盖，包括内涵一致性、诊疗过程合理性、文书书写缺陷、客观逻辑一致性。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文书书写缺陷质控点</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系统可检查各病历文书的记录内容是否存在缺陷；如：</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病历中缺少相应诊断依据；</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门诊手术外伤史具体名称未记录；</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门诊初诊患者，主诉中缺失主要症状；</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门诊病历药品用法书写不规范（是否有书写用法、剂量等描述）。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1359"/>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客观逻辑一致性质控点</w:t>
            </w:r>
            <w:r>
              <w:rPr>
                <w:rFonts w:hint="eastAsia" w:ascii="宋体" w:hAnsi="宋体" w:eastAsia="宋体" w:cs="宋体"/>
                <w:b w:val="0"/>
                <w:bCs w:val="0"/>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t xml:space="preserve">系统可检查全病历中记录的内容是否符合客观逻辑一致性。如：患者生命体征数值不合理。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住院医生端智能辅助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实时提醒</w:t>
            </w:r>
            <w: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当医生在电子病历系统编辑病历点击保存，即刻以插件形式提供实时质控提醒。无需进入单独的病历质控程序就可查看实时质控内容。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小图标提醒</w:t>
            </w:r>
            <w: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实时展示病历问题数，点击小图标可以打开浮窗查看更详细的质控结果信息。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浮窗提醒</w:t>
            </w:r>
            <w: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可以根据配置的评分表展示病历分数与等级，支持点击分数根据医生权限查看详细的评分表信息。</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t xml:space="preserve">展示问题汇总数量；分类展示各个文书的问题数量，至少包含：入院记录、首次病程记录、病程记录、谈话记录、手术管理、出院记录等模块。</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t xml:space="preserve">可展示登录医生的待反馈问题总数、人工评价单总数；点击可查看详细的列表。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质控明细</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：1、评分表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（1）可直观展示当前病历的病历等级（甲/乙/丙）、病历得分、运行病历评分表/总体病历评分表及扣分详情；</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（2）可根据登录his的医生账号来判定是否具有审核权限；</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1）有权限：可以在提醒端进行评分表明细查看与问题审核，进行人工评分；</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2）无权限：可查看整张表的打分情况与扣分理由</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2、质控点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（1）可根据文书分类展示，展示质控点名称、质控类型（机器/人工）、备注、扣分；</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单项否决质控点重点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、待反馈问题列表：支持查看医生权限下的所有待反馈问题数量及列表，包括人工质控待反馈列表、机器质控待反馈列表、待质控员确定列表、已确定的问题列表明细，并支持下钻。</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住院病历审核端功能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病历查询</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：1、支持运行病历/终末病历查询，并支持以患者列表、问题列表多维度展示。</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（1）条件查询：支持按日期、科室、病历特征、质控文书、质控点标签、质控点类型、标签等条件查询运行病历/终末病历患者列表;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（2）精准查询：支持按病历号、病案号、患者姓名等对病历进行精准搜索。</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支持对病历列表的标题展示列是否展示、列宽宽度进行自定义配置，展示列包括不仅限于待质控员回复、待医生反馈、机器现存问题、质控医生、病历等级、病历得分、现存问题、质控状态、标签、病区、医疗组、主治医生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（6）支持病历各文书时效性快速查看，包括文书完成状态、起始时间、截止时间、剩余时间、完成时间等，并对超时病历的“剩余时间”栏显示数据进行标红处理。</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2、支持病历查看：</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（1）支持以不同颜色区分病历质控状态及问题数量，红色圆圈显示待质控员回复病历及问题数量、橙色圆圈显示待医生反馈病历及问题数量、绿色圆圈显示病历机器质控现存问题数量。</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（2）支持对病历进行下钻，可查看病历质控详情，可按文书列表、评分表、质控闭环多个维度展示；</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（3）文书列表：文书列表包括不仅限于：入院记录、病程记录、手术记录、出院/死亡记录、谈话记录、医嘱单、检验报告、检查报告、生命体征、病理报告、诊断记录。</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（4）评分表：支持根据医院配置的评分表内容，进行评分表展现。</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质控问题闭环：支持查看每个缺陷问题项目闭环流程，对机器/人工发现问题时间，是否进行修改与反馈，人工是否进行质控和确认均可进行留痕查看，并对整本病历的质控提交与审核等各个节点有时间轴记录时间轴。</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病历评价-任务管理</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：1、质控任务创建</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（1）任务基本信息维护：支持对新建的质控任务基本信息维护。</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）分配质控病历：支持将抽取的病历，按科室分配给不同的质控员。</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2、查看质控任务</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（1）支持查看病历质控任务的病历总数，选中病历数，质控抽取率；</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（2）支持查看质控任务中各质控员的质控病历列表，以及时间段内未抽查的所有病历列表，方便对未选择的病历进行人工分配。</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、查看质控项目及病历</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质控任务项目开始后，质控管理人员可随时查看病历审核任务的进度、剩余时间、病历详情，并以不同颜色对剩余时间进行预警</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、质控任务列表生成并下载</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支持一键生成未完成、已完成、已关闭、全部质控任务的下载文件并下载。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病历评价-任务执行</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质控人员登录系统，可查看到分配给质控员的所有质控任务列表，包括质控任务名称、抽取类型、质控病历时间、病历总数、质控级别、质控负责人、进度、剩余时间（天）、创建日期、创建人、状态、操作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支持以不同颜色对剩余时间进行预警，如剩余时间小于1天，则橙色提醒；剩余时间小于0（延期），则红色提醒；</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支持查看每份病历的详细病历质控详情，并在线进行人工病历审核。</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人工审核</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：1、质控缺陷总览：</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在质控员选择一份病历进行人工审核时，系统智能提示当前病历的各文书的缺陷问题数量，支持根据质控员查看的文书不同展示当前文书下的所有问题缺陷、备注问题缺陷原因、扣分、质控类型（机器/人工）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2、人工质控与结果确认：</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质控人员根据系统的质控结果对病历的缺陷进行人工确认，如果认为此缺陷对病历质量影响不大，可以确认完成；如果认为此缺陷要求医生修改，可点击“回复”把修改建议反馈给临床医生，且质控类型立马由机器转变成人工。</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针对质控员建议医生修改的缺陷问题，系统需支持在缺陷问题右上角进行不同颜色展示，方便质控员根据颜色快速定位到医生对缺陷建议的反馈情况，并对反馈结果进行确认。如：橙色显示质控员提交或回复后，医生暂时没有反馈；红色显示医生申诉后，质控员没做任何处理。</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、病历评分表：</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（1）系统根据医院评分表的配置及质控点关联，自动对病历进行评分，质控员可以进行人工评分。</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（2）支持根据评分项目导航快速定位不同评分项目，并对扣分项目进行标红处理，点击可查看具体扣分点、扣分结果、扣分理由，方便质控员对扣分情况进行确认/调整。</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（3）支持通过添加/删除缺陷问题进行人工干预评分，也支持通过人工修改该评估项目的扣分结果调整病历总体得分。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b/>
                <w:bCs/>
                <w:i w:val="0"/>
                <w:iCs w:val="0"/>
                <w:color w:val="000000" w:themeColor="text1"/>
                <w:highlight w:val="none"/>
                <w:u w:val="none"/>
                <w:lang w:val="en-US" w:eastAsia="zh-CN"/>
                <w14:textFill>
                  <w14:solidFill>
                    <w14:schemeClr w14:val="tx1"/>
                  </w14:solidFill>
                </w14:textFill>
              </w:rPr>
              <w:outlineLvl w:val="9"/>
            </w:pPr>
            <w:r>
              <w:rPr>
                <w:rFonts w:hint="default" w:eastAsia="宋体"/>
                <w:b/>
                <w:bCs/>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统计与分析端功能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工作台</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：我创建的评价任务：支持查看我创建的未完成任务列表及任务剩余天数，并以柱状图展示各质控员未完成任务的情况。</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待我执行的任务：支持查看我未完成的任务列表、运行待评价的任务列表、终末待评价的任务列表，可下钻到详细的病历列表及病历详情。</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我的运行/终末病历质控：支持查看在院/出院的病历数、关注的重点病历、重点问题列表，并支持自定义配置关注的重点病历、重点问题列表。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自定义配置工作台：支持对工作台展示的内容进行自定义维护。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整体分析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：1、在院监测</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（1）支持查看当前在院病历的在院病历数、问题病历数、问题总数、平均问题数、病历平均分，并支持下钻到当前病历数的详细病历列表；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投标人需根据项目需求提供的演示内容制作演示视频文件。</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对全院在院病例的病历质控情况进行实时监测，以柱状图、折线图、饼图、列表等直观展示在院病历质量、质控管理情况，包括科室问题病历分布、病历等级、在院问题占比TOP10、及时性完成情况、问题类型分布、及时性问题排名、问题文书排名、病历质控率趋势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2、出院分析</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（1）支持按“今年、去年、本季、上季、本月、上月”快捷按钮或者“年度、季度、月份”维度自定义对病历的质控情况进行多维度统计分析。</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（2）支持查看当前医院的病历总数、问题病历数、病历平均分、平均问题数，且需包括各指标的环比、同比（年）；</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查看当前医院的病历等级、病历质量、病历问题、问题修正率、病历质控等情况，并以折线图、饼图、列表等形式直观展示，包括不仅限于病历级别分布、病历质量趋势分析、科室平均问题数排名、病历问题TOP10、及时性问题TOP5、质控点类型分布、问题修正率、质控率占比、质控管理情况等。</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运行质控分析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：支持按年度、季度、月、自定义时间对运行病历质控情况进行可视化、多维度统计分析展示，满足医院质控管理者快速了解全院运行病历质量情况。包括：</w:t>
            </w:r>
            <w:r/>
          </w:p>
          <w:p>
            <w:pPr>
              <w:pStyle w:val="740"/>
              <w:numPr>
                <w:ilvl w:val="0"/>
                <w:numId w:val="23"/>
              </w:numPr>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评分表分析：支持以表格的形式，对医院各科室/医疗组/医生的运行病历评分情况进行统计分析，包括病历数、平均分、问题数、平均问题数、人工平均问题数、机器平均问题数；</w:t>
            </w:r>
            <w:r/>
          </w:p>
          <w:p>
            <w:pPr>
              <w:pStyle w:val="740"/>
              <w:numPr>
                <w:ilvl w:val="0"/>
                <w:numId w:val="0"/>
              </w:numPr>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3、缺陷责任分析：支持按缺陷科室、缺陷医生维度查看全院运行病历缺陷问题情况及问题修改情况，包括触发问题数、现场问题数、现存问题率、修正问题数、问题修正率。</w:t>
            </w:r>
            <w:r/>
          </w:p>
          <w:p>
            <w:pPr>
              <w:pStyle w:val="740"/>
              <w:numPr>
                <w:ilvl w:val="0"/>
                <w:numId w:val="0"/>
              </w:numPr>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4、工作量分析：支持以图形、表格对机器质控、科室质控、专家质控、医生质控的病历数、质控占比、质控问题数等工作情况进行统计分析。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终末质控分析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：支持按年度、季度、月、自定义时间对终末病历质控情况进行可视化、多维度统计分析展示，满足医院质控管理者快速了解全院终末病历质量情况。包括：</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1、质量分析：</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科室/医疗组/医生质量分析：支持以趋势图、柱状图、表格多种形式展示各科室/医疗组/医生的病历质量情况，包括不仅限于病历数、问题病历数、现存问题数、修正问题数、问题修正率、病历平均分、平均问题数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（2）问题分析：支持查看终末病历的缺陷问题明细列表，点击缺陷问题可下钻到问题分析详情，包括按科室/医疗组/医生展示缺陷问题发生的病历数、失败率、修正病历数、问题修正率。</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2、评分表分析：支持以表格的形式，对各科室/医疗组/医生的总体病历评分情况进行统计分析，包括病历数、病历平均分、甲/乙/丙级病历占比等。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人工抽查分析：支持以趋势图、柱状图、表格多种形式展示医院病历质控评价情况，按科室质控分析、医疗组质控分析、医生质控分析、科室评价分析、医疗组评价分析、医生评价分析进行统计分析，包括病历数、审核病历数、病历质控率等，支持下钻到详细病历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4、缺陷责任分析：支持按缺陷科室、缺陷医生维度查看全院终末病历缺陷问题情况及问题修改情况，包括触发问题数、现场问题数、现存问题率、修正问题数、问题修正率。</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5、工作量分析：支持以图形、表格对机器质控、科室质控、专家质控、医生质控的病历数、质控占比、质控问题数等工作情况进行统计分析。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b/>
                <w:bCs/>
                <w:i w:val="0"/>
                <w:iCs w:val="0"/>
                <w:color w:val="000000" w:themeColor="text1"/>
                <w:highlight w:val="none"/>
                <w:u w:val="none"/>
                <w:lang w:val="en-US" w:eastAsia="zh-CN"/>
                <w14:textFill>
                  <w14:solidFill>
                    <w14:schemeClr w14:val="tx1"/>
                  </w14:solidFill>
                </w14:textFill>
              </w:rPr>
              <w:outlineLvl w:val="9"/>
            </w:pPr>
            <w:r>
              <w:rPr>
                <w:rFonts w:hint="default" w:eastAsia="宋体"/>
                <w:b/>
                <w:bCs/>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b/>
                <w:bCs/>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配置引擎</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质控点管理</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1、质控点查看：支持查看医院所有质控点，包括质控点名称、质控逻辑、质控点标签、质控类型、专科类型、提醒级别、状态、是否关联评分表等；</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评分表配置</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：支持对总体病历评分表、运行病历评分表进行自定义配置，如开启/关闭、是否在提醒端展示；至少包含：江苏省住院病历质量评定标准（2025版）内容。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系统需内置多版本评分表模板，方便医院在模板基础上快速自定义编辑修改。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新增、修改、删除具体评分项，评分项需包括：病历类型、项目分值、评分标准、评分方法、分值设置、扣分逻辑、单项缺陷设置及关联质控点等模块。支持单项否决、单项否决乙级、单项否决丙级的配置；并能满足单项扣分与累计扣分两种扣分逻辑，可编辑评分表名称与等级设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default"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用户管理</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系统应支持管理员设置不同角色权限，不同权限的角色在使用时功能模块和数据不一致。</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功能权限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系统应支持管理员对角色的功能模块权限进行自定义配置管理。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数据权限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系统应支持管理员对角色数据查看权限的范围进行自定义配置管理。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质控级别</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根据每家医院情况设置多个质控级别，可自定义每个级别的级别名称、简称、级别等级，病历进行人工质控时自动按照级别从低到高进行流转。高级别可以修改低级别的质控结果；同级别只能查看其他同级别质控结果；低级别无法查看高级别质控结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质控组维护</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系统应支持对质控组的质控级别、成员、科室进行自定义配置管理。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住院病历形式质控点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35</w:t>
            </w:r>
            <w:r/>
          </w:p>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质控点覆盖</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病历文书包括入院记录、首次病程记录、手术记录、会诊记录、输血记录、转科记录等。</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形式质控内容包括病历文书记录的完整性、合理性、一致性、时效性。</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（所有质控点具体实现效果与国家政策变动、医院数据质量、临床工作需要相关，实现情况有所差异）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完整性质控点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：1入院记录专科检查完整性质检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2入院记录初步诊断完整性质检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3入院记录婚育史年龄完整性质检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4入院记录婚育史子女数量完整性质检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5入院记录家族史父母情况完整性质检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6入院记录家族史兄弟姐妹情况完整性质检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7入院记录完整性质检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8入院记录无辅助检查记录（注明外院机构名称及日期）</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9入院记录体格检查完整性质检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10首次病程记录病例特点完整性质检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11首次病程记录诊断依据完整性质检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12首次病程记录鉴别诊断完整性质检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13首次病程记录诊疗计划完整性质检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14入院记录月经史完整性质检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15手术记录麻醉方式完整性质检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16手术记录手术经过完整性质检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17手术记录完整性质检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18手术前主刀医生查房记录完整性校验</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19手术知情同意书完整性质检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20输血记录输血反应完整性质检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21术后首次病程记录麻醉方式完整性质检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22术后首次病程记录手术方式完整性质检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23术后首次病程记录手术经过完整性质检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24术后首次病程记录术后处理措施完整性质检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25术后首次病程记录术后诊断完整性质检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26术后首次病程记录完整性质检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27术前讨论记录完整性质检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28术前讨论手术指征完整性质检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29术前小结术前诊断完整性质检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30死亡病例讨论记录病历摘要完整性质检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31死亡病例讨论记录死亡时间完整性质检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32死亡病例讨论记录死亡原因完整性质检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33死亡病例讨论记录死亡诊断完整性质检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34死亡病例讨论记录讨论结果完整性质检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35死亡病例讨论记录治疗及抢救经过完整性质检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36死亡记录完整性质检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37疑难病例讨论记录病历摘要完整性质检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38疑难病例讨论记录讨论记录完整性质检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39病危病人日常病程记录填写完整性质检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40出院记录完整性质检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41出院记录中出院医嘱相关描述完整性质检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42出院医嘱完整性质检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43出院记录诊疗经过完整性质检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44会诊记录完整性质检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45麻醉记录完整性质检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46抢救记录完整性质检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47危重病例患者，科主任或主（副主）任医师查房记录完整性质检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48死亡病例的抢救记录完整性质检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49死亡病例讨论记录完整性质检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50疑难病例患者，科主任或主（副主）任医师查房记录完整性质检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输血治疗同意书完整性质检</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时效性质控点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：1普通病人日常病程记录填写及时性质检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2术前小结及时性质检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3术后首次病程记录及时性质检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4手术记录填写及时性质检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5手术后日常病程记录填写及时性质检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6病危病人日常病程记录填写及时性质检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7病重病人日常病程记录填写及时性质检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8出院记录及时性质检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9入院记录书写及时性质检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10首次病程记录及时性质检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11阶段小结完成及时性质检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12入院后首次主治医师查房记录及时性质检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13死亡记录及时性质检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14主任医师|副主任医师日常查房记录时效性质检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15抢救记录时效性质控</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16入院三天内的病程记录填写及时性质检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17转科后日常病程记录填写及时性质检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18术后主刀医生病程记录及时性质检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19死亡病例讨论记录及时性质检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20首次上级医师查房记录及时性质检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21转科后转入记录完成及时性质检</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术后三天内无上级医师或术者查房记录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住院病历内涵质控点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质控点覆盖</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内涵质控点包括病历的完整性质控点、合理性质控点、一致性质控点、雷同性质控点。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内涵完整性质控点：1入院记录主诉时间不完整；</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2出院记录中出院带药信息不完整</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3入院记录体格检查中缺少固定查体项目（头颈部、胸、腹、四肢、神经系统）；</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5入院记录中过敏史记录内容遗漏</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6入院记录中传染病记录内容遗漏</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7入院记录现病史对一般情况描述有遗漏</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8入院记录中手术史记录内容遗漏</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9入院记录个人史缺少必要的描述</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10入院记录既往史中，输血史未描述</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11入院记录手术外伤史记录缺少具体内容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12入院记录体格检查中缺少数值描述</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13首次病程诊疗计划中缺少填写护理等级</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14术前讨论的讨论意见未在术前小结中记录</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15死亡记录中未写明死亡原因</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16术后首次病程记录缺少病理家属过目及送检情况</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17术后首次病程无术后特别观察、注意事项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18有创操作记录中无操作后体征描述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内涵一致性质控点：1、手术记录和术后首次病程记录的出血量不一致；</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2、出院记录中出院医嘱和医嘱系统中出院带药不一致；</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3、入院记录病史陈述者与患者意识状态矛盾；</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4、手术记录和手麻系统的手术时间不一致</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5、入院记录主诉与现病史中，症状描述的时间不一致</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6、入院记录中主诉和现病史描述关联较少</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诊疗过程合理性质控点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CT/MRI检查结果需记录在病程记录中；</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住院患者应用抗菌药物后需记录在病程记录中；</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抢救记录无对应抢救医嘱；</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缺少出院前上级医师同意出院的记录；</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抢救记录中描述的关键时间节点未精确到分；</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抢救记录中未记录关键时间节点；</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术中病理检查结果未在手术记录中体现；</w:t>
            </w:r>
            <w:r/>
          </w:p>
          <w:p>
            <w:pPr>
              <w:numPr>
                <w:ilvl w:val="0"/>
                <w:numId w:val="0"/>
              </w:numPr>
              <w:ind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常规病理检查结果未在日常病程记录中体现；</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t xml:space="preserve">死亡记录中死亡时间不具体。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专科质控质控点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：系统支持泌尿外科、肾内科、产科、肿瘤相关的专科质控点。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1慢性肾病5期患者，入院记录中专科查体结果缺失</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2IgA肾病患者，专科检查中缺失IgA肾病相关体征</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患者接受膀胱肿瘤相关手术，现病史中典型症状记录缺失</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入院第一诊断为结直肠恶性肿瘤，辅助检查中需要书写结肠镜检查结果</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社区获得性肺炎患者-首次病程记录辅助检查缺少血气分析或血氧饱和度检测</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社区获得性肺炎患者-入院记录既往史中缺少吸烟史具体内容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社区获得性肺炎患者-入院记录既往史中未明确疫苗接种史具体内容</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8</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社区获得性肺炎患者-入院记录现病史中缺少胸部影像学检查结果</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哮喘急性发作患者-入院记录初步诊断中缺少病情严重程度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客观逻辑一致性质控点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：1男性患者不应存在月经史描述；</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2女性患者查体与性别不符</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3男性患者查体与性别不符</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入院记录中患者和联系人电话不应一致</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numPr>
                <w:ilvl w:val="0"/>
                <w:numId w:val="0"/>
              </w:numPr>
              <w:ind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雷同性质控点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病程记录（首次病程/首次查房/日常查房/上级医师查房）高度雷同</w:t>
            </w:r>
            <w:r/>
          </w:p>
          <w:p>
            <w:pPr>
              <w:numPr>
                <w:ilvl w:val="0"/>
                <w:numId w:val="0"/>
              </w:numPr>
              <w:ind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首次病程中病例特点的内容与入院记录现病史存在高度相似情况</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术前讨论简要病情描述和首次病程病历特点高度重合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事前提醒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编码员实时质控</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：1、支持病案室端在编码过程中实时质控，并智能提示，编码员可根据系统提示内容和建议修改病案首页。</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2、支持临床医生端在编码过程中实时质控，并智能提示，编码员可根据系统提示内容和建议修改病案首页。</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3、支持以首页缺陷问题进行提醒，展示质控点名称、备注、机器/人工。</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4、支持查看人工质控结果，对人工质控的问题进行实时反馈。</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5、支持查看所属数据权限下的待反馈病案数量及待反馈问题数量，并查看问题。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病案质控管理端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：1、统计当前出院月份下临床医生端首页质量和编码质量的问题，包括饼状图、柱状图、列表等，可查看数据的趋势走向。</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2、统计当前出院月份下病案室端首页质量和编码质量的问题，包括饼状图、柱状图、列表等，可查看数据的趋势走向。</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病案查询</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：支持多个病案查询页面展示，分别为质控查询、精确查询。并支持按患者、按问题多维度查询病案列表。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质控查询：支持病案首页按出院科室、质控点类型、出院日期、编码员、回复状态、质控医生、首页等级、诊断、诊断类型、手术、首页得分、病案归档状态、病案编码状态、病理特征、标签等条件进行快速查询，可根据数据权限按科室、按病区控制数据查询范围。</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（2）精确查询：支持按病历号、病案号、患者姓名等对病案进行精准查询。</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病案列表的字段展示列进行自定义选择配置，选择项包括不仅限于待质控员回复、待医生反馈、机器现存问题、质控医生、病案等级、病案得分、现存问题、质控状态、标签、病区、医疗组、主治医生、主任医生、住院医生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支持对病案首页标签名称、标签描述进行自定义设置；支持为每份病案首页人工选择维护好的标签进行标注；支持通过标签快速检索病案。</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支持对检索到的病案快速生成患者列表、患者问题列表、患者评分列表，并支持列表的查看、下载。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病案查看</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：支持点击列表中病历号或点击操作列查看按钮对病案进行下钻，可查看病案质控详情，包括文书列表、评分表等；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1、文书列表：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支持查看患者病案缺陷问题详情，以及患者本次住院的360维度信息，应包括：患者病案首页、入院记录、出院/死亡记录、病程记录、医嘱、检验检查结果、谈话记录等相关信息。</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2、评分表：</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支持根据医院配置的评分表内容，进行评分表展现。评分表包括不仅限于评分项目、评分标准、评分方法、扣分结果、扣分理由；</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支持展示病案的得分情况，以及具体的评分明细，并根据评分项目导航快速定位不同评分项目；</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支持对扣分项目进行标红处理，点击可查看具体扣分情况。</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质控人员实时质控</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、质控缺陷总览：</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在质控员选择一份病案首页进行人工审核时，系统智能提示当前病案首页的缺陷问题数量，支持展示所有缺陷问题详情、备注问题缺陷原因、扣分、质控类型（机器/人工）等。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质控员可对质控问题进行备注和修改完成操作。</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3、评分表：</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系统根据医院评分表的配置及质控点关联，自动对病案进行评分，质控员可以进行人工评分。</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支持根据评分项目导航快速定位不同评分项目，并对扣分项目进行标红处理，点击可查看具体扣分点、扣分结果、扣分理由，方便质控员对扣分情况进行确认/调整。</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支持通过添加/删除缺陷问题进行人工干预评分，也支持通过人工修改该评估项目的扣分结果调整病案总体得分。</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4、质控闭环：</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支持查看病案缺陷详细问题，了解每个缺陷问题的状态、医生沟通情况、扣分等，及时了解医生、质控员对现存问题的处理进度及详情。</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病案质量分析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首页质量分析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支持按年度、季度、月份、自定义对全院病案（归档/未归档、编码/未编码）的质控情况进行多维度统计分析。</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系统应支持全院病案首页问题情况在一定时间段内的多维度数据展示，至少应包括：病案首页数、平均分、平均问题数，且需包括各指标的环比、同比（年）；</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系统应支持不同科室/医疗组/编码员病案首页的质量情况进行分析，至少应包括：病案首页问题、平均问题数、平均分、首页等级等质量情况分布。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病案问题分析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：首页问题分析：支持查看病案的缺陷问题明细列表，可按质控点类型、是否单项否决、专科类型等条件搜索，查看病案缺陷问题的质控总数、不通过数、不通过率、修正问题数、修正率等。</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编码问题分析：支持查看病案编码的缺陷问题明细列表，包括病案编码缺陷问题的质控总数、不通过数、不通过率、修正问题数、修正率。</w:t>
            </w:r>
            <w:r/>
          </w:p>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问题分析详情：支持点击缺陷问题下钻到问题分析详情，支持以科室/医疗组/医生展示缺陷问题发生的问题首页数、失败率、修正首页数、问题修正率。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评分表分析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支持以表格的形式，对各科室/医疗组/医生的首页评分情况进行统计分析，包括首页数、首页平均分、优级/良级/可级/差级首页占比、首页平均问题。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首页质量管理分析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支持以柱状图展示各科室/医疗组/编码员/质控员的质控首页情况分布，并以表格的形式展示各科室/医疗组/编码员/质控员的首页数、质控首页数、首页质控率，支持下钻到详细病案列表。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left"/>
              <w:spacing w:beforeAutospacing="0" w:afterAutospacing="0"/>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质控点配置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首页质控点查看</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支持按质控点名称/质控逻辑、质控点类型、专科类型、提醒级别等维度进行检索并查看全院首页相关的质控点。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编码质控点查看</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支持按质控点原文、章节、专业类型、提醒级别等维度检索并查看手术/诊断编码相关的质控点。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质控点维护</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：系统设置支持临床版和病案版的首页质控点及编码质控点的配置，包括质控点的关闭、开启、医生端是否提醒等操作。</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支持对质控点的批量开启和关闭</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支持质控点的质控级别进行配置，支持3级配置（1级：小图标；2级：浮窗；3级：大窗弹出卡控），3级为最高级别。</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b/>
                <w:bCs/>
                <w:i w:val="0"/>
                <w:iCs w:val="0"/>
                <w:color w:val="000000" w:themeColor="text1"/>
                <w:highlight w:val="none"/>
                <w:u w:val="none"/>
                <w:lang w:val="en-US" w:eastAsia="zh-CN"/>
                <w14:textFill>
                  <w14:solidFill>
                    <w14:schemeClr w14:val="tx1"/>
                  </w14:solidFill>
                </w14:textFill>
              </w:rPr>
              <w:outlineLvl w:val="9"/>
            </w:pPr>
            <w:r>
              <w:rPr>
                <w:rFonts w:hint="eastAsia" w:eastAsia="宋体"/>
                <w:b/>
                <w:bCs/>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bCs/>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评分表配置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评分表配置</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：支持对临床版和病案版评分表的自定义配置功能，可对评分表进行启用、提醒端是否提示、病案等级是否提示等操作。</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系统需内置多版本评分表模板，方便医院在模板基础上快速自定义编辑修改。</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支持新增、修改、删除具体评分项，评分项需包括：类型、项目分值、评分标准、评分方法、分值设置、扣分逻辑、单项缺陷设置及关联质控点等模块。支持单项否决、单项否决乙级、单项否决丙级的配置；并能满足单项扣分与累计扣分两种扣分逻辑，可编辑评分表名称与病案等级设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权限配置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用户管理</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系统支持管理员设置不同角色权限，不同权限的角色在使用时功能模块和数据不一致。</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功能权限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系统支持管理员对角色的功能模块权限进行自定义配置管理。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数据权限</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系统支持管理员对角色数据查看权限的范围进行自定义配置管理。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病案首页形式质控点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病案首页数据完整性质控点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：满足国卫办医发〔2016〕24号《国家卫生计生委办公厅关于印发住院病案首页数据填写质量规范（暂行）和住院病案首页数据质量管理与控制指标（2016版）的通知》中病案首页数据质量填写规范的要求。</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可质检首页字段完整性：</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1.病案首页病案号完整性质检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2.病案首页籍贯完整性质检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3.病案首页民族完整性质检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4.病案首页国籍完整性质检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5.病案首页身份证号完整性质检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6.病案首页职业完整性质检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7.病案首页婚姻状况完整性质检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8.病案首页现住址完整性质检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9.病案首页住址电话号码完整性质检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10.病案首页现住址邮编完整性质检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11.病案首页性别完整性质检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12.病案首页户口地址完整性质检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13.病案首页户口地址邮编完整性质检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14.病案首页工作单位及地址完整性质检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15.病案首页单位电话完整性质检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16.病案首页单位邮编完整性质检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17.病案首页联系人姓名完整性质检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18.病案首页关系完整性质检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19.病案首页联系人地址完整性质检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20.病案首页联系人电话号码完整性质检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21.病案首页出生日期完整性质检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22.病案首页年龄完整性质检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23.病案首页患者姓名完整性质检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24.病案首页出生地完整性质检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25.病案首页门诊诊断完整性质检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26.病案首页手术及操作名称完整性质检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27.病案首页血型完整性质检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28.病案首页主任（副主任）医师完整性质检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29.病案首页主治医师完整性质检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30.病案首页住院医师完整性质检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31.病案首页质控医师完整性质检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32.病案首页抢救成功次数完整性质检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33.病案首页抢救次数完整性质检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34.病案首页抢救情况完整性质检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35.病案首页主要诊断编码完整性质检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36.病案首页损伤、中毒的外部因素完整性质检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37.病案首页是否有31天内再住院计划完整性质检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38.病案首页颅脑损伤患者昏迷时间完整性质检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39.病案首页离院方式完整性质检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40.病案首页过敏史完整性质检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41.病案首页完成及时性质检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42.病案首页入院时间完整性质检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43.病案首页入院途径完整性质检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44.病案首页入院科室完整性质检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45.病案首页手术及操作日期完整性质检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46.病案首页转科情况完整性质检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47.病案首页出院时间完整性质检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48.病案首页出院科室完整性质检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49.病案首页医疗付费方式完整性质检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50.病案首页重症监护信息完整性质检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51.病案首页呼吸机使用时间完整性质检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52.病案首页新生儿入院体重完整性质检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53.病案首页新生儿出生体重完整性质检</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首页一致性质控点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：对首页信息的与其他文书或入院信息的一致性进行校验：</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1.病案首页与血型化验的血型一致性质检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2.病案首页与入院信息的联系人姓名一致性质检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3.病案首页与入院信息的联系人地址一致性质检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4.病案首页与入院信息的联系人电话号码一致性质检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5.病案首页与入院信息的籍贯一致性质检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病案首页与入院信息的民族一致性质检</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首页合规性质控点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：1.病案首页联系人关系合规性质检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2.病案首页死亡患者尸检合规性质检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3.病案首页新生儿出生体重合规性质检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4.病案首页住院天数合规性质检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5.病案首页新生儿入院体重合规性质检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6.死亡病例病案首页离院方式合规性质检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死亡患者病案首页是否出院31天再住院计划合规性质检</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诊断合规性质控点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：1.病案首页贫血未明确分度</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2.病案首页电解质紊乱诊断不明确</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3.病案首页心律失常诊断未明确分类</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4.病案首页糖尿病诊断未明确分型</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5.病案首页呼吸衰竭诊断未明确分型、性质</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病案首页高血压诊断未明确分类、分层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病案首页内涵质控点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首页合规性质控点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：对上报数据的合规性进行质量控制，如：</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1.当首页出院诊断ICD10编码中含有S06（颅内损伤）时，入院前颅脑损伤患者昏迷时间不能为空，不需要填写的应为“-”</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2.当首页出院诊断编码中含有S06（颅内损伤）时，入院后颅脑损伤患者昏迷时间不能为空，不需要填写的应为“-”</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3.病案首页现住址邮编合规性质检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4.病案首页住址电话合规性质检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5.病案首页身份证号合规性质检</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病案首页联系人姓名合规性质检</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首页一致性质控点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：对患者基本信息、诊断、手术等信息相互间矛盾的情况进行质量控制</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1.病案首页入院病情为有的诊断与入院记录的入院诊断不一致（入院时病情不明确的情况除外）</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2.病案首页与入院记录过敏药物记录内容不一致</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3.出院记录与病案首页记录的出院日期不一致</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病案首页与入院记录婚姻状态不一致</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主诊断选择合理性质控点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：对病案首页主诊断选择的合理性进行质量控制：</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1.产科主诊断应选择产科并发症或伴随疾病</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选择剖宫产原因作为主诊断</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其他诊断遗漏质控点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：对病案首页其他诊断遗漏的情况进行质控提醒：</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1.RIS报告中提示的疾病未加入病案首页诊断中</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2.既往史在病案首页的遗漏</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3.术后诊断在病案首页的遗漏</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出院诊断在病案首页的遗漏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其他诊断错误质控点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入院记录正在治疗的疾病未列入病案首页其他诊断中：</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病案首页出院诊断中Z37开头的ICD编码(分娩结局)存在重复</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手术操作错误质控点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：1.本次住院期间的手术不应书写为术后状态的诊断</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2.手术入路在病案首页中的错误</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病案首页四级手术分级选择错误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手术操作遗漏质控点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：1.手术记录|术后首次病程|术前小结中的手术/操作在病案首页中的遗漏</w:t>
            </w:r>
            <w:r/>
          </w:p>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手术经过中血管操作在病案首页手术/操作中存在遗漏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eastAsia"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编码质控点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诊断编码质控点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系统应涵盖主诊选择错误、诊断漏编、合并编码、编码冲突、以及编码位置错误等诊断编码质控点。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left"/>
              <w:spacing w:beforeAutospacing="0" w:afterAutospacing="0"/>
              <w:rPr>
                <w:rFonts w:hint="default" w:eastAsia="宋体"/>
                <w:i w:val="0"/>
                <w:iCs w:val="0"/>
                <w:color w:val="000000" w:themeColor="text1"/>
                <w:highlight w:val="none"/>
                <w:u w:val="none"/>
                <w:lang w:val="en-US" w:eastAsia="zh-CN"/>
                <w14:textFill>
                  <w14:solidFill>
                    <w14:schemeClr w14:val="tx1"/>
                  </w14:solidFill>
                </w14:textFill>
              </w:rPr>
              <w:outlineLvl w:val="9"/>
            </w:pPr>
            <w:r>
              <w:rPr>
                <w:rFonts w:hint="eastAsia" w:eastAsia="宋体"/>
                <w:i w:val="0"/>
                <w:iCs w:val="0"/>
                <w:color w:val="000000" w:themeColor="text1"/>
                <w:highlight w:val="none"/>
                <w:u w:val="none"/>
                <w:lang w:val="en-US" w:eastAsia="zh-CN"/>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手术编码质控点</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系统应涵盖另编码遗漏、另编码疑似遗漏、手术省略编码多编、手术编码冲突以及合并编码等不同手术编码质控点。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left"/>
              <w:spacing w:beforeAutospacing="0" w:afterAutospacing="0"/>
              <w:rPr>
                <w:i w:val="0"/>
                <w:iCs w:val="0"/>
                <w:color w:val="000000" w:themeColor="text1"/>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left"/>
              <w:spacing w:beforeAutospacing="0" w:afterAutospacing="0"/>
              <w:rPr>
                <w:bCs w:val="0"/>
                <w:i w:val="0"/>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rPr>
                <w:i w:val="0"/>
                <w:iCs w:val="0"/>
                <w:color w:val="000000" w:themeColor="text1"/>
                <w:highlight w:val="none"/>
                <w:u w:val="none"/>
                <w14:textFill>
                  <w14:solidFill>
                    <w14:schemeClr w14:val="tx1"/>
                  </w14:solidFill>
                </w14:textFill>
              </w:rPr>
            </w:r>
          </w:p>
          <w:p>
            <w:pPr>
              <w:pStyle w:val="740"/>
              <w:jc w:val="left"/>
              <w:spacing w:beforeAutospacing="0" w:afterAutospacing="0"/>
              <w:rPr>
                <w:i w:val="0"/>
                <w:iCs w:val="0"/>
                <w:highlight w:val="none"/>
                <w:u w:val="none"/>
                <w14:textFill>
                  <w14:solidFill>
                    <w14:schemeClr w14:val="tx1"/>
                  </w14:solidFill>
                </w14:textFill>
              </w:rPr>
              <w:outlineLvl w:val="9"/>
            </w:pPr>
            <w:r>
              <w:rPr>
                <w:i w:val="0"/>
                <w:iCs w:val="0"/>
                <w:color w:val="000000" w:themeColor="text1"/>
                <w:highlight w:val="none"/>
                <w:u w:val="none"/>
                <w14:textFill>
                  <w14:solidFill>
                    <w14:schemeClr w14:val="tx1"/>
                  </w14:solidFill>
                </w14:textFill>
              </w:rPr>
            </w:r>
            <w:r/>
          </w:p>
        </w:tc>
      </w:tr>
    </w:tbl>
    <w:p>
      <w:pPr>
        <w:pStyle w:val="740"/>
        <w:jc w:val="left"/>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i w:val="0"/>
          <w:iCs w:val="0"/>
          <w:color w:val="000000" w:themeColor="text1"/>
          <w:highlight w:val="none"/>
          <w:u w:val="none"/>
          <w14:textFill>
            <w14:solidFill>
              <w14:schemeClr w14:val="tx1"/>
            </w14:solidFill>
          </w14:textFill>
        </w:rPr>
        <w:t xml:space="preserve">注：行数不够，可自行添加。</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both"/>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rFonts w:hint="eastAsia" w:ascii="黑体" w:hAnsi="宋体" w:eastAsia="黑体" w:cs="黑体"/>
          <w:b/>
          <w:bCs/>
          <w:sz w:val="32"/>
          <w:szCs w:val="32"/>
          <w:highlight w:val="none"/>
          <w14:textFill>
            <w14:solidFill>
              <w14:schemeClr w14:val="tx1"/>
            </w14:solidFill>
          </w14:textFill>
        </w:rPr>
        <w:outlineLvl w:val="9"/>
      </w:pPr>
      <w:r/>
      <w:bookmarkStart w:id="203" w:name="_Hlt26955054"/>
      <w:r>
        <w:rPr>
          <w:rFonts w:hint="eastAsia" w:ascii="黑体" w:hAnsi="宋体" w:eastAsia="黑体" w:cs="黑体"/>
          <w:b/>
          <w:color w:val="000000" w:themeColor="text1"/>
          <w:sz w:val="32"/>
          <w:szCs w:val="32"/>
          <w:highlight w:val="none"/>
          <w14:textFill>
            <w14:solidFill>
              <w14:schemeClr w14:val="tx1"/>
            </w14:solidFill>
          </w14:textFill>
        </w:rPr>
        <w:t xml:space="preserve">十</w:t>
      </w:r>
      <w:r>
        <w:rPr>
          <w:rFonts w:hint="eastAsia" w:ascii="黑体" w:hAnsi="宋体" w:eastAsia="黑体" w:cs="黑体"/>
          <w:b/>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highlight w:val="none"/>
          <w14:textFill>
            <w14:solidFill>
              <w14:schemeClr w14:val="tx1"/>
            </w14:solidFill>
          </w14:textFill>
        </w:rPr>
        <w:t xml:space="preserve">、商务要求响应及偏离表</w:t>
      </w:r>
      <w:r/>
    </w:p>
    <w:p>
      <w:pPr>
        <w:pStyle w:val="740"/>
        <w:jc w:val="center"/>
        <w:spacing w:beforeAutospacing="0" w:afterAutospacing="0"/>
        <w:rPr>
          <w:highlight w:val="none"/>
          <w14:textFill>
            <w14:solidFill>
              <w14:schemeClr w14:val="tx1"/>
            </w14:solidFill>
          </w14:textFill>
        </w:rPr>
        <w:outlineLvl w:val="9"/>
      </w:pPr>
      <w:r>
        <w:rPr>
          <w:rFonts w:hint="eastAsia" w:ascii="黑体" w:hAnsi="宋体" w:eastAsia="黑体" w:cs="黑体"/>
          <w:b/>
          <w:color w:val="000000" w:themeColor="text1"/>
          <w:sz w:val="32"/>
          <w:szCs w:val="32"/>
          <w:highlight w:val="none"/>
          <w14:textFill>
            <w14:solidFill>
              <w14:schemeClr w14:val="tx1"/>
            </w14:solidFill>
          </w14:textFill>
        </w:rPr>
      </w:r>
      <w:r>
        <w:rPr>
          <w:rFonts w:hint="eastAsia" w:ascii="黑体" w:hAnsi="宋体" w:eastAsia="黑体" w:cs="黑体"/>
          <w:b/>
          <w:color w:val="000000" w:themeColor="text1"/>
          <w:sz w:val="32"/>
          <w:szCs w:val="32"/>
          <w:highlight w:val="none"/>
          <w14:textFill>
            <w14:solidFill>
              <w14:schemeClr w14:val="tx1"/>
            </w14:solidFill>
          </w14:textFill>
        </w:rPr>
      </w:r>
    </w:p>
    <w:tbl>
      <w:tblPr>
        <w:tblStyle w:val="7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bookmarkStart w:id="204" w:name="_Hlt26609391"/>
            <w:r/>
            <w:bookmarkStart w:id="205" w:name="_Hlt24879081"/>
            <w:r/>
            <w:bookmarkStart w:id="206" w:name="_Hlt26671343"/>
            <w:r/>
            <w:bookmarkStart w:id="207" w:name="_Hlt26782999"/>
            <w:r/>
            <w:bookmarkStart w:id="208" w:name="_Hlt26955056"/>
            <w:r/>
            <w:bookmarkStart w:id="209" w:name="_Hlt26955064"/>
            <w:r/>
            <w:bookmarkStart w:id="210" w:name="_Hlt26671372"/>
            <w:r/>
            <w:bookmarkStart w:id="211" w:name="_Hlt26580838"/>
            <w:r>
              <w:rPr>
                <w:rFonts w:hint="eastAsia" w:ascii="宋体" w:hAnsi="宋体" w:eastAsia="宋体" w:cs="宋体"/>
                <w:color w:val="000000" w:themeColor="text1"/>
                <w:highlight w:val="none"/>
                <w14:textFill>
                  <w14:solidFill>
                    <w14:schemeClr w14:val="tx1"/>
                  </w14:solidFill>
                </w14:textFill>
              </w:rPr>
              <w:t xml:space="preserve">序号</w:t>
            </w:r>
            <w:bookmarkEnd w:id="204"/>
            <w:r/>
            <w:bookmarkEnd w:id="205"/>
            <w:r/>
            <w:bookmarkEnd w:id="206"/>
            <w:r/>
            <w:bookmarkEnd w:id="207"/>
            <w:r/>
            <w:bookmarkEnd w:id="208"/>
            <w:r/>
            <w:bookmarkEnd w:id="209"/>
            <w:r/>
            <w:bookmarkEnd w:id="210"/>
            <w:r/>
            <w:bookmarkEnd w:id="21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证明</w:t>
            </w:r>
            <w:r/>
          </w:p>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tc>
      </w:tr>
    </w:tbl>
    <w:p>
      <w:pPr>
        <w:pStyle w:val="740"/>
        <w:jc w:val="both"/>
        <w:spacing w:beforeAutospacing="0" w:afterAutospacing="0"/>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注：行数不够，可自行添加。</w:t>
      </w:r>
      <w:r/>
    </w:p>
    <w:p>
      <w:pPr>
        <w:pStyle w:val="740"/>
        <w:jc w:val="both"/>
        <w:spacing w:beforeAutospacing="0" w:afterAutospacing="0" w:line="48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both"/>
        <w:spacing w:beforeAutospacing="0" w:afterAutospacing="0" w:line="480" w:lineRule="auto"/>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bookmarkStart w:id="212" w:name="_Hlt26609389"/>
      <w:r/>
      <w:bookmarkStart w:id="213" w:name="_格式2__法定代表人授权书"/>
      <w:r/>
      <w:bookmarkStart w:id="214" w:name="_Toc462564146"/>
      <w:r/>
      <w:bookmarkStart w:id="215" w:name="_Hlt26955066"/>
      <w:r/>
      <w:bookmarkStart w:id="216" w:name="_Hlt26671374"/>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highlight w:val="none"/>
          <w14:textFill>
            <w14:solidFill>
              <w14:schemeClr w14:val="tx1"/>
            </w14:solidFill>
          </w14:textFill>
        </w:rPr>
        <w:outlineLvl w:val="9"/>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p>
    <w:p>
      <w:pPr>
        <w:pStyle w:val="740"/>
        <w:jc w:val="center"/>
        <w:spacing w:beforeAutospacing="0" w:afterAutospacing="0"/>
        <w:rPr>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740"/>
        <w:jc w:val="center"/>
        <w:spacing w:beforeAutospacing="0" w:afterAutospacing="0"/>
        <w:rPr>
          <w:i w:val="0"/>
          <w:iCs/>
          <w:color w:val="000000" w:themeColor="text1"/>
          <w:highlight w:val="none"/>
          <w:shd w:val="clear" w:color="auto" w:fill="auto"/>
          <w14:textFill>
            <w14:solidFill>
              <w14:schemeClr w14:val="tx1"/>
            </w14:solidFill>
          </w14:textFill>
        </w:rPr>
        <w:outlineLvl w:val="9"/>
      </w:pPr>
      <w:r>
        <w:rPr>
          <w:rFonts w:hint="eastAsia" w:ascii="黑体" w:hAnsi="宋体" w:eastAsia="黑体" w:cs="黑体"/>
          <w:b/>
          <w:i w:val="0"/>
          <w:iCs/>
          <w:color w:val="000000" w:themeColor="text1"/>
          <w:sz w:val="32"/>
          <w:szCs w:val="32"/>
          <w:highlight w:val="none"/>
          <w:u w:val="single"/>
          <w14:textFill>
            <w14:solidFill>
              <w14:schemeClr w14:val="tx1"/>
            </w14:solidFill>
          </w14:textFill>
        </w:rPr>
        <w:t xml:space="preserve">十</w:t>
      </w:r>
      <w:r>
        <w:rPr>
          <w:rFonts w:hint="eastAsia" w:ascii="黑体" w:hAnsi="宋体" w:eastAsia="黑体" w:cs="黑体"/>
          <w:b/>
          <w:i w:val="0"/>
          <w:iCs/>
          <w:color w:val="000000" w:themeColor="text1"/>
          <w:sz w:val="32"/>
          <w:szCs w:val="32"/>
          <w:highlight w:val="none"/>
          <w:u w:val="single"/>
          <w:lang w:val="en-US" w:eastAsia="zh-CN"/>
          <w14:textFill>
            <w14:solidFill>
              <w14:schemeClr w14:val="tx1"/>
            </w14:solidFill>
          </w14:textFill>
        </w:rPr>
        <w:t xml:space="preserve">五</w:t>
      </w:r>
      <w:r>
        <w:rPr>
          <w:rFonts w:hint="eastAsia" w:ascii="黑体" w:hAnsi="宋体" w:eastAsia="黑体" w:cs="黑体"/>
          <w:b/>
          <w:i w:val="0"/>
          <w:iCs/>
          <w:color w:val="000000" w:themeColor="text1"/>
          <w:sz w:val="32"/>
          <w:szCs w:val="32"/>
          <w:highlight w:val="none"/>
          <w:u w:val="single"/>
          <w14:textFill>
            <w14:solidFill>
              <w14:schemeClr w14:val="tx1"/>
            </w14:solidFill>
          </w14:textFill>
        </w:rPr>
        <w:t xml:space="preserve">、开标一览表</w:t>
      </w:r>
      <w:r/>
    </w:p>
    <w:p>
      <w:pPr>
        <w:pStyle w:val="740"/>
        <w:ind w:firstLine="480"/>
        <w:jc w:val="both"/>
        <w:spacing w:beforeAutospacing="0" w:afterAutospacing="0"/>
        <w:rPr>
          <w:rFonts w:hint="eastAsia" w:ascii="宋体" w:hAnsi="宋体" w:eastAsia="宋体" w:cs="宋体"/>
          <w:color w:val="000000" w:themeColor="text1"/>
          <w:highlight w:val="none"/>
          <w:shd w:val="clear" w:color="auto" w:fill="auto"/>
          <w14:textFill>
            <w14:solidFill>
              <w14:schemeClr w14:val="tx1"/>
            </w14:solidFill>
          </w14:textFill>
        </w:rPr>
        <w:outlineLvl w:val="9"/>
      </w:pPr>
      <w:r>
        <w:rPr>
          <w:rFonts w:hint="eastAsia" w:ascii="宋体" w:hAnsi="宋体" w:eastAsia="宋体" w:cs="宋体"/>
          <w:color w:val="000000" w:themeColor="text1"/>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32"/>
          <w:szCs w:val="40"/>
          <w:highlight w:val="none"/>
          <w14:textFill>
            <w14:solidFill>
              <w14:schemeClr w14:val="tx1"/>
            </w14:solidFill>
          </w14:textFill>
        </w:rPr>
      </w:pPr>
      <w:r>
        <w:rPr>
          <w:rFonts w:hint="eastAsia" w:ascii="宋体" w:hAnsi="宋体" w:eastAsia="宋体" w:cs="宋体"/>
          <w:b/>
          <w:bCs/>
          <w:color w:val="000000" w:themeColor="text1"/>
          <w:sz w:val="32"/>
          <w:szCs w:val="40"/>
          <w:highlight w:val="none"/>
          <w14:textFill>
            <w14:solidFill>
              <w14:schemeClr w14:val="tx1"/>
            </w14:solidFill>
          </w14:textFill>
        </w:rPr>
        <w:t xml:space="preserve">开标一览表</w:t>
      </w:r>
      <w:r/>
    </w:p>
    <w:p>
      <w:pPr>
        <w:pStyle w:val="73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t xml:space="preserve">项目编号：</w:t>
      </w:r>
      <w:r/>
    </w:p>
    <w:p>
      <w:pPr>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t xml:space="preserve">货币单位：人民币元</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917"/>
        </w:trPr>
        <w:tc>
          <w:tcPr>
            <w:tcW w:w="2840" w:type="dxa"/>
            <w:vAlign w:val="center"/>
            <w:textDirection w:val="lrTb"/>
            <w:noWrap w:val="false"/>
          </w:tcPr>
          <w:p>
            <w:pPr>
              <w:pStyle w:val="739"/>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项目名称</w:t>
            </w:r>
            <w:r/>
          </w:p>
        </w:tc>
        <w:tc>
          <w:tcPr>
            <w:tcW w:w="2841" w:type="dxa"/>
            <w:vAlign w:val="center"/>
            <w:textDirection w:val="lrTb"/>
            <w:noWrap w:val="false"/>
          </w:tcPr>
          <w:p>
            <w:pPr>
              <w:pStyle w:val="739"/>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项目内容</w:t>
            </w:r>
            <w:r/>
          </w:p>
        </w:tc>
        <w:tc>
          <w:tcPr>
            <w:tcW w:w="2841" w:type="dxa"/>
            <w:vAlign w:val="center"/>
            <w:textDirection w:val="lrTb"/>
            <w:noWrap w:val="false"/>
          </w:tcPr>
          <w:p>
            <w:pPr>
              <w:pStyle w:val="739"/>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总价（小写）</w:t>
            </w:r>
            <w:r/>
          </w:p>
        </w:tc>
      </w:tr>
      <w:tr>
        <w:trPr>
          <w:trHeight w:val="962"/>
        </w:trPr>
        <w:tc>
          <w:tcPr>
            <w:tcW w:w="2840" w:type="dxa"/>
            <w:vAlign w:val="center"/>
            <w:textDirection w:val="lrTb"/>
            <w:noWrap w:val="false"/>
          </w:tcPr>
          <w:p>
            <w:pPr>
              <w:pStyle w:val="739"/>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项目名称</w:t>
            </w:r>
            <w:r/>
          </w:p>
        </w:tc>
        <w:tc>
          <w:tcPr>
            <w:tcW w:w="2841" w:type="dxa"/>
            <w:vAlign w:val="center"/>
            <w:textDirection w:val="lrTb"/>
            <w:noWrap w:val="false"/>
          </w:tcPr>
          <w:p>
            <w:pPr>
              <w:pStyle w:val="739"/>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详见投标文件</w:t>
            </w:r>
            <w:r/>
          </w:p>
        </w:tc>
        <w:tc>
          <w:tcPr>
            <w:tcW w:w="2841" w:type="dxa"/>
            <w:vAlign w:val="center"/>
            <w:textDirection w:val="lrTb"/>
            <w:noWrap w:val="false"/>
          </w:tcPr>
          <w:p>
            <w:pPr>
              <w:pStyle w:val="739"/>
              <w:ind w:firstLine="1680"/>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元</w:t>
            </w:r>
            <w:r/>
          </w:p>
        </w:tc>
      </w:tr>
      <w:tr>
        <w:trPr>
          <w:trHeight w:val="1017"/>
        </w:trPr>
        <w:tc>
          <w:tcPr>
            <w:tcW w:w="2840" w:type="dxa"/>
            <w:vAlign w:val="center"/>
            <w:textDirection w:val="lrTb"/>
            <w:noWrap w:val="false"/>
          </w:tcPr>
          <w:p>
            <w:pPr>
              <w:pStyle w:val="739"/>
              <w:jc w:val="center"/>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总价（大写）：</w:t>
            </w:r>
            <w:r/>
          </w:p>
        </w:tc>
        <w:tc>
          <w:tcPr>
            <w:gridSpan w:val="2"/>
            <w:tcW w:w="5682" w:type="dxa"/>
            <w:vAlign w:val="center"/>
            <w:textDirection w:val="lrTb"/>
            <w:noWrap w:val="false"/>
          </w:tcPr>
          <w:p>
            <w:pPr>
              <w:pStyle w:val="739"/>
              <w:jc w:val="left"/>
              <w:rPr>
                <w:rFonts w:hint="eastAsia"/>
                <w:sz w:val="28"/>
                <w:szCs w:val="32"/>
                <w:vertAlign w:val="baseline"/>
              </w:rPr>
            </w:pPr>
            <w:r>
              <w:rPr>
                <w:rFonts w:hint="eastAsia" w:ascii="宋体" w:hAnsi="宋体" w:eastAsia="宋体" w:cs="宋体"/>
                <w:color w:val="000000" w:themeColor="text1"/>
                <w:sz w:val="28"/>
                <w:szCs w:val="32"/>
                <w:highlight w:val="none"/>
                <w14:textFill>
                  <w14:solidFill>
                    <w14:schemeClr w14:val="tx1"/>
                  </w14:solidFill>
                </w14:textFill>
              </w:rPr>
              <w:t xml:space="preserve">金额大写</w:t>
            </w:r>
            <w:r/>
          </w:p>
        </w:tc>
      </w:tr>
    </w:tbl>
    <w:p>
      <w:pPr>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r>
      <w:r/>
    </w:p>
    <w:p>
      <w:pPr>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t xml:space="preserve">投标人公章：   （电子签章）</w:t>
      </w:r>
      <w:r/>
    </w:p>
    <w:p>
      <w:pPr>
        <w:pStyle w:val="739"/>
        <w:rPr>
          <w:rFonts w:hint="eastAsia"/>
        </w:rPr>
      </w:pPr>
      <w:r>
        <w:rPr>
          <w:rFonts w:hint="eastAsia"/>
        </w:rPr>
      </w:r>
      <w:r/>
    </w:p>
    <w:p>
      <w:pPr>
        <w:jc w:val="right"/>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t xml:space="preserve"> 日期： </w:t>
      </w:r>
      <w:r>
        <w:rPr>
          <w:rFonts w:hint="eastAsia" w:ascii="宋体" w:hAnsi="宋体" w:eastAsia="宋体" w:cs="宋体"/>
          <w:color w:val="000000" w:themeColor="text1"/>
          <w:sz w:val="28"/>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36"/>
          <w:highlight w:val="none"/>
          <w14:textFill>
            <w14:solidFill>
              <w14:schemeClr w14:val="tx1"/>
            </w14:solidFill>
          </w14:textFill>
        </w:rPr>
        <w:t xml:space="preserve">年</w:t>
      </w:r>
      <w:r>
        <w:rPr>
          <w:rFonts w:hint="eastAsia" w:ascii="宋体" w:hAnsi="宋体" w:eastAsia="宋体" w:cs="宋体"/>
          <w:color w:val="000000" w:themeColor="text1"/>
          <w:sz w:val="28"/>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36"/>
          <w:highlight w:val="none"/>
          <w14:textFill>
            <w14:solidFill>
              <w14:schemeClr w14:val="tx1"/>
            </w14:solidFill>
          </w14:textFill>
        </w:rPr>
        <w:t xml:space="preserve">月</w:t>
      </w:r>
      <w:r>
        <w:rPr>
          <w:rFonts w:hint="eastAsia" w:ascii="宋体" w:hAnsi="宋体" w:eastAsia="宋体" w:cs="宋体"/>
          <w:color w:val="000000" w:themeColor="text1"/>
          <w:sz w:val="28"/>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36"/>
          <w:highlight w:val="none"/>
          <w14:textFill>
            <w14:solidFill>
              <w14:schemeClr w14:val="tx1"/>
            </w14:solidFill>
          </w14:textFill>
        </w:rPr>
        <w:t xml:space="preserve"> 日</w:t>
      </w:r>
      <w:r/>
    </w:p>
    <w:p>
      <w:pPr>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t xml:space="preserve"> </w:t>
      </w:r>
      <w:r/>
    </w:p>
    <w:p>
      <w:pPr>
        <w:rPr>
          <w:rFonts w:hint="eastAsia" w:ascii="宋体" w:hAnsi="宋体" w:eastAsia="宋体" w:cs="宋体"/>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36"/>
          <w:highlight w:val="none"/>
          <w14:textFill>
            <w14:solidFill>
              <w14:schemeClr w14:val="tx1"/>
            </w14:solidFill>
          </w14:textFill>
        </w:rPr>
        <w:br w:type="page" w:clear="all"/>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outlineLvl w:val="9"/>
      </w:pPr>
      <w:r/>
      <w:bookmarkStart w:id="217" w:name="_Toc6822"/>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、技术方案、服务承诺、培训承诺等</w:t>
      </w:r>
      <w:bookmarkEnd w:id="217"/>
      <w:r/>
      <w:bookmarkStart w:id="218" w:name="_Toc19915"/>
      <w:r/>
      <w:r/>
    </w:p>
    <w:p>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p>
    <w:p>
      <w:pPr>
        <w:ind w:firstLine="160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、盐城市政府采购事前信用承诺书</w:t>
      </w:r>
      <w:bookmarkEnd w:id="218"/>
      <w:r/>
      <w:r/>
    </w:p>
    <w:p>
      <w:pPr>
        <w:ind w:firstLine="480"/>
        <w:jc w:val="left"/>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（八）本人已认真阅读了上述承诺，并向本单位员工作了宣传教育。</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499" w:lineRule="atLeast"/>
        <w:widowControl/>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法定代表人签名：</w:t>
      </w:r>
      <w:r/>
    </w:p>
    <w:p>
      <w:pPr>
        <w:jc w:val="both"/>
        <w:spacing w:line="499" w:lineRule="atLeast"/>
        <w:widowControl/>
        <w:tabs>
          <w:tab w:val="left" w:pos="6560" w:leader="none"/>
        </w:tabs>
        <w:rPr>
          <w:rFonts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单位名称（盖章）：</w:t>
      </w:r>
      <w:r>
        <w:tab/>
      </w:r>
      <w:r/>
    </w:p>
    <w:p>
      <w:pPr>
        <w:jc w:val="both"/>
        <w:spacing w:line="499" w:lineRule="atLeast"/>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bookmarkEnd w:id="1"/>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60"/>
      <w:r/>
      <w:bookmarkEnd w:id="175"/>
      <w:r/>
      <w:bookmarkEnd w:id="181"/>
      <w:r/>
      <w:bookmarkEnd w:id="182"/>
      <w:r/>
      <w:bookmarkEnd w:id="183"/>
      <w:r/>
      <w:bookmarkEnd w:id="195"/>
      <w:r/>
      <w:bookmarkEnd w:id="197"/>
      <w:r/>
      <w:bookmarkEnd w:id="198"/>
      <w:r/>
      <w:bookmarkEnd w:id="199"/>
      <w:r/>
      <w:bookmarkEnd w:id="203"/>
      <w:r/>
      <w:bookmarkEnd w:id="212"/>
      <w:r/>
      <w:bookmarkEnd w:id="213"/>
      <w:r/>
      <w:bookmarkEnd w:id="214"/>
      <w:r/>
      <w:bookmarkEnd w:id="215"/>
      <w:r/>
      <w:bookmarkEnd w:id="216"/>
      <w:r/>
      <w:r/>
    </w:p>
    <w:p>
      <w:pPr>
        <w:pStyle w:val="740"/>
        <w:jc w:val="center"/>
        <w:spacing w:beforeAutospacing="0" w:afterAutospacing="0"/>
        <w:rPr>
          <w:rFonts w:ascii="宋体" w:hAnsi="宋体" w:eastAsia="宋体" w:cs="宋体"/>
          <w:b/>
          <w:color w:val="000000" w:themeColor="text1"/>
          <w:sz w:val="32"/>
          <w:szCs w:val="32"/>
          <w:highlight w:val="none"/>
          <w14:textFill>
            <w14:solidFill>
              <w14:schemeClr w14:val="tx1"/>
            </w14:solidFill>
          </w14:textFill>
        </w:rPr>
        <w:outlineLvl w:val="9"/>
      </w:pPr>
      <w:r/>
      <w:bookmarkStart w:id="219" w:name="_Toc19487"/>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bookmarkEnd w:id="219"/>
      <w:r/>
      <w:r/>
    </w:p>
    <w:p>
      <w:pPr>
        <w:pStyle w:val="740"/>
        <w:jc w:val="both"/>
        <w:spacing w:before="290"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hint="eastAsia" w:ascii="宋体" w:hAnsi="宋体" w:eastAsia="宋体" w:cs="宋体"/>
          <w:color w:val="000000" w:themeColor="text1"/>
          <w:highlight w:val="none"/>
          <w:u w:val="single"/>
          <w:lang w:val="en-US" w:eastAsia="zh-CN"/>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u w:val="singl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740"/>
        <w:jc w:val="both"/>
        <w:spacing w:beforeAutospacing="0" w:afterAutospacing="0" w:line="360" w:lineRule="auto"/>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40"/>
        <w:jc w:val="both"/>
        <w:spacing w:beforeAutospacing="0" w:afterAutospacing="0"/>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740"/>
        <w:jc w:val="both"/>
        <w:spacing w:beforeAutospacing="0" w:afterAutospacing="0" w:line="0" w:lineRule="atLeast"/>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740"/>
        <w:ind w:firstLine="480"/>
        <w:spacing w:beforeAutospacing="0" w:afterAutospacing="0" w:line="0" w:lineRule="atLeast"/>
        <w:widowControl/>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740"/>
        <w:ind w:firstLine="482"/>
        <w:keepLines w:val="0"/>
        <w:keepNext w:val="0"/>
        <w:pageBreakBefore w:val="0"/>
        <w:spacing w:beforeAutospacing="0" w:afterAutospacing="0" w:line="440" w:lineRule="exact"/>
        <w:widowControl/>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0"/>
        <w:ind w:firstLine="482"/>
        <w:keepLines w:val="0"/>
        <w:keepNext w:val="0"/>
        <w:pageBreakBefore w:val="0"/>
        <w:spacing w:beforeAutospacing="0" w:afterAutospacing="0" w:line="440" w:lineRule="exact"/>
        <w:widowControl/>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740"/>
        <w:ind w:firstLine="482"/>
        <w:keepLines w:val="0"/>
        <w:keepNext w:val="0"/>
        <w:pageBreakBefore w:val="0"/>
        <w:spacing w:beforeAutospacing="0" w:afterAutospacing="0" w:line="440" w:lineRule="exact"/>
        <w:widowControl/>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740"/>
        <w:ind w:firstLine="482"/>
        <w:keepLines w:val="0"/>
        <w:keepNext w:val="0"/>
        <w:pageBreakBefore w:val="0"/>
        <w:spacing w:beforeAutospacing="0" w:afterAutospacing="0" w:line="440" w:lineRule="exact"/>
        <w:widowControl/>
        <w:rPr>
          <w:rFonts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740"/>
        <w:ind w:firstLine="482"/>
        <w:keepLines w:val="0"/>
        <w:keepNext w:val="0"/>
        <w:pageBreakBefore w:val="0"/>
        <w:spacing w:beforeAutospacing="0" w:afterAutospacing="0" w:line="440" w:lineRule="exact"/>
        <w:widowControl/>
        <w:rPr>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仿宋_GB2312">
    <w:panose1 w:val="02010609060101010101"/>
  </w:font>
  <w:font w:name="黑体">
    <w:panose1 w:val="02010609060101010101"/>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8120" cy="13970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825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6pt;height:11.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盐城市第一人民医院</w:t>
    </w:r>
    <w:r>
      <w:rPr>
        <w:rFonts w:hint="eastAsia" w:asciiTheme="minorEastAsia" w:hAnsiTheme="minorEastAsia" w:eastAsiaTheme="minorEastAsia" w:cstheme="minorEastAsia"/>
        <w:sz w:val="21"/>
        <w:szCs w:val="21"/>
        <w:lang w:val="en-US" w:eastAsia="zh-CN"/>
      </w:rPr>
      <w:t xml:space="preserve">JSZC-RHHH-G2025-</w:t>
    </w:r>
    <w:r>
      <w:rPr>
        <w:rFonts w:hint="eastAsia" w:asciiTheme="minorEastAsia" w:hAnsiTheme="minorEastAsia" w:cstheme="minorEastAsia"/>
        <w:sz w:val="21"/>
        <w:szCs w:val="21"/>
        <w:lang w:val="en-US" w:eastAsia="zh-CN"/>
      </w:rPr>
      <w:t xml:space="preserve">0116招标文件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4">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40" w:hanging="440"/>
      </w:pPr>
      <w:rPr>
        <w:rFonts w:hint="default"/>
        <w:b w:val="0"/>
        <w:bCs w:val="0"/>
        <w:i w:val="0"/>
        <w:i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40" w:hanging="440"/>
      </w:pPr>
      <w:rPr>
        <w:rFonts w:hint="eastAsia" w:ascii="宋体" w:hAnsi="宋体" w:eastAsia="宋体"/>
        <w:sz w:val="21"/>
        <w:szCs w:val="21"/>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num w:numId="1">
    <w:abstractNumId w:val="11"/>
  </w:num>
  <w:num w:numId="2">
    <w:abstractNumId w:val="7"/>
  </w:num>
  <w:num w:numId="3">
    <w:abstractNumId w:val="19"/>
  </w:num>
  <w:num w:numId="4">
    <w:abstractNumId w:val="4"/>
  </w:num>
  <w:num w:numId="5">
    <w:abstractNumId w:val="3"/>
  </w:num>
  <w:num w:numId="6">
    <w:abstractNumId w:val="13"/>
  </w:num>
  <w:num w:numId="7">
    <w:abstractNumId w:val="15"/>
  </w:num>
  <w:num w:numId="8">
    <w:abstractNumId w:val="22"/>
  </w:num>
  <w:num w:numId="9">
    <w:abstractNumId w:val="12"/>
  </w:num>
  <w:num w:numId="10">
    <w:abstractNumId w:val="1"/>
  </w:num>
  <w:num w:numId="11">
    <w:abstractNumId w:val="16"/>
  </w:num>
  <w:num w:numId="12">
    <w:abstractNumId w:val="20"/>
  </w:num>
  <w:num w:numId="13">
    <w:abstractNumId w:val="6"/>
  </w:num>
  <w:num w:numId="14">
    <w:abstractNumId w:val="18"/>
  </w:num>
  <w:num w:numId="15">
    <w:abstractNumId w:val="10"/>
  </w:num>
  <w:num w:numId="16">
    <w:abstractNumId w:val="14"/>
  </w:num>
  <w:num w:numId="17">
    <w:abstractNumId w:val="9"/>
  </w:num>
  <w:num w:numId="18">
    <w:abstractNumId w:val="8"/>
  </w:num>
  <w:num w:numId="19">
    <w:abstractNumId w:val="2"/>
  </w:num>
  <w:num w:numId="20">
    <w:abstractNumId w:val="17"/>
  </w:num>
  <w:num w:numId="21">
    <w:abstractNumId w:val="21"/>
  </w:num>
  <w:num w:numId="22">
    <w:abstractNumId w:val="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8">
    <w:name w:val="Heading 1"/>
    <w:basedOn w:val="740"/>
    <w:next w:val="727"/>
    <w:uiPriority w:val="0"/>
    <w:qFormat/>
    <w:pPr>
      <w:jc w:val="center"/>
      <w:keepNext/>
      <w:spacing w:beforeAutospacing="0" w:afterAutospacing="0"/>
      <w:outlineLvl w:val="0"/>
    </w:pPr>
    <w:rPr>
      <w:rFonts w:ascii="黑体" w:hAnsi="宋体" w:eastAsia="黑体" w:cs="黑体"/>
      <w:color w:val="000000"/>
      <w:sz w:val="44"/>
      <w:szCs w:val="44"/>
      <w:highlight w:val="none"/>
    </w:rPr>
  </w:style>
  <w:style w:type="paragraph" w:styleId="729">
    <w:name w:val="Heading 2"/>
    <w:basedOn w:val="727"/>
    <w:next w:val="72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0">
    <w:name w:val="Heading 3"/>
    <w:basedOn w:val="727"/>
    <w:next w:val="727"/>
    <w:link w:val="76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8"/>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Body Text"/>
    <w:basedOn w:val="727"/>
    <w:next w:val="727"/>
    <w:uiPriority w:val="0"/>
    <w:unhideWhenUsed/>
    <w:qFormat/>
    <w:pPr>
      <w:spacing w:after="120"/>
    </w:pPr>
    <w:rPr>
      <w:rFonts w:ascii="Calibri" w:hAnsi="Calibri"/>
      <w:szCs w:val="22"/>
    </w:rPr>
  </w:style>
  <w:style w:type="paragraph" w:styleId="740">
    <w:name w:val="Normal (Web)"/>
    <w:basedOn w:val="727"/>
    <w:uiPriority w:val="0"/>
    <w:qFormat/>
    <w:pPr>
      <w:jc w:val="left"/>
      <w:spacing w:beforeAutospacing="1" w:afterAutospacing="1"/>
    </w:pPr>
    <w:rPr>
      <w:rFonts w:cs="Times New Roman"/>
      <w:sz w:val="24"/>
    </w:rPr>
  </w:style>
  <w:style w:type="paragraph" w:styleId="741">
    <w:name w:val="toc 7"/>
    <w:basedOn w:val="727"/>
    <w:next w:val="727"/>
    <w:uiPriority w:val="39"/>
    <w:unhideWhenUsed/>
    <w:qFormat/>
    <w:pPr>
      <w:ind w:left="1701" w:right="0" w:firstLine="0"/>
      <w:spacing w:after="57"/>
    </w:pPr>
  </w:style>
  <w:style w:type="paragraph" w:styleId="742">
    <w:name w:val="Caption"/>
    <w:basedOn w:val="727"/>
    <w:next w:val="72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3">
    <w:name w:val="annotation text"/>
    <w:basedOn w:val="727"/>
    <w:uiPriority w:val="0"/>
    <w:qFormat/>
    <w:pPr>
      <w:jc w:val="left"/>
    </w:pPr>
  </w:style>
  <w:style w:type="paragraph" w:styleId="744">
    <w:name w:val="toc 5"/>
    <w:basedOn w:val="727"/>
    <w:next w:val="727"/>
    <w:uiPriority w:val="39"/>
    <w:unhideWhenUsed/>
    <w:qFormat/>
    <w:pPr>
      <w:ind w:left="1134" w:right="0" w:firstLine="0"/>
      <w:spacing w:after="57"/>
    </w:pPr>
  </w:style>
  <w:style w:type="paragraph" w:styleId="745">
    <w:name w:val="toc 3"/>
    <w:basedOn w:val="727"/>
    <w:next w:val="727"/>
    <w:uiPriority w:val="39"/>
    <w:unhideWhenUsed/>
    <w:qFormat/>
    <w:pPr>
      <w:ind w:left="567" w:right="0" w:firstLine="0"/>
      <w:spacing w:after="57"/>
    </w:pPr>
  </w:style>
  <w:style w:type="paragraph" w:styleId="746">
    <w:name w:val="Plain Text"/>
    <w:basedOn w:val="727"/>
    <w:uiPriority w:val="0"/>
    <w:unhideWhenUsed/>
    <w:qFormat/>
    <w:rPr>
      <w:rFonts w:ascii="宋体" w:hAnsi="Courier New" w:cs="Courier New"/>
      <w:szCs w:val="21"/>
    </w:rPr>
  </w:style>
  <w:style w:type="paragraph" w:styleId="747">
    <w:name w:val="toc 8"/>
    <w:basedOn w:val="727"/>
    <w:next w:val="727"/>
    <w:uiPriority w:val="39"/>
    <w:unhideWhenUsed/>
    <w:qFormat/>
    <w:pPr>
      <w:ind w:left="1984" w:right="0" w:firstLine="0"/>
      <w:spacing w:after="57"/>
    </w:pPr>
  </w:style>
  <w:style w:type="paragraph" w:styleId="748">
    <w:name w:val="endnote text"/>
    <w:basedOn w:val="727"/>
    <w:link w:val="911"/>
    <w:uiPriority w:val="99"/>
    <w:semiHidden/>
    <w:unhideWhenUsed/>
    <w:qFormat/>
    <w:pPr>
      <w:spacing w:after="0" w:line="240" w:lineRule="auto"/>
    </w:pPr>
    <w:rPr>
      <w:sz w:val="20"/>
    </w:rPr>
  </w:style>
  <w:style w:type="paragraph" w:styleId="749">
    <w:name w:val="Footer"/>
    <w:basedOn w:val="727"/>
    <w:link w:val="916"/>
    <w:uiPriority w:val="0"/>
    <w:qFormat/>
    <w:pPr>
      <w:jc w:val="left"/>
      <w:tabs>
        <w:tab w:val="center" w:pos="4153" w:leader="none"/>
        <w:tab w:val="right" w:pos="8306" w:leader="none"/>
      </w:tabs>
    </w:pPr>
    <w:rPr>
      <w:sz w:val="18"/>
      <w:szCs w:val="18"/>
    </w:rPr>
  </w:style>
  <w:style w:type="paragraph" w:styleId="750">
    <w:name w:val="Header"/>
    <w:basedOn w:val="727"/>
    <w:link w:val="915"/>
    <w:uiPriority w:val="0"/>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7"/>
    <w:next w:val="727"/>
    <w:uiPriority w:val="0"/>
    <w:qFormat/>
  </w:style>
  <w:style w:type="paragraph" w:styleId="752">
    <w:name w:val="toc 4"/>
    <w:basedOn w:val="727"/>
    <w:next w:val="727"/>
    <w:uiPriority w:val="39"/>
    <w:unhideWhenUsed/>
    <w:qFormat/>
    <w:pPr>
      <w:ind w:left="850" w:right="0" w:firstLine="0"/>
      <w:spacing w:after="57"/>
    </w:pPr>
  </w:style>
  <w:style w:type="paragraph" w:styleId="753">
    <w:name w:val="Subtitle"/>
    <w:basedOn w:val="727"/>
    <w:next w:val="727"/>
    <w:link w:val="777"/>
    <w:uiPriority w:val="11"/>
    <w:qFormat/>
    <w:pPr>
      <w:spacing w:before="200" w:after="200"/>
    </w:pPr>
    <w:rPr>
      <w:sz w:val="24"/>
      <w:szCs w:val="24"/>
    </w:rPr>
  </w:style>
  <w:style w:type="paragraph" w:styleId="754">
    <w:name w:val="footnote text"/>
    <w:basedOn w:val="727"/>
    <w:link w:val="910"/>
    <w:uiPriority w:val="99"/>
    <w:semiHidden/>
    <w:unhideWhenUsed/>
    <w:qFormat/>
    <w:pPr>
      <w:spacing w:after="40" w:line="240" w:lineRule="auto"/>
    </w:pPr>
    <w:rPr>
      <w:sz w:val="18"/>
    </w:rPr>
  </w:style>
  <w:style w:type="paragraph" w:styleId="755">
    <w:name w:val="toc 6"/>
    <w:basedOn w:val="727"/>
    <w:next w:val="727"/>
    <w:uiPriority w:val="39"/>
    <w:unhideWhenUsed/>
    <w:qFormat/>
    <w:pPr>
      <w:ind w:left="1417" w:right="0" w:firstLine="0"/>
      <w:spacing w:after="57"/>
    </w:pPr>
  </w:style>
  <w:style w:type="paragraph" w:styleId="756">
    <w:name w:val="table of figures"/>
    <w:basedOn w:val="727"/>
    <w:next w:val="727"/>
    <w:uiPriority w:val="99"/>
    <w:unhideWhenUsed/>
    <w:qFormat/>
    <w:pPr>
      <w:spacing w:after="0" w:afterAutospacing="0"/>
    </w:pPr>
  </w:style>
  <w:style w:type="paragraph" w:styleId="757">
    <w:name w:val="toc 2"/>
    <w:basedOn w:val="727"/>
    <w:next w:val="727"/>
    <w:uiPriority w:val="39"/>
    <w:unhideWhenUsed/>
    <w:qFormat/>
    <w:pPr>
      <w:ind w:left="283" w:right="0" w:firstLine="0"/>
      <w:spacing w:after="57"/>
    </w:pPr>
  </w:style>
  <w:style w:type="paragraph" w:styleId="758">
    <w:name w:val="toc 9"/>
    <w:basedOn w:val="727"/>
    <w:next w:val="727"/>
    <w:uiPriority w:val="39"/>
    <w:unhideWhenUsed/>
    <w:qFormat/>
    <w:pPr>
      <w:ind w:left="2268" w:right="0" w:firstLine="0"/>
      <w:spacing w:after="57"/>
    </w:pPr>
  </w:style>
  <w:style w:type="paragraph" w:styleId="759">
    <w:name w:val="Title"/>
    <w:basedOn w:val="727"/>
    <w:next w:val="727"/>
    <w:link w:val="776"/>
    <w:uiPriority w:val="10"/>
    <w:qFormat/>
    <w:pPr>
      <w:contextualSpacing/>
      <w:spacing w:before="300" w:after="200"/>
    </w:pPr>
    <w:rPr>
      <w:sz w:val="48"/>
      <w:szCs w:val="48"/>
    </w:rPr>
  </w:style>
  <w:style w:type="table" w:styleId="760">
    <w:name w:val="Table Grid"/>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basedOn w:val="737"/>
    <w:uiPriority w:val="0"/>
    <w:qFormat/>
    <w:rPr>
      <w:b/>
    </w:rPr>
  </w:style>
  <w:style w:type="character" w:styleId="762">
    <w:name w:val="endnote reference"/>
    <w:basedOn w:val="737"/>
    <w:uiPriority w:val="99"/>
    <w:semiHidden/>
    <w:unhideWhenUsed/>
    <w:qFormat/>
    <w:rPr>
      <w:vertAlign w:val="superscript"/>
    </w:rPr>
  </w:style>
  <w:style w:type="character" w:styleId="763">
    <w:name w:val="Hyperlink"/>
    <w:uiPriority w:val="99"/>
    <w:unhideWhenUsed/>
    <w:qFormat/>
    <w:rPr>
      <w:color w:val="0563c1" w:themeColor="hyperlink"/>
      <w:u w:val="single"/>
      <w14:textFill>
        <w14:solidFill>
          <w14:schemeClr w14:val="hlink"/>
        </w14:solidFill>
      </w14:textFill>
    </w:rPr>
  </w:style>
  <w:style w:type="character" w:styleId="764">
    <w:name w:val="footnote reference"/>
    <w:basedOn w:val="737"/>
    <w:uiPriority w:val="99"/>
    <w:unhideWhenUsed/>
    <w:qFormat/>
    <w:rPr>
      <w:vertAlign w:val="superscript"/>
    </w:rPr>
  </w:style>
  <w:style w:type="character" w:styleId="765" w:customStyle="1">
    <w:name w:val="Heading 1 Char"/>
    <w:basedOn w:val="737"/>
    <w:uiPriority w:val="9"/>
    <w:qFormat/>
    <w:rPr>
      <w:rFonts w:ascii="Arial" w:hAnsi="Arial" w:eastAsia="Arial" w:cs="Arial"/>
      <w:sz w:val="40"/>
      <w:szCs w:val="40"/>
    </w:rPr>
  </w:style>
  <w:style w:type="character" w:styleId="766" w:customStyle="1">
    <w:name w:val="Heading 2 Char"/>
    <w:basedOn w:val="737"/>
    <w:uiPriority w:val="9"/>
    <w:qFormat/>
    <w:rPr>
      <w:rFonts w:ascii="Arial" w:hAnsi="Arial" w:eastAsia="Arial" w:cs="Arial"/>
      <w:sz w:val="34"/>
    </w:rPr>
  </w:style>
  <w:style w:type="character" w:styleId="767" w:customStyle="1">
    <w:name w:val="Heading 3 Char"/>
    <w:basedOn w:val="737"/>
    <w:link w:val="730"/>
    <w:uiPriority w:val="9"/>
    <w:qFormat/>
    <w:rPr>
      <w:rFonts w:ascii="Arial" w:hAnsi="Arial" w:eastAsia="Arial" w:cs="Arial"/>
      <w:sz w:val="30"/>
      <w:szCs w:val="30"/>
    </w:rPr>
  </w:style>
  <w:style w:type="character" w:styleId="768" w:customStyle="1">
    <w:name w:val="Heading 4 Char"/>
    <w:basedOn w:val="737"/>
    <w:link w:val="731"/>
    <w:uiPriority w:val="9"/>
    <w:qFormat/>
    <w:rPr>
      <w:rFonts w:ascii="Arial" w:hAnsi="Arial" w:eastAsia="Arial" w:cs="Arial"/>
      <w:b/>
      <w:bCs/>
      <w:sz w:val="26"/>
      <w:szCs w:val="26"/>
    </w:rPr>
  </w:style>
  <w:style w:type="character" w:styleId="769" w:customStyle="1">
    <w:name w:val="Heading 5 Char"/>
    <w:basedOn w:val="737"/>
    <w:link w:val="732"/>
    <w:uiPriority w:val="9"/>
    <w:qFormat/>
    <w:rPr>
      <w:rFonts w:ascii="Arial" w:hAnsi="Arial" w:eastAsia="Arial" w:cs="Arial"/>
      <w:b/>
      <w:bCs/>
      <w:sz w:val="24"/>
      <w:szCs w:val="24"/>
    </w:rPr>
  </w:style>
  <w:style w:type="character" w:styleId="770" w:customStyle="1">
    <w:name w:val="Heading 6 Char"/>
    <w:basedOn w:val="737"/>
    <w:link w:val="733"/>
    <w:uiPriority w:val="9"/>
    <w:qFormat/>
    <w:rPr>
      <w:rFonts w:ascii="Arial" w:hAnsi="Arial" w:eastAsia="Arial" w:cs="Arial"/>
      <w:b/>
      <w:bCs/>
      <w:sz w:val="22"/>
      <w:szCs w:val="22"/>
    </w:rPr>
  </w:style>
  <w:style w:type="character" w:styleId="771" w:customStyle="1">
    <w:name w:val="Heading 7 Char"/>
    <w:basedOn w:val="737"/>
    <w:link w:val="734"/>
    <w:uiPriority w:val="9"/>
    <w:qFormat/>
    <w:rPr>
      <w:rFonts w:ascii="Arial" w:hAnsi="Arial" w:eastAsia="Arial" w:cs="Arial"/>
      <w:b/>
      <w:bCs/>
      <w:i/>
      <w:iCs/>
      <w:sz w:val="22"/>
      <w:szCs w:val="22"/>
    </w:rPr>
  </w:style>
  <w:style w:type="character" w:styleId="772" w:customStyle="1">
    <w:name w:val="Heading 8 Char"/>
    <w:basedOn w:val="737"/>
    <w:link w:val="735"/>
    <w:uiPriority w:val="9"/>
    <w:qFormat/>
    <w:rPr>
      <w:rFonts w:ascii="Arial" w:hAnsi="Arial" w:eastAsia="Arial" w:cs="Arial"/>
      <w:i/>
      <w:iCs/>
      <w:sz w:val="22"/>
      <w:szCs w:val="22"/>
    </w:rPr>
  </w:style>
  <w:style w:type="character" w:styleId="773" w:customStyle="1">
    <w:name w:val="Heading 9 Char"/>
    <w:basedOn w:val="737"/>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basedOn w:val="737"/>
    <w:link w:val="759"/>
    <w:uiPriority w:val="10"/>
    <w:qFormat/>
    <w:rPr>
      <w:sz w:val="48"/>
      <w:szCs w:val="48"/>
    </w:rPr>
  </w:style>
  <w:style w:type="character" w:styleId="777" w:customStyle="1">
    <w:name w:val="Subtitle Char"/>
    <w:basedOn w:val="737"/>
    <w:link w:val="753"/>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37"/>
    <w:uiPriority w:val="99"/>
    <w:qFormat/>
  </w:style>
  <w:style w:type="character" w:styleId="783" w:customStyle="1">
    <w:name w:val="Footer Char"/>
    <w:basedOn w:val="737"/>
    <w:uiPriority w:val="99"/>
    <w:qFormat/>
  </w:style>
  <w:style w:type="character" w:styleId="784" w:customStyle="1">
    <w:name w:val="Caption Char"/>
    <w:uiPriority w:val="99"/>
    <w:qFormat/>
  </w:style>
  <w:style w:type="table" w:styleId="785" w:customStyle="1">
    <w:name w:val="Table Grid Light"/>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3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3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3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3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3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3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3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3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3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3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3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3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3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3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3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3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3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3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3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4" w:customStyle="1">
    <w:name w:val="Grid Table 4 - Accent 2"/>
    <w:basedOn w:val="73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5" w:customStyle="1">
    <w:name w:val="Grid Table 4 - Accent 3"/>
    <w:basedOn w:val="73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3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7" w:customStyle="1">
    <w:name w:val="Grid Table 4 - Accent 5"/>
    <w:basedOn w:val="73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3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3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3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3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3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3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6 Colorful - Accent 6"/>
    <w:basedOn w:val="73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3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3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3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3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3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3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3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3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3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3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3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3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3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3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3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3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2" w:customStyle="1">
    <w:name w:val="List Table 2 - Accent 5"/>
    <w:basedOn w:val="73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3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3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3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3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3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3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3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3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3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3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3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3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3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3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3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3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3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3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3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3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7" w:customStyle="1">
    <w:name w:val="List Table 6 Colorful - Accent 2"/>
    <w:basedOn w:val="73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8" w:customStyle="1">
    <w:name w:val="List Table 6 Colorful - Accent 3"/>
    <w:basedOn w:val="73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9" w:customStyle="1">
    <w:name w:val="List Table 6 Colorful - Accent 4"/>
    <w:basedOn w:val="73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0" w:customStyle="1">
    <w:name w:val="List Table 6 Colorful - Accent 5"/>
    <w:basedOn w:val="73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1" w:customStyle="1">
    <w:name w:val="List Table 6 Colorful - Accent 6"/>
    <w:basedOn w:val="73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2"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3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3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3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3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3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3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3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73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73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3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73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3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3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3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73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3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73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73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Footnote Text Char"/>
    <w:link w:val="754"/>
    <w:uiPriority w:val="99"/>
    <w:qFormat/>
    <w:rPr>
      <w:sz w:val="18"/>
    </w:rPr>
  </w:style>
  <w:style w:type="character" w:styleId="911" w:customStyle="1">
    <w:name w:val="Endnote Text Char"/>
    <w:link w:val="748"/>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Default"/>
    <w:basedOn w:val="727"/>
    <w:uiPriority w:val="0"/>
    <w:semiHidden/>
    <w:qFormat/>
    <w:pPr>
      <w:jc w:val="left"/>
    </w:pPr>
    <w:rPr>
      <w:rFonts w:ascii="宋体" w:hAnsi="Calibri" w:cs="宋体"/>
      <w:color w:val="000000"/>
      <w:sz w:val="24"/>
    </w:rPr>
  </w:style>
  <w:style w:type="paragraph" w:styleId="914" w:customStyle="1">
    <w:name w:val="TOC 71"/>
    <w:next w:val="727"/>
    <w:uiPriority w:val="0"/>
    <w:qFormat/>
    <w:pPr>
      <w:ind w:left="2550"/>
      <w:jc w:val="both"/>
    </w:pPr>
    <w:rPr>
      <w:rFonts w:hint="default" w:ascii="Times New Roman" w:hAnsi="Times New Roman" w:eastAsia="宋体" w:cs="Times New Roman"/>
      <w:sz w:val="21"/>
      <w:szCs w:val="22"/>
      <w:lang w:val="en-US" w:eastAsia="zh-CN" w:bidi="ar-SA"/>
    </w:rPr>
  </w:style>
  <w:style w:type="character" w:styleId="915" w:customStyle="1">
    <w:name w:val="页眉 Char"/>
    <w:basedOn w:val="737"/>
    <w:link w:val="750"/>
    <w:uiPriority w:val="0"/>
    <w:qFormat/>
    <w:rPr>
      <w:rFonts w:asciiTheme="minorHAnsi" w:hAnsiTheme="minorHAnsi" w:eastAsiaTheme="minorEastAsia" w:cstheme="minorBidi"/>
      <w:sz w:val="18"/>
      <w:szCs w:val="18"/>
    </w:rPr>
  </w:style>
  <w:style w:type="character" w:styleId="916" w:customStyle="1">
    <w:name w:val="页脚 Char"/>
    <w:basedOn w:val="737"/>
    <w:link w:val="749"/>
    <w:uiPriority w:val="0"/>
    <w:qFormat/>
    <w:rPr>
      <w:rFonts w:asciiTheme="minorHAnsi" w:hAnsiTheme="minorHAnsi" w:eastAsiaTheme="minorEastAsia" w:cstheme="minorBidi"/>
      <w:sz w:val="18"/>
      <w:szCs w:val="18"/>
    </w:rPr>
  </w:style>
  <w:style w:type="paragraph" w:styleId="9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8" w:customStyle="1">
    <w:name w:val="页脚1"/>
    <w:basedOn w:val="727"/>
    <w:uiPriority w:val="99"/>
    <w:unhideWhenUsed/>
    <w:qFormat/>
    <w:pPr>
      <w:jc w:val="left"/>
      <w:tabs>
        <w:tab w:val="center" w:pos="4153" w:leader="none"/>
        <w:tab w:val="right" w:pos="8306" w:leader="none"/>
      </w:tabs>
    </w:pPr>
    <w:rPr>
      <w:sz w:val="18"/>
      <w:szCs w:val="18"/>
    </w:rPr>
  </w:style>
  <w:style w:type="paragraph" w:styleId="919" w:customStyle="1">
    <w:name w:val="普通正文"/>
    <w:basedOn w:val="727"/>
    <w:uiPriority w:val="0"/>
    <w:qFormat/>
    <w:pPr>
      <w:ind w:firstLine="480"/>
      <w:jc w:val="left"/>
      <w:spacing w:before="120" w:after="120" w:line="360" w:lineRule="auto"/>
    </w:pPr>
    <w:rPr>
      <w:rFonts w:ascii="Arial" w:hAnsi="Arial" w:eastAsia="等线" w:cs="Arial"/>
      <w:sz w:val="24"/>
      <w:szCs w:val="24"/>
    </w:rPr>
  </w:style>
  <w:style w:type="paragraph" w:styleId="920" w:customStyle="1">
    <w:name w:val="正文首行缩进 21"/>
    <w:basedOn w:val="921"/>
    <w:uiPriority w:val="0"/>
    <w:qFormat/>
    <w:pPr>
      <w:ind w:firstLine="420"/>
    </w:pPr>
  </w:style>
  <w:style w:type="paragraph" w:styleId="921" w:customStyle="1">
    <w:name w:val="正文文本缩进1"/>
    <w:basedOn w:val="727"/>
    <w:uiPriority w:val="0"/>
    <w:qFormat/>
    <w:pPr>
      <w:ind w:left="420"/>
      <w:spacing w:after="120"/>
    </w:pPr>
  </w:style>
  <w:style w:type="paragraph" w:styleId="922" w:customStyle="1">
    <w:name w:val="WPSOffice手动目录 1"/>
    <w:uiPriority w:val="0"/>
    <w:qFormat/>
    <w:rPr>
      <w:rFonts w:hint="default" w:ascii="Times New Roman" w:hAnsi="Times New Roman" w:eastAsia="宋体" w:cs="Times New Roman"/>
      <w:sz w:val="20"/>
      <w:szCs w:val="20"/>
    </w:rPr>
  </w:style>
  <w:style w:type="paragraph" w:styleId="923" w:customStyle="1">
    <w:name w:val="普通(网站)1"/>
    <w:basedOn w:val="727"/>
    <w:uiPriority w:val="99"/>
    <w:qFormat/>
    <w:pPr>
      <w:jc w:val="left"/>
      <w:spacing w:before="100" w:beforeAutospacing="1" w:after="100" w:afterAutospacing="1"/>
      <w:widowControl/>
    </w:pPr>
    <w:rPr>
      <w:rFonts w:ascii="宋体" w:hAnsi="宋体" w:cs="宋体"/>
      <w:sz w:val="24"/>
    </w:rPr>
  </w:style>
  <w:style w:type="paragraph" w:styleId="924" w:customStyle="1">
    <w:name w:val="正文大间距"/>
    <w:basedOn w:val="727"/>
    <w:uiPriority w:val="0"/>
    <w:qFormat/>
    <w:pPr>
      <w:spacing w:line="460" w:lineRule="exact"/>
    </w:pPr>
    <w:rPr>
      <w:rFonts w:hint="eastAsia"/>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136</cp:revision>
  <dcterms:created xsi:type="dcterms:W3CDTF">2014-10-29T12:08:00Z</dcterms:created>
  <dcterms:modified xsi:type="dcterms:W3CDTF">2025-10-16T02:22:26Z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938AEAAACD16411DB0CB8B29990EAC14_13</vt:lpwstr>
  </property>
  <property fmtid="{D5CDD505-2E9C-101B-9397-08002B2CF9AE}" pid="4" name="KSOTemplateDocerSaveRecord">
    <vt:lpwstr>eyJoZGlkIjoiZjZmMTU1ZmU3M2QyZDY2MTY4OGUyYzU0NDIxNTUzNTQiLCJ1c2VySWQiOiIyOTcyMTgzMDIifQ==</vt:lpwstr>
  </property>
</Properties>
</file>