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0"/>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10769"/>
      <w:r/>
      <w:bookmarkStart w:id="1" w:name="_Toc5544"/>
      <w:r/>
      <w:bookmarkStart w:id="2" w:name="_Toc2539"/>
      <w:r/>
      <w:bookmarkStart w:id="3" w:name="_Toc6554"/>
      <w:r/>
      <w:bookmarkStart w:id="4" w:name="_Toc3793"/>
      <w:r/>
      <w:bookmarkStart w:id="5" w:name="_Toc6715"/>
      <w:r/>
      <w:r/>
    </w:p>
    <w:p>
      <w:pPr>
        <w:pStyle w:val="1050"/>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105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5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5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50"/>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50"/>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rPr>
        <w:outlineLvl w:val="9"/>
      </w:pPr>
      <w:r/>
      <w:bookmarkStart w:id="6" w:name="_Toc17697"/>
      <w:r/>
      <w:bookmarkStart w:id="7" w:name="_Toc14121"/>
      <w:r/>
      <w:bookmarkStart w:id="8" w:name="_Toc2262"/>
      <w:r>
        <w:rPr>
          <w:rFonts w:hint="eastAsia" w:ascii="宋体" w:hAnsi="宋体" w:eastAsia="宋体" w:cs="宋体"/>
          <w:b/>
          <w:bCs/>
          <w:sz w:val="32"/>
          <w:szCs w:val="32"/>
          <w:highlight w:val="none"/>
        </w:rPr>
        <w:t xml:space="preserve">项目名称：张家港市殡仪馆食堂餐饮服务项目</w:t>
      </w:r>
      <w:bookmarkEnd w:id="6"/>
      <w:r/>
      <w:bookmarkEnd w:id="7"/>
      <w:r/>
      <w:bookmarkEnd w:id="8"/>
      <w:r/>
      <w:r/>
    </w:p>
    <w:p>
      <w:pPr>
        <w:pStyle w:val="1050"/>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JSZC-320582-XDZX-G2024-0010</w:t>
      </w:r>
      <w:r/>
    </w:p>
    <w:p>
      <w:pPr>
        <w:pStyle w:val="1050"/>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1050"/>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25"/>
        <w:rPr>
          <w:b/>
          <w:bCs/>
          <w:sz w:val="32"/>
          <w:szCs w:val="32"/>
          <w:highlight w:val="none"/>
        </w:rPr>
      </w:pPr>
      <w:r>
        <w:rPr>
          <w:b/>
          <w:bCs/>
          <w:sz w:val="32"/>
          <w:szCs w:val="32"/>
          <w:highlight w:val="none"/>
        </w:rPr>
      </w:r>
      <w:r/>
    </w:p>
    <w:p>
      <w:pPr>
        <w:pStyle w:val="1025"/>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1049"/>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1049"/>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b/>
          <w:bCs/>
          <w:sz w:val="32"/>
          <w:szCs w:val="32"/>
          <w:highlight w:val="none"/>
        </w:rPr>
        <w:outlineLvl w:val="9"/>
      </w:pPr>
      <w:r/>
      <w:bookmarkStart w:id="9" w:name="_Toc9512"/>
      <w:r/>
      <w:bookmarkStart w:id="10" w:name="_Toc29602"/>
      <w:r/>
      <w:bookmarkStart w:id="11" w:name="_Toc3469"/>
      <w:r>
        <w:rPr>
          <w:rFonts w:hint="eastAsia"/>
          <w:b/>
          <w:bCs/>
          <w:sz w:val="32"/>
          <w:szCs w:val="32"/>
          <w:highlight w:val="none"/>
        </w:rPr>
        <w:t xml:space="preserve">张家港市旭</w:t>
      </w:r>
      <w:bookmarkStart w:id="12" w:name="_Toc513029200"/>
      <w:r/>
      <w:bookmarkStart w:id="13" w:name="_Toc523127445"/>
      <w:r/>
      <w:bookmarkStart w:id="14" w:name="_Toc479757206"/>
      <w:r/>
      <w:bookmarkStart w:id="15" w:name="_Toc120614211"/>
      <w:r/>
      <w:bookmarkStart w:id="16" w:name="_Toc20823272"/>
      <w:r/>
      <w:bookmarkStart w:id="17" w:name="_Toc16938516"/>
      <w:r>
        <w:rPr>
          <w:rFonts w:hint="eastAsia"/>
          <w:b/>
          <w:bCs/>
          <w:sz w:val="32"/>
          <w:szCs w:val="32"/>
          <w:highlight w:val="none"/>
        </w:rPr>
        <w:t xml:space="preserve">达咨询有限公司</w:t>
      </w:r>
      <w:bookmarkEnd w:id="9"/>
      <w:r/>
      <w:bookmarkEnd w:id="10"/>
      <w:r/>
      <w:bookmarkEnd w:id="11"/>
      <w:r/>
      <w:r/>
    </w:p>
    <w:p>
      <w:pPr>
        <w:pStyle w:val="1050"/>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28"/>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rPr>
        <w:t xml:space="preserve">二〇二</w:t>
      </w:r>
      <w:r>
        <w:rPr>
          <w:rFonts w:hint="eastAsia" w:ascii="宋体" w:hAnsi="宋体"/>
          <w:b/>
          <w:bCs/>
          <w:sz w:val="32"/>
          <w:szCs w:val="32"/>
          <w:highlight w:val="none"/>
          <w:lang w:val="en-US" w:eastAsia="zh-CN"/>
        </w:rPr>
        <w:t xml:space="preserve">四</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8"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_Toc17527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_Toc17527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_Toc29007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_Toc29007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_Toc26922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_Toc26922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12</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_Toc18404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_Toc18404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_Toc21635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_Toc21635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_Toc299 </w:instrText>
      </w:r>
      <w:r>
        <w:rPr>
          <w:rFonts w:hint="eastAsia" w:ascii="宋体" w:hAnsi="宋体" w:eastAsia="宋体" w:cs="宋体"/>
          <w:sz w:val="28"/>
          <w:szCs w:val="36"/>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_Toc299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28</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ind w:firstLine="0"/>
        <w:keepLines w:val="0"/>
        <w:keepNext w:val="0"/>
        <w:pageBreakBefore w:val="0"/>
        <w:spacing w:line="480" w:lineRule="auto"/>
        <w:widowControl w:val="off"/>
      </w:pPr>
      <w:r>
        <w:rPr>
          <w:rFonts w:hint="eastAsia" w:ascii="宋体" w:hAnsi="宋体" w:eastAsia="宋体" w:cs="宋体"/>
          <w:sz w:val="28"/>
          <w:szCs w:val="36"/>
        </w:rPr>
        <w:fldChar w:fldCharType="end"/>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bookmarkEnd w:id="18"/>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9" w:name="_Toc789"/>
      <w:r/>
      <w:bookmarkStart w:id="20" w:name="_Toc3895"/>
      <w:r/>
      <w:bookmarkStart w:id="21" w:name="_Toc17527"/>
      <w:r/>
      <w:bookmarkStart w:id="22" w:name="_Toc23092"/>
      <w:r/>
      <w:bookmarkStart w:id="23" w:name="_Toc25300"/>
      <w:r/>
      <w:bookmarkStart w:id="24" w:name="_Toc31221"/>
      <w:r>
        <w:rPr>
          <w:rFonts w:hint="eastAsia" w:ascii="宋体" w:hAnsi="宋体" w:eastAsia="宋体" w:cs="宋体"/>
          <w:b/>
          <w:bCs/>
          <w:sz w:val="32"/>
          <w:szCs w:val="32"/>
          <w:highlight w:val="none"/>
          <w:lang w:val="en-US" w:eastAsia="zh-CN" w:bidi="ar-SA"/>
        </w:rPr>
        <w:t xml:space="preserve">投标邀请</w:t>
      </w:r>
      <w:bookmarkEnd w:id="19"/>
      <w:r/>
      <w:bookmarkEnd w:id="20"/>
      <w:r/>
      <w:bookmarkEnd w:id="21"/>
      <w:r/>
      <w:bookmarkEnd w:id="22"/>
      <w:r/>
      <w:bookmarkEnd w:id="23"/>
      <w:r/>
      <w:bookmarkEnd w:id="24"/>
      <w:r/>
      <w:r/>
    </w:p>
    <w:p>
      <w:pPr>
        <w:numPr>
          <w:ilvl w:val="0"/>
          <w:numId w:val="0"/>
        </w:numPr>
        <w:ind w:firstLine="480"/>
        <w:spacing w:line="400" w:lineRule="exact"/>
      </w:pPr>
      <w:r>
        <w:rPr>
          <w:rFonts w:hint="eastAsia" w:ascii="宋体" w:hAnsi="宋体" w:eastAsia="宋体" w:cs="宋体"/>
          <w:color w:val="000000"/>
          <w:sz w:val="24"/>
          <w:szCs w:val="24"/>
          <w:u w:val="none"/>
        </w:rPr>
        <w:t xml:space="preserve">张家港市殡仪馆食堂餐饮服务</w:t>
      </w:r>
      <w:r>
        <w:rPr>
          <w:rFonts w:hint="eastAsia" w:ascii="宋体" w:hAnsi="宋体" w:cs="宋体"/>
          <w:sz w:val="24"/>
        </w:rPr>
        <w:t xml:space="preserve">项目的潜在投标人应在“苏采云政府采购一体化平台”中参与</w:t>
      </w:r>
      <w:r>
        <w:rPr>
          <w:rFonts w:hint="eastAsia" w:ascii="宋体" w:hAnsi="宋体" w:cs="宋体"/>
          <w:sz w:val="24"/>
          <w:lang w:val="en-US" w:eastAsia="zh-CN"/>
        </w:rPr>
        <w:t xml:space="preserve">本</w:t>
      </w:r>
      <w:r>
        <w:rPr>
          <w:rFonts w:hint="eastAsia" w:ascii="宋体" w:hAnsi="宋体" w:cs="宋体"/>
          <w:sz w:val="24"/>
        </w:rPr>
        <w:t xml:space="preserve">项目并下载获取电子招标文件，并于2024年0</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19</w:t>
      </w:r>
      <w:r>
        <w:rPr>
          <w:rFonts w:hint="eastAsia" w:ascii="宋体" w:hAnsi="宋体" w:cs="宋体"/>
          <w:sz w:val="24"/>
        </w:rPr>
        <w:t xml:space="preserve">日</w:t>
      </w:r>
      <w:r>
        <w:rPr>
          <w:rFonts w:hint="eastAsia" w:ascii="宋体" w:hAnsi="宋体" w:cs="宋体"/>
          <w:sz w:val="24"/>
          <w:lang w:val="en-US" w:eastAsia="zh-CN"/>
        </w:rPr>
        <w:t xml:space="preserve">13</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0（北京时间）前上传电子投标文件。</w:t>
      </w:r>
      <w:r/>
    </w:p>
    <w:p>
      <w:pPr>
        <w:numPr>
          <w:ilvl w:val="0"/>
          <w:numId w:val="3"/>
        </w:numPr>
        <w:ind w:firstLine="0"/>
        <w:spacing w:line="400" w:lineRule="exact"/>
        <w:rPr>
          <w:rFonts w:hint="eastAsia" w:ascii="宋体" w:hAnsi="宋体" w:eastAsia="宋体" w:cs="宋体"/>
          <w:b/>
          <w:bCs/>
          <w:i w:val="0"/>
          <w:iCs w:val="0"/>
          <w:sz w:val="24"/>
          <w:u w:val="none"/>
        </w:rPr>
        <w:outlineLvl w:val="1"/>
      </w:pPr>
      <w:r/>
      <w:bookmarkStart w:id="25" w:name="_Toc1246"/>
      <w:r/>
      <w:bookmarkStart w:id="26" w:name="_Toc19500"/>
      <w:r/>
      <w:bookmarkStart w:id="27" w:name="_Toc22623"/>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25"/>
      <w:r/>
      <w:bookmarkEnd w:id="26"/>
      <w:r/>
      <w:bookmarkEnd w:id="27"/>
      <w:r/>
      <w:r/>
    </w:p>
    <w:p>
      <w:pPr>
        <w:ind w:firstLine="480"/>
        <w:jc w:val="left"/>
        <w:spacing w:line="400" w:lineRule="exact"/>
        <w:rPr>
          <w:rFonts w:hint="eastAsia" w:ascii="宋体" w:hAnsi="宋体" w:cs="宋体"/>
          <w:sz w:val="24"/>
        </w:rPr>
      </w:pPr>
      <w:r>
        <w:rPr>
          <w:rFonts w:hint="eastAsia" w:ascii="宋体" w:hAnsi="宋体" w:cs="宋体"/>
          <w:sz w:val="24"/>
        </w:rPr>
        <w:t xml:space="preserve">项目名称：张家港市殡仪馆食堂餐饮服务项目       </w:t>
      </w:r>
      <w:r/>
    </w:p>
    <w:p>
      <w:pPr>
        <w:ind w:firstLine="480"/>
        <w:jc w:val="left"/>
        <w:spacing w:line="400" w:lineRule="exact"/>
        <w:rPr>
          <w:rFonts w:hint="eastAsia" w:ascii="宋体" w:hAnsi="宋体" w:eastAsia="宋体" w:cs="宋体"/>
          <w:sz w:val="24"/>
          <w:lang w:val="en-US" w:eastAsia="zh-CN"/>
        </w:rPr>
      </w:pPr>
      <w:r>
        <w:rPr>
          <w:rFonts w:hint="eastAsia" w:ascii="宋体" w:hAnsi="宋体" w:cs="宋体"/>
          <w:sz w:val="24"/>
        </w:rPr>
        <w:t xml:space="preserve">项目编号：</w:t>
      </w:r>
      <w:r>
        <w:rPr>
          <w:rFonts w:hint="eastAsia" w:ascii="宋体" w:hAnsi="宋体" w:cs="宋体"/>
          <w:sz w:val="24"/>
          <w:lang w:eastAsia="zh-CN"/>
        </w:rPr>
        <w:t xml:space="preserve">JSZC-320582-XDZX-G2024-0010</w:t>
      </w:r>
      <w:r/>
    </w:p>
    <w:p>
      <w:pPr>
        <w:ind w:firstLine="480"/>
        <w:jc w:val="left"/>
        <w:spacing w:line="400" w:lineRule="exact"/>
        <w:rPr>
          <w:rFonts w:hint="eastAsia" w:ascii="宋体" w:hAnsi="宋体" w:cs="宋体"/>
          <w:sz w:val="24"/>
        </w:rPr>
      </w:pPr>
      <w:r>
        <w:rPr>
          <w:rFonts w:hint="eastAsia" w:ascii="宋体" w:hAnsi="宋体" w:cs="宋体"/>
          <w:sz w:val="24"/>
        </w:rPr>
        <w:t xml:space="preserve">预算</w:t>
      </w:r>
      <w:r>
        <w:rPr>
          <w:rFonts w:hint="eastAsia" w:ascii="宋体" w:hAnsi="宋体" w:cs="宋体"/>
          <w:sz w:val="24"/>
          <w:lang w:val="en-US" w:eastAsia="zh-CN"/>
        </w:rPr>
        <w:t xml:space="preserve">金额</w:t>
      </w:r>
      <w:r>
        <w:rPr>
          <w:rFonts w:hint="eastAsia" w:ascii="宋体" w:hAnsi="宋体" w:cs="宋体"/>
          <w:sz w:val="24"/>
        </w:rPr>
        <w:t xml:space="preserve">：</w:t>
      </w:r>
      <w:r>
        <w:rPr>
          <w:rFonts w:hint="eastAsia" w:ascii="宋体" w:hAnsi="宋体" w:cs="宋体"/>
          <w:sz w:val="24"/>
          <w:lang w:val="en-US" w:eastAsia="zh-CN"/>
        </w:rPr>
        <w:t xml:space="preserve">60.4</w:t>
      </w:r>
      <w:r>
        <w:rPr>
          <w:rFonts w:hint="eastAsia" w:ascii="宋体" w:hAnsi="宋体" w:cs="宋体"/>
          <w:sz w:val="24"/>
        </w:rPr>
        <w:t xml:space="preserve">万元</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最高限价：</w:t>
      </w:r>
      <w:r>
        <w:rPr>
          <w:rFonts w:hint="eastAsia" w:ascii="宋体" w:hAnsi="宋体" w:cs="宋体"/>
          <w:sz w:val="24"/>
          <w:lang w:val="en-US" w:eastAsia="zh-CN"/>
        </w:rPr>
        <w:t xml:space="preserve">60.4</w:t>
      </w:r>
      <w:r>
        <w:rPr>
          <w:rFonts w:hint="eastAsia" w:ascii="宋体" w:hAnsi="宋体" w:eastAsia="宋体" w:cs="宋体"/>
          <w:sz w:val="24"/>
          <w:lang w:val="en-US" w:eastAsia="zh-CN"/>
        </w:rPr>
        <w:t xml:space="preserve">万</w:t>
      </w:r>
      <w:r>
        <w:rPr>
          <w:rFonts w:hint="eastAsia" w:ascii="宋体" w:hAnsi="宋体" w:eastAsia="宋体" w:cs="宋体"/>
          <w:sz w:val="24"/>
        </w:rPr>
        <w:t xml:space="preserve">元</w:t>
      </w:r>
      <w:bookmarkStart w:id="212" w:name="_GoBack"/>
      <w:r/>
      <w:bookmarkEnd w:id="212"/>
      <w:r/>
      <w:r/>
    </w:p>
    <w:p>
      <w:p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采购需求：具体要求详见项目需求</w:t>
      </w:r>
      <w:r>
        <w:rPr>
          <w:rFonts w:hint="eastAsia" w:ascii="宋体" w:hAnsi="宋体" w:cs="宋体"/>
          <w:sz w:val="24"/>
          <w:lang w:eastAsia="zh-CN"/>
        </w:rPr>
        <w:t xml:space="preserve">。</w:t>
      </w:r>
      <w:r/>
    </w:p>
    <w:p>
      <w:pPr>
        <w:ind w:firstLine="480"/>
        <w:jc w:val="left"/>
        <w:spacing w:line="400" w:lineRule="exact"/>
        <w:widowControl/>
        <w:rPr>
          <w:rFonts w:ascii="宋体" w:hAnsi="宋体" w:cs="宋体"/>
          <w:sz w:val="24"/>
          <w:lang w:bidi="ar"/>
        </w:rPr>
      </w:pPr>
      <w:r>
        <w:rPr>
          <w:rFonts w:hint="eastAsia" w:ascii="宋体" w:hAnsi="宋体" w:cs="宋体"/>
          <w:sz w:val="24"/>
          <w:lang w:val="en-US" w:eastAsia="zh-CN"/>
        </w:rPr>
        <w:t xml:space="preserve">合同履行</w:t>
      </w:r>
      <w:r>
        <w:rPr>
          <w:rFonts w:hint="eastAsia" w:ascii="宋体" w:hAnsi="宋体" w:cs="宋体"/>
          <w:sz w:val="24"/>
        </w:rPr>
        <w:t xml:space="preserve">期限：</w:t>
      </w:r>
      <w:r>
        <w:rPr>
          <w:rFonts w:hint="eastAsia" w:ascii="宋体" w:hAnsi="宋体" w:cs="宋体"/>
          <w:sz w:val="24"/>
          <w:lang w:val="en-US" w:eastAsia="zh-CN"/>
        </w:rPr>
        <w:t xml:space="preserve">合同签订</w:t>
      </w:r>
      <w:r>
        <w:rPr>
          <w:rFonts w:hint="eastAsia" w:ascii="宋体" w:hAnsi="宋体" w:cs="宋体"/>
          <w:sz w:val="24"/>
          <w:highlight w:val="none"/>
          <w:lang w:val="en-US" w:eastAsia="zh-CN"/>
        </w:rPr>
        <w:t xml:space="preserve">后一年的服务期</w:t>
      </w:r>
      <w:r>
        <w:rPr>
          <w:rFonts w:hint="eastAsia" w:ascii="宋体" w:hAnsi="宋体" w:cs="宋体"/>
          <w:sz w:val="24"/>
        </w:rPr>
        <w:t xml:space="preserve">。</w:t>
      </w:r>
      <w:r/>
    </w:p>
    <w:p>
      <w:pPr>
        <w:numPr>
          <w:ilvl w:val="0"/>
          <w:numId w:val="3"/>
        </w:numPr>
        <w:ind w:firstLine="0"/>
        <w:spacing w:line="400" w:lineRule="exact"/>
        <w:rPr>
          <w:rFonts w:hint="eastAsia" w:ascii="宋体" w:hAnsi="宋体" w:cs="宋体"/>
          <w:b/>
          <w:bCs/>
          <w:i w:val="0"/>
          <w:iCs w:val="0"/>
          <w:sz w:val="24"/>
          <w:u w:val="none"/>
        </w:rPr>
        <w:outlineLvl w:val="1"/>
      </w:pPr>
      <w:r/>
      <w:bookmarkStart w:id="28" w:name="_Toc7697"/>
      <w:r/>
      <w:bookmarkStart w:id="29" w:name="_Toc23113"/>
      <w:r/>
      <w:bookmarkStart w:id="30" w:name="_Toc3044"/>
      <w:r>
        <w:rPr>
          <w:rFonts w:hint="eastAsia" w:ascii="宋体" w:hAnsi="宋体" w:cs="宋体"/>
          <w:b/>
          <w:bCs/>
          <w:i w:val="0"/>
          <w:iCs w:val="0"/>
          <w:sz w:val="24"/>
          <w:u w:val="none"/>
        </w:rPr>
        <w:t xml:space="preserve">供应商资格要求</w:t>
      </w:r>
      <w:bookmarkEnd w:id="28"/>
      <w:r/>
      <w:bookmarkEnd w:id="29"/>
      <w:r/>
      <w:bookmarkEnd w:id="30"/>
      <w:r/>
      <w:r/>
    </w:p>
    <w:p>
      <w:pPr>
        <w:pStyle w:val="1049"/>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1049"/>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p>
    <w:p>
      <w:pPr>
        <w:pStyle w:val="104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outlineLvl w:val="9"/>
      </w:pPr>
      <w:r/>
      <w:bookmarkStart w:id="31" w:name="_Toc17592"/>
      <w:r>
        <w:rPr>
          <w:rFonts w:hint="eastAsia" w:ascii="宋体" w:hAnsi="宋体" w:eastAsia="宋体" w:cs="宋体"/>
          <w:i w:val="0"/>
          <w:iCs w:val="0"/>
          <w:sz w:val="24"/>
          <w:szCs w:val="24"/>
          <w:highlight w:val="none"/>
          <w:u w:val="none"/>
          <w:lang w:val="en-US" w:eastAsia="zh-CN"/>
        </w:rPr>
        <w:t xml:space="preserve">2.1本项目专门面向中小企业采购</w:t>
      </w:r>
      <w:bookmarkEnd w:id="31"/>
      <w:r>
        <w:rPr>
          <w:rFonts w:hint="eastAsia" w:ascii="宋体" w:hAnsi="宋体" w:eastAsia="宋体" w:cs="宋体"/>
          <w:i w:val="0"/>
          <w:iCs w:val="0"/>
          <w:sz w:val="24"/>
          <w:szCs w:val="24"/>
          <w:highlight w:val="none"/>
          <w:u w:val="none"/>
          <w:lang w:val="en-US" w:eastAsia="zh-CN"/>
        </w:rPr>
        <w:t xml:space="preserve">。</w:t>
      </w:r>
      <w:r/>
    </w:p>
    <w:p>
      <w:pPr>
        <w:pStyle w:val="104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注：1.根据《关于促进残疾人就业政府采购政策的通知》（财库〔2017〕141号）的通知规定，在政府采购活动中，残疾人福利性单位视同小型、微型企业。</w:t>
      </w:r>
      <w:r/>
    </w:p>
    <w:p>
      <w:pPr>
        <w:pStyle w:val="104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2.根据《关于政府采购支持监狱企业发展有关问题的通知》（财库〔2014〕68号）的通知规定，在政府采购活动中，监狱企业视同小型、微型企业。</w:t>
      </w:r>
      <w:r/>
    </w:p>
    <w:p>
      <w:pPr>
        <w:pStyle w:val="1049"/>
        <w:numPr>
          <w:ilvl w:val="0"/>
          <w:numId w:val="4"/>
        </w:numPr>
        <w:ind w:left="0"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本项目的特定资格要求：</w:t>
      </w:r>
      <w:r>
        <w:rPr>
          <w:rFonts w:hint="eastAsia" w:ascii="宋体" w:hAnsi="宋体" w:eastAsia="宋体" w:cs="宋体"/>
          <w:i w:val="0"/>
          <w:iCs w:val="0"/>
          <w:sz w:val="24"/>
          <w:szCs w:val="24"/>
          <w:highlight w:val="none"/>
          <w:u w:val="none"/>
          <w:lang w:val="en-US" w:eastAsia="zh-CN"/>
        </w:rPr>
        <w:t xml:space="preserve">具备有效期内的食品经营许可证。</w:t>
      </w:r>
      <w:r/>
    </w:p>
    <w:p>
      <w:pPr>
        <w:pStyle w:val="1049"/>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本项目不接受联合体投标。 </w:t>
      </w:r>
      <w:r/>
    </w:p>
    <w:p>
      <w:pPr>
        <w:pStyle w:val="1049"/>
        <w:numPr>
          <w:ilvl w:val="0"/>
          <w:numId w:val="4"/>
        </w:numPr>
        <w:ind w:left="0" w:firstLine="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ascii="宋体" w:hAnsi="宋体" w:eastAsia="宋体" w:cs="宋体"/>
          <w:i w:val="0"/>
          <w:iCs w:val="0"/>
          <w:sz w:val="24"/>
          <w:szCs w:val="24"/>
          <w:highlight w:val="none"/>
          <w:u w:val="none"/>
        </w:rPr>
        <w:t xml:space="preserve">本项目不允许进口产品投标。</w:t>
      </w:r>
      <w:r/>
    </w:p>
    <w:p>
      <w:pPr>
        <w:pStyle w:val="1049"/>
        <w:numPr>
          <w:ilvl w:val="0"/>
          <w:numId w:val="4"/>
        </w:numPr>
        <w:ind w:left="0" w:firstLine="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ascii="宋体" w:hAnsi="宋体" w:eastAsia="宋体" w:cs="宋体"/>
          <w:bCs w:val="0"/>
          <w:i w:val="0"/>
          <w:iCs/>
          <w:sz w:val="24"/>
          <w:szCs w:val="24"/>
          <w:highlight w:val="none"/>
          <w:u w:val="none"/>
        </w:rPr>
        <w:t xml:space="preserve">拒绝</w:t>
      </w:r>
      <w:r>
        <w:rPr>
          <w:rFonts w:hint="eastAsia" w:ascii="宋体" w:hAnsi="宋体" w:eastAsia="宋体" w:cs="宋体"/>
          <w:i w:val="0"/>
          <w:iCs/>
          <w:sz w:val="24"/>
          <w:szCs w:val="24"/>
          <w:highlight w:val="none"/>
          <w:u w:val="none"/>
        </w:rPr>
        <w:t xml:space="preserve">下述供应商参加本次</w:t>
      </w:r>
      <w:r>
        <w:rPr>
          <w:rFonts w:hint="eastAsia" w:ascii="宋体" w:hAnsi="宋体" w:eastAsia="宋体" w:cs="宋体"/>
          <w:i w:val="0"/>
          <w:iCs/>
          <w:sz w:val="24"/>
          <w:szCs w:val="24"/>
          <w:highlight w:val="none"/>
          <w:u w:val="none"/>
          <w:lang w:val="en-US" w:eastAsia="zh-CN"/>
        </w:rPr>
        <w:t xml:space="preserve">招投标</w:t>
      </w:r>
      <w:r>
        <w:rPr>
          <w:rFonts w:hint="eastAsia" w:ascii="宋体" w:hAnsi="宋体" w:eastAsia="宋体" w:cs="宋体"/>
          <w:i w:val="0"/>
          <w:iCs/>
          <w:sz w:val="24"/>
          <w:szCs w:val="24"/>
          <w:highlight w:val="none"/>
          <w:u w:val="none"/>
        </w:rPr>
        <w:t xml:space="preserve">活动：</w:t>
      </w:r>
      <w:r/>
    </w:p>
    <w:p>
      <w:pPr>
        <w:pStyle w:val="1049"/>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6.1</w:t>
      </w:r>
      <w:r>
        <w:rPr>
          <w:rFonts w:hint="eastAsia" w:ascii="宋体" w:hAnsi="宋体" w:eastAsia="宋体" w:cs="宋体"/>
          <w:i w:val="0"/>
          <w:iCs w:val="0"/>
          <w:sz w:val="24"/>
          <w:szCs w:val="24"/>
          <w:highlight w:val="none"/>
          <w:u w:val="none"/>
        </w:rPr>
        <w:t xml:space="preserve">单位负责人为同一人或者存在直接控股、管理关系的不同供应商，不得参加同一合同下的政府采购活动；</w:t>
      </w:r>
      <w:r/>
    </w:p>
    <w:p>
      <w:pPr>
        <w:pStyle w:val="1049"/>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6.2</w:t>
      </w:r>
      <w:r>
        <w:rPr>
          <w:rFonts w:hint="eastAsia" w:ascii="宋体" w:hAnsi="宋体" w:eastAsia="宋体" w:cs="宋体"/>
          <w:i w:val="0"/>
          <w:iCs w:val="0"/>
          <w:sz w:val="24"/>
          <w:szCs w:val="24"/>
          <w:highlight w:val="none"/>
          <w:u w:val="non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2" w:name="_Toc11655"/>
      <w:r/>
      <w:bookmarkStart w:id="33" w:name="_Toc10458"/>
      <w:r/>
      <w:bookmarkStart w:id="34" w:name="_Toc29811"/>
      <w:r>
        <w:rPr>
          <w:rFonts w:hint="eastAsia" w:ascii="宋体" w:hAnsi="宋体" w:eastAsia="宋体" w:cs="宋体"/>
          <w:b/>
          <w:bCs/>
          <w:sz w:val="24"/>
          <w:szCs w:val="24"/>
          <w:highlight w:val="none"/>
        </w:rPr>
        <w:t xml:space="preserve">获取招标文件</w:t>
      </w:r>
      <w:bookmarkEnd w:id="32"/>
      <w:r/>
      <w:bookmarkEnd w:id="33"/>
      <w:r/>
      <w:bookmarkEnd w:id="34"/>
      <w:r/>
      <w:r/>
    </w:p>
    <w:p>
      <w:pPr>
        <w:pStyle w:val="1049"/>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35" w:name="_Toc1910"/>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年</w:t>
      </w:r>
      <w:r>
        <w:rPr>
          <w:rFonts w:hint="eastAsia"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cs="宋体"/>
          <w:sz w:val="24"/>
          <w:szCs w:val="24"/>
          <w:highlight w:val="none"/>
          <w:lang w:val="en-US" w:eastAsia="zh-CN"/>
        </w:rPr>
        <w:t xml:space="preserve">27</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年</w:t>
      </w:r>
      <w:r>
        <w:rPr>
          <w:rFonts w:hint="eastAsia"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cs="宋体"/>
          <w:sz w:val="24"/>
          <w:szCs w:val="24"/>
          <w:highlight w:val="none"/>
          <w:lang w:val="en-US" w:eastAsia="zh-CN"/>
        </w:rPr>
        <w:t xml:space="preserve">3</w:t>
      </w:r>
      <w:r>
        <w:rPr>
          <w:rFonts w:hint="eastAsia" w:ascii="宋体" w:hAnsi="宋体" w:eastAsia="宋体" w:cs="宋体"/>
          <w:sz w:val="24"/>
          <w:szCs w:val="24"/>
          <w:highlight w:val="none"/>
        </w:rPr>
        <w:t xml:space="preserve">日</w:t>
      </w:r>
      <w:bookmarkEnd w:id="35"/>
      <w:r/>
      <w:r/>
    </w:p>
    <w:p>
      <w:pPr>
        <w:pStyle w:val="1049"/>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rPr>
        <w:t xml:space="preserve">：在“苏采云政府采购一体化平台”</w:t>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highlight w:val="none"/>
        </w:rPr>
        <w:t xml:space="preserve">自行免费下载招标文件</w:t>
      </w:r>
      <w:r>
        <w:rPr>
          <w:rFonts w:hint="eastAsia" w:ascii="宋体" w:hAnsi="宋体" w:eastAsia="宋体" w:cs="宋体"/>
          <w:sz w:val="24"/>
          <w:szCs w:val="24"/>
          <w:highlight w:val="none"/>
          <w:lang w:eastAsia="zh-CN"/>
        </w:rPr>
        <w:t xml:space="preserve">，</w:t>
      </w:r>
      <w:r>
        <w:rPr>
          <w:rFonts w:hint="eastAsia"/>
        </w:rPr>
        <w:t xml:space="preserve">本项目不接受现场获取招标文件。</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6" w:name="_Toc14544"/>
      <w:r/>
      <w:bookmarkStart w:id="37" w:name="_Toc22145"/>
      <w:r/>
      <w:bookmarkStart w:id="38" w:name="_Toc18899"/>
      <w:r>
        <w:rPr>
          <w:rFonts w:hint="eastAsia" w:ascii="宋体" w:hAnsi="宋体" w:eastAsia="宋体" w:cs="宋体"/>
          <w:b/>
          <w:bCs/>
          <w:sz w:val="24"/>
          <w:szCs w:val="24"/>
          <w:highlight w:val="none"/>
        </w:rPr>
        <w:t xml:space="preserve">提交投标文件截止时间、开标时间和地点</w:t>
      </w:r>
      <w:bookmarkEnd w:id="36"/>
      <w:r/>
      <w:bookmarkEnd w:id="37"/>
      <w:r/>
      <w:bookmarkEnd w:id="38"/>
      <w:r/>
      <w:r/>
    </w:p>
    <w:p>
      <w:pPr>
        <w:ind w:firstLine="480"/>
        <w:jc w:val="left"/>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19</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9" w:name="_Toc17599"/>
      <w:r/>
      <w:bookmarkStart w:id="40" w:name="_Toc17677"/>
      <w:r/>
      <w:bookmarkStart w:id="41" w:name="_Toc27695"/>
      <w:r>
        <w:rPr>
          <w:rFonts w:hint="eastAsia" w:ascii="宋体" w:hAnsi="宋体" w:eastAsia="宋体" w:cs="宋体"/>
          <w:b/>
          <w:bCs/>
          <w:sz w:val="24"/>
          <w:szCs w:val="24"/>
          <w:highlight w:val="none"/>
        </w:rPr>
        <w:t xml:space="preserve">公告期限</w:t>
      </w:r>
      <w:bookmarkEnd w:id="39"/>
      <w:r/>
      <w:bookmarkEnd w:id="40"/>
      <w:r/>
      <w:bookmarkEnd w:id="41"/>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2" w:name="_Toc3003"/>
      <w:r/>
      <w:bookmarkStart w:id="43" w:name="_Toc20437"/>
      <w:r/>
      <w:bookmarkStart w:id="44" w:name="_Toc10825"/>
      <w:r>
        <w:rPr>
          <w:rFonts w:hint="eastAsia" w:ascii="宋体" w:hAnsi="宋体" w:eastAsia="宋体" w:cs="宋体"/>
          <w:b/>
          <w:bCs/>
          <w:sz w:val="24"/>
          <w:szCs w:val="24"/>
          <w:highlight w:val="none"/>
        </w:rPr>
        <w:t xml:space="preserve">其他补充事宜</w:t>
      </w:r>
      <w:bookmarkEnd w:id="42"/>
      <w:r/>
      <w:bookmarkEnd w:id="43"/>
      <w:r/>
      <w:bookmarkEnd w:id="44"/>
      <w:r/>
      <w:r/>
    </w:p>
    <w:p>
      <w:pPr>
        <w:pStyle w:val="1049"/>
        <w:numPr>
          <w:ilvl w:val="0"/>
          <w:numId w:val="6"/>
        </w:numPr>
        <w:ind w:left="0" w:firstLine="48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文件澄清或者修改内容及项目相关情况的告知方式：</w:t>
      </w:r>
      <w:r>
        <w:rPr>
          <w:rFonts w:hint="eastAsia" w:ascii="宋体" w:hAnsi="宋体" w:eastAsia="宋体" w:cs="宋体"/>
          <w:sz w:val="24"/>
          <w:highlight w:val="none"/>
          <w:lang w:val="en-US" w:eastAsia="zh-CN"/>
        </w:rPr>
        <w:t xml:space="preserve">将</w:t>
      </w:r>
      <w:r>
        <w:rPr>
          <w:rFonts w:hint="eastAsia" w:ascii="宋体" w:hAnsi="宋体" w:eastAsia="宋体" w:cs="宋体"/>
          <w:sz w:val="24"/>
          <w:highlight w:val="none"/>
        </w:rPr>
        <w:t xml:space="preserve">在“江苏政府采购网、苏州市政府采购网”公告的方式告知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投标人可自行查看并下载</w:t>
      </w:r>
      <w:r>
        <w:rPr>
          <w:rFonts w:hint="eastAsia" w:ascii="宋体" w:hAnsi="宋体" w:eastAsia="宋体" w:cs="宋体"/>
          <w:sz w:val="24"/>
          <w:highlight w:val="none"/>
        </w:rPr>
        <w:t xml:space="preserve">。</w:t>
      </w:r>
      <w:r/>
    </w:p>
    <w:p>
      <w:pPr>
        <w:pStyle w:val="1049"/>
        <w:numPr>
          <w:ilvl w:val="0"/>
          <w:numId w:val="6"/>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rPr>
        <w:t xml:space="preserve">投标保证金</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color w:val="000000"/>
          <w:sz w:val="24"/>
          <w:szCs w:val="24"/>
          <w:highlight w:val="none"/>
        </w:rPr>
        <w:t xml:space="preserve">本次招标不收取投标保证金。</w:t>
      </w:r>
      <w:r/>
    </w:p>
    <w:p>
      <w:pPr>
        <w:pStyle w:val="1049"/>
        <w:numPr>
          <w:ilvl w:val="0"/>
          <w:numId w:val="6"/>
        </w:numPr>
        <w:ind w:left="0" w:firstLine="48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5" w:name="_Toc5578"/>
      <w:r/>
      <w:bookmarkStart w:id="46" w:name="_Toc24685"/>
      <w:r/>
      <w:bookmarkStart w:id="47" w:name="_Toc12262"/>
      <w:r>
        <w:rPr>
          <w:rFonts w:hint="eastAsia" w:ascii="宋体" w:hAnsi="宋体" w:eastAsia="宋体" w:cs="宋体"/>
          <w:b/>
          <w:bCs/>
          <w:sz w:val="24"/>
          <w:szCs w:val="24"/>
          <w:highlight w:val="none"/>
        </w:rPr>
        <w:t xml:space="preserve">对本次</w:t>
      </w:r>
      <w:r>
        <w:rPr>
          <w:rFonts w:hint="eastAsia" w:ascii="宋体" w:hAnsi="宋体" w:eastAsia="宋体" w:cs="宋体"/>
          <w:b/>
          <w:bCs/>
          <w:sz w:val="24"/>
          <w:szCs w:val="24"/>
          <w:highlight w:val="none"/>
          <w:lang w:val="en-US" w:eastAsia="zh-CN"/>
        </w:rPr>
        <w:t xml:space="preserve">招投标</w:t>
      </w:r>
      <w:r>
        <w:rPr>
          <w:rFonts w:hint="eastAsia" w:ascii="宋体" w:hAnsi="宋体" w:eastAsia="宋体" w:cs="宋体"/>
          <w:b/>
          <w:bCs/>
          <w:sz w:val="24"/>
          <w:szCs w:val="24"/>
          <w:highlight w:val="none"/>
        </w:rPr>
        <w:t xml:space="preserve">活动</w:t>
      </w:r>
      <w:r>
        <w:rPr>
          <w:rFonts w:hint="eastAsia" w:ascii="宋体" w:hAnsi="宋体" w:eastAsia="宋体" w:cs="宋体"/>
          <w:b/>
          <w:bCs/>
          <w:sz w:val="24"/>
          <w:szCs w:val="24"/>
          <w:highlight w:val="none"/>
          <w:lang w:val="en-US" w:eastAsia="zh-CN"/>
        </w:rPr>
        <w:t xml:space="preserve">询问</w:t>
      </w:r>
      <w:r>
        <w:rPr>
          <w:rFonts w:hint="eastAsia" w:ascii="宋体" w:hAnsi="宋体" w:eastAsia="宋体" w:cs="宋体"/>
          <w:b/>
          <w:bCs/>
          <w:sz w:val="24"/>
          <w:szCs w:val="24"/>
          <w:highlight w:val="none"/>
        </w:rPr>
        <w:t xml:space="preserve">联系方式</w:t>
      </w:r>
      <w:bookmarkEnd w:id="45"/>
      <w:r/>
      <w:bookmarkEnd w:id="46"/>
      <w:r/>
      <w:bookmarkEnd w:id="47"/>
      <w:r/>
      <w:r/>
    </w:p>
    <w:p>
      <w:pPr>
        <w:pStyle w:val="1049"/>
        <w:numPr>
          <w:ilvl w:val="0"/>
          <w:numId w:val="7"/>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8"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8"/>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rPr>
        <w:t xml:space="preserve">名称：</w:t>
      </w:r>
      <w:r>
        <w:rPr>
          <w:rFonts w:hint="eastAsia" w:ascii="宋体" w:hAnsi="宋体" w:eastAsia="宋体" w:cs="宋体"/>
          <w:sz w:val="24"/>
          <w:szCs w:val="24"/>
          <w:lang w:val="en-US" w:eastAsia="zh-CN"/>
        </w:rPr>
        <w:t xml:space="preserve">张家港市殡仪馆</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rPr>
        <w:t xml:space="preserve">联</w:t>
      </w:r>
      <w:r>
        <w:rPr>
          <w:rFonts w:hint="eastAsia" w:ascii="宋体" w:hAnsi="宋体" w:eastAsia="宋体" w:cs="宋体"/>
          <w:sz w:val="24"/>
          <w:szCs w:val="24"/>
          <w:highlight w:val="none"/>
        </w:rPr>
        <w:t xml:space="preserve">系方式：</w:t>
      </w:r>
      <w:r>
        <w:rPr>
          <w:rFonts w:hint="eastAsia" w:ascii="宋体" w:hAnsi="宋体" w:eastAsia="宋体" w:cs="宋体"/>
          <w:sz w:val="24"/>
          <w:szCs w:val="24"/>
          <w:highlight w:val="none"/>
          <w:lang w:val="en-US" w:eastAsia="zh-CN"/>
        </w:rPr>
        <w:t xml:space="preserve">王娟 0512-58470449</w:t>
      </w:r>
      <w:r/>
    </w:p>
    <w:p>
      <w:pPr>
        <w:pStyle w:val="1049"/>
        <w:numPr>
          <w:ilvl w:val="0"/>
          <w:numId w:val="7"/>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9" w:name="_Toc3823"/>
      <w:r>
        <w:rPr>
          <w:rFonts w:hint="eastAsia" w:ascii="宋体" w:hAnsi="宋体" w:eastAsia="宋体" w:cs="宋体"/>
          <w:sz w:val="24"/>
          <w:szCs w:val="24"/>
        </w:rPr>
        <w:t xml:space="preserve">采购代理机构信息</w:t>
      </w:r>
      <w:bookmarkEnd w:id="49"/>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名称：张家港市旭达咨询有限公司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地址：张家港市西溪花</w:t>
      </w:r>
      <w:r>
        <w:rPr>
          <w:rFonts w:hint="eastAsia" w:ascii="宋体" w:hAnsi="宋体" w:cs="宋体"/>
          <w:sz w:val="24"/>
          <w:szCs w:val="24"/>
          <w:lang w:val="en-US" w:eastAsia="zh-CN"/>
        </w:rPr>
        <w:t xml:space="preserve">苑</w:t>
      </w:r>
      <w:r>
        <w:rPr>
          <w:rFonts w:hint="eastAsia" w:ascii="宋体" w:hAnsi="宋体" w:eastAsia="宋体" w:cs="宋体"/>
          <w:sz w:val="24"/>
          <w:szCs w:val="24"/>
        </w:rPr>
        <w:t xml:space="preserve">北门19幢M15</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0512-58647780 </w:t>
      </w:r>
      <w:bookmarkStart w:id="50" w:name="_Toc35244867"/>
      <w:r/>
      <w:bookmarkStart w:id="51" w:name="_Toc256000001"/>
      <w:r/>
      <w:bookmarkStart w:id="52" w:name="_Toc54119645"/>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3" w:name="_Toc30374"/>
      <w:r>
        <w:rPr>
          <w:rFonts w:hint="eastAsia" w:ascii="宋体" w:hAnsi="宋体" w:eastAsia="宋体" w:cs="宋体"/>
          <w:sz w:val="24"/>
          <w:szCs w:val="24"/>
          <w:lang w:val="en-US" w:eastAsia="zh-CN"/>
        </w:rPr>
        <w:t xml:space="preserve">3.项目联系方式</w:t>
      </w:r>
      <w:bookmarkEnd w:id="53"/>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项目联系人：徐晨</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联系电话：18013137780</w:t>
      </w:r>
      <w:r/>
    </w:p>
    <w:p>
      <w:pPr>
        <w:pStyle w:val="104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4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4" w:name="_Toc12702"/>
      <w:r/>
      <w:bookmarkStart w:id="55" w:name="_Toc3236"/>
      <w:r/>
      <w:bookmarkStart w:id="56" w:name="_Toc15478"/>
      <w:r/>
      <w:bookmarkStart w:id="57" w:name="_Toc24105"/>
      <w:r/>
      <w:bookmarkStart w:id="58" w:name="_Toc29007"/>
      <w:r/>
      <w:bookmarkStart w:id="59" w:name="_Toc2894"/>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50"/>
      <w:r/>
      <w:bookmarkEnd w:id="51"/>
      <w:r/>
      <w:bookmarkEnd w:id="52"/>
      <w:r/>
      <w:bookmarkEnd w:id="54"/>
      <w:r/>
      <w:bookmarkEnd w:id="55"/>
      <w:r/>
      <w:bookmarkEnd w:id="56"/>
      <w:r/>
      <w:bookmarkEnd w:id="57"/>
      <w:r/>
      <w:bookmarkEnd w:id="58"/>
      <w:r/>
      <w:bookmarkEnd w:id="59"/>
      <w:r/>
      <w:r/>
    </w:p>
    <w:p>
      <w:pPr>
        <w:numPr>
          <w:ilvl w:val="1"/>
          <w:numId w:val="8"/>
        </w:numPr>
        <w:ind w:left="0" w:firstLine="0"/>
        <w:jc w:val="left"/>
        <w:keepLines w:val="0"/>
        <w:keepNext w:val="0"/>
        <w:pageBreakBefore w:val="0"/>
        <w:spacing w:line="400" w:lineRule="exact"/>
        <w:widowControl w:val="off"/>
        <w:rPr>
          <w:rStyle w:val="1052"/>
          <w:rFonts w:hint="eastAsia" w:ascii="宋体" w:hAnsi="宋体" w:cs="宋体"/>
          <w:b/>
          <w:bCs/>
          <w:sz w:val="24"/>
          <w:szCs w:val="24"/>
        </w:rPr>
        <w:outlineLvl w:val="1"/>
      </w:pPr>
      <w:r/>
      <w:bookmarkStart w:id="60" w:name="_Toc54119646"/>
      <w:r/>
      <w:bookmarkStart w:id="61" w:name="_Toc21316"/>
      <w:r/>
      <w:bookmarkStart w:id="62" w:name="_Toc256000002"/>
      <w:r/>
      <w:bookmarkStart w:id="63" w:name="_Toc10713"/>
      <w:r/>
      <w:bookmarkStart w:id="64" w:name="_Toc15644"/>
      <w:r/>
      <w:bookmarkStart w:id="65" w:name="_Toc35244868"/>
      <w:r>
        <w:rPr>
          <w:rStyle w:val="1052"/>
          <w:rFonts w:hint="eastAsia" w:ascii="宋体" w:hAnsi="宋体" w:cs="宋体"/>
          <w:b/>
          <w:bCs/>
          <w:sz w:val="24"/>
          <w:szCs w:val="24"/>
        </w:rPr>
        <w:t xml:space="preserve">总则</w:t>
      </w:r>
      <w:bookmarkEnd w:id="60"/>
      <w:r/>
      <w:bookmarkEnd w:id="61"/>
      <w:r/>
      <w:bookmarkEnd w:id="62"/>
      <w:r/>
      <w:bookmarkEnd w:id="63"/>
      <w:r/>
      <w:bookmarkEnd w:id="64"/>
      <w:r/>
      <w:bookmarkEnd w:id="65"/>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6" w:name="_Toc14561"/>
      <w:r>
        <w:rPr>
          <w:rFonts w:hint="eastAsia" w:ascii="宋体" w:hAnsi="宋体" w:cs="宋体"/>
          <w:b/>
          <w:bCs/>
          <w:sz w:val="24"/>
        </w:rPr>
        <w:t xml:space="preserve">招标方式</w:t>
      </w:r>
      <w:bookmarkEnd w:id="66"/>
      <w:r/>
      <w:r/>
    </w:p>
    <w:p>
      <w:pPr>
        <w:numPr>
          <w:ilvl w:val="1"/>
          <w:numId w:val="10"/>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7" w:name="_Toc2878"/>
      <w:r>
        <w:rPr>
          <w:rFonts w:hint="eastAsia" w:ascii="宋体" w:hAnsi="宋体" w:eastAsia="宋体" w:cs="宋体"/>
          <w:b/>
          <w:bCs/>
          <w:sz w:val="24"/>
        </w:rPr>
        <w:t xml:space="preserve">合格的投标人</w:t>
      </w:r>
      <w:bookmarkEnd w:id="67"/>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8" w:name="_Toc6011"/>
      <w:r>
        <w:rPr>
          <w:rFonts w:hint="eastAsia" w:ascii="宋体" w:hAnsi="宋体" w:eastAsia="宋体" w:cs="宋体"/>
          <w:b/>
          <w:bCs/>
          <w:sz w:val="24"/>
        </w:rPr>
        <w:t xml:space="preserve">适用法律</w:t>
      </w:r>
      <w:bookmarkEnd w:id="68"/>
      <w:r/>
      <w:r/>
    </w:p>
    <w:p>
      <w:pPr>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9" w:name="_Toc9150"/>
      <w:r>
        <w:rPr>
          <w:rFonts w:hint="eastAsia" w:ascii="宋体" w:hAnsi="宋体" w:eastAsia="宋体" w:cs="宋体"/>
          <w:b/>
          <w:bCs/>
          <w:sz w:val="24"/>
          <w:highlight w:val="none"/>
        </w:rPr>
        <w:t xml:space="preserve">投标费用</w:t>
      </w:r>
      <w:bookmarkEnd w:id="69"/>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本次招标采购代理机构收取代理服务费由中标</w:t>
      </w:r>
      <w:r>
        <w:rPr>
          <w:rFonts w:hint="eastAsia" w:ascii="宋体" w:hAnsi="宋体" w:eastAsia="宋体" w:cs="宋体"/>
          <w:sz w:val="24"/>
          <w:highlight w:val="none"/>
          <w:lang w:val="en-US" w:eastAsia="zh-CN"/>
        </w:rPr>
        <w:t xml:space="preserve">单位支付，共计10060元</w:t>
      </w:r>
      <w:r>
        <w:rPr>
          <w:rFonts w:hint="eastAsia" w:ascii="宋体" w:hAnsi="宋体" w:eastAsia="宋体" w:cs="宋体"/>
          <w:sz w:val="24"/>
          <w:highlight w:val="none"/>
        </w:rPr>
        <w:t xml:space="preserve">。该费用由中标单位在签订合同前向采购代理机构一次性付清；</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0" w:name="_Toc31542"/>
      <w:r>
        <w:rPr>
          <w:rFonts w:hint="eastAsia" w:ascii="宋体" w:hAnsi="宋体" w:eastAsia="宋体" w:cs="宋体"/>
          <w:b/>
          <w:bCs/>
          <w:sz w:val="24"/>
        </w:rPr>
        <w:t xml:space="preserve">招标文件的约束力</w:t>
      </w:r>
      <w:bookmarkEnd w:id="70"/>
      <w:r/>
      <w:r/>
    </w:p>
    <w:p>
      <w:pPr>
        <w:numPr>
          <w:ilvl w:val="1"/>
          <w:numId w:val="9"/>
        </w:numPr>
        <w:ind w:left="0" w:firstLine="480"/>
        <w:jc w:val="left"/>
        <w:keepLines w:val="0"/>
        <w:keepNext w:val="0"/>
        <w:pageBreakBefore w:val="0"/>
        <w:spacing w:line="400" w:lineRule="exact"/>
        <w:widowControl w:val="off"/>
        <w:rPr>
          <w:rFonts w:hint="eastAsia" w:ascii="宋体" w:hAnsi="宋体" w:cs="宋体"/>
          <w:sz w:val="24"/>
        </w:rPr>
      </w:pPr>
      <w:r/>
      <w:bookmarkStart w:id="71" w:name="_Toc256000003"/>
      <w:r/>
      <w:bookmarkStart w:id="72" w:name="_Toc35244869"/>
      <w:r/>
      <w:bookmarkStart w:id="73" w:name="_Toc54119647"/>
      <w:r>
        <w:rPr>
          <w:rFonts w:hint="eastAsia" w:ascii="宋体" w:hAnsi="宋体" w:cs="宋体"/>
          <w:sz w:val="24"/>
        </w:rPr>
        <w:t xml:space="preserve">投标人一旦</w:t>
      </w:r>
      <w:r>
        <w:rPr>
          <w:rFonts w:hint="eastAsia" w:ascii="宋体" w:hAnsi="宋体" w:cs="宋体"/>
          <w:sz w:val="24"/>
          <w:lang w:val="en-US" w:eastAsia="zh-CN"/>
        </w:rPr>
        <w:t xml:space="preserve">在苏采云平台上</w:t>
      </w:r>
      <w:r>
        <w:rPr>
          <w:rFonts w:hint="eastAsia" w:ascii="宋体" w:hAnsi="宋体" w:cs="宋体"/>
          <w:sz w:val="24"/>
        </w:rPr>
        <w:t xml:space="preserve">获取</w:t>
      </w:r>
      <w:r>
        <w:rPr>
          <w:rFonts w:hint="eastAsia" w:ascii="宋体" w:hAnsi="宋体" w:cs="宋体"/>
          <w:sz w:val="24"/>
          <w:lang w:val="en-US" w:eastAsia="zh-CN"/>
        </w:rPr>
        <w:t xml:space="preserve">了</w:t>
      </w:r>
      <w:r>
        <w:rPr>
          <w:rFonts w:hint="eastAsia" w:ascii="宋体" w:hAnsi="宋体" w:cs="宋体"/>
          <w:sz w:val="24"/>
        </w:rPr>
        <w:t xml:space="preserve">本招标文件决定参加投标，即被认为接受了本招标文件的规定和约束，并且视为自招标公告发布之日起已经知道或应当知道自身权益是否受到了损害。</w:t>
      </w:r>
      <w:r/>
    </w:p>
    <w:p>
      <w:pPr>
        <w:numPr>
          <w:ilvl w:val="1"/>
          <w:numId w:val="8"/>
        </w:numPr>
        <w:ind w:left="0" w:firstLine="0"/>
        <w:jc w:val="left"/>
        <w:keepLines w:val="0"/>
        <w:keepNext w:val="0"/>
        <w:pageBreakBefore w:val="0"/>
        <w:spacing w:line="400" w:lineRule="exact"/>
        <w:widowControl w:val="off"/>
        <w:rPr>
          <w:rStyle w:val="1052"/>
          <w:rFonts w:hint="eastAsia" w:ascii="宋体" w:hAnsi="宋体" w:cs="宋体"/>
          <w:b/>
          <w:bCs w:val="0"/>
          <w:sz w:val="24"/>
          <w:szCs w:val="24"/>
        </w:rPr>
        <w:outlineLvl w:val="1"/>
      </w:pPr>
      <w:r/>
      <w:bookmarkStart w:id="74" w:name="_Toc21400"/>
      <w:r/>
      <w:bookmarkStart w:id="75" w:name="_Toc14347"/>
      <w:r/>
      <w:bookmarkStart w:id="76" w:name="_Toc4727"/>
      <w:r>
        <w:rPr>
          <w:rStyle w:val="1052"/>
          <w:rFonts w:hint="eastAsia" w:ascii="宋体" w:hAnsi="宋体" w:cs="宋体"/>
          <w:b/>
          <w:bCs w:val="0"/>
          <w:sz w:val="24"/>
          <w:szCs w:val="24"/>
        </w:rPr>
        <w:t xml:space="preserve">招标文件</w:t>
      </w:r>
      <w:bookmarkEnd w:id="71"/>
      <w:r/>
      <w:bookmarkEnd w:id="72"/>
      <w:r/>
      <w:bookmarkEnd w:id="73"/>
      <w:r/>
      <w:bookmarkEnd w:id="74"/>
      <w:r/>
      <w:bookmarkEnd w:id="75"/>
      <w:r/>
      <w:bookmarkEnd w:id="76"/>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7" w:name="_Toc31846"/>
      <w:r>
        <w:rPr>
          <w:rFonts w:hint="eastAsia" w:ascii="宋体" w:hAnsi="宋体" w:eastAsia="宋体" w:cs="宋体"/>
          <w:b/>
          <w:bCs/>
          <w:sz w:val="24"/>
          <w:szCs w:val="24"/>
        </w:rPr>
        <w:t xml:space="preserve">招标文件构成</w:t>
      </w:r>
      <w:bookmarkEnd w:id="77"/>
      <w:r/>
      <w:r/>
    </w:p>
    <w:p>
      <w:pPr>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请仔细检查招标文件是否齐全，如有缺漏请立即与张家港市旭达咨询有限公司联系解决。</w:t>
      </w:r>
      <w:r/>
    </w:p>
    <w:p>
      <w:pPr>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8"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8"/>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文件截止之日前，</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人、采购代理机构</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权对已发出的</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文件进行必要的澄清或者修改，</w:t>
      </w:r>
      <w:r>
        <w:rPr>
          <w:rFonts w:hint="eastAsia" w:ascii="宋体" w:hAnsi="宋体"/>
          <w:color w:val="000000"/>
          <w:sz w:val="24"/>
          <w:highlight w:val="none"/>
        </w:rPr>
        <w:t xml:space="preserve">有权按照法定的要求推迟投标截止日期和开标日期</w:t>
      </w:r>
      <w:r>
        <w:rPr>
          <w:rFonts w:hint="eastAsia" w:ascii="宋体" w:hAnsi="宋体" w:eastAsia="宋体" w:cs="宋体"/>
          <w:sz w:val="24"/>
          <w:szCs w:val="24"/>
        </w:rPr>
        <w:t xml:space="preserve">。</w:t>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招标文件的实质性变动或修改将在政府采购公告媒体网通知，投标人可自行下载。补充文件将作为招标文件的组成部分，并对投标人具有约束力。</w:t>
      </w:r>
      <w:r/>
    </w:p>
    <w:p>
      <w:pPr>
        <w:numPr>
          <w:ilvl w:val="1"/>
          <w:numId w:val="8"/>
        </w:numPr>
        <w:ind w:left="0" w:firstLine="0"/>
        <w:jc w:val="left"/>
        <w:keepLines w:val="0"/>
        <w:keepNext w:val="0"/>
        <w:pageBreakBefore w:val="0"/>
        <w:spacing w:line="400" w:lineRule="exact"/>
        <w:widowControl w:val="off"/>
        <w:rPr>
          <w:rStyle w:val="1052"/>
          <w:rFonts w:hint="eastAsia" w:ascii="宋体" w:hAnsi="宋体" w:eastAsia="宋体" w:cs="宋体"/>
          <w:b/>
          <w:bCs w:val="0"/>
          <w:sz w:val="24"/>
          <w:szCs w:val="24"/>
        </w:rPr>
        <w:outlineLvl w:val="1"/>
      </w:pPr>
      <w:r/>
      <w:bookmarkStart w:id="79" w:name="_Toc256000004"/>
      <w:r/>
      <w:bookmarkStart w:id="80" w:name="_Toc35244870"/>
      <w:r/>
      <w:bookmarkStart w:id="81" w:name="_Toc21471"/>
      <w:r/>
      <w:bookmarkStart w:id="82" w:name="_Toc9095"/>
      <w:r/>
      <w:bookmarkStart w:id="83" w:name="_Toc20600"/>
      <w:r/>
      <w:bookmarkStart w:id="84" w:name="_Toc54119648"/>
      <w:r>
        <w:rPr>
          <w:rStyle w:val="1052"/>
          <w:rFonts w:hint="eastAsia" w:ascii="宋体" w:hAnsi="宋体" w:eastAsia="宋体" w:cs="宋体"/>
          <w:b/>
          <w:bCs w:val="0"/>
          <w:sz w:val="24"/>
          <w:szCs w:val="24"/>
        </w:rPr>
        <w:t xml:space="preserve">投标文件的编制</w:t>
      </w:r>
      <w:bookmarkEnd w:id="79"/>
      <w:r/>
      <w:bookmarkEnd w:id="80"/>
      <w:r/>
      <w:bookmarkEnd w:id="81"/>
      <w:r/>
      <w:bookmarkEnd w:id="82"/>
      <w:r/>
      <w:bookmarkEnd w:id="83"/>
      <w:r/>
      <w:bookmarkEnd w:id="84"/>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5" w:name="_Toc4429"/>
      <w:r>
        <w:rPr>
          <w:rFonts w:hint="eastAsia" w:ascii="宋体" w:hAnsi="宋体" w:cs="宋体"/>
          <w:b/>
          <w:bCs/>
          <w:sz w:val="24"/>
        </w:rPr>
        <w:t xml:space="preserve">投标文件的语言及度量衡单位</w:t>
      </w:r>
      <w:bookmarkEnd w:id="85"/>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投标人提交的投标文件以及投标人与张家港市旭达咨询有限公司就有关投标的所有来往通知、函件和文件均应使用简体中文。</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6" w:name="_Toc28334"/>
      <w:r>
        <w:rPr>
          <w:rFonts w:hint="eastAsia" w:ascii="宋体" w:hAnsi="宋体" w:eastAsia="宋体" w:cs="宋体"/>
          <w:b/>
          <w:bCs/>
          <w:sz w:val="24"/>
          <w:szCs w:val="24"/>
        </w:rPr>
        <w:t xml:space="preserve">投标文件构成</w:t>
      </w:r>
      <w:bookmarkEnd w:id="86"/>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编写的</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文件应</w:t>
      </w:r>
      <w:r>
        <w:rPr>
          <w:rFonts w:hint="eastAsia" w:ascii="宋体" w:hAnsi="宋体" w:eastAsia="宋体" w:cs="宋体"/>
          <w:sz w:val="24"/>
          <w:lang w:val="en-US" w:eastAsia="zh-CN"/>
        </w:rPr>
        <w:t xml:space="preserve">包括招标文件中第六章投标文件格式相关内容</w:t>
      </w:r>
      <w:r>
        <w:rPr>
          <w:rFonts w:hint="eastAsia" w:ascii="宋体" w:hAnsi="宋体" w:eastAsia="宋体" w:cs="宋体"/>
          <w:sz w:val="24"/>
        </w:rPr>
        <w:t xml:space="preserve">。</w:t>
      </w:r>
      <w:r/>
    </w:p>
    <w:p>
      <w:pPr>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z w:val="24"/>
        </w:rPr>
        <w:t xml:space="preserve">投标人必须在投标文件接收截止时间之前在系统中提交所有与开评标相关的资料。开评标现场不接收任何资料。</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7" w:name="_Toc5753"/>
      <w:r>
        <w:rPr>
          <w:rFonts w:hint="eastAsia" w:ascii="宋体" w:hAnsi="宋体" w:cs="宋体"/>
          <w:b/>
          <w:bCs/>
          <w:sz w:val="24"/>
          <w:highlight w:val="none"/>
        </w:rPr>
        <w:t xml:space="preserve">投标函和开标一览表</w:t>
      </w:r>
      <w:bookmarkEnd w:id="87"/>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开标一览表中的价格应与投标文件中投标配置与分项报价表或</w:t>
      </w:r>
      <w:r>
        <w:rPr>
          <w:rFonts w:hint="eastAsia" w:ascii="宋体" w:hAnsi="宋体"/>
          <w:bCs/>
          <w:color w:val="000000"/>
          <w:sz w:val="24"/>
          <w:highlight w:val="none"/>
        </w:rPr>
        <w:t xml:space="preserve">经费测算</w:t>
      </w:r>
      <w:r>
        <w:rPr>
          <w:rFonts w:hint="eastAsia" w:ascii="宋体" w:hAnsi="宋体"/>
          <w:bCs/>
          <w:color w:val="000000"/>
          <w:sz w:val="24"/>
          <w:highlight w:val="none"/>
          <w:lang w:val="en-US" w:eastAsia="zh-CN"/>
        </w:rPr>
        <w:t xml:space="preserve">明细</w:t>
      </w:r>
      <w:r>
        <w:rPr>
          <w:rFonts w:hint="eastAsia" w:ascii="宋体" w:hAnsi="宋体"/>
          <w:bCs/>
          <w:color w:val="000000"/>
          <w:sz w:val="24"/>
          <w:highlight w:val="none"/>
        </w:rPr>
        <w:t xml:space="preserve">表</w:t>
      </w:r>
      <w:r>
        <w:rPr>
          <w:rFonts w:hint="eastAsia" w:ascii="宋体" w:hAnsi="宋体" w:eastAsia="宋体" w:cs="宋体"/>
          <w:sz w:val="24"/>
          <w:lang w:val="en-US" w:eastAsia="zh-CN"/>
        </w:rPr>
        <w:t xml:space="preserve">中的价格一致，若出现价格不一致的情况，评标时一律按开标一览表中价格为准。</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88" w:name="_Toc7298"/>
      <w:r>
        <w:rPr>
          <w:rFonts w:hint="eastAsia" w:ascii="宋体" w:hAnsi="宋体" w:cs="宋体"/>
          <w:b/>
          <w:bCs/>
          <w:sz w:val="24"/>
        </w:rPr>
        <w:t xml:space="preserve">投标人资格证明文件</w:t>
      </w:r>
      <w:bookmarkEnd w:id="88"/>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9" w:name="_Toc6816"/>
      <w:r>
        <w:rPr>
          <w:rFonts w:hint="eastAsia" w:ascii="宋体" w:hAnsi="宋体" w:cs="宋体"/>
          <w:b/>
          <w:bCs/>
          <w:sz w:val="24"/>
          <w:highlight w:val="none"/>
        </w:rPr>
        <w:t xml:space="preserve">投标配置与分项报价</w:t>
      </w:r>
      <w:bookmarkStart w:id="90" w:name="_Hlt26670373"/>
      <w:r/>
      <w:bookmarkEnd w:id="90"/>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9"/>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9"/>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9"/>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9"/>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投标配置与分项报价表上的价格应按下列方式分开填写：</w:t>
      </w:r>
      <w:r/>
    </w:p>
    <w:p>
      <w:pPr>
        <w:numPr>
          <w:ilvl w:val="2"/>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91" w:name="_Hlt26670425"/>
      <w:r/>
      <w:bookmarkEnd w:id="91"/>
      <w:r/>
      <w:bookmarkStart w:id="92" w:name="_Hlt26954842"/>
      <w:r/>
      <w:bookmarkEnd w:id="92"/>
      <w:r/>
      <w:bookmarkStart w:id="93" w:name="_Hlt26668983"/>
      <w:r/>
      <w:bookmarkEnd w:id="93"/>
      <w:r/>
      <w:bookmarkStart w:id="94" w:name="_Hlt26670403"/>
      <w:r/>
      <w:bookmarkEnd w:id="94"/>
      <w:r/>
      <w:bookmarkStart w:id="95" w:name="_Hlt26954844"/>
      <w:r/>
      <w:bookmarkEnd w:id="95"/>
      <w:r>
        <w:rPr>
          <w:rFonts w:hint="eastAsia" w:ascii="宋体" w:hAnsi="宋体" w:eastAsia="宋体" w:cs="宋体"/>
          <w:sz w:val="24"/>
          <w:lang w:val="en-US" w:eastAsia="zh-CN"/>
        </w:rPr>
        <w:t xml:space="preserve">项目总价：投标人总报价是为完成招标文件规定的所有内容所涉及到的一切费用。</w:t>
      </w:r>
      <w:r>
        <w:rPr>
          <w:rFonts w:hint="eastAsia" w:ascii="宋体" w:hAnsi="宋体" w:eastAsia="宋体" w:cs="宋体"/>
          <w:sz w:val="24"/>
          <w:highlight w:val="none"/>
          <w:lang w:val="en-US" w:eastAsia="zh-CN"/>
        </w:rPr>
        <w:t xml:space="preserve">总价包括但不限于内容详见开标一览表注释内容</w:t>
      </w:r>
      <w:r>
        <w:rPr>
          <w:rFonts w:hint="eastAsia" w:ascii="宋体" w:hAnsi="宋体" w:eastAsia="宋体" w:cs="宋体"/>
          <w:sz w:val="24"/>
          <w:lang w:val="en-US" w:eastAsia="zh-CN"/>
        </w:rPr>
        <w:t xml:space="preserve">。</w:t>
      </w:r>
      <w:r/>
    </w:p>
    <w:p>
      <w:pPr>
        <w:numPr>
          <w:ilvl w:val="2"/>
          <w:numId w:val="9"/>
        </w:numPr>
        <w:ind w:left="0" w:firstLine="480"/>
        <w:jc w:val="left"/>
        <w:keepLines w:val="0"/>
        <w:keepNext w:val="0"/>
        <w:pageBreakBefore w:val="0"/>
        <w:spacing w:line="40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项目单价按投标配置及分项报价表或</w:t>
      </w:r>
      <w:r>
        <w:rPr>
          <w:rFonts w:hint="eastAsia" w:ascii="宋体" w:hAnsi="宋体" w:eastAsia="宋体" w:cs="宋体"/>
          <w:b w:val="0"/>
          <w:bCs w:val="0"/>
          <w:sz w:val="24"/>
          <w:highlight w:val="none"/>
        </w:rPr>
        <w:t xml:space="preserve">经费测算</w:t>
      </w:r>
      <w:r>
        <w:rPr>
          <w:rFonts w:hint="eastAsia" w:ascii="宋体" w:hAnsi="宋体" w:eastAsia="宋体" w:cs="宋体"/>
          <w:b w:val="0"/>
          <w:bCs w:val="0"/>
          <w:sz w:val="24"/>
          <w:highlight w:val="none"/>
          <w:lang w:val="en-US" w:eastAsia="zh-CN"/>
        </w:rPr>
        <w:t xml:space="preserve">明细</w:t>
      </w:r>
      <w:r>
        <w:rPr>
          <w:rFonts w:hint="eastAsia" w:ascii="宋体" w:hAnsi="宋体" w:eastAsia="宋体" w:cs="宋体"/>
          <w:b w:val="0"/>
          <w:bCs w:val="0"/>
          <w:sz w:val="24"/>
          <w:highlight w:val="none"/>
        </w:rPr>
        <w:t xml:space="preserve">表</w:t>
      </w:r>
      <w:r>
        <w:rPr>
          <w:rFonts w:hint="eastAsia" w:ascii="宋体" w:hAnsi="宋体" w:eastAsia="宋体" w:cs="宋体"/>
          <w:b w:val="0"/>
          <w:bCs w:val="0"/>
          <w:sz w:val="24"/>
          <w:lang w:val="en-US" w:eastAsia="zh-CN"/>
        </w:rPr>
        <w:t xml:space="preserve">中要求填报。</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本报价必须充分考虑所有可能影响到报价的价格因素，一旦投标结束最终成交，总价将包定。如发生漏、缺、少项，都将被认为是中标人的报价让利行为。</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6" w:name="_Toc5702"/>
      <w:r>
        <w:rPr>
          <w:rFonts w:hint="eastAsia" w:ascii="宋体" w:hAnsi="宋体" w:eastAsia="宋体" w:cs="宋体"/>
          <w:b/>
          <w:bCs/>
          <w:sz w:val="24"/>
          <w:highlight w:val="none"/>
        </w:rPr>
        <w:t xml:space="preserve">技术参数响应及偏离表、商务条款响应及偏离表</w:t>
      </w:r>
      <w:bookmarkEnd w:id="96"/>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sz w:val="24"/>
          <w:highlight w:val="none"/>
          <w:lang w:val="zh-CN" w:eastAsia="zh-CN"/>
        </w:rPr>
        <w:t xml:space="preserve">对招标文件中的技术参数与商务条款要求逐项作出响应或偏离，并说明原因。</w:t>
      </w:r>
      <w:r/>
    </w:p>
    <w:p>
      <w:pPr>
        <w:numPr>
          <w:ilvl w:val="1"/>
          <w:numId w:val="9"/>
        </w:numPr>
        <w:ind w:left="0" w:firstLine="480"/>
        <w:jc w:val="both"/>
        <w:keepLines w:val="0"/>
        <w:keepNext w:val="0"/>
        <w:pageBreakBefore w:val="0"/>
        <w:spacing w:line="400" w:lineRule="exact"/>
        <w:widowControl w:val="off"/>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投标人可在投标文件中提供认为需要的其他技术文件或说明。</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7" w:name="_Toc3390"/>
      <w:r>
        <w:rPr>
          <w:rFonts w:hint="eastAsia" w:ascii="宋体" w:hAnsi="宋体" w:eastAsia="宋体" w:cs="宋体"/>
          <w:b/>
          <w:bCs/>
          <w:sz w:val="24"/>
          <w:highlight w:val="none"/>
        </w:rPr>
        <w:t xml:space="preserve">技术及服务方案</w:t>
      </w:r>
      <w:bookmarkEnd w:id="97"/>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8" w:name="_Toc18124"/>
      <w:r>
        <w:rPr>
          <w:rFonts w:hint="eastAsia" w:ascii="宋体" w:hAnsi="宋体" w:eastAsia="宋体" w:cs="宋体"/>
          <w:b/>
          <w:bCs/>
          <w:sz w:val="24"/>
          <w:highlight w:val="none"/>
        </w:rPr>
        <w:t xml:space="preserve">投标人情况介绍</w:t>
      </w:r>
      <w:bookmarkEnd w:id="98"/>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9" w:name="_Toc27190"/>
      <w:r>
        <w:rPr>
          <w:rFonts w:hint="eastAsia" w:ascii="宋体" w:hAnsi="宋体" w:cs="宋体"/>
          <w:b/>
          <w:bCs/>
          <w:sz w:val="24"/>
          <w:highlight w:val="none"/>
        </w:rPr>
        <w:t xml:space="preserve">投标保证金</w:t>
      </w:r>
      <w:bookmarkEnd w:id="99"/>
      <w:r/>
      <w:r/>
    </w:p>
    <w:p>
      <w:pPr>
        <w:numPr>
          <w:ilvl w:val="1"/>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0" w:name="_Toc19819"/>
      <w:r>
        <w:rPr>
          <w:rFonts w:hint="eastAsia" w:ascii="宋体" w:hAnsi="宋体" w:cs="宋体"/>
          <w:b/>
          <w:bCs/>
          <w:sz w:val="24"/>
        </w:rPr>
        <w:t xml:space="preserve">投标有效期</w:t>
      </w:r>
      <w:bookmarkEnd w:id="100"/>
      <w:r/>
      <w:r/>
    </w:p>
    <w:p>
      <w:pPr>
        <w:numPr>
          <w:ilvl w:val="1"/>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投标有效期为张家港市旭达咨询有限公司规定的开标之日后九十（90）天。投标有效期比规定短的将被视为非响应性投标而予以拒绝。</w:t>
      </w:r>
      <w:r/>
    </w:p>
    <w:p>
      <w:pPr>
        <w:numPr>
          <w:ilvl w:val="1"/>
          <w:numId w:val="9"/>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张家港市旭达咨询有限公司于原投标有效期满之前，可向投标人提出延长投标有效期的要求。这种要求与答复均应采用书面形式。投标人可以拒绝张家港市旭达咨询有限公司的这一要求而放弃投标。同意延长投标有效期的投标人既不能要求也不允许修改其投标文件。受投标有效期约束的所有权利与义务均延长至新的有效期。</w:t>
      </w:r>
      <w:r/>
    </w:p>
    <w:p>
      <w:pPr>
        <w:numPr>
          <w:ilvl w:val="0"/>
          <w:numId w:val="9"/>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1" w:name="_Toc16988"/>
      <w:r>
        <w:rPr>
          <w:rFonts w:hint="eastAsia" w:ascii="宋体" w:hAnsi="宋体" w:eastAsia="宋体" w:cs="宋体"/>
          <w:b/>
          <w:bCs/>
          <w:spacing w:val="7"/>
          <w:sz w:val="24"/>
          <w:szCs w:val="32"/>
        </w:rPr>
        <w:t xml:space="preserve">投标文件签署</w:t>
      </w:r>
      <w:bookmarkEnd w:id="101"/>
      <w:r/>
      <w:r/>
    </w:p>
    <w:p>
      <w:pPr>
        <w:numPr>
          <w:ilvl w:val="1"/>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8"/>
        </w:numPr>
        <w:ind w:left="0" w:firstLine="0"/>
        <w:jc w:val="left"/>
        <w:keepLines w:val="0"/>
        <w:keepNext w:val="0"/>
        <w:pageBreakBefore w:val="0"/>
        <w:spacing w:line="400" w:lineRule="exact"/>
        <w:widowControl w:val="off"/>
        <w:rPr>
          <w:rStyle w:val="1052"/>
          <w:rFonts w:hint="eastAsia" w:ascii="宋体" w:hAnsi="宋体" w:eastAsia="宋体" w:cs="宋体"/>
          <w:b/>
          <w:bCs w:val="0"/>
          <w:sz w:val="24"/>
          <w:szCs w:val="24"/>
        </w:rPr>
        <w:outlineLvl w:val="1"/>
      </w:pPr>
      <w:r/>
      <w:bookmarkStart w:id="102" w:name="_Toc256000005"/>
      <w:r/>
      <w:bookmarkStart w:id="103" w:name="_Toc54119649"/>
      <w:r/>
      <w:bookmarkStart w:id="104" w:name="_Toc8407"/>
      <w:r/>
      <w:bookmarkStart w:id="105" w:name="_Toc13063"/>
      <w:r/>
      <w:bookmarkStart w:id="106" w:name="_Toc9093"/>
      <w:r>
        <w:rPr>
          <w:rStyle w:val="1052"/>
          <w:rFonts w:hint="eastAsia" w:ascii="宋体" w:hAnsi="宋体" w:cs="宋体"/>
          <w:b/>
          <w:bCs w:val="0"/>
          <w:sz w:val="24"/>
          <w:szCs w:val="24"/>
        </w:rPr>
        <w:t xml:space="preserve">投标文件的</w:t>
      </w:r>
      <w:bookmarkEnd w:id="102"/>
      <w:r/>
      <w:bookmarkEnd w:id="103"/>
      <w:r>
        <w:rPr>
          <w:rStyle w:val="1052"/>
          <w:rFonts w:hint="eastAsia" w:ascii="宋体" w:hAnsi="宋体" w:cs="宋体"/>
          <w:b/>
          <w:bCs w:val="0"/>
          <w:sz w:val="24"/>
          <w:szCs w:val="24"/>
        </w:rPr>
        <w:t xml:space="preserve">制作、上传、递交</w:t>
      </w:r>
      <w:bookmarkEnd w:id="104"/>
      <w:r/>
      <w:bookmarkEnd w:id="105"/>
      <w:r/>
      <w:bookmarkEnd w:id="106"/>
      <w:r/>
      <w:r/>
    </w:p>
    <w:p>
      <w:pPr>
        <w:numPr>
          <w:ilvl w:val="0"/>
          <w:numId w:val="9"/>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7"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7"/>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投标人应当按照《操作手册》规定，在投标截止时间前制作并上传电子投标文件。</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8" w:name="_Toc19418"/>
      <w:r/>
      <w:bookmarkStart w:id="109" w:name="_Toc6389298"/>
      <w:r/>
      <w:bookmarkStart w:id="110" w:name="_Toc6388850"/>
      <w:r>
        <w:rPr>
          <w:rFonts w:hint="eastAsia" w:ascii="宋体" w:hAnsi="宋体" w:cs="宋体"/>
          <w:b/>
          <w:bCs/>
          <w:sz w:val="24"/>
        </w:rPr>
        <w:t xml:space="preserve">投标截止日期</w:t>
      </w:r>
      <w:bookmarkEnd w:id="108"/>
      <w:r/>
      <w:bookmarkEnd w:id="109"/>
      <w:r/>
      <w:bookmarkEnd w:id="110"/>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1" w:name="_Toc6388851"/>
      <w:r/>
      <w:bookmarkStart w:id="112" w:name="_Toc6389299"/>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投标人应充分考虑到网络环境、网络带宽等风险因素，如因投标人自身原因造成的电子投标文件上传不成功由投标人自行承担全部责任。</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采购代理机构可以按照规定，通过修改招标文件有权酌情延长投标截止日期，在此情况下，投标人的所有权利和义务以及投标人受制的截止日期均应以延长后新的截止日期为准。</w:t>
      </w:r>
      <w:bookmarkEnd w:id="111"/>
      <w:bookmarkEnd w:id="112"/>
      <w:r/>
    </w:p>
    <w:p>
      <w:pPr>
        <w:numPr>
          <w:ilvl w:val="1"/>
          <w:numId w:val="9"/>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lang w:val="en-US" w:eastAsia="zh-CN"/>
        </w:rPr>
        <w:t xml:space="preserve">采购代理机构</w:t>
      </w:r>
      <w:r>
        <w:rPr>
          <w:rFonts w:hint="eastAsia" w:ascii="宋体" w:hAnsi="宋体" w:cs="宋体"/>
          <w:sz w:val="24"/>
        </w:rPr>
        <w:t xml:space="preserve">拒绝接收在其规定的投标截止时间后递交的任何投标文件。</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3" w:name="_Toc28400"/>
      <w:r/>
      <w:bookmarkStart w:id="114" w:name="_Toc6389300"/>
      <w:r/>
      <w:bookmarkStart w:id="115" w:name="_Toc6388852"/>
      <w:r>
        <w:rPr>
          <w:rFonts w:hint="eastAsia" w:ascii="宋体" w:hAnsi="宋体" w:cs="宋体"/>
          <w:b/>
          <w:bCs/>
          <w:sz w:val="24"/>
        </w:rPr>
        <w:t xml:space="preserve">投标文件的修改和撤回</w:t>
      </w:r>
      <w:bookmarkEnd w:id="113"/>
      <w:r/>
      <w:bookmarkEnd w:id="114"/>
      <w:r/>
      <w:bookmarkEnd w:id="115"/>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投投标人在递交投标文件后，可以修改或撤回其投标文件，但这种修改和撤回，必须在规定的投标截止时间前，具体操作方法见《操作手册》。</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8"/>
        </w:numPr>
        <w:ind w:left="0" w:firstLine="0"/>
        <w:jc w:val="left"/>
        <w:keepLines w:val="0"/>
        <w:keepNext w:val="0"/>
        <w:pageBreakBefore w:val="0"/>
        <w:spacing w:line="400" w:lineRule="exact"/>
        <w:widowControl w:val="off"/>
        <w:rPr>
          <w:rStyle w:val="1052"/>
          <w:rFonts w:hint="eastAsia" w:ascii="宋体" w:hAnsi="宋体" w:eastAsia="宋体" w:cs="宋体"/>
          <w:b/>
          <w:bCs w:val="0"/>
          <w:sz w:val="24"/>
          <w:szCs w:val="24"/>
        </w:rPr>
        <w:outlineLvl w:val="1"/>
      </w:pPr>
      <w:r/>
      <w:bookmarkStart w:id="116" w:name="_Toc54119650"/>
      <w:r/>
      <w:bookmarkStart w:id="117" w:name="_Toc5723"/>
      <w:r/>
      <w:bookmarkStart w:id="118" w:name="_Toc256000006"/>
      <w:r/>
      <w:bookmarkStart w:id="119" w:name="_Toc21743"/>
      <w:r/>
      <w:bookmarkStart w:id="120" w:name="_Toc22772"/>
      <w:r/>
      <w:bookmarkStart w:id="121" w:name="_Toc35244872"/>
      <w:r>
        <w:rPr>
          <w:rStyle w:val="1052"/>
          <w:rFonts w:hint="eastAsia" w:ascii="宋体" w:hAnsi="宋体" w:eastAsia="宋体" w:cs="宋体"/>
          <w:b/>
          <w:bCs w:val="0"/>
          <w:sz w:val="24"/>
          <w:szCs w:val="24"/>
        </w:rPr>
        <w:t xml:space="preserve">开标与评标</w:t>
      </w:r>
      <w:bookmarkEnd w:id="116"/>
      <w:r/>
      <w:bookmarkEnd w:id="117"/>
      <w:r/>
      <w:bookmarkEnd w:id="118"/>
      <w:r/>
      <w:bookmarkEnd w:id="119"/>
      <w:r/>
      <w:bookmarkEnd w:id="120"/>
      <w:r/>
      <w:bookmarkEnd w:id="121"/>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2" w:name="_Toc30366"/>
      <w:r>
        <w:rPr>
          <w:rFonts w:hint="eastAsia" w:ascii="宋体" w:hAnsi="宋体" w:cs="宋体"/>
          <w:b/>
          <w:bCs/>
          <w:sz w:val="24"/>
        </w:rPr>
        <w:t xml:space="preserve">开标</w:t>
      </w:r>
      <w:bookmarkEnd w:id="122"/>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张家港市旭达咨询有限公司将在招标公告中规定的时间和地点组织公开开标，</w:t>
      </w:r>
      <w:r>
        <w:rPr>
          <w:rFonts w:hint="eastAsia" w:ascii="宋体" w:hAnsi="宋体" w:eastAsia="宋体" w:cs="宋体"/>
          <w:color w:val="000000"/>
          <w:sz w:val="24"/>
          <w:szCs w:val="24"/>
        </w:rPr>
        <w:t xml:space="preserve">投标人应当按照《操作手册》规定，参加开标活动和在苏采云系统规定的时间内对投标文件进行解密</w:t>
      </w:r>
      <w:r>
        <w:rPr>
          <w:rFonts w:hint="eastAsia" w:ascii="宋体" w:hAnsi="宋体" w:eastAsia="宋体" w:cs="宋体"/>
          <w:spacing w:val="7"/>
          <w:sz w:val="24"/>
          <w:szCs w:val="24"/>
          <w:highlight w:val="none"/>
          <w:lang w:val="en-US" w:eastAsia="zh-CN" w:bidi="ar-SA"/>
        </w:rPr>
        <w:t xml:space="preserve">。</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开标仪式由采购代理机构主持，苏采云系统将自动对项目进行开标，并宣布各投标人名称和投标价格。</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投标人在开标过程中涉及到的投标文件解密、开标结果确认等工作，应按照《操作手册》规定执行。</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rPr>
      </w:pPr>
      <w:r>
        <w:rPr>
          <w:rFonts w:hint="eastAsia" w:ascii="宋体" w:hAnsi="宋体" w:eastAsia="宋体" w:cs="宋体"/>
          <w:spacing w:val="7"/>
          <w:sz w:val="24"/>
          <w:szCs w:val="24"/>
          <w:highlight w:val="none"/>
          <w:lang w:val="en-US" w:eastAsia="zh-CN" w:bidi="ar-SA"/>
        </w:rPr>
        <w:t xml:space="preserve">投标人如果对开标过程和开标记录有疑义，应当根据《操作手册》规定提出，如苏采云系统中《开标记录表》宣布后5分钟内未提出的，视同认可开标结果。</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3" w:name="_Toc4671"/>
      <w:r>
        <w:rPr>
          <w:rFonts w:hint="eastAsia" w:ascii="宋体" w:hAnsi="宋体" w:cs="宋体"/>
          <w:b/>
          <w:bCs/>
          <w:sz w:val="24"/>
        </w:rPr>
        <w:t xml:space="preserve">评标委员会</w:t>
      </w:r>
      <w:bookmarkEnd w:id="123"/>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开标后，代理机构将立即组织评标委员会（以下简称评委会）进行评标。</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4" w:name="_Toc2623"/>
      <w:r>
        <w:rPr>
          <w:rFonts w:hint="eastAsia" w:ascii="宋体" w:hAnsi="宋体" w:cs="宋体"/>
          <w:b/>
          <w:bCs/>
          <w:sz w:val="24"/>
        </w:rPr>
        <w:t xml:space="preserve">评标过程的保密与公正</w:t>
      </w:r>
      <w:bookmarkEnd w:id="124"/>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在评标过程中，如果投标人试图向张家港市旭达咨询有限公司和参与评标的人员施加任何影响，都将会导致其投标被拒绝。</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和评标委员会不向未中标的投标人解释未中标原因，也不公布评标过程中的相关细节。</w:t>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z w:val="24"/>
          <w:szCs w:val="24"/>
        </w:rPr>
        <w:t xml:space="preserve">投标人可于中标结果公告期限届满之日起通过苏采云系统查看自己的评审得分及排序情况。</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5" w:name="_Toc6849"/>
      <w:r>
        <w:rPr>
          <w:rFonts w:hint="eastAsia" w:ascii="宋体" w:hAnsi="宋体" w:cs="宋体"/>
          <w:b/>
          <w:bCs/>
          <w:sz w:val="24"/>
        </w:rPr>
        <w:t xml:space="preserve">投标的澄清</w:t>
      </w:r>
      <w:bookmarkEnd w:id="125"/>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派人按评委会通知的时间和地点做出书面澄清，书面澄清的内容须由投标人法定代表人（或负责人）或授权代表签署，并作为投标文件的补充部分，但投标的价格和实质性的内容不得做任何更改。</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6" w:name="_Toc13348"/>
      <w:r>
        <w:rPr>
          <w:rFonts w:hint="eastAsia" w:ascii="宋体" w:hAnsi="宋体" w:cs="宋体"/>
          <w:b/>
          <w:bCs/>
          <w:sz w:val="24"/>
        </w:rPr>
        <w:t xml:space="preserve">对投标文件的初审</w:t>
      </w:r>
      <w:bookmarkEnd w:id="126"/>
      <w:r/>
      <w:r/>
    </w:p>
    <w:p>
      <w:pPr>
        <w:numPr>
          <w:ilvl w:val="1"/>
          <w:numId w:val="9"/>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9"/>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9"/>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9"/>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9"/>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查询时间：投标文件递交截止时间。</w:t>
      </w:r>
      <w:r/>
    </w:p>
    <w:p>
      <w:pPr>
        <w:numPr>
          <w:ilvl w:val="4"/>
          <w:numId w:val="9"/>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查询渠道：将在“信用中国”网站查询投标人的信用记录，以确定投标人是否具备投标资格,查询结果留存并归档。</w:t>
      </w:r>
      <w:r/>
    </w:p>
    <w:p>
      <w:pPr>
        <w:numPr>
          <w:ilvl w:val="4"/>
          <w:numId w:val="9"/>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2"/>
          <w:numId w:val="9"/>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未通过资格审查或符合性审查的投标人，采购代理机构将在苏采云系统中告知未通过资格审查或符合性审查的原因，评标结束后，采购代理机构将不再告知未通过资格审查和符合性审查的原因。</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同时出现两种以上不一致的，按照前款规定的顺序修正。修正后的报价按照财政部87号令第五十一条第二款的规定通过苏采云系统告知投标人并经投标人确认后产生约束力。如果投标人不接受修正后的价格，则其投标将被拒绝。</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投标人在开、评标全过程中应保持通讯畅通，及时登录苏采云系统查阅、答复相关信息，并安排专人与采购代理机构及评标委员会联系。</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7" w:name="_Toc10736"/>
      <w:r>
        <w:rPr>
          <w:rFonts w:hint="eastAsia" w:ascii="宋体" w:hAnsi="宋体" w:eastAsia="宋体" w:cs="宋体"/>
          <w:b/>
          <w:bCs/>
          <w:sz w:val="24"/>
          <w:szCs w:val="24"/>
        </w:rPr>
        <w:t xml:space="preserve">无效投标条款和废标条款</w:t>
      </w:r>
      <w:bookmarkEnd w:id="127"/>
      <w:r/>
      <w:r/>
    </w:p>
    <w:p>
      <w:pPr>
        <w:numPr>
          <w:ilvl w:val="1"/>
          <w:numId w:val="9"/>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不同投标人的投标文件制作机器码一致的；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供应商被列入失信被执行人名单、重大税收违法案件当事人名单、政府采购严重违法失信行为记录名单以及其他不符合《中华人民共和国政府采购法》第二十二条规定条件的信用记录的；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不同供应商的单位负责人为同一人或者存在直接控股、管理关系的；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9"/>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8" w:name="_Toc256000007"/>
      <w:r/>
      <w:bookmarkStart w:id="129" w:name="_Toc54119651"/>
      <w:r/>
      <w:bookmarkStart w:id="130" w:name="_Toc35244873"/>
      <w:r>
        <w:rPr>
          <w:rFonts w:hint="eastAsia" w:ascii="宋体" w:hAnsi="宋体" w:cs="宋体"/>
          <w:spacing w:val="7"/>
          <w:sz w:val="24"/>
          <w:szCs w:val="32"/>
          <w:highlight w:val="none"/>
          <w:lang w:eastAsia="zh-CN"/>
        </w:rPr>
        <w:t xml:space="preserve">，</w:t>
      </w:r>
      <w:r>
        <w:rPr>
          <w:rStyle w:val="1021"/>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8"/>
        </w:numPr>
        <w:ind w:left="0" w:firstLine="0"/>
        <w:jc w:val="left"/>
        <w:keepLines w:val="0"/>
        <w:keepNext w:val="0"/>
        <w:pageBreakBefore w:val="0"/>
        <w:spacing w:line="400" w:lineRule="exact"/>
        <w:widowControl w:val="off"/>
        <w:rPr>
          <w:rStyle w:val="1052"/>
          <w:rFonts w:hint="eastAsia" w:ascii="宋体" w:hAnsi="宋体" w:eastAsia="宋体" w:cs="宋体"/>
          <w:b/>
          <w:bCs w:val="0"/>
          <w:sz w:val="24"/>
          <w:szCs w:val="24"/>
        </w:rPr>
        <w:outlineLvl w:val="1"/>
      </w:pPr>
      <w:r/>
      <w:bookmarkStart w:id="131" w:name="_Toc23197"/>
      <w:r/>
      <w:bookmarkStart w:id="132" w:name="_Toc24282"/>
      <w:r/>
      <w:bookmarkStart w:id="133" w:name="_Toc4706"/>
      <w:r>
        <w:rPr>
          <w:rStyle w:val="1052"/>
          <w:rFonts w:hint="eastAsia" w:ascii="宋体" w:hAnsi="宋体" w:eastAsia="宋体" w:cs="宋体"/>
          <w:b/>
          <w:bCs w:val="0"/>
          <w:sz w:val="24"/>
          <w:szCs w:val="24"/>
        </w:rPr>
        <w:t xml:space="preserve">定标</w:t>
      </w:r>
      <w:bookmarkEnd w:id="128"/>
      <w:r/>
      <w:bookmarkEnd w:id="129"/>
      <w:r/>
      <w:bookmarkEnd w:id="130"/>
      <w:r/>
      <w:bookmarkEnd w:id="131"/>
      <w:r/>
      <w:bookmarkEnd w:id="132"/>
      <w:r/>
      <w:bookmarkEnd w:id="133"/>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4" w:name="_Toc19094"/>
      <w:r>
        <w:rPr>
          <w:rFonts w:hint="eastAsia" w:ascii="宋体" w:hAnsi="宋体" w:eastAsia="宋体" w:cs="宋体"/>
          <w:b/>
          <w:bCs/>
          <w:sz w:val="24"/>
          <w:szCs w:val="24"/>
        </w:rPr>
        <w:t xml:space="preserve">确定中标单位</w:t>
      </w:r>
      <w:bookmarkEnd w:id="134"/>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9"/>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与评审专家、采购人、其他供应商或者代理机构工作人员恶意串通的；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向评审专家、采购人或代理机构工作人员行贿或者提供其他不正当利益的；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在招标采购过程中与采购人进行协商谈判的；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不满足本招标文件规定的实质性要求，但在评标过程中又未被评委会发现的；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其他不符合法律、法规规定的。</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5" w:name="_Toc3103"/>
      <w:r>
        <w:rPr>
          <w:rFonts w:hint="eastAsia" w:ascii="宋体" w:hAnsi="宋体" w:eastAsia="宋体" w:cs="宋体"/>
          <w:b/>
          <w:bCs/>
          <w:sz w:val="24"/>
          <w:szCs w:val="24"/>
          <w:highlight w:val="none"/>
        </w:rPr>
        <w:t xml:space="preserve">质疑</w:t>
      </w:r>
      <w:bookmarkEnd w:id="135"/>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供应商认为采购文件、采购过程和中标结果使自己的合法权益受到损害的，可以在知道或者应当知道其权</w:t>
      </w:r>
      <w:r>
        <w:rPr>
          <w:rFonts w:hint="eastAsia" w:ascii="宋体" w:hAnsi="宋体" w:eastAsia="宋体" w:cs="宋体"/>
          <w:b w:val="0"/>
          <w:bCs w:val="0"/>
          <w:sz w:val="24"/>
          <w:szCs w:val="24"/>
          <w:lang w:eastAsia="zh-CN"/>
        </w:rPr>
        <w:t xml:space="preserve">益受到损害之日起七个工作日内。</w:t>
      </w:r>
      <w:r>
        <w:rPr>
          <w:rFonts w:hint="eastAsia" w:ascii="宋体" w:hAnsi="宋体" w:eastAsia="宋体" w:cs="宋体"/>
          <w:b w:val="0"/>
          <w:bCs w:val="0"/>
          <w:sz w:val="24"/>
          <w:szCs w:val="24"/>
          <w:lang w:val="en-US" w:eastAsia="zh-CN"/>
        </w:rPr>
        <w:t xml:space="preserve">通过</w:t>
      </w:r>
      <w:r>
        <w:rPr>
          <w:rFonts w:hint="eastAsia" w:ascii="宋体" w:hAnsi="宋体" w:eastAsia="宋体" w:cs="宋体"/>
          <w:b w:val="0"/>
          <w:bCs w:val="0"/>
          <w:sz w:val="24"/>
          <w:szCs w:val="24"/>
          <w:lang w:eastAsia="zh-CN"/>
        </w:rPr>
        <w:t xml:space="preserve">书面</w:t>
      </w:r>
      <w:r>
        <w:rPr>
          <w:rFonts w:hint="eastAsia" w:ascii="宋体" w:hAnsi="宋体" w:eastAsia="宋体" w:cs="宋体"/>
          <w:b w:val="0"/>
          <w:bCs w:val="0"/>
          <w:sz w:val="24"/>
          <w:szCs w:val="24"/>
          <w:lang w:val="en-US" w:eastAsia="zh-CN"/>
        </w:rPr>
        <w:t xml:space="preserve">原件</w:t>
      </w:r>
      <w:r>
        <w:rPr>
          <w:rFonts w:hint="eastAsia" w:ascii="宋体" w:hAnsi="宋体" w:eastAsia="宋体" w:cs="宋体"/>
          <w:b w:val="0"/>
          <w:bCs w:val="0"/>
          <w:sz w:val="24"/>
          <w:szCs w:val="24"/>
          <w:lang w:eastAsia="zh-CN"/>
        </w:rPr>
        <w:t xml:space="preserve">形式，</w:t>
      </w:r>
      <w:r>
        <w:rPr>
          <w:rFonts w:hint="eastAsia" w:ascii="宋体" w:hAnsi="宋体" w:eastAsia="宋体" w:cs="宋体"/>
          <w:b w:val="0"/>
          <w:bCs w:val="0"/>
          <w:sz w:val="24"/>
          <w:szCs w:val="24"/>
          <w:lang w:val="en-US" w:eastAsia="zh-CN"/>
        </w:rPr>
        <w:t xml:space="preserve">当场送达或通过邮寄方式</w:t>
      </w:r>
      <w:r>
        <w:rPr>
          <w:rFonts w:hint="eastAsia" w:ascii="宋体" w:hAnsi="宋体" w:eastAsia="宋体" w:cs="宋体"/>
          <w:b w:val="0"/>
          <w:bCs w:val="0"/>
          <w:sz w:val="24"/>
          <w:szCs w:val="24"/>
          <w:lang w:eastAsia="zh-CN"/>
        </w:rPr>
        <w:t xml:space="preserve">向</w:t>
      </w:r>
      <w:r>
        <w:rPr>
          <w:rFonts w:hint="eastAsia" w:ascii="宋体" w:hAnsi="宋体" w:eastAsia="宋体" w:cs="宋体"/>
          <w:b w:val="0"/>
          <w:bCs w:val="0"/>
          <w:sz w:val="24"/>
          <w:szCs w:val="24"/>
          <w:lang w:val="en-US" w:eastAsia="zh-CN"/>
        </w:rPr>
        <w:t xml:space="preserve">采购人</w:t>
      </w:r>
      <w:r>
        <w:rPr>
          <w:rFonts w:hint="eastAsia" w:ascii="宋体" w:hAnsi="宋体" w:eastAsia="宋体" w:cs="宋体"/>
          <w:b w:val="0"/>
          <w:bCs w:val="0"/>
          <w:sz w:val="24"/>
          <w:szCs w:val="24"/>
          <w:lang w:eastAsia="zh-CN"/>
        </w:rPr>
        <w:t xml:space="preserve">或采购</w:t>
      </w:r>
      <w:r>
        <w:rPr>
          <w:rFonts w:hint="eastAsia" w:ascii="宋体" w:hAnsi="宋体" w:eastAsia="宋体" w:cs="宋体"/>
          <w:b w:val="0"/>
          <w:bCs w:val="0"/>
          <w:sz w:val="24"/>
          <w:szCs w:val="24"/>
          <w:lang w:val="en-US" w:eastAsia="zh-CN"/>
        </w:rPr>
        <w:t xml:space="preserve">代理机构</w:t>
      </w:r>
      <w:r>
        <w:rPr>
          <w:rFonts w:hint="eastAsia" w:ascii="宋体" w:hAnsi="宋体" w:eastAsia="宋体" w:cs="宋体"/>
          <w:b w:val="0"/>
          <w:bCs w:val="0"/>
          <w:sz w:val="24"/>
          <w:szCs w:val="24"/>
          <w:lang w:eastAsia="zh-CN"/>
        </w:rPr>
        <w:t xml:space="preserve">提出质疑，</w:t>
      </w:r>
      <w:r>
        <w:rPr>
          <w:rFonts w:hint="eastAsia" w:ascii="宋体" w:hAnsi="宋体" w:eastAsia="宋体" w:cs="宋体"/>
          <w:b w:val="0"/>
          <w:bCs w:val="0"/>
          <w:sz w:val="24"/>
          <w:szCs w:val="24"/>
          <w:lang w:val="en-US" w:eastAsia="zh-CN"/>
        </w:rPr>
        <w:t xml:space="preserve">具体联系方式详见招标公告</w:t>
      </w:r>
      <w:r>
        <w:rPr>
          <w:rFonts w:hint="eastAsia" w:ascii="宋体" w:hAnsi="宋体" w:eastAsia="宋体" w:cs="宋体"/>
          <w:b w:val="0"/>
          <w:bCs w:val="0"/>
          <w:sz w:val="24"/>
          <w:szCs w:val="24"/>
          <w:lang w:eastAsia="zh-CN"/>
        </w:rPr>
        <w:t xml:space="preserve">。</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质疑必须按《政府采购法》、《政府采购法实施条例》及财政部94号令的相关规定提交，未按上述要求提交的质疑函张家港市旭达咨询有限公司有权不予受理。</w:t>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特别提示</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根据财政部94号令第十一条规定，提出质疑的供应商应当是参与所质疑项目采购活动的供应商。</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对招标文件提出质疑的供应商，必须是依法获取招标文件，请将合法获取招标文件</w:t>
      </w:r>
      <w:r>
        <w:rPr>
          <w:rFonts w:hint="eastAsia" w:ascii="宋体" w:hAnsi="宋体" w:eastAsia="宋体" w:cs="宋体"/>
          <w:b w:val="0"/>
          <w:bCs w:val="0"/>
          <w:sz w:val="24"/>
          <w:szCs w:val="24"/>
          <w:lang w:val="en-US" w:eastAsia="zh-CN"/>
        </w:rPr>
        <w:t xml:space="preserve">时提交的“</w:t>
      </w:r>
      <w:r>
        <w:rPr>
          <w:rFonts w:hint="eastAsia" w:ascii="宋体" w:hAnsi="宋体" w:eastAsia="宋体" w:cs="宋体"/>
          <w:b w:val="0"/>
          <w:bCs w:val="0"/>
          <w:sz w:val="24"/>
          <w:szCs w:val="24"/>
        </w:rPr>
        <w:t xml:space="preserve">投标供应商确认函</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与质疑函</w:t>
      </w:r>
      <w:r>
        <w:rPr>
          <w:rFonts w:hint="eastAsia" w:ascii="宋体" w:hAnsi="宋体" w:eastAsia="宋体" w:cs="宋体"/>
          <w:b w:val="0"/>
          <w:bCs w:val="0"/>
          <w:sz w:val="24"/>
          <w:szCs w:val="24"/>
          <w:lang w:val="en-US" w:eastAsia="zh-CN"/>
        </w:rPr>
        <w:t xml:space="preserve">同时提交</w:t>
      </w:r>
      <w:r>
        <w:rPr>
          <w:rFonts w:hint="eastAsia" w:ascii="宋体" w:hAnsi="宋体" w:eastAsia="宋体" w:cs="宋体"/>
          <w:b w:val="0"/>
          <w:bCs w:val="0"/>
          <w:sz w:val="24"/>
          <w:szCs w:val="24"/>
        </w:rPr>
        <w:t xml:space="preserve">，否则</w:t>
      </w:r>
      <w:r>
        <w:rPr>
          <w:rFonts w:hint="eastAsia" w:ascii="宋体" w:hAnsi="宋体" w:eastAsia="宋体" w:cs="宋体"/>
          <w:b w:val="0"/>
          <w:bCs w:val="0"/>
          <w:sz w:val="24"/>
          <w:szCs w:val="24"/>
          <w:lang w:val="en-US" w:eastAsia="zh-CN"/>
        </w:rPr>
        <w:t xml:space="preserve">将</w:t>
      </w:r>
      <w:r>
        <w:rPr>
          <w:rFonts w:hint="eastAsia" w:ascii="宋体" w:hAnsi="宋体" w:eastAsia="宋体" w:cs="宋体"/>
          <w:b w:val="0"/>
          <w:bCs w:val="0"/>
          <w:sz w:val="24"/>
          <w:szCs w:val="24"/>
        </w:rPr>
        <w:t xml:space="preserve">不予受理。</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供应商在法定质疑期内应一次性提出针对同一采购程序环节的质疑。</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供应商提出质疑必须有理、有据，不得恶意质疑或提交虚假质疑。否则，一经查实，采购人或张家港市旭达咨询有限公司有权依据政府采购的有关规定，报请政府采购监管部门对该投标人进行相应的行政处罚。</w:t>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采购人或张家港市旭达咨询有限公司将在收到供应商的质疑后七个工作日内作出答复，答复的内容不涉及商业秘密。</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6" w:name="_Toc3291"/>
      <w:r>
        <w:rPr>
          <w:rFonts w:hint="eastAsia" w:ascii="宋体" w:hAnsi="宋体" w:eastAsia="宋体" w:cs="宋体"/>
          <w:b/>
          <w:bCs/>
          <w:sz w:val="24"/>
          <w:szCs w:val="24"/>
        </w:rPr>
        <w:t xml:space="preserve">中标通知书</w:t>
      </w:r>
      <w:bookmarkEnd w:id="136"/>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9"/>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7" w:name="_Toc256000008"/>
      <w:r/>
      <w:bookmarkStart w:id="138" w:name="_Toc54119652"/>
      <w:r/>
      <w:bookmarkStart w:id="139" w:name="_Toc35244874"/>
      <w:r>
        <w:rPr>
          <w:rFonts w:hint="eastAsia" w:ascii="宋体" w:hAnsi="宋体" w:eastAsia="宋体" w:cs="宋体"/>
          <w:spacing w:val="7"/>
          <w:sz w:val="24"/>
          <w:szCs w:val="24"/>
          <w:highlight w:val="none"/>
          <w:lang w:val="en-US" w:eastAsia="zh-CN" w:bidi="ar-SA"/>
        </w:rPr>
        <w:t xml:space="preserve">。</w:t>
      </w:r>
      <w:r/>
    </w:p>
    <w:p>
      <w:pPr>
        <w:numPr>
          <w:ilvl w:val="1"/>
          <w:numId w:val="8"/>
        </w:numPr>
        <w:ind w:left="0" w:firstLine="0"/>
        <w:jc w:val="left"/>
        <w:keepLines w:val="0"/>
        <w:keepNext w:val="0"/>
        <w:pageBreakBefore w:val="0"/>
        <w:spacing w:line="400" w:lineRule="exact"/>
        <w:widowControl w:val="off"/>
        <w:rPr>
          <w:rStyle w:val="1052"/>
          <w:rFonts w:hint="eastAsia" w:ascii="宋体" w:hAnsi="宋体" w:eastAsia="宋体" w:cs="宋体"/>
          <w:b/>
          <w:bCs w:val="0"/>
          <w:sz w:val="24"/>
          <w:szCs w:val="24"/>
        </w:rPr>
        <w:outlineLvl w:val="1"/>
      </w:pPr>
      <w:r/>
      <w:bookmarkStart w:id="140" w:name="_Toc26742"/>
      <w:r/>
      <w:bookmarkStart w:id="141" w:name="_Toc30218"/>
      <w:r/>
      <w:bookmarkStart w:id="142" w:name="_Toc3470"/>
      <w:r>
        <w:rPr>
          <w:rStyle w:val="1052"/>
          <w:rFonts w:hint="eastAsia" w:ascii="宋体" w:hAnsi="宋体" w:eastAsia="宋体" w:cs="宋体"/>
          <w:b/>
          <w:bCs w:val="0"/>
          <w:sz w:val="24"/>
          <w:szCs w:val="24"/>
        </w:rPr>
        <w:t xml:space="preserve">授予合同</w:t>
      </w:r>
      <w:bookmarkEnd w:id="137"/>
      <w:r/>
      <w:bookmarkEnd w:id="138"/>
      <w:r/>
      <w:bookmarkEnd w:id="139"/>
      <w:r/>
      <w:bookmarkEnd w:id="140"/>
      <w:r/>
      <w:bookmarkEnd w:id="141"/>
      <w:r/>
      <w:bookmarkEnd w:id="142"/>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3" w:name="_Toc18927"/>
      <w:r>
        <w:rPr>
          <w:rFonts w:hint="eastAsia" w:ascii="宋体" w:hAnsi="宋体" w:eastAsia="宋体" w:cs="宋体"/>
          <w:b/>
          <w:bCs/>
          <w:sz w:val="24"/>
          <w:szCs w:val="24"/>
        </w:rPr>
        <w:t xml:space="preserve">签订合同</w:t>
      </w:r>
      <w:bookmarkEnd w:id="143"/>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中标人应按中标通知书规定的时间、地点,按照招标文件确定的事项与采购人签订政府采购合同，且原则上不得迟于中标通知书发出之日起十五日，否则给采购人造成损失的，中标人应承担赔偿责任。</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9"/>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4" w:name="_Toc17363"/>
      <w:r>
        <w:rPr>
          <w:rFonts w:hint="eastAsia" w:ascii="宋体" w:hAnsi="宋体" w:eastAsia="宋体" w:cs="宋体"/>
          <w:b/>
          <w:bCs/>
          <w:sz w:val="24"/>
          <w:szCs w:val="24"/>
        </w:rPr>
        <w:t xml:space="preserve">货物和服务的追加、减少和添购。</w:t>
      </w:r>
      <w:bookmarkEnd w:id="144"/>
      <w:r>
        <w:rPr>
          <w:rFonts w:hint="eastAsia" w:ascii="宋体" w:hAnsi="宋体" w:eastAsia="宋体" w:cs="宋体"/>
          <w:b/>
          <w:bCs/>
          <w:sz w:val="24"/>
          <w:szCs w:val="24"/>
        </w:rPr>
        <w:t xml:space="preserve"> </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5" w:name="_Toc18878"/>
      <w:r>
        <w:rPr>
          <w:rFonts w:hint="eastAsia" w:ascii="宋体" w:hAnsi="宋体" w:eastAsia="宋体" w:cs="宋体"/>
          <w:b/>
          <w:bCs/>
          <w:sz w:val="24"/>
          <w:szCs w:val="24"/>
          <w:highlight w:val="none"/>
        </w:rPr>
        <w:t xml:space="preserve">履约保证金</w:t>
      </w:r>
      <w:bookmarkEnd w:id="145"/>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合同签订前，中标人向采购单位交付的履约保证金为合同总价款的2％。</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0"/>
          <w:numId w:val="9"/>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6" w:name="_Toc6954"/>
      <w:r>
        <w:rPr>
          <w:rFonts w:hint="eastAsia" w:ascii="宋体" w:hAnsi="宋体" w:eastAsia="宋体" w:cs="宋体"/>
          <w:b/>
          <w:bCs/>
          <w:spacing w:val="7"/>
          <w:sz w:val="24"/>
          <w:szCs w:val="24"/>
          <w:highlight w:val="none"/>
          <w:lang w:val="en-US" w:eastAsia="zh-CN" w:bidi="ar-SA"/>
        </w:rPr>
        <w:t xml:space="preserve">监督和公证</w:t>
      </w:r>
      <w:bookmarkEnd w:id="146"/>
      <w:r/>
      <w:r/>
    </w:p>
    <w:p>
      <w:pPr>
        <w:numPr>
          <w:ilvl w:val="1"/>
          <w:numId w:val="9"/>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12"/>
      <w:bookmarkEnd w:id="13"/>
      <w:bookmarkEnd w:id="14"/>
      <w:bookmarkEnd w:id="15"/>
      <w:bookmarkEnd w:id="16"/>
      <w:bookmarkEnd w:id="17"/>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7" w:name="_Toc913"/>
      <w:r/>
      <w:bookmarkStart w:id="148" w:name="_Toc9399"/>
      <w:r/>
      <w:bookmarkStart w:id="149" w:name="_Toc3639"/>
      <w:r/>
      <w:bookmarkStart w:id="150" w:name="_Toc26922"/>
      <w:r/>
      <w:bookmarkStart w:id="151" w:name="_Toc9061"/>
      <w:r/>
      <w:bookmarkStart w:id="152" w:name="_Toc10256"/>
      <w:r/>
      <w:bookmarkStart w:id="153" w:name="_Toc120614244"/>
      <w:r/>
      <w:bookmarkStart w:id="154" w:name="_Toc16938590"/>
      <w:r/>
      <w:bookmarkStart w:id="155" w:name="_Hlk65328514"/>
      <w:r/>
      <w:bookmarkStart w:id="156" w:name="_Toc20823346"/>
      <w:r/>
      <w:bookmarkStart w:id="157" w:name="_Hlt16619350"/>
      <w:r/>
      <w:bookmarkStart w:id="158" w:name="_Toc479757211"/>
      <w:r/>
      <w:bookmarkStart w:id="159" w:name="_Toc462564139"/>
      <w:r>
        <w:rPr>
          <w:rFonts w:hint="eastAsia" w:ascii="宋体" w:hAnsi="宋体" w:eastAsia="宋体" w:cs="宋体"/>
          <w:b/>
          <w:bCs/>
          <w:sz w:val="32"/>
          <w:szCs w:val="32"/>
          <w:highlight w:val="none"/>
          <w:lang w:val="en-US" w:eastAsia="zh-CN" w:bidi="ar-SA"/>
        </w:rPr>
        <w:t xml:space="preserve">合同条款及格式</w:t>
      </w:r>
      <w:bookmarkEnd w:id="147"/>
      <w:r/>
      <w:bookmarkEnd w:id="148"/>
      <w:r/>
      <w:bookmarkEnd w:id="149"/>
      <w:r/>
      <w:bookmarkEnd w:id="150"/>
      <w:r/>
      <w:bookmarkEnd w:id="151"/>
      <w:r/>
      <w:bookmarkEnd w:id="152"/>
      <w:r/>
      <w:r/>
    </w:p>
    <w:p>
      <w:pPr>
        <w:pStyle w:val="1060"/>
        <w:ind w:firstLine="480"/>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以下为中标(成交)后签定本项目合同的通用条款，中标(成交)供应商不得提出实质性的修改。</w:t>
      </w:r>
      <w:r/>
    </w:p>
    <w:p>
      <w:pPr>
        <w:pStyle w:val="1061"/>
        <w:ind w:left="0" w:firstLine="0"/>
        <w:jc w:val="center"/>
        <w:rPr>
          <w:rStyle w:val="1021"/>
          <w:rFonts w:hint="eastAsia" w:ascii="宋体" w:hAnsi="宋体" w:eastAsia="宋体" w:cs="宋体"/>
          <w:b/>
          <w:bCs w:val="0"/>
          <w:color w:val="000000"/>
          <w:sz w:val="32"/>
          <w:szCs w:val="32"/>
        </w:rPr>
      </w:pPr>
      <w:r>
        <w:rPr>
          <w:rStyle w:val="1021"/>
          <w:rFonts w:hint="eastAsia" w:ascii="宋体" w:hAnsi="宋体" w:eastAsia="宋体" w:cs="宋体"/>
          <w:b/>
          <w:bCs w:val="0"/>
          <w:color w:val="000000"/>
          <w:sz w:val="32"/>
          <w:szCs w:val="32"/>
        </w:rPr>
        <w:t xml:space="preserve">张家港市政府采购合同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rPr>
      </w:pPr>
      <w:r>
        <w:rPr>
          <w:rStyle w:val="1021"/>
          <w:rFonts w:hint="eastAsia" w:ascii="宋体" w:hAnsi="宋体" w:eastAsia="宋体" w:cs="宋体"/>
          <w:bCs/>
          <w:color w:val="000000"/>
          <w:sz w:val="24"/>
        </w:rPr>
        <w:t xml:space="preserve">项目名称：</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rPr>
      </w:pPr>
      <w:r>
        <w:rPr>
          <w:rStyle w:val="1021"/>
          <w:rFonts w:hint="eastAsia" w:ascii="宋体" w:hAnsi="宋体" w:eastAsia="宋体" w:cs="宋体"/>
          <w:bCs/>
          <w:color w:val="000000"/>
          <w:sz w:val="24"/>
        </w:rPr>
        <w:t xml:space="preserve">项目编号：</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rPr>
      </w:pPr>
      <w:r>
        <w:rPr>
          <w:rStyle w:val="1021"/>
          <w:rFonts w:hint="eastAsia" w:ascii="宋体" w:hAnsi="宋体" w:eastAsia="宋体" w:cs="宋体"/>
          <w:bCs/>
          <w:color w:val="000000"/>
          <w:sz w:val="24"/>
        </w:rPr>
        <w:t xml:space="preserve">甲方：（买方）</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rPr>
      </w:pPr>
      <w:r>
        <w:rPr>
          <w:rStyle w:val="1021"/>
          <w:rFonts w:hint="eastAsia" w:ascii="宋体" w:hAnsi="宋体" w:eastAsia="宋体" w:cs="宋体"/>
          <w:bCs/>
          <w:color w:val="000000"/>
          <w:sz w:val="24"/>
        </w:rPr>
        <w:t xml:space="preserve">乙方：（卖方）</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甲、乙双方根据张家港市旭达咨询有限公司</w:t>
      </w:r>
      <w:r>
        <w:rPr>
          <w:rStyle w:val="1021"/>
          <w:rFonts w:hint="eastAsia" w:ascii="宋体" w:hAnsi="宋体" w:eastAsia="宋体" w:cs="宋体"/>
          <w:bCs/>
          <w:i w:val="0"/>
          <w:iCs w:val="0"/>
          <w:color w:val="000000"/>
          <w:sz w:val="24"/>
          <w:u w:val="single"/>
        </w:rPr>
        <w:t xml:space="preserve">      </w:t>
      </w:r>
      <w:r>
        <w:rPr>
          <w:rStyle w:val="1021"/>
          <w:rFonts w:hint="eastAsia" w:ascii="宋体" w:hAnsi="宋体" w:eastAsia="宋体" w:cs="宋体"/>
          <w:bCs/>
          <w:color w:val="000000"/>
          <w:sz w:val="24"/>
        </w:rPr>
        <w:t xml:space="preserve">项目公开招标的结果，签署本合同。</w:t>
      </w:r>
      <w:r/>
    </w:p>
    <w:p>
      <w:pPr>
        <w:pStyle w:val="1060"/>
        <w:ind w:firstLine="482"/>
        <w:rPr>
          <w:rStyle w:val="1021"/>
          <w:rFonts w:ascii="宋体" w:hAnsi="宋体" w:cs="宋体"/>
          <w:b/>
          <w:bCs/>
          <w:sz w:val="24"/>
        </w:rPr>
      </w:pPr>
      <w:r>
        <w:rPr>
          <w:rStyle w:val="1021"/>
          <w:rFonts w:hint="eastAsia" w:ascii="宋体" w:hAnsi="宋体" w:cs="宋体"/>
          <w:b/>
          <w:bCs/>
          <w:color w:val="000000"/>
          <w:sz w:val="24"/>
        </w:rPr>
        <w:t xml:space="preserve">一、服务内容</w:t>
      </w:r>
      <w:r/>
    </w:p>
    <w:tbl>
      <w:tblPr>
        <w:tblStyle w:val="851"/>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060"/>
              <w:ind w:firstLine="0"/>
              <w:jc w:val="center"/>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项目名称</w:t>
            </w:r>
            <w:r/>
          </w:p>
        </w:tc>
        <w:tc>
          <w:tcPr>
            <w:tcW w:w="2722" w:type="dxa"/>
            <w:vAlign w:val="center"/>
            <w:textDirection w:val="lrTb"/>
            <w:noWrap w:val="false"/>
          </w:tcPr>
          <w:p>
            <w:pPr>
              <w:pStyle w:val="1060"/>
              <w:ind w:firstLine="480"/>
              <w:jc w:val="center"/>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1060"/>
              <w:ind w:firstLine="240"/>
              <w:jc w:val="both"/>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W w:w="2723" w:type="dxa"/>
            <w:vAlign w:val="center"/>
            <w:textDirection w:val="lrTb"/>
            <w:noWrap w:val="false"/>
          </w:tcPr>
          <w:p>
            <w:pPr>
              <w:pStyle w:val="1060"/>
              <w:ind w:firstLine="0"/>
              <w:jc w:val="both"/>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1060"/>
              <w:ind w:firstLine="0"/>
              <w:jc w:val="both"/>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1060"/>
              <w:ind w:firstLine="0"/>
              <w:jc w:val="both"/>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             </w:t>
            </w:r>
            <w:r/>
          </w:p>
        </w:tc>
      </w:tr>
    </w:tbl>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 二、合同金额</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2.1 本合同金额为（大写）：</w:t>
      </w:r>
      <w:r>
        <w:rPr>
          <w:rStyle w:val="1021"/>
          <w:rFonts w:hint="eastAsia" w:ascii="宋体" w:hAnsi="宋体" w:eastAsia="宋体" w:cs="宋体"/>
          <w:bCs/>
          <w:color w:val="000000"/>
          <w:sz w:val="24"/>
          <w:u w:val="single"/>
        </w:rPr>
        <w:t xml:space="preserve">                    </w:t>
      </w:r>
      <w:r>
        <w:rPr>
          <w:rStyle w:val="1021"/>
          <w:rFonts w:hint="eastAsia" w:ascii="宋体" w:hAnsi="宋体" w:eastAsia="宋体" w:cs="宋体"/>
          <w:bCs/>
          <w:color w:val="000000"/>
          <w:sz w:val="24"/>
        </w:rPr>
        <w:t xml:space="preserve">（</w:t>
      </w:r>
      <w:r>
        <w:rPr>
          <w:rStyle w:val="1021"/>
          <w:rFonts w:hint="eastAsia" w:ascii="宋体" w:hAnsi="宋体" w:eastAsia="宋体" w:cs="宋体"/>
          <w:bCs/>
          <w:color w:val="000000"/>
          <w:sz w:val="24"/>
          <w:u w:val="single"/>
        </w:rPr>
        <w:t xml:space="preserve">               </w:t>
      </w:r>
      <w:r>
        <w:rPr>
          <w:rStyle w:val="1021"/>
          <w:rFonts w:hint="eastAsia" w:ascii="宋体" w:hAnsi="宋体" w:eastAsia="宋体" w:cs="宋体"/>
          <w:bCs/>
          <w:color w:val="000000"/>
          <w:sz w:val="24"/>
        </w:rPr>
        <w:t xml:space="preserve">元）人民币。</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三、履约保证金</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3.1合同签订前，乙方向采购单位交纳人民币</w:t>
      </w:r>
      <w:r>
        <w:rPr>
          <w:rStyle w:val="1021"/>
          <w:rFonts w:hint="eastAsia" w:ascii="宋体" w:hAnsi="宋体" w:eastAsia="宋体" w:cs="宋体"/>
          <w:bCs/>
          <w:color w:val="000000"/>
          <w:sz w:val="24"/>
          <w:u w:val="single"/>
        </w:rPr>
        <w:t xml:space="preserve">    </w:t>
      </w:r>
      <w:r>
        <w:rPr>
          <w:rStyle w:val="1021"/>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3.2甲方付清全部合同金额的同时返还履约保证金。逾期退还的，应当支付逾期利息，且逾期利息的利率不得低于合同订立时1年期贷款市场报价利率。</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3.3乙方不履行与甲方订立的合同的，履约保证金不予退还。</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四、转包或分包</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4.1 本合同范围的服务，应由乙方直接提供，不得转让他人提供；</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4.2 如有转包和分包行为，甲方有权给予终止合同。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lang w:val="en-US" w:eastAsia="zh-CN"/>
        </w:rPr>
      </w:pPr>
      <w:r>
        <w:rPr>
          <w:rStyle w:val="1021"/>
          <w:rFonts w:hint="eastAsia" w:ascii="宋体" w:hAnsi="宋体" w:eastAsia="宋体" w:cs="宋体"/>
          <w:bCs/>
          <w:color w:val="000000"/>
          <w:sz w:val="24"/>
        </w:rPr>
        <w:t xml:space="preserve">五、服务期限：</w:t>
      </w:r>
      <w:r>
        <w:rPr>
          <w:rStyle w:val="1021"/>
          <w:rFonts w:hint="eastAsia" w:ascii="宋体" w:hAnsi="宋体" w:eastAsia="宋体" w:cs="宋体"/>
          <w:bCs/>
          <w:color w:val="000000"/>
          <w:sz w:val="24"/>
          <w:u w:val="single"/>
          <w:lang w:val="en-US" w:eastAsia="zh-CN"/>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六、货款支付</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6.1 结付程序：</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lang w:eastAsia="zh-CN"/>
        </w:rPr>
      </w:pPr>
      <w:r>
        <w:rPr>
          <w:rStyle w:val="1021"/>
          <w:rFonts w:hint="eastAsia" w:ascii="宋体" w:hAnsi="宋体" w:eastAsia="宋体" w:cs="宋体"/>
          <w:bCs/>
          <w:color w:val="000000"/>
          <w:sz w:val="24"/>
        </w:rPr>
        <w:t xml:space="preserve">6.2结付期限：</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rPr>
      </w:pPr>
      <w:r>
        <w:rPr>
          <w:rStyle w:val="1021"/>
          <w:rFonts w:hint="eastAsia" w:ascii="宋体" w:hAnsi="宋体" w:eastAsia="宋体" w:cs="宋体"/>
          <w:bCs/>
          <w:color w:val="000000"/>
          <w:sz w:val="24"/>
        </w:rPr>
        <w:t xml:space="preserve">6.3乙方收款账户：</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6.4甲方合同款支付方式：</w:t>
      </w:r>
      <w:r>
        <w:rPr>
          <w:rStyle w:val="1021"/>
          <w:rFonts w:hint="eastAsia" w:ascii="宋体" w:hAnsi="宋体" w:eastAsia="宋体" w:cs="宋体"/>
          <w:bCs/>
          <w:color w:val="000000"/>
          <w:sz w:val="24"/>
          <w:u w:val="single"/>
        </w:rPr>
        <w:t xml:space="preserve">      </w:t>
      </w:r>
      <w:r>
        <w:rPr>
          <w:rStyle w:val="1021"/>
          <w:rFonts w:hint="eastAsia" w:ascii="宋体" w:hAnsi="宋体" w:eastAsia="宋体" w:cs="宋体"/>
          <w:bCs/>
          <w:color w:val="000000"/>
          <w:sz w:val="24"/>
        </w:rPr>
        <w:t xml:space="preserve">（若乙方为中小企业，不得强制其接受非现金支付方式）</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七、税</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7.1 本合同执行中相关的一切税费均由乙方负担。</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八、管理事项</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按招标内容要求以及响应单位的承诺项目阐述。</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九、双方权利义务</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9.1 甲方的权利和义务</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(1)甲方制定的委托乙方承担的项目管理内容。（详见项目需求）</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(2)检查监督乙方管理工作的实施及制度的执行情况，并进行考核。</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(3)审定乙方提出的项目管理计划。</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(4)协调处理本合同生效前发生的管理遗留问题。</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(5)协助乙方做好项目管理工作的宣传教育。</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(6)乙方有违约行为的，甲方有权解除合同并没收履约保证金及向乙方支付实际合同期内扣除考核扣款后的全部余款。</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（7）甲方有权对中标后再转包或分包的乙方终止承包合同。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（8）甲方有权在服务期内根据实际情况提出修改考核细则，并经与乙方协商确认后，按新的考核细则执行考核。</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9.2 乙方的权利和义务</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(1)根据有关法律、法规及本合同的约定，制订项目管理制度。</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(2)按合同约定，履行项目管理职责。</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(3)负责编制项目管理年度管理计划。</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(4)工作人员统一着装，并作好相关劳动安全防护工作，严格遵守各项管理规定。</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(5)如遇各项重要活动、参观接待时，乙方应及时组织人员到位，完成各项突击任务。</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(6) 乙方必须规范用工，签订用工合同。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（7）本合同终止时，乙方须向甲方移交项目管理全部档案资料。</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十、服务质量</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乙方提供的管理服务应达到投标文件所约定的目标。对达标的理解有异议的，由双方共同认可的第三方予以评定。</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十一、违约责任</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11.2甲方对乙方进行考核，按考核结果给付费用。甲方逾期办理合同款支付的,应当支付逾期利息，且逾期利息的利率不得低于合同订立时1年期贷款市场报价利率。</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11.3乙方违反合同的约定，未能达到约定的管理目标，甲方有权要求乙方限期整改，逾期未整改的，甲方有权终止合同，造成甲方经济损失的，乙方给予甲方赔偿。</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十二、不可抗力事件处理</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12.2 不可抗力事件发生后，应立即通知对方，并寄送有关权威机构出具的证明。</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12.3 不可抗力事件延续120天以上，双方应通过友好协商，确定是否继续履行合同。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十三、诉讼</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十四、合同其他文件</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14.1下列文件为本合同不可分割部份，与本合同具有同等效力。</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(1)中标通知书；</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(2)供方中标的投标书；</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(3)招标文件；</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(4)供方在招投标过程中所作的其他承诺、声明、书面澄清等。</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十五、合同生效及其它</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15.2 本合同未尽事宜，遵照《民法典》合同编经甲乙双方协商一致可签订补充协议。</w:t>
      </w:r>
      <w:r/>
    </w:p>
    <w:p>
      <w:pPr>
        <w:pStyle w:val="1061"/>
        <w:rPr>
          <w:rStyle w:val="1021"/>
          <w:rFonts w:hint="eastAsia" w:ascii="宋体" w:hAnsi="宋体" w:eastAsia="宋体" w:cs="宋体"/>
          <w:bCs/>
          <w:color w:val="000000"/>
          <w:sz w:val="24"/>
        </w:rPr>
      </w:pPr>
      <w:r>
        <w:rPr>
          <w:rFonts w:hint="eastAsia" w:ascii="宋体" w:hAnsi="宋体" w:eastAsia="宋体" w:cs="宋体"/>
          <w:bCs/>
          <w:color w:val="000000"/>
          <w:sz w:val="24"/>
        </w:rPr>
      </w:r>
      <w:r/>
    </w:p>
    <w:tbl>
      <w:tblPr>
        <w:tblStyle w:val="851"/>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6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6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6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6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63"/>
              <w:jc w:val="right"/>
              <w:keepLines w:val="0"/>
              <w:keepNext w:val="0"/>
              <w:pageBreakBefore w:val="0"/>
              <w:spacing w:line="400" w:lineRule="exact"/>
              <w:widowControl w:val="off"/>
              <w:rPr>
                <w:rStyle w:val="1021"/>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c>
          <w:tcPr>
            <w:tcMar>
              <w:top w:w="100" w:type="dxa"/>
              <w:bottom w:w="100" w:type="dxa"/>
            </w:tcMar>
            <w:tcW w:w="5120" w:type="dxa"/>
            <w:vAlign w:val="center"/>
            <w:textDirection w:val="lrTb"/>
            <w:noWrap w:val="false"/>
          </w:tcPr>
          <w:p>
            <w:pPr>
              <w:pStyle w:val="1025"/>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张家港市旭达咨询有限公司</w:t>
            </w:r>
            <w:r/>
          </w:p>
          <w:p>
            <w:pPr>
              <w:pStyle w:val="1025"/>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经办</w:t>
            </w:r>
            <w:r>
              <w:rPr>
                <w:rFonts w:hint="eastAsia" w:ascii="宋体" w:hAnsi="宋体" w:eastAsia="宋体" w:cs="宋体"/>
                <w:sz w:val="24"/>
                <w:szCs w:val="24"/>
              </w:rPr>
              <w:t xml:space="preserve">人：</w:t>
            </w:r>
            <w:r/>
          </w:p>
          <w:p>
            <w:pPr>
              <w:pStyle w:val="1025"/>
              <w:ind w:left="0" w:right="0" w:firstLine="0"/>
              <w:jc w:val="left"/>
              <w:keepLines w:val="0"/>
              <w:keepNext w:val="0"/>
              <w:pageBreakBefore w:val="0"/>
              <w:spacing w:after="0" w:line="400" w:lineRule="exact"/>
              <w:widowControl w:val="off"/>
              <w:rPr>
                <w:rStyle w:val="1021"/>
                <w:rFonts w:ascii="宋体" w:hAnsi="宋体" w:eastAsia="宋体" w:cs="宋体"/>
                <w:b w:val="0"/>
                <w:sz w:val="24"/>
                <w:szCs w:val="24"/>
                <w:lang w:val="en-US" w:eastAsia="zh-CN"/>
              </w:rPr>
              <w:outlineLvl w:val="9"/>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0512-58647780</w:t>
            </w:r>
            <w:r/>
          </w:p>
        </w:tc>
        <w:tc>
          <w:tcPr>
            <w:tcMar>
              <w:top w:w="100" w:type="dxa"/>
              <w:bottom w:w="100" w:type="dxa"/>
            </w:tcMar>
            <w:tcW w:w="5123" w:type="dxa"/>
            <w:vAlign w:val="center"/>
            <w:textDirection w:val="lrTb"/>
            <w:noWrap w:val="false"/>
          </w:tcPr>
          <w:p>
            <w:pPr>
              <w:pStyle w:val="1063"/>
              <w:jc w:val="left"/>
              <w:keepLines w:val="0"/>
              <w:keepNext w:val="0"/>
              <w:pageBreakBefore w:val="0"/>
              <w:spacing w:line="400" w:lineRule="exact"/>
              <w:widowControl w:val="off"/>
              <w:rPr>
                <w:rStyle w:val="1021"/>
                <w:rFonts w:ascii="宋体" w:hAnsi="宋体" w:eastAsia="宋体" w:cs="宋体"/>
                <w:b w:val="0"/>
                <w:sz w:val="24"/>
                <w:szCs w:val="24"/>
                <w:lang w:val="en-US" w:eastAsia="zh-CN"/>
              </w:rPr>
              <w:outlineLvl w:val="9"/>
            </w:pPr>
            <w:r>
              <w:rPr>
                <w:rStyle w:val="1021"/>
                <w:rFonts w:hint="eastAsia" w:ascii="宋体" w:hAnsi="宋体" w:eastAsia="宋体" w:cs="宋体"/>
                <w:b w:val="0"/>
                <w:sz w:val="24"/>
                <w:szCs w:val="24"/>
                <w:lang w:val="en-US" w:eastAsia="zh-CN"/>
              </w:rPr>
              <w:t xml:space="preserve">备案方：张家港市政府采购管理中心</w:t>
            </w:r>
            <w:r/>
          </w:p>
        </w:tc>
      </w:tr>
    </w:tbl>
    <w:p>
      <w:r/>
      <w:bookmarkEnd w:id="153"/>
      <w:bookmarkEnd w:id="154"/>
      <w:bookmarkEnd w:id="155"/>
      <w:bookmarkEnd w:id="156"/>
      <w:bookmarkEnd w:id="157"/>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0" w:name="_Toc3329"/>
      <w:r/>
      <w:bookmarkStart w:id="161" w:name="_Toc2284"/>
      <w:r/>
      <w:bookmarkStart w:id="162" w:name="_Toc25031"/>
      <w:r/>
      <w:bookmarkStart w:id="163" w:name="_Toc13251"/>
      <w:r/>
      <w:bookmarkStart w:id="164" w:name="_Toc18404"/>
      <w:r/>
      <w:bookmarkStart w:id="165" w:name="_Toc7502"/>
      <w:r/>
      <w:bookmarkStart w:id="166" w:name="_Toc120614281"/>
      <w:r/>
      <w:bookmarkStart w:id="167" w:name="_Toc26554093"/>
      <w:r/>
      <w:bookmarkStart w:id="168" w:name="_Toc49090575"/>
      <w:r>
        <w:rPr>
          <w:rFonts w:hint="eastAsia" w:ascii="宋体" w:hAnsi="宋体" w:eastAsia="宋体" w:cs="宋体"/>
          <w:b/>
          <w:bCs/>
          <w:sz w:val="32"/>
          <w:szCs w:val="32"/>
          <w:highlight w:val="none"/>
          <w:lang w:val="en-US" w:eastAsia="zh-CN" w:bidi="ar-SA"/>
        </w:rPr>
        <w:t xml:space="preserve">项目需求</w:t>
      </w:r>
      <w:bookmarkEnd w:id="160"/>
      <w:r/>
      <w:bookmarkEnd w:id="161"/>
      <w:r/>
      <w:bookmarkEnd w:id="162"/>
      <w:r/>
      <w:bookmarkEnd w:id="163"/>
      <w:r/>
      <w:bookmarkEnd w:id="164"/>
      <w:r/>
      <w:bookmarkEnd w:id="165"/>
      <w:r/>
      <w:r/>
    </w:p>
    <w:p>
      <w:pPr>
        <w:numPr>
          <w:ilvl w:val="0"/>
          <w:numId w:val="14"/>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69" w:name="_Toc6092"/>
      <w:r/>
      <w:bookmarkStart w:id="170" w:name="_Toc14486"/>
      <w:r/>
      <w:bookmarkStart w:id="171" w:name="_Toc9671"/>
      <w:r>
        <w:rPr>
          <w:rFonts w:hint="eastAsia" w:ascii="宋体" w:hAnsi="宋体" w:cs="宋体"/>
          <w:b/>
          <w:color w:val="000000"/>
          <w:sz w:val="28"/>
          <w:szCs w:val="28"/>
          <w:highlight w:val="none"/>
        </w:rPr>
        <w:t xml:space="preserve">清单</w:t>
      </w:r>
      <w:bookmarkEnd w:id="169"/>
      <w:r/>
      <w:bookmarkEnd w:id="170"/>
      <w:r/>
      <w:bookmarkEnd w:id="171"/>
      <w:r/>
      <w:r/>
    </w:p>
    <w:p>
      <w:pPr>
        <w:pStyle w:val="1068"/>
        <w:numPr>
          <w:ilvl w:val="0"/>
          <w:numId w:val="15"/>
        </w:numPr>
        <w:ind w:left="0" w:firstLine="0"/>
        <w:keepLines w:val="0"/>
        <w:keepNext w:val="0"/>
        <w:pageBreakBefore w:val="0"/>
        <w:spacing w:line="440" w:lineRule="exact"/>
        <w:widowControl/>
        <w:rPr>
          <w:rStyle w:val="1021"/>
          <w:rFonts w:ascii="宋体" w:hAnsi="宋体" w:eastAsia="宋体" w:cs="宋体"/>
          <w:b w:val="0"/>
          <w:spacing w:val="7"/>
          <w:sz w:val="24"/>
          <w:highlight w:val="none"/>
        </w:rPr>
        <w:outlineLvl w:val="2"/>
      </w:pPr>
      <w:r/>
      <w:bookmarkStart w:id="172" w:name="_Toc30918"/>
      <w:r>
        <w:rPr>
          <w:rStyle w:val="1021"/>
          <w:rFonts w:ascii="宋体" w:hAnsi="宋体" w:eastAsia="宋体" w:cs="宋体"/>
          <w:b w:val="0"/>
          <w:color w:val="000000"/>
          <w:spacing w:val="7"/>
          <w:sz w:val="24"/>
          <w:highlight w:val="none"/>
        </w:rPr>
        <w:t xml:space="preserve">清单</w:t>
      </w:r>
      <w:bookmarkEnd w:id="172"/>
      <w:r/>
      <w:r/>
    </w:p>
    <w:tbl>
      <w:tblPr>
        <w:tblStyle w:val="851"/>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739"/>
        <w:gridCol w:w="3642"/>
        <w:gridCol w:w="838"/>
        <w:gridCol w:w="831"/>
        <w:gridCol w:w="1189"/>
        <w:gridCol w:w="1324"/>
        <w:gridCol w:w="1264"/>
      </w:tblGrid>
      <w:tr>
        <w:trPr>
          <w:jc w:val="center"/>
          <w:trHeight w:val="275"/>
        </w:trPr>
        <w:tc>
          <w:tcPr>
            <w:tcMar>
              <w:top w:w="100" w:type="dxa"/>
              <w:bottom w:w="100" w:type="dxa"/>
            </w:tcMar>
            <w:tcW w:w="376"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rPr>
              <w:outlineLvl w:val="9"/>
            </w:pPr>
            <w:r>
              <w:rPr>
                <w:rStyle w:val="1021"/>
                <w:rFonts w:ascii="宋体" w:hAnsi="宋体" w:eastAsia="宋体" w:cs="宋体"/>
                <w:b w:val="0"/>
                <w:color w:val="000000"/>
                <w:sz w:val="24"/>
                <w:szCs w:val="24"/>
              </w:rPr>
              <w:t xml:space="preserve">序号</w:t>
            </w:r>
            <w:r/>
          </w:p>
        </w:tc>
        <w:tc>
          <w:tcPr>
            <w:tcMar>
              <w:top w:w="100" w:type="dxa"/>
              <w:bottom w:w="100" w:type="dxa"/>
            </w:tcMar>
            <w:tcW w:w="1853"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rPr>
              <w:outlineLvl w:val="9"/>
            </w:pPr>
            <w:r>
              <w:rPr>
                <w:rStyle w:val="1021"/>
                <w:rFonts w:ascii="宋体" w:hAnsi="宋体" w:eastAsia="宋体" w:cs="宋体"/>
                <w:b w:val="0"/>
                <w:color w:val="000000"/>
                <w:sz w:val="24"/>
                <w:szCs w:val="24"/>
              </w:rPr>
              <w:t xml:space="preserve">名称</w:t>
            </w:r>
            <w:r/>
          </w:p>
        </w:tc>
        <w:tc>
          <w:tcPr>
            <w:tcMar>
              <w:top w:w="100" w:type="dxa"/>
              <w:bottom w:w="100" w:type="dxa"/>
            </w:tcMar>
            <w:tcW w:w="426"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rPr>
              <w:outlineLvl w:val="9"/>
            </w:pPr>
            <w:r>
              <w:rPr>
                <w:rStyle w:val="1021"/>
                <w:rFonts w:ascii="宋体" w:hAnsi="宋体" w:eastAsia="宋体" w:cs="宋体"/>
                <w:b w:val="0"/>
                <w:color w:val="000000"/>
                <w:sz w:val="24"/>
                <w:szCs w:val="24"/>
              </w:rPr>
              <w:t xml:space="preserve">数量</w:t>
            </w:r>
            <w:r/>
          </w:p>
        </w:tc>
        <w:tc>
          <w:tcPr>
            <w:tcMar>
              <w:top w:w="100" w:type="dxa"/>
              <w:bottom w:w="100" w:type="dxa"/>
            </w:tcMar>
            <w:tcW w:w="422"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rPr>
              <w:outlineLvl w:val="9"/>
            </w:pPr>
            <w:r>
              <w:rPr>
                <w:rStyle w:val="1021"/>
                <w:rFonts w:ascii="宋体" w:hAnsi="宋体" w:eastAsia="宋体" w:cs="宋体"/>
                <w:b w:val="0"/>
                <w:color w:val="000000"/>
                <w:sz w:val="24"/>
                <w:szCs w:val="24"/>
              </w:rPr>
              <w:t xml:space="preserve">单位</w:t>
            </w:r>
            <w:r/>
          </w:p>
        </w:tc>
        <w:tc>
          <w:tcPr>
            <w:tcMar>
              <w:top w:w="100" w:type="dxa"/>
              <w:bottom w:w="100" w:type="dxa"/>
            </w:tcMar>
            <w:tcW w:w="604"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rPr>
              <w:outlineLvl w:val="9"/>
            </w:pPr>
            <w:r>
              <w:rPr>
                <w:rStyle w:val="1021"/>
                <w:rFonts w:ascii="宋体" w:hAnsi="宋体" w:eastAsia="宋体" w:cs="宋体"/>
                <w:b w:val="0"/>
                <w:color w:val="000000"/>
                <w:sz w:val="24"/>
                <w:szCs w:val="24"/>
              </w:rPr>
              <w:t xml:space="preserve">所属行业</w:t>
            </w:r>
            <w:r/>
          </w:p>
        </w:tc>
        <w:tc>
          <w:tcPr>
            <w:tcMar>
              <w:top w:w="100" w:type="dxa"/>
              <w:bottom w:w="100" w:type="dxa"/>
            </w:tcMar>
            <w:tcW w:w="673"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color w:val="000000"/>
                <w:sz w:val="24"/>
                <w:szCs w:val="24"/>
              </w:rPr>
              <w:outlineLvl w:val="9"/>
            </w:pPr>
            <w:r>
              <w:rPr>
                <w:rStyle w:val="1021"/>
                <w:rFonts w:ascii="宋体" w:hAnsi="宋体" w:eastAsia="宋体" w:cs="宋体"/>
                <w:b w:val="0"/>
                <w:color w:val="000000"/>
                <w:sz w:val="24"/>
                <w:szCs w:val="24"/>
              </w:rPr>
              <w:t xml:space="preserve">标的类型</w:t>
            </w:r>
            <w:r/>
          </w:p>
        </w:tc>
        <w:tc>
          <w:tcPr>
            <w:tcMar>
              <w:top w:w="100" w:type="dxa"/>
              <w:bottom w:w="100" w:type="dxa"/>
            </w:tcMar>
            <w:tcW w:w="643"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color w:val="000000"/>
                <w:sz w:val="24"/>
                <w:szCs w:val="24"/>
              </w:rPr>
              <w:outlineLvl w:val="9"/>
            </w:pPr>
            <w:r>
              <w:rPr>
                <w:rStyle w:val="1021"/>
                <w:rFonts w:ascii="宋体" w:hAnsi="宋体" w:eastAsia="宋体" w:cs="宋体"/>
                <w:b w:val="0"/>
                <w:color w:val="000000"/>
                <w:sz w:val="24"/>
                <w:szCs w:val="24"/>
              </w:rPr>
              <w:t xml:space="preserve">标的属性</w:t>
            </w:r>
            <w:r/>
          </w:p>
        </w:tc>
      </w:tr>
      <w:tr>
        <w:trPr>
          <w:jc w:val="center"/>
        </w:trPr>
        <w:tc>
          <w:tcPr>
            <w:tcMar>
              <w:top w:w="100" w:type="dxa"/>
              <w:bottom w:w="100" w:type="dxa"/>
            </w:tcMar>
            <w:tcW w:w="376"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color w:val="000000"/>
                <w:sz w:val="24"/>
                <w:szCs w:val="24"/>
                <w:lang w:val="en-US" w:eastAsia="zh-CN"/>
              </w:rPr>
              <w:outlineLvl w:val="9"/>
            </w:pPr>
            <w:r>
              <w:rPr>
                <w:rStyle w:val="1021"/>
                <w:rFonts w:hint="eastAsia" w:ascii="宋体" w:hAnsi="宋体" w:eastAsia="宋体" w:cs="宋体"/>
                <w:b w:val="0"/>
                <w:color w:val="000000"/>
                <w:sz w:val="24"/>
                <w:szCs w:val="24"/>
                <w:lang w:val="en-US" w:eastAsia="zh-CN"/>
              </w:rPr>
              <w:t xml:space="preserve">1</w:t>
            </w:r>
            <w:r/>
          </w:p>
        </w:tc>
        <w:tc>
          <w:tcPr>
            <w:tcMar>
              <w:top w:w="100" w:type="dxa"/>
              <w:bottom w:w="100" w:type="dxa"/>
            </w:tcMar>
            <w:tcW w:w="1853" w:type="dxa"/>
            <w:vAlign w:val="center"/>
            <w:textDirection w:val="lrTb"/>
            <w:noWrap w:val="false"/>
          </w:tcPr>
          <w:p>
            <w:pPr>
              <w:pStyle w:val="1063"/>
              <w:jc w:val="center"/>
              <w:keepLines w:val="0"/>
              <w:keepNext w:val="0"/>
              <w:pageBreakBefore w:val="0"/>
              <w:widowControl w:val="off"/>
              <w:rPr>
                <w:rStyle w:val="1021"/>
                <w:rFonts w:hint="eastAsia" w:ascii="宋体" w:hAnsi="宋体" w:eastAsia="宋体" w:cs="宋体"/>
                <w:b w:val="0"/>
                <w:sz w:val="24"/>
                <w:szCs w:val="24"/>
                <w:lang w:val="en-US" w:eastAsia="zh-CN"/>
              </w:rPr>
              <w:outlineLvl w:val="9"/>
            </w:pPr>
            <w:r>
              <w:rPr>
                <w:rStyle w:val="1021"/>
                <w:rFonts w:hint="eastAsia" w:ascii="宋体" w:hAnsi="宋体" w:eastAsia="宋体" w:cs="宋体"/>
                <w:b w:val="0"/>
                <w:sz w:val="24"/>
                <w:szCs w:val="24"/>
                <w:lang w:val="en-US" w:eastAsia="zh-CN"/>
              </w:rPr>
              <w:t xml:space="preserve">张家港市殡仪馆食堂餐饮服务</w:t>
            </w:r>
            <w:r/>
          </w:p>
        </w:tc>
        <w:tc>
          <w:tcPr>
            <w:tcMar>
              <w:top w:w="100" w:type="dxa"/>
              <w:bottom w:w="100" w:type="dxa"/>
            </w:tcMar>
            <w:tcW w:w="426"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highlight w:val="none"/>
                <w:lang w:val="en-US" w:eastAsia="zh-CN"/>
              </w:rPr>
              <w:outlineLvl w:val="9"/>
            </w:pPr>
            <w:r>
              <w:rPr>
                <w:rStyle w:val="1021"/>
                <w:rFonts w:hint="eastAsia" w:ascii="宋体" w:hAnsi="宋体" w:eastAsia="宋体" w:cs="宋体"/>
                <w:b w:val="0"/>
                <w:sz w:val="24"/>
                <w:szCs w:val="24"/>
                <w:highlight w:val="none"/>
                <w:lang w:val="en-US" w:eastAsia="zh-CN"/>
              </w:rPr>
              <w:t xml:space="preserve">1</w:t>
            </w:r>
            <w:r/>
          </w:p>
        </w:tc>
        <w:tc>
          <w:tcPr>
            <w:tcMar>
              <w:top w:w="100" w:type="dxa"/>
              <w:bottom w:w="100" w:type="dxa"/>
            </w:tcMar>
            <w:tcW w:w="422"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highlight w:val="none"/>
                <w:lang w:val="en-US" w:eastAsia="zh-CN"/>
              </w:rPr>
              <w:outlineLvl w:val="9"/>
            </w:pPr>
            <w:r>
              <w:rPr>
                <w:rStyle w:val="1021"/>
                <w:rFonts w:hint="eastAsia" w:ascii="宋体" w:hAnsi="宋体" w:eastAsia="宋体" w:cs="宋体"/>
                <w:b w:val="0"/>
                <w:sz w:val="24"/>
                <w:szCs w:val="24"/>
                <w:highlight w:val="none"/>
                <w:lang w:val="en-US" w:eastAsia="zh-CN"/>
              </w:rPr>
              <w:t xml:space="preserve">年</w:t>
            </w:r>
            <w:r/>
          </w:p>
        </w:tc>
        <w:tc>
          <w:tcPr>
            <w:tcMar>
              <w:top w:w="100" w:type="dxa"/>
              <w:bottom w:w="100" w:type="dxa"/>
            </w:tcMar>
            <w:tcW w:w="604"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lang w:val="en-US" w:eastAsia="zh-CN"/>
              </w:rPr>
              <w:outlineLvl w:val="9"/>
            </w:pPr>
            <w:r>
              <w:rPr>
                <w:rStyle w:val="1021"/>
                <w:rFonts w:hint="eastAsia" w:ascii="宋体" w:hAnsi="宋体" w:eastAsia="宋体" w:cs="宋体"/>
                <w:b w:val="0"/>
                <w:sz w:val="24"/>
                <w:szCs w:val="24"/>
                <w:lang w:val="en-US" w:eastAsia="zh-CN"/>
              </w:rPr>
              <w:t xml:space="preserve">餐饮业</w:t>
            </w:r>
            <w:r/>
          </w:p>
        </w:tc>
        <w:tc>
          <w:tcPr>
            <w:tcMar>
              <w:top w:w="100" w:type="dxa"/>
              <w:bottom w:w="100" w:type="dxa"/>
            </w:tcMar>
            <w:tcW w:w="673"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lang w:val="en-US" w:eastAsia="zh-CN"/>
              </w:rPr>
              <w:outlineLvl w:val="9"/>
            </w:pPr>
            <w:r>
              <w:rPr>
                <w:rStyle w:val="1021"/>
                <w:rFonts w:hint="eastAsia" w:ascii="宋体" w:hAnsi="宋体" w:eastAsia="宋体" w:cs="宋体"/>
                <w:b w:val="0"/>
                <w:sz w:val="24"/>
                <w:szCs w:val="24"/>
                <w:lang w:val="en-US" w:eastAsia="zh-CN"/>
              </w:rPr>
              <w:t xml:space="preserve">主要标的</w:t>
            </w:r>
            <w:r/>
          </w:p>
        </w:tc>
        <w:tc>
          <w:tcPr>
            <w:tcMar>
              <w:top w:w="100" w:type="dxa"/>
              <w:bottom w:w="100" w:type="dxa"/>
            </w:tcMar>
            <w:tcW w:w="643"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lang w:val="en-US" w:eastAsia="zh-CN"/>
              </w:rPr>
              <w:outlineLvl w:val="9"/>
            </w:pPr>
            <w:r>
              <w:rPr>
                <w:rStyle w:val="1021"/>
                <w:rFonts w:hint="eastAsia" w:ascii="宋体" w:hAnsi="宋体" w:eastAsia="宋体" w:cs="宋体"/>
                <w:b w:val="0"/>
                <w:sz w:val="24"/>
                <w:szCs w:val="24"/>
                <w:lang w:val="en-US" w:eastAsia="zh-CN"/>
              </w:rPr>
              <w:t xml:space="preserve">服务类</w:t>
            </w:r>
            <w:r/>
          </w:p>
        </w:tc>
      </w:tr>
    </w:tbl>
    <w:p>
      <w:pPr>
        <w:pStyle w:val="1069"/>
        <w:ind w:firstLine="500"/>
        <w:spacing w:line="440" w:lineRule="exact"/>
        <w:rPr>
          <w:rStyle w:val="1021"/>
          <w:rFonts w:hint="eastAsia" w:ascii="宋体" w:hAnsi="宋体" w:eastAsia="宋体" w:cs="宋体"/>
          <w:b w:val="0"/>
          <w:color w:val="000000"/>
          <w:spacing w:val="7"/>
          <w:sz w:val="24"/>
        </w:rPr>
        <w:outlineLvl w:val="9"/>
      </w:pPr>
      <w:r>
        <w:rPr>
          <w:rStyle w:val="1021"/>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85"/>
        <w:spacing w:line="440" w:lineRule="exact"/>
        <w:rPr>
          <w:rStyle w:val="1021"/>
          <w:rFonts w:ascii="宋体" w:hAnsi="宋体" w:eastAsia="宋体" w:cs="宋体"/>
          <w:b w:val="0"/>
          <w:spacing w:val="7"/>
          <w:sz w:val="24"/>
        </w:rPr>
        <w:outlineLvl w:val="2"/>
      </w:pPr>
      <w:r/>
      <w:bookmarkStart w:id="173" w:name="_Toc24467"/>
      <w:r>
        <w:rPr>
          <w:rStyle w:val="1021"/>
          <w:rFonts w:ascii="宋体" w:hAnsi="宋体" w:eastAsia="宋体" w:cs="宋体"/>
          <w:b w:val="0"/>
          <w:color w:val="000000"/>
          <w:spacing w:val="7"/>
          <w:sz w:val="24"/>
        </w:rPr>
        <w:t xml:space="preserve">2.核心产品清单</w:t>
      </w:r>
      <w:bookmarkEnd w:id="173"/>
      <w:r/>
      <w:r/>
    </w:p>
    <w:tbl>
      <w:tblPr>
        <w:tblStyle w:val="85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20"/>
        <w:gridCol w:w="8242"/>
      </w:tblGrid>
      <w:tr>
        <w:trPr/>
        <w:tc>
          <w:tcPr>
            <w:tcMar>
              <w:top w:w="100" w:type="dxa"/>
              <w:bottom w:w="100" w:type="dxa"/>
            </w:tcMar>
            <w:tcW w:w="1720" w:type="dxa"/>
            <w:vAlign w:val="center"/>
            <w:textDirection w:val="lrTb"/>
            <w:noWrap w:val="false"/>
          </w:tcPr>
          <w:p>
            <w:pPr>
              <w:pStyle w:val="1070"/>
              <w:jc w:val="center"/>
              <w:rPr>
                <w:rStyle w:val="1021"/>
                <w:rFonts w:ascii="宋体" w:hAnsi="宋体" w:eastAsia="宋体" w:cs="宋体"/>
                <w:b w:val="0"/>
                <w:sz w:val="24"/>
                <w:szCs w:val="24"/>
              </w:rPr>
            </w:pPr>
            <w:r>
              <w:rPr>
                <w:rStyle w:val="1021"/>
                <w:rFonts w:ascii="宋体" w:hAnsi="宋体" w:eastAsia="宋体" w:cs="宋体"/>
                <w:b w:val="0"/>
                <w:color w:val="000000"/>
                <w:sz w:val="24"/>
                <w:szCs w:val="24"/>
              </w:rPr>
              <w:t xml:space="preserve">序号</w:t>
            </w:r>
            <w:r/>
          </w:p>
        </w:tc>
        <w:tc>
          <w:tcPr>
            <w:tcMar>
              <w:top w:w="100" w:type="dxa"/>
              <w:bottom w:w="100" w:type="dxa"/>
            </w:tcMar>
            <w:tcW w:w="8242" w:type="dxa"/>
            <w:vAlign w:val="center"/>
            <w:textDirection w:val="lrTb"/>
            <w:noWrap w:val="false"/>
          </w:tcPr>
          <w:p>
            <w:pPr>
              <w:pStyle w:val="1070"/>
              <w:jc w:val="center"/>
              <w:rPr>
                <w:rStyle w:val="1021"/>
                <w:rFonts w:ascii="宋体" w:hAnsi="宋体" w:eastAsia="宋体" w:cs="宋体"/>
                <w:b w:val="0"/>
                <w:sz w:val="24"/>
                <w:szCs w:val="24"/>
              </w:rPr>
            </w:pPr>
            <w:r>
              <w:rPr>
                <w:rStyle w:val="1021"/>
                <w:rFonts w:ascii="宋体" w:hAnsi="宋体" w:eastAsia="宋体" w:cs="宋体"/>
                <w:b w:val="0"/>
                <w:color w:val="000000"/>
                <w:sz w:val="24"/>
                <w:szCs w:val="24"/>
              </w:rPr>
              <w:t xml:space="preserve">名称</w:t>
            </w:r>
            <w:r/>
          </w:p>
        </w:tc>
      </w:tr>
      <w:tr>
        <w:trPr/>
        <w:tc>
          <w:tcPr>
            <w:tcMar>
              <w:top w:w="100" w:type="dxa"/>
              <w:bottom w:w="100" w:type="dxa"/>
            </w:tcMar>
            <w:tcW w:w="1720" w:type="dxa"/>
            <w:vAlign w:val="center"/>
            <w:textDirection w:val="lrTb"/>
            <w:noWrap w:val="false"/>
          </w:tcPr>
          <w:p>
            <w:pPr>
              <w:pStyle w:val="1070"/>
              <w:jc w:val="center"/>
              <w:rPr>
                <w:rStyle w:val="1021"/>
                <w:rFonts w:ascii="宋体" w:hAnsi="宋体" w:eastAsia="宋体" w:cs="宋体"/>
                <w:b w:val="0"/>
                <w:sz w:val="24"/>
                <w:szCs w:val="24"/>
              </w:rPr>
            </w:pPr>
            <w:r>
              <w:rPr>
                <w:rStyle w:val="1021"/>
                <w:rFonts w:ascii="宋体" w:hAnsi="宋体" w:eastAsia="宋体" w:cs="宋体"/>
                <w:b w:val="0"/>
                <w:color w:val="000000"/>
                <w:sz w:val="24"/>
                <w:szCs w:val="24"/>
              </w:rPr>
              <w:t xml:space="preserve">1</w:t>
            </w:r>
            <w:r/>
          </w:p>
        </w:tc>
        <w:tc>
          <w:tcPr>
            <w:tcMar>
              <w:top w:w="100" w:type="dxa"/>
              <w:bottom w:w="100" w:type="dxa"/>
            </w:tcMar>
            <w:tcW w:w="8242" w:type="dxa"/>
            <w:vAlign w:val="center"/>
            <w:textDirection w:val="lrTb"/>
            <w:noWrap w:val="false"/>
          </w:tcPr>
          <w:p>
            <w:pPr>
              <w:pStyle w:val="1070"/>
              <w:jc w:val="center"/>
              <w:rPr>
                <w:rStyle w:val="1021"/>
                <w:rFonts w:ascii="宋体" w:hAnsi="宋体" w:eastAsia="宋体" w:cs="宋体"/>
                <w:b w:val="0"/>
                <w:sz w:val="24"/>
                <w:szCs w:val="24"/>
              </w:rPr>
            </w:pPr>
            <w:r>
              <w:rPr>
                <w:rStyle w:val="1021"/>
                <w:rFonts w:hint="eastAsia" w:ascii="宋体" w:hAnsi="宋体" w:eastAsia="宋体" w:cs="宋体"/>
                <w:b w:val="0"/>
                <w:sz w:val="24"/>
                <w:szCs w:val="24"/>
                <w:lang w:val="en-US" w:eastAsia="zh-CN"/>
              </w:rPr>
              <w:t xml:space="preserve">张家港市殡仪馆食堂餐饮服务</w:t>
            </w:r>
            <w:r/>
          </w:p>
        </w:tc>
      </w:tr>
    </w:tbl>
    <w:p>
      <w:pPr>
        <w:pStyle w:val="1086"/>
        <w:spacing w:line="440" w:lineRule="exact"/>
        <w:rPr>
          <w:rStyle w:val="1021"/>
          <w:rFonts w:ascii="宋体" w:hAnsi="宋体" w:eastAsia="宋体" w:cs="宋体"/>
          <w:b w:val="0"/>
          <w:spacing w:val="7"/>
          <w:sz w:val="24"/>
        </w:rPr>
        <w:outlineLvl w:val="9"/>
      </w:pPr>
      <w:r>
        <w:rPr>
          <w:rStyle w:val="1021"/>
          <w:rFonts w:ascii="宋体" w:hAnsi="宋体" w:eastAsia="宋体" w:cs="宋体"/>
          <w:b w:val="0"/>
          <w:color w:val="000000"/>
          <w:spacing w:val="7"/>
          <w:sz w:val="24"/>
        </w:rPr>
        <w:t xml:space="preserve">3</w:t>
      </w:r>
      <w:r>
        <w:rPr>
          <w:rStyle w:val="1021"/>
          <w:rFonts w:hint="eastAsia" w:ascii="宋体" w:hAnsi="宋体" w:eastAsia="宋体" w:cs="宋体"/>
          <w:b w:val="0"/>
          <w:color w:val="000000"/>
          <w:spacing w:val="7"/>
          <w:sz w:val="24"/>
          <w:lang w:eastAsia="zh-CN"/>
        </w:rPr>
        <w:t xml:space="preserve">.</w:t>
      </w:r>
      <w:r>
        <w:rPr>
          <w:rStyle w:val="1021"/>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086"/>
        <w:spacing w:line="440" w:lineRule="exact"/>
        <w:rPr>
          <w:rStyle w:val="1021"/>
          <w:rFonts w:ascii="宋体" w:hAnsi="宋体" w:eastAsia="宋体" w:cs="宋体"/>
          <w:b w:val="0"/>
          <w:spacing w:val="7"/>
          <w:sz w:val="24"/>
        </w:rPr>
        <w:outlineLvl w:val="9"/>
      </w:pPr>
      <w:r>
        <w:rPr>
          <w:rStyle w:val="1021"/>
          <w:rFonts w:ascii="宋体" w:hAnsi="宋体" w:eastAsia="宋体" w:cs="宋体"/>
          <w:b w:val="0"/>
          <w:color w:val="000000"/>
          <w:spacing w:val="7"/>
          <w:sz w:val="24"/>
        </w:rPr>
        <w:t xml:space="preserve">节能产品政府采购品目清单： 无 </w:t>
      </w:r>
      <w:r/>
    </w:p>
    <w:p>
      <w:pPr>
        <w:pStyle w:val="1087"/>
        <w:spacing w:line="440" w:lineRule="exact"/>
        <w:rPr>
          <w:rStyle w:val="1021"/>
          <w:rFonts w:ascii="宋体" w:hAnsi="宋体" w:eastAsia="宋体" w:cs="宋体"/>
          <w:b w:val="0"/>
          <w:spacing w:val="7"/>
          <w:sz w:val="24"/>
        </w:rPr>
        <w:outlineLvl w:val="9"/>
      </w:pPr>
      <w:r>
        <w:rPr>
          <w:rStyle w:val="1021"/>
          <w:rFonts w:ascii="宋体" w:hAnsi="宋体" w:eastAsia="宋体" w:cs="宋体"/>
          <w:b w:val="0"/>
          <w:color w:val="000000"/>
          <w:spacing w:val="7"/>
          <w:sz w:val="24"/>
        </w:rPr>
        <w:t xml:space="preserve">环境标志产品政府采购品目清单:无</w:t>
      </w:r>
      <w:r/>
    </w:p>
    <w:p>
      <w:pPr>
        <w:numPr>
          <w:ilvl w:val="0"/>
          <w:numId w:val="14"/>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bookmarkStart w:id="174" w:name="_Toc25985"/>
      <w:r/>
      <w:bookmarkStart w:id="175" w:name="_Toc5508"/>
      <w:r/>
      <w:bookmarkStart w:id="176" w:name="_Toc24848"/>
      <w:r>
        <w:rPr>
          <w:rFonts w:hint="eastAsia" w:ascii="宋体" w:hAnsi="宋体" w:cs="宋体"/>
          <w:b/>
          <w:color w:val="000000"/>
          <w:sz w:val="28"/>
          <w:szCs w:val="28"/>
          <w:highlight w:val="none"/>
        </w:rPr>
        <w:t xml:space="preserve">技术要求</w:t>
      </w:r>
      <w:bookmarkEnd w:id="174"/>
      <w:r/>
      <w:bookmarkEnd w:id="175"/>
      <w:r/>
      <w:bookmarkEnd w:id="176"/>
      <w:r/>
      <w:r/>
    </w:p>
    <w:p>
      <w:pPr>
        <w:pStyle w:val="1049"/>
        <w:ind w:left="0" w:firstLine="0"/>
        <w:rPr>
          <w:rFonts w:hint="eastAsia" w:ascii="宋体" w:hAnsi="宋体" w:eastAsia="宋体" w:cs="宋体"/>
          <w:b w:val="0"/>
          <w:bCs/>
          <w:color w:val="000000"/>
          <w:sz w:val="24"/>
          <w:szCs w:val="24"/>
          <w:highlight w:val="none"/>
        </w:rPr>
        <w:outlineLvl w:val="2"/>
      </w:pPr>
      <w:r/>
      <w:bookmarkStart w:id="177" w:name="_Toc21337"/>
      <w:r>
        <w:rPr>
          <w:rFonts w:hint="eastAsia" w:ascii="宋体" w:hAnsi="宋体" w:eastAsia="宋体" w:cs="宋体"/>
          <w:b w:val="0"/>
          <w:bCs/>
          <w:color w:val="000000"/>
          <w:sz w:val="24"/>
          <w:szCs w:val="24"/>
          <w:highlight w:val="none"/>
        </w:rPr>
        <w:t xml:space="preserve">（一）</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项目概况</w:t>
      </w:r>
      <w:bookmarkEnd w:id="177"/>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1.招标范围：张家港市殡仪馆食堂餐饮服务，包含人工及就餐费费用，食堂日就餐人数约40-60人，全年预计就餐总人数为</w:t>
      </w:r>
      <w:r>
        <w:rPr>
          <w:rFonts w:hint="eastAsia" w:ascii="宋体" w:hAnsi="宋体" w:eastAsia="宋体" w:cs="宋体"/>
          <w:color w:val="000000"/>
          <w:sz w:val="24"/>
          <w:szCs w:val="24"/>
        </w:rPr>
        <w:t xml:space="preserve">18260</w:t>
      </w:r>
      <w:r>
        <w:rPr>
          <w:rFonts w:hint="eastAsia" w:ascii="宋体" w:hAnsi="宋体" w:eastAsia="宋体" w:cs="宋体"/>
          <w:b w:val="0"/>
          <w:bCs/>
          <w:color w:val="000000"/>
          <w:sz w:val="24"/>
          <w:szCs w:val="24"/>
          <w:highlight w:val="none"/>
        </w:rPr>
        <w:t xml:space="preserve">人，实行一日一餐（全年无休）。就餐费用约为（扣除人工等固定成本）</w:t>
      </w:r>
      <w:r>
        <w:rPr>
          <w:rFonts w:hint="eastAsia" w:ascii="宋体" w:hAnsi="宋体" w:eastAsia="宋体" w:cs="宋体"/>
          <w:color w:val="000000"/>
          <w:sz w:val="24"/>
          <w:szCs w:val="24"/>
        </w:rPr>
        <w:t xml:space="preserve">328680</w:t>
      </w:r>
      <w:r>
        <w:rPr>
          <w:rFonts w:hint="eastAsia" w:ascii="宋体" w:hAnsi="宋体" w:eastAsia="宋体" w:cs="宋体"/>
          <w:b w:val="0"/>
          <w:bCs/>
          <w:color w:val="000000"/>
          <w:sz w:val="24"/>
          <w:szCs w:val="24"/>
          <w:highlight w:val="none"/>
        </w:rPr>
        <w:t xml:space="preserve">元</w:t>
      </w:r>
      <w:r>
        <w:rPr>
          <w:rFonts w:hint="eastAsia" w:ascii="宋体" w:hAnsi="宋体" w:eastAsia="宋体" w:cs="宋体"/>
          <w:b w:val="0"/>
          <w:bCs/>
          <w:color w:val="000000"/>
          <w:sz w:val="24"/>
          <w:szCs w:val="24"/>
          <w:highlight w:val="none"/>
          <w:lang w:eastAsia="zh-CN"/>
        </w:rPr>
        <w:t xml:space="preserve">。</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2.人员配备要求：</w:t>
      </w:r>
      <w:r>
        <w:rPr>
          <w:rFonts w:hint="eastAsia" w:ascii="宋体" w:hAnsi="宋体" w:eastAsia="宋体" w:cs="宋体"/>
          <w:b w:val="0"/>
          <w:bCs/>
          <w:i/>
          <w:iCs/>
          <w:color w:val="000000"/>
          <w:sz w:val="24"/>
          <w:szCs w:val="24"/>
          <w:highlight w:val="none"/>
          <w:u w:val="single"/>
        </w:rPr>
        <w:t xml:space="preserve">配备食堂工作人员至少3名，其中厨师2名，勤杂工1 名。需要具备至少一名</w:t>
      </w:r>
      <w:r>
        <w:rPr>
          <w:rFonts w:hint="eastAsia" w:ascii="宋体" w:hAnsi="宋体" w:eastAsia="宋体" w:cs="宋体"/>
          <w:b w:val="0"/>
          <w:bCs/>
          <w:i/>
          <w:iCs/>
          <w:color w:val="000000"/>
          <w:sz w:val="24"/>
          <w:szCs w:val="24"/>
          <w:highlight w:val="none"/>
          <w:u w:val="single"/>
          <w:lang w:val="en-US" w:eastAsia="zh-CN"/>
        </w:rPr>
        <w:t xml:space="preserve">食品</w:t>
      </w:r>
      <w:r>
        <w:rPr>
          <w:rFonts w:hint="eastAsia" w:ascii="宋体" w:hAnsi="宋体" w:eastAsia="宋体" w:cs="宋体"/>
          <w:b w:val="0"/>
          <w:bCs/>
          <w:i/>
          <w:iCs/>
          <w:color w:val="000000"/>
          <w:sz w:val="24"/>
          <w:szCs w:val="24"/>
          <w:highlight w:val="none"/>
          <w:u w:val="single"/>
        </w:rPr>
        <w:t xml:space="preserve">快速检测人员。</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3.人员要求：</w:t>
      </w:r>
      <w:r>
        <w:rPr>
          <w:rFonts w:hint="eastAsia" w:ascii="宋体" w:hAnsi="宋体" w:eastAsia="宋体" w:cs="宋体"/>
          <w:b w:val="0"/>
          <w:bCs/>
          <w:i/>
          <w:iCs/>
          <w:color w:val="000000"/>
          <w:sz w:val="24"/>
          <w:szCs w:val="24"/>
          <w:highlight w:val="none"/>
          <w:u w:val="single"/>
        </w:rPr>
        <w:t xml:space="preserve">所有食堂人员需持有《健康证》，对不合格员工投标单位无条件更换，并保持每年不少于一次的健康检查。厨师年龄在45周岁以下的男性</w:t>
      </w:r>
      <w:r>
        <w:rPr>
          <w:rFonts w:hint="eastAsia" w:ascii="宋体" w:hAnsi="宋体" w:eastAsia="宋体" w:cs="宋体"/>
          <w:b w:val="0"/>
          <w:bCs/>
          <w:color w:val="000000"/>
          <w:sz w:val="24"/>
          <w:szCs w:val="24"/>
          <w:highlight w:val="none"/>
        </w:rPr>
        <w:t xml:space="preserve">，并具备“烹调师”资格，具有五年以上厨师工作经历。如有临时接待，中标单位需临时增派人员。</w:t>
      </w:r>
      <w:r/>
    </w:p>
    <w:p>
      <w:pPr>
        <w:pStyle w:val="1049"/>
        <w:rPr>
          <w:rFonts w:hint="eastAsia" w:ascii="宋体" w:hAnsi="宋体" w:eastAsia="宋体" w:cs="宋体"/>
          <w:b w:val="0"/>
          <w:bCs/>
          <w:i/>
          <w:iCs/>
          <w:color w:val="000000"/>
          <w:sz w:val="24"/>
          <w:szCs w:val="24"/>
          <w:highlight w:val="none"/>
          <w:u w:val="single"/>
        </w:rPr>
      </w:pPr>
      <w:r>
        <w:rPr>
          <w:rFonts w:hint="eastAsia" w:ascii="宋体" w:hAnsi="宋体" w:eastAsia="宋体" w:cs="宋体"/>
          <w:b w:val="0"/>
          <w:bCs/>
          <w:i/>
          <w:iCs/>
          <w:color w:val="000000"/>
          <w:sz w:val="24"/>
          <w:szCs w:val="24"/>
          <w:highlight w:val="none"/>
          <w:u w:val="single"/>
        </w:rPr>
        <w:t xml:space="preserve">4.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经费测算明细表中应载明社会保险、住房公积金缴</w:t>
      </w:r>
      <w:r>
        <w:rPr>
          <w:rFonts w:hint="eastAsia" w:ascii="宋体" w:hAnsi="宋体" w:eastAsia="宋体" w:cs="宋体"/>
          <w:b w:val="0"/>
          <w:bCs/>
          <w:i/>
          <w:iCs/>
          <w:color w:val="000000"/>
          <w:sz w:val="24"/>
          <w:szCs w:val="24"/>
          <w:highlight w:val="none"/>
          <w:u w:val="single"/>
          <w:lang w:val="en-US" w:eastAsia="zh-CN"/>
        </w:rPr>
        <w:tab/>
      </w:r>
      <w:r>
        <w:rPr>
          <w:rFonts w:hint="eastAsia" w:ascii="宋体" w:hAnsi="宋体" w:eastAsia="宋体" w:cs="宋体"/>
          <w:b w:val="0"/>
          <w:bCs/>
          <w:i/>
          <w:iCs/>
          <w:color w:val="000000"/>
          <w:sz w:val="24"/>
          <w:szCs w:val="24"/>
          <w:highlight w:val="none"/>
          <w:u w:val="single"/>
          <w:lang w:val="en-US" w:eastAsia="zh-CN"/>
        </w:rPr>
        <w:t xml:space="preserve">`</w:t>
      </w:r>
      <w:r>
        <w:rPr>
          <w:rFonts w:hint="eastAsia" w:ascii="宋体" w:hAnsi="宋体" w:eastAsia="宋体" w:cs="宋体"/>
          <w:b w:val="0"/>
          <w:bCs/>
          <w:i/>
          <w:iCs/>
          <w:color w:val="000000"/>
          <w:sz w:val="24"/>
          <w:szCs w:val="24"/>
          <w:highlight w:val="none"/>
          <w:u w:val="single"/>
        </w:rPr>
        <w:t xml:space="preserve">存金额及员工工资)。</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5.中标单位工作人员在岗履行职责期间（包括上下班途中），发生自身的人身伤害、伤亡，均由中标单位负责处理并承担经济和道义上的责任，招标单位不承担任何责任。</w:t>
      </w:r>
      <w:r/>
    </w:p>
    <w:p>
      <w:pPr>
        <w:pStyle w:val="1049"/>
        <w:rPr>
          <w:rFonts w:ascii="宋体" w:hAnsi="宋体" w:eastAsia="宋体" w:cs="宋体"/>
          <w:b w:val="0"/>
          <w:bCs/>
          <w:i/>
          <w:iCs/>
          <w:color w:val="000000"/>
          <w:sz w:val="24"/>
          <w:szCs w:val="24"/>
          <w:highlight w:val="none"/>
          <w:u w:val="single"/>
          <w:lang w:val="en-US" w:eastAsia="zh-CN"/>
        </w:rPr>
      </w:pPr>
      <w:r>
        <w:rPr>
          <w:rFonts w:hint="eastAsia" w:ascii="宋体" w:hAnsi="宋体" w:eastAsia="宋体" w:cs="宋体"/>
          <w:b w:val="0"/>
          <w:bCs/>
          <w:i/>
          <w:iCs/>
          <w:color w:val="000000"/>
          <w:sz w:val="24"/>
          <w:szCs w:val="24"/>
          <w:highlight w:val="none"/>
          <w:u w:val="single"/>
          <w:lang w:val="en-US" w:eastAsia="zh-CN"/>
        </w:rPr>
        <w:t xml:space="preserve">6.中标单位需要在合同签订后7日内配备好响应人员并把相关人员证书向采购方备案。否则采购方有权向监管部门汇报调查。</w:t>
      </w:r>
      <w:r/>
    </w:p>
    <w:p>
      <w:pPr>
        <w:pStyle w:val="1049"/>
        <w:ind w:left="0" w:firstLine="0"/>
        <w:rPr>
          <w:rFonts w:hint="eastAsia" w:ascii="宋体" w:hAnsi="宋体" w:eastAsia="宋体" w:cs="宋体"/>
          <w:b w:val="0"/>
          <w:bCs/>
          <w:color w:val="000000"/>
          <w:sz w:val="24"/>
          <w:szCs w:val="24"/>
          <w:highlight w:val="none"/>
        </w:rPr>
        <w:outlineLvl w:val="2"/>
      </w:pPr>
      <w:r/>
      <w:bookmarkStart w:id="178" w:name="_Toc24272"/>
      <w:r>
        <w:rPr>
          <w:rFonts w:hint="eastAsia" w:ascii="宋体" w:hAnsi="宋体" w:eastAsia="宋体" w:cs="宋体"/>
          <w:b w:val="0"/>
          <w:bCs/>
          <w:color w:val="000000"/>
          <w:sz w:val="24"/>
          <w:szCs w:val="24"/>
          <w:highlight w:val="none"/>
        </w:rPr>
        <w:t xml:space="preserve">（二）、食堂日常管理要求</w:t>
      </w:r>
      <w:bookmarkEnd w:id="178"/>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食堂正常开放时间：午餐11：00-12：00。供应六菜（三荤三素，其中三荤包括两大荤、一小荤）一汤一酸奶（或水果），职工可选择四菜一汤一酸奶（或水果），保证质量且营养均衡。正常情况下，午餐在40-60人左右用餐，特殊情况另行通知，实行一日一餐（全年无休）。如遇上级评审考核，加班等事宜，食堂工作人员应按照办公室通知做好就餐保障工作，相关费用包含在总报价中。</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2.每周末公布下周菜单，采购人如对菜单提出合理性建议，中标单位应及时采纳并修改。</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3.用餐人员的数量为估算数量，如有临时增加或者减少，都包含在本次服务内容中，不再另行结算。</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4.投标单位人员要有良好的职业操守，严格遵守《中华人民共和国食品卫生法》《中华人民共和国食品安全法》等法律法规，确保所处的食品安全、卫生。有良好的服务态度，高质量完成各项接待任务。</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5.客人用餐等根据实际需要另行安排，如有安排甲方应当提前半天通知乙方，乙方必须无条件保障；</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6.要求各种餐具用品做到卫生、洁净、消毒；餐室（厨房）无蝇、无虫；</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7.食堂管理要求及质量要求：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7.1供应商严格遵守《中华人民共和国食品安全法》等法律法规和餐饮安全监管相关要求，确保餐饮加工和就餐过程中的食品安全和卫生。</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7.2各种餐具用品做到卫生、洁净、消毒；餐室（厨房）无蝇、无虫；就餐按时不误饭点，伙食调剂恰当，味道可口，品种花色多样；</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7.3厨师、勤杂人员配置合理，服务态度文明礼貌，操作规范。做好食品卫生安全和食堂卫生防疫工作，就餐环境必须达到政府餐饮监管部门的有关要求，采购单位有权监督，并随时检查，如因供应商管理不善造成食品安全事故，供应商负全部责任。</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7.4采购方将定期在职工中调查饭菜质量数量价格及服务情况，并将有关信息反馈经营者，中标单位应听取意见采取措施及时整改。采购方将对食堂的饭菜质量等服务情况进行调查和考核，实行评分扣分制度并与价格直接挂钩。</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7.5对干部职工提出的食堂饭菜质量服务问题，供应商应立刻整改，如多次出现饭菜质量问题，又不及时整改的，采购单位将有权终止合同。</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8.做好食堂卫生防疫工作。</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8.1从业人员疫情防控培训，通风消毒，食材把关，食品留样。</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8.2每日做好定时通风消毒。通风时间不少于半小时。</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8.3食堂工作人员需要做好防护措施，工作期间全部佩戴口罩，勤洗手，穿工作衣，定期进行健康检查。</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9.采购单位提供厨房、全套合格厨房设施、餐厅及基础设施，并负责水电费用、中标单位按照使用说明书进行操作维护。中标单位未按使用说明书操作导致的非正常损耗（包括杂物电梯）由中标单位负责。周末、节假日关闭水电设施，定期进行设备检查维护。</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10.因中标单位管理不善，造成工作范围内的设施、设备等损坏的，由直接负责人赔偿，若直接负责人因故无法赔偿的，招标单位有权要求中标单位负责赔偿损失，情节严重的可终止合同甚至诉诸法律。</w:t>
      </w:r>
      <w:r/>
    </w:p>
    <w:p>
      <w:pPr>
        <w:pStyle w:val="1049"/>
        <w:ind w:left="0" w:firstLine="0"/>
        <w:rPr>
          <w:rFonts w:hint="eastAsia" w:ascii="宋体" w:hAnsi="宋体" w:eastAsia="宋体" w:cs="宋体"/>
          <w:b w:val="0"/>
          <w:bCs/>
          <w:color w:val="000000"/>
          <w:sz w:val="24"/>
          <w:szCs w:val="24"/>
          <w:highlight w:val="none"/>
        </w:rPr>
        <w:outlineLvl w:val="2"/>
      </w:pPr>
      <w:r/>
      <w:bookmarkStart w:id="179" w:name="_Toc437"/>
      <w:r>
        <w:rPr>
          <w:rFonts w:hint="eastAsia" w:ascii="宋体" w:hAnsi="宋体" w:eastAsia="宋体" w:cs="宋体"/>
          <w:b w:val="0"/>
          <w:bCs/>
          <w:color w:val="000000"/>
          <w:sz w:val="24"/>
          <w:szCs w:val="24"/>
          <w:highlight w:val="none"/>
        </w:rPr>
        <w:t xml:space="preserve">（三）、供餐要求</w:t>
      </w:r>
      <w:bookmarkEnd w:id="179"/>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1.每餐价格标准不超过18元，午餐价格包括人工及其他费用，具体包含六菜一汤。三荤（其中包括两大荤、一小荤）、三素、一汤、一酸奶（或水果）。其中：荤菜不得少于150g/份，素菜不得少于100g/份。</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投标人应在投标文件其他材料中上传每日参考菜单，并附上具体的成本价分析。菜单配置可参考其他部分。</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2.大荤：大排、大肉、小排、猪手、鸡腿、蒸肉糕等。</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3.小荤：鱼香肉丝、尖叫肉片等、大蒜炒蛋、韭菜炒蛋、面筋塞肉、爆鱼、昂丝鱼、黄鱼、白丝、鱼块、带鱼、鲻鱼等</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4.素菜：青菜、五号菜、茄子、西兰花、牛心菜、草头、白菜、萝卜、菠菜、丝瓜等应季节变化购买</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5.供应商应季节变化原材料采购原则上采取定点配送采购方式（大型超市或批发市场）</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6.供应商必须按规定的供餐时间做好食品供应工作，按要求提供安全放心的食品。</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7.食材要求：为了确保食品安全，供应商提供的食材必须从有食品经营许可证的商家中进货，所有食材必须符合国家标准，不得向无证的商贩采购食材。必须建立食品溯源机制，做好食材溯源台账登记。</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8.供应商应做好食品留样工作，并确保留样时间不少于72小时，投标单位在投标文件中应阐述具体的食材采购流程、食品质量管理方案、食品留样管理及溯源管理方案。</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9.质量标准要求：配送食材必须符合国家或行业标准，均为非转基因产品。如不符规定的，造成经济损失或造成其它后果，由配送方负责。造成食物中毒等严重后果的，追究配送方相关法律责任。</w:t>
      </w:r>
      <w:r/>
    </w:p>
    <w:p>
      <w:pPr>
        <w:pStyle w:val="1049"/>
        <w:ind w:left="0" w:firstLine="0"/>
        <w:rPr>
          <w:rFonts w:hint="eastAsia" w:ascii="宋体" w:hAnsi="宋体" w:eastAsia="宋体" w:cs="宋体"/>
          <w:b w:val="0"/>
          <w:bCs/>
          <w:color w:val="000000"/>
          <w:sz w:val="24"/>
          <w:szCs w:val="24"/>
          <w:highlight w:val="none"/>
        </w:rPr>
        <w:outlineLvl w:val="2"/>
      </w:pPr>
      <w:r/>
      <w:bookmarkStart w:id="180" w:name="_Toc19609"/>
      <w:r>
        <w:rPr>
          <w:rFonts w:hint="eastAsia" w:ascii="宋体" w:hAnsi="宋体" w:eastAsia="宋体" w:cs="宋体"/>
          <w:b w:val="0"/>
          <w:bCs/>
          <w:color w:val="000000"/>
          <w:sz w:val="24"/>
          <w:szCs w:val="24"/>
          <w:highlight w:val="none"/>
        </w:rPr>
        <w:t xml:space="preserve">（四）、食材具体要求</w:t>
      </w:r>
      <w:bookmarkEnd w:id="180"/>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1.大米配送标准：原则上以一年为界的大米（国标一级），符合GB/T</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1354-2018标准，保障大米质量安全。</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猪肉分割及副产品配送标准：质量必须符合GB9959.1-2019标准，所有肉类配送时提供《动物检疫合格证》和《肉品品质检验合格证》。使用知名企业出品的品牌肉类，不得混用其他类型的肉，相关指标必须符合政府监管规定。</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2.1带皮五花肉：要求新鲜、无异味，宽度在7cm-8cm，厚度层次五层，形状似长方形，肥肉最厚处不超过2.5cm,肥肉最薄处不低于1cm。</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2.2大排：要求新鲜、无异味，大小均匀，每块达到100g。</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2.3小排：要求新鲜、无异味，整方小排配置，不混有其他碎排，骨肉均匀，初加工时块状大小均匀。</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2.4带皮前腿、带皮后腿：要求新鲜，无异味，要求剔除大股骨。</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2.5精肉：要求新鲜，无异味，纯精肉，无肥肉，无杂物，加工时丝或片大小均匀。</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2.6肉糜：要求新鲜腿肉加工，无异味、无杂物，肥瘦比例3:7。</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2.7猪肝：要求新鲜，无异味，无溃烂，加工时片状大小均匀。</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3.鸡鸭产品供货及配送标准：质量必须符合GB16869-2005标准，配送时，提供产品产地和《动物检疫合格证》等合格证明文件，知名品牌企业生产，不得混有其他类型的鸡鸭产品，相关指标必须符合政府监管规定。</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3.1光鸡、光鸭、光鹅：要求新鲜，无残羽，无血水，无伤斑、溃烂、炎症，无多余皮和脂肪，肉面干净、无任何异味，无毛发，表皮处理清洁，大小统一。</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3.2鸡上腿：无残羽，无血水，无伤斑、溃烂、炎症，无多余皮和脂肪，每只15g左右。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3.3鸡翅中：无残羽，无黄衣，无伤斑和溃烂，无血水，全翅200g，翅中100g左右。</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3.4鸡脯：无残羽，无血水，无伤斑、溃烂、炎症，无多余皮和脂肪，大小统一。</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3.5半边鸭：无残羽，无黄衣，无伤斑和溃烂。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4.调味品配送标准：要求调料配送必须正规品牌厂家生产，并符合食品质量安全要求，在大型批发企业采购，相关指标必须符合政府监管规定。</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4.1食用油：食用油必须东海粮油等大型企业生产的，非转基因产品，压榨工艺提炼,符合国家相关标准。</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4.2酱油：须为酿造酱油，符合国家标准GB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18186-2000，卫生标准GB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2717-2003。</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4.3味精：必须符合卫生标准GB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2720-2020；</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4.4生粉：淀粉制品必须符合卫生标准GB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2713-2015；</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4.5白砂糖  必须符合国家标准GB/T 317-2018；绵白糖：必须符合国家标准GB/T 1445-2018；</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4.6香醋：必须符合国家标准GB/T 18187-2000，卫生标准GB2719-2018。</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5.豆制品质量标准</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5.1素鸡：颜色洁白，表面干燥光滑，外形完整、结构紧密、有弹性、不碎，有轻微碱味。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5.2豆腐：白色或浅黄色，有光泽，块形完整，有弹性，质地细嫩，无酸、涩等不良气味。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5.3豆腐干：呈浅黄色，有光泽，块形完整，质地细腻，边角整齐，有弹性，挤压不出水、无杂质，无酸、涩等不良气味。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5.4油豆腐：呈金黄色，有光泽，块形完整，有弹性，皮脆，内质呈蜂窝状，不粘不散，无酸、涩等不良气味，外皮酥脆适口，内软嫩。</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5.5粉皮：晶莹透明、均匀、干净无杂质，整齐无破碎，无酸、涩等气味。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6.禽蛋类质量标准：要求必须新鲜、卫生。卫生符合GB 2749-2015标准。</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鸡蛋新鲜，蛋壳有一层白霜，蛋壳颜色和大小基本均匀一致。无腐烂发臭，无生虫长蛆，无污物、无异味。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7.蔬菜质量标准：要求必须无公害蔬菜，提供蔬菜检测合格证书，相关指标必须符合政府监管规定。</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7.1青菜：新鲜，梗白色或浅绿色，较嫩，叶子深绿色，大小适中，无腐烂。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7.2韭菜：选用三个叶的韭菜，无黄叶，叶粗壮、挺直、翠绿色，根部洁白，软嫩且有韭香味，长约20cm.</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7.3香芹：叶翠绿，根细，茎挺直、脆，芹香味浓，长约30cm，无腐烂。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7.4韭黄：叶肥挺、色泽淡黄，香味浓郁，长约20cm，无腐烂。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7.5水芹：叶嫩緑，茎、根呈白色，茎细嫩、中间空、水分充足，长约30cm,无腐烂、黄叶。</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7.6西芹：新鲜肥嫩，叶茎宽厚，颜色深緑，无腐烂、黄叶。</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7.7菠菜：颜色碧緑、鲜嫩，叶子大、挺直，根部桃红，大小均匀，无虫眼、无腐烂。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7.8生菜：颜色鲜艳淡緑，叶子水分充足、脆嫩、棵株挺直。无黄叶、无腐烂。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7.9苋菜：绿色苋菜，叶大薄软、茎细嫩、水分充足，无杂草、无腐烂。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7.10青椒：长形或萝卜状，颜色碧緑，有光泽、表面光滑、大小均匀饱满、肉层中等，无腐烂。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7.11辣椒：细长圆锥状，颜色碧緑、有光泽、表面光滑，大小均匀饱满，肉薄籽多，无腐烂。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7.12番茄：颜色大红或粉红、光泽亮艳，圆整饱满，大小均匀，八成熟，肉厚籽少，甜中带酸。</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7.13大白菜：外叶浅绿色，帮白，内叶乳白色，新鲜光泽，棵株大、包心坚实紧密，里外无腐烂，无虫眼。</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7.14茄子：紫色或青色，棒形或灯泡形，表面光滑有色泽，有弹性，皮薄肉嫩籽少，个体均匀。</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7.15莴笋：笋形粗壮，条直、大小均匀、叶绿色、茎皮光泽，断面碧緑，无腐烂。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7.16花菜：花蕾颜色洁白、细密紧实，球形完整、花根淡緑。</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7.17黄瓜：颜色青緑，瓜身条直均匀，瓜把小，顶花带刺，瓤小籽少。</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7.18冬瓜：皮青翠，肉洁白，厚嫩，紧密，膛小，有一定硬度。</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7.19丝瓜：皮颜色翠绿，薄嫩，条直均匀、肉洁白软嫩、籽少。</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7.20长豆：颜色淡緑，均匀、挺直、饱满，有弹性，折之易断，无虫眼，烂斑。</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7.21四季豆：颜色青緑、表面有细腻毛，细长均匀、饱满，有韧性，易折断，无虫眼。</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7.22土豆：颜色为淡黄色或奶白色，个大形正、大小整齐，体硬、饱满，无腐烂。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7.23洋葱：颜色粉白活紫白、完整无损、球茎干度适中。</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7.24红薯：颜色淡黄色，黄心，个大形正、大小整齐，表皮无伤，饱满，无腐烂，无异味。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7.25生姜：颜色淡黄，表皮完整，姜体硬脆、肥大，有辛香味，无烂斑，无毛根、泥土。</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7.26白萝卜：颜色洁白光滑、细腻、形体完整、分量重，水分大，肉嫩脆，无斑无泥土。</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7.27茭白：叶颜色青緑，完整，茎粗壮、肉肥厚较嫩、颜色洁白或淡黄色，无虫洞。</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7.28冬笋（竹笋）：笋壳淡黄色，有光泽、完整清洁，壳肉紧贴、饱满，肉质洁白较嫩，根小，无刀伤，冰冻、霉烂。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7.29茨菰：外包膜颜色淡黄、顶端尖芽淡黄色，形大饱满、洁静，肉乳白细腻。无刀伤、腐烂、冰冻、多泥。</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7.30平菇：菌为洁白色、菌身完整，大小均匀，菌盖与柄、菌环相连末展开，根短。</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8.水产标准：鲜活，药物残留符合国家标准。</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8.1活鱼：鱼体无伤残、无畸形、无病。体表鳞片完整无损</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8.2蟹类：蟹体个大健壮，体厚坚实、肚脐突出、表面粗糙。活动动作敏捷，将腹部朝上，能迅速翻身。背部黑褐色或墨绿色腹部洁白，蟹脚坚硬有力，蟹体份量沉重。</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8.3活虾：身体完整、头尾紧连，活动自如、较生猛，虾体颜色青绿、青灰、清白色，有光泽、透明。</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9.水发产品：水发水产品符合《NY5172-2020无公害食品水发水产品》国家标准。</w:t>
      </w:r>
      <w:r/>
    </w:p>
    <w:p>
      <w:pPr>
        <w:pStyle w:val="1049"/>
        <w:ind w:left="0" w:firstLine="0"/>
        <w:rPr>
          <w:rFonts w:hint="eastAsia" w:ascii="宋体" w:hAnsi="宋体" w:eastAsia="宋体" w:cs="宋体"/>
          <w:b w:val="0"/>
          <w:bCs/>
          <w:color w:val="000000"/>
          <w:sz w:val="24"/>
          <w:szCs w:val="24"/>
          <w:highlight w:val="none"/>
        </w:rPr>
        <w:outlineLvl w:val="2"/>
      </w:pPr>
      <w:r/>
      <w:bookmarkStart w:id="181" w:name="_Toc1767"/>
      <w:r>
        <w:rPr>
          <w:rFonts w:hint="eastAsia" w:ascii="宋体" w:hAnsi="宋体" w:eastAsia="宋体" w:cs="宋体"/>
          <w:b w:val="0"/>
          <w:bCs/>
          <w:color w:val="000000"/>
          <w:sz w:val="24"/>
          <w:szCs w:val="24"/>
          <w:highlight w:val="none"/>
        </w:rPr>
        <w:t xml:space="preserve">（五）、应急管理要求</w:t>
      </w:r>
      <w:bookmarkEnd w:id="181"/>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1.供应商应当有完整的应急预案，如有出现食物中毒、用餐人员投诉、消防事故等紧急情况，投标人应当立即启动应急预案。</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2.每日用餐人数如有临时增加或者临时性接待，投标人应当有合理可行的应急预案（如面条、速冻水饺等半成品菜或者直接配送半成品菜），保证临时菜尽快配送到位。</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投标人需要提供临时接待用餐，中标单位需紧急增派人员。临时性接待应配备有可供立即调度使用的服务人员，以备临时接待时准备充足。费用按实（菜价）结算，用餐场所由采购人提供，用餐标准由采购人根据实际确定。接待时间不限于在工作日，接待不另计加班费用。</w:t>
      </w:r>
      <w:r/>
    </w:p>
    <w:p>
      <w:pPr>
        <w:pStyle w:val="1049"/>
        <w:ind w:left="0" w:firstLine="0"/>
        <w:rPr>
          <w:rFonts w:hint="eastAsia" w:ascii="宋体" w:hAnsi="宋体" w:eastAsia="宋体" w:cs="宋体"/>
          <w:b w:val="0"/>
          <w:bCs/>
          <w:color w:val="000000"/>
          <w:sz w:val="24"/>
          <w:szCs w:val="24"/>
          <w:highlight w:val="none"/>
        </w:rPr>
        <w:outlineLvl w:val="2"/>
      </w:pPr>
      <w:r/>
      <w:bookmarkStart w:id="182" w:name="_Toc9723"/>
      <w:r>
        <w:rPr>
          <w:rFonts w:hint="eastAsia" w:ascii="宋体" w:hAnsi="宋体" w:eastAsia="宋体" w:cs="宋体"/>
          <w:b w:val="0"/>
          <w:bCs/>
          <w:color w:val="000000"/>
          <w:sz w:val="24"/>
          <w:szCs w:val="24"/>
          <w:highlight w:val="none"/>
        </w:rPr>
        <w:t xml:space="preserve">（六）、服务考核要求</w:t>
      </w:r>
      <w:bookmarkEnd w:id="182"/>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采购方将对食堂的饭菜质量等服务情况进行调查和考核，实行评分扣分制度并与价格直接挂钩，具体考核办法见其他部分。供应商应当在投标文件中体现针对季度考核的质量保障方案及季度考评低于75分的整改方案。</w:t>
      </w:r>
      <w:r/>
    </w:p>
    <w:p>
      <w:pPr>
        <w:pStyle w:val="1049"/>
        <w:ind w:left="0" w:firstLine="0"/>
        <w:rPr>
          <w:rFonts w:hint="eastAsia" w:ascii="宋体" w:hAnsi="宋体" w:eastAsia="宋体" w:cs="宋体"/>
          <w:b w:val="0"/>
          <w:bCs/>
          <w:color w:val="000000"/>
          <w:sz w:val="24"/>
          <w:szCs w:val="24"/>
          <w:highlight w:val="none"/>
        </w:rPr>
        <w:outlineLvl w:val="2"/>
      </w:pPr>
      <w:r/>
      <w:bookmarkStart w:id="183" w:name="_Toc16883"/>
      <w:r>
        <w:rPr>
          <w:rFonts w:hint="eastAsia" w:ascii="宋体" w:hAnsi="宋体" w:eastAsia="宋体" w:cs="宋体"/>
          <w:b w:val="0"/>
          <w:bCs/>
          <w:color w:val="000000"/>
          <w:sz w:val="24"/>
          <w:szCs w:val="24"/>
          <w:highlight w:val="none"/>
        </w:rPr>
        <w:t xml:space="preserve">（七）、其他事项</w:t>
      </w:r>
      <w:bookmarkEnd w:id="183"/>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本项目为总价包干项目，各投标单位所投报价应充分考虑一年服务期内包含人员费用（工资、福利、培训、社会保险等）、菜金、调料费用、服务所用材料消耗费用、工具费用、突击费用（临时加班加点产生的费用）、管理费用、利润、税金、政策性文件规定及合同包含的所有风险(包括但不限于遇最低工资调整、物价上涨、重大活动、检查、突发情况、税费调整、统计误差等)、责任等各项应有费用。最终结算时总价均不予调整。</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2.严格按照有关部门对食堂从业人员的要求。卫生检疫、工作人员体检、疾病等费用均由中标单位自理。</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3.中标单位不得将食堂配送服务私自转让或委托他人经营，所有现场服务人员必须与投标人员一致,经发现招标方有权取消其承包资格并给予经济处罚式诉诸法律。 </w:t>
      </w:r>
      <w:r/>
    </w:p>
    <w:p>
      <w:pPr>
        <w:pStyle w:val="1049"/>
        <w:rPr>
          <w:rFonts w:hint="eastAsia" w:ascii="宋体" w:hAnsi="宋体" w:eastAsia="宋体" w:cs="宋体"/>
          <w:b w:val="0"/>
          <w:bCs/>
          <w:i/>
          <w:iCs/>
          <w:color w:val="000000"/>
          <w:sz w:val="24"/>
          <w:szCs w:val="24"/>
          <w:highlight w:val="none"/>
          <w:u w:val="single"/>
        </w:rPr>
      </w:pPr>
      <w:r>
        <w:rPr>
          <w:rFonts w:hint="eastAsia" w:ascii="宋体" w:hAnsi="宋体" w:eastAsia="宋体" w:cs="宋体"/>
          <w:b w:val="0"/>
          <w:bCs/>
          <w:i/>
          <w:iCs/>
          <w:color w:val="000000"/>
          <w:sz w:val="24"/>
          <w:szCs w:val="24"/>
          <w:highlight w:val="none"/>
          <w:u w:val="single"/>
          <w:lang w:val="en-US" w:eastAsia="zh-CN"/>
        </w:rPr>
        <w:t xml:space="preserve">4</w:t>
      </w:r>
      <w:r>
        <w:rPr>
          <w:rFonts w:hint="eastAsia" w:ascii="宋体" w:hAnsi="宋体" w:eastAsia="宋体" w:cs="宋体"/>
          <w:b w:val="0"/>
          <w:bCs/>
          <w:i/>
          <w:iCs/>
          <w:color w:val="000000"/>
          <w:sz w:val="24"/>
          <w:szCs w:val="24"/>
          <w:highlight w:val="none"/>
          <w:u w:val="single"/>
        </w:rPr>
        <w:t xml:space="preserve">.中标单位需及时完成年度832平台及鲜丰汇的采购任务。中标单位在11月月末还未完成全年采购任务的，采购方有权在12月初自行采购，所产生的采购金额直接从中标单位结算服务费用中扣除。</w:t>
      </w:r>
      <w:r/>
    </w:p>
    <w:p>
      <w:pPr>
        <w:numPr>
          <w:ilvl w:val="0"/>
          <w:numId w:val="14"/>
        </w:numPr>
        <w:ind w:left="0" w:firstLine="0"/>
        <w:keepLines w:val="0"/>
        <w:keepNext w:val="0"/>
        <w:pageBreakBefore w:val="0"/>
        <w:spacing w:before="120" w:after="120" w:line="440" w:lineRule="exact"/>
        <w:widowControl/>
        <w:rPr>
          <w:rFonts w:hint="eastAsia" w:ascii="宋体" w:hAnsi="宋体" w:cs="宋体"/>
          <w:b/>
          <w:color w:val="000000"/>
          <w:sz w:val="32"/>
          <w:szCs w:val="32"/>
          <w:highlight w:val="none"/>
        </w:rPr>
        <w:outlineLvl w:val="1"/>
      </w:pPr>
      <w:r/>
      <w:bookmarkStart w:id="184" w:name="_Toc6370"/>
      <w:r/>
      <w:bookmarkStart w:id="185" w:name="_Toc8533"/>
      <w:r/>
      <w:bookmarkStart w:id="186" w:name="_Toc19243"/>
      <w:r>
        <w:rPr>
          <w:rFonts w:hint="eastAsia" w:ascii="宋体" w:hAnsi="宋体" w:cs="宋体"/>
          <w:b/>
          <w:color w:val="000000"/>
          <w:sz w:val="28"/>
          <w:szCs w:val="28"/>
          <w:highlight w:val="none"/>
        </w:rPr>
        <w:t xml:space="preserve">商务条款</w:t>
      </w:r>
      <w:bookmarkEnd w:id="184"/>
      <w:r/>
      <w:bookmarkEnd w:id="185"/>
      <w:r/>
      <w:bookmarkEnd w:id="186"/>
      <w:r/>
      <w:r/>
    </w:p>
    <w:p>
      <w:pPr>
        <w:pStyle w:val="1071"/>
        <w:numPr>
          <w:ilvl w:val="0"/>
          <w:numId w:val="16"/>
        </w:numPr>
        <w:ind w:firstLine="500"/>
        <w:keepLines w:val="0"/>
        <w:keepNext w:val="0"/>
        <w:pageBreakBefore w:val="0"/>
        <w:spacing w:line="440" w:lineRule="exact"/>
        <w:widowControl/>
        <w:rPr>
          <w:rStyle w:val="1021"/>
          <w:rFonts w:ascii="宋体" w:hAnsi="宋体" w:eastAsia="宋体" w:cs="宋体"/>
          <w:b/>
          <w:i w:val="0"/>
          <w:spacing w:val="7"/>
          <w:sz w:val="24"/>
          <w:u w:val="none"/>
        </w:rPr>
        <w:outlineLvl w:val="9"/>
      </w:pPr>
      <w:r>
        <w:rPr>
          <w:rStyle w:val="1021"/>
          <w:rFonts w:hint="eastAsia" w:ascii="宋体" w:hAnsi="宋体" w:eastAsia="宋体" w:cs="宋体"/>
          <w:b/>
          <w:i w:val="0"/>
          <w:color w:val="000000"/>
          <w:spacing w:val="7"/>
          <w:sz w:val="24"/>
          <w:u w:val="none"/>
          <w:lang w:val="en-US" w:eastAsia="zh-CN"/>
        </w:rPr>
        <w:t xml:space="preserve">合同履行期限：</w:t>
      </w:r>
      <w:r>
        <w:rPr>
          <w:rFonts w:hint="eastAsia" w:ascii="宋体" w:hAnsi="宋体" w:cs="宋体"/>
          <w:i/>
          <w:iCs/>
          <w:sz w:val="24"/>
          <w:highlight w:val="none"/>
          <w:u w:val="single"/>
          <w:lang w:val="en-US" w:eastAsia="zh-CN"/>
        </w:rPr>
        <w:t xml:space="preserve">合同签订后一年的服务期</w:t>
      </w:r>
      <w:r>
        <w:rPr>
          <w:rFonts w:hint="eastAsia" w:ascii="宋体" w:hAnsi="宋体" w:cs="宋体"/>
          <w:i/>
          <w:iCs/>
          <w:sz w:val="24"/>
          <w:highlight w:val="none"/>
          <w:u w:val="single"/>
        </w:rPr>
        <w:t xml:space="preserve">。</w:t>
      </w:r>
      <w:r/>
    </w:p>
    <w:p>
      <w:pPr>
        <w:pStyle w:val="1071"/>
        <w:numPr>
          <w:ilvl w:val="0"/>
          <w:numId w:val="16"/>
        </w:numPr>
        <w:ind w:firstLine="500"/>
        <w:keepLines w:val="0"/>
        <w:keepNext w:val="0"/>
        <w:pageBreakBefore w:val="0"/>
        <w:spacing w:line="440" w:lineRule="exact"/>
        <w:widowControl/>
        <w:rPr>
          <w:rStyle w:val="1021"/>
          <w:rFonts w:ascii="宋体" w:hAnsi="宋体" w:eastAsia="宋体" w:cs="宋体"/>
          <w:b/>
          <w:i w:val="0"/>
          <w:spacing w:val="7"/>
          <w:sz w:val="24"/>
          <w:u w:val="none"/>
        </w:rPr>
        <w:outlineLvl w:val="9"/>
      </w:pPr>
      <w:r>
        <w:rPr>
          <w:rStyle w:val="1021"/>
          <w:rFonts w:hint="eastAsia" w:ascii="宋体" w:hAnsi="宋体" w:eastAsia="宋体" w:cs="宋体"/>
          <w:b/>
          <w:i w:val="0"/>
          <w:color w:val="000000"/>
          <w:spacing w:val="7"/>
          <w:sz w:val="24"/>
          <w:u w:val="none"/>
          <w:lang w:val="en-US" w:eastAsia="zh-CN"/>
        </w:rPr>
        <w:t xml:space="preserve">款项</w:t>
      </w:r>
      <w:r>
        <w:rPr>
          <w:rStyle w:val="1021"/>
          <w:rFonts w:ascii="宋体" w:hAnsi="宋体" w:eastAsia="宋体" w:cs="宋体"/>
          <w:b/>
          <w:i w:val="0"/>
          <w:color w:val="000000"/>
          <w:spacing w:val="7"/>
          <w:sz w:val="24"/>
          <w:u w:val="none"/>
        </w:rPr>
        <w:t xml:space="preserve">支付</w:t>
      </w:r>
      <w:r/>
    </w:p>
    <w:p>
      <w:pPr>
        <w:pStyle w:val="1071"/>
        <w:ind w:firstLine="500"/>
        <w:keepLines w:val="0"/>
        <w:keepNext w:val="0"/>
        <w:pageBreakBefore w:val="0"/>
        <w:spacing w:line="440" w:lineRule="exact"/>
        <w:widowControl/>
        <w:rPr>
          <w:rStyle w:val="1021"/>
          <w:rFonts w:ascii="宋体" w:hAnsi="宋体" w:eastAsia="宋体" w:cs="宋体"/>
          <w:b w:val="0"/>
          <w:i/>
          <w:spacing w:val="7"/>
          <w:sz w:val="24"/>
          <w:u w:val="single"/>
        </w:rPr>
        <w:outlineLvl w:val="2"/>
      </w:pPr>
      <w:r/>
      <w:bookmarkStart w:id="187" w:name="_Toc4158"/>
      <w:r>
        <w:rPr>
          <w:rStyle w:val="1021"/>
          <w:rFonts w:hint="eastAsia" w:ascii="宋体" w:hAnsi="宋体" w:eastAsia="宋体" w:cs="宋体"/>
          <w:b w:val="0"/>
          <w:i/>
          <w:color w:val="000000"/>
          <w:spacing w:val="7"/>
          <w:sz w:val="24"/>
          <w:u w:val="single"/>
          <w:lang w:val="en-US" w:eastAsia="zh-CN"/>
        </w:rPr>
        <w:t xml:space="preserve">2</w:t>
      </w:r>
      <w:r>
        <w:rPr>
          <w:rStyle w:val="1021"/>
          <w:rFonts w:ascii="宋体" w:hAnsi="宋体" w:eastAsia="宋体" w:cs="宋体"/>
          <w:b w:val="0"/>
          <w:i/>
          <w:color w:val="000000"/>
          <w:spacing w:val="7"/>
          <w:sz w:val="24"/>
          <w:u w:val="single"/>
        </w:rPr>
        <w:t xml:space="preserve">.1、结付程序</w:t>
      </w:r>
      <w:bookmarkEnd w:id="187"/>
      <w:r/>
      <w:r/>
    </w:p>
    <w:p>
      <w:pPr>
        <w:pStyle w:val="1071"/>
        <w:ind w:firstLine="500"/>
        <w:keepLines w:val="0"/>
        <w:keepNext w:val="0"/>
        <w:pageBreakBefore w:val="0"/>
        <w:spacing w:line="440" w:lineRule="exact"/>
        <w:widowControl/>
        <w:rPr>
          <w:rStyle w:val="1021"/>
          <w:rFonts w:ascii="宋体" w:hAnsi="宋体" w:eastAsia="宋体" w:cs="宋体"/>
          <w:b w:val="0"/>
          <w:i/>
          <w:spacing w:val="7"/>
          <w:sz w:val="24"/>
          <w:u w:val="single"/>
        </w:rPr>
        <w:outlineLvl w:val="9"/>
      </w:pPr>
      <w:r>
        <w:rPr>
          <w:rStyle w:val="1021"/>
          <w:rFonts w:ascii="宋体" w:hAnsi="宋体" w:eastAsia="宋体" w:cs="宋体"/>
          <w:b w:val="0"/>
          <w:i/>
          <w:color w:val="000000"/>
          <w:spacing w:val="7"/>
          <w:sz w:val="24"/>
          <w:u w:val="single"/>
        </w:rPr>
        <w:t xml:space="preserve">供方按本合同内容合格地履行</w:t>
      </w:r>
      <w:r>
        <w:rPr>
          <w:rStyle w:val="1021"/>
          <w:rFonts w:hint="eastAsia" w:ascii="宋体" w:hAnsi="宋体" w:eastAsia="宋体" w:cs="宋体"/>
          <w:b w:val="0"/>
          <w:i/>
          <w:color w:val="000000"/>
          <w:spacing w:val="7"/>
          <w:sz w:val="24"/>
          <w:u w:val="single"/>
          <w:lang w:val="en-US" w:eastAsia="zh-CN"/>
        </w:rPr>
        <w:t xml:space="preserve">服务</w:t>
      </w:r>
      <w:r>
        <w:rPr>
          <w:rStyle w:val="1021"/>
          <w:rFonts w:ascii="宋体" w:hAnsi="宋体" w:eastAsia="宋体" w:cs="宋体"/>
          <w:b w:val="0"/>
          <w:i/>
          <w:color w:val="000000"/>
          <w:spacing w:val="7"/>
          <w:sz w:val="24"/>
          <w:u w:val="single"/>
        </w:rPr>
        <w:t xml:space="preserve">义务后，凭验收报告、销售发票到采购单位办理结算手续。</w:t>
      </w:r>
      <w:r/>
    </w:p>
    <w:p>
      <w:pPr>
        <w:pStyle w:val="1071"/>
        <w:ind w:firstLine="500"/>
        <w:keepLines w:val="0"/>
        <w:keepNext w:val="0"/>
        <w:pageBreakBefore w:val="0"/>
        <w:spacing w:line="440" w:lineRule="exact"/>
        <w:widowControl/>
        <w:rPr>
          <w:rStyle w:val="1021"/>
          <w:rFonts w:ascii="宋体" w:hAnsi="宋体" w:eastAsia="宋体" w:cs="宋体"/>
          <w:b w:val="0"/>
          <w:i/>
          <w:color w:val="000000"/>
          <w:spacing w:val="7"/>
          <w:sz w:val="24"/>
          <w:u w:val="single"/>
        </w:rPr>
        <w:outlineLvl w:val="2"/>
      </w:pPr>
      <w:r/>
      <w:bookmarkStart w:id="188" w:name="_Toc32668"/>
      <w:r>
        <w:rPr>
          <w:rStyle w:val="1021"/>
          <w:rFonts w:hint="eastAsia" w:ascii="宋体" w:hAnsi="宋体" w:eastAsia="宋体" w:cs="宋体"/>
          <w:b w:val="0"/>
          <w:i/>
          <w:color w:val="000000"/>
          <w:spacing w:val="7"/>
          <w:sz w:val="24"/>
          <w:u w:val="single"/>
          <w:lang w:val="en-US" w:eastAsia="zh-CN"/>
        </w:rPr>
        <w:t xml:space="preserve">2</w:t>
      </w:r>
      <w:r>
        <w:rPr>
          <w:rStyle w:val="1021"/>
          <w:rFonts w:ascii="宋体" w:hAnsi="宋体" w:eastAsia="宋体" w:cs="宋体"/>
          <w:b w:val="0"/>
          <w:i/>
          <w:color w:val="000000"/>
          <w:spacing w:val="7"/>
          <w:sz w:val="24"/>
          <w:u w:val="single"/>
        </w:rPr>
        <w:t xml:space="preserve">.2、结付期限</w:t>
      </w:r>
      <w:bookmarkEnd w:id="188"/>
      <w:r/>
      <w:r/>
    </w:p>
    <w:p>
      <w:pPr>
        <w:pStyle w:val="1071"/>
        <w:ind w:firstLine="500"/>
        <w:keepLines w:val="0"/>
        <w:keepNext w:val="0"/>
        <w:pageBreakBefore w:val="0"/>
        <w:spacing w:line="440" w:lineRule="exact"/>
        <w:widowControl/>
        <w:rPr>
          <w:rStyle w:val="1021"/>
          <w:rFonts w:hint="eastAsia" w:ascii="宋体" w:hAnsi="宋体" w:eastAsia="宋体" w:cs="宋体"/>
          <w:b w:val="0"/>
          <w:i/>
          <w:color w:val="000000"/>
          <w:spacing w:val="7"/>
          <w:sz w:val="24"/>
          <w:u w:val="single"/>
          <w:lang w:eastAsia="zh-CN"/>
        </w:rPr>
        <w:outlineLvl w:val="9"/>
      </w:pPr>
      <w:r>
        <w:rPr>
          <w:rStyle w:val="1021"/>
          <w:rFonts w:hint="eastAsia" w:ascii="宋体" w:hAnsi="宋体" w:eastAsia="宋体" w:cs="宋体"/>
          <w:b w:val="0"/>
          <w:i/>
          <w:color w:val="000000"/>
          <w:spacing w:val="7"/>
          <w:sz w:val="24"/>
          <w:u w:val="single"/>
        </w:rPr>
        <w:t xml:space="preserve">甲乙双方</w:t>
      </w:r>
      <w:r>
        <w:rPr>
          <w:rStyle w:val="1021"/>
          <w:rFonts w:hint="eastAsia" w:ascii="宋体" w:hAnsi="宋体" w:eastAsia="宋体" w:cs="宋体"/>
          <w:b w:val="0"/>
          <w:i/>
          <w:color w:val="000000"/>
          <w:spacing w:val="7"/>
          <w:sz w:val="24"/>
          <w:u w:val="single"/>
          <w:lang w:val="en-US" w:eastAsia="zh-CN"/>
        </w:rPr>
        <w:t xml:space="preserve">合同</w:t>
      </w:r>
      <w:r>
        <w:rPr>
          <w:rStyle w:val="1021"/>
          <w:rFonts w:hint="eastAsia" w:ascii="宋体" w:hAnsi="宋体" w:eastAsia="宋体" w:cs="宋体"/>
          <w:b w:val="0"/>
          <w:i/>
          <w:color w:val="000000"/>
          <w:spacing w:val="7"/>
          <w:sz w:val="24"/>
          <w:u w:val="single"/>
        </w:rPr>
        <w:t xml:space="preserve">签订生效后，甲方支付合同金额的10%作为预付款。待整个服务项目所需设备、人员全部到位，经甲方认可后开始供应。按季度进行考核，根据考核结果，出具考核评分表后进行支付</w:t>
      </w:r>
      <w:r>
        <w:rPr>
          <w:rStyle w:val="1021"/>
          <w:rFonts w:hint="eastAsia" w:ascii="宋体" w:hAnsi="宋体" w:eastAsia="宋体" w:cs="宋体"/>
          <w:b w:val="0"/>
          <w:i/>
          <w:color w:val="000000"/>
          <w:spacing w:val="7"/>
          <w:sz w:val="24"/>
          <w:u w:val="single"/>
          <w:lang w:val="en-US" w:eastAsia="zh-CN"/>
        </w:rPr>
        <w:t xml:space="preserve">每</w:t>
      </w:r>
      <w:r>
        <w:rPr>
          <w:rStyle w:val="1021"/>
          <w:rFonts w:hint="eastAsia" w:ascii="宋体" w:hAnsi="宋体" w:eastAsia="宋体" w:cs="宋体"/>
          <w:b w:val="0"/>
          <w:i/>
          <w:color w:val="000000"/>
          <w:spacing w:val="7"/>
          <w:sz w:val="24"/>
          <w:u w:val="single"/>
        </w:rPr>
        <w:t xml:space="preserve">季度的食堂管理费。(因考核检查有失分，实际支付金额与基准价格可能存在差异)</w:t>
      </w:r>
      <w:r/>
    </w:p>
    <w:p>
      <w:pPr>
        <w:pStyle w:val="1071"/>
        <w:numPr>
          <w:ilvl w:val="0"/>
          <w:numId w:val="16"/>
        </w:numPr>
        <w:ind w:firstLine="500"/>
        <w:keepLines w:val="0"/>
        <w:keepNext w:val="0"/>
        <w:pageBreakBefore w:val="0"/>
        <w:spacing w:line="440" w:lineRule="exact"/>
        <w:widowControl/>
        <w:rPr>
          <w:rStyle w:val="1021"/>
          <w:rFonts w:hint="eastAsia" w:ascii="宋体" w:hAnsi="宋体" w:eastAsia="宋体" w:cs="宋体"/>
          <w:b/>
          <w:i w:val="0"/>
          <w:color w:val="000000"/>
          <w:spacing w:val="7"/>
          <w:sz w:val="24"/>
          <w:u w:val="none"/>
          <w:lang w:val="en-US" w:eastAsia="zh-CN"/>
        </w:rPr>
        <w:outlineLvl w:val="9"/>
      </w:pPr>
      <w:r>
        <w:rPr>
          <w:rStyle w:val="1021"/>
          <w:rFonts w:hint="eastAsia" w:ascii="宋体" w:hAnsi="宋体" w:eastAsia="宋体" w:cs="宋体"/>
          <w:b/>
          <w:i w:val="0"/>
          <w:color w:val="000000"/>
          <w:spacing w:val="7"/>
          <w:sz w:val="24"/>
          <w:u w:val="none"/>
          <w:lang w:val="en-US" w:eastAsia="zh-CN"/>
        </w:rPr>
        <w:t xml:space="preserve">投标货币</w:t>
      </w:r>
      <w:r/>
    </w:p>
    <w:p>
      <w:pPr>
        <w:pStyle w:val="1071"/>
        <w:ind w:firstLine="500"/>
        <w:keepLines w:val="0"/>
        <w:keepNext w:val="0"/>
        <w:pageBreakBefore w:val="0"/>
        <w:spacing w:line="440" w:lineRule="exact"/>
        <w:widowControl/>
        <w:rPr>
          <w:rStyle w:val="1021"/>
          <w:rFonts w:ascii="宋体" w:hAnsi="宋体" w:eastAsia="宋体" w:cs="宋体"/>
          <w:b w:val="0"/>
          <w:i/>
          <w:spacing w:val="7"/>
          <w:sz w:val="24"/>
          <w:u w:val="single"/>
        </w:rPr>
        <w:outlineLvl w:val="9"/>
      </w:pPr>
      <w:r>
        <w:rPr>
          <w:rStyle w:val="1021"/>
          <w:rFonts w:ascii="宋体" w:hAnsi="宋体" w:eastAsia="宋体" w:cs="宋体"/>
          <w:b w:val="0"/>
          <w:i/>
          <w:color w:val="000000"/>
          <w:spacing w:val="7"/>
          <w:sz w:val="24"/>
          <w:u w:val="single"/>
        </w:rPr>
        <w:t xml:space="preserve">投标货币</w:t>
      </w:r>
      <w:r>
        <w:rPr>
          <w:rStyle w:val="1021"/>
          <w:rFonts w:hint="eastAsia" w:ascii="宋体" w:hAnsi="宋体" w:eastAsia="宋体" w:cs="宋体"/>
          <w:b w:val="0"/>
          <w:i/>
          <w:color w:val="000000"/>
          <w:spacing w:val="7"/>
          <w:sz w:val="24"/>
          <w:u w:val="single"/>
          <w:lang w:eastAsia="zh-CN"/>
        </w:rPr>
        <w:t xml:space="preserve">：</w:t>
      </w:r>
      <w:r>
        <w:rPr>
          <w:rStyle w:val="1021"/>
          <w:rFonts w:ascii="宋体" w:hAnsi="宋体" w:eastAsia="宋体" w:cs="宋体"/>
          <w:b w:val="0"/>
          <w:i/>
          <w:color w:val="000000"/>
          <w:spacing w:val="7"/>
          <w:sz w:val="24"/>
          <w:u w:val="single"/>
        </w:rPr>
        <w:t xml:space="preserve">人民币</w:t>
      </w:r>
      <w:r/>
    </w:p>
    <w:p>
      <w:pPr>
        <w:pStyle w:val="1071"/>
        <w:ind w:firstLine="500"/>
        <w:keepLines w:val="0"/>
        <w:keepNext w:val="0"/>
        <w:pageBreakBefore w:val="0"/>
        <w:spacing w:line="440" w:lineRule="exact"/>
        <w:widowControl/>
        <w:rPr>
          <w:rStyle w:val="1021"/>
          <w:rFonts w:ascii="宋体" w:hAnsi="宋体" w:eastAsia="宋体" w:cs="宋体"/>
          <w:b/>
          <w:i w:val="0"/>
          <w:spacing w:val="7"/>
          <w:sz w:val="24"/>
          <w:u w:val="none"/>
        </w:rPr>
        <w:outlineLvl w:val="9"/>
      </w:pPr>
      <w:r>
        <w:rPr>
          <w:rStyle w:val="1021"/>
          <w:rFonts w:hint="eastAsia" w:ascii="宋体" w:hAnsi="宋体" w:eastAsia="宋体" w:cs="宋体"/>
          <w:b/>
          <w:i w:val="0"/>
          <w:color w:val="000000"/>
          <w:spacing w:val="7"/>
          <w:sz w:val="24"/>
          <w:u w:val="none"/>
          <w:lang w:val="en-US" w:eastAsia="zh-CN"/>
        </w:rPr>
        <w:t xml:space="preserve">4 </w:t>
      </w:r>
      <w:r>
        <w:rPr>
          <w:rStyle w:val="1021"/>
          <w:rFonts w:ascii="宋体" w:hAnsi="宋体" w:eastAsia="宋体" w:cs="宋体"/>
          <w:b/>
          <w:i w:val="0"/>
          <w:color w:val="000000"/>
          <w:spacing w:val="7"/>
          <w:sz w:val="24"/>
          <w:u w:val="none"/>
        </w:rPr>
        <w:t xml:space="preserve">备品备件及耗材等要求</w:t>
      </w:r>
      <w:r/>
    </w:p>
    <w:p>
      <w:pPr>
        <w:pStyle w:val="1071"/>
        <w:ind w:firstLine="500"/>
        <w:keepLines w:val="0"/>
        <w:keepNext w:val="0"/>
        <w:pageBreakBefore w:val="0"/>
        <w:spacing w:line="440" w:lineRule="exact"/>
        <w:widowControl/>
        <w:rPr>
          <w:lang w:val="en-US" w:eastAsia="zh-CN"/>
        </w:rPr>
        <w:outlineLvl w:val="9"/>
      </w:pPr>
      <w:r>
        <w:rPr>
          <w:rStyle w:val="1021"/>
          <w:rFonts w:ascii="宋体" w:hAnsi="宋体" w:eastAsia="宋体" w:cs="宋体"/>
          <w:b w:val="0"/>
          <w:i/>
          <w:color w:val="000000"/>
          <w:spacing w:val="7"/>
          <w:sz w:val="24"/>
          <w:u w:val="single"/>
        </w:rPr>
        <w:t xml:space="preserve">备品备件及耗材等要求</w:t>
      </w:r>
      <w:r>
        <w:rPr>
          <w:rStyle w:val="1021"/>
          <w:rFonts w:hint="eastAsia" w:ascii="宋体" w:hAnsi="宋体" w:eastAsia="宋体" w:cs="宋体"/>
          <w:b w:val="0"/>
          <w:i/>
          <w:color w:val="000000"/>
          <w:spacing w:val="7"/>
          <w:sz w:val="24"/>
          <w:u w:val="single"/>
          <w:lang w:eastAsia="zh-CN"/>
        </w:rPr>
        <w:t xml:space="preserve">：</w:t>
      </w:r>
      <w:r>
        <w:rPr>
          <w:rStyle w:val="1021"/>
          <w:rFonts w:ascii="宋体" w:hAnsi="宋体" w:eastAsia="宋体" w:cs="宋体"/>
          <w:b w:val="0"/>
          <w:i/>
          <w:color w:val="000000"/>
          <w:spacing w:val="7"/>
          <w:sz w:val="24"/>
          <w:u w:val="single"/>
        </w:rPr>
        <w:t xml:space="preserve">无</w:t>
      </w:r>
      <w:r/>
    </w:p>
    <w:p>
      <w:pPr>
        <w:numPr>
          <w:ilvl w:val="0"/>
          <w:numId w:val="14"/>
        </w:numPr>
        <w:ind w:left="0" w:firstLine="0"/>
        <w:keepLines w:val="0"/>
        <w:keepNext w:val="0"/>
        <w:pageBreakBefore w:val="0"/>
        <w:spacing w:before="120" w:after="120" w:line="440" w:lineRule="exact"/>
        <w:widowControl/>
        <w:rPr>
          <w:rFonts w:hint="eastAsia" w:ascii="宋体" w:hAnsi="宋体" w:eastAsia="宋体" w:cs="宋体"/>
          <w:b/>
          <w:color w:val="000000"/>
          <w:sz w:val="28"/>
          <w:szCs w:val="28"/>
          <w:highlight w:val="none"/>
        </w:rPr>
        <w:outlineLvl w:val="1"/>
      </w:pPr>
      <w:r/>
      <w:bookmarkStart w:id="189" w:name="_Toc2343"/>
      <w:r/>
      <w:bookmarkStart w:id="190" w:name="_Toc4954"/>
      <w:r/>
      <w:bookmarkStart w:id="191" w:name="_Toc816"/>
      <w:r>
        <w:rPr>
          <w:rFonts w:hint="eastAsia" w:ascii="宋体" w:hAnsi="宋体" w:eastAsia="宋体" w:cs="宋体"/>
          <w:b/>
          <w:color w:val="000000"/>
          <w:sz w:val="28"/>
          <w:szCs w:val="28"/>
          <w:highlight w:val="none"/>
          <w:lang w:val="en-US" w:eastAsia="zh-CN"/>
        </w:rPr>
        <w:t xml:space="preserve">其他部分</w:t>
      </w:r>
      <w:bookmarkEnd w:id="189"/>
      <w:r/>
      <w:bookmarkEnd w:id="190"/>
      <w:r/>
      <w:bookmarkEnd w:id="191"/>
      <w:r/>
      <w:r/>
    </w:p>
    <w:p>
      <w:pPr>
        <w:numPr>
          <w:ilvl w:val="0"/>
          <w:numId w:val="17"/>
        </w:numPr>
        <w:ind w:left="0" w:right="1888" w:firstLine="0"/>
        <w:jc w:val="left"/>
        <w:spacing w:after="5" w:line="400" w:lineRule="exact"/>
        <w:widowControl/>
        <w:rPr>
          <w:rFonts w:ascii="宋体" w:hAnsi="宋体" w:cs="宋体"/>
          <w:color w:val="000000"/>
          <w:sz w:val="24"/>
          <w:szCs w:val="24"/>
        </w:rPr>
        <w:outlineLvl w:val="2"/>
      </w:pPr>
      <w:r/>
      <w:bookmarkStart w:id="192" w:name="_Toc19466"/>
      <w:r>
        <w:rPr>
          <w:rFonts w:ascii="宋体" w:hAnsi="宋体" w:cs="宋体"/>
          <w:color w:val="000000"/>
          <w:sz w:val="24"/>
          <w:szCs w:val="24"/>
        </w:rPr>
        <w:t xml:space="preserve">食堂每日餐食要求参考以下菜单：</w:t>
      </w:r>
      <w:bookmarkEnd w:id="192"/>
      <w:r/>
      <w:r/>
    </w:p>
    <w:p>
      <w:pPr>
        <w:numPr>
          <w:ilvl w:val="0"/>
          <w:numId w:val="0"/>
        </w:numPr>
        <w:ind w:right="0"/>
        <w:jc w:val="center"/>
        <w:keepLines w:val="0"/>
        <w:keepNext w:val="0"/>
        <w:pageBreakBefore w:val="0"/>
        <w:spacing w:before="157" w:after="157" w:line="400" w:lineRule="exact"/>
        <w:widowControl w:val="off"/>
        <w:rPr>
          <w:rFonts w:ascii="宋体" w:hAnsi="宋体" w:eastAsia="宋体" w:cs="宋体"/>
          <w:color w:val="000000"/>
          <w:sz w:val="24"/>
          <w:szCs w:val="24"/>
        </w:rPr>
      </w:pPr>
      <w:r>
        <w:rPr>
          <w:rFonts w:ascii="宋体" w:hAnsi="宋体" w:eastAsia="宋体" w:cs="宋体"/>
          <w:color w:val="000000"/>
          <w:sz w:val="24"/>
          <w:szCs w:val="24"/>
        </w:rPr>
        <w:t xml:space="preserve">参考菜单一</w:t>
      </w:r>
      <w:r/>
    </w:p>
    <w:tbl>
      <w:tblPr>
        <w:tblStyle w:val="1088"/>
        <w:tblW w:w="10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82" w:type="dxa"/>
          <w:right w:w="70" w:type="dxa"/>
          <w:bottom w:w="0" w:type="dxa"/>
        </w:tblCellMar>
        <w:tblLook w:val="04A0" w:firstRow="1" w:lastRow="0" w:firstColumn="1" w:lastColumn="0" w:noHBand="0" w:noVBand="1"/>
      </w:tblPr>
      <w:tblGrid>
        <w:gridCol w:w="709"/>
        <w:gridCol w:w="1287"/>
        <w:gridCol w:w="1287"/>
        <w:gridCol w:w="1287"/>
        <w:gridCol w:w="1288"/>
        <w:gridCol w:w="1287"/>
        <w:gridCol w:w="1287"/>
        <w:gridCol w:w="1775"/>
      </w:tblGrid>
      <w:tr>
        <w:trPr>
          <w:jc w:val="center"/>
          <w:trHeight w:val="40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周一</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糖醋小排（150 克）</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咸肉大蒜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清蒸鱼</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肉末粉皮</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大青菜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红烧萝卜</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雪菜蛋花汤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周二</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红烧蹄膀（150 克）</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剁椒鱼块</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冬笋摊蛋</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油渣白菜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酒香草头</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 菠菜</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西红柿蛋汤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周三</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豉油基围虾（150克）</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茨菰烧肉</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红烧带鱼</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莴苣木耳</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大青菜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麻辣豆腐</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咸肉油胚汤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周四</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笋干烧花鸭（150克）</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冬笋炒肉丝</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葱油鳊鱼</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韭菜螺丝</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红烧萝卜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油胚白菜</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萝卜咸肉汤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周五</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红烧老鹅（150 克）</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蘑菇炒肉片</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菌菇炒肉丝</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山药木耳</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大青菜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素什锦</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荠菜蛋皮汤</w:t>
            </w:r>
            <w:r/>
          </w:p>
        </w:tc>
      </w:tr>
    </w:tbl>
    <w:p>
      <w:pPr>
        <w:numPr>
          <w:ilvl w:val="0"/>
          <w:numId w:val="0"/>
        </w:numPr>
        <w:ind w:right="0"/>
        <w:jc w:val="center"/>
        <w:keepLines w:val="0"/>
        <w:keepNext w:val="0"/>
        <w:pageBreakBefore w:val="0"/>
        <w:spacing w:before="157" w:after="157" w:line="400" w:lineRule="exact"/>
        <w:widowControl w:val="off"/>
        <w:rPr>
          <w:rFonts w:ascii="宋体" w:hAnsi="宋体" w:eastAsia="宋体" w:cs="宋体"/>
          <w:color w:val="000000"/>
          <w:sz w:val="24"/>
          <w:szCs w:val="24"/>
        </w:rPr>
      </w:pPr>
      <w:r>
        <w:rPr>
          <w:rFonts w:ascii="宋体" w:hAnsi="宋体" w:eastAsia="宋体" w:cs="宋体"/>
          <w:color w:val="000000"/>
          <w:sz w:val="24"/>
          <w:szCs w:val="24"/>
        </w:rPr>
        <w:t xml:space="preserve">  参考菜单二 </w:t>
      </w:r>
      <w:r/>
    </w:p>
    <w:tbl>
      <w:tblPr>
        <w:tblStyle w:val="1088"/>
        <w:tblW w:w="10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6" w:type="dxa"/>
          <w:top w:w="80" w:type="dxa"/>
          <w:right w:w="3" w:type="dxa"/>
          <w:bottom w:w="0" w:type="dxa"/>
        </w:tblCellMar>
        <w:tblLook w:val="04A0" w:firstRow="1" w:lastRow="0" w:firstColumn="1" w:lastColumn="0" w:noHBand="0" w:noVBand="1"/>
      </w:tblPr>
      <w:tblGrid>
        <w:gridCol w:w="709"/>
        <w:gridCol w:w="1356"/>
        <w:gridCol w:w="1357"/>
        <w:gridCol w:w="1357"/>
        <w:gridCol w:w="1357"/>
        <w:gridCol w:w="1357"/>
        <w:gridCol w:w="1357"/>
        <w:gridCol w:w="1357"/>
      </w:tblGrid>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周一</w:t>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大排（100克）</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红烧鱼块</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咸肉大蒜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红烧萝卜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炒青菜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肉末粉皮</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咸肉白菜粉丝汤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周二</w:t>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硬肋红烧肉（150克）</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冬笋摊蛋</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剁椒鱼块</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酸溜包菜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酒香草头</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韭菜莴苣</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荠菜肉丝汤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周三</w:t>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鲜黄鱼（100克</w:t>
            </w:r>
            <w:r/>
          </w:p>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炒肉丝</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茨菰烧肉</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麻辣豆腐</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香菇青菜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莴苣木耳</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蛋皮榨菜汤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周四</w:t>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（白切、生炒）</w:t>
            </w:r>
            <w:r/>
          </w:p>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黑脚鸡（150 克）</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葱油鳊鱼</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冬笋炒肉丝</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油胚白菜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炒菠菜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韭菜螺丝</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平菇肉丝汤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周五</w:t>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土豆牛腩（香菇耗油炒牛</w:t>
            </w:r>
            <w:r/>
          </w:p>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肉）（150克）</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菌菇炒肉丝</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红烧带鱼</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素什锦</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平菇五号菜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山药木耳</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蘑菇豆腐汤</w:t>
            </w:r>
            <w:r/>
          </w:p>
        </w:tc>
      </w:tr>
    </w:tbl>
    <w:p>
      <w:pPr>
        <w:ind w:left="0" w:right="0" w:firstLine="0"/>
        <w:jc w:val="left"/>
        <w:keepLines w:val="0"/>
        <w:keepNext w:val="0"/>
        <w:pageBreakBefore w:val="0"/>
        <w:spacing w:line="400" w:lineRule="exact"/>
        <w:widowControl/>
        <w:rPr>
          <w:rFonts w:ascii="宋体" w:hAnsi="宋体" w:cs="Calibri"/>
          <w:color w:val="000000"/>
          <w:sz w:val="24"/>
          <w:szCs w:val="24"/>
        </w:rPr>
      </w:pPr>
      <w:r>
        <w:rPr>
          <w:rFonts w:ascii="宋体" w:hAnsi="宋体" w:cs="宋体"/>
          <w:color w:val="000000"/>
          <w:sz w:val="24"/>
          <w:szCs w:val="24"/>
        </w:rPr>
        <w:t xml:space="preserve">注：参考菜单中标注克数（如150g）是指荤菜原材料（如小排、蹄膀、基围虾等）的克数。</w:t>
      </w:r>
      <w:r>
        <w:rPr>
          <w:rFonts w:ascii="宋体" w:hAnsi="宋体" w:cs="Calibri"/>
          <w:color w:val="000000"/>
          <w:sz w:val="24"/>
          <w:szCs w:val="24"/>
        </w:rPr>
        <w:t xml:space="preserve"> </w:t>
      </w:r>
      <w:r/>
    </w:p>
    <w:p>
      <w:pPr>
        <w:ind w:left="0" w:right="0" w:firstLine="0"/>
        <w:jc w:val="left"/>
        <w:keepLines w:val="0"/>
        <w:keepNext w:val="0"/>
        <w:pageBreakBefore w:val="0"/>
        <w:spacing w:line="400" w:lineRule="exact"/>
        <w:widowControl/>
        <w:rPr>
          <w:rFonts w:ascii="宋体" w:hAnsi="宋体" w:cs="Calibri"/>
          <w:color w:val="000000"/>
          <w:sz w:val="24"/>
          <w:szCs w:val="24"/>
        </w:rPr>
      </w:pPr>
      <w:r>
        <w:rPr>
          <w:rFonts w:ascii="宋体" w:hAnsi="宋体" w:cs="Calibri"/>
          <w:color w:val="000000"/>
          <w:sz w:val="24"/>
          <w:szCs w:val="24"/>
        </w:rPr>
      </w:r>
      <w:r/>
    </w:p>
    <w:p>
      <w:pPr>
        <w:ind w:left="0" w:right="0" w:firstLine="0"/>
        <w:jc w:val="left"/>
        <w:keepLines w:val="0"/>
        <w:keepNext w:val="0"/>
        <w:pageBreakBefore w:val="0"/>
        <w:spacing w:line="400" w:lineRule="exact"/>
        <w:widowControl/>
        <w:rPr>
          <w:rFonts w:ascii="宋体" w:hAnsi="宋体" w:cs="Calibri"/>
          <w:color w:val="000000"/>
          <w:sz w:val="24"/>
          <w:szCs w:val="24"/>
        </w:rPr>
      </w:pPr>
      <w:r>
        <w:rPr>
          <w:rFonts w:ascii="宋体" w:hAnsi="宋体" w:cs="Calibri"/>
          <w:color w:val="000000"/>
          <w:sz w:val="24"/>
          <w:szCs w:val="24"/>
        </w:rPr>
        <w:t xml:space="preserve">2.</w:t>
      </w:r>
      <w:r>
        <w:rPr>
          <w:rFonts w:ascii="宋体" w:hAnsi="宋体" w:cs="宋体"/>
          <w:color w:val="000000"/>
          <w:sz w:val="24"/>
          <w:szCs w:val="24"/>
        </w:rPr>
        <w:t xml:space="preserve">食堂管理日常考核评分表（参考）（满分100分，倒扣制，扣完为止）</w:t>
      </w:r>
      <w:r/>
    </w:p>
    <w:p>
      <w:pPr>
        <w:ind w:left="0" w:firstLine="0"/>
        <w:jc w:val="center"/>
        <w:keepLines w:val="0"/>
        <w:keepNext w:val="0"/>
        <w:pageBreakBefore w:val="0"/>
        <w:spacing w:before="157" w:after="10" w:line="400" w:lineRule="exact"/>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食堂管理日常考核评分表</w:t>
      </w:r>
      <w:r/>
    </w:p>
    <w:tbl>
      <w:tblPr>
        <w:tblStyle w:val="1088"/>
        <w:tblW w:w="97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6" w:type="dxa"/>
          <w:top w:w="49" w:type="dxa"/>
          <w:right w:w="48" w:type="dxa"/>
          <w:bottom w:w="0" w:type="dxa"/>
        </w:tblCellMar>
        <w:tblLook w:val="04A0" w:firstRow="1" w:lastRow="0" w:firstColumn="1" w:lastColumn="0" w:noHBand="0" w:noVBand="1"/>
      </w:tblPr>
      <w:tblGrid>
        <w:gridCol w:w="1276"/>
        <w:gridCol w:w="7229"/>
        <w:gridCol w:w="1286"/>
      </w:tblGrid>
      <w:tr>
        <w:trPr>
          <w:jc w:val="center"/>
          <w:trHeight w:val="334"/>
        </w:trPr>
        <w:tc>
          <w:tcPr>
            <w:tcW w:w="1276" w:type="dxa"/>
            <w:vAlign w:val="top"/>
            <w:textDirection w:val="lrTb"/>
            <w:noWrap w:val="false"/>
          </w:tcPr>
          <w:p>
            <w:pPr>
              <w:ind w:left="0" w:firstLine="0"/>
              <w:jc w:val="center"/>
              <w:keepLines w:val="0"/>
              <w:keepNext w:val="0"/>
              <w:pageBreakBefore w:val="0"/>
              <w:spacing w:line="240" w:lineRule="auto"/>
              <w:widowControl/>
              <w:rPr>
                <w:rFonts w:ascii="黑体" w:hAnsi="黑体" w:eastAsia="黑体" w:cs="Calibri"/>
                <w:color w:val="000000"/>
                <w:sz w:val="24"/>
                <w:szCs w:val="24"/>
              </w:rPr>
            </w:pPr>
            <w:r>
              <w:rPr>
                <w:rFonts w:ascii="黑体" w:hAnsi="黑体" w:eastAsia="黑体" w:cs="宋体"/>
                <w:color w:val="000000"/>
                <w:sz w:val="24"/>
                <w:szCs w:val="24"/>
              </w:rPr>
              <w:t xml:space="preserve">类别</w:t>
            </w:r>
            <w:r/>
          </w:p>
        </w:tc>
        <w:tc>
          <w:tcPr>
            <w:tcW w:w="7229" w:type="dxa"/>
            <w:vAlign w:val="top"/>
            <w:textDirection w:val="lrTb"/>
            <w:noWrap w:val="false"/>
          </w:tcPr>
          <w:p>
            <w:pPr>
              <w:ind w:left="0" w:firstLine="0"/>
              <w:jc w:val="center"/>
              <w:keepLines w:val="0"/>
              <w:keepNext w:val="0"/>
              <w:pageBreakBefore w:val="0"/>
              <w:spacing w:line="240" w:lineRule="auto"/>
              <w:widowControl/>
              <w:rPr>
                <w:rFonts w:ascii="黑体" w:hAnsi="黑体" w:eastAsia="黑体" w:cs="Calibri"/>
                <w:color w:val="000000"/>
                <w:sz w:val="24"/>
                <w:szCs w:val="24"/>
              </w:rPr>
            </w:pPr>
            <w:r>
              <w:rPr>
                <w:rFonts w:ascii="黑体" w:hAnsi="黑体" w:eastAsia="黑体" w:cs="宋体"/>
                <w:color w:val="000000"/>
                <w:sz w:val="24"/>
                <w:szCs w:val="24"/>
              </w:rPr>
              <w:t xml:space="preserve">考核内容扣分标准</w:t>
            </w:r>
            <w:r/>
          </w:p>
        </w:tc>
        <w:tc>
          <w:tcPr>
            <w:tcW w:w="1286" w:type="dxa"/>
            <w:vAlign w:val="top"/>
            <w:textDirection w:val="lrTb"/>
            <w:noWrap w:val="false"/>
          </w:tcPr>
          <w:p>
            <w:pPr>
              <w:ind w:left="0" w:firstLine="0"/>
              <w:jc w:val="center"/>
              <w:keepLines w:val="0"/>
              <w:keepNext w:val="0"/>
              <w:pageBreakBefore w:val="0"/>
              <w:spacing w:line="240" w:lineRule="auto"/>
              <w:widowControl/>
              <w:rPr>
                <w:rFonts w:ascii="黑体" w:hAnsi="黑体" w:eastAsia="黑体" w:cs="Calibri"/>
                <w:color w:val="000000"/>
                <w:sz w:val="24"/>
                <w:szCs w:val="24"/>
              </w:rPr>
            </w:pPr>
            <w:r>
              <w:rPr>
                <w:rFonts w:ascii="黑体" w:hAnsi="黑体" w:eastAsia="黑体" w:cs="宋体"/>
                <w:color w:val="000000"/>
                <w:sz w:val="24"/>
                <w:szCs w:val="24"/>
              </w:rPr>
              <w:t xml:space="preserve">扣分情况</w:t>
            </w:r>
            <w:r/>
          </w:p>
        </w:tc>
      </w:tr>
      <w:tr>
        <w:trPr>
          <w:jc w:val="center"/>
          <w:trHeight w:val="2910"/>
        </w:trPr>
        <w:tc>
          <w:tcPr>
            <w:tcW w:w="12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一、食堂餐饮监管</w:t>
            </w:r>
            <w:r/>
          </w:p>
        </w:tc>
        <w:tc>
          <w:tcPr>
            <w:tcW w:w="7229" w:type="dxa"/>
            <w:vAlign w:val="top"/>
            <w:textDirection w:val="lrTb"/>
            <w:noWrap w:val="false"/>
          </w:tcPr>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1.厨房间环境卫生。地面、灶台、厨具卫生保洁，没有按照规定每天定时清洁；地面、下水道、明沟、暗沟排水畅通，无垃圾，无溢流现象。沟盖板安装牢固、平稳。</w:t>
            </w:r>
            <w:r>
              <w:rPr>
                <w:rFonts w:hint="eastAsia" w:ascii="宋体" w:hAnsi="宋体" w:eastAsia="宋体" w:cs="宋体"/>
                <w:b/>
                <w:bCs/>
                <w:sz w:val="21"/>
                <w:szCs w:val="21"/>
              </w:rPr>
              <w:t xml:space="preserve">不合格者每次处0.5分。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2.粗加工、配菜、烹调卫生，荤、素食品没有按照要求做到分池（定位）清洗，</w:t>
            </w:r>
            <w:r>
              <w:rPr>
                <w:rFonts w:hint="eastAsia" w:ascii="宋体" w:hAnsi="宋体" w:eastAsia="宋体" w:cs="宋体"/>
                <w:b/>
                <w:bCs/>
                <w:sz w:val="21"/>
                <w:szCs w:val="21"/>
              </w:rPr>
              <w:t xml:space="preserve">发现一次扣 0.5 分</w:t>
            </w:r>
            <w:r>
              <w:rPr>
                <w:rFonts w:hint="eastAsia" w:ascii="宋体" w:hAnsi="宋体" w:eastAsia="宋体" w:cs="宋体"/>
                <w:sz w:val="21"/>
                <w:szCs w:val="21"/>
              </w:rPr>
              <w:t xml:space="preserve">，</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3.加工生、熟食品的刀、砧板及盛器没有分开，</w:t>
            </w:r>
            <w:r>
              <w:rPr>
                <w:rFonts w:hint="eastAsia" w:ascii="宋体" w:hAnsi="宋体" w:eastAsia="宋体" w:cs="宋体"/>
                <w:b/>
                <w:bCs/>
                <w:sz w:val="21"/>
                <w:szCs w:val="21"/>
              </w:rPr>
              <w:t xml:space="preserve">发现一次扣0.5分。</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4.餐具使用前没有做好清洗(如碗筷没洗干净，有残渣)、消毒工作，直接使用，</w:t>
            </w:r>
            <w:r>
              <w:rPr>
                <w:rFonts w:hint="eastAsia" w:ascii="宋体" w:hAnsi="宋体" w:eastAsia="宋体" w:cs="宋体"/>
                <w:b/>
                <w:bCs/>
                <w:sz w:val="21"/>
                <w:szCs w:val="21"/>
              </w:rPr>
              <w:t xml:space="preserve">发现一次扣 0.5 分，</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5.保洁柜、冰箱等没有保持清洁，或堆放其他杂物，</w:t>
            </w:r>
            <w:r>
              <w:rPr>
                <w:rFonts w:hint="eastAsia" w:ascii="宋体" w:hAnsi="宋体" w:eastAsia="宋体" w:cs="宋体"/>
                <w:b/>
                <w:bCs/>
                <w:sz w:val="21"/>
                <w:szCs w:val="21"/>
              </w:rPr>
              <w:t xml:space="preserve">发现一次扣 0.5 分。</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6.餐室（厨房）无蝇、无虫，</w:t>
            </w:r>
            <w:r>
              <w:rPr>
                <w:rFonts w:hint="eastAsia" w:ascii="宋体" w:hAnsi="宋体" w:eastAsia="宋体" w:cs="宋体"/>
                <w:b/>
                <w:bCs/>
                <w:sz w:val="21"/>
                <w:szCs w:val="21"/>
              </w:rPr>
              <w:t xml:space="preserve">发现一次扣0.5分。</w:t>
            </w:r>
            <w:r>
              <w:rPr>
                <w:rFonts w:hint="eastAsia" w:ascii="宋体" w:hAnsi="宋体" w:eastAsia="宋体" w:cs="宋体"/>
                <w:sz w:val="21"/>
                <w:szCs w:val="21"/>
              </w:rPr>
              <w:t xml:space="preserve"> </w:t>
            </w:r>
            <w:r/>
          </w:p>
        </w:tc>
        <w:tc>
          <w:tcPr>
            <w:tcW w:w="1286" w:type="dxa"/>
            <w:vAlign w:val="top"/>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99"/>
        </w:trPr>
        <w:tc>
          <w:tcPr>
            <w:tcW w:w="1276" w:type="dxa"/>
            <w:vAlign w:val="center"/>
            <w:textDirection w:val="lrTb"/>
            <w:noWrap w:val="false"/>
          </w:tcPr>
          <w:p>
            <w:pPr>
              <w:ind w:left="0" w:right="0" w:firstLine="0"/>
              <w:jc w:val="center"/>
              <w:keepLines w:val="0"/>
              <w:keepNext w:val="0"/>
              <w:pageBreakBefore w:val="0"/>
              <w:spacing w:after="13"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二、食材要求</w:t>
            </w:r>
            <w:r/>
          </w:p>
        </w:tc>
        <w:tc>
          <w:tcPr>
            <w:tcW w:w="7229" w:type="dxa"/>
            <w:vAlign w:val="top"/>
            <w:textDirection w:val="lrTb"/>
            <w:noWrap w:val="false"/>
          </w:tcPr>
          <w:p>
            <w:pPr>
              <w:pStyle w:val="1089"/>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1.考核食材质量是否符合项目需求的要求，</w:t>
            </w:r>
            <w:r>
              <w:rPr>
                <w:rFonts w:hint="eastAsia" w:ascii="宋体" w:hAnsi="宋体" w:eastAsia="宋体" w:cs="宋体"/>
                <w:b/>
                <w:bCs/>
                <w:sz w:val="21"/>
                <w:szCs w:val="21"/>
              </w:rPr>
              <w:t xml:space="preserve">每发现一个品种不符合要求扣0.5分。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2.考核食材的合格证是否满足项目需求，</w:t>
            </w:r>
            <w:r>
              <w:rPr>
                <w:rFonts w:hint="eastAsia" w:ascii="宋体" w:hAnsi="宋体" w:eastAsia="宋体" w:cs="宋体"/>
                <w:b/>
                <w:bCs/>
                <w:sz w:val="21"/>
                <w:szCs w:val="21"/>
              </w:rPr>
              <w:t xml:space="preserve">每发现一项缺失扣1分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3.打菜时每份菜量少于项目需求规定的量，</w:t>
            </w:r>
            <w:r>
              <w:rPr>
                <w:rFonts w:hint="eastAsia" w:ascii="宋体" w:hAnsi="宋体" w:eastAsia="宋体" w:cs="宋体"/>
                <w:b/>
                <w:bCs/>
                <w:sz w:val="21"/>
                <w:szCs w:val="21"/>
              </w:rPr>
              <w:t xml:space="preserve">每发现一次扣0.5分 </w:t>
            </w:r>
            <w:r/>
          </w:p>
        </w:tc>
        <w:tc>
          <w:tcPr>
            <w:tcW w:w="1286" w:type="dxa"/>
            <w:vAlign w:val="top"/>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5407"/>
        </w:trPr>
        <w:tc>
          <w:tcPr>
            <w:tcW w:w="12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三、食堂规范管理</w:t>
            </w:r>
            <w:r/>
          </w:p>
        </w:tc>
        <w:tc>
          <w:tcPr>
            <w:tcW w:w="7229" w:type="dxa"/>
            <w:vAlign w:val="center"/>
            <w:textDirection w:val="lrTb"/>
            <w:noWrap w:val="false"/>
          </w:tcPr>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1.要求定期对员工进行培训，新上岗的员工要求做到先培训后上岗，发现未经培训直接上岗，</w:t>
            </w:r>
            <w:r>
              <w:rPr>
                <w:rFonts w:hint="eastAsia" w:ascii="宋体" w:hAnsi="宋体" w:eastAsia="宋体" w:cs="宋体"/>
                <w:b/>
                <w:bCs/>
                <w:sz w:val="21"/>
                <w:szCs w:val="21"/>
              </w:rPr>
              <w:t xml:space="preserve">发现一次扣0.5分。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2.员工上班时间不能留长指甲、涂指甲油、戴戒指，经检查发现存在问题，</w:t>
            </w:r>
            <w:r>
              <w:rPr>
                <w:rFonts w:hint="eastAsia" w:ascii="宋体" w:hAnsi="宋体" w:eastAsia="宋体" w:cs="宋体"/>
                <w:b/>
                <w:bCs/>
                <w:sz w:val="21"/>
                <w:szCs w:val="21"/>
              </w:rPr>
              <w:t xml:space="preserve">发现一次扣0.5分。 </w:t>
            </w:r>
            <w:r/>
          </w:p>
          <w:p>
            <w:pPr>
              <w:pStyle w:val="1089"/>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3.员工上班时间没有按要求穿戴工作服、衣帽、穿戴不整洁或穿拖鞋上班，</w:t>
            </w:r>
            <w:r>
              <w:rPr>
                <w:rFonts w:hint="eastAsia" w:ascii="宋体" w:hAnsi="宋体" w:eastAsia="宋体" w:cs="宋体"/>
                <w:b/>
                <w:bCs/>
                <w:sz w:val="21"/>
                <w:szCs w:val="21"/>
              </w:rPr>
              <w:t xml:space="preserve">发现一次扣0.2分。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4.员工戴的工作帽没有按要求遮盖全部头发，</w:t>
            </w:r>
            <w:r>
              <w:rPr>
                <w:rFonts w:hint="eastAsia" w:ascii="宋体" w:hAnsi="宋体" w:eastAsia="宋体" w:cs="宋体"/>
                <w:b/>
                <w:bCs/>
                <w:sz w:val="21"/>
                <w:szCs w:val="21"/>
              </w:rPr>
              <w:t xml:space="preserve">发现一次扣0.2分。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5.发现上班时间工作人员在工作区内吸烟、吃零食、挖鼻孔、对食品打喷嚏等不卫生行为，</w:t>
            </w:r>
            <w:r>
              <w:rPr>
                <w:rFonts w:hint="eastAsia" w:ascii="宋体" w:hAnsi="宋体" w:eastAsia="宋体" w:cs="宋体"/>
                <w:b/>
                <w:bCs/>
                <w:sz w:val="21"/>
                <w:szCs w:val="21"/>
              </w:rPr>
              <w:t xml:space="preserve">发现一次扣0.5分。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6.售饭菜时员工未按要求戴一次性手套及一次性口罩的，</w:t>
            </w:r>
            <w:r>
              <w:rPr>
                <w:rFonts w:hint="eastAsia" w:ascii="宋体" w:hAnsi="宋体" w:eastAsia="宋体" w:cs="宋体"/>
                <w:b/>
                <w:bCs/>
                <w:sz w:val="21"/>
                <w:szCs w:val="21"/>
              </w:rPr>
              <w:t xml:space="preserve">发现一次扣0.2分。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7.当班时串岗或擅自离岗的，</w:t>
            </w:r>
            <w:r>
              <w:rPr>
                <w:rFonts w:hint="eastAsia" w:ascii="宋体" w:hAnsi="宋体" w:eastAsia="宋体" w:cs="宋体"/>
                <w:b/>
                <w:bCs/>
                <w:sz w:val="21"/>
                <w:szCs w:val="21"/>
              </w:rPr>
              <w:t xml:space="preserve">发现一次扣 0.2 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8.工作时间看小说、杂志、打电话聊天，擅自换班、调班，</w:t>
            </w:r>
            <w:r>
              <w:rPr>
                <w:rFonts w:hint="eastAsia" w:ascii="宋体" w:hAnsi="宋体" w:eastAsia="宋体" w:cs="宋体"/>
                <w:b/>
                <w:bCs/>
                <w:sz w:val="21"/>
                <w:szCs w:val="21"/>
              </w:rPr>
              <w:t xml:space="preserve">发现一次扣0.2分。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9.检查发现人数未按投标书承诺到岗的，</w:t>
            </w:r>
            <w:r>
              <w:rPr>
                <w:rFonts w:hint="eastAsia" w:ascii="宋体" w:hAnsi="宋体" w:eastAsia="宋体" w:cs="宋体"/>
                <w:b/>
                <w:bCs/>
                <w:sz w:val="21"/>
                <w:szCs w:val="21"/>
              </w:rPr>
              <w:t xml:space="preserve">发现一次扣0.2分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10.食堂工作人员将就餐人员遗失在餐厅的物品占为己有的，</w:t>
            </w:r>
            <w:r>
              <w:rPr>
                <w:rFonts w:hint="eastAsia" w:ascii="宋体" w:hAnsi="宋体" w:eastAsia="宋体" w:cs="宋体"/>
                <w:b/>
                <w:bCs/>
                <w:sz w:val="21"/>
                <w:szCs w:val="21"/>
              </w:rPr>
              <w:t xml:space="preserve">发现一次扣1分。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11.违反操作规程，故意损坏公共财物设备、工具造成经济损失的，</w:t>
            </w:r>
            <w:r>
              <w:rPr>
                <w:rFonts w:hint="eastAsia" w:ascii="宋体" w:hAnsi="宋体" w:eastAsia="宋体" w:cs="宋体"/>
                <w:b/>
                <w:bCs/>
                <w:sz w:val="21"/>
                <w:szCs w:val="21"/>
              </w:rPr>
              <w:t xml:space="preserve">发现一次扣0.5分。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12.如在菜里每</w:t>
            </w:r>
            <w:r>
              <w:rPr>
                <w:rFonts w:hint="eastAsia" w:ascii="宋体" w:hAnsi="宋体" w:eastAsia="宋体" w:cs="宋体"/>
                <w:b/>
                <w:bCs/>
                <w:sz w:val="21"/>
                <w:szCs w:val="21"/>
              </w:rPr>
              <w:t xml:space="preserve">发现一次头发扣0.5分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13.周末和节假日不关除冰箱外的水龙头，电灯，空调等水电器厨房设备，</w:t>
            </w:r>
            <w:r>
              <w:rPr>
                <w:rFonts w:hint="eastAsia" w:ascii="宋体" w:hAnsi="宋体" w:eastAsia="宋体" w:cs="宋体"/>
                <w:b/>
                <w:bCs/>
                <w:sz w:val="21"/>
                <w:szCs w:val="21"/>
              </w:rPr>
              <w:t xml:space="preserve">每发现一次扣1分</w:t>
            </w:r>
            <w:r/>
          </w:p>
        </w:tc>
        <w:tc>
          <w:tcPr>
            <w:tcW w:w="1286" w:type="dxa"/>
            <w:vAlign w:val="top"/>
            <w:textDirection w:val="lrTb"/>
            <w:noWrap w:val="false"/>
          </w:tcPr>
          <w:p>
            <w:pPr>
              <w:ind w:left="0" w:right="0" w:firstLine="0"/>
              <w:jc w:val="left"/>
              <w:keepLines w:val="0"/>
              <w:keepNext w:val="0"/>
              <w:pageBreakBefore w:val="0"/>
              <w:spacing w:after="819"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Pr>
        <w:tc>
          <w:tcPr>
            <w:tcW w:w="12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四、满意度调查</w:t>
            </w:r>
            <w:r/>
          </w:p>
        </w:tc>
        <w:tc>
          <w:tcPr>
            <w:tcW w:w="7229" w:type="dxa"/>
            <w:vAlign w:val="top"/>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定期在单位内部开展满意度调查，满意度调查有效得分平均分值在85分以下的，</w:t>
            </w:r>
            <w:r>
              <w:rPr>
                <w:rFonts w:hint="eastAsia" w:ascii="宋体" w:hAnsi="宋体" w:eastAsia="宋体" w:cs="宋体"/>
                <w:b/>
                <w:bCs/>
                <w:color w:val="000000"/>
                <w:sz w:val="21"/>
                <w:szCs w:val="21"/>
              </w:rPr>
              <w:t xml:space="preserve">每出现一次扣1分</w:t>
            </w:r>
            <w:r>
              <w:rPr>
                <w:rFonts w:hint="eastAsia" w:ascii="宋体" w:hAnsi="宋体" w:eastAsia="宋体" w:cs="宋体"/>
                <w:color w:val="000000"/>
                <w:sz w:val="21"/>
                <w:szCs w:val="21"/>
              </w:rPr>
              <w:t xml:space="preserve">。</w:t>
            </w:r>
            <w:r/>
          </w:p>
        </w:tc>
        <w:tc>
          <w:tcPr>
            <w:tcW w:w="1286" w:type="dxa"/>
            <w:vAlign w:val="top"/>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90"/>
        </w:trPr>
        <w:tc>
          <w:tcPr>
            <w:gridSpan w:val="2"/>
            <w:tcW w:w="850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扣分合计：</w:t>
            </w:r>
            <w:r/>
          </w:p>
        </w:tc>
        <w:tc>
          <w:tcPr>
            <w:tcW w:w="1286" w:type="dxa"/>
            <w:vAlign w:val="top"/>
            <w:textDirection w:val="lrTb"/>
            <w:noWrap w:val="false"/>
          </w:tcPr>
          <w:p>
            <w:pPr>
              <w:ind w:left="0" w:right="0" w:firstLine="0"/>
              <w:jc w:val="left"/>
              <w:keepLines w:val="0"/>
              <w:keepNext w:val="0"/>
              <w:pageBreakBefore w:val="0"/>
              <w:spacing w:after="16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36"/>
        </w:trPr>
        <w:tc>
          <w:tcPr>
            <w:gridSpan w:val="2"/>
            <w:tcW w:w="85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考核得分：</w:t>
            </w:r>
            <w:r/>
          </w:p>
        </w:tc>
        <w:tc>
          <w:tcPr>
            <w:tcW w:w="1286" w:type="dxa"/>
            <w:vAlign w:val="top"/>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1.每季度考核一次；每季度一个月的10号前支付上季度的费用。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outlineLvl w:val="2"/>
      </w:pPr>
      <w:r/>
      <w:bookmarkStart w:id="193" w:name="_Toc14830"/>
      <w:r>
        <w:rPr>
          <w:rFonts w:hint="eastAsia" w:ascii="宋体" w:hAnsi="宋体" w:eastAsia="宋体" w:cs="宋体"/>
          <w:color w:val="000000"/>
          <w:sz w:val="24"/>
          <w:szCs w:val="24"/>
        </w:rPr>
        <w:t xml:space="preserve">2.季度考核得分为85分（含）以上，全额支付当季度费用；</w:t>
      </w:r>
      <w:bookmarkEnd w:id="193"/>
      <w:r>
        <w:rPr>
          <w:rFonts w:hint="eastAsia" w:ascii="宋体" w:hAnsi="宋体" w:eastAsia="宋体" w:cs="宋体"/>
          <w:color w:val="000000"/>
          <w:sz w:val="24"/>
          <w:szCs w:val="24"/>
        </w:rPr>
        <w:t xml:space="preserve">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3.季度考核得分75分（含）到85分（不含），支付当季费用的97%；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4.季度考核70分（含）到75分（不含），支付当季费用的95%。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5.合同期内累计2次考核得分低于75分的，甲方有权终止合同。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outlineLvl w:val="2"/>
      </w:pPr>
      <w:r/>
      <w:bookmarkStart w:id="194" w:name="_Toc3412"/>
      <w:r>
        <w:rPr>
          <w:rFonts w:hint="eastAsia" w:ascii="宋体" w:hAnsi="宋体" w:eastAsia="宋体" w:cs="宋体"/>
          <w:color w:val="000000"/>
          <w:sz w:val="24"/>
          <w:szCs w:val="24"/>
        </w:rPr>
        <w:t xml:space="preserve">6.每季度考核参与的评分人数不少于单位总人数的50%。</w:t>
      </w:r>
      <w:bookmarkEnd w:id="194"/>
      <w:r>
        <w:rPr>
          <w:rFonts w:hint="eastAsia" w:ascii="宋体" w:hAnsi="宋体" w:eastAsia="宋体" w:cs="宋体"/>
          <w:color w:val="000000"/>
          <w:sz w:val="24"/>
          <w:szCs w:val="24"/>
        </w:rPr>
        <w:t xml:space="preserve"> </w:t>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95" w:name="_Toc21635"/>
      <w:r/>
      <w:bookmarkStart w:id="196" w:name="_Toc10684"/>
      <w:r/>
      <w:bookmarkStart w:id="197" w:name="_Toc19739"/>
      <w:r/>
      <w:bookmarkStart w:id="198" w:name="_Toc5716"/>
      <w:r/>
      <w:bookmarkStart w:id="199" w:name="_Toc28789"/>
      <w:r/>
      <w:bookmarkStart w:id="200" w:name="_Toc20749"/>
      <w:r/>
      <w:bookmarkStart w:id="201" w:name="_Toc256000013"/>
      <w:r>
        <w:rPr>
          <w:rFonts w:hint="eastAsia" w:ascii="宋体" w:hAnsi="宋体" w:eastAsia="宋体" w:cs="宋体"/>
          <w:b/>
          <w:bCs/>
          <w:sz w:val="32"/>
          <w:szCs w:val="32"/>
          <w:highlight w:val="none"/>
          <w:lang w:val="en-US" w:eastAsia="zh-CN" w:bidi="ar-SA"/>
        </w:rPr>
        <w:t xml:space="preserve">评标方法与评标标准</w:t>
      </w:r>
      <w:bookmarkEnd w:id="195"/>
      <w:r/>
      <w:bookmarkEnd w:id="196"/>
      <w:r/>
      <w:bookmarkEnd w:id="197"/>
      <w:r/>
      <w:bookmarkEnd w:id="198"/>
      <w:r/>
      <w:bookmarkEnd w:id="199"/>
      <w:r/>
      <w:bookmarkEnd w:id="200"/>
      <w:r/>
      <w:r/>
    </w:p>
    <w:p>
      <w:pPr>
        <w:numPr>
          <w:ilvl w:val="0"/>
          <w:numId w:val="18"/>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202" w:name="_Toc2578"/>
      <w:r/>
      <w:bookmarkStart w:id="203" w:name="_Toc13020"/>
      <w:r/>
      <w:bookmarkStart w:id="204" w:name="_Toc27727"/>
      <w:r>
        <w:rPr>
          <w:rFonts w:hint="eastAsia" w:ascii="宋体" w:hAnsi="宋体" w:eastAsia="宋体" w:cs="宋体"/>
          <w:b/>
          <w:bCs/>
          <w:sz w:val="24"/>
          <w:szCs w:val="24"/>
          <w:lang w:bidi="ar"/>
        </w:rPr>
        <w:t xml:space="preserve">评标方法与定标原则</w:t>
      </w:r>
      <w:bookmarkEnd w:id="202"/>
      <w:r/>
      <w:bookmarkEnd w:id="203"/>
      <w:r/>
      <w:bookmarkEnd w:id="204"/>
      <w:r>
        <w:rPr>
          <w:rFonts w:hint="eastAsia" w:ascii="宋体" w:hAnsi="宋体" w:eastAsia="宋体" w:cs="宋体"/>
          <w:b/>
          <w:bCs/>
          <w:sz w:val="24"/>
          <w:szCs w:val="24"/>
          <w:lang w:bidi="ar"/>
        </w:rPr>
        <w:t xml:space="preserve"> </w:t>
      </w:r>
      <w:r/>
    </w:p>
    <w:p>
      <w:pPr>
        <w:ind w:firstLine="480"/>
        <w:jc w:val="left"/>
        <w:keepLines w:val="0"/>
        <w:keepNext w:val="0"/>
        <w:pageBreakBefore w:val="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19"/>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205" w:name="_Toc31274"/>
      <w:r/>
      <w:bookmarkStart w:id="206" w:name="_Toc28093"/>
      <w:r/>
      <w:bookmarkStart w:id="207" w:name="_Toc7152"/>
      <w:r>
        <w:rPr>
          <w:rFonts w:hint="eastAsia" w:ascii="宋体" w:hAnsi="宋体" w:eastAsia="宋体" w:cs="宋体"/>
          <w:b/>
          <w:bCs/>
          <w:sz w:val="24"/>
          <w:szCs w:val="24"/>
          <w:lang w:bidi="ar"/>
        </w:rPr>
        <w:t xml:space="preserve">评标标准</w:t>
      </w:r>
      <w:bookmarkEnd w:id="205"/>
      <w:r/>
      <w:bookmarkEnd w:id="206"/>
      <w:r/>
      <w:bookmarkEnd w:id="207"/>
      <w:r>
        <w:rPr>
          <w:rFonts w:hint="eastAsia" w:ascii="宋体" w:hAnsi="宋体" w:eastAsia="宋体" w:cs="宋体"/>
          <w:b/>
          <w:bCs/>
          <w:sz w:val="24"/>
          <w:szCs w:val="24"/>
          <w:lang w:bidi="ar"/>
        </w:rPr>
        <w:t xml:space="preserve"> </w:t>
      </w:r>
      <w:r/>
    </w:p>
    <w:p>
      <w:pPr>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08" w:name="_Toc2526"/>
      <w:r>
        <w:rPr>
          <w:rFonts w:hint="eastAsia" w:ascii="宋体" w:hAnsi="宋体" w:eastAsia="宋体" w:cs="宋体"/>
          <w:b/>
          <w:bCs/>
          <w:sz w:val="24"/>
          <w:szCs w:val="24"/>
        </w:rPr>
        <w:t xml:space="preserve">价格分</w:t>
      </w:r>
      <w:r>
        <w:rPr>
          <w:rFonts w:hint="eastAsia" w:ascii="宋体" w:hAnsi="宋体" w:cs="宋体"/>
          <w:b/>
          <w:bCs/>
          <w:sz w:val="24"/>
          <w:szCs w:val="24"/>
          <w:lang w:val="en-US" w:eastAsia="zh-CN"/>
        </w:rPr>
        <w:t xml:space="preserve">15</w:t>
      </w:r>
      <w:r>
        <w:rPr>
          <w:rFonts w:hint="eastAsia" w:ascii="宋体" w:hAnsi="宋体" w:eastAsia="宋体" w:cs="宋体"/>
          <w:b/>
          <w:bCs/>
          <w:sz w:val="24"/>
          <w:szCs w:val="24"/>
        </w:rPr>
        <w:t xml:space="preserve">分</w:t>
      </w:r>
      <w:bookmarkEnd w:id="208"/>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采用低价优先法计算，即满足招标文件要求且投标价格最低的投标价为评标基准价，其价格分为满分</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分。其它投标人的价格分统一按照下列公式计算：</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%*100（保留二位小数）。</w:t>
      </w:r>
      <w:r/>
    </w:p>
    <w:p>
      <w:pPr>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09" w:name="_Toc26245"/>
      <w:r>
        <w:rPr>
          <w:rFonts w:hint="eastAsia" w:ascii="宋体" w:hAnsi="宋体" w:eastAsia="宋体" w:cs="宋体"/>
          <w:b/>
          <w:bCs/>
          <w:sz w:val="24"/>
          <w:szCs w:val="24"/>
        </w:rPr>
        <w:t xml:space="preserve">服务方案</w:t>
      </w:r>
      <w:r>
        <w:rPr>
          <w:rFonts w:hint="eastAsia" w:ascii="宋体" w:hAnsi="宋体" w:eastAsia="宋体" w:cs="宋体"/>
          <w:b/>
          <w:bCs/>
          <w:sz w:val="24"/>
          <w:szCs w:val="24"/>
          <w:lang w:val="en-US" w:eastAsia="zh-CN"/>
        </w:rPr>
        <w:t xml:space="preserve">57</w:t>
      </w:r>
      <w:r>
        <w:rPr>
          <w:rFonts w:hint="eastAsia" w:ascii="宋体" w:hAnsi="宋体" w:eastAsia="宋体" w:cs="宋体"/>
          <w:b/>
          <w:bCs/>
          <w:sz w:val="24"/>
          <w:szCs w:val="24"/>
        </w:rPr>
        <w:t xml:space="preserve">分</w:t>
      </w:r>
      <w:bookmarkEnd w:id="209"/>
      <w:r/>
      <w:r/>
    </w:p>
    <w:p>
      <w:pPr>
        <w:ind w:left="0"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2.1.内部管理制度</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根据投标人提供的内部管理制度进行综合评定，制度包含但不限于（1）食材卫生安全</w:t>
      </w:r>
      <w:r>
        <w:rPr>
          <w:rFonts w:hint="eastAsia" w:ascii="宋体" w:hAnsi="宋体" w:eastAsia="宋体" w:cs="宋体"/>
          <w:sz w:val="24"/>
          <w:szCs w:val="24"/>
          <w:highlight w:val="none"/>
          <w:lang w:val="en-US" w:eastAsia="zh-CN"/>
        </w:rPr>
        <w:t xml:space="preserve">管理</w:t>
      </w:r>
      <w:r>
        <w:rPr>
          <w:rFonts w:hint="eastAsia" w:ascii="宋体" w:hAnsi="宋体" w:eastAsia="宋体" w:cs="宋体"/>
          <w:sz w:val="24"/>
          <w:szCs w:val="24"/>
          <w:highlight w:val="none"/>
        </w:rPr>
        <w:t xml:space="preserve">（2）质量</w:t>
      </w:r>
      <w:r>
        <w:rPr>
          <w:rFonts w:hint="eastAsia" w:ascii="宋体" w:hAnsi="宋体" w:eastAsia="宋体" w:cs="宋体"/>
          <w:sz w:val="24"/>
          <w:szCs w:val="24"/>
          <w:highlight w:val="none"/>
          <w:lang w:val="en-US" w:eastAsia="zh-CN"/>
        </w:rPr>
        <w:t xml:space="preserve">管理机制</w:t>
      </w:r>
      <w:r>
        <w:rPr>
          <w:rFonts w:hint="eastAsia" w:ascii="宋体" w:hAnsi="宋体" w:eastAsia="宋体" w:cs="宋体"/>
          <w:sz w:val="24"/>
          <w:szCs w:val="24"/>
          <w:highlight w:val="none"/>
        </w:rPr>
        <w:t xml:space="preserve">（3）食材采购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配送业务操作流程规范制度（4）内部考核制度（5）服务质量监督制度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服务人员培训制度</w:t>
      </w:r>
      <w:r>
        <w:rPr>
          <w:rFonts w:hint="eastAsia" w:ascii="宋体" w:hAnsi="宋体" w:eastAsia="宋体" w:cs="宋体"/>
          <w:sz w:val="24"/>
          <w:szCs w:val="24"/>
          <w:highlight w:val="none"/>
        </w:rPr>
        <w:t xml:space="preserve">；</w:t>
      </w:r>
      <w:r>
        <w:rPr>
          <w:rStyle w:val="1021"/>
          <w:rFonts w:ascii="宋体" w:hAnsi="宋体" w:eastAsia="宋体" w:cs="宋体"/>
          <w:b w:val="0"/>
          <w:color w:val="000000"/>
          <w:spacing w:val="7"/>
          <w:sz w:val="24"/>
          <w:highlight w:val="none"/>
        </w:rPr>
        <w:t xml:space="preserve">方案完全包含上述内容且内容有实质性意义，满足项目需求的得</w:t>
      </w:r>
      <w:r>
        <w:rPr>
          <w:rStyle w:val="1021"/>
          <w:rFonts w:hint="eastAsia" w:ascii="宋体" w:hAnsi="宋体" w:eastAsia="宋体" w:cs="宋体"/>
          <w:b w:val="0"/>
          <w:color w:val="000000"/>
          <w:spacing w:val="7"/>
          <w:sz w:val="24"/>
          <w:highlight w:val="none"/>
          <w:lang w:val="en-US" w:eastAsia="zh-CN"/>
        </w:rPr>
        <w:t xml:space="preserve">10</w:t>
      </w:r>
      <w:r>
        <w:rPr>
          <w:rStyle w:val="1021"/>
          <w:rFonts w:ascii="宋体" w:hAnsi="宋体" w:eastAsia="宋体" w:cs="宋体"/>
          <w:b w:val="0"/>
          <w:color w:val="000000"/>
          <w:spacing w:val="7"/>
          <w:sz w:val="24"/>
          <w:highlight w:val="none"/>
        </w:rPr>
        <w:t xml:space="preserve">分；方案内有部分缺少或部分内容无实质性意义，但缺少量不满2项上述内容的得</w:t>
      </w:r>
      <w:r>
        <w:rPr>
          <w:rStyle w:val="1021"/>
          <w:rFonts w:hint="eastAsia" w:ascii="宋体" w:hAnsi="宋体" w:eastAsia="宋体" w:cs="宋体"/>
          <w:b w:val="0"/>
          <w:color w:val="000000"/>
          <w:spacing w:val="7"/>
          <w:sz w:val="24"/>
          <w:highlight w:val="none"/>
          <w:lang w:val="en-US" w:eastAsia="zh-CN"/>
        </w:rPr>
        <w:t xml:space="preserve">7</w:t>
      </w:r>
      <w:r>
        <w:rPr>
          <w:rStyle w:val="1021"/>
          <w:rFonts w:ascii="宋体" w:hAnsi="宋体" w:eastAsia="宋体" w:cs="宋体"/>
          <w:b w:val="0"/>
          <w:color w:val="000000"/>
          <w:spacing w:val="7"/>
          <w:sz w:val="24"/>
          <w:highlight w:val="none"/>
        </w:rPr>
        <w:t xml:space="preserve">分；方案内有缺少或部分内容无实质性意义，缺少量大于等于2项上述内容的，只能满足基本要求得</w:t>
      </w:r>
      <w:r>
        <w:rPr>
          <w:rStyle w:val="1021"/>
          <w:rFonts w:hint="eastAsia" w:ascii="宋体" w:hAnsi="宋体" w:eastAsia="宋体" w:cs="宋体"/>
          <w:b w:val="0"/>
          <w:color w:val="000000"/>
          <w:spacing w:val="7"/>
          <w:sz w:val="24"/>
          <w:highlight w:val="none"/>
          <w:lang w:val="en-US" w:eastAsia="zh-CN"/>
        </w:rPr>
        <w:t xml:space="preserve">5</w:t>
      </w:r>
      <w:r>
        <w:rPr>
          <w:rStyle w:val="1021"/>
          <w:rFonts w:ascii="宋体" w:hAnsi="宋体" w:eastAsia="宋体" w:cs="宋体"/>
          <w:b w:val="0"/>
          <w:color w:val="000000"/>
          <w:spacing w:val="7"/>
          <w:sz w:val="24"/>
          <w:highlight w:val="none"/>
        </w:rPr>
        <w:t xml:space="preserve">分，未提供方案说明或内容完全脱离本项目内容的此项不得分。</w:t>
      </w:r>
      <w:r/>
    </w:p>
    <w:p>
      <w:pPr>
        <w:ind w:firstLine="480"/>
        <w:keepLines w:val="0"/>
        <w:keepNext w:val="0"/>
        <w:pageBreakBefore w:val="0"/>
        <w:spacing w:line="440" w:lineRule="exact"/>
        <w:rPr>
          <w:rFonts w:ascii="宋体" w:hAnsi="宋体" w:eastAsia="宋体" w:cs="宋体"/>
          <w:sz w:val="24"/>
          <w:szCs w:val="24"/>
          <w:lang w:val="en-US" w:eastAsia="zh-CN"/>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服务质量保障措施：</w:t>
      </w:r>
      <w:r/>
    </w:p>
    <w:p>
      <w:pPr>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根据投标人提供的服务方案进行综合评定，方案包含但不限于（1）食材货源及时令蔬菜供应保障措施（2）食材安全、卫生、无毒无公害保障措施（3）食堂卫生防疫保障措施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食材配送及时及运输安全保障措施（</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）鱼肉水产蔬菜新鲜度及质保期保障措施；（6）供货价格不高于市场平均价保障措施（7）微利经营方案及保障措施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b w:val="0"/>
          <w:bCs/>
          <w:color w:val="000000"/>
          <w:sz w:val="24"/>
          <w:szCs w:val="24"/>
          <w:highlight w:val="none"/>
        </w:rPr>
        <w:t xml:space="preserve">季度考核的质量保障方案及季度考评低于75分的整改方案</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sz w:val="24"/>
          <w:szCs w:val="24"/>
          <w:highlight w:val="none"/>
        </w:rPr>
        <w:t xml:space="preserve">针对本项目的创新优惠措施</w:t>
      </w:r>
      <w:r>
        <w:rPr>
          <w:rFonts w:hint="eastAsia" w:ascii="宋体" w:hAnsi="宋体" w:eastAsia="宋体" w:cs="宋体"/>
          <w:sz w:val="24"/>
          <w:szCs w:val="24"/>
          <w:highlight w:val="none"/>
          <w:lang w:eastAsia="zh-CN"/>
        </w:rPr>
        <w:t xml:space="preserve">。</w:t>
      </w:r>
      <w:r>
        <w:rPr>
          <w:rStyle w:val="1021"/>
          <w:rFonts w:hint="eastAsia" w:ascii="宋体" w:hAnsi="宋体" w:eastAsia="宋体" w:cs="宋体"/>
          <w:b w:val="0"/>
          <w:color w:val="000000"/>
          <w:spacing w:val="7"/>
          <w:sz w:val="24"/>
          <w:szCs w:val="24"/>
          <w:highlight w:val="none"/>
        </w:rPr>
        <w:t xml:space="preserve">方案完全包含上述内容且内容有实质性意义，满足项目需求的得</w:t>
      </w:r>
      <w:r>
        <w:rPr>
          <w:rStyle w:val="1021"/>
          <w:rFonts w:hint="eastAsia" w:ascii="宋体" w:hAnsi="宋体" w:eastAsia="宋体" w:cs="宋体"/>
          <w:b w:val="0"/>
          <w:color w:val="000000"/>
          <w:spacing w:val="7"/>
          <w:sz w:val="24"/>
          <w:szCs w:val="24"/>
          <w:highlight w:val="none"/>
          <w:lang w:val="en-US" w:eastAsia="zh-CN"/>
        </w:rPr>
        <w:t xml:space="preserve">17</w:t>
      </w:r>
      <w:r>
        <w:rPr>
          <w:rStyle w:val="1021"/>
          <w:rFonts w:hint="eastAsia" w:ascii="宋体" w:hAnsi="宋体" w:eastAsia="宋体" w:cs="宋体"/>
          <w:b w:val="0"/>
          <w:color w:val="000000"/>
          <w:spacing w:val="7"/>
          <w:sz w:val="24"/>
          <w:szCs w:val="24"/>
          <w:highlight w:val="none"/>
        </w:rPr>
        <w:t xml:space="preserve">分；方案内有部分缺少或部分内容无实质性意义，但缺少量不满2项上述内容的得</w:t>
      </w:r>
      <w:r>
        <w:rPr>
          <w:rStyle w:val="1021"/>
          <w:rFonts w:hint="eastAsia" w:ascii="宋体" w:hAnsi="宋体" w:eastAsia="宋体" w:cs="宋体"/>
          <w:b w:val="0"/>
          <w:color w:val="000000"/>
          <w:spacing w:val="7"/>
          <w:sz w:val="24"/>
          <w:szCs w:val="24"/>
          <w:highlight w:val="none"/>
          <w:lang w:val="en-US" w:eastAsia="zh-CN"/>
        </w:rPr>
        <w:t xml:space="preserve">14</w:t>
      </w:r>
      <w:r>
        <w:rPr>
          <w:rStyle w:val="1021"/>
          <w:rFonts w:hint="eastAsia" w:ascii="宋体" w:hAnsi="宋体" w:eastAsia="宋体" w:cs="宋体"/>
          <w:b w:val="0"/>
          <w:color w:val="000000"/>
          <w:spacing w:val="7"/>
          <w:sz w:val="24"/>
          <w:szCs w:val="24"/>
          <w:highlight w:val="none"/>
        </w:rPr>
        <w:t xml:space="preserve">分；方案内有缺少或部分内容无实质性意义，缺少量大于等于2项上述内容的，只能满足基本要求得</w:t>
      </w:r>
      <w:r>
        <w:rPr>
          <w:rStyle w:val="1021"/>
          <w:rFonts w:hint="eastAsia" w:ascii="宋体" w:hAnsi="宋体" w:eastAsia="宋体" w:cs="宋体"/>
          <w:b w:val="0"/>
          <w:color w:val="000000"/>
          <w:spacing w:val="7"/>
          <w:sz w:val="24"/>
          <w:szCs w:val="24"/>
          <w:highlight w:val="none"/>
          <w:lang w:val="en-US" w:eastAsia="zh-CN"/>
        </w:rPr>
        <w:t xml:space="preserve">11</w:t>
      </w:r>
      <w:r>
        <w:rPr>
          <w:rStyle w:val="1021"/>
          <w:rFonts w:hint="eastAsia" w:ascii="宋体" w:hAnsi="宋体" w:eastAsia="宋体" w:cs="宋体"/>
          <w:b w:val="0"/>
          <w:color w:val="000000"/>
          <w:spacing w:val="7"/>
          <w:sz w:val="24"/>
          <w:szCs w:val="24"/>
          <w:highlight w:val="none"/>
        </w:rPr>
        <w:t xml:space="preserve">分，未提供方案说明或内容完全脱离本项目内容的此项不得分。</w:t>
      </w:r>
      <w:r/>
    </w:p>
    <w:p>
      <w:pPr>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2.3食堂现场管理方案</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根据投标人提供的食堂现场管理方案进行综合评定，</w:t>
      </w:r>
      <w:r>
        <w:rPr>
          <w:rFonts w:hint="eastAsia" w:ascii="宋体" w:hAnsi="宋体" w:eastAsia="宋体" w:cs="宋体"/>
          <w:sz w:val="24"/>
          <w:szCs w:val="24"/>
          <w:highlight w:val="none"/>
        </w:rPr>
        <w:t xml:space="preserve">方案包含但不限于（</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食品</w:t>
      </w:r>
      <w:r>
        <w:rPr>
          <w:rFonts w:hint="eastAsia" w:ascii="宋体" w:hAnsi="宋体" w:eastAsia="宋体" w:cs="宋体"/>
          <w:sz w:val="24"/>
          <w:szCs w:val="24"/>
          <w:highlight w:val="none"/>
        </w:rPr>
        <w:t xml:space="preserve">留样管理及溯源管理方案（</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）与采购人的日常</w:t>
      </w:r>
      <w:r>
        <w:rPr>
          <w:rFonts w:hint="eastAsia" w:ascii="宋体" w:hAnsi="宋体" w:eastAsia="宋体" w:cs="宋体"/>
          <w:sz w:val="24"/>
          <w:szCs w:val="24"/>
          <w:highlight w:val="none"/>
          <w:lang w:val="en-US" w:eastAsia="zh-CN"/>
        </w:rPr>
        <w:t xml:space="preserve">配合以及</w:t>
      </w:r>
      <w:r>
        <w:rPr>
          <w:rFonts w:hint="eastAsia" w:ascii="宋体" w:hAnsi="宋体" w:eastAsia="宋体" w:cs="宋体"/>
          <w:sz w:val="24"/>
          <w:szCs w:val="24"/>
          <w:highlight w:val="none"/>
        </w:rPr>
        <w:t xml:space="preserve">沟通方案（</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食堂运营人员培训及管理方案(4)食堂厨房设施设备的日常使用及维护管理方案。</w:t>
      </w:r>
      <w:r>
        <w:rPr>
          <w:rStyle w:val="1021"/>
          <w:rFonts w:ascii="宋体" w:hAnsi="宋体" w:eastAsia="宋体" w:cs="宋体"/>
          <w:b w:val="0"/>
          <w:color w:val="000000"/>
          <w:spacing w:val="7"/>
          <w:sz w:val="24"/>
          <w:highlight w:val="none"/>
        </w:rPr>
        <w:t xml:space="preserve">方案完全包含上述内容且内容有实质性意义，满足项目需求的得</w:t>
      </w:r>
      <w:r>
        <w:rPr>
          <w:rStyle w:val="1021"/>
          <w:rFonts w:hint="eastAsia" w:ascii="宋体" w:hAnsi="宋体" w:eastAsia="宋体" w:cs="宋体"/>
          <w:b w:val="0"/>
          <w:color w:val="000000"/>
          <w:spacing w:val="7"/>
          <w:sz w:val="24"/>
          <w:highlight w:val="none"/>
          <w:lang w:val="en-US" w:eastAsia="zh-CN"/>
        </w:rPr>
        <w:t xml:space="preserve">17</w:t>
      </w:r>
      <w:r>
        <w:rPr>
          <w:rStyle w:val="1021"/>
          <w:rFonts w:ascii="宋体" w:hAnsi="宋体" w:eastAsia="宋体" w:cs="宋体"/>
          <w:b w:val="0"/>
          <w:color w:val="000000"/>
          <w:spacing w:val="7"/>
          <w:sz w:val="24"/>
          <w:highlight w:val="none"/>
        </w:rPr>
        <w:t xml:space="preserve">分；方案内有部分缺少或部分内容无实质性意义，但缺少量不满2项上述内容的得</w:t>
      </w:r>
      <w:r>
        <w:rPr>
          <w:rStyle w:val="1021"/>
          <w:rFonts w:hint="eastAsia" w:ascii="宋体" w:hAnsi="宋体" w:eastAsia="宋体" w:cs="宋体"/>
          <w:b w:val="0"/>
          <w:color w:val="000000"/>
          <w:spacing w:val="7"/>
          <w:sz w:val="24"/>
          <w:highlight w:val="none"/>
          <w:lang w:val="en-US" w:eastAsia="zh-CN"/>
        </w:rPr>
        <w:t xml:space="preserve">14</w:t>
      </w:r>
      <w:r>
        <w:rPr>
          <w:rStyle w:val="1021"/>
          <w:rFonts w:ascii="宋体" w:hAnsi="宋体" w:eastAsia="宋体" w:cs="宋体"/>
          <w:b w:val="0"/>
          <w:color w:val="000000"/>
          <w:spacing w:val="7"/>
          <w:sz w:val="24"/>
          <w:highlight w:val="none"/>
        </w:rPr>
        <w:t xml:space="preserve">分；方案内有缺少或部分内容无实质性意义，缺少量大于等于2项上述内容的，只能满足基本要求得</w:t>
      </w:r>
      <w:r>
        <w:rPr>
          <w:rStyle w:val="1021"/>
          <w:rFonts w:hint="eastAsia" w:ascii="宋体" w:hAnsi="宋体" w:eastAsia="宋体" w:cs="宋体"/>
          <w:b w:val="0"/>
          <w:color w:val="000000"/>
          <w:spacing w:val="7"/>
          <w:sz w:val="24"/>
          <w:highlight w:val="none"/>
          <w:lang w:val="en-US" w:eastAsia="zh-CN"/>
        </w:rPr>
        <w:t xml:space="preserve">11</w:t>
      </w:r>
      <w:r>
        <w:rPr>
          <w:rStyle w:val="1021"/>
          <w:rFonts w:ascii="宋体" w:hAnsi="宋体" w:eastAsia="宋体" w:cs="宋体"/>
          <w:b w:val="0"/>
          <w:color w:val="000000"/>
          <w:spacing w:val="7"/>
          <w:sz w:val="24"/>
          <w:highlight w:val="none"/>
        </w:rPr>
        <w:t xml:space="preserve">分，未提供方案说明或内容完全脱离本项目内容的此项不得分。</w:t>
      </w:r>
      <w:r/>
    </w:p>
    <w:p>
      <w:pPr>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.应急处理方案</w:t>
      </w:r>
      <w:r/>
    </w:p>
    <w:p>
      <w:pPr>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投标提供的应急处理方案进行综合评定，方案包含但不限于（1）针对食品流通环节过程可能会出现的问题（如仓储、储运、货柜达不到标准致使食品变得不合格）作出的应急处理方案（2）针对采购人临时提出应急供货</w:t>
      </w:r>
      <w:r>
        <w:rPr>
          <w:rFonts w:hint="eastAsia" w:ascii="宋体" w:hAnsi="宋体" w:eastAsia="宋体" w:cs="宋体"/>
          <w:sz w:val="24"/>
          <w:szCs w:val="24"/>
          <w:highlight w:val="none"/>
          <w:lang w:val="en-US" w:eastAsia="zh-CN"/>
        </w:rPr>
        <w:t xml:space="preserve">以及</w:t>
      </w:r>
      <w:r>
        <w:rPr>
          <w:rFonts w:hint="eastAsia" w:ascii="宋体" w:hAnsi="宋体" w:eastAsia="宋体" w:cs="宋体"/>
          <w:sz w:val="24"/>
          <w:szCs w:val="24"/>
          <w:highlight w:val="none"/>
        </w:rPr>
        <w:t xml:space="preserve">响应时间承诺（</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针对临时接待</w:t>
      </w:r>
      <w:r>
        <w:rPr>
          <w:rFonts w:hint="eastAsia" w:ascii="宋体" w:hAnsi="宋体" w:eastAsia="宋体" w:cs="宋体"/>
          <w:sz w:val="24"/>
          <w:szCs w:val="24"/>
          <w:highlight w:val="none"/>
        </w:rPr>
        <w:t xml:space="preserve">需求的处理方案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发生紧急情况</w:t>
      </w:r>
      <w:r>
        <w:rPr>
          <w:rFonts w:hint="eastAsia" w:ascii="宋体" w:hAnsi="宋体" w:eastAsia="宋体" w:cs="宋体"/>
          <w:sz w:val="24"/>
          <w:szCs w:val="24"/>
          <w:highlight w:val="none"/>
          <w:lang w:eastAsia="zh-CN"/>
        </w:rPr>
        <w:t xml:space="preserve">：</w:t>
      </w:r>
      <w:r>
        <w:rPr>
          <w:rFonts w:hint="eastAsia" w:ascii="宋体" w:hAnsi="宋体" w:eastAsia="宋体" w:cs="宋体"/>
          <w:b w:val="0"/>
          <w:bCs/>
          <w:color w:val="000000"/>
          <w:sz w:val="24"/>
          <w:szCs w:val="24"/>
          <w:highlight w:val="none"/>
        </w:rPr>
        <w:t xml:space="preserve">出现食物中毒、用餐人员投诉、消防事故等紧急情况</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应急预备方案。</w:t>
      </w:r>
      <w:r>
        <w:rPr>
          <w:rStyle w:val="1021"/>
          <w:rFonts w:ascii="宋体" w:hAnsi="宋体" w:eastAsia="宋体" w:cs="宋体"/>
          <w:b w:val="0"/>
          <w:color w:val="000000"/>
          <w:spacing w:val="7"/>
          <w:sz w:val="24"/>
          <w:highlight w:val="none"/>
        </w:rPr>
        <w:t xml:space="preserve">方案完全包含上述内容且内容有实质性意义，满足项目需求的得</w:t>
      </w:r>
      <w:r>
        <w:rPr>
          <w:rStyle w:val="1021"/>
          <w:rFonts w:hint="eastAsia" w:ascii="宋体" w:hAnsi="宋体" w:eastAsia="宋体" w:cs="宋体"/>
          <w:b w:val="0"/>
          <w:color w:val="000000"/>
          <w:spacing w:val="7"/>
          <w:sz w:val="24"/>
          <w:highlight w:val="none"/>
          <w:lang w:val="en-US" w:eastAsia="zh-CN"/>
        </w:rPr>
        <w:t xml:space="preserve">13</w:t>
      </w:r>
      <w:r>
        <w:rPr>
          <w:rStyle w:val="1021"/>
          <w:rFonts w:ascii="宋体" w:hAnsi="宋体" w:eastAsia="宋体" w:cs="宋体"/>
          <w:b w:val="0"/>
          <w:color w:val="000000"/>
          <w:spacing w:val="7"/>
          <w:sz w:val="24"/>
          <w:highlight w:val="none"/>
        </w:rPr>
        <w:t xml:space="preserve">分；方案内有部分缺少或部分内容无实质性意义，但缺少量不满2项上述内容的得</w:t>
      </w:r>
      <w:r>
        <w:rPr>
          <w:rStyle w:val="1021"/>
          <w:rFonts w:hint="eastAsia" w:ascii="宋体" w:hAnsi="宋体" w:eastAsia="宋体" w:cs="宋体"/>
          <w:b w:val="0"/>
          <w:color w:val="000000"/>
          <w:spacing w:val="7"/>
          <w:sz w:val="24"/>
          <w:highlight w:val="none"/>
          <w:lang w:val="en-US" w:eastAsia="zh-CN"/>
        </w:rPr>
        <w:t xml:space="preserve">10</w:t>
      </w:r>
      <w:r>
        <w:rPr>
          <w:rStyle w:val="1021"/>
          <w:rFonts w:ascii="宋体" w:hAnsi="宋体" w:eastAsia="宋体" w:cs="宋体"/>
          <w:b w:val="0"/>
          <w:color w:val="000000"/>
          <w:spacing w:val="7"/>
          <w:sz w:val="24"/>
          <w:highlight w:val="none"/>
        </w:rPr>
        <w:t xml:space="preserve">分；方案内有缺少或部分内容无实质性意义，缺少量大于等于2项上述内容的，只能满足基本要求得</w:t>
      </w:r>
      <w:r>
        <w:rPr>
          <w:rStyle w:val="1021"/>
          <w:rFonts w:hint="eastAsia" w:ascii="宋体" w:hAnsi="宋体" w:eastAsia="宋体" w:cs="宋体"/>
          <w:b w:val="0"/>
          <w:color w:val="000000"/>
          <w:spacing w:val="7"/>
          <w:sz w:val="24"/>
          <w:highlight w:val="none"/>
          <w:lang w:val="en-US" w:eastAsia="zh-CN"/>
        </w:rPr>
        <w:t xml:space="preserve">7</w:t>
      </w:r>
      <w:r>
        <w:rPr>
          <w:rStyle w:val="1021"/>
          <w:rFonts w:ascii="宋体" w:hAnsi="宋体" w:eastAsia="宋体" w:cs="宋体"/>
          <w:b w:val="0"/>
          <w:color w:val="000000"/>
          <w:spacing w:val="7"/>
          <w:sz w:val="24"/>
          <w:highlight w:val="none"/>
        </w:rPr>
        <w:t xml:space="preserve">分，未提供方案说明或内容完全脱离本项目内容的此项不得分。</w:t>
      </w:r>
      <w:r/>
    </w:p>
    <w:p>
      <w:pPr>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10" w:name="_Toc20204"/>
      <w:r>
        <w:rPr>
          <w:rFonts w:hint="eastAsia" w:ascii="宋体" w:hAnsi="宋体" w:eastAsia="宋体" w:cs="宋体"/>
          <w:b/>
          <w:bCs/>
          <w:sz w:val="24"/>
          <w:szCs w:val="24"/>
        </w:rPr>
        <w:t xml:space="preserve">人员配备</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分</w:t>
      </w:r>
      <w:bookmarkEnd w:id="210"/>
      <w:r>
        <w:rPr>
          <w:rFonts w:hint="eastAsia" w:ascii="宋体" w:hAnsi="宋体" w:eastAsia="宋体" w:cs="宋体"/>
          <w:b/>
          <w:bCs/>
          <w:sz w:val="24"/>
          <w:szCs w:val="24"/>
        </w:rPr>
        <w:t xml:space="preserve">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3.1.厨师长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拟派本项目厨师长具有中式烹调师国家职业资格</w:t>
      </w:r>
      <w:r>
        <w:rPr>
          <w:rFonts w:hint="eastAsia" w:ascii="宋体" w:hAnsi="宋体" w:eastAsia="宋体" w:cs="宋体"/>
          <w:sz w:val="24"/>
          <w:szCs w:val="24"/>
          <w:lang w:val="en-US" w:eastAsia="zh-CN"/>
        </w:rPr>
        <w:t xml:space="preserve">五或四</w:t>
      </w:r>
      <w:r>
        <w:rPr>
          <w:rFonts w:hint="eastAsia" w:ascii="宋体" w:hAnsi="宋体" w:eastAsia="宋体" w:cs="宋体"/>
          <w:sz w:val="24"/>
          <w:szCs w:val="24"/>
        </w:rPr>
        <w:t xml:space="preserve">级证书的，得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分；具有中式烹调师国家职业资格</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级证书的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分；具有中式烹调师国家职业资格</w:t>
      </w:r>
      <w:r>
        <w:rPr>
          <w:rFonts w:hint="eastAsia" w:ascii="宋体" w:hAnsi="宋体" w:eastAsia="宋体" w:cs="宋体"/>
          <w:sz w:val="24"/>
          <w:szCs w:val="24"/>
          <w:highlight w:val="none"/>
          <w:lang w:val="en-US" w:eastAsia="zh-CN"/>
        </w:rPr>
        <w:t xml:space="preserve">二级及以上</w:t>
      </w:r>
      <w:r>
        <w:rPr>
          <w:rFonts w:hint="eastAsia" w:ascii="宋体" w:hAnsi="宋体" w:eastAsia="宋体" w:cs="宋体"/>
          <w:sz w:val="24"/>
          <w:szCs w:val="24"/>
          <w:highlight w:val="none"/>
        </w:rPr>
        <w:t xml:space="preserve">级证书的，得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分。（请在投标文件中提供相关</w:t>
      </w:r>
      <w:r>
        <w:rPr>
          <w:rFonts w:hint="eastAsia" w:ascii="宋体" w:hAnsi="宋体" w:eastAsia="宋体" w:cs="宋体"/>
          <w:sz w:val="24"/>
          <w:szCs w:val="24"/>
          <w:highlight w:val="none"/>
          <w:lang w:val="en-US" w:eastAsia="zh-CN"/>
        </w:rPr>
        <w:t xml:space="preserve">证书并提供</w:t>
      </w:r>
      <w:r>
        <w:rPr>
          <w:rFonts w:hint="eastAsia" w:ascii="宋体" w:hAnsi="宋体" w:eastAsia="宋体" w:cs="宋体"/>
          <w:sz w:val="24"/>
          <w:szCs w:val="24"/>
          <w:highlight w:val="none"/>
        </w:rPr>
        <w:t xml:space="preserve">为其缴纳</w:t>
      </w:r>
      <w:r>
        <w:rPr>
          <w:rFonts w:hint="eastAsia" w:ascii="宋体" w:hAnsi="宋体" w:eastAsia="宋体" w:cs="宋体"/>
          <w:sz w:val="24"/>
          <w:szCs w:val="24"/>
          <w:highlight w:val="none"/>
          <w:lang w:val="en-US" w:eastAsia="zh-CN"/>
        </w:rPr>
        <w:t xml:space="preserve">近三个月的</w:t>
      </w:r>
      <w:r>
        <w:rPr>
          <w:rFonts w:hint="eastAsia" w:ascii="宋体" w:hAnsi="宋体" w:eastAsia="宋体" w:cs="宋体"/>
          <w:sz w:val="24"/>
          <w:szCs w:val="24"/>
          <w:highlight w:val="none"/>
        </w:rPr>
        <w:t xml:space="preserve">社</w:t>
      </w:r>
      <w:r>
        <w:rPr>
          <w:rFonts w:hint="eastAsia" w:ascii="宋体" w:hAnsi="宋体" w:eastAsia="宋体" w:cs="宋体"/>
          <w:sz w:val="24"/>
          <w:szCs w:val="24"/>
        </w:rPr>
        <w:t xml:space="preserve">保缴纳证明，不提供不得分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.检测人员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投标人拟投入本项目人员有经过</w:t>
      </w:r>
      <w:r>
        <w:rPr>
          <w:rFonts w:hint="eastAsia" w:ascii="宋体" w:hAnsi="宋体" w:eastAsia="宋体" w:cs="宋体"/>
          <w:sz w:val="24"/>
          <w:szCs w:val="24"/>
          <w:lang w:val="en-US" w:eastAsia="zh-CN"/>
        </w:rPr>
        <w:t xml:space="preserve">食品</w:t>
      </w:r>
      <w:r>
        <w:rPr>
          <w:rFonts w:hint="eastAsia" w:ascii="宋体" w:hAnsi="宋体" w:eastAsia="宋体" w:cs="宋体"/>
          <w:sz w:val="24"/>
          <w:szCs w:val="24"/>
        </w:rPr>
        <w:t xml:space="preserve">专业快检培训并取的培训合格证书的，得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提供相关证书</w:t>
      </w:r>
      <w:r>
        <w:rPr>
          <w:rFonts w:hint="eastAsia" w:ascii="宋体" w:hAnsi="宋体" w:eastAsia="宋体" w:cs="宋体"/>
          <w:sz w:val="24"/>
          <w:szCs w:val="24"/>
          <w:lang w:val="en-US" w:eastAsia="zh-CN"/>
        </w:rPr>
        <w:t xml:space="preserve">证明材料</w:t>
      </w:r>
      <w:r>
        <w:rPr>
          <w:rFonts w:hint="eastAsia" w:ascii="宋体" w:hAnsi="宋体" w:eastAsia="宋体" w:cs="宋体"/>
          <w:sz w:val="24"/>
          <w:szCs w:val="24"/>
        </w:rPr>
        <w:t xml:space="preserve">及投标人为其缴纳近三个月的社保证明材料，</w:t>
      </w:r>
      <w:r>
        <w:rPr>
          <w:rFonts w:hint="eastAsia" w:ascii="宋体" w:hAnsi="宋体" w:eastAsia="宋体" w:cs="宋体"/>
          <w:sz w:val="24"/>
          <w:szCs w:val="24"/>
          <w:lang w:val="en-US" w:eastAsia="zh-CN"/>
        </w:rPr>
        <w:t xml:space="preserve">不提供</w:t>
      </w:r>
      <w:r>
        <w:rPr>
          <w:rFonts w:hint="eastAsia" w:ascii="宋体" w:hAnsi="宋体" w:eastAsia="宋体" w:cs="宋体"/>
          <w:sz w:val="24"/>
          <w:szCs w:val="24"/>
        </w:rPr>
        <w:t xml:space="preserve">不得分。</w:t>
      </w:r>
      <w:r/>
    </w:p>
    <w:p>
      <w:pPr>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11" w:name="_Toc1421"/>
      <w:r>
        <w:rPr>
          <w:rFonts w:hint="eastAsia" w:ascii="宋体" w:hAnsi="宋体" w:eastAsia="宋体" w:cs="宋体"/>
          <w:b/>
          <w:bCs/>
          <w:sz w:val="24"/>
          <w:szCs w:val="24"/>
        </w:rPr>
        <w:t xml:space="preserve">履约能力</w:t>
      </w:r>
      <w:r>
        <w:rPr>
          <w:rFonts w:hint="eastAsia" w:ascii="宋体" w:hAnsi="宋体" w:eastAsia="宋体" w:cs="宋体"/>
          <w:b/>
          <w:bCs/>
          <w:sz w:val="24"/>
          <w:szCs w:val="24"/>
          <w:lang w:val="en-US" w:eastAsia="zh-CN"/>
        </w:rPr>
        <w:t xml:space="preserve">22</w:t>
      </w:r>
      <w:r>
        <w:rPr>
          <w:rFonts w:hint="eastAsia" w:ascii="宋体" w:hAnsi="宋体" w:eastAsia="宋体" w:cs="宋体"/>
          <w:b/>
          <w:bCs/>
          <w:sz w:val="24"/>
          <w:szCs w:val="24"/>
        </w:rPr>
        <w:t xml:space="preserve">分</w:t>
      </w:r>
      <w:bookmarkEnd w:id="211"/>
      <w:r>
        <w:rPr>
          <w:rFonts w:hint="eastAsia" w:ascii="宋体" w:hAnsi="宋体" w:eastAsia="宋体" w:cs="宋体"/>
          <w:b/>
          <w:bCs/>
          <w:sz w:val="24"/>
          <w:szCs w:val="24"/>
        </w:rPr>
        <w:t xml:space="preserve">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.1.类似业绩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投标人2021年以来（以合同签订日期为准）承接过类似项目业绩的，有一个得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分，最多得</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提供</w:t>
      </w:r>
      <w:r>
        <w:rPr>
          <w:rStyle w:val="1021"/>
          <w:rFonts w:ascii="宋体" w:hAnsi="宋体" w:eastAsia="宋体" w:cs="宋体"/>
          <w:b w:val="0"/>
          <w:color w:val="000000"/>
          <w:spacing w:val="7"/>
          <w:sz w:val="24"/>
        </w:rPr>
        <w:t xml:space="preserve">合同</w:t>
      </w:r>
      <w:r>
        <w:rPr>
          <w:rStyle w:val="1021"/>
          <w:rFonts w:hint="eastAsia" w:ascii="宋体" w:hAnsi="宋体" w:eastAsia="宋体" w:cs="宋体"/>
          <w:b w:val="0"/>
          <w:color w:val="000000"/>
          <w:spacing w:val="7"/>
          <w:sz w:val="24"/>
          <w:lang w:val="en-US" w:eastAsia="zh-CN"/>
        </w:rPr>
        <w:t xml:space="preserve">证明材料</w:t>
      </w:r>
      <w:r>
        <w:rPr>
          <w:rStyle w:val="1021"/>
          <w:rFonts w:ascii="宋体" w:hAnsi="宋体" w:eastAsia="宋体" w:cs="宋体"/>
          <w:b w:val="0"/>
          <w:color w:val="000000"/>
          <w:spacing w:val="7"/>
          <w:sz w:val="24"/>
        </w:rPr>
        <w:t xml:space="preserve">，须反映出相关内容，如不能反映，须提供其他材料予以佐证，不提供不得分。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.2.食品安全责任险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投标人投保食品安全责任险且单次事故赔偿金额小于等于200万元的得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单次事故赔偿金额200万元至500万元(含)的得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单次事故赔偿金额大于500万元的得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未投保的不得分。提供相关保险证明</w:t>
      </w:r>
      <w:r>
        <w:rPr>
          <w:rFonts w:hint="eastAsia" w:ascii="宋体" w:hAnsi="宋体" w:eastAsia="宋体" w:cs="宋体"/>
          <w:sz w:val="24"/>
          <w:szCs w:val="24"/>
          <w:lang w:val="en-US" w:eastAsia="zh-CN"/>
        </w:rPr>
        <w:t xml:space="preserve">材料</w:t>
      </w:r>
      <w:r>
        <w:rPr>
          <w:rFonts w:hint="eastAsia" w:ascii="宋体" w:hAnsi="宋体" w:eastAsia="宋体" w:cs="宋体"/>
          <w:sz w:val="24"/>
          <w:szCs w:val="24"/>
        </w:rPr>
        <w:t xml:space="preserve">，不提供的不得分。</w:t>
      </w:r>
      <w:r/>
    </w:p>
    <w:p>
      <w:pPr>
        <w:ind w:firstLine="480"/>
        <w:keepLines w:val="0"/>
        <w:keepNext w:val="0"/>
        <w:pageBreakBefore w:val="0"/>
        <w:spacing w:line="44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4.3针对本项目食材配送的情况</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投标人具有自有食材配送公司为本项目提供配送工作的得3分，具备与其他具备资质的食材配送公司</w:t>
      </w:r>
      <w:r>
        <w:rPr>
          <w:rFonts w:hint="eastAsia" w:ascii="宋体" w:hAnsi="宋体" w:eastAsia="宋体" w:cs="宋体"/>
          <w:sz w:val="24"/>
          <w:szCs w:val="24"/>
        </w:rPr>
        <w:t xml:space="preserve">有合作的</w:t>
      </w:r>
      <w:r>
        <w:rPr>
          <w:rFonts w:hint="eastAsia" w:ascii="宋体" w:hAnsi="宋体" w:eastAsia="宋体" w:cs="宋体"/>
          <w:sz w:val="24"/>
          <w:szCs w:val="24"/>
          <w:lang w:val="en-US" w:eastAsia="zh-CN"/>
        </w:rPr>
        <w:t xml:space="preserve">得1分。若自有配送公司需提供营业执照、食品经营许可证，食品经营主体业态包含食品销售经营者，控股公司的需提供控股证明材料；若是合作配送公司的应提供合作协议，协议期需要覆盖本项目服务期,以及食品经营许可证，食品经营主体业态包含食品销售经营者，未提供的不得分。 </w:t>
      </w:r>
      <w:bookmarkEnd w:id="158"/>
      <w:bookmarkEnd w:id="159"/>
      <w:bookmarkEnd w:id="166"/>
      <w:bookmarkEnd w:id="167"/>
      <w:bookmarkEnd w:id="168"/>
      <w:bookmarkEnd w:id="201"/>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rPr>
          <w:rFonts w:hint="eastAsia" w:ascii="宋体" w:hAnsi="宋体" w:eastAsia="宋体" w:cs="宋体"/>
          <w:b/>
          <w:bCs/>
          <w:sz w:val="32"/>
          <w:szCs w:val="32"/>
          <w:highlight w:val="none"/>
          <w:lang w:val="en-US" w:eastAsia="zh-CN" w:bidi="ar-SA"/>
        </w:rPr>
        <w:t xml:space="preserve">投标文件格式</w:t>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852"/>
        <w:ind w:left="0" w:firstLine="0"/>
        <w:jc w:val="center"/>
        <w:keepLines w:val="0"/>
        <w:keepNext w:val="0"/>
        <w:pageBreakBefore w:val="0"/>
        <w:spacing w:line="500" w:lineRule="exact"/>
        <w:widowControl w:val="off"/>
        <w:rPr>
          <w:rFonts w:hint="eastAsia" w:ascii="黑体" w:hAnsi="宋体" w:eastAsia="黑体" w:cs="宋体"/>
          <w:bCs/>
          <w:sz w:val="40"/>
          <w:szCs w:val="40"/>
          <w:lang w:val="en-US" w:eastAsia="zh-CN"/>
        </w:rPr>
      </w:pPr>
      <w:r>
        <w:rPr>
          <w:rFonts w:hint="eastAsia" w:ascii="黑体" w:hAnsi="宋体" w:eastAsia="黑体" w:cs="宋体"/>
          <w:bCs/>
          <w:sz w:val="40"/>
          <w:szCs w:val="40"/>
          <w:lang w:val="en-US" w:eastAsia="zh-CN"/>
        </w:rPr>
        <w:t xml:space="preserve">投标主要文件目录</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TOC \o "1-2" \n  \u </w:instrText>
      </w:r>
      <w:r>
        <w:rPr>
          <w:rFonts w:hint="eastAsia" w:ascii="宋体" w:hAnsi="宋体" w:eastAsia="宋体" w:cs="宋体"/>
          <w:sz w:val="28"/>
          <w:szCs w:val="28"/>
          <w:lang w:val="en-US" w:eastAsia="zh-CN"/>
        </w:rPr>
        <w:fldChar w:fldCharType="separate"/>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一、 </w:t>
      </w:r>
      <w:r>
        <w:rPr>
          <w:rFonts w:hint="eastAsia" w:ascii="宋体" w:hAnsi="宋体" w:eastAsia="宋体" w:cs="宋体"/>
          <w:sz w:val="28"/>
          <w:szCs w:val="28"/>
        </w:rPr>
        <w:t xml:space="preserve">投标函格式</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二、 </w:t>
      </w:r>
      <w:r>
        <w:rPr>
          <w:rFonts w:hint="eastAsia" w:ascii="宋体" w:hAnsi="宋体" w:eastAsia="宋体" w:cs="宋体"/>
          <w:sz w:val="28"/>
          <w:szCs w:val="28"/>
        </w:rPr>
        <w:t xml:space="preserve">开 标</w:t>
      </w:r>
      <w:r>
        <w:rPr>
          <w:rFonts w:hint="eastAsia" w:ascii="宋体" w:hAnsi="宋体" w:eastAsia="宋体" w:cs="宋体"/>
          <w:bCs/>
          <w:sz w:val="28"/>
          <w:szCs w:val="28"/>
        </w:rPr>
        <w:t xml:space="preserve"> 一 览 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三、 </w:t>
      </w:r>
      <w:r>
        <w:rPr>
          <w:rFonts w:hint="eastAsia" w:ascii="宋体" w:hAnsi="宋体" w:eastAsia="宋体" w:cs="宋体"/>
          <w:bCs/>
          <w:sz w:val="28"/>
          <w:szCs w:val="28"/>
          <w:highlight w:val="none"/>
        </w:rPr>
        <w:t xml:space="preserve">资格</w:t>
      </w:r>
      <w:r>
        <w:rPr>
          <w:rFonts w:hint="eastAsia" w:ascii="宋体" w:hAnsi="宋体" w:eastAsia="宋体" w:cs="宋体"/>
          <w:sz w:val="28"/>
          <w:szCs w:val="28"/>
          <w:highlight w:val="none"/>
        </w:rPr>
        <w:t xml:space="preserve">证明</w:t>
      </w:r>
      <w:r>
        <w:rPr>
          <w:rFonts w:hint="eastAsia" w:ascii="宋体" w:hAnsi="宋体" w:eastAsia="宋体" w:cs="宋体"/>
          <w:bCs/>
          <w:sz w:val="28"/>
          <w:szCs w:val="28"/>
          <w:highlight w:val="none"/>
        </w:rPr>
        <w:t xml:space="preserve">文件</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四、 </w:t>
      </w:r>
      <w:r>
        <w:rPr>
          <w:rFonts w:hint="eastAsia" w:ascii="宋体" w:hAnsi="宋体" w:eastAsia="宋体" w:cs="宋体"/>
          <w:bCs/>
          <w:sz w:val="28"/>
          <w:szCs w:val="28"/>
          <w:highlight w:val="none"/>
        </w:rPr>
        <w:t xml:space="preserve">投标</w:t>
      </w:r>
      <w:r>
        <w:rPr>
          <w:rFonts w:hint="eastAsia" w:ascii="宋体" w:hAnsi="宋体" w:eastAsia="宋体" w:cs="宋体"/>
          <w:bCs/>
          <w:sz w:val="28"/>
          <w:szCs w:val="28"/>
        </w:rPr>
        <w:t xml:space="preserve">配置及分项报价表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五、 </w:t>
      </w:r>
      <w:r>
        <w:rPr>
          <w:rFonts w:hint="eastAsia" w:ascii="宋体" w:hAnsi="宋体" w:eastAsia="宋体" w:cs="宋体"/>
          <w:bCs/>
          <w:sz w:val="28"/>
          <w:szCs w:val="28"/>
          <w:highlight w:val="none"/>
        </w:rPr>
        <w:t xml:space="preserve">经费测算明细表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六、 </w:t>
      </w:r>
      <w:r>
        <w:rPr>
          <w:rFonts w:hint="eastAsia" w:ascii="宋体" w:hAnsi="宋体" w:eastAsia="宋体" w:cs="宋体"/>
          <w:bCs/>
          <w:sz w:val="28"/>
          <w:szCs w:val="28"/>
          <w:highlight w:val="none"/>
        </w:rPr>
        <w:t xml:space="preserve">物耗品报价表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七、 项目需求中实质性要求响应对照表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lang w:eastAsia="zh-CN"/>
        </w:rPr>
        <w:t xml:space="preserve">八、 </w:t>
      </w:r>
      <w:r>
        <w:rPr>
          <w:rFonts w:hint="eastAsia" w:ascii="宋体" w:hAnsi="宋体" w:eastAsia="宋体" w:cs="宋体"/>
          <w:bCs/>
          <w:sz w:val="28"/>
          <w:szCs w:val="28"/>
          <w:highlight w:val="none"/>
          <w:lang w:val="en-US" w:eastAsia="zh-CN"/>
        </w:rPr>
        <w:t xml:space="preserve">技术商务要求</w:t>
      </w:r>
      <w:r>
        <w:rPr>
          <w:rFonts w:hint="eastAsia" w:ascii="宋体" w:hAnsi="宋体" w:eastAsia="宋体" w:cs="宋体"/>
          <w:bCs/>
          <w:sz w:val="28"/>
          <w:szCs w:val="28"/>
          <w:highlight w:val="none"/>
          <w:lang w:eastAsia="zh-CN"/>
        </w:rPr>
        <w:t xml:space="preserve">响应及偏离表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lang w:eastAsia="zh-CN"/>
        </w:rPr>
        <w:t xml:space="preserve">九、 </w:t>
      </w:r>
      <w:r>
        <w:rPr>
          <w:rFonts w:hint="eastAsia" w:ascii="宋体" w:hAnsi="宋体" w:eastAsia="宋体" w:cs="宋体"/>
          <w:sz w:val="28"/>
          <w:szCs w:val="28"/>
          <w:lang w:val="en-US" w:eastAsia="zh-CN"/>
        </w:rPr>
        <w:t xml:space="preserve">技术</w:t>
      </w:r>
      <w:r>
        <w:rPr>
          <w:rFonts w:hint="eastAsia" w:ascii="宋体" w:hAnsi="宋体" w:eastAsia="宋体" w:cs="宋体"/>
          <w:bCs/>
          <w:sz w:val="28"/>
          <w:szCs w:val="28"/>
          <w:lang w:eastAsia="zh-CN"/>
        </w:rPr>
        <w:t xml:space="preserve">方案</w:t>
      </w:r>
      <w:r>
        <w:rPr>
          <w:rFonts w:hint="eastAsia" w:ascii="宋体" w:hAnsi="宋体" w:eastAsia="宋体" w:cs="宋体"/>
          <w:sz w:val="28"/>
          <w:szCs w:val="28"/>
          <w:lang w:eastAsia="zh-CN"/>
        </w:rPr>
        <w:t xml:space="preserve">、服务方案</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十、 </w:t>
      </w:r>
      <w:r>
        <w:rPr>
          <w:rFonts w:hint="eastAsia" w:ascii="宋体" w:hAnsi="宋体" w:eastAsia="宋体" w:cs="宋体"/>
          <w:sz w:val="28"/>
          <w:szCs w:val="28"/>
        </w:rPr>
        <w:t xml:space="preserve">投标人情况介绍</w:t>
      </w:r>
      <w:r/>
    </w:p>
    <w:p>
      <w:pPr>
        <w:ind w:left="0" w:firstLine="0"/>
        <w:keepLines w:val="0"/>
        <w:keepNext w:val="0"/>
        <w:pageBreakBefore w:val="0"/>
        <w:spacing w:line="48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fldChar w:fldCharType="end"/>
      </w:r>
      <w:r/>
    </w:p>
    <w:p>
      <w:pPr>
        <w:ind w:firstLine="0"/>
        <w:jc w:val="center"/>
        <w:keepLines w:val="0"/>
        <w:keepNext w:val="0"/>
        <w:pageBreakBefore/>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t xml:space="preserve">投  标  文  件</w:t>
      </w:r>
      <w:r/>
    </w:p>
    <w:p>
      <w:pPr>
        <w:ind w:firstLine="0"/>
        <w:jc w:val="center"/>
        <w:keepLines w:val="0"/>
        <w:keepNext w:val="0"/>
        <w:pageBreakBefore w:val="0"/>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left="0"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项 目 名 称：</w:t>
      </w:r>
      <w:r/>
    </w:p>
    <w:p>
      <w:pPr>
        <w:ind w:left="0" w:firstLine="0"/>
        <w:jc w:val="center"/>
        <w:keepLines w:val="0"/>
        <w:keepNext w:val="0"/>
        <w:pageBreakBefore w:val="0"/>
        <w:spacing w:line="480" w:lineRule="exact"/>
        <w:widowControl w:val="off"/>
        <w:rPr>
          <w:rFonts w:ascii="宋体" w:hAnsi="宋体" w:eastAsia="宋体"/>
          <w:b/>
          <w:bCs/>
          <w:sz w:val="36"/>
          <w:szCs w:val="36"/>
          <w:lang w:val="en-US" w:eastAsia="zh-CN"/>
        </w:rPr>
        <w:outlineLvl w:val="9"/>
      </w:pPr>
      <w:r>
        <w:rPr>
          <w:rFonts w:hint="eastAsia" w:ascii="宋体" w:hAnsi="宋体"/>
          <w:b/>
          <w:bCs/>
          <w:sz w:val="36"/>
          <w:szCs w:val="36"/>
        </w:rPr>
        <w:t xml:space="preserve">招 标 编 号：</w:t>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投标人名称 ：</w:t>
      </w:r>
      <w:r/>
    </w:p>
    <w:p>
      <w:pPr>
        <w:ind w:left="0" w:firstLine="0"/>
        <w:jc w:val="center"/>
        <w:keepLines w:val="0"/>
        <w:keepNext w:val="0"/>
        <w:pageBreakBefore w:val="0"/>
        <w:spacing w:line="480" w:lineRule="exact"/>
        <w:widowControl w:val="off"/>
        <w:rPr>
          <w:rFonts w:hint="eastAsia" w:ascii="宋体" w:hAnsi="宋体"/>
          <w:b/>
          <w:bCs/>
          <w:sz w:val="36"/>
          <w:szCs w:val="36"/>
          <w:u w:val="single"/>
        </w:rPr>
        <w:outlineLvl w:val="9"/>
      </w:pPr>
      <w:r>
        <w:rPr>
          <w:rFonts w:hint="eastAsia" w:ascii="宋体" w:hAnsi="宋体"/>
          <w:b/>
          <w:bCs/>
          <w:sz w:val="36"/>
          <w:szCs w:val="36"/>
        </w:rPr>
        <w:t xml:space="preserve">日      期 ：</w:t>
      </w:r>
      <w:r/>
    </w:p>
    <w:p>
      <w:pPr>
        <w:pStyle w:val="1049"/>
        <w:ind w:firstLine="0"/>
        <w:jc w:val="center"/>
        <w:keepLines w:val="0"/>
        <w:keepNext w:val="0"/>
        <w:pageBreakBefore w:val="0"/>
        <w:spacing w:line="480" w:lineRule="exact"/>
        <w:widowControl w:val="off"/>
        <w:rPr>
          <w:rFonts w:hint="eastAsia"/>
        </w:rPr>
      </w:pPr>
      <w:r>
        <w:rPr>
          <w:rFonts w:hint="eastAsia"/>
        </w:rPr>
      </w:r>
      <w:r/>
    </w:p>
    <w:p>
      <w:pPr>
        <w:ind w:firstLine="0"/>
        <w:jc w:val="center"/>
        <w:keepLines w:val="0"/>
        <w:keepNext w:val="0"/>
        <w:pageBreakBefore/>
        <w:widowControl w:val="off"/>
        <w:rPr>
          <w:rFonts w:hint="eastAsia" w:ascii="宋体" w:hAnsi="宋体"/>
          <w:b/>
          <w:bCs/>
          <w:sz w:val="32"/>
          <w:szCs w:val="32"/>
        </w:rPr>
        <w:outlineLvl w:val="1"/>
      </w:pPr>
      <w:r>
        <w:rPr>
          <w:rFonts w:hint="eastAsia" w:ascii="宋体" w:hAnsi="宋体"/>
          <w:b/>
          <w:bCs/>
          <w:sz w:val="32"/>
          <w:szCs w:val="32"/>
        </w:rPr>
        <w:t xml:space="preserve">投标主要文件目录</w:t>
      </w:r>
      <w:r/>
    </w:p>
    <w:p>
      <w:pPr>
        <w:ind w:left="0" w:firstLine="0"/>
        <w:jc w:val="center"/>
        <w:rPr>
          <w:rFonts w:hint="eastAsia" w:ascii="宋体" w:hAnsi="宋体"/>
          <w:b/>
          <w:bCs/>
          <w:sz w:val="32"/>
          <w:szCs w:val="32"/>
          <w:lang w:val="en-US" w:eastAsia="zh-CN"/>
        </w:rPr>
        <w:outlineLvl w:val="9"/>
      </w:pPr>
      <w:r>
        <w:rPr>
          <w:rFonts w:hint="eastAsia" w:ascii="宋体" w:hAnsi="宋体"/>
          <w:b/>
          <w:bCs/>
          <w:sz w:val="32"/>
          <w:szCs w:val="32"/>
          <w:lang w:val="en-US" w:eastAsia="zh-CN"/>
        </w:rPr>
      </w:r>
      <w:r/>
    </w:p>
    <w:p>
      <w:pPr>
        <w:ind w:left="0" w:firstLine="0"/>
        <w:jc w:val="center"/>
        <w:rPr>
          <w:rFonts w:hint="eastAsia" w:ascii="宋体" w:hAnsi="宋体" w:eastAsia="宋体"/>
          <w:b/>
          <w:bCs/>
          <w:sz w:val="32"/>
          <w:szCs w:val="32"/>
          <w:lang w:val="en-US" w:eastAsia="zh-CN"/>
        </w:rPr>
        <w:outlineLvl w:val="9"/>
      </w:pPr>
      <w:r>
        <w:rPr>
          <w:rFonts w:hint="eastAsia" w:ascii="宋体" w:hAnsi="宋体"/>
          <w:b/>
          <w:bCs/>
          <w:sz w:val="32"/>
          <w:szCs w:val="32"/>
          <w:lang w:val="en-US" w:eastAsia="zh-CN"/>
        </w:rPr>
        <w:t xml:space="preserve">（自拟）</w:t>
      </w:r>
      <w:r/>
    </w:p>
    <w:p>
      <w:pPr>
        <w:pStyle w:val="1025"/>
        <w:rPr>
          <w:rFonts w:hint="eastAsia" w:ascii="宋体" w:hAnsi="宋体"/>
          <w:sz w:val="24"/>
        </w:rPr>
      </w:pPr>
      <w:r>
        <w:rPr>
          <w:rFonts w:hint="eastAsia" w:ascii="宋体" w:hAnsi="宋体"/>
          <w:sz w:val="24"/>
        </w:rPr>
      </w:r>
      <w:r/>
    </w:p>
    <w:p>
      <w:pPr>
        <w:numPr>
          <w:ilvl w:val="0"/>
          <w:numId w:val="21"/>
        </w:numPr>
        <w:ind w:left="0" w:firstLine="0"/>
        <w:jc w:val="center"/>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 </w:t>
      </w:r>
      <w:r>
        <w:rPr>
          <w:rFonts w:hint="eastAsia" w:ascii="宋体" w:hAnsi="宋体" w:cs="宋体"/>
          <w:sz w:val="24"/>
          <w:lang w:val="en-US" w:eastAsia="zh-CN" w:bidi="ar"/>
        </w:rPr>
        <w:t xml:space="preserve">  </w:t>
      </w:r>
      <w:r>
        <w:rPr>
          <w:rFonts w:hint="eastAsia" w:ascii="宋体" w:hAnsi="宋体" w:cs="宋体"/>
          <w:sz w:val="24"/>
          <w:lang w:bidi="ar"/>
        </w:rPr>
        <w:t xml:space="preserve">号招标文件，正式授权下述签字人 (姓名和职务)代表我方（投标人的名称），全权处理本次项目投标的有关事宜。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w:t>
      </w:r>
      <w:r>
        <w:rPr>
          <w:rFonts w:hint="eastAsia" w:ascii="宋体" w:hAnsi="宋体" w:cs="宋体"/>
          <w:sz w:val="24"/>
          <w:lang w:val="en-US" w:eastAsia="zh-CN" w:bidi="ar"/>
        </w:rPr>
        <w:t xml:space="preserve">  </w:t>
      </w:r>
      <w:r>
        <w:rPr>
          <w:rFonts w:hint="eastAsia" w:ascii="宋体" w:hAnsi="宋体" w:cs="宋体"/>
          <w:sz w:val="24"/>
          <w:lang w:bidi="ar"/>
        </w:rPr>
        <w:t xml:space="preserve">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1049"/>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21"/>
        </w:numPr>
        <w:ind w:left="0" w:firstLine="0"/>
        <w:jc w:val="center"/>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 标</w:t>
      </w:r>
      <w:r>
        <w:rPr>
          <w:rFonts w:hint="eastAsia" w:ascii="宋体" w:hAnsi="宋体"/>
          <w:b/>
          <w:bCs/>
          <w:sz w:val="32"/>
          <w:szCs w:val="32"/>
        </w:rPr>
        <w:t xml:space="preserve"> 一 览 表</w:t>
      </w:r>
      <w:r/>
    </w:p>
    <w:p>
      <w:pPr>
        <w:ind w:firstLine="2731"/>
        <w:rPr>
          <w:rFonts w:hint="eastAsia" w:ascii="宋体" w:hAnsi="宋体"/>
          <w:b/>
          <w:bCs/>
          <w:sz w:val="32"/>
          <w:szCs w:val="32"/>
        </w:rPr>
      </w:pPr>
      <w:r>
        <w:rPr>
          <w:rFonts w:hint="eastAsia" w:ascii="宋体" w:hAnsi="宋体"/>
          <w:b/>
          <w:bCs/>
          <w:sz w:val="32"/>
          <w:szCs w:val="32"/>
        </w:rPr>
      </w:r>
      <w:r/>
    </w:p>
    <w:p>
      <w:pPr>
        <w:ind w:firstLine="0"/>
        <w:rPr>
          <w:rFonts w:hint="eastAsia" w:ascii="宋体" w:hAnsi="宋体" w:cs="宋体"/>
          <w:sz w:val="24"/>
        </w:rPr>
      </w:pPr>
      <w:r>
        <w:rPr>
          <w:rFonts w:hint="eastAsia" w:ascii="宋体" w:hAnsi="宋体" w:cs="宋体"/>
          <w:sz w:val="24"/>
        </w:rPr>
        <w:t xml:space="preserve">投标单位全称（加盖公章）：                   </w:t>
      </w:r>
      <w:r>
        <w:rPr>
          <w:rFonts w:hint="eastAsia" w:ascii="宋体" w:hAnsi="宋体" w:cs="宋体"/>
          <w:sz w:val="24"/>
          <w:lang w:val="en-US" w:eastAsia="zh-CN"/>
        </w:rPr>
        <w:t xml:space="preserve">              </w:t>
      </w:r>
      <w:r>
        <w:rPr>
          <w:rFonts w:hint="eastAsia" w:ascii="宋体" w:hAnsi="宋体" w:cs="宋体"/>
          <w:sz w:val="24"/>
        </w:rPr>
        <w:t xml:space="preserve">年     月    日</w:t>
      </w:r>
      <w:r/>
    </w:p>
    <w:p>
      <w:pPr>
        <w:pStyle w:val="1049"/>
        <w:rPr>
          <w:rFonts w:hint="eastAsia"/>
        </w:rPr>
      </w:pPr>
      <w:r>
        <w:rPr>
          <w:rFonts w:hint="eastAsia"/>
        </w:rPr>
      </w:r>
      <w:r/>
    </w:p>
    <w:tbl>
      <w:tblPr>
        <w:tblStyle w:val="8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1"/>
        <w:gridCol w:w="1980"/>
        <w:gridCol w:w="2160"/>
        <w:gridCol w:w="1800"/>
      </w:tblGrid>
      <w:tr>
        <w:trPr>
          <w:cantSplit/>
          <w:jc w:val="center"/>
          <w:trHeight w:val="521"/>
        </w:trPr>
        <w:tc>
          <w:tcPr>
            <w:tcW w:w="2951" w:type="dxa"/>
            <w:vAlign w:val="center"/>
            <w:textDirection w:val="lrTb"/>
            <w:noWrap w:val="false"/>
          </w:tcPr>
          <w:p>
            <w:pPr>
              <w:pStyle w:val="1060"/>
              <w:ind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Style w:val="1021"/>
                <w:rFonts w:hint="eastAsia" w:ascii="宋体" w:hAnsi="宋体" w:eastAsia="宋体" w:cs="宋体"/>
                <w:i w:val="0"/>
                <w:iCs w:val="0"/>
                <w:color w:val="000000"/>
                <w:sz w:val="24"/>
                <w:szCs w:val="24"/>
                <w:u w:val="none"/>
                <w:lang w:val="en-US" w:eastAsia="zh-CN" w:bidi="ar-SA"/>
              </w:rPr>
              <w:t xml:space="preserve">项目名称</w:t>
            </w:r>
            <w:r/>
          </w:p>
        </w:tc>
        <w:tc>
          <w:tcPr>
            <w:tcW w:w="1980" w:type="dxa"/>
            <w:vAlign w:val="center"/>
            <w:textDirection w:val="lrTb"/>
            <w:noWrap w:val="false"/>
          </w:tcPr>
          <w:p>
            <w:pPr>
              <w:pStyle w:val="1060"/>
              <w:ind w:left="0"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Style w:val="1021"/>
                <w:rFonts w:hint="eastAsia" w:ascii="宋体" w:hAnsi="宋体" w:cs="宋体"/>
                <w:i w:val="0"/>
                <w:iCs w:val="0"/>
                <w:color w:val="000000"/>
                <w:sz w:val="24"/>
                <w:szCs w:val="24"/>
                <w:u w:val="none"/>
                <w:lang w:val="en-US" w:eastAsia="zh-CN" w:bidi="ar-SA"/>
              </w:rPr>
              <w:t xml:space="preserve">总</w:t>
            </w:r>
            <w:r>
              <w:rPr>
                <w:rStyle w:val="1021"/>
                <w:rFonts w:hint="eastAsia" w:ascii="宋体" w:hAnsi="宋体" w:eastAsia="宋体" w:cs="宋体"/>
                <w:i w:val="0"/>
                <w:iCs w:val="0"/>
                <w:color w:val="000000"/>
                <w:sz w:val="24"/>
                <w:szCs w:val="24"/>
                <w:u w:val="none"/>
                <w:lang w:val="en-US" w:eastAsia="zh-CN" w:bidi="ar-SA"/>
              </w:rPr>
              <w:t xml:space="preserve">价（元）</w:t>
            </w:r>
            <w:r/>
          </w:p>
        </w:tc>
        <w:tc>
          <w:tcPr>
            <w:tcW w:w="2160" w:type="dxa"/>
            <w:vAlign w:val="center"/>
            <w:textDirection w:val="lrTb"/>
            <w:noWrap w:val="false"/>
          </w:tcPr>
          <w:p>
            <w:pPr>
              <w:pStyle w:val="1060"/>
              <w:ind w:left="0"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Style w:val="1021"/>
                <w:rFonts w:hint="eastAsia" w:ascii="宋体" w:hAnsi="宋体" w:eastAsia="宋体" w:cs="宋体"/>
                <w:i w:val="0"/>
                <w:iCs w:val="0"/>
                <w:color w:val="000000"/>
                <w:sz w:val="24"/>
                <w:szCs w:val="24"/>
                <w:u w:val="none"/>
                <w:lang w:val="en-US" w:eastAsia="zh-CN" w:bidi="ar-SA"/>
              </w:rPr>
              <w:t xml:space="preserve">服务期限</w:t>
            </w:r>
            <w:r/>
          </w:p>
        </w:tc>
        <w:tc>
          <w:tcPr>
            <w:tcW w:w="1800" w:type="dxa"/>
            <w:vAlign w:val="center"/>
            <w:textDirection w:val="lrTb"/>
            <w:noWrap w:val="false"/>
          </w:tcPr>
          <w:p>
            <w:pPr>
              <w:pStyle w:val="1060"/>
              <w:ind w:firstLine="240"/>
              <w:jc w:val="center"/>
              <w:spacing w:after="200" w:line="440" w:lineRule="exact"/>
              <w:widowControl w:val="off"/>
              <w:rPr>
                <w:rStyle w:val="1021"/>
                <w:rFonts w:ascii="宋体" w:hAnsi="宋体" w:eastAsia="宋体" w:cs="宋体"/>
                <w:i w:val="0"/>
                <w:iCs w:val="0"/>
                <w:sz w:val="24"/>
                <w:szCs w:val="24"/>
                <w:u w:val="none"/>
                <w:lang w:val="en-US" w:eastAsia="zh-CN" w:bidi="ar-SA"/>
              </w:rPr>
            </w:pPr>
            <w:r>
              <w:rPr>
                <w:rStyle w:val="1021"/>
                <w:rFonts w:hint="eastAsia" w:ascii="宋体" w:hAnsi="宋体" w:eastAsia="宋体" w:cs="宋体"/>
                <w:i w:val="0"/>
                <w:iCs w:val="0"/>
                <w:color w:val="000000"/>
                <w:sz w:val="24"/>
                <w:szCs w:val="24"/>
                <w:u w:val="none"/>
                <w:lang w:val="en-US" w:eastAsia="zh-CN" w:bidi="ar-SA"/>
              </w:rPr>
              <w:t xml:space="preserve">服务内容</w:t>
            </w:r>
            <w:r/>
          </w:p>
        </w:tc>
      </w:tr>
      <w:tr>
        <w:trPr>
          <w:cantSplit/>
          <w:jc w:val="center"/>
          <w:trHeight w:val="658"/>
        </w:trPr>
        <w:tc>
          <w:tcPr>
            <w:tcW w:w="2951" w:type="dxa"/>
            <w:vAlign w:val="center"/>
            <w:textDirection w:val="lrTb"/>
            <w:noWrap w:val="false"/>
          </w:tcPr>
          <w:p>
            <w:pPr>
              <w:pStyle w:val="1060"/>
              <w:ind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Style w:val="1021"/>
                <w:rFonts w:ascii="宋体" w:hAnsi="宋体" w:eastAsia="宋体" w:cs="宋体"/>
                <w:i w:val="0"/>
                <w:iCs w:val="0"/>
                <w:sz w:val="21"/>
                <w:szCs w:val="21"/>
                <w:u w:val="none"/>
                <w:lang w:val="en-US" w:eastAsia="zh-CN" w:bidi="ar-SA"/>
              </w:rPr>
              <w:t xml:space="preserve">张家港市殡仪馆食堂餐饮服务</w:t>
            </w:r>
            <w:r/>
          </w:p>
        </w:tc>
        <w:tc>
          <w:tcPr>
            <w:tcW w:w="1980" w:type="dxa"/>
            <w:vAlign w:val="center"/>
            <w:textDirection w:val="lrTb"/>
            <w:noWrap w:val="false"/>
          </w:tcPr>
          <w:p>
            <w:pPr>
              <w:pStyle w:val="1060"/>
              <w:ind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Fonts w:ascii="宋体" w:hAnsi="宋体" w:eastAsia="宋体" w:cs="宋体"/>
                <w:i w:val="0"/>
                <w:iCs w:val="0"/>
                <w:sz w:val="24"/>
                <w:szCs w:val="24"/>
                <w:u w:val="none"/>
                <w:lang w:val="en-US" w:eastAsia="zh-CN" w:bidi="ar-SA"/>
              </w:rPr>
            </w:r>
            <w:r/>
          </w:p>
        </w:tc>
        <w:tc>
          <w:tcPr>
            <w:tcW w:w="2160" w:type="dxa"/>
            <w:vAlign w:val="center"/>
            <w:textDirection w:val="lrTb"/>
            <w:noWrap w:val="false"/>
          </w:tcPr>
          <w:p>
            <w:pPr>
              <w:pStyle w:val="1060"/>
              <w:ind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Fonts w:ascii="宋体" w:hAnsi="宋体" w:eastAsia="宋体" w:cs="宋体"/>
                <w:i w:val="0"/>
                <w:iCs w:val="0"/>
                <w:sz w:val="24"/>
                <w:szCs w:val="24"/>
                <w:u w:val="none"/>
                <w:lang w:val="en-US" w:eastAsia="zh-CN" w:bidi="ar-SA"/>
              </w:rPr>
            </w:r>
            <w:r/>
          </w:p>
        </w:tc>
        <w:tc>
          <w:tcPr>
            <w:tcW w:w="1800" w:type="dxa"/>
            <w:vAlign w:val="center"/>
            <w:textDirection w:val="lrTb"/>
            <w:noWrap w:val="false"/>
          </w:tcPr>
          <w:p>
            <w:pPr>
              <w:pStyle w:val="1060"/>
              <w:ind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Fonts w:ascii="宋体" w:hAnsi="宋体" w:eastAsia="宋体" w:cs="宋体"/>
                <w:i w:val="0"/>
                <w:iCs w:val="0"/>
                <w:sz w:val="24"/>
                <w:szCs w:val="24"/>
                <w:u w:val="none"/>
                <w:lang w:val="en-US" w:eastAsia="zh-CN" w:bidi="ar-SA"/>
              </w:rPr>
            </w:r>
            <w:r/>
          </w:p>
        </w:tc>
      </w:tr>
      <w:tr>
        <w:trPr>
          <w:cantSplit/>
          <w:jc w:val="center"/>
          <w:trHeight w:val="658"/>
        </w:trPr>
        <w:tc>
          <w:tcPr>
            <w:tcW w:w="2951" w:type="dxa"/>
            <w:vAlign w:val="center"/>
            <w:textDirection w:val="lrTb"/>
            <w:noWrap w:val="false"/>
          </w:tcPr>
          <w:p>
            <w:pPr>
              <w:pStyle w:val="1060"/>
              <w:ind w:firstLine="0"/>
              <w:jc w:val="center"/>
              <w:spacing w:after="200" w:line="440" w:lineRule="exact"/>
              <w:widowControl w:val="off"/>
              <w:rPr>
                <w:rFonts w:hint="eastAsia" w:ascii="宋体" w:hAnsi="宋体" w:eastAsia="宋体"/>
                <w:sz w:val="24"/>
                <w:lang w:val="en-US" w:eastAsia="zh-CN"/>
              </w:rPr>
            </w:pPr>
            <w:r>
              <w:rPr>
                <w:rStyle w:val="1021"/>
                <w:rFonts w:ascii="宋体" w:hAnsi="宋体" w:eastAsia="宋体" w:cs="宋体"/>
                <w:b w:val="0"/>
                <w:bCs w:val="0"/>
                <w:i w:val="0"/>
                <w:iCs w:val="0"/>
                <w:smallCaps w:val="0"/>
                <w:color w:val="000000"/>
                <w:sz w:val="24"/>
                <w:szCs w:val="24"/>
              </w:rPr>
              <w:t xml:space="preserve">投标报价（大写）</w:t>
            </w:r>
            <w:r/>
          </w:p>
        </w:tc>
        <w:tc>
          <w:tcPr>
            <w:gridSpan w:val="3"/>
            <w:tcW w:w="5940" w:type="dxa"/>
            <w:vAlign w:val="center"/>
            <w:textDirection w:val="lrTb"/>
            <w:noWrap w:val="false"/>
          </w:tcPr>
          <w:p>
            <w:pPr>
              <w:pStyle w:val="1060"/>
              <w:ind w:firstLine="0"/>
              <w:jc w:val="center"/>
              <w:spacing w:after="200" w:line="440" w:lineRule="exact"/>
              <w:widowControl w:val="off"/>
              <w:rPr>
                <w:rStyle w:val="1021"/>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bl>
    <w:p>
      <w:pPr>
        <w:ind w:right="139" w:firstLine="0"/>
        <w:rPr>
          <w:rFonts w:hint="eastAsia" w:ascii="宋体" w:hAnsi="宋体" w:cs="宋体"/>
          <w:b/>
          <w:sz w:val="24"/>
        </w:rPr>
      </w:pPr>
      <w:r>
        <w:rPr>
          <w:rFonts w:hint="eastAsia" w:ascii="宋体" w:hAnsi="宋体" w:cs="宋体"/>
          <w:b/>
          <w:sz w:val="24"/>
        </w:rPr>
        <w:t xml:space="preserve">注：</w:t>
      </w:r>
      <w:r/>
    </w:p>
    <w:p>
      <w:pPr>
        <w:numPr>
          <w:ilvl w:val="0"/>
          <w:numId w:val="22"/>
        </w:numPr>
        <w:ind w:right="0" w:firstLine="482"/>
        <w:keepLines w:val="0"/>
        <w:keepNext w:val="0"/>
        <w:pageBreakBefore w:val="0"/>
        <w:widowControl w:val="off"/>
        <w:rPr>
          <w:rFonts w:hint="eastAsia" w:ascii="宋体" w:hAnsi="宋体" w:eastAsia="宋体" w:cs="宋体"/>
          <w:b/>
          <w:bCs w:val="0"/>
          <w:sz w:val="24"/>
        </w:rPr>
      </w:pPr>
      <w:r>
        <w:rPr>
          <w:rFonts w:hint="eastAsia" w:ascii="宋体" w:hAnsi="宋体" w:eastAsia="宋体" w:cs="宋体"/>
          <w:b/>
          <w:bCs w:val="0"/>
          <w:sz w:val="24"/>
        </w:rPr>
        <w:t xml:space="preserve">总价为综合报价，应包括但不限于人员费用（工资、福利、培训、社会保险等）、服务所用设备工具购置及维修费用、服务所用材料消耗费用、</w:t>
      </w:r>
      <w:r>
        <w:rPr>
          <w:rFonts w:hint="eastAsia" w:ascii="宋体" w:hAnsi="宋体" w:eastAsia="宋体" w:cs="宋体"/>
          <w:b/>
          <w:bCs w:val="0"/>
          <w:color w:val="000000"/>
          <w:sz w:val="24"/>
          <w:szCs w:val="24"/>
          <w:highlight w:val="none"/>
        </w:rPr>
        <w:t xml:space="preserve">突击费用（临时加班加点产生的费用）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sz w:val="24"/>
        </w:rPr>
        <w:t xml:space="preserve">管理费用、利润、税金、政策性文件规定及合同包含的所有风险</w:t>
      </w:r>
      <w:r>
        <w:rPr>
          <w:rFonts w:hint="eastAsia" w:ascii="宋体" w:hAnsi="宋体" w:eastAsia="宋体" w:cs="宋体"/>
          <w:b/>
          <w:bCs w:val="0"/>
          <w:color w:val="000000"/>
          <w:sz w:val="24"/>
          <w:szCs w:val="24"/>
          <w:highlight w:val="none"/>
        </w:rPr>
        <w:t xml:space="preserve">(包括但不限于遇最低工资调整、物价上涨、重大活动、检查、突发情况、税费调整、统计误差等)</w:t>
      </w:r>
      <w:r>
        <w:rPr>
          <w:rFonts w:hint="eastAsia" w:ascii="宋体" w:hAnsi="宋体" w:eastAsia="宋体" w:cs="宋体"/>
          <w:b/>
          <w:bCs w:val="0"/>
          <w:sz w:val="24"/>
        </w:rPr>
        <w:t xml:space="preserve">、责任等各项应有费用。</w:t>
      </w:r>
      <w:r/>
    </w:p>
    <w:p>
      <w:pPr>
        <w:numPr>
          <w:ilvl w:val="0"/>
          <w:numId w:val="22"/>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p>
    <w:p>
      <w:pPr>
        <w:numPr>
          <w:ilvl w:val="0"/>
          <w:numId w:val="22"/>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本表中的报价已包括公共责任险（第三者险），中标单位未及时投保所造成的损害责任由中标单位承担。</w:t>
      </w:r>
      <w:r/>
    </w:p>
    <w:p>
      <w:pPr>
        <w:numPr>
          <w:ilvl w:val="0"/>
          <w:numId w:val="21"/>
        </w:numPr>
        <w:ind w:left="0" w:firstLine="0"/>
        <w:jc w:val="center"/>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66"/>
        <w:numPr>
          <w:ilvl w:val="0"/>
          <w:numId w:val="0"/>
        </w:numPr>
        <w:rPr>
          <w:b/>
          <w:bCs/>
          <w:i w:val="0"/>
          <w:iCs w:val="0"/>
          <w:sz w:val="24"/>
          <w:szCs w:val="24"/>
          <w:u w:val="none"/>
        </w:rPr>
      </w:pPr>
      <w:r>
        <w:rPr>
          <w:b/>
          <w:bCs/>
          <w:i w:val="0"/>
          <w:iCs w:val="0"/>
          <w:sz w:val="24"/>
          <w:szCs w:val="24"/>
          <w:u w:val="none"/>
        </w:rPr>
        <w:t xml:space="preserve">投标人必须在投标文件接收截止时间之前递交以下资格证明文件：</w:t>
      </w:r>
      <w:r/>
    </w:p>
    <w:p>
      <w:pPr>
        <w:pStyle w:val="1066"/>
        <w:numPr>
          <w:ilvl w:val="0"/>
          <w:numId w:val="23"/>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法人或者其他组织的营业执照等证明文件，自然人的身份证明</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66"/>
        <w:numPr>
          <w:ilvl w:val="0"/>
          <w:numId w:val="23"/>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财务状况报告（成立不满一年不需要提供）；</w:t>
      </w:r>
      <w:r/>
    </w:p>
    <w:p>
      <w:pPr>
        <w:pStyle w:val="1066"/>
        <w:numPr>
          <w:ilvl w:val="0"/>
          <w:numId w:val="23"/>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bidi="ar-SA"/>
        </w:rPr>
        <w:outlineLvl w:val="9"/>
      </w:pPr>
      <w:r>
        <w:rPr>
          <w:rFonts w:hint="eastAsia" w:ascii="宋体" w:hAnsi="宋体" w:eastAsia="宋体" w:cs="宋体"/>
          <w:b/>
          <w:bCs/>
          <w:i w:val="0"/>
          <w:iCs w:val="0"/>
          <w:sz w:val="24"/>
          <w:szCs w:val="24"/>
          <w:u w:val="none"/>
        </w:rPr>
        <w:t xml:space="preserve">依法缴纳税收和社会保障资金的相关材料；</w:t>
      </w:r>
      <w:r/>
    </w:p>
    <w:p>
      <w:pPr>
        <w:pStyle w:val="1066"/>
        <w:numPr>
          <w:ilvl w:val="0"/>
          <w:numId w:val="23"/>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t xml:space="preserve">法定代表人的身份证复印件、被授权人代表的身份证复印件（若有授权）；</w:t>
      </w:r>
      <w:r/>
    </w:p>
    <w:p>
      <w:pPr>
        <w:pStyle w:val="1066"/>
        <w:numPr>
          <w:ilvl w:val="0"/>
          <w:numId w:val="23"/>
        </w:numPr>
        <w:ind w:left="0" w:firstLine="482"/>
        <w:keepLines w:val="0"/>
        <w:keepNext w:val="0"/>
        <w:pageBreakBefore w:val="0"/>
        <w:spacing w:line="440" w:lineRule="exact"/>
        <w:widowControl w:val="off"/>
        <w:rPr>
          <w:rFonts w:hint="eastAsia" w:ascii="宋体" w:hAnsi="宋体" w:eastAsia="宋体" w:cs="宋体"/>
          <w:b/>
          <w:bCs/>
          <w:i w:val="0"/>
          <w:iCs w:val="0"/>
          <w:sz w:val="24"/>
          <w:szCs w:val="24"/>
          <w:highlight w:val="none"/>
          <w:u w:val="none"/>
          <w:lang w:val="en-US" w:eastAsia="zh-CN" w:bidi="ar-SA"/>
        </w:rPr>
        <w:outlineLvl w:val="9"/>
      </w:pPr>
      <w:r>
        <w:rPr>
          <w:rFonts w:hint="eastAsia" w:ascii="宋体" w:hAnsi="宋体" w:eastAsia="宋体" w:cs="宋体"/>
          <w:b/>
          <w:bCs/>
          <w:i w:val="0"/>
          <w:iCs w:val="0"/>
          <w:sz w:val="24"/>
          <w:szCs w:val="24"/>
          <w:highlight w:val="none"/>
          <w:u w:val="none"/>
          <w:lang w:val="en-US" w:eastAsia="zh-CN" w:bidi="ar-SA"/>
        </w:rPr>
        <w:t xml:space="preserve">特定资格要求证明材料：具备有效期内的食品经营许可证。</w:t>
      </w:r>
      <w:r/>
    </w:p>
    <w:p>
      <w:pPr>
        <w:pStyle w:val="1025"/>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66"/>
        <w:numPr>
          <w:ilvl w:val="0"/>
          <w:numId w:val="23"/>
        </w:numPr>
        <w:ind w:left="0" w:firstLine="0"/>
        <w:jc w:val="center"/>
        <w:keepLines w:val="0"/>
        <w:keepNext w:val="0"/>
        <w:pageBreakBefore/>
        <w:spacing w:line="440" w:lineRule="exact"/>
        <w:widowControl w:val="off"/>
        <w:rPr>
          <w:rFonts w:hAnsi="宋体" w:cs="宋体"/>
          <w:b/>
          <w:sz w:val="32"/>
          <w:szCs w:val="32"/>
        </w:rPr>
        <w:outlineLvl w:val="9"/>
      </w:pPr>
      <w:r>
        <w:rPr>
          <w:rFonts w:hint="eastAsia" w:ascii="宋体" w:hAnsi="宋体"/>
          <w:b/>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0"/>
        <w:spacing w:line="560" w:lineRule="exact"/>
        <w:rPr>
          <w:rFonts w:hAnsi="宋体" w:cs="宋体"/>
          <w:sz w:val="24"/>
        </w:rPr>
      </w:pPr>
      <w:r>
        <w:rPr>
          <w:rFonts w:hint="eastAsia" w:hAnsi="宋体" w:cs="宋体"/>
          <w:sz w:val="24"/>
        </w:rPr>
        <w:t xml:space="preserve">我单位郑重声明：</w:t>
      </w:r>
      <w:r/>
    </w:p>
    <w:p>
      <w:pPr>
        <w:ind w:left="0" w:firstLine="480"/>
        <w:spacing w:line="560" w:lineRule="exact"/>
        <w:rPr>
          <w:rFonts w:hint="eastAsia" w:hAnsi="宋体" w:cs="宋体"/>
          <w:sz w:val="24"/>
        </w:rPr>
      </w:pPr>
      <w:r>
        <w:rPr>
          <w:rFonts w:hint="eastAsia" w:hAnsi="宋体" w:cs="宋体"/>
          <w:sz w:val="24"/>
        </w:rPr>
      </w:r>
      <w:r/>
    </w:p>
    <w:p>
      <w:pPr>
        <w:ind w:left="0" w:firstLine="1200"/>
        <w:spacing w:line="560" w:lineRule="exact"/>
        <w:rPr>
          <w:rFonts w:hAnsi="宋体" w:cs="宋体"/>
          <w:sz w:val="24"/>
        </w:rPr>
      </w:pPr>
      <w:r>
        <w:rPr>
          <w:rFonts w:hint="eastAsia" w:hAnsi="宋体" w:cs="宋体"/>
          <w:sz w:val="24"/>
        </w:rPr>
        <w:t xml:space="preserve">我单位具备履行本项采购合同所必需的设备和专业技术能力。</w:t>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                              </w:t>
      </w:r>
      <w:r>
        <w:rPr>
          <w:rFonts w:hint="eastAsia" w:hAnsi="宋体" w:cs="宋体"/>
          <w:sz w:val="24"/>
          <w:lang w:val="en-US" w:eastAsia="zh-CN"/>
        </w:rPr>
        <w:t xml:space="preserve">                  </w:t>
      </w:r>
      <w:r>
        <w:rPr>
          <w:rFonts w:hint="eastAsia" w:hAnsi="宋体" w:cs="宋体"/>
          <w:sz w:val="24"/>
        </w:rPr>
        <w:t xml:space="preserve"> 投标单位（加盖公章）：</w:t>
      </w:r>
      <w:r/>
    </w:p>
    <w:p>
      <w:pPr>
        <w:ind w:firstLine="480"/>
        <w:jc w:val="center"/>
        <w:rPr>
          <w:rFonts w:hint="eastAsia" w:ascii="宋体" w:hAnsi="宋体"/>
          <w:sz w:val="24"/>
        </w:rPr>
      </w:pPr>
      <w:r>
        <w:rPr>
          <w:rFonts w:hint="eastAsia" w:ascii="宋体" w:hAnsi="宋体"/>
          <w:sz w:val="24"/>
        </w:rPr>
      </w:r>
      <w:r/>
    </w:p>
    <w:p>
      <w:pPr>
        <w:pStyle w:val="1025"/>
        <w:rPr>
          <w:rFonts w:hint="eastAsia" w:ascii="宋体" w:hAnsi="宋体"/>
          <w:sz w:val="24"/>
        </w:rPr>
      </w:pPr>
      <w:r>
        <w:rPr>
          <w:rFonts w:hint="eastAsia" w:ascii="宋体" w:hAnsi="宋体"/>
          <w:sz w:val="24"/>
        </w:rPr>
      </w:r>
      <w:r/>
    </w:p>
    <w:p>
      <w:pPr>
        <w:pStyle w:val="1025"/>
        <w:rPr>
          <w:rFonts w:hint="eastAsia" w:ascii="宋体" w:hAnsi="宋体"/>
          <w:sz w:val="24"/>
        </w:rPr>
      </w:pPr>
      <w:r>
        <w:rPr>
          <w:rFonts w:hint="eastAsia" w:ascii="宋体" w:hAnsi="宋体"/>
          <w:sz w:val="24"/>
        </w:rPr>
      </w:r>
      <w:r/>
    </w:p>
    <w:p>
      <w:pPr>
        <w:pStyle w:val="1066"/>
        <w:numPr>
          <w:ilvl w:val="0"/>
          <w:numId w:val="23"/>
        </w:numPr>
        <w:ind w:left="0" w:firstLine="0"/>
        <w:jc w:val="center"/>
        <w:keepLines w:val="0"/>
        <w:keepNext w:val="0"/>
        <w:pageBreakBefore/>
        <w:spacing w:line="440" w:lineRule="exact"/>
        <w:widowControl w:val="off"/>
        <w:rPr>
          <w:rFonts w:hint="eastAsia" w:ascii="宋体" w:hAnsi="宋体" w:eastAsia="宋体" w:cs="宋体"/>
          <w:b/>
          <w:sz w:val="32"/>
          <w:szCs w:val="32"/>
        </w:rPr>
        <w:outlineLvl w:val="9"/>
      </w:pPr>
      <w:r>
        <w:rPr>
          <w:rFonts w:hint="eastAsia" w:ascii="宋体" w:hAnsi="宋体" w:eastAsia="宋体" w:cs="宋体"/>
          <w:b/>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right"/>
        <w:keepLines w:val="0"/>
        <w:keepNext w:val="0"/>
        <w:rPr>
          <w:rFonts w:hint="eastAsia"/>
          <w:sz w:val="24"/>
        </w:rPr>
        <w:outlineLvl w:val="9"/>
      </w:pPr>
      <w:r>
        <w:rPr>
          <w:rFonts w:hint="eastAsia"/>
          <w:sz w:val="24"/>
        </w:rPr>
        <w:t xml:space="preserve">投标单位（加盖公章）：</w:t>
      </w:r>
      <w:r/>
    </w:p>
    <w:p>
      <w:pPr>
        <w:ind w:firstLine="480"/>
        <w:keepLines w:val="0"/>
        <w:keepNext w:val="0"/>
        <w:rPr>
          <w:rFonts w:hint="eastAsia"/>
          <w:sz w:val="24"/>
        </w:rPr>
        <w:outlineLvl w:val="9"/>
      </w:pPr>
      <w:r>
        <w:rPr>
          <w:rFonts w:hint="eastAsia"/>
          <w:sz w:val="24"/>
        </w:rPr>
      </w:r>
      <w:r/>
    </w:p>
    <w:p>
      <w:pPr>
        <w:pStyle w:val="1066"/>
        <w:numPr>
          <w:ilvl w:val="0"/>
          <w:numId w:val="23"/>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23"/>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right"/>
        <w:keepLines w:val="0"/>
        <w:keepNext w:val="0"/>
        <w:rPr>
          <w:rFonts w:hint="eastAsia" w:ascii="宋体" w:hAnsi="宋体"/>
          <w:sz w:val="24"/>
        </w:rPr>
        <w:outlineLvl w:val="9"/>
      </w:pPr>
      <w:r>
        <w:rPr>
          <w:rFonts w:hint="eastAsia" w:ascii="宋体" w:hAnsi="宋体"/>
          <w:sz w:val="24"/>
        </w:rPr>
        <w:t xml:space="preserve">     投标单位（加盖公章）：</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66"/>
        <w:numPr>
          <w:ilvl w:val="0"/>
          <w:numId w:val="23"/>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授权委托书</w:t>
      </w:r>
      <w:r/>
    </w:p>
    <w:p>
      <w:pPr>
        <w:pStyle w:val="1077"/>
        <w:ind w:firstLine="480"/>
        <w:keepLines w:val="0"/>
        <w:keepNext w:val="0"/>
        <w:pageBreakBefore w:val="0"/>
        <w:spacing w:line="440" w:lineRule="exact"/>
        <w:widowControl/>
        <w:rPr>
          <w:rStyle w:val="1021"/>
          <w:rFonts w:ascii="Times New Roman" w:hAnsi="Times New Roman" w:eastAsia="Times New Roman" w:cs="Times New Roman"/>
          <w:sz w:val="24"/>
          <w:szCs w:val="24"/>
        </w:rPr>
        <w:outlineLvl w:val="9"/>
      </w:pPr>
      <w:r>
        <w:rPr>
          <w:rStyle w:val="1021"/>
          <w:rFonts w:ascii="Times New Roman" w:hAnsi="Times New Roman" w:eastAsia="Times New Roman" w:cs="Times New Roman"/>
          <w:color w:val="000000"/>
        </w:rPr>
        <w:t xml:space="preserve">本授权书声明： </w:t>
      </w:r>
      <w:r>
        <w:rPr>
          <w:rStyle w:val="1021"/>
          <w:rFonts w:ascii="Times New Roman" w:hAnsi="Times New Roman" w:eastAsia="Times New Roman" w:cs="Times New Roman"/>
          <w:color w:val="000000"/>
          <w:u w:val="single"/>
        </w:rPr>
        <w:t xml:space="preserve">  （</w:t>
      </w:r>
      <w:r>
        <w:rPr>
          <w:rStyle w:val="1021"/>
          <w:rFonts w:hint="eastAsia" w:eastAsia="宋体" w:cs="Times New Roman"/>
          <w:color w:val="000000"/>
          <w:u w:val="single"/>
          <w:lang w:val="en-US" w:eastAsia="zh-CN"/>
        </w:rPr>
        <w:t xml:space="preserve">投标人</w:t>
      </w:r>
      <w:r>
        <w:rPr>
          <w:rStyle w:val="1021"/>
          <w:rFonts w:ascii="Times New Roman" w:hAnsi="Times New Roman" w:eastAsia="Times New Roman" w:cs="Times New Roman"/>
          <w:color w:val="000000"/>
          <w:u w:val="single"/>
        </w:rPr>
        <w:t xml:space="preserve">名称）</w:t>
      </w:r>
      <w:r>
        <w:rPr>
          <w:rStyle w:val="1021"/>
          <w:rFonts w:ascii="Times New Roman" w:hAnsi="Times New Roman" w:eastAsia="Times New Roman" w:cs="Times New Roman"/>
          <w:color w:val="000000"/>
        </w:rPr>
        <w:t xml:space="preserve">授权(</w:t>
      </w:r>
      <w:r>
        <w:rPr>
          <w:rStyle w:val="1021"/>
          <w:rFonts w:ascii="Times New Roman" w:hAnsi="Times New Roman" w:eastAsia="Times New Roman" w:cs="Times New Roman"/>
          <w:color w:val="000000"/>
          <w:u w:val="single"/>
        </w:rPr>
        <w:t xml:space="preserve">被授权人的姓名</w:t>
      </w:r>
      <w:r>
        <w:rPr>
          <w:rStyle w:val="1021"/>
          <w:rFonts w:ascii="Times New Roman" w:hAnsi="Times New Roman" w:eastAsia="Times New Roman" w:cs="Times New Roman"/>
          <w:color w:val="000000"/>
        </w:rPr>
        <w:t xml:space="preserve">)为我方就 </w:t>
      </w:r>
      <w:r>
        <w:rPr>
          <w:rStyle w:val="1021"/>
          <w:rFonts w:hint="eastAsia" w:eastAsia="宋体" w:cs="Times New Roman"/>
          <w:color w:val="000000"/>
          <w:u w:val="single"/>
          <w:lang w:val="en-US" w:eastAsia="zh-CN"/>
        </w:rPr>
        <w:t xml:space="preserve">     </w:t>
      </w:r>
      <w:r>
        <w:rPr>
          <w:rStyle w:val="1021"/>
          <w:rFonts w:ascii="Times New Roman" w:hAnsi="Times New Roman" w:eastAsia="Times New Roman" w:cs="Times New Roman"/>
          <w:color w:val="000000"/>
        </w:rPr>
        <w:t xml:space="preserve">项目采购活动的合法代理人，以本单位名义全权处理一切与该项目采购有关的事务。 </w:t>
      </w:r>
      <w:r/>
    </w:p>
    <w:p>
      <w:pPr>
        <w:pStyle w:val="1077"/>
        <w:ind w:firstLine="480"/>
        <w:keepLines w:val="0"/>
        <w:keepNext w:val="0"/>
        <w:pageBreakBefore w:val="0"/>
        <w:spacing w:line="440" w:lineRule="exact"/>
        <w:widowControl/>
        <w:rPr>
          <w:rStyle w:val="1021"/>
          <w:rFonts w:ascii="Times New Roman" w:hAnsi="Times New Roman" w:eastAsia="Times New Roman" w:cs="Times New Roman"/>
          <w:sz w:val="24"/>
          <w:szCs w:val="24"/>
        </w:rPr>
        <w:outlineLvl w:val="9"/>
      </w:pPr>
      <w:r>
        <w:rPr>
          <w:rStyle w:val="1021"/>
          <w:rFonts w:ascii="Times New Roman" w:hAnsi="Times New Roman" w:eastAsia="Times New Roman" w:cs="Times New Roman"/>
          <w:color w:val="000000"/>
        </w:rPr>
        <w:t xml:space="preserve">本授权书于</w:t>
      </w:r>
      <w:r>
        <w:rPr>
          <w:rStyle w:val="1021"/>
          <w:rFonts w:hint="eastAsia" w:eastAsia="宋体" w:cs="Times New Roman"/>
          <w:color w:val="000000"/>
          <w:u w:val="single"/>
          <w:lang w:val="en-US" w:eastAsia="zh-CN"/>
        </w:rPr>
        <w:t xml:space="preserve">        </w:t>
      </w:r>
      <w:r>
        <w:rPr>
          <w:rStyle w:val="1021"/>
          <w:rFonts w:ascii="Times New Roman" w:hAnsi="Times New Roman" w:eastAsia="Times New Roman" w:cs="Times New Roman"/>
          <w:color w:val="000000"/>
        </w:rPr>
        <w:t xml:space="preserve">起生效，特此声明。  </w:t>
      </w:r>
      <w:r/>
    </w:p>
    <w:p>
      <w:pPr>
        <w:pStyle w:val="1077"/>
        <w:ind w:firstLine="480"/>
        <w:keepLines w:val="0"/>
        <w:keepNext w:val="0"/>
        <w:pageBreakBefore w:val="0"/>
        <w:spacing w:line="440" w:lineRule="exact"/>
        <w:widowControl/>
        <w:rPr>
          <w:rStyle w:val="1021"/>
          <w:rFonts w:ascii="Times New Roman" w:hAnsi="Times New Roman" w:eastAsia="Times New Roman" w:cs="Times New Roman"/>
          <w:sz w:val="24"/>
          <w:szCs w:val="24"/>
        </w:rPr>
        <w:outlineLvl w:val="9"/>
      </w:pPr>
      <w:r>
        <w:rPr>
          <w:rStyle w:val="1021"/>
          <w:rFonts w:ascii="Times New Roman" w:hAnsi="Times New Roman" w:eastAsia="Times New Roman" w:cs="Times New Roman"/>
          <w:color w:val="000000"/>
        </w:rPr>
        <w:t xml:space="preserve"> </w:t>
      </w:r>
      <w:r/>
    </w:p>
    <w:p>
      <w:pPr>
        <w:pStyle w:val="1077"/>
        <w:ind w:firstLine="4560"/>
        <w:keepLines w:val="0"/>
        <w:keepNext w:val="0"/>
        <w:spacing w:before="240" w:after="240"/>
        <w:rPr>
          <w:rStyle w:val="1021"/>
          <w:rFonts w:ascii="Times New Roman" w:hAnsi="Times New Roman" w:eastAsia="Times New Roman" w:cs="Times New Roman"/>
          <w:sz w:val="24"/>
          <w:szCs w:val="24"/>
        </w:rPr>
        <w:outlineLvl w:val="9"/>
      </w:pPr>
      <w:r>
        <w:rPr>
          <w:rStyle w:val="1021"/>
          <w:rFonts w:ascii="Times New Roman" w:hAnsi="Times New Roman" w:eastAsia="Times New Roman" w:cs="Times New Roman"/>
          <w:color w:val="000000"/>
        </w:rPr>
        <w:t xml:space="preserve">被授权人身份证号码：   </w:t>
      </w:r>
      <w:r/>
    </w:p>
    <w:p>
      <w:pPr>
        <w:pStyle w:val="1077"/>
        <w:ind w:firstLine="4560"/>
        <w:keepLines w:val="0"/>
        <w:keepNext w:val="0"/>
        <w:spacing w:before="240" w:after="240"/>
        <w:rPr>
          <w:rStyle w:val="1021"/>
          <w:rFonts w:ascii="Times New Roman" w:hAnsi="Times New Roman" w:eastAsia="Times New Roman" w:cs="Times New Roman"/>
          <w:color w:val="000000"/>
        </w:rPr>
        <w:outlineLvl w:val="9"/>
      </w:pPr>
      <w:r>
        <w:rPr>
          <w:rStyle w:val="1021"/>
          <w:rFonts w:ascii="Times New Roman" w:hAnsi="Times New Roman" w:eastAsia="Times New Roman" w:cs="Times New Roman"/>
          <w:color w:val="000000"/>
        </w:rPr>
        <w:t xml:space="preserve">被授权人联系电话：（手机）   </w:t>
      </w:r>
      <w:r/>
    </w:p>
    <w:p>
      <w:pPr>
        <w:pStyle w:val="1077"/>
        <w:ind w:firstLine="4560"/>
        <w:keepLines w:val="0"/>
        <w:keepNext w:val="0"/>
        <w:spacing w:before="240" w:after="240"/>
        <w:rPr>
          <w:rStyle w:val="1021"/>
          <w:rFonts w:ascii="Times New Roman" w:hAnsi="Times New Roman" w:eastAsia="Times New Roman" w:cs="Times New Roman"/>
          <w:color w:val="000000"/>
        </w:rPr>
        <w:outlineLvl w:val="9"/>
      </w:pPr>
      <w:r>
        <w:rPr>
          <w:rStyle w:val="1021"/>
          <w:rFonts w:ascii="Times New Roman" w:hAnsi="Times New Roman" w:eastAsia="Times New Roman" w:cs="Times New Roman"/>
          <w:color w:val="000000"/>
        </w:rPr>
        <w:t xml:space="preserve">授权单位名称：   （加盖公章）</w:t>
      </w:r>
      <w:r/>
    </w:p>
    <w:p>
      <w:pPr>
        <w:pStyle w:val="1077"/>
        <w:ind w:firstLine="4560"/>
        <w:keepLines w:val="0"/>
        <w:keepNext w:val="0"/>
        <w:spacing w:before="240" w:after="240"/>
        <w:rPr>
          <w:rStyle w:val="1021"/>
          <w:rFonts w:ascii="Times New Roman" w:hAnsi="Times New Roman" w:eastAsia="Times New Roman" w:cs="Times New Roman"/>
          <w:color w:val="000000"/>
        </w:rPr>
        <w:outlineLvl w:val="9"/>
      </w:pPr>
      <w:r>
        <w:rPr>
          <w:rStyle w:val="1021"/>
          <w:rFonts w:ascii="Times New Roman" w:hAnsi="Times New Roman" w:eastAsia="Times New Roman" w:cs="Times New Roman"/>
          <w:color w:val="000000"/>
        </w:rPr>
        <w:t xml:space="preserve">单位地址：   </w:t>
      </w:r>
      <w:r/>
    </w:p>
    <w:p>
      <w:pPr>
        <w:pStyle w:val="1077"/>
        <w:ind w:firstLine="4560"/>
        <w:keepLines w:val="0"/>
        <w:keepNext w:val="0"/>
        <w:spacing w:before="240" w:after="240"/>
        <w:rPr>
          <w:rStyle w:val="1021"/>
          <w:rFonts w:ascii="Times New Roman" w:hAnsi="Times New Roman" w:eastAsia="Times New Roman" w:cs="Times New Roman"/>
          <w:color w:val="000000"/>
        </w:rPr>
        <w:outlineLvl w:val="9"/>
      </w:pPr>
      <w:r>
        <w:rPr>
          <w:rStyle w:val="1021"/>
          <w:rFonts w:ascii="Times New Roman" w:hAnsi="Times New Roman" w:eastAsia="Times New Roman" w:cs="Times New Roman"/>
          <w:color w:val="000000"/>
        </w:rPr>
        <w:t xml:space="preserve">日期：</w:t>
      </w:r>
      <w:r/>
    </w:p>
    <w:p>
      <w:pPr>
        <w:pStyle w:val="1066"/>
        <w:numPr>
          <w:ilvl w:val="0"/>
          <w:numId w:val="23"/>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中小企业声明函（服务）</w:t>
      </w:r>
      <w:r/>
    </w:p>
    <w:p>
      <w:pPr>
        <w:pStyle w:val="1083"/>
        <w:keepLines w:val="0"/>
        <w:keepNext w:val="0"/>
        <w:spacing w:before="240" w:after="240"/>
        <w:rPr>
          <w:rStyle w:val="1021"/>
          <w:rFonts w:ascii="宋体" w:hAnsi="宋体" w:eastAsia="宋体" w:cs="宋体"/>
          <w:sz w:val="32"/>
          <w:szCs w:val="32"/>
        </w:rPr>
        <w:outlineLvl w:val="9"/>
      </w:pPr>
      <w:r>
        <w:rPr>
          <w:rStyle w:val="1021"/>
          <w:rFonts w:ascii="宋体" w:hAnsi="宋体" w:eastAsia="宋体" w:cs="宋体"/>
          <w:color w:val="000000"/>
        </w:rPr>
        <w:t xml:space="preserve"> </w:t>
      </w:r>
      <w:r/>
    </w:p>
    <w:p>
      <w:pPr>
        <w:pStyle w:val="1083"/>
        <w:keepLines w:val="0"/>
        <w:keepNext w:val="0"/>
        <w:spacing w:before="240" w:after="240"/>
        <w:rPr>
          <w:rStyle w:val="1021"/>
          <w:rFonts w:ascii="宋体" w:hAnsi="宋体" w:eastAsia="宋体" w:cs="宋体"/>
          <w:color w:val="000000"/>
        </w:rPr>
        <w:outlineLvl w:val="9"/>
      </w:pPr>
      <w:r>
        <w:rPr>
          <w:rStyle w:val="1021"/>
          <w:rFonts w:ascii="宋体" w:hAnsi="宋体" w:eastAsia="宋体" w:cs="宋体"/>
          <w:color w:val="000000"/>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pStyle w:val="1083"/>
        <w:ind w:firstLine="480"/>
        <w:keepLines w:val="0"/>
        <w:keepNext w:val="0"/>
        <w:spacing w:before="240" w:after="240"/>
        <w:rPr>
          <w:rStyle w:val="1021"/>
          <w:rFonts w:ascii="宋体" w:hAnsi="宋体" w:eastAsia="宋体" w:cs="宋体"/>
          <w:color w:val="000000"/>
        </w:rPr>
        <w:outlineLvl w:val="9"/>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本企业对上述声明内容的真实性负责。如有虚假，将依法承担相应责任。 </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企业名称（盖章）：   </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日期：   </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注：供应商对照《关于印发中小企业划型标准规定的通知》（工信部联企业【2011】300号）中的标准，明确标的承接企业所属企业类型。</w:t>
      </w:r>
      <w:r/>
    </w:p>
    <w:p>
      <w:pPr>
        <w:pStyle w:val="1083"/>
        <w:keepLines w:val="0"/>
        <w:keepNext w:val="0"/>
        <w:spacing w:before="240" w:after="240"/>
        <w:rPr>
          <w:rStyle w:val="1021"/>
          <w:rFonts w:ascii="宋体" w:hAnsi="宋体" w:eastAsia="宋体" w:cs="宋体"/>
          <w:color w:val="000000"/>
        </w:rPr>
        <w:outlineLvl w:val="9"/>
      </w:pPr>
      <w:r>
        <w:rPr>
          <w:rStyle w:val="1021"/>
          <w:rFonts w:ascii="宋体" w:hAnsi="宋体" w:eastAsia="宋体" w:cs="宋体"/>
          <w:color w:val="000000"/>
        </w:rPr>
        <w:t xml:space="preserve">备注：</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1.从业人员、营业收入、资产总额填报上一年度数据，无上一年度数据的新成立企业可不填报。</w:t>
      </w:r>
      <w:r/>
    </w:p>
    <w:p>
      <w:pPr>
        <w:pStyle w:val="1083"/>
        <w:keepLines w:val="0"/>
        <w:keepNext w:val="0"/>
        <w:spacing w:before="240" w:after="240"/>
        <w:rPr>
          <w:rStyle w:val="1021"/>
          <w:rFonts w:ascii="宋体" w:hAnsi="宋体" w:eastAsia="宋体" w:cs="宋体"/>
          <w:b w:val="0"/>
          <w:bCs w:val="0"/>
          <w:sz w:val="24"/>
          <w:szCs w:val="24"/>
        </w:rPr>
        <w:outlineLvl w:val="9"/>
      </w:pPr>
      <w:r>
        <w:rPr>
          <w:rStyle w:val="1021"/>
          <w:rFonts w:ascii="宋体" w:hAnsi="宋体" w:eastAsia="宋体" w:cs="宋体"/>
          <w:b w:val="0"/>
          <w:bCs w:val="0"/>
          <w:color w:val="000000"/>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 附：中小企业划型标准规定</w:t>
      </w:r>
      <w:r/>
    </w:p>
    <w:p>
      <w:pPr>
        <w:pStyle w:val="1083"/>
        <w:keepLines w:val="0"/>
        <w:keepNext w:val="0"/>
        <w:spacing w:before="240" w:after="240"/>
        <w:rPr>
          <w:rStyle w:val="1021"/>
          <w:rFonts w:ascii="宋体" w:hAnsi="宋体" w:eastAsia="宋体" w:cs="宋体"/>
          <w:color w:val="000000"/>
        </w:rPr>
        <w:outlineLvl w:val="9"/>
      </w:pPr>
      <w:r>
        <w:rPr>
          <w:rStyle w:val="1021"/>
          <w:rFonts w:ascii="宋体" w:hAnsi="宋体" w:eastAsia="宋体" w:cs="宋体"/>
          <w:color w:val="000000"/>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66"/>
        <w:numPr>
          <w:ilvl w:val="0"/>
          <w:numId w:val="23"/>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残疾人福利性单位声明函（专门面向中小企业）</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 </w:t>
      </w:r>
      <w:r/>
    </w:p>
    <w:p>
      <w:pPr>
        <w:pStyle w:val="1090"/>
        <w:jc w:val="center"/>
        <w:keepLines w:val="0"/>
        <w:keepNext w:val="0"/>
        <w:spacing w:before="320" w:after="320"/>
        <w:rPr>
          <w:rStyle w:val="1021"/>
          <w:rFonts w:ascii="宋体" w:hAnsi="宋体" w:eastAsia="宋体" w:cs="宋体"/>
          <w:sz w:val="32"/>
          <w:szCs w:val="32"/>
        </w:rPr>
        <w:outlineLvl w:val="9"/>
      </w:pPr>
      <w:r>
        <w:rPr>
          <w:rStyle w:val="1021"/>
          <w:rFonts w:ascii="宋体" w:hAnsi="宋体" w:eastAsia="宋体" w:cs="宋体"/>
          <w:color w:val="000000"/>
          <w:sz w:val="32"/>
          <w:szCs w:val="32"/>
        </w:rPr>
        <w:t xml:space="preserve">残疾人福利性单位声明函</w:t>
      </w:r>
      <w:r/>
    </w:p>
    <w:p>
      <w:pPr>
        <w:pStyle w:val="1090"/>
        <w:keepLines w:val="0"/>
        <w:keepNext w:val="0"/>
        <w:spacing w:before="240" w:after="240"/>
        <w:rPr>
          <w:rStyle w:val="1021"/>
          <w:rFonts w:ascii="宋体" w:hAnsi="宋体" w:eastAsia="宋体" w:cs="宋体"/>
          <w:sz w:val="32"/>
          <w:szCs w:val="32"/>
        </w:rPr>
        <w:outlineLvl w:val="9"/>
      </w:pPr>
      <w:r>
        <w:rPr>
          <w:rStyle w:val="1021"/>
          <w:rFonts w:ascii="宋体" w:hAnsi="宋体" w:eastAsia="宋体" w:cs="宋体"/>
          <w:color w:val="000000"/>
        </w:rPr>
        <w:t xml:space="preserve">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本单位对上述声明的真实性负责。如有虚假，将依法承担相应责任。</w:t>
      </w:r>
      <w:r/>
    </w:p>
    <w:p>
      <w:pPr>
        <w:pStyle w:val="1090"/>
        <w:jc w:val="center"/>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 </w:t>
      </w:r>
      <w:r/>
    </w:p>
    <w:p>
      <w:pPr>
        <w:pStyle w:val="1090"/>
        <w:jc w:val="center"/>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单位名称（盖章）：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日期：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供应商提供的《残疾人福利性单位声明函》与事实不符的，依照《政府采购法》第七十七条第一款的规定追究法律责任。</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pStyle w:val="1066"/>
        <w:numPr>
          <w:ilvl w:val="0"/>
          <w:numId w:val="23"/>
        </w:numPr>
        <w:ind w:left="0" w:firstLine="0"/>
        <w:jc w:val="center"/>
        <w:keepLines w:val="0"/>
        <w:keepNext w:val="0"/>
        <w:pageBreakBefore/>
        <w:spacing w:line="440" w:lineRule="exact"/>
        <w:widowControl w:val="off"/>
        <w:rPr>
          <w:rStyle w:val="1021"/>
          <w:rFonts w:ascii="Times New Roman" w:hAnsi="Times New Roman" w:eastAsia="Times New Roman" w:cs="Times New Roman"/>
        </w:rPr>
        <w:outlineLvl w:val="9"/>
      </w:pPr>
      <w:r>
        <w:rPr>
          <w:rFonts w:hint="eastAsia" w:ascii="宋体" w:hAnsi="宋体" w:eastAsia="宋体" w:cs="宋体"/>
          <w:b/>
          <w:sz w:val="32"/>
          <w:szCs w:val="32"/>
          <w:lang w:val="en-US" w:eastAsia="zh-CN" w:bidi="ar-SA"/>
        </w:rPr>
        <w:t xml:space="preserve">监狱企业的证明文件（专门面向中小企业）</w:t>
      </w:r>
      <w:r/>
    </w:p>
    <w:p>
      <w:pPr>
        <w:pStyle w:val="1092"/>
        <w:jc w:val="center"/>
        <w:keepLines w:val="0"/>
        <w:keepNext w:val="0"/>
        <w:rPr>
          <w:rStyle w:val="1021"/>
          <w:rFonts w:hint="eastAsia" w:ascii="Calibri" w:hAnsi="Calibri" w:eastAsia="宋体" w:cs="Times New Roman"/>
          <w:color w:val="000000"/>
          <w:sz w:val="32"/>
          <w:szCs w:val="32"/>
        </w:rPr>
        <w:outlineLvl w:val="9"/>
      </w:pPr>
      <w:r>
        <w:rPr>
          <w:rFonts w:hint="eastAsia" w:ascii="Calibri" w:hAnsi="Calibri" w:eastAsia="宋体" w:cs="Times New Roman"/>
          <w:color w:val="000000"/>
          <w:sz w:val="32"/>
          <w:szCs w:val="32"/>
        </w:rPr>
      </w:r>
      <w:r/>
    </w:p>
    <w:p>
      <w:pPr>
        <w:pStyle w:val="1092"/>
        <w:jc w:val="center"/>
        <w:keepLines w:val="0"/>
        <w:keepNext w:val="0"/>
        <w:rPr>
          <w:rStyle w:val="1021"/>
          <w:rFonts w:ascii="Calibri" w:hAnsi="Calibri" w:eastAsia="宋体" w:cs="Times New Roman"/>
          <w:sz w:val="32"/>
          <w:szCs w:val="32"/>
        </w:rPr>
        <w:outlineLvl w:val="9"/>
      </w:pPr>
      <w:r>
        <w:rPr>
          <w:rStyle w:val="1021"/>
          <w:rFonts w:hint="eastAsia" w:ascii="Calibri" w:hAnsi="Calibri" w:eastAsia="宋体" w:cs="Times New Roman"/>
          <w:color w:val="000000"/>
          <w:sz w:val="32"/>
          <w:szCs w:val="32"/>
        </w:rPr>
        <w:t xml:space="preserve">监狱企业的证明文件</w:t>
      </w:r>
      <w:r/>
    </w:p>
    <w:p>
      <w:pPr>
        <w:pStyle w:val="1092"/>
        <w:keepLines w:val="0"/>
        <w:keepNext w:val="0"/>
        <w:rPr>
          <w:rStyle w:val="1021"/>
          <w:rFonts w:ascii="等线" w:hAnsi="等线" w:eastAsia="等线" w:cs="Times New Roman"/>
        </w:rPr>
        <w:outlineLvl w:val="9"/>
      </w:pPr>
      <w:r>
        <w:rPr>
          <w:rFonts w:ascii="等线" w:hAnsi="等线" w:eastAsia="等线" w:cs="Times New Roman"/>
        </w:rPr>
      </w:r>
      <w:r/>
    </w:p>
    <w:p>
      <w:pPr>
        <w:pStyle w:val="1092"/>
        <w:ind w:firstLine="480"/>
        <w:keepLines w:val="0"/>
        <w:keepNext w:val="0"/>
        <w:spacing w:line="440" w:lineRule="exact"/>
        <w:rPr>
          <w:rStyle w:val="1021"/>
          <w:rFonts w:ascii="宋体" w:hAnsi="宋体" w:eastAsia="宋体" w:cs="宋体"/>
          <w:color w:val="000000"/>
          <w:sz w:val="24"/>
          <w:szCs w:val="24"/>
        </w:rPr>
        <w:outlineLvl w:val="9"/>
      </w:pPr>
      <w:r>
        <w:rPr>
          <w:rStyle w:val="1021"/>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92"/>
        <w:keepLines w:val="0"/>
        <w:keepNext w:val="0"/>
        <w:rPr>
          <w:rStyle w:val="1021"/>
          <w:rFonts w:ascii="等线" w:hAnsi="等线" w:eastAsia="等线" w:cs="Times New Roman"/>
        </w:rPr>
        <w:outlineLvl w:val="9"/>
      </w:pPr>
      <w:r>
        <w:rPr>
          <w:rStyle w:val="1021"/>
          <w:rFonts w:hint="eastAsia" w:ascii="等线" w:hAnsi="等线" w:eastAsia="等线" w:cs="Times New Roman"/>
          <w:color w:val="000000"/>
        </w:rPr>
        <w:t xml:space="preserve">      </w:t>
      </w:r>
      <w:r/>
    </w:p>
    <w:p>
      <w:pPr>
        <w:pStyle w:val="1092"/>
        <w:ind w:firstLine="480"/>
        <w:keepLines w:val="0"/>
        <w:keepNext w:val="0"/>
        <w:spacing w:line="440" w:lineRule="exact"/>
        <w:rPr>
          <w:rStyle w:val="1021"/>
          <w:rFonts w:ascii="宋体" w:hAnsi="宋体" w:eastAsia="宋体" w:cs="宋体"/>
          <w:color w:val="000000"/>
          <w:sz w:val="24"/>
          <w:szCs w:val="24"/>
        </w:rPr>
        <w:outlineLvl w:val="9"/>
      </w:pPr>
      <w:r>
        <w:rPr>
          <w:rStyle w:val="1021"/>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 </w:t>
      </w:r>
      <w:r/>
    </w:p>
    <w:p>
      <w:pPr>
        <w:pStyle w:val="1077"/>
        <w:ind w:firstLine="4560"/>
        <w:keepLines w:val="0"/>
        <w:keepNext w:val="0"/>
        <w:spacing w:before="240" w:after="240"/>
        <w:rPr>
          <w:rStyle w:val="1021"/>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numPr>
          <w:ilvl w:val="0"/>
          <w:numId w:val="21"/>
        </w:numPr>
        <w:ind w:left="0" w:firstLine="0"/>
        <w:jc w:val="center"/>
        <w:keepLines w:val="0"/>
        <w:keepNext w:val="0"/>
        <w:pageBreakBefore/>
        <w:spacing w:before="120" w:after="120" w:line="440" w:lineRule="exact"/>
        <w:widowControl w:val="off"/>
        <w:rPr>
          <w:b/>
          <w:bCs/>
          <w:sz w:val="32"/>
          <w:szCs w:val="32"/>
        </w:rPr>
        <w:outlineLvl w:val="1"/>
      </w:pPr>
      <w:r>
        <w:rPr>
          <w:rFonts w:hint="eastAsia" w:ascii="宋体" w:hAnsi="宋体" w:eastAsia="宋体" w:cs="Times New Roman"/>
          <w:b/>
          <w:bCs/>
          <w:sz w:val="32"/>
          <w:szCs w:val="32"/>
          <w:highlight w:val="none"/>
        </w:rPr>
        <w:t xml:space="preserve">投标</w:t>
      </w:r>
      <w:r>
        <w:rPr>
          <w:b/>
          <w:bCs/>
          <w:sz w:val="32"/>
          <w:szCs w:val="32"/>
        </w:rPr>
        <w:t xml:space="preserve">配置及分项报价表</w:t>
      </w:r>
      <w:r/>
    </w:p>
    <w:tbl>
      <w:tblPr>
        <w:tblStyle w:val="851"/>
        <w:tblW w:w="0" w:type="auto"/>
        <w:jc w:val="center"/>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1421"/>
        <w:gridCol w:w="1068"/>
        <w:gridCol w:w="1067"/>
        <w:gridCol w:w="1068"/>
        <w:gridCol w:w="1067"/>
      </w:tblGrid>
      <w:tr>
        <w:trPr>
          <w:jc w:val="cente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0"/>
              <w:jc w:val="center"/>
              <w:spacing w:line="240" w:lineRule="auto"/>
              <w:widowControl/>
              <w:rPr>
                <w:sz w:val="24"/>
              </w:rPr>
            </w:pPr>
            <w:r>
              <w:rPr>
                <w:sz w:val="24"/>
              </w:rPr>
              <w:t xml:space="preserve">序号</w:t>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ind w:firstLine="0"/>
              <w:jc w:val="center"/>
              <w:spacing w:line="240" w:lineRule="auto"/>
              <w:widowControl/>
              <w:rPr>
                <w:sz w:val="24"/>
              </w:rPr>
            </w:pPr>
            <w:r>
              <w:rPr>
                <w:sz w:val="24"/>
              </w:rPr>
              <w:t xml:space="preserve">设备名称</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ind w:firstLine="0"/>
              <w:jc w:val="center"/>
              <w:spacing w:line="240" w:lineRule="auto"/>
              <w:widowControl/>
              <w:rPr>
                <w:sz w:val="24"/>
              </w:rPr>
            </w:pPr>
            <w:r>
              <w:rPr>
                <w:sz w:val="24"/>
              </w:rPr>
              <w:t xml:space="preserve">产地</w:t>
            </w:r>
            <w:r/>
          </w:p>
        </w:tc>
        <w:tc>
          <w:tcPr>
            <w:tcBorders>
              <w:top w:val="single" w:color="000000" w:sz="4" w:space="0"/>
              <w:left w:val="none" w:color="000000" w:sz="4" w:space="0"/>
              <w:bottom w:val="single" w:color="000000" w:sz="4" w:space="0"/>
              <w:right w:val="single" w:color="000000" w:sz="4" w:space="0"/>
            </w:tcBorders>
            <w:tcW w:w="1421" w:type="dxa"/>
            <w:vAlign w:val="center"/>
            <w:textDirection w:val="lrTb"/>
            <w:noWrap w:val="false"/>
          </w:tcPr>
          <w:p>
            <w:pPr>
              <w:ind w:firstLine="0"/>
              <w:jc w:val="center"/>
              <w:spacing w:line="240" w:lineRule="auto"/>
              <w:widowControl/>
              <w:rPr>
                <w:sz w:val="24"/>
              </w:rPr>
            </w:pPr>
            <w:r>
              <w:rPr>
                <w:sz w:val="24"/>
              </w:rPr>
              <w:t xml:space="preserve">品牌型号</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t xml:space="preserve">数量</w:t>
            </w:r>
            <w:r/>
          </w:p>
        </w:tc>
        <w:tc>
          <w:tcPr>
            <w:tcBorders>
              <w:top w:val="singl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t xml:space="preserve">单位</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t xml:space="preserve">单价（元）</w:t>
            </w:r>
            <w:r/>
          </w:p>
        </w:tc>
        <w:tc>
          <w:tcPr>
            <w:tcBorders>
              <w:top w:val="singl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t xml:space="preserve">总价（元）</w:t>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0"/>
              <w:jc w:val="center"/>
              <w:spacing w:line="240" w:lineRule="auto"/>
              <w:widowControl/>
              <w:rPr>
                <w:sz w:val="24"/>
              </w:rPr>
            </w:pPr>
            <w:r>
              <w:rPr>
                <w:sz w:val="24"/>
              </w:rPr>
              <w:t xml:space="preserve">1</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0"/>
              <w:jc w:val="center"/>
              <w:spacing w:line="240" w:lineRule="auto"/>
              <w:widowControl/>
              <w:rPr>
                <w:sz w:val="24"/>
              </w:rPr>
            </w:pPr>
            <w:r>
              <w:rPr>
                <w:sz w:val="24"/>
              </w:rPr>
              <w:t xml:space="preserve">2</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0"/>
              <w:jc w:val="center"/>
              <w:spacing w:line="240" w:lineRule="auto"/>
              <w:widowControl/>
              <w:rPr>
                <w:sz w:val="24"/>
              </w:rPr>
            </w:pPr>
            <w:r>
              <w:rPr>
                <w:sz w:val="24"/>
              </w:rPr>
              <w:t xml:space="preserve">3</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0"/>
              <w:jc w:val="center"/>
              <w:keepLines w:val="0"/>
              <w:keepNext w:val="0"/>
              <w:pageBreakBefore w:val="0"/>
              <w:spacing w:line="240" w:lineRule="auto"/>
              <w:widowControl/>
              <w:rPr>
                <w:rFonts w:eastAsia="宋体"/>
                <w:sz w:val="24"/>
                <w:lang w:val="en-US" w:eastAsia="zh-CN"/>
              </w:rPr>
            </w:pPr>
            <w:r>
              <w:rPr>
                <w:rFonts w:hint="eastAsia"/>
                <w:sz w:val="24"/>
                <w:lang w:val="en-US" w:eastAsia="zh-CN"/>
              </w:rPr>
              <w:t xml:space="preserve">...</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ind w:firstLine="0"/>
              <w:jc w:val="center"/>
              <w:keepLines w:val="0"/>
              <w:keepNext w:val="0"/>
              <w:pageBreakBefore w:val="0"/>
              <w:spacing w:line="240" w:lineRule="auto"/>
              <w:widowControl/>
              <w:rPr>
                <w:rFonts w:eastAsia="宋体"/>
                <w:sz w:val="24"/>
                <w:lang w:val="en-US" w:eastAsia="zh-CN"/>
              </w:rPr>
            </w:pPr>
            <w:r>
              <w:rPr>
                <w:rFonts w:hint="eastAsia"/>
                <w:sz w:val="24"/>
                <w:lang w:val="en-US" w:eastAsia="zh-CN"/>
              </w:rPr>
              <w:t xml:space="preserve">...</w:t>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r>
            <w:r/>
          </w:p>
        </w:tc>
      </w:tr>
      <w:tr>
        <w:trPr>
          <w:cantSplit/>
          <w:jc w:val="center"/>
          <w:trHeight w:val="567"/>
        </w:trPr>
        <w:tc>
          <w:tcPr>
            <w:gridSpan w:val="8"/>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ind w:firstLine="0"/>
              <w:jc w:val="left"/>
              <w:spacing w:line="240" w:lineRule="auto"/>
              <w:widowControl/>
              <w:rPr>
                <w:sz w:val="24"/>
              </w:rPr>
            </w:pPr>
            <w:r>
              <w:rPr>
                <w:b/>
                <w:sz w:val="24"/>
              </w:rPr>
              <w:t xml:space="preserve">合计</w:t>
            </w:r>
            <w:r>
              <w:rPr>
                <w:sz w:val="24"/>
              </w:rPr>
              <w:t xml:space="preserve">：                 元（大写：          ）</w:t>
            </w:r>
            <w:r/>
          </w:p>
        </w:tc>
      </w:tr>
    </w:tbl>
    <w:p>
      <w:pPr>
        <w:ind w:firstLine="0"/>
        <w:spacing w:line="360" w:lineRule="auto"/>
        <w:rPr>
          <w:sz w:val="24"/>
        </w:rPr>
      </w:pPr>
      <w:r>
        <w:rPr>
          <w:sz w:val="24"/>
        </w:rPr>
      </w:r>
      <w:r/>
    </w:p>
    <w:p>
      <w:pPr>
        <w:ind w:firstLine="482"/>
        <w:spacing w:line="360" w:lineRule="auto"/>
        <w:rPr>
          <w:b/>
          <w:bCs/>
          <w:sz w:val="24"/>
        </w:rPr>
      </w:pPr>
      <w:r>
        <w:rPr>
          <w:b/>
          <w:bCs/>
          <w:sz w:val="24"/>
        </w:rPr>
        <w:t xml:space="preserve">注：</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1．以上表格中各项可进一步细分，栏数不够可自加，要求按功能模块细分项目及报价；技术要求详见招标文件第四章项目需求；此表的总计金额应与开标一览表相符</w:t>
      </w:r>
      <w:r>
        <w:rPr>
          <w:rFonts w:hint="eastAsia" w:ascii="宋体" w:hAnsi="宋体" w:eastAsia="宋体" w:cs="宋体"/>
          <w:b/>
          <w:bCs/>
          <w:sz w:val="24"/>
          <w:lang w:eastAsia="zh-CN"/>
        </w:rPr>
        <w:t xml:space="preserve">，如有不符，以开标一览表为准。</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2．请提供本标书要求</w:t>
      </w:r>
      <w:r>
        <w:rPr>
          <w:rFonts w:hint="eastAsia" w:ascii="宋体" w:hAnsi="宋体" w:eastAsia="宋体" w:cs="宋体"/>
          <w:b/>
          <w:bCs/>
          <w:color w:val="000000"/>
          <w:sz w:val="24"/>
          <w:szCs w:val="24"/>
        </w:rPr>
        <w:t xml:space="preserve">按照就餐费用以及人工成本费用进行分项报价</w:t>
      </w:r>
      <w:r>
        <w:rPr>
          <w:rFonts w:hint="eastAsia" w:ascii="宋体" w:hAnsi="宋体" w:eastAsia="宋体" w:cs="宋体"/>
          <w:b/>
          <w:bCs/>
          <w:sz w:val="24"/>
        </w:rPr>
        <w:t xml:space="preserve">。</w:t>
      </w:r>
      <w:r/>
    </w:p>
    <w:p>
      <w:pPr>
        <w:ind w:firstLine="482"/>
        <w:jc w:val="left"/>
        <w:keepLines w:val="0"/>
        <w:keepNext w:val="0"/>
        <w:pageBreakBefore w:val="0"/>
        <w:spacing w:line="360" w:lineRule="auto"/>
        <w:widowControl w:val="off"/>
        <w:rPr>
          <w:rStyle w:val="1021"/>
          <w:rFonts w:hint="eastAsia" w:ascii="宋体" w:hAnsi="宋体" w:eastAsia="宋体" w:cs="宋体"/>
          <w:sz w:val="24"/>
          <w:szCs w:val="24"/>
        </w:rPr>
        <w:outlineLvl w:val="9"/>
      </w:pP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．若无品牌，可填“自制”。 </w:t>
      </w:r>
      <w:r/>
    </w:p>
    <w:p>
      <w:pPr>
        <w:pStyle w:val="1049"/>
        <w:rPr>
          <w:rFonts w:hint="eastAsia"/>
        </w:rPr>
      </w:pPr>
      <w:r>
        <w:rPr>
          <w:rFonts w:hint="eastAsia"/>
        </w:rPr>
      </w:r>
      <w:r/>
    </w:p>
    <w:p>
      <w:pPr>
        <w:pStyle w:val="1049"/>
        <w:rPr>
          <w:rFonts w:hint="eastAsia"/>
        </w:rPr>
      </w:pPr>
      <w:r>
        <w:rPr>
          <w:rFonts w:hint="eastAsia"/>
        </w:rPr>
      </w:r>
      <w:r/>
    </w:p>
    <w:p>
      <w:pPr>
        <w:numPr>
          <w:ilvl w:val="0"/>
          <w:numId w:val="21"/>
        </w:numPr>
        <w:ind w:left="0" w:firstLine="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经费测算明细表</w:t>
      </w:r>
      <w:r/>
    </w:p>
    <w:tbl>
      <w:tblPr>
        <w:tblStyle w:val="851"/>
        <w:tblpPr w:horzAnchor="text" w:tblpXSpec="center" w:vertAnchor="text" w:tblpY="1" w:leftFromText="180" w:topFromText="0" w:rightFromText="180" w:bottomFromText="0"/>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jc w:val="center"/>
          <w:trHeight w:val="1258"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序号</w:t>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项    目</w:t>
            </w:r>
            <w:r/>
          </w:p>
        </w:tc>
        <w:tc>
          <w:tcPr>
            <w:tcW w:w="2437"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测算依据和测算式</w:t>
            </w:r>
            <w:r/>
          </w:p>
        </w:tc>
        <w:tc>
          <w:tcPr>
            <w:tcW w:w="124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月支出</w:t>
            </w:r>
            <w:r/>
          </w:p>
          <w:p>
            <w:pPr>
              <w:ind w:firstLine="0"/>
              <w:jc w:val="center"/>
              <w:rPr>
                <w:rFonts w:hint="eastAsia" w:ascii="宋体" w:hAnsi="宋体" w:cs="宋体"/>
                <w:sz w:val="24"/>
              </w:rPr>
            </w:pPr>
            <w:r>
              <w:rPr>
                <w:rFonts w:hint="eastAsia" w:ascii="宋体" w:hAnsi="宋体" w:cs="宋体"/>
                <w:sz w:val="24"/>
              </w:rPr>
              <w:t xml:space="preserve">（元）</w:t>
            </w:r>
            <w:r/>
          </w:p>
        </w:tc>
        <w:tc>
          <w:tcPr>
            <w:tcW w:w="1528"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总支出（元）</w:t>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备 注</w:t>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bCs/>
                <w:sz w:val="24"/>
              </w:rPr>
            </w:pPr>
            <w:r>
              <w:rPr>
                <w:rFonts w:hint="eastAsia" w:ascii="宋体" w:hAnsi="宋体" w:cs="宋体"/>
                <w:b/>
                <w:bCs/>
                <w:sz w:val="24"/>
              </w:rPr>
              <w:t xml:space="preserve">1</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人员费用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r>
      <w:tr>
        <w:trPr>
          <w:jc w:val="center"/>
          <w:trHeight w:val="455"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员工工资</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1"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社会保险</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8" w:hRule="exact"/>
        </w:trPr>
        <w:tc>
          <w:tcPr>
            <w:tcW w:w="862"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住房公积金</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6"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2</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服务用品费用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45"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3</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意外保险费用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4</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劳保用品</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53"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5</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办公费用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522" w:hRule="exact"/>
        </w:trPr>
        <w:tc>
          <w:tcPr>
            <w:tcW w:w="862" w:type="dxa"/>
            <w:vAlign w:val="center"/>
            <w:textDirection w:val="lrTb"/>
            <w:noWrap w:val="false"/>
          </w:tcPr>
          <w:p>
            <w:pPr>
              <w:ind w:firstLine="0"/>
              <w:jc w:val="center"/>
              <w:rPr>
                <w:rFonts w:ascii="宋体" w:hAnsi="宋体" w:cs="宋体"/>
                <w:sz w:val="24"/>
              </w:rPr>
            </w:pPr>
            <w:r>
              <w:rPr>
                <w:rFonts w:hint="eastAsia" w:ascii="宋体" w:hAnsi="宋体" w:cs="宋体"/>
                <w:sz w:val="24"/>
              </w:rPr>
              <w:t xml:space="preserve">6</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其它费用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7</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税金[(1+2┅+10)*税率]</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9"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合计</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bl>
    <w:p>
      <w:pPr>
        <w:numPr>
          <w:ilvl w:val="0"/>
          <w:numId w:val="0"/>
        </w:numPr>
        <w:jc w:val="both"/>
        <w:keepLines w:val="0"/>
        <w:keepNext w:val="0"/>
        <w:pageBreakBefore w:val="0"/>
        <w:spacing w:before="120" w:after="120" w:line="440" w:lineRule="exact"/>
        <w:widowControl w:val="off"/>
        <w:rPr>
          <w:rFonts w:hint="eastAsia" w:ascii="宋体"/>
          <w:sz w:val="24"/>
        </w:rPr>
        <w:outlineLvl w:val="9"/>
      </w:pPr>
      <w:r>
        <w:rPr>
          <w:rFonts w:hint="eastAsia" w:ascii="宋体"/>
          <w:sz w:val="24"/>
        </w:rPr>
        <w:t xml:space="preserve">注：以上表格必须如实提供，内容表述不全的可自行调整或添加。此表的合计金额应与开标一览表相符，如有不符，以开标一览表为准。</w:t>
      </w:r>
      <w:r/>
    </w:p>
    <w:p>
      <w:pPr>
        <w:numPr>
          <w:ilvl w:val="0"/>
          <w:numId w:val="21"/>
        </w:numPr>
        <w:ind w:left="0" w:firstLine="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物耗品报价表</w:t>
      </w:r>
      <w:r/>
    </w:p>
    <w:p>
      <w:pPr>
        <w:pStyle w:val="1093"/>
        <w:spacing w:before="240" w:after="240"/>
        <w:rPr>
          <w:rStyle w:val="1021"/>
          <w:rFonts w:ascii="宋体" w:hAnsi="宋体" w:eastAsia="宋体" w:cs="宋体"/>
          <w:sz w:val="24"/>
          <w:szCs w:val="24"/>
        </w:rPr>
      </w:pPr>
      <w:r>
        <w:rPr>
          <w:rStyle w:val="1021"/>
          <w:rFonts w:ascii="宋体" w:hAnsi="宋体" w:eastAsia="宋体" w:cs="宋体"/>
          <w:color w:val="000000"/>
        </w:rPr>
        <w:t xml:space="preserve">  </w:t>
      </w:r>
      <w:r/>
    </w:p>
    <w:tbl>
      <w:tblPr>
        <w:tblStyle w:val="851"/>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3"/>
        <w:gridCol w:w="1188"/>
        <w:gridCol w:w="1163"/>
        <w:gridCol w:w="905"/>
        <w:gridCol w:w="818"/>
        <w:gridCol w:w="1371"/>
        <w:gridCol w:w="1392"/>
        <w:gridCol w:w="2318"/>
      </w:tblGrid>
      <w:tr>
        <w:trPr>
          <w:jc w:val="center"/>
          <w:trHeight w:val="287"/>
        </w:trPr>
        <w:tc>
          <w:tcPr>
            <w:tcMar>
              <w:left w:w="0" w:type="dxa"/>
              <w:top w:w="0" w:type="dxa"/>
              <w:right w:w="0" w:type="dxa"/>
              <w:bottom w:w="0" w:type="dxa"/>
            </w:tcMar>
            <w:tcW w:w="41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序号</w:t>
            </w:r>
            <w:r/>
          </w:p>
        </w:tc>
        <w:tc>
          <w:tcPr>
            <w:tcMar>
              <w:left w:w="0" w:type="dxa"/>
              <w:top w:w="0" w:type="dxa"/>
              <w:right w:w="0" w:type="dxa"/>
              <w:bottom w:w="0" w:type="dxa"/>
            </w:tcMar>
            <w:tcW w:w="118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物品名称</w:t>
            </w:r>
            <w:r/>
          </w:p>
        </w:tc>
        <w:tc>
          <w:tcPr>
            <w:tcMar>
              <w:left w:w="0" w:type="dxa"/>
              <w:top w:w="0" w:type="dxa"/>
              <w:right w:w="0" w:type="dxa"/>
              <w:bottom w:w="0" w:type="dxa"/>
            </w:tcMar>
            <w:tcW w:w="116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数量/月</w:t>
            </w:r>
            <w:r/>
          </w:p>
        </w:tc>
        <w:tc>
          <w:tcPr>
            <w:tcMar>
              <w:left w:w="0" w:type="dxa"/>
              <w:top w:w="0" w:type="dxa"/>
              <w:right w:w="0" w:type="dxa"/>
              <w:bottom w:w="0" w:type="dxa"/>
            </w:tcMar>
            <w:tcW w:w="905"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品牌</w:t>
            </w:r>
            <w:r/>
          </w:p>
        </w:tc>
        <w:tc>
          <w:tcPr>
            <w:tcMar>
              <w:left w:w="0" w:type="dxa"/>
              <w:top w:w="0" w:type="dxa"/>
              <w:right w:w="0" w:type="dxa"/>
              <w:bottom w:w="0" w:type="dxa"/>
            </w:tcMar>
            <w:tcW w:w="8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单价（元）</w:t>
            </w:r>
            <w:r/>
          </w:p>
        </w:tc>
        <w:tc>
          <w:tcPr>
            <w:tcMar>
              <w:left w:w="0" w:type="dxa"/>
              <w:top w:w="0" w:type="dxa"/>
              <w:right w:w="0" w:type="dxa"/>
              <w:bottom w:w="0" w:type="dxa"/>
            </w:tcMar>
            <w:tcW w:w="1371"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月支出（元）</w:t>
            </w:r>
            <w:r/>
          </w:p>
        </w:tc>
        <w:tc>
          <w:tcPr>
            <w:tcMar>
              <w:left w:w="0" w:type="dxa"/>
              <w:top w:w="0" w:type="dxa"/>
              <w:right w:w="0" w:type="dxa"/>
              <w:bottom w:w="0" w:type="dxa"/>
            </w:tcMar>
            <w:tcW w:w="1392"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总支出（元）</w:t>
            </w:r>
            <w:r/>
          </w:p>
        </w:tc>
        <w:tc>
          <w:tcPr>
            <w:tcMar>
              <w:left w:w="0" w:type="dxa"/>
              <w:top w:w="0" w:type="dxa"/>
              <w:right w:w="0" w:type="dxa"/>
              <w:bottom w:w="0" w:type="dxa"/>
            </w:tcMar>
            <w:tcW w:w="23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备注（如设备使用年限、作业工具等需要说明的其他事项）</w:t>
            </w:r>
            <w:r/>
          </w:p>
        </w:tc>
      </w:tr>
      <w:tr>
        <w:trPr>
          <w:jc w:val="center"/>
          <w:trHeight w:val="287"/>
        </w:trPr>
        <w:tc>
          <w:tcPr>
            <w:tcMar>
              <w:left w:w="0" w:type="dxa"/>
              <w:top w:w="0" w:type="dxa"/>
              <w:right w:w="0" w:type="dxa"/>
              <w:bottom w:w="0" w:type="dxa"/>
            </w:tcMar>
            <w:tcW w:w="41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1</w:t>
            </w:r>
            <w:r/>
          </w:p>
        </w:tc>
        <w:tc>
          <w:tcPr>
            <w:tcMar>
              <w:left w:w="0" w:type="dxa"/>
              <w:top w:w="0" w:type="dxa"/>
              <w:right w:w="0" w:type="dxa"/>
              <w:bottom w:w="0" w:type="dxa"/>
            </w:tcMar>
            <w:tcW w:w="118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16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905"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8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371"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392"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23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r>
      <w:tr>
        <w:trPr>
          <w:jc w:val="center"/>
          <w:trHeight w:val="287"/>
        </w:trPr>
        <w:tc>
          <w:tcPr>
            <w:tcMar>
              <w:left w:w="0" w:type="dxa"/>
              <w:top w:w="0" w:type="dxa"/>
              <w:right w:w="0" w:type="dxa"/>
              <w:bottom w:w="0" w:type="dxa"/>
            </w:tcMar>
            <w:tcW w:w="41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lang w:val="en-US" w:eastAsia="zh-CN"/>
              </w:rPr>
            </w:pPr>
            <w:r>
              <w:rPr>
                <w:rStyle w:val="1021"/>
                <w:rFonts w:hint="eastAsia" w:ascii="宋体" w:hAnsi="宋体" w:eastAsia="宋体" w:cs="宋体"/>
                <w:b w:val="0"/>
                <w:bCs w:val="0"/>
                <w:i w:val="0"/>
                <w:iCs w:val="0"/>
                <w:smallCaps w:val="0"/>
                <w:color w:val="000000"/>
                <w:sz w:val="24"/>
                <w:szCs w:val="24"/>
                <w:lang w:val="en-US" w:eastAsia="zh-CN"/>
              </w:rPr>
              <w:t xml:space="preserve">...</w:t>
            </w:r>
            <w:r/>
          </w:p>
        </w:tc>
        <w:tc>
          <w:tcPr>
            <w:tcMar>
              <w:left w:w="0" w:type="dxa"/>
              <w:top w:w="0" w:type="dxa"/>
              <w:right w:w="0" w:type="dxa"/>
              <w:bottom w:w="0" w:type="dxa"/>
            </w:tcMar>
            <w:tcW w:w="1188" w:type="dxa"/>
            <w:vAlign w:val="center"/>
            <w:textDirection w:val="lrTb"/>
            <w:noWrap w:val="false"/>
          </w:tcPr>
          <w:p>
            <w:pPr>
              <w:pStyle w:val="1093"/>
              <w:jc w:val="left"/>
              <w:keepLines w:val="0"/>
              <w:keepNext w:val="0"/>
              <w:pageBreakBefore w:val="0"/>
              <w:widowControl w:val="off"/>
              <w:tabs>
                <w:tab w:val="left" w:pos="378" w:leader="none"/>
              </w:tabs>
              <w:rPr>
                <w:rStyle w:val="1021"/>
                <w:rFonts w:ascii="宋体" w:hAnsi="宋体" w:eastAsia="宋体" w:cs="宋体"/>
                <w:b w:val="0"/>
                <w:bCs w:val="0"/>
                <w:i w:val="0"/>
                <w:iCs w:val="0"/>
                <w:smallCaps w:val="0"/>
                <w:color w:val="000000"/>
                <w:sz w:val="24"/>
                <w:szCs w:val="24"/>
                <w:lang w:val="en-US" w:eastAsia="zh-CN"/>
              </w:rPr>
            </w:pPr>
            <w:r>
              <w:rPr>
                <w:rStyle w:val="1021"/>
                <w:rFonts w:hint="eastAsia" w:ascii="宋体" w:hAnsi="宋体" w:eastAsia="宋体" w:cs="宋体"/>
                <w:b w:val="0"/>
                <w:bCs w:val="0"/>
                <w:i w:val="0"/>
                <w:iCs w:val="0"/>
                <w:smallCaps w:val="0"/>
                <w:color w:val="000000"/>
                <w:sz w:val="24"/>
                <w:szCs w:val="24"/>
                <w:lang w:eastAsia="zh-CN"/>
              </w:rPr>
              <w:tab/>
            </w:r>
            <w:r>
              <w:rPr>
                <w:rStyle w:val="1021"/>
                <w:rFonts w:hint="eastAsia" w:ascii="宋体" w:hAnsi="宋体" w:eastAsia="宋体" w:cs="宋体"/>
                <w:b w:val="0"/>
                <w:bCs w:val="0"/>
                <w:i w:val="0"/>
                <w:iCs w:val="0"/>
                <w:smallCaps w:val="0"/>
                <w:color w:val="000000"/>
                <w:sz w:val="24"/>
                <w:szCs w:val="24"/>
                <w:lang w:val="en-US" w:eastAsia="zh-CN"/>
              </w:rPr>
              <w:t xml:space="preserve">...</w:t>
            </w:r>
            <w:r/>
          </w:p>
        </w:tc>
        <w:tc>
          <w:tcPr>
            <w:tcMar>
              <w:left w:w="0" w:type="dxa"/>
              <w:top w:w="0" w:type="dxa"/>
              <w:right w:w="0" w:type="dxa"/>
              <w:bottom w:w="0" w:type="dxa"/>
            </w:tcMar>
            <w:tcW w:w="116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05"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71"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3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r>
        <w:trPr>
          <w:jc w:val="center"/>
          <w:trHeight w:val="287"/>
        </w:trPr>
        <w:tc>
          <w:tcPr>
            <w:tcMar>
              <w:left w:w="0" w:type="dxa"/>
              <w:top w:w="0" w:type="dxa"/>
              <w:right w:w="0" w:type="dxa"/>
              <w:bottom w:w="0" w:type="dxa"/>
            </w:tcMar>
            <w:tcW w:w="41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gridSpan w:val="4"/>
            <w:tcMar>
              <w:left w:w="0" w:type="dxa"/>
              <w:top w:w="0" w:type="dxa"/>
              <w:right w:w="0" w:type="dxa"/>
              <w:bottom w:w="0" w:type="dxa"/>
            </w:tcMar>
            <w:tcW w:w="4074" w:type="dxa"/>
            <w:vAlign w:val="center"/>
            <w:textDirection w:val="lrTb"/>
            <w:noWrap w:val="false"/>
          </w:tcPr>
          <w:p>
            <w:pPr>
              <w:pStyle w:val="1093"/>
              <w:jc w:val="center"/>
              <w:keepLines w:val="0"/>
              <w:keepNext w:val="0"/>
              <w:pageBreakBefore w:val="0"/>
              <w:widowControl w:val="off"/>
              <w:rPr>
                <w:rStyle w:val="1021"/>
                <w:rFonts w:hint="eastAsia" w:ascii="宋体" w:hAnsi="宋体" w:eastAsia="宋体" w:cs="宋体"/>
                <w:b w:val="0"/>
                <w:bCs w:val="0"/>
                <w:i w:val="0"/>
                <w:iCs w:val="0"/>
                <w:smallCaps w:val="0"/>
                <w:color w:val="000000"/>
                <w:sz w:val="24"/>
                <w:szCs w:val="24"/>
                <w:lang w:val="en-US" w:eastAsia="zh-CN"/>
              </w:rPr>
            </w:pPr>
            <w:r>
              <w:rPr>
                <w:rStyle w:val="1021"/>
                <w:rFonts w:hint="eastAsia" w:ascii="宋体" w:hAnsi="宋体" w:eastAsia="宋体" w:cs="宋体"/>
                <w:b w:val="0"/>
                <w:bCs w:val="0"/>
                <w:i w:val="0"/>
                <w:iCs w:val="0"/>
                <w:smallCaps w:val="0"/>
                <w:color w:val="000000"/>
                <w:sz w:val="24"/>
                <w:szCs w:val="24"/>
                <w:lang w:val="en-US" w:eastAsia="zh-CN"/>
              </w:rPr>
              <w:t xml:space="preserve">合计</w:t>
            </w:r>
            <w:r/>
          </w:p>
        </w:tc>
        <w:tc>
          <w:tcPr>
            <w:tcMar>
              <w:left w:w="0" w:type="dxa"/>
              <w:top w:w="0" w:type="dxa"/>
              <w:right w:w="0" w:type="dxa"/>
              <w:bottom w:w="0" w:type="dxa"/>
            </w:tcMar>
            <w:tcW w:w="1371"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3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bl>
    <w:p>
      <w:pPr>
        <w:pStyle w:val="1093"/>
        <w:rPr>
          <w:rStyle w:val="1021"/>
          <w:rFonts w:ascii="Times New Roman" w:hAnsi="Times New Roman" w:eastAsia="Times New Roman" w:cs="Times New Roman"/>
          <w:vanish/>
        </w:rPr>
      </w:pPr>
      <w:r>
        <w:rPr>
          <w:rFonts w:ascii="Times New Roman" w:hAnsi="Times New Roman" w:eastAsia="Times New Roman" w:cs="Times New Roman"/>
          <w:vanish/>
        </w:rPr>
      </w:r>
      <w:r/>
    </w:p>
    <w:p>
      <w:pPr>
        <w:pStyle w:val="1093"/>
        <w:spacing w:before="240" w:after="240"/>
        <w:rPr>
          <w:rStyle w:val="1021"/>
          <w:rFonts w:ascii="宋体" w:hAnsi="宋体" w:eastAsia="宋体" w:cs="宋体"/>
          <w:color w:val="000000"/>
        </w:rPr>
      </w:pPr>
      <w:r>
        <w:rPr>
          <w:rStyle w:val="1021"/>
          <w:rFonts w:ascii="宋体" w:hAnsi="宋体" w:eastAsia="宋体" w:cs="宋体"/>
          <w:color w:val="000000"/>
        </w:rPr>
        <w:t xml:space="preserve">  </w:t>
      </w:r>
      <w:r/>
    </w:p>
    <w:p>
      <w:pPr>
        <w:pStyle w:val="1093"/>
        <w:ind w:firstLine="480"/>
        <w:spacing w:before="240" w:after="240"/>
        <w:rPr>
          <w:rStyle w:val="1021"/>
          <w:rFonts w:ascii="宋体" w:hAnsi="宋体" w:eastAsia="宋体" w:cs="宋体"/>
          <w:sz w:val="24"/>
          <w:szCs w:val="24"/>
        </w:rPr>
      </w:pPr>
      <w:r>
        <w:rPr>
          <w:rStyle w:val="1021"/>
          <w:rFonts w:ascii="宋体" w:hAnsi="宋体" w:eastAsia="宋体" w:cs="宋体"/>
          <w:color w:val="000000"/>
        </w:rPr>
        <w:t xml:space="preserve">注：以上表格必须如实提供，表格中各项可进一步细分，内容表述不全的可自行调整或添加，要求按功能模块细分项目及报价。须对上表所提供的工具物品等配备情况进行说明。 </w:t>
      </w:r>
      <w:r/>
    </w:p>
    <w:p>
      <w:pPr>
        <w:pStyle w:val="852"/>
      </w:pPr>
      <w:r/>
      <w:r/>
    </w:p>
    <w:p>
      <w:pPr>
        <w:numPr>
          <w:ilvl w:val="0"/>
          <w:numId w:val="21"/>
        </w:numPr>
        <w:ind w:left="0" w:firstLine="0"/>
        <w:jc w:val="center"/>
        <w:keepLines w:val="0"/>
        <w:keepNext w:val="0"/>
        <w:pageBreakBefore/>
        <w:spacing w:before="120" w:after="120" w:line="440" w:lineRule="exact"/>
        <w:widowControl w:val="off"/>
        <w:rPr>
          <w:b/>
          <w:bCs/>
          <w:sz w:val="32"/>
          <w:szCs w:val="32"/>
        </w:rPr>
        <w:outlineLvl w:val="1"/>
      </w:pPr>
      <w:r>
        <w:rPr>
          <w:b/>
          <w:bCs/>
          <w:sz w:val="32"/>
          <w:szCs w:val="32"/>
        </w:rPr>
        <w:t xml:space="preserve">项目需求中实质性要求响应对照表</w:t>
      </w:r>
      <w:r/>
    </w:p>
    <w:tbl>
      <w:tblPr>
        <w:tblStyle w:val="851"/>
        <w:tblW w:w="10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7831"/>
        <w:gridCol w:w="1957"/>
      </w:tblGrid>
      <w:tr>
        <w:trPr>
          <w:jc w:val="center"/>
          <w:trHeight w:val="882"/>
        </w:trPr>
        <w:tc>
          <w:tcPr>
            <w:tcW w:w="892" w:type="dxa"/>
            <w:vAlign w:val="center"/>
            <w:textDirection w:val="lrTb"/>
            <w:noWrap w:val="false"/>
          </w:tcPr>
          <w:p>
            <w:pPr>
              <w:ind w:firstLine="0"/>
              <w:jc w:val="center"/>
              <w:rPr>
                <w:sz w:val="24"/>
              </w:rPr>
            </w:pPr>
            <w:r>
              <w:rPr>
                <w:sz w:val="24"/>
              </w:rPr>
              <w:t xml:space="preserve">序号</w:t>
            </w:r>
            <w:r/>
          </w:p>
        </w:tc>
        <w:tc>
          <w:tcPr>
            <w:tcW w:w="7831" w:type="dxa"/>
            <w:vAlign w:val="center"/>
            <w:textDirection w:val="lrTb"/>
            <w:noWrap w:val="false"/>
          </w:tcPr>
          <w:p>
            <w:pPr>
              <w:ind w:firstLine="0"/>
              <w:jc w:val="center"/>
              <w:rPr>
                <w:sz w:val="24"/>
              </w:rPr>
            </w:pPr>
            <w:r>
              <w:rPr>
                <w:sz w:val="24"/>
              </w:rPr>
              <w:t xml:space="preserve">第四章项目</w:t>
            </w:r>
            <w:r>
              <w:rPr>
                <w:iCs/>
                <w:sz w:val="24"/>
              </w:rPr>
              <w:t xml:space="preserve">需求中的实质性要求（即</w:t>
            </w:r>
            <w:r>
              <w:rPr>
                <w:sz w:val="24"/>
              </w:rPr>
              <w:t xml:space="preserve">斜体且有下划线部分</w:t>
            </w:r>
            <w:r>
              <w:rPr>
                <w:iCs/>
                <w:sz w:val="24"/>
              </w:rPr>
              <w:t xml:space="preserve">，每条详细列出）</w:t>
            </w:r>
            <w:r/>
          </w:p>
        </w:tc>
        <w:tc>
          <w:tcPr>
            <w:tcW w:w="1957" w:type="dxa"/>
            <w:vAlign w:val="center"/>
            <w:textDirection w:val="lrTb"/>
            <w:noWrap w:val="false"/>
          </w:tcPr>
          <w:p>
            <w:pPr>
              <w:ind w:firstLine="0"/>
              <w:jc w:val="center"/>
              <w:rPr>
                <w:sz w:val="24"/>
              </w:rPr>
            </w:pPr>
            <w:r>
              <w:rPr>
                <w:sz w:val="24"/>
              </w:rPr>
              <w:t xml:space="preserve">是否响应</w:t>
            </w:r>
            <w:r/>
          </w:p>
          <w:p>
            <w:pPr>
              <w:ind w:firstLine="0"/>
              <w:jc w:val="center"/>
              <w:rPr>
                <w:sz w:val="24"/>
              </w:rPr>
            </w:pPr>
            <w:r>
              <w:rPr>
                <w:sz w:val="24"/>
              </w:rPr>
              <w:t xml:space="preserve">（填是或者否）</w:t>
            </w:r>
            <w:r/>
          </w:p>
        </w:tc>
      </w:tr>
      <w:tr>
        <w:trPr>
          <w:jc w:val="center"/>
          <w:trHeight w:val="585"/>
        </w:trPr>
        <w:tc>
          <w:tcPr>
            <w:tcW w:w="892" w:type="dxa"/>
            <w:vAlign w:val="center"/>
            <w:textDirection w:val="lrTb"/>
            <w:noWrap w:val="false"/>
          </w:tcPr>
          <w:p>
            <w:pPr>
              <w:ind w:firstLine="0"/>
              <w:jc w:val="center"/>
              <w:rPr>
                <w:sz w:val="24"/>
              </w:rPr>
            </w:pPr>
            <w:r>
              <w:rPr>
                <w:sz w:val="24"/>
              </w:rPr>
              <w:t xml:space="preserve">1</w:t>
            </w:r>
            <w:r/>
          </w:p>
        </w:tc>
        <w:tc>
          <w:tcPr>
            <w:tcW w:w="7831" w:type="dxa"/>
            <w:vAlign w:val="center"/>
            <w:textDirection w:val="lrTb"/>
            <w:noWrap w:val="false"/>
          </w:tcPr>
          <w:p>
            <w:pPr>
              <w:ind w:firstLine="0"/>
              <w:jc w:val="center"/>
              <w:spacing w:line="360" w:lineRule="auto"/>
              <w:rPr>
                <w:rFonts w:hint="eastAsia" w:eastAsia="宋体"/>
                <w:i/>
                <w:iCs/>
                <w:u w:val="single"/>
                <w:lang w:eastAsia="zh-CN"/>
              </w:rPr>
            </w:pPr>
            <w:r>
              <w:rPr>
                <w:rFonts w:hint="eastAsia" w:ascii="Times New Roman" w:hAnsi="Times New Roman" w:cs="Times New Roman"/>
                <w:sz w:val="24"/>
                <w:lang w:val="en-US" w:eastAsia="zh-CN"/>
              </w:rPr>
              <w:t xml:space="preserve">....</w:t>
            </w:r>
            <w:r/>
          </w:p>
        </w:tc>
        <w:tc>
          <w:tcPr>
            <w:tcW w:w="1957" w:type="dxa"/>
            <w:vAlign w:val="center"/>
            <w:textDirection w:val="lrTb"/>
            <w:noWrap w:val="false"/>
          </w:tcPr>
          <w:p>
            <w:pPr>
              <w:ind w:firstLine="0"/>
              <w:rPr>
                <w:sz w:val="24"/>
              </w:rPr>
            </w:pPr>
            <w:r>
              <w:rPr>
                <w:sz w:val="24"/>
              </w:rPr>
            </w:r>
            <w:r/>
          </w:p>
        </w:tc>
      </w:tr>
      <w:tr>
        <w:trPr>
          <w:jc w:val="center"/>
          <w:trHeight w:val="585"/>
        </w:trPr>
        <w:tc>
          <w:tcPr>
            <w:tcW w:w="892" w:type="dxa"/>
            <w:vAlign w:val="center"/>
            <w:textDirection w:val="lrTb"/>
            <w:noWrap w:val="false"/>
          </w:tcPr>
          <w:p>
            <w:pPr>
              <w:ind w:firstLine="0"/>
              <w:jc w:val="center"/>
              <w:rPr>
                <w:rFonts w:hint="eastAsia" w:eastAsia="宋体"/>
                <w:sz w:val="24"/>
                <w:lang w:val="en-US" w:eastAsia="zh-CN"/>
              </w:rPr>
            </w:pPr>
            <w:r>
              <w:rPr>
                <w:rFonts w:hint="eastAsia"/>
                <w:sz w:val="24"/>
                <w:lang w:val="en-US" w:eastAsia="zh-CN"/>
              </w:rPr>
              <w:t xml:space="preserve">2</w:t>
            </w:r>
            <w:r/>
          </w:p>
        </w:tc>
        <w:tc>
          <w:tcPr>
            <w:tcW w:w="7831" w:type="dxa"/>
            <w:vAlign w:val="center"/>
            <w:textDirection w:val="lrTb"/>
            <w:noWrap w:val="false"/>
          </w:tcPr>
          <w:p>
            <w:pPr>
              <w:ind w:firstLine="0"/>
              <w:spacing w:line="360" w:lineRule="auto"/>
              <w:rPr>
                <w:rFonts w:hint="eastAsia"/>
                <w:i/>
                <w:iCs/>
                <w:u w:val="single"/>
              </w:rPr>
            </w:pPr>
            <w:r>
              <w:rPr>
                <w:rFonts w:hint="eastAsia"/>
                <w:i/>
                <w:iCs/>
                <w:u w:val="single"/>
              </w:rPr>
            </w:r>
            <w:r/>
          </w:p>
        </w:tc>
        <w:tc>
          <w:tcPr>
            <w:tcW w:w="1957" w:type="dxa"/>
            <w:vAlign w:val="center"/>
            <w:textDirection w:val="lrTb"/>
            <w:noWrap w:val="false"/>
          </w:tcPr>
          <w:p>
            <w:pPr>
              <w:ind w:firstLine="0"/>
              <w:rPr>
                <w:sz w:val="24"/>
              </w:rPr>
            </w:pPr>
            <w:r>
              <w:rPr>
                <w:sz w:val="24"/>
              </w:rPr>
            </w:r>
            <w:r/>
          </w:p>
        </w:tc>
      </w:tr>
      <w:tr>
        <w:trPr>
          <w:jc w:val="center"/>
          <w:trHeight w:val="585"/>
        </w:trPr>
        <w:tc>
          <w:tcPr>
            <w:tcW w:w="892" w:type="dxa"/>
            <w:vAlign w:val="center"/>
            <w:textDirection w:val="lrTb"/>
            <w:noWrap w:val="false"/>
          </w:tcPr>
          <w:p>
            <w:pPr>
              <w:ind w:firstLine="0"/>
              <w:jc w:val="center"/>
              <w:rPr>
                <w:rFonts w:hint="eastAsia" w:eastAsia="宋体"/>
                <w:sz w:val="24"/>
                <w:lang w:val="en-US" w:eastAsia="zh-CN"/>
              </w:rPr>
            </w:pPr>
            <w:r>
              <w:rPr>
                <w:rFonts w:hint="eastAsia"/>
                <w:sz w:val="24"/>
                <w:lang w:val="en-US" w:eastAsia="zh-CN"/>
              </w:rPr>
              <w:t xml:space="preserve">3</w:t>
            </w:r>
            <w:r/>
          </w:p>
        </w:tc>
        <w:tc>
          <w:tcPr>
            <w:tcW w:w="7831" w:type="dxa"/>
            <w:vAlign w:val="center"/>
            <w:textDirection w:val="lrTb"/>
            <w:noWrap w:val="false"/>
          </w:tcPr>
          <w:p>
            <w:pPr>
              <w:ind w:firstLine="0"/>
              <w:spacing w:line="360" w:lineRule="auto"/>
              <w:rPr>
                <w:rFonts w:hint="eastAsia"/>
                <w:i/>
                <w:iCs/>
                <w:u w:val="single"/>
              </w:rPr>
            </w:pPr>
            <w:r>
              <w:rPr>
                <w:rFonts w:hint="eastAsia"/>
                <w:i/>
                <w:iCs/>
                <w:u w:val="single"/>
              </w:rPr>
            </w:r>
            <w:r/>
          </w:p>
        </w:tc>
        <w:tc>
          <w:tcPr>
            <w:tcW w:w="1957" w:type="dxa"/>
            <w:vAlign w:val="center"/>
            <w:textDirection w:val="lrTb"/>
            <w:noWrap w:val="false"/>
          </w:tcPr>
          <w:p>
            <w:pPr>
              <w:ind w:firstLine="0"/>
              <w:rPr>
                <w:sz w:val="24"/>
              </w:rPr>
            </w:pPr>
            <w:r>
              <w:rPr>
                <w:sz w:val="24"/>
              </w:rPr>
            </w:r>
            <w:r/>
          </w:p>
        </w:tc>
      </w:tr>
      <w:tr>
        <w:trPr>
          <w:jc w:val="center"/>
          <w:trHeight w:val="585"/>
        </w:trPr>
        <w:tc>
          <w:tcPr>
            <w:tcW w:w="892" w:type="dxa"/>
            <w:vAlign w:val="center"/>
            <w:textDirection w:val="lrTb"/>
            <w:noWrap w:val="false"/>
          </w:tcPr>
          <w:p>
            <w:pPr>
              <w:ind w:firstLine="0"/>
              <w:jc w:val="center"/>
              <w:rPr>
                <w:rFonts w:hint="eastAsia" w:eastAsia="宋体"/>
                <w:sz w:val="24"/>
                <w:lang w:val="en-US" w:eastAsia="zh-CN"/>
              </w:rPr>
            </w:pPr>
            <w:r>
              <w:rPr>
                <w:rFonts w:hint="eastAsia" w:ascii="Times New Roman" w:hAnsi="Times New Roman" w:cs="Times New Roman"/>
                <w:sz w:val="24"/>
                <w:lang w:val="en-US" w:eastAsia="zh-CN"/>
              </w:rPr>
              <w:t xml:space="preserve">....</w:t>
            </w:r>
            <w:r/>
          </w:p>
        </w:tc>
        <w:tc>
          <w:tcPr>
            <w:tcW w:w="7831" w:type="dxa"/>
            <w:vAlign w:val="center"/>
            <w:textDirection w:val="lrTb"/>
            <w:noWrap w:val="false"/>
          </w:tcPr>
          <w:p>
            <w:pPr>
              <w:ind w:firstLine="0"/>
              <w:spacing w:line="360" w:lineRule="auto"/>
              <w:rPr>
                <w:rFonts w:hint="eastAsia"/>
                <w:i/>
                <w:iCs/>
                <w:u w:val="single"/>
              </w:rPr>
            </w:pPr>
            <w:r>
              <w:rPr>
                <w:rFonts w:hint="eastAsia"/>
                <w:i/>
                <w:iCs/>
                <w:u w:val="single"/>
              </w:rPr>
            </w:r>
            <w:r/>
          </w:p>
        </w:tc>
        <w:tc>
          <w:tcPr>
            <w:tcW w:w="1957" w:type="dxa"/>
            <w:vAlign w:val="center"/>
            <w:textDirection w:val="lrTb"/>
            <w:noWrap w:val="false"/>
          </w:tcPr>
          <w:p>
            <w:pPr>
              <w:ind w:firstLine="0"/>
              <w:rPr>
                <w:sz w:val="24"/>
              </w:rPr>
            </w:pPr>
            <w:r>
              <w:rPr>
                <w:sz w:val="24"/>
              </w:rPr>
            </w:r>
            <w:r/>
          </w:p>
        </w:tc>
      </w:tr>
    </w:tbl>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1049"/>
        <w:rPr>
          <w:rFonts w:hint="eastAsia"/>
        </w:rPr>
      </w:pPr>
      <w:r>
        <w:rPr>
          <w:rFonts w:hint="eastAsia"/>
        </w:r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rPr>
          <w:rFonts w:hint="eastAsia"/>
        </w:rPr>
      </w:pPr>
      <w:r>
        <w:rPr>
          <w:rFonts w:hint="eastAsia"/>
        </w:rPr>
      </w:r>
      <w:r/>
    </w:p>
    <w:p>
      <w:pPr>
        <w:pStyle w:val="1049"/>
        <w:rPr>
          <w:rFonts w:hint="eastAsia"/>
        </w:rPr>
      </w:pPr>
      <w:r>
        <w:rPr>
          <w:rFonts w:hint="eastAsia"/>
        </w:rPr>
      </w:r>
      <w:r/>
    </w:p>
    <w:p>
      <w:pPr>
        <w:pStyle w:val="1049"/>
        <w:rPr>
          <w:rFonts w:hint="eastAsia"/>
        </w:rPr>
      </w:pPr>
      <w:r>
        <w:rPr>
          <w:rFonts w:hint="eastAsia"/>
        </w:rPr>
      </w:r>
      <w:r/>
    </w:p>
    <w:p>
      <w:pPr>
        <w:pStyle w:val="1049"/>
      </w:pPr>
      <w:r/>
      <w:r/>
    </w:p>
    <w:p>
      <w:pPr>
        <w:pStyle w:val="1049"/>
      </w:pPr>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pStyle w:val="1035"/>
        <w:ind w:firstLine="420"/>
        <w:rPr>
          <w:rFonts w:hint="eastAsia"/>
        </w:rPr>
      </w:pPr>
      <w:r>
        <w:rPr>
          <w:rFonts w:hint="eastAsia"/>
        </w:rPr>
      </w:r>
      <w:r/>
    </w:p>
    <w:p>
      <w:pPr>
        <w:numPr>
          <w:ilvl w:val="0"/>
          <w:numId w:val="21"/>
        </w:numPr>
        <w:ind w:left="0" w:firstLine="0"/>
        <w:jc w:val="center"/>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val="en-US" w:eastAsia="zh-CN"/>
        </w:rPr>
        <w:t xml:space="preserve">技术商务要求</w:t>
      </w:r>
      <w:r>
        <w:rPr>
          <w:rFonts w:hint="eastAsia" w:ascii="Times New Roman" w:hAnsi="Times New Roman" w:eastAsia="宋体" w:cs="Times New Roman"/>
          <w:b/>
          <w:bCs/>
          <w:sz w:val="32"/>
          <w:szCs w:val="32"/>
          <w:highlight w:val="none"/>
          <w:lang w:eastAsia="zh-CN"/>
        </w:rPr>
        <w:t xml:space="preserve">响应及偏离表</w:t>
      </w:r>
      <w:r/>
    </w:p>
    <w:tbl>
      <w:tblPr>
        <w:tblStyle w:val="851"/>
        <w:tblW w:w="113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303"/>
        <w:gridCol w:w="3959"/>
        <w:gridCol w:w="2359"/>
        <w:gridCol w:w="897"/>
        <w:gridCol w:w="2221"/>
      </w:tblGrid>
      <w:tr>
        <w:trPr>
          <w:jc w:val="center"/>
          <w:trHeight w:val="567"/>
        </w:trPr>
        <w:tc>
          <w:tcPr>
            <w:tcW w:w="586"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序号</w:t>
            </w:r>
            <w:r/>
          </w:p>
        </w:tc>
        <w:tc>
          <w:tcPr>
            <w:tcW w:w="1303" w:type="dxa"/>
            <w:vAlign w:val="center"/>
            <w:textDirection w:val="lrTb"/>
            <w:noWrap w:val="false"/>
          </w:tcPr>
          <w:p>
            <w:pPr>
              <w:ind w:left="0" w:firstLine="0"/>
              <w:jc w:val="center"/>
              <w:spacing w:line="240" w:lineRule="auto"/>
              <w:widowControl/>
              <w:rPr>
                <w:rFonts w:ascii="Times New Roman" w:hAnsi="Times New Roman" w:cs="Times New Roman"/>
                <w:sz w:val="24"/>
                <w:lang w:val="en-US" w:eastAsia="zh-CN"/>
              </w:rPr>
              <w:outlineLvl w:val="9"/>
            </w:pPr>
            <w:r>
              <w:rPr>
                <w:rFonts w:hint="eastAsia" w:ascii="Times New Roman" w:hAnsi="Times New Roman" w:cs="Times New Roman"/>
                <w:sz w:val="24"/>
                <w:lang w:val="en-US" w:eastAsia="zh-CN"/>
              </w:rPr>
              <w:t xml:space="preserve">名称</w:t>
            </w:r>
            <w:r/>
          </w:p>
        </w:tc>
        <w:tc>
          <w:tcPr>
            <w:tcW w:w="3959" w:type="dxa"/>
            <w:vAlign w:val="center"/>
            <w:textDirection w:val="lrTb"/>
            <w:noWrap w:val="false"/>
          </w:tcPr>
          <w:p>
            <w:pPr>
              <w:ind w:left="0" w:firstLine="0"/>
              <w:jc w:val="center"/>
              <w:spacing w:line="240" w:lineRule="auto"/>
              <w:widowControl/>
              <w:rPr>
                <w:rFonts w:hint="eastAsia" w:ascii="Times New Roman" w:hAnsi="Times New Roman" w:cs="Times New Roman"/>
                <w:sz w:val="24"/>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项目需求中</w:t>
            </w:r>
            <w:r>
              <w:rPr>
                <w:rFonts w:hint="eastAsia" w:ascii="宋体" w:hAnsi="宋体" w:eastAsia="宋体" w:cs="宋体"/>
                <w:color w:val="000000"/>
                <w:sz w:val="24"/>
                <w:szCs w:val="24"/>
                <w:highlight w:val="none"/>
                <w:shd w:val="clear" w:color="auto" w:fill="auto"/>
              </w:rPr>
              <w:t xml:space="preserve">的技术</w:t>
            </w:r>
            <w:r>
              <w:rPr>
                <w:rFonts w:hint="eastAsia" w:ascii="宋体" w:hAnsi="宋体" w:eastAsia="宋体" w:cs="宋体"/>
                <w:color w:val="000000"/>
                <w:sz w:val="24"/>
                <w:szCs w:val="24"/>
                <w:highlight w:val="none"/>
                <w:shd w:val="clear" w:color="auto" w:fill="auto"/>
                <w:lang w:val="en-US" w:eastAsia="zh-CN"/>
              </w:rPr>
              <w:t xml:space="preserve">商务要求</w:t>
            </w:r>
            <w:r/>
          </w:p>
        </w:tc>
        <w:tc>
          <w:tcPr>
            <w:tcW w:w="2359"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参与</w:t>
            </w:r>
            <w:r>
              <w:rPr>
                <w:rFonts w:hint="eastAsia" w:ascii="Times New Roman" w:hAnsi="Times New Roman" w:cs="Times New Roman"/>
                <w:sz w:val="24"/>
                <w:lang w:val="en-US" w:eastAsia="zh-CN"/>
              </w:rPr>
              <w:t xml:space="preserve">投标</w:t>
            </w:r>
            <w:r>
              <w:rPr>
                <w:rFonts w:ascii="Times New Roman" w:hAnsi="Times New Roman" w:cs="Times New Roman"/>
                <w:sz w:val="24"/>
              </w:rPr>
              <w:t xml:space="preserve">的</w:t>
            </w:r>
            <w:r>
              <w:rPr>
                <w:rFonts w:hint="eastAsia" w:ascii="宋体" w:hAnsi="宋体" w:eastAsia="宋体" w:cs="宋体"/>
                <w:color w:val="000000"/>
                <w:sz w:val="24"/>
                <w:szCs w:val="24"/>
                <w:highlight w:val="none"/>
                <w:shd w:val="clear" w:color="auto" w:fill="auto"/>
              </w:rPr>
              <w:t xml:space="preserve">技术</w:t>
            </w:r>
            <w:r>
              <w:rPr>
                <w:rFonts w:hint="eastAsia" w:ascii="宋体" w:hAnsi="宋体" w:eastAsia="宋体" w:cs="宋体"/>
                <w:color w:val="000000"/>
                <w:sz w:val="24"/>
                <w:szCs w:val="24"/>
                <w:highlight w:val="none"/>
                <w:shd w:val="clear" w:color="auto" w:fill="auto"/>
                <w:lang w:val="en-US" w:eastAsia="zh-CN"/>
              </w:rPr>
              <w:t xml:space="preserve">商务要求</w:t>
            </w:r>
            <w:r/>
          </w:p>
        </w:tc>
        <w:tc>
          <w:tcPr>
            <w:tcW w:w="897"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有无偏离</w:t>
            </w:r>
            <w:r/>
          </w:p>
        </w:tc>
        <w:tc>
          <w:tcPr>
            <w:tcW w:w="2221"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偏离内容及原因</w:t>
            </w:r>
            <w:r/>
          </w:p>
        </w:tc>
      </w:tr>
      <w:tr>
        <w:trPr>
          <w:jc w:val="center"/>
          <w:trHeight w:val="567"/>
        </w:trPr>
        <w:tc>
          <w:tcPr>
            <w:tcW w:w="586" w:type="dxa"/>
            <w:vAlign w:val="center"/>
            <w:textDirection w:val="lrTb"/>
            <w:noWrap w:val="false"/>
          </w:tcPr>
          <w:p>
            <w:pPr>
              <w:ind w:firstLine="0"/>
              <w:jc w:val="center"/>
              <w:spacing w:line="240" w:lineRule="auto"/>
              <w:widowControl/>
              <w:rPr>
                <w:rFonts w:hint="eastAsia" w:eastAsia="宋体"/>
                <w:sz w:val="24"/>
                <w:lang w:val="en-US" w:eastAsia="zh-CN"/>
              </w:rPr>
              <w:outlineLvl w:val="9"/>
            </w:pPr>
            <w:r>
              <w:rPr>
                <w:rFonts w:hint="eastAsia" w:eastAsia="宋体"/>
                <w:sz w:val="24"/>
                <w:lang w:val="en-US" w:eastAsia="zh-CN"/>
              </w:rPr>
            </w:r>
            <w:r/>
          </w:p>
        </w:tc>
        <w:tc>
          <w:tcPr>
            <w:tcW w:w="1303" w:type="dxa"/>
            <w:vAlign w:val="center"/>
            <w:textDirection w:val="lrTb"/>
            <w:noWrap w:val="false"/>
          </w:tcPr>
          <w:p>
            <w:pPr>
              <w:ind w:firstLine="0"/>
              <w:jc w:val="center"/>
              <w:spacing w:line="240" w:lineRule="auto"/>
              <w:widowControl/>
              <w:rPr>
                <w:rFonts w:hint="eastAsia" w:eastAsia="宋体"/>
                <w:sz w:val="24"/>
                <w:lang w:eastAsia="zh-CN"/>
              </w:rPr>
              <w:outlineLvl w:val="9"/>
            </w:pPr>
            <w:r>
              <w:rPr>
                <w:rFonts w:hint="eastAsia" w:eastAsia="宋体"/>
                <w:sz w:val="24"/>
                <w:lang w:eastAsia="zh-CN"/>
              </w:rPr>
            </w:r>
            <w:r/>
          </w:p>
        </w:tc>
        <w:tc>
          <w:tcPr>
            <w:tcW w:w="3959" w:type="dxa"/>
            <w:vAlign w:val="center"/>
            <w:textDirection w:val="lrTb"/>
            <w:noWrap w:val="false"/>
          </w:tcPr>
          <w:p>
            <w:pPr>
              <w:ind w:firstLine="0"/>
              <w:jc w:val="center"/>
              <w:spacing w:line="240" w:lineRule="auto"/>
              <w:widowControl/>
              <w:rPr>
                <w:sz w:val="24"/>
              </w:rPr>
              <w:outlineLvl w:val="9"/>
            </w:pPr>
            <w:r>
              <w:rPr>
                <w:sz w:val="24"/>
              </w:rPr>
            </w:r>
            <w:r/>
          </w:p>
        </w:tc>
        <w:tc>
          <w:tcPr>
            <w:tcW w:w="2359" w:type="dxa"/>
            <w:vAlign w:val="center"/>
            <w:textDirection w:val="lrTb"/>
            <w:noWrap w:val="false"/>
          </w:tcPr>
          <w:p>
            <w:pPr>
              <w:ind w:left="0"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67"/>
              <w:numPr>
                <w:ilvl w:val="0"/>
                <w:numId w:val="0"/>
              </w:numPr>
              <w:spacing w:line="360" w:lineRule="auto"/>
              <w:rPr>
                <w:sz w:val="22"/>
                <w:szCs w:val="22"/>
                <w:lang w:val="en-US" w:eastAsia="zh-CN" w:bidi="ar-SA"/>
              </w:rPr>
              <w:outlineLvl w:val="9"/>
            </w:pPr>
            <w:r>
              <w:rPr>
                <w:sz w:val="22"/>
                <w:szCs w:val="22"/>
                <w:lang w:val="en-US" w:eastAsia="zh-CN" w:bidi="ar-SA"/>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283"/>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67"/>
              <w:numPr>
                <w:ilvl w:val="0"/>
                <w:numId w:val="0"/>
              </w:numPr>
              <w:spacing w:line="360" w:lineRule="auto"/>
              <w:rPr>
                <w:sz w:val="22"/>
                <w:szCs w:val="22"/>
                <w:lang w:val="en-US" w:eastAsia="zh-CN" w:bidi="ar-SA"/>
              </w:rPr>
              <w:outlineLvl w:val="9"/>
            </w:pPr>
            <w:r>
              <w:rPr>
                <w:sz w:val="22"/>
                <w:szCs w:val="22"/>
                <w:lang w:val="en-US" w:eastAsia="zh-CN" w:bidi="ar-SA"/>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67"/>
              <w:numPr>
                <w:ilvl w:val="0"/>
                <w:numId w:val="0"/>
              </w:numPr>
              <w:spacing w:line="360" w:lineRule="auto"/>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67"/>
              <w:numPr>
                <w:ilvl w:val="0"/>
                <w:numId w:val="0"/>
              </w:numPr>
              <w:spacing w:line="360" w:lineRule="auto"/>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1303" w:type="dxa"/>
            <w:vAlign w:val="center"/>
            <w:textDirection w:val="lrTb"/>
            <w:noWrap w:val="false"/>
          </w:tcPr>
          <w:p>
            <w:pPr>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3959" w:type="dxa"/>
            <w:vAlign w:val="center"/>
            <w:textDirection w:val="lrTb"/>
            <w:noWrap w:val="false"/>
          </w:tcPr>
          <w:p>
            <w:pPr>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ind w:firstLine="0"/>
              <w:jc w:val="center"/>
              <w:spacing w:line="240" w:lineRule="auto"/>
              <w:widowControl/>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ind w:firstLine="0"/>
              <w:jc w:val="center"/>
              <w:spacing w:line="240" w:lineRule="auto"/>
              <w:widowControl/>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bl>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注：</w:t>
      </w:r>
      <w:r/>
    </w:p>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投标人</w:t>
      </w:r>
      <w:r>
        <w:rPr>
          <w:rFonts w:hint="eastAsia" w:ascii="宋体" w:hAnsi="宋体" w:eastAsia="宋体" w:cs="宋体"/>
          <w:b/>
          <w:bCs/>
          <w:sz w:val="24"/>
          <w:lang w:val="en-US" w:eastAsia="zh-CN"/>
        </w:rPr>
        <w:t xml:space="preserve">须</w:t>
      </w:r>
      <w:r>
        <w:rPr>
          <w:rFonts w:hint="eastAsia" w:ascii="宋体" w:hAnsi="宋体" w:eastAsia="宋体" w:cs="宋体"/>
          <w:b/>
          <w:bCs/>
          <w:sz w:val="24"/>
        </w:rPr>
        <w:t xml:space="preserve">根据“</w:t>
      </w:r>
      <w:r>
        <w:rPr>
          <w:rFonts w:hint="eastAsia" w:ascii="宋体" w:hAnsi="宋体" w:eastAsia="宋体" w:cs="宋体"/>
          <w:b/>
          <w:bCs/>
          <w:sz w:val="24"/>
          <w:lang w:val="en-US" w:eastAsia="zh-CN"/>
        </w:rPr>
        <w:t xml:space="preserve">项目需求</w:t>
      </w:r>
      <w:r>
        <w:rPr>
          <w:rFonts w:hint="eastAsia" w:ascii="宋体" w:hAnsi="宋体" w:eastAsia="宋体" w:cs="宋体"/>
          <w:b/>
          <w:bCs/>
          <w:sz w:val="24"/>
        </w:rPr>
        <w:t xml:space="preserve">”中的技术</w:t>
      </w:r>
      <w:r>
        <w:rPr>
          <w:rFonts w:hint="eastAsia" w:ascii="宋体" w:hAnsi="宋体" w:eastAsia="宋体" w:cs="宋体"/>
          <w:b/>
          <w:bCs/>
          <w:sz w:val="24"/>
          <w:lang w:val="en-US" w:eastAsia="zh-CN"/>
        </w:rPr>
        <w:t xml:space="preserve">商务</w:t>
      </w:r>
      <w:r>
        <w:rPr>
          <w:rFonts w:hint="eastAsia" w:ascii="宋体" w:hAnsi="宋体" w:eastAsia="宋体" w:cs="宋体"/>
          <w:b/>
          <w:bCs/>
          <w:sz w:val="24"/>
        </w:rPr>
        <w:t xml:space="preserve">要求，对照所投货物</w:t>
      </w:r>
      <w:r>
        <w:rPr>
          <w:rFonts w:hint="eastAsia" w:ascii="宋体" w:hAnsi="宋体" w:eastAsia="宋体" w:cs="宋体"/>
          <w:b/>
          <w:bCs/>
          <w:sz w:val="24"/>
          <w:lang w:val="en-US" w:eastAsia="zh-CN"/>
        </w:rPr>
        <w:t xml:space="preserve">或服务</w:t>
      </w:r>
      <w:r>
        <w:rPr>
          <w:rFonts w:hint="eastAsia" w:ascii="宋体" w:hAnsi="宋体" w:eastAsia="宋体" w:cs="宋体"/>
          <w:b/>
          <w:bCs/>
          <w:sz w:val="24"/>
        </w:rPr>
        <w:t xml:space="preserve">进行逐项填写。因未标明或表述含糊导致的评标风险将由投标人承担。</w:t>
      </w:r>
      <w:r/>
    </w:p>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2</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3</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表格不够可另接</w:t>
      </w:r>
      <w:r>
        <w:rPr>
          <w:rFonts w:hint="eastAsia" w:ascii="宋体" w:hAnsi="宋体" w:eastAsia="宋体" w:cs="宋体"/>
          <w:b/>
          <w:bCs/>
          <w:sz w:val="24"/>
          <w:lang w:eastAsia="zh-CN"/>
        </w:rPr>
        <w:t xml:space="preserve">。</w:t>
      </w:r>
      <w:r/>
    </w:p>
    <w:p>
      <w:pPr>
        <w:numPr>
          <w:ilvl w:val="0"/>
          <w:numId w:val="21"/>
        </w:numPr>
        <w:ind w:left="0" w:firstLine="0"/>
        <w:jc w:val="center"/>
        <w:keepLines w:val="0"/>
        <w:keepNext w:val="0"/>
        <w:pageBreakBefore/>
        <w:spacing w:before="120" w:after="120" w:line="440" w:lineRule="exact"/>
        <w:widowControl w:val="off"/>
        <w:rPr>
          <w:rFonts w:ascii="宋体" w:hAnsi="宋体"/>
          <w:b/>
          <w:sz w:val="32"/>
          <w:szCs w:val="40"/>
          <w:lang w:eastAsia="zh-CN"/>
        </w:rPr>
        <w:outlineLvl w:val="1"/>
      </w:pPr>
      <w:r>
        <w:rPr>
          <w:rFonts w:hint="eastAsia" w:ascii="宋体" w:hAnsi="宋体"/>
          <w:b/>
          <w:sz w:val="32"/>
          <w:szCs w:val="40"/>
          <w:lang w:val="en-US" w:eastAsia="zh-CN"/>
        </w:rPr>
        <w:t xml:space="preserve">技术</w:t>
      </w:r>
      <w:r>
        <w:rPr>
          <w:rFonts w:ascii="Times New Roman" w:hAnsi="Times New Roman" w:eastAsia="宋体" w:cs="Times New Roman"/>
          <w:b/>
          <w:bCs/>
          <w:sz w:val="32"/>
          <w:szCs w:val="32"/>
          <w:lang w:eastAsia="zh-CN"/>
        </w:rPr>
        <w:t xml:space="preserve">方案</w:t>
      </w:r>
      <w:r>
        <w:rPr>
          <w:rFonts w:ascii="宋体" w:hAnsi="宋体"/>
          <w:b/>
          <w:sz w:val="32"/>
          <w:szCs w:val="40"/>
          <w:lang w:eastAsia="zh-CN"/>
        </w:rPr>
        <w:t xml:space="preserve">、服务方案</w:t>
      </w:r>
      <w:r/>
    </w:p>
    <w:p>
      <w:pPr>
        <w:pStyle w:val="1049"/>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1049"/>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1049"/>
        <w:ind w:left="0" w:firstLine="0"/>
        <w:keepLines w:val="0"/>
        <w:keepNext w:val="0"/>
        <w:pageBreakBefore w:val="0"/>
        <w:widowControl/>
        <w:rPr>
          <w:rFonts w:hint="eastAsia"/>
          <w:b/>
          <w:bCs/>
          <w:sz w:val="32"/>
          <w:szCs w:val="32"/>
        </w:rPr>
        <w:outlineLvl w:val="9"/>
      </w:pPr>
      <w:r>
        <w:rPr>
          <w:rFonts w:ascii="Times New Roman" w:hAnsi="Times New Roman" w:cs="Times New Roman"/>
          <w:b/>
          <w:bCs/>
          <w:i w:val="0"/>
          <w:iCs w:val="0"/>
          <w:u w:val="none"/>
        </w:rPr>
        <w:t xml:space="preserve">注：</w:t>
      </w:r>
      <w:r>
        <w:rPr>
          <w:rFonts w:hint="eastAsia" w:ascii="宋体" w:hAnsi="宋体" w:cs="Arial"/>
          <w:b/>
          <w:bCs/>
          <w:sz w:val="24"/>
          <w:szCs w:val="21"/>
          <w:lang w:val="en-US" w:eastAsia="zh-CN"/>
        </w:rPr>
        <w:t xml:space="preserve">方案</w:t>
      </w:r>
      <w:r>
        <w:rPr>
          <w:rFonts w:hint="eastAsia" w:ascii="宋体" w:hAnsi="宋体" w:cs="Arial"/>
          <w:b/>
          <w:bCs/>
          <w:sz w:val="24"/>
          <w:szCs w:val="21"/>
        </w:rPr>
        <w:t xml:space="preserve">内容</w:t>
      </w:r>
      <w:r>
        <w:rPr>
          <w:rFonts w:hint="eastAsia" w:ascii="宋体" w:hAnsi="宋体" w:cs="Arial"/>
          <w:b/>
          <w:bCs/>
          <w:sz w:val="24"/>
          <w:szCs w:val="21"/>
          <w:lang w:val="en-US" w:eastAsia="zh-CN"/>
        </w:rPr>
        <w:t xml:space="preserve">的</w:t>
      </w:r>
      <w:r>
        <w:rPr>
          <w:rFonts w:hint="eastAsia" w:ascii="宋体" w:hAnsi="宋体" w:cs="Arial"/>
          <w:b/>
          <w:bCs/>
          <w:sz w:val="24"/>
          <w:szCs w:val="21"/>
        </w:rPr>
        <w:t xml:space="preserve">编排等由投标人</w:t>
      </w:r>
      <w:r>
        <w:rPr>
          <w:rFonts w:hint="eastAsia" w:ascii="宋体" w:hAnsi="宋体" w:cs="Arial"/>
          <w:b/>
          <w:bCs/>
          <w:sz w:val="24"/>
          <w:szCs w:val="21"/>
          <w:lang w:val="en-US" w:eastAsia="zh-CN"/>
        </w:rPr>
        <w:t xml:space="preserve">自拟</w:t>
      </w:r>
      <w:r>
        <w:rPr>
          <w:rFonts w:ascii="Times New Roman" w:hAnsi="Times New Roman" w:cs="Times New Roman"/>
          <w:b/>
          <w:bCs/>
          <w:i w:val="0"/>
          <w:iCs w:val="0"/>
          <w:u w:val="none"/>
        </w:rPr>
        <w:t xml:space="preserve">。</w:t>
      </w:r>
      <w:r/>
    </w:p>
    <w:p>
      <w:pPr>
        <w:numPr>
          <w:ilvl w:val="0"/>
          <w:numId w:val="21"/>
        </w:numPr>
        <w:ind w:left="0" w:firstLine="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25"/>
        <w:ind w:left="0" w:firstLine="0"/>
        <w:spacing w:after="0" w:line="360" w:lineRule="auto"/>
        <w:widowControl/>
        <w:tabs>
          <w:tab w:val="left" w:pos="1484" w:leader="none"/>
        </w:tabs>
        <w:rPr>
          <w:rFonts w:hint="eastAsia" w:ascii="宋体" w:hAnsi="宋体" w:cs="宋体"/>
          <w:sz w:val="24"/>
          <w:szCs w:val="32"/>
        </w:rPr>
      </w:pPr>
      <w:r>
        <w:rPr>
          <w:rFonts w:hint="eastAsia" w:ascii="宋体" w:hAnsi="宋体" w:cs="宋体"/>
          <w:sz w:val="24"/>
          <w:szCs w:val="32"/>
        </w:rPr>
        <w:t xml:space="preserve">包括但不限于：</w:t>
      </w:r>
      <w:r/>
    </w:p>
    <w:p>
      <w:pPr>
        <w:pStyle w:val="1025"/>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类似项目</w:t>
      </w:r>
      <w:r>
        <w:rPr>
          <w:rFonts w:hint="eastAsia" w:ascii="宋体" w:hAnsi="宋体" w:eastAsia="宋体" w:cs="宋体"/>
          <w:b w:val="0"/>
          <w:bCs w:val="0"/>
          <w:sz w:val="24"/>
          <w:szCs w:val="24"/>
          <w:lang w:val="en-US" w:eastAsia="zh-CN"/>
        </w:rPr>
        <w:t xml:space="preserve">业绩</w:t>
      </w:r>
      <w:r>
        <w:rPr>
          <w:rFonts w:hint="eastAsia" w:ascii="宋体" w:hAnsi="宋体" w:eastAsia="宋体" w:cs="宋体"/>
          <w:b w:val="0"/>
          <w:bCs w:val="0"/>
          <w:sz w:val="24"/>
          <w:szCs w:val="24"/>
        </w:rPr>
        <w:t xml:space="preserve">一览表</w:t>
      </w:r>
      <w:r/>
    </w:p>
    <w:p>
      <w:pPr>
        <w:pStyle w:val="1025"/>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25"/>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3.拥有的相关证书奖项</w:t>
      </w:r>
      <w:r/>
    </w:p>
    <w:p>
      <w:pPr>
        <w:pStyle w:val="1025"/>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4.投标人拥有的设施设备情况</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1049"/>
      </w:pPr>
      <w:r/>
      <w:r/>
    </w:p>
    <w:p>
      <w:pPr>
        <w:pStyle w:val="1049"/>
      </w:pPr>
      <w:r/>
      <w:r/>
    </w:p>
    <w:p>
      <w:pPr>
        <w:pStyle w:val="1049"/>
      </w:pPr>
      <w:r/>
      <w:r/>
    </w:p>
    <w:p>
      <w:pPr>
        <w:pStyle w:val="1025"/>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楷体_GB2312">
    <w:panose1 w:val="02010609060101010101"/>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8">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9">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2">
    <w:multiLevelType w:val="hybridMultilevel"/>
    <w:lvl w:ilvl="0">
      <w:start w:val="1"/>
      <w:numFmt w:val="decimal"/>
      <w:pStyle w:val="106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3">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420"/>
      </w:pPr>
      <w:rPr>
        <w:rFonts w:hint="eastAsia" w:ascii="宋体" w:hAnsi="宋体" w:eastAsia="宋体" w:cs="宋体"/>
        <w:b/>
        <w:bCs/>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3"/>
  </w:num>
  <w:num w:numId="5">
    <w:abstractNumId w:val="18"/>
  </w:num>
  <w:num w:numId="6">
    <w:abstractNumId w:val="5"/>
  </w:num>
  <w:num w:numId="7">
    <w:abstractNumId w:val="17"/>
  </w:num>
  <w:num w:numId="8">
    <w:abstractNumId w:val="8"/>
  </w:num>
  <w:num w:numId="9">
    <w:abstractNumId w:val="11"/>
  </w:num>
  <w:num w:numId="10">
    <w:abstractNumId w:val="7"/>
  </w:num>
  <w:num w:numId="11">
    <w:abstractNumId w:val="6"/>
  </w:num>
  <w:num w:numId="12">
    <w:abstractNumId w:val="2"/>
  </w:num>
  <w:num w:numId="13">
    <w:abstractNumId w:val="16"/>
  </w:num>
  <w:num w:numId="14">
    <w:abstractNumId w:val="19"/>
  </w:num>
  <w:num w:numId="15">
    <w:abstractNumId w:val="10"/>
  </w:num>
  <w:num w:numId="16">
    <w:abstractNumId w:val="15"/>
  </w:num>
  <w:num w:numId="17">
    <w:abstractNumId w:val="3"/>
  </w:num>
  <w:num w:numId="18">
    <w:abstractNumId w:val="22"/>
  </w:num>
  <w:num w:numId="19">
    <w:abstractNumId w:val="21"/>
  </w:num>
  <w:num w:numId="20">
    <w:abstractNumId w:val="4"/>
  </w:num>
  <w:num w:numId="21">
    <w:abstractNumId w:val="20"/>
  </w:num>
  <w:num w:numId="22">
    <w:abstractNumId w:val="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default="1">
    <w:name w:val="Normal"/>
    <w:next w:val="852"/>
    <w:link w:val="1076"/>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41">
    <w:name w:val="Heading 1"/>
    <w:basedOn w:val="840"/>
    <w:next w:val="840"/>
    <w:link w:val="874"/>
    <w:uiPriority w:val="9"/>
    <w:qFormat/>
    <w:pPr>
      <w:keepLines/>
      <w:keepNext/>
      <w:spacing w:before="480" w:after="200"/>
      <w:outlineLvl w:val="0"/>
    </w:pPr>
    <w:rPr>
      <w:rFonts w:ascii="Arial" w:hAnsi="Arial" w:eastAsia="Arial" w:cs="Arial"/>
      <w:sz w:val="40"/>
      <w:szCs w:val="40"/>
    </w:rPr>
  </w:style>
  <w:style w:type="paragraph" w:styleId="842">
    <w:name w:val="Heading 2"/>
    <w:basedOn w:val="840"/>
    <w:next w:val="840"/>
    <w:link w:val="875"/>
    <w:uiPriority w:val="9"/>
    <w:unhideWhenUsed/>
    <w:qFormat/>
    <w:pPr>
      <w:keepLines/>
      <w:keepNext/>
      <w:spacing w:before="360" w:after="200"/>
      <w:outlineLvl w:val="1"/>
    </w:pPr>
    <w:rPr>
      <w:rFonts w:ascii="Arial" w:hAnsi="Arial" w:eastAsia="Arial" w:cs="Arial"/>
      <w:sz w:val="34"/>
    </w:rPr>
  </w:style>
  <w:style w:type="paragraph" w:styleId="843">
    <w:name w:val="Heading 3"/>
    <w:basedOn w:val="840"/>
    <w:next w:val="840"/>
    <w:link w:val="876"/>
    <w:uiPriority w:val="9"/>
    <w:unhideWhenUsed/>
    <w:qFormat/>
    <w:pPr>
      <w:keepLines/>
      <w:keepNext/>
      <w:spacing w:before="320" w:after="200"/>
      <w:outlineLvl w:val="2"/>
    </w:pPr>
    <w:rPr>
      <w:rFonts w:ascii="Arial" w:hAnsi="Arial" w:eastAsia="Arial" w:cs="Arial"/>
      <w:sz w:val="30"/>
      <w:szCs w:val="30"/>
    </w:rPr>
  </w:style>
  <w:style w:type="paragraph" w:styleId="844">
    <w:name w:val="Heading 4"/>
    <w:basedOn w:val="840"/>
    <w:next w:val="840"/>
    <w:link w:val="877"/>
    <w:uiPriority w:val="9"/>
    <w:unhideWhenUsed/>
    <w:qFormat/>
    <w:pPr>
      <w:keepLines/>
      <w:keepNext/>
      <w:spacing w:before="320" w:after="200"/>
      <w:outlineLvl w:val="3"/>
    </w:pPr>
    <w:rPr>
      <w:rFonts w:ascii="Arial" w:hAnsi="Arial" w:eastAsia="Arial" w:cs="Arial"/>
      <w:b/>
      <w:bCs/>
      <w:sz w:val="26"/>
      <w:szCs w:val="26"/>
    </w:rPr>
  </w:style>
  <w:style w:type="paragraph" w:styleId="845">
    <w:name w:val="Heading 5"/>
    <w:basedOn w:val="840"/>
    <w:next w:val="840"/>
    <w:link w:val="878"/>
    <w:uiPriority w:val="9"/>
    <w:unhideWhenUsed/>
    <w:qFormat/>
    <w:pPr>
      <w:keepLines/>
      <w:keepNext/>
      <w:spacing w:before="320" w:after="200"/>
      <w:outlineLvl w:val="4"/>
    </w:pPr>
    <w:rPr>
      <w:rFonts w:ascii="Arial" w:hAnsi="Arial" w:eastAsia="Arial" w:cs="Arial"/>
      <w:b/>
      <w:bCs/>
      <w:sz w:val="24"/>
      <w:szCs w:val="24"/>
    </w:rPr>
  </w:style>
  <w:style w:type="paragraph" w:styleId="846">
    <w:name w:val="Heading 6"/>
    <w:basedOn w:val="840"/>
    <w:next w:val="840"/>
    <w:link w:val="879"/>
    <w:uiPriority w:val="9"/>
    <w:unhideWhenUsed/>
    <w:qFormat/>
    <w:pPr>
      <w:keepLines/>
      <w:keepNext/>
      <w:spacing w:before="320" w:after="200"/>
      <w:outlineLvl w:val="5"/>
    </w:pPr>
    <w:rPr>
      <w:rFonts w:ascii="Arial" w:hAnsi="Arial" w:eastAsia="Arial" w:cs="Arial"/>
      <w:b/>
      <w:bCs/>
      <w:sz w:val="22"/>
      <w:szCs w:val="22"/>
    </w:rPr>
  </w:style>
  <w:style w:type="paragraph" w:styleId="847">
    <w:name w:val="Heading 7"/>
    <w:basedOn w:val="840"/>
    <w:next w:val="840"/>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link w:val="881"/>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link w:val="882"/>
    <w:uiPriority w:val="9"/>
    <w:unhideWhenUsed/>
    <w:qFormat/>
    <w:pPr>
      <w:keepLines/>
      <w:keepNext/>
      <w:spacing w:before="320" w:after="200"/>
      <w:outlineLvl w:val="8"/>
    </w:pPr>
    <w:rPr>
      <w:rFonts w:ascii="Arial" w:hAnsi="Arial" w:eastAsia="Arial" w:cs="Arial"/>
      <w:i/>
      <w:iCs/>
      <w:sz w:val="21"/>
      <w:szCs w:val="21"/>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customStyle="1">
    <w:name w:val="正文1"/>
    <w:basedOn w:val="840"/>
    <w:next w:val="840"/>
    <w:uiPriority w:val="0"/>
    <w:qFormat/>
    <w:pPr>
      <w:ind w:left="420"/>
      <w:spacing w:line="300" w:lineRule="auto"/>
      <w:widowControl/>
    </w:pPr>
    <w:rPr>
      <w:szCs w:val="20"/>
    </w:rPr>
  </w:style>
  <w:style w:type="paragraph" w:styleId="853">
    <w:name w:val="toc 7"/>
    <w:basedOn w:val="840"/>
    <w:next w:val="840"/>
    <w:uiPriority w:val="39"/>
    <w:unhideWhenUsed/>
    <w:qFormat/>
    <w:pPr>
      <w:ind w:left="1701" w:right="0" w:firstLine="0"/>
      <w:spacing w:after="57"/>
    </w:pPr>
  </w:style>
  <w:style w:type="paragraph" w:styleId="854">
    <w:name w:val="Caption"/>
    <w:basedOn w:val="840"/>
    <w:next w:val="840"/>
    <w:uiPriority w:val="35"/>
    <w:semiHidden/>
    <w:unhideWhenUsed/>
    <w:qFormat/>
    <w:pPr>
      <w:spacing w:line="276" w:lineRule="auto"/>
    </w:pPr>
    <w:rPr>
      <w:b/>
      <w:bCs/>
      <w:color w:val="4f81bd" w:themeColor="accent1"/>
      <w:sz w:val="18"/>
      <w:szCs w:val="18"/>
    </w:rPr>
  </w:style>
  <w:style w:type="paragraph" w:styleId="855">
    <w:name w:val="toc 5"/>
    <w:basedOn w:val="840"/>
    <w:next w:val="840"/>
    <w:uiPriority w:val="39"/>
    <w:unhideWhenUsed/>
    <w:qFormat/>
    <w:pPr>
      <w:ind w:left="1134" w:right="0" w:firstLine="0"/>
      <w:spacing w:after="57"/>
    </w:pPr>
  </w:style>
  <w:style w:type="paragraph" w:styleId="856">
    <w:name w:val="toc 3"/>
    <w:basedOn w:val="840"/>
    <w:next w:val="840"/>
    <w:uiPriority w:val="39"/>
    <w:unhideWhenUsed/>
    <w:qFormat/>
    <w:pPr>
      <w:ind w:left="567" w:right="0" w:firstLine="0"/>
      <w:spacing w:after="57"/>
    </w:pPr>
  </w:style>
  <w:style w:type="paragraph" w:styleId="857">
    <w:name w:val="toc 8"/>
    <w:basedOn w:val="840"/>
    <w:next w:val="840"/>
    <w:uiPriority w:val="39"/>
    <w:unhideWhenUsed/>
    <w:qFormat/>
    <w:pPr>
      <w:ind w:left="1984" w:right="0" w:firstLine="0"/>
      <w:spacing w:after="57"/>
    </w:pPr>
  </w:style>
  <w:style w:type="paragraph" w:styleId="858">
    <w:name w:val="endnote text"/>
    <w:basedOn w:val="840"/>
    <w:link w:val="1018"/>
    <w:uiPriority w:val="99"/>
    <w:semiHidden/>
    <w:unhideWhenUsed/>
    <w:qFormat/>
    <w:pPr>
      <w:spacing w:after="0" w:line="240" w:lineRule="auto"/>
    </w:pPr>
    <w:rPr>
      <w:sz w:val="20"/>
    </w:rPr>
  </w:style>
  <w:style w:type="paragraph" w:styleId="859">
    <w:name w:val="Footer"/>
    <w:basedOn w:val="840"/>
    <w:link w:val="891"/>
    <w:uiPriority w:val="99"/>
    <w:unhideWhenUsed/>
    <w:qFormat/>
    <w:pPr>
      <w:spacing w:after="0" w:line="240" w:lineRule="auto"/>
      <w:tabs>
        <w:tab w:val="center" w:pos="7143" w:leader="none"/>
        <w:tab w:val="right" w:pos="14287" w:leader="none"/>
      </w:tabs>
    </w:pPr>
  </w:style>
  <w:style w:type="paragraph" w:styleId="860">
    <w:name w:val="Header"/>
    <w:basedOn w:val="840"/>
    <w:link w:val="889"/>
    <w:uiPriority w:val="99"/>
    <w:unhideWhenUsed/>
    <w:qFormat/>
    <w:pPr>
      <w:spacing w:after="0" w:line="240" w:lineRule="auto"/>
      <w:tabs>
        <w:tab w:val="center" w:pos="7143" w:leader="none"/>
        <w:tab w:val="right" w:pos="14287" w:leader="none"/>
      </w:tabs>
    </w:pPr>
  </w:style>
  <w:style w:type="paragraph" w:styleId="861">
    <w:name w:val="toc 1"/>
    <w:basedOn w:val="840"/>
    <w:next w:val="840"/>
    <w:uiPriority w:val="39"/>
    <w:unhideWhenUsed/>
    <w:qFormat/>
    <w:pPr>
      <w:ind w:left="0" w:right="0" w:firstLine="0"/>
      <w:spacing w:after="57"/>
    </w:pPr>
  </w:style>
  <w:style w:type="paragraph" w:styleId="862">
    <w:name w:val="toc 4"/>
    <w:basedOn w:val="840"/>
    <w:next w:val="840"/>
    <w:uiPriority w:val="39"/>
    <w:unhideWhenUsed/>
    <w:qFormat/>
    <w:pPr>
      <w:ind w:left="850" w:right="0" w:firstLine="0"/>
      <w:spacing w:after="57"/>
    </w:pPr>
  </w:style>
  <w:style w:type="paragraph" w:styleId="863">
    <w:name w:val="Subtitle"/>
    <w:basedOn w:val="840"/>
    <w:next w:val="840"/>
    <w:link w:val="884"/>
    <w:uiPriority w:val="11"/>
    <w:qFormat/>
    <w:pPr>
      <w:spacing w:before="200" w:after="200"/>
    </w:pPr>
    <w:rPr>
      <w:sz w:val="24"/>
      <w:szCs w:val="24"/>
    </w:rPr>
  </w:style>
  <w:style w:type="paragraph" w:styleId="864">
    <w:name w:val="footnote text"/>
    <w:basedOn w:val="840"/>
    <w:link w:val="1017"/>
    <w:uiPriority w:val="99"/>
    <w:semiHidden/>
    <w:unhideWhenUsed/>
    <w:qFormat/>
    <w:pPr>
      <w:spacing w:after="40" w:line="240" w:lineRule="auto"/>
    </w:pPr>
    <w:rPr>
      <w:sz w:val="18"/>
    </w:rPr>
  </w:style>
  <w:style w:type="paragraph" w:styleId="865">
    <w:name w:val="toc 6"/>
    <w:basedOn w:val="840"/>
    <w:next w:val="840"/>
    <w:uiPriority w:val="39"/>
    <w:unhideWhenUsed/>
    <w:qFormat/>
    <w:pPr>
      <w:ind w:left="1417" w:right="0" w:firstLine="0"/>
      <w:spacing w:after="57"/>
    </w:pPr>
  </w:style>
  <w:style w:type="paragraph" w:styleId="866">
    <w:name w:val="table of figures"/>
    <w:basedOn w:val="840"/>
    <w:next w:val="840"/>
    <w:uiPriority w:val="99"/>
    <w:unhideWhenUsed/>
    <w:qFormat/>
    <w:pPr>
      <w:spacing w:after="0" w:afterAutospacing="0"/>
    </w:pPr>
  </w:style>
  <w:style w:type="paragraph" w:styleId="867">
    <w:name w:val="toc 2"/>
    <w:basedOn w:val="840"/>
    <w:next w:val="840"/>
    <w:uiPriority w:val="39"/>
    <w:unhideWhenUsed/>
    <w:qFormat/>
    <w:pPr>
      <w:ind w:left="283" w:right="0" w:firstLine="0"/>
      <w:spacing w:after="57"/>
    </w:pPr>
  </w:style>
  <w:style w:type="paragraph" w:styleId="868">
    <w:name w:val="toc 9"/>
    <w:basedOn w:val="840"/>
    <w:next w:val="840"/>
    <w:uiPriority w:val="39"/>
    <w:unhideWhenUsed/>
    <w:qFormat/>
    <w:pPr>
      <w:ind w:left="2268" w:right="0" w:firstLine="0"/>
      <w:spacing w:after="57"/>
    </w:pPr>
  </w:style>
  <w:style w:type="paragraph" w:styleId="869">
    <w:name w:val="Title"/>
    <w:basedOn w:val="840"/>
    <w:next w:val="840"/>
    <w:link w:val="883"/>
    <w:uiPriority w:val="10"/>
    <w:qFormat/>
    <w:pPr>
      <w:contextualSpacing/>
      <w:spacing w:before="300" w:after="200"/>
    </w:pPr>
    <w:rPr>
      <w:sz w:val="48"/>
      <w:szCs w:val="48"/>
    </w:rPr>
  </w:style>
  <w:style w:type="table" w:styleId="8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Hyperlink"/>
    <w:uiPriority w:val="99"/>
    <w:unhideWhenUsed/>
    <w:qFormat/>
    <w:rPr>
      <w:color w:val="0000ff" w:themeColor="hyperlink"/>
      <w:u w:val="single"/>
    </w:rPr>
  </w:style>
  <w:style w:type="character" w:styleId="873">
    <w:name w:val="footnote reference"/>
    <w:uiPriority w:val="99"/>
    <w:unhideWhenUsed/>
    <w:qFormat/>
    <w:rPr>
      <w:vertAlign w:val="superscript"/>
    </w:rPr>
  </w:style>
  <w:style w:type="character" w:styleId="874" w:customStyle="1">
    <w:name w:val="Heading 1 Char"/>
    <w:link w:val="841"/>
    <w:uiPriority w:val="9"/>
    <w:qFormat/>
    <w:rPr>
      <w:rFonts w:ascii="Arial" w:hAnsi="Arial" w:eastAsia="Arial" w:cs="Arial"/>
      <w:sz w:val="40"/>
      <w:szCs w:val="40"/>
    </w:rPr>
  </w:style>
  <w:style w:type="character" w:styleId="875" w:customStyle="1">
    <w:name w:val="Heading 2 Char"/>
    <w:link w:val="842"/>
    <w:uiPriority w:val="9"/>
    <w:rPr>
      <w:rFonts w:ascii="Arial" w:hAnsi="Arial" w:eastAsia="Arial" w:cs="Arial"/>
      <w:sz w:val="34"/>
    </w:rPr>
  </w:style>
  <w:style w:type="character" w:styleId="876" w:customStyle="1">
    <w:name w:val="Heading 3 Char"/>
    <w:link w:val="843"/>
    <w:uiPriority w:val="9"/>
    <w:qFormat/>
    <w:rPr>
      <w:rFonts w:ascii="Arial" w:hAnsi="Arial" w:eastAsia="Arial" w:cs="Arial"/>
      <w:sz w:val="30"/>
      <w:szCs w:val="30"/>
    </w:rPr>
  </w:style>
  <w:style w:type="character" w:styleId="877" w:customStyle="1">
    <w:name w:val="Heading 4 Char"/>
    <w:link w:val="844"/>
    <w:uiPriority w:val="9"/>
    <w:qFormat/>
    <w:rPr>
      <w:rFonts w:ascii="Arial" w:hAnsi="Arial" w:eastAsia="Arial" w:cs="Arial"/>
      <w:b/>
      <w:bCs/>
      <w:sz w:val="26"/>
      <w:szCs w:val="26"/>
    </w:rPr>
  </w:style>
  <w:style w:type="character" w:styleId="878" w:customStyle="1">
    <w:name w:val="Heading 5 Char"/>
    <w:link w:val="845"/>
    <w:uiPriority w:val="9"/>
    <w:qFormat/>
    <w:rPr>
      <w:rFonts w:ascii="Arial" w:hAnsi="Arial" w:eastAsia="Arial" w:cs="Arial"/>
      <w:b/>
      <w:bCs/>
      <w:sz w:val="24"/>
      <w:szCs w:val="24"/>
    </w:rPr>
  </w:style>
  <w:style w:type="character" w:styleId="879" w:customStyle="1">
    <w:name w:val="Heading 6 Char"/>
    <w:link w:val="846"/>
    <w:uiPriority w:val="9"/>
    <w:qFormat/>
    <w:rPr>
      <w:rFonts w:ascii="Arial" w:hAnsi="Arial" w:eastAsia="Arial" w:cs="Arial"/>
      <w:b/>
      <w:bCs/>
      <w:sz w:val="22"/>
      <w:szCs w:val="22"/>
    </w:rPr>
  </w:style>
  <w:style w:type="character" w:styleId="880" w:customStyle="1">
    <w:name w:val="Heading 7 Char"/>
    <w:link w:val="847"/>
    <w:uiPriority w:val="9"/>
    <w:qFormat/>
    <w:rPr>
      <w:rFonts w:ascii="Arial" w:hAnsi="Arial" w:eastAsia="Arial" w:cs="Arial"/>
      <w:b/>
      <w:bCs/>
      <w:i/>
      <w:iCs/>
      <w:sz w:val="22"/>
      <w:szCs w:val="22"/>
    </w:rPr>
  </w:style>
  <w:style w:type="character" w:styleId="881" w:customStyle="1">
    <w:name w:val="Heading 8 Char"/>
    <w:link w:val="848"/>
    <w:uiPriority w:val="9"/>
    <w:qFormat/>
    <w:rPr>
      <w:rFonts w:ascii="Arial" w:hAnsi="Arial" w:eastAsia="Arial" w:cs="Arial"/>
      <w:i/>
      <w:iCs/>
      <w:sz w:val="22"/>
      <w:szCs w:val="22"/>
    </w:rPr>
  </w:style>
  <w:style w:type="character" w:styleId="882" w:customStyle="1">
    <w:name w:val="Heading 9 Char"/>
    <w:link w:val="849"/>
    <w:uiPriority w:val="9"/>
    <w:qFormat/>
    <w:rPr>
      <w:rFonts w:ascii="Arial" w:hAnsi="Arial" w:eastAsia="Arial" w:cs="Arial"/>
      <w:i/>
      <w:iCs/>
      <w:sz w:val="21"/>
      <w:szCs w:val="21"/>
    </w:rPr>
  </w:style>
  <w:style w:type="character" w:styleId="883" w:customStyle="1">
    <w:name w:val="Title Char"/>
    <w:link w:val="869"/>
    <w:uiPriority w:val="10"/>
    <w:qFormat/>
    <w:rPr>
      <w:sz w:val="48"/>
      <w:szCs w:val="48"/>
    </w:rPr>
  </w:style>
  <w:style w:type="character" w:styleId="884" w:customStyle="1">
    <w:name w:val="Subtitle Char"/>
    <w:link w:val="863"/>
    <w:uiPriority w:val="11"/>
    <w:qFormat/>
    <w:rPr>
      <w:sz w:val="24"/>
      <w:szCs w:val="24"/>
    </w:rPr>
  </w:style>
  <w:style w:type="paragraph" w:styleId="885">
    <w:name w:val="Quote"/>
    <w:basedOn w:val="840"/>
    <w:next w:val="840"/>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40"/>
    <w:next w:val="840"/>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link w:val="860"/>
    <w:uiPriority w:val="99"/>
    <w:qFormat/>
  </w:style>
  <w:style w:type="character" w:styleId="890" w:customStyle="1">
    <w:name w:val="Footer Char"/>
    <w:link w:val="859"/>
    <w:uiPriority w:val="99"/>
    <w:qFormat/>
  </w:style>
  <w:style w:type="character" w:styleId="891" w:customStyle="1">
    <w:name w:val="Caption Char"/>
    <w:link w:val="859"/>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64"/>
    <w:uiPriority w:val="99"/>
    <w:qFormat/>
    <w:rPr>
      <w:sz w:val="18"/>
    </w:rPr>
  </w:style>
  <w:style w:type="character" w:styleId="1018" w:customStyle="1">
    <w:name w:val="Endnote Text Char"/>
    <w:link w:val="858"/>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21"/>
    <w:basedOn w:val="840"/>
    <w:next w:val="840"/>
    <w:uiPriority w:val="0"/>
    <w:qFormat/>
    <w:pPr>
      <w:jc w:val="center"/>
      <w:keepLines/>
      <w:keepNext/>
      <w:spacing w:before="260" w:after="260" w:line="415" w:lineRule="auto"/>
      <w:outlineLvl w:val="1"/>
    </w:pPr>
    <w:rPr>
      <w:rFonts w:ascii="Arial" w:hAnsi="Arial" w:eastAsia="幼圆"/>
      <w:b/>
      <w:bCs/>
      <w:sz w:val="44"/>
      <w:szCs w:val="44"/>
    </w:rPr>
  </w:style>
  <w:style w:type="character" w:styleId="1021" w:customStyle="1">
    <w:name w:val="默认段落字体1"/>
    <w:link w:val="840"/>
    <w:uiPriority w:val="0"/>
    <w:semiHidden/>
    <w:qFormat/>
  </w:style>
  <w:style w:type="table" w:styleId="1022" w:customStyle="1">
    <w:name w:val="普通表格1"/>
    <w:uiPriority w:val="0"/>
    <w:semiHidden/>
    <w:qFormat/>
    <w:tblPr/>
  </w:style>
  <w:style w:type="paragraph" w:styleId="1023" w:customStyle="1">
    <w:name w:val="正文缩进1"/>
    <w:basedOn w:val="840"/>
    <w:uiPriority w:val="0"/>
    <w:qFormat/>
    <w:pPr>
      <w:ind w:firstLine="420"/>
    </w:pPr>
    <w:rPr>
      <w:szCs w:val="21"/>
    </w:rPr>
  </w:style>
  <w:style w:type="paragraph" w:styleId="1024" w:customStyle="1">
    <w:name w:val="文档结构图1"/>
    <w:basedOn w:val="840"/>
    <w:uiPriority w:val="0"/>
    <w:qFormat/>
    <w:pPr>
      <w:shd w:val="clear" w:color="auto" w:fill="000080"/>
    </w:pPr>
    <w:rPr>
      <w:szCs w:val="21"/>
    </w:rPr>
  </w:style>
  <w:style w:type="paragraph" w:styleId="1025" w:customStyle="1">
    <w:name w:val="正文文本1"/>
    <w:basedOn w:val="840"/>
    <w:next w:val="840"/>
    <w:uiPriority w:val="0"/>
    <w:qFormat/>
    <w:pPr>
      <w:spacing w:after="120"/>
    </w:pPr>
  </w:style>
  <w:style w:type="paragraph" w:styleId="1026" w:customStyle="1">
    <w:name w:val="正文文本缩进1"/>
    <w:basedOn w:val="840"/>
    <w:next w:val="1027"/>
    <w:uiPriority w:val="0"/>
    <w:qFormat/>
    <w:pPr>
      <w:ind w:firstLine="645"/>
    </w:pPr>
    <w:rPr>
      <w:rFonts w:ascii="楷体_GB2312" w:hAnsi="宋体" w:eastAsia="楷体_GB2312"/>
      <w:sz w:val="32"/>
      <w:szCs w:val="32"/>
    </w:rPr>
  </w:style>
  <w:style w:type="paragraph" w:styleId="1027" w:customStyle="1">
    <w:name w:val="寄信人地址1"/>
    <w:basedOn w:val="840"/>
    <w:uiPriority w:val="99"/>
    <w:qFormat/>
    <w:rPr>
      <w:rFonts w:ascii="Arial" w:hAnsi="Arial"/>
    </w:rPr>
  </w:style>
  <w:style w:type="paragraph" w:styleId="1028" w:customStyle="1">
    <w:name w:val="日期1"/>
    <w:basedOn w:val="840"/>
    <w:next w:val="840"/>
    <w:uiPriority w:val="0"/>
    <w:qFormat/>
    <w:rPr>
      <w:sz w:val="24"/>
    </w:rPr>
  </w:style>
  <w:style w:type="paragraph" w:styleId="1029" w:customStyle="1">
    <w:name w:val="页脚1"/>
    <w:basedOn w:val="840"/>
    <w:uiPriority w:val="99"/>
    <w:qFormat/>
    <w:pPr>
      <w:jc w:val="left"/>
      <w:tabs>
        <w:tab w:val="center" w:pos="4153" w:leader="none"/>
        <w:tab w:val="right" w:pos="8306" w:leader="none"/>
      </w:tabs>
    </w:pPr>
    <w:rPr>
      <w:sz w:val="18"/>
      <w:szCs w:val="18"/>
    </w:rPr>
  </w:style>
  <w:style w:type="paragraph" w:styleId="1030" w:customStyle="1">
    <w:name w:val="页眉1"/>
    <w:basedOn w:val="840"/>
    <w:uiPriority w:val="99"/>
    <w:qFormat/>
    <w:pPr>
      <w:jc w:val="center"/>
      <w:tabs>
        <w:tab w:val="center" w:pos="4153" w:leader="none"/>
        <w:tab w:val="right" w:pos="8306" w:leader="none"/>
      </w:tabs>
      <w:pBdr>
        <w:bottom w:val="single" w:color="000000" w:sz="6" w:space="1"/>
      </w:pBdr>
    </w:pPr>
    <w:rPr>
      <w:sz w:val="18"/>
      <w:szCs w:val="18"/>
    </w:rPr>
  </w:style>
  <w:style w:type="paragraph" w:styleId="1031" w:customStyle="1">
    <w:name w:val="目录 11"/>
    <w:basedOn w:val="840"/>
    <w:next w:val="840"/>
    <w:uiPriority w:val="0"/>
    <w:qFormat/>
  </w:style>
  <w:style w:type="paragraph" w:styleId="1032" w:customStyle="1">
    <w:name w:val="目录 21"/>
    <w:basedOn w:val="840"/>
    <w:next w:val="840"/>
    <w:uiPriority w:val="0"/>
    <w:qFormat/>
    <w:pPr>
      <w:ind w:left="420"/>
    </w:pPr>
  </w:style>
  <w:style w:type="paragraph" w:styleId="1033" w:customStyle="1">
    <w:name w:val="普通(网站)1"/>
    <w:basedOn w:val="840"/>
    <w:uiPriority w:val="0"/>
    <w:qFormat/>
    <w:pPr>
      <w:ind w:left="0" w:right="0"/>
      <w:jc w:val="left"/>
      <w:spacing w:before="100" w:beforeAutospacing="1" w:after="100" w:afterAutospacing="1"/>
    </w:pPr>
    <w:rPr>
      <w:sz w:val="24"/>
      <w:lang w:val="en-US" w:eastAsia="zh-CN" w:bidi="ar"/>
    </w:rPr>
  </w:style>
  <w:style w:type="paragraph" w:styleId="1034" w:customStyle="1">
    <w:name w:val="正文首行缩进1"/>
    <w:basedOn w:val="1025"/>
    <w:next w:val="840"/>
    <w:uiPriority w:val="99"/>
    <w:unhideWhenUsed/>
    <w:qFormat/>
    <w:pPr>
      <w:ind w:firstLine="420"/>
    </w:pPr>
  </w:style>
  <w:style w:type="paragraph" w:styleId="1035" w:customStyle="1">
    <w:name w:val="正文首行缩进 21"/>
    <w:basedOn w:val="1026"/>
    <w:uiPriority w:val="0"/>
    <w:qFormat/>
    <w:pPr>
      <w:ind w:firstLine="200"/>
      <w:spacing w:line="360" w:lineRule="auto"/>
    </w:pPr>
    <w:rPr>
      <w:rFonts w:ascii="宋体" w:eastAsia="宋体"/>
      <w:sz w:val="21"/>
      <w:szCs w:val="20"/>
    </w:rPr>
  </w:style>
  <w:style w:type="character" w:styleId="1036" w:customStyle="1">
    <w:name w:val="要点1"/>
    <w:basedOn w:val="1021"/>
    <w:link w:val="840"/>
    <w:uiPriority w:val="0"/>
    <w:qFormat/>
    <w:rPr>
      <w:b/>
      <w:bCs/>
    </w:rPr>
  </w:style>
  <w:style w:type="character" w:styleId="1037" w:customStyle="1">
    <w:name w:val="页码1"/>
    <w:link w:val="840"/>
    <w:uiPriority w:val="0"/>
    <w:qFormat/>
  </w:style>
  <w:style w:type="character" w:styleId="1038" w:customStyle="1">
    <w:name w:val="已访问的超链接1"/>
    <w:basedOn w:val="1021"/>
    <w:link w:val="840"/>
    <w:uiPriority w:val="0"/>
    <w:qFormat/>
    <w:rPr>
      <w:color w:val="800080"/>
      <w:u w:val="none"/>
    </w:rPr>
  </w:style>
  <w:style w:type="character" w:styleId="1039" w:customStyle="1">
    <w:name w:val="强调1"/>
    <w:basedOn w:val="1021"/>
    <w:link w:val="840"/>
    <w:uiPriority w:val="0"/>
    <w:qFormat/>
    <w:rPr>
      <w:b/>
      <w:bCs/>
    </w:rPr>
  </w:style>
  <w:style w:type="character" w:styleId="1040" w:customStyle="1">
    <w:name w:val="HTML 定义1"/>
    <w:basedOn w:val="1021"/>
    <w:link w:val="840"/>
    <w:uiPriority w:val="0"/>
    <w:qFormat/>
  </w:style>
  <w:style w:type="character" w:styleId="1041" w:customStyle="1">
    <w:name w:val="HTML 打字机1"/>
    <w:basedOn w:val="1021"/>
    <w:link w:val="840"/>
    <w:uiPriority w:val="0"/>
    <w:qFormat/>
    <w:rPr>
      <w:rFonts w:ascii="monospace" w:hAnsi="monospace" w:eastAsia="monospace" w:cs="monospace"/>
      <w:sz w:val="20"/>
    </w:rPr>
  </w:style>
  <w:style w:type="character" w:styleId="1042" w:customStyle="1">
    <w:name w:val="HTML 缩写1"/>
    <w:basedOn w:val="1021"/>
    <w:link w:val="840"/>
    <w:uiPriority w:val="0"/>
    <w:qFormat/>
  </w:style>
  <w:style w:type="character" w:styleId="1043" w:customStyle="1">
    <w:name w:val="HTML 变量1"/>
    <w:basedOn w:val="1021"/>
    <w:link w:val="840"/>
    <w:uiPriority w:val="0"/>
    <w:qFormat/>
  </w:style>
  <w:style w:type="character" w:styleId="1044" w:customStyle="1">
    <w:name w:val="超链接1"/>
    <w:basedOn w:val="1021"/>
    <w:link w:val="840"/>
    <w:uiPriority w:val="0"/>
    <w:qFormat/>
    <w:rPr>
      <w:color w:val="0000ff"/>
      <w:u w:val="none"/>
    </w:rPr>
  </w:style>
  <w:style w:type="character" w:styleId="1045" w:customStyle="1">
    <w:name w:val="HTML 代码1"/>
    <w:basedOn w:val="1021"/>
    <w:link w:val="840"/>
    <w:uiPriority w:val="0"/>
    <w:qFormat/>
    <w:rPr>
      <w:rFonts w:ascii="monospace" w:hAnsi="monospace" w:eastAsia="monospace" w:cs="monospace"/>
      <w:sz w:val="20"/>
    </w:rPr>
  </w:style>
  <w:style w:type="character" w:styleId="1046" w:customStyle="1">
    <w:name w:val="HTML 引文1"/>
    <w:basedOn w:val="1021"/>
    <w:link w:val="840"/>
    <w:uiPriority w:val="0"/>
    <w:qFormat/>
  </w:style>
  <w:style w:type="character" w:styleId="1047" w:customStyle="1">
    <w:name w:val="HTML 键盘1"/>
    <w:basedOn w:val="1021"/>
    <w:link w:val="840"/>
    <w:uiPriority w:val="0"/>
    <w:qFormat/>
    <w:rPr>
      <w:rFonts w:ascii="monospace" w:hAnsi="monospace" w:eastAsia="monospace" w:cs="monospace"/>
      <w:sz w:val="20"/>
    </w:rPr>
  </w:style>
  <w:style w:type="character" w:styleId="1048" w:customStyle="1">
    <w:name w:val="HTML 样本1"/>
    <w:basedOn w:val="1021"/>
    <w:link w:val="840"/>
    <w:uiPriority w:val="0"/>
    <w:qFormat/>
    <w:rPr>
      <w:rFonts w:ascii="monospace" w:hAnsi="monospace" w:eastAsia="monospace" w:cs="monospace"/>
    </w:rPr>
  </w:style>
  <w:style w:type="paragraph" w:styleId="1049" w:customStyle="1">
    <w:name w:val="首行缩进"/>
    <w:basedOn w:val="840"/>
    <w:uiPriority w:val="0"/>
    <w:qFormat/>
    <w:pPr>
      <w:ind w:firstLine="480"/>
      <w:jc w:val="left"/>
      <w:spacing w:line="360" w:lineRule="auto"/>
    </w:pPr>
    <w:rPr>
      <w:rFonts w:ascii="宋体" w:hAnsi="宋体"/>
      <w:sz w:val="24"/>
    </w:rPr>
  </w:style>
  <w:style w:type="paragraph" w:styleId="1050" w:customStyle="1">
    <w:name w:val="普通正文"/>
    <w:basedOn w:val="840"/>
    <w:uiPriority w:val="0"/>
    <w:qFormat/>
    <w:pPr>
      <w:ind w:firstLine="480"/>
      <w:jc w:val="left"/>
      <w:spacing w:before="120" w:after="120" w:line="360" w:lineRule="auto"/>
    </w:pPr>
    <w:rPr>
      <w:rFonts w:ascii="Arial" w:hAnsi="Arial"/>
      <w:sz w:val="24"/>
    </w:rPr>
  </w:style>
  <w:style w:type="paragraph" w:styleId="1051" w:customStyle="1">
    <w:name w:val="WPSOffice手动目录 1"/>
    <w:uiPriority w:val="0"/>
    <w:qFormat/>
    <w:rPr>
      <w:rFonts w:hint="default" w:ascii="Times New Roman" w:hAnsi="Times New Roman" w:eastAsia="宋体" w:cs="Times New Roman"/>
      <w:sz w:val="20"/>
      <w:szCs w:val="20"/>
    </w:rPr>
  </w:style>
  <w:style w:type="character" w:styleId="1052" w:customStyle="1">
    <w:name w:val="标题 4 Char"/>
    <w:link w:val="840"/>
    <w:uiPriority w:val="9"/>
    <w:qFormat/>
    <w:rPr>
      <w:rFonts w:ascii="Cambria" w:hAnsi="Cambria" w:eastAsia="宋体" w:cs="Times New Roman"/>
      <w:b/>
      <w:bCs/>
      <w:sz w:val="28"/>
      <w:szCs w:val="28"/>
    </w:rPr>
  </w:style>
  <w:style w:type="paragraph" w:styleId="105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5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58"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5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0"/>
    <w:next w:val="1061"/>
    <w:uiPriority w:val="0"/>
    <w:qFormat/>
    <w:rPr>
      <w:rFonts w:hint="default" w:ascii="Times New Roman" w:hAnsi="Times New Roman" w:eastAsia="Times New Roman" w:cs="Times New Roman"/>
      <w:sz w:val="24"/>
      <w:szCs w:val="24"/>
      <w:lang w:val="en-US" w:eastAsia="zh-CN" w:bidi="ar-SA"/>
    </w:rPr>
  </w:style>
  <w:style w:type="paragraph" w:styleId="1061" w:customStyle="1">
    <w:name w:val="首行缩进_0"/>
    <w:basedOn w:val="1062"/>
    <w:uiPriority w:val="0"/>
    <w:qFormat/>
    <w:pPr>
      <w:ind w:firstLine="480"/>
      <w:jc w:val="left"/>
      <w:spacing w:line="360" w:lineRule="auto"/>
    </w:pPr>
    <w:rPr>
      <w:rFonts w:ascii="宋体" w:hAnsi="宋体"/>
      <w:sz w:val="24"/>
    </w:rPr>
  </w:style>
  <w:style w:type="paragraph" w:styleId="1062" w:customStyle="1">
    <w:name w:val="Normal_9"/>
    <w:next w:val="10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64" w:customStyle="1">
    <w:name w:val="正文 A"/>
    <w:next w:val="106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65" w:customStyle="1">
    <w:name w:val="段"/>
    <w:next w:val="840"/>
    <w:uiPriority w:val="0"/>
    <w:qFormat/>
    <w:pPr>
      <w:ind w:firstLine="200"/>
      <w:jc w:val="both"/>
    </w:pPr>
    <w:rPr>
      <w:rFonts w:hint="default" w:ascii="宋体" w:hAnsi="Times New Roman" w:eastAsia="宋体" w:cs="Times New Roman"/>
      <w:sz w:val="21"/>
      <w:szCs w:val="22"/>
      <w:lang w:val="en-US" w:eastAsia="zh-CN" w:bidi="ar-SA"/>
    </w:rPr>
  </w:style>
  <w:style w:type="paragraph" w:styleId="1066" w:customStyle="1">
    <w:name w:val="样式1"/>
    <w:basedOn w:val="840"/>
    <w:uiPriority w:val="0"/>
    <w:qFormat/>
    <w:pPr>
      <w:numPr>
        <w:ilvl w:val="0"/>
        <w:numId w:val="1"/>
      </w:numPr>
      <w:ind w:firstLine="0"/>
    </w:pPr>
    <w:rPr>
      <w:rFonts w:ascii="宋体" w:hAnsi="宋体" w:cs="宋体"/>
      <w:szCs w:val="21"/>
    </w:rPr>
  </w:style>
  <w:style w:type="paragraph" w:styleId="1067">
    <w:name w:val="List Paragraph"/>
    <w:basedOn w:val="840"/>
    <w:uiPriority w:val="34"/>
    <w:qFormat/>
    <w:pPr>
      <w:ind w:firstLine="420"/>
    </w:pPr>
  </w:style>
  <w:style w:type="paragraph" w:styleId="1068" w:customStyle="1">
    <w:name w:val="Normal_0_2"/>
    <w:uiPriority w:val="0"/>
    <w:qFormat/>
    <w:rPr>
      <w:rFonts w:hint="default" w:ascii="Times New Roman" w:hAnsi="Times New Roman" w:eastAsia="Times New Roman" w:cs="Times New Roman"/>
      <w:sz w:val="24"/>
      <w:szCs w:val="24"/>
    </w:rPr>
  </w:style>
  <w:style w:type="paragraph" w:styleId="1069" w:customStyle="1">
    <w:name w:val="Normal_1_1"/>
    <w:uiPriority w:val="0"/>
    <w:qFormat/>
    <w:rPr>
      <w:rFonts w:hint="default" w:ascii="Times New Roman" w:hAnsi="Times New Roman" w:eastAsia="Times New Roman" w:cs="Times New Roman"/>
      <w:sz w:val="24"/>
      <w:szCs w:val="24"/>
    </w:rPr>
  </w:style>
  <w:style w:type="paragraph" w:styleId="1070" w:customStyle="1">
    <w:name w:val="Normal_0_1_0"/>
    <w:uiPriority w:val="0"/>
    <w:qFormat/>
    <w:rPr>
      <w:rFonts w:hint="default" w:ascii="Times New Roman" w:hAnsi="Times New Roman" w:eastAsia="Times New Roman" w:cs="Times New Roman"/>
      <w:sz w:val="24"/>
      <w:szCs w:val="24"/>
    </w:rPr>
  </w:style>
  <w:style w:type="paragraph" w:styleId="1071" w:customStyle="1">
    <w:name w:val="Normal_0_4"/>
    <w:uiPriority w:val="0"/>
    <w:qFormat/>
    <w:rPr>
      <w:rFonts w:hint="default" w:ascii="Times New Roman" w:hAnsi="Times New Roman" w:eastAsia="Times New Roman" w:cs="Times New Roman"/>
      <w:sz w:val="24"/>
      <w:szCs w:val="24"/>
    </w:rPr>
  </w:style>
  <w:style w:type="paragraph" w:styleId="1072" w:customStyle="1">
    <w:name w:val="Normal_13"/>
    <w:uiPriority w:val="0"/>
    <w:qFormat/>
    <w:rPr>
      <w:rFonts w:hint="default" w:ascii="Times New Roman" w:hAnsi="Times New Roman" w:eastAsia="Times New Roman" w:cs="Times New Roman"/>
      <w:sz w:val="24"/>
      <w:szCs w:val="24"/>
    </w:rPr>
  </w:style>
  <w:style w:type="character" w:styleId="1073" w:customStyle="1">
    <w:name w:val="hover"/>
    <w:basedOn w:val="1021"/>
    <w:link w:val="840"/>
    <w:uiPriority w:val="0"/>
    <w:qFormat/>
  </w:style>
  <w:style w:type="character" w:styleId="1074" w:customStyle="1">
    <w:name w:val="hover1"/>
    <w:basedOn w:val="1021"/>
    <w:link w:val="840"/>
    <w:uiPriority w:val="0"/>
    <w:qFormat/>
    <w:rPr>
      <w:color w:val="2590eb"/>
    </w:rPr>
  </w:style>
  <w:style w:type="character" w:styleId="1075" w:customStyle="1">
    <w:name w:val="hover2"/>
    <w:basedOn w:val="1021"/>
    <w:link w:val="840"/>
    <w:uiPriority w:val="0"/>
    <w:qFormat/>
    <w:rPr>
      <w:color w:val="2590eb"/>
    </w:rPr>
  </w:style>
  <w:style w:type="character" w:styleId="1076" w:customStyle="1">
    <w:name w:val="mini-outputtext1"/>
    <w:basedOn w:val="1021"/>
    <w:link w:val="840"/>
    <w:uiPriority w:val="0"/>
    <w:qFormat/>
  </w:style>
  <w:style w:type="paragraph" w:styleId="1077" w:customStyle="1">
    <w:name w:val="Normal_18_0"/>
    <w:uiPriority w:val="0"/>
    <w:qFormat/>
    <w:rPr>
      <w:rFonts w:hint="default" w:ascii="Times New Roman" w:hAnsi="Times New Roman" w:eastAsia="Times New Roman" w:cs="Times New Roman"/>
      <w:sz w:val="24"/>
      <w:szCs w:val="24"/>
    </w:rPr>
  </w:style>
  <w:style w:type="paragraph" w:styleId="1078" w:customStyle="1">
    <w:name w:val="Normal_24"/>
    <w:uiPriority w:val="0"/>
    <w:qFormat/>
    <w:rPr>
      <w:rFonts w:hint="default" w:ascii="Times New Roman" w:hAnsi="Times New Roman" w:eastAsia="Times New Roman" w:cs="Times New Roman"/>
      <w:sz w:val="24"/>
      <w:szCs w:val="24"/>
    </w:rPr>
  </w:style>
  <w:style w:type="paragraph" w:styleId="1079" w:customStyle="1">
    <w:name w:val="Normal_27"/>
    <w:uiPriority w:val="0"/>
    <w:qFormat/>
    <w:rPr>
      <w:rFonts w:hint="default" w:ascii="Times New Roman" w:hAnsi="Times New Roman" w:eastAsia="Times New Roman" w:cs="Times New Roman"/>
      <w:sz w:val="24"/>
      <w:szCs w:val="24"/>
    </w:rPr>
  </w:style>
  <w:style w:type="paragraph" w:styleId="1080" w:customStyle="1">
    <w:name w:val="Normal_43"/>
    <w:uiPriority w:val="0"/>
    <w:qFormat/>
    <w:rPr>
      <w:rFonts w:hint="default" w:ascii="Times New Roman" w:hAnsi="Times New Roman" w:eastAsia="Times New Roman" w:cs="Times New Roman"/>
      <w:sz w:val="24"/>
      <w:szCs w:val="24"/>
    </w:rPr>
  </w:style>
  <w:style w:type="paragraph" w:styleId="1081" w:customStyle="1">
    <w:name w:val="Normal_6_1"/>
    <w:uiPriority w:val="0"/>
    <w:qFormat/>
    <w:rPr>
      <w:rFonts w:hint="default" w:ascii="Times New Roman" w:hAnsi="Times New Roman" w:eastAsia="Times New Roman" w:cs="Times New Roman"/>
      <w:sz w:val="24"/>
      <w:szCs w:val="24"/>
    </w:rPr>
  </w:style>
  <w:style w:type="paragraph" w:styleId="1082" w:customStyle="1">
    <w:name w:val="Normal_0_1"/>
    <w:uiPriority w:val="0"/>
    <w:qFormat/>
    <w:rPr>
      <w:rFonts w:hint="default" w:ascii="Times New Roman" w:hAnsi="Times New Roman" w:eastAsia="Times New Roman" w:cs="Times New Roman"/>
      <w:sz w:val="24"/>
      <w:szCs w:val="24"/>
    </w:rPr>
  </w:style>
  <w:style w:type="paragraph" w:styleId="1083" w:customStyle="1">
    <w:name w:val="Normal_23"/>
    <w:uiPriority w:val="0"/>
    <w:qFormat/>
    <w:rPr>
      <w:rFonts w:hint="default" w:ascii="Times New Roman" w:hAnsi="Times New Roman" w:eastAsia="Times New Roman" w:cs="Times New Roman"/>
      <w:sz w:val="24"/>
      <w:szCs w:val="24"/>
    </w:rPr>
  </w:style>
  <w:style w:type="paragraph" w:styleId="1084" w:customStyle="1">
    <w:name w:val="p0"/>
    <w:basedOn w:val="840"/>
    <w:uiPriority w:val="99"/>
    <w:qFormat/>
    <w:pPr>
      <w:widowControl/>
    </w:pPr>
    <w:rPr>
      <w:rFonts w:ascii="Calibri" w:hAnsi="Calibri" w:cs="宋体"/>
      <w:szCs w:val="21"/>
    </w:rPr>
  </w:style>
  <w:style w:type="paragraph" w:styleId="1085" w:customStyle="1">
    <w:name w:val="Normal_2_0"/>
    <w:uiPriority w:val="0"/>
    <w:qFormat/>
    <w:rPr>
      <w:rFonts w:hint="default" w:ascii="Times New Roman" w:hAnsi="Times New Roman" w:eastAsia="Times New Roman" w:cs="Times New Roman"/>
      <w:sz w:val="24"/>
      <w:szCs w:val="24"/>
    </w:rPr>
  </w:style>
  <w:style w:type="paragraph" w:styleId="1086" w:customStyle="1">
    <w:name w:val="Normal_4_0"/>
    <w:uiPriority w:val="0"/>
    <w:qFormat/>
    <w:rPr>
      <w:rFonts w:hint="default" w:ascii="Times New Roman" w:hAnsi="Times New Roman" w:eastAsia="Times New Roman" w:cs="Times New Roman"/>
      <w:sz w:val="24"/>
      <w:szCs w:val="24"/>
    </w:rPr>
  </w:style>
  <w:style w:type="paragraph" w:styleId="1087" w:customStyle="1">
    <w:name w:val="Normal_5_0"/>
    <w:uiPriority w:val="0"/>
    <w:qFormat/>
    <w:rPr>
      <w:rFonts w:hint="default" w:ascii="Times New Roman" w:hAnsi="Times New Roman" w:eastAsia="Times New Roman" w:cs="Times New Roman"/>
      <w:sz w:val="24"/>
      <w:szCs w:val="24"/>
    </w:rPr>
  </w:style>
  <w:style w:type="table" w:styleId="1088" w:customStyle="1">
    <w:name w:val="TableGrid1"/>
    <w:uiPriority w:val="0"/>
    <w:qFormat/>
    <w:tblPr/>
  </w:style>
  <w:style w:type="paragraph" w:styleId="1089">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090" w:customStyle="1">
    <w:name w:val="Normal_25"/>
    <w:uiPriority w:val="0"/>
    <w:qFormat/>
    <w:rPr>
      <w:rFonts w:hint="default" w:ascii="Times New Roman" w:hAnsi="Times New Roman" w:eastAsia="Times New Roman" w:cs="Times New Roman"/>
      <w:sz w:val="24"/>
      <w:szCs w:val="24"/>
    </w:rPr>
  </w:style>
  <w:style w:type="paragraph" w:styleId="1091" w:customStyle="1">
    <w:name w:val="Normal_26"/>
    <w:uiPriority w:val="0"/>
    <w:qFormat/>
    <w:rPr>
      <w:rFonts w:hint="default" w:ascii="Times New Roman" w:hAnsi="Times New Roman" w:eastAsia="Times New Roman" w:cs="Times New Roman"/>
      <w:sz w:val="24"/>
      <w:szCs w:val="24"/>
    </w:rPr>
  </w:style>
  <w:style w:type="paragraph" w:styleId="109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Normal_30"/>
    <w:uiPriority w:val="0"/>
    <w:qFormat/>
    <w:rPr>
      <w:rFonts w:hint="default" w:ascii="Times New Roman" w:hAnsi="Times New Roman" w:eastAsia="Times New Roman" w:cs="Times New Roman"/>
      <w:sz w:val="24"/>
      <w:szCs w:val="24"/>
    </w:rPr>
  </w:style>
  <w:style w:type="paragraph" w:styleId="1094" w:customStyle="1">
    <w:name w:val="WPSOffice手动目录 2"/>
    <w:uiPriority w:val="0"/>
    <w:qFormat/>
    <w:rPr>
      <w:rFonts w:hint="default" w:ascii="Times New Roman" w:hAnsi="Times New Roman" w:eastAsia="宋体" w:cs="Times New Roman"/>
      <w:sz w:val="20"/>
      <w:szCs w:val="20"/>
    </w:rPr>
  </w:style>
  <w:style w:type="paragraph" w:styleId="1095" w:customStyle="1">
    <w:name w:val="WPSOffice手动目录 3"/>
    <w:uiPriority w:val="0"/>
    <w:qFormat/>
    <w:rPr>
      <w:rFonts w:hint="default" w:ascii="Times New Roman" w:hAnsi="Times New Roman" w:eastAsia="宋体" w:cs="Times New Roman"/>
      <w:sz w:val="20"/>
      <w:szCs w:val="20"/>
    </w:rPr>
  </w:style>
  <w:style w:type="paragraph" w:styleId="1096" w:customStyle="1">
    <w:name w:val="p0_0"/>
    <w:basedOn w:val="1060"/>
    <w:uiPriority w:val="0"/>
    <w:qFormat/>
    <w:pPr>
      <w:widowControl/>
    </w:pPr>
    <w:rPr>
      <w:szCs w:val="21"/>
    </w:rPr>
  </w:style>
  <w:style w:type="numbering" w:styleId="94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徐晨</cp:lastModifiedBy>
  <cp:revision>3</cp:revision>
  <dcterms:created xsi:type="dcterms:W3CDTF">2023-07-12T14:37:00Z</dcterms:created>
  <dcterms:modified xsi:type="dcterms:W3CDTF">2024-06-26T03:24:44Z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F45D384E9C174609A429BFC472487A33</vt:lpwstr>
  </property>
</Properties>
</file>