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48"/>
        <w:spacing w:before="120" w:beforeAutospacing="0" w:after="120" w:afterAutospacing="0" w:line="360" w:lineRule="auto"/>
        <w:rPr>
          <w:highlight w:val="none"/>
        </w:rPr>
      </w:pPr>
      <w:r>
        <w:rPr>
          <w:highlight w:val="none"/>
        </w:rPr>
        <w:t xml:space="preserve"> </w:t>
      </w:r>
      <w:r/>
    </w:p>
    <w:p>
      <w:pPr>
        <w:pStyle w:val="648"/>
        <w:jc w:val="center"/>
        <w:spacing w:before="120" w:beforeAutospacing="0" w:after="120" w:afterAutospacing="0" w:line="360" w:lineRule="auto"/>
      </w:pPr>
      <w:r>
        <w:rPr>
          <w:rFonts w:ascii="Arial" w:hAnsi="Arial" w:cs="Arial"/>
          <w:b/>
          <w:color w:val="000000"/>
          <w:sz w:val="84"/>
          <w:szCs w:val="84"/>
        </w:rPr>
        <w:t xml:space="preserve">招 标 文 件</w:t>
      </w:r>
      <w:r/>
    </w:p>
    <w:p>
      <w:pPr>
        <w:pStyle w:val="648"/>
        <w:ind w:firstLine="2249"/>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648"/>
        <w:ind w:firstLine="2249"/>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648"/>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648"/>
        <w:spacing w:before="120" w:beforeAutospacing="0" w:after="120" w:afterAutospacing="0" w:line="360" w:lineRule="auto"/>
        <w:rPr>
          <w:rFonts w:hint="eastAsia" w:ascii="Arial" w:hAnsi="Arial" w:cs="Arial" w:eastAsiaTheme="minorEastAsia"/>
          <w:b/>
          <w:color w:val="000000"/>
          <w:sz w:val="32"/>
          <w:szCs w:val="32"/>
          <w:lang w:eastAsia="zh-CN"/>
        </w:rPr>
        <w:outlineLvl w:val="0"/>
      </w:pPr>
      <w:r/>
      <w:bookmarkStart w:id="0" w:name="_Toc31858"/>
      <w:r/>
      <w:bookmarkStart w:id="1" w:name="_Toc7278"/>
      <w:r/>
      <w:bookmarkStart w:id="2" w:name="_Toc27114"/>
      <w:r>
        <w:rPr>
          <w:rFonts w:ascii="Arial" w:hAnsi="Arial" w:cs="Arial"/>
          <w:b/>
          <w:color w:val="000000"/>
          <w:sz w:val="32"/>
          <w:szCs w:val="32"/>
        </w:rPr>
        <w:t xml:space="preserve">项目名称：</w:t>
      </w:r>
      <w:bookmarkEnd w:id="0"/>
      <w:r/>
      <w:bookmarkEnd w:id="1"/>
      <w:r>
        <w:rPr>
          <w:rFonts w:hint="eastAsia" w:ascii="Arial" w:hAnsi="Arial" w:cs="Arial"/>
          <w:b/>
          <w:color w:val="000000"/>
          <w:sz w:val="32"/>
          <w:szCs w:val="32"/>
          <w:lang w:eastAsia="zh-CN"/>
        </w:rPr>
        <w:t xml:space="preserve">2025年度盐都区农产品质量安全检测服务项目</w:t>
      </w:r>
      <w:bookmarkEnd w:id="2"/>
      <w:r/>
      <w:r/>
    </w:p>
    <w:p>
      <w:pPr>
        <w:pStyle w:val="648"/>
        <w:jc w:val="both"/>
        <w:spacing w:beforeAutospacing="0" w:afterAutospacing="0"/>
        <w:rPr>
          <w:rFonts w:ascii="Times New Roman" w:hAnsi="Times New Roman"/>
          <w:b/>
          <w:color w:val="000000"/>
          <w:sz w:val="32"/>
          <w:szCs w:val="32"/>
        </w:rPr>
      </w:pPr>
      <w:r>
        <w:rPr>
          <w:rFonts w:ascii="Times New Roman" w:hAnsi="Times New Roman"/>
          <w:b/>
          <w:color w:val="000000"/>
          <w:sz w:val="32"/>
          <w:szCs w:val="32"/>
        </w:rPr>
      </w:r>
      <w:r/>
    </w:p>
    <w:p>
      <w:pPr>
        <w:pStyle w:val="648"/>
        <w:jc w:val="both"/>
        <w:spacing w:beforeAutospacing="0" w:afterAutospacing="0"/>
        <w:rPr>
          <w:rFonts w:hint="default"/>
          <w:lang w:val="en-US"/>
        </w:rPr>
        <w:outlineLvl w:val="0"/>
      </w:pPr>
      <w:r/>
      <w:bookmarkStart w:id="3" w:name="_Toc16000"/>
      <w:r/>
      <w:bookmarkStart w:id="4" w:name="_Toc31929"/>
      <w:r/>
      <w:bookmarkStart w:id="5" w:name="_Toc12436"/>
      <w:r>
        <w:rPr>
          <w:rFonts w:ascii="Times New Roman" w:hAnsi="Times New Roman"/>
          <w:b/>
          <w:color w:val="000000"/>
          <w:sz w:val="32"/>
          <w:szCs w:val="32"/>
        </w:rPr>
        <w:t xml:space="preserve">项目编号：</w:t>
      </w:r>
      <w:bookmarkEnd w:id="3"/>
      <w:r/>
      <w:bookmarkEnd w:id="4"/>
      <w:r/>
      <w:bookmarkEnd w:id="5"/>
      <w:r>
        <w:rPr>
          <w:rFonts w:hint="eastAsia" w:ascii="宋体" w:hAnsi="宋体" w:cs="宋体"/>
          <w:b/>
          <w:color w:val="000000"/>
          <w:sz w:val="36"/>
          <w:szCs w:val="36"/>
          <w:lang w:eastAsia="zh-CN"/>
        </w:rPr>
        <w:t xml:space="preserve">JSZC-320903-YCLX-G2025-0007</w:t>
      </w:r>
      <w:r/>
    </w:p>
    <w:p>
      <w:pPr>
        <w:pStyle w:val="648"/>
        <w:spacing w:beforeAutospacing="0" w:afterAutospacing="0" w:line="360" w:lineRule="auto"/>
      </w:pPr>
      <w:r>
        <w:t xml:space="preserve"> </w:t>
      </w:r>
      <w:r/>
    </w:p>
    <w:p>
      <w:pPr>
        <w:pStyle w:val="648"/>
        <w:spacing w:beforeAutospacing="0" w:afterAutospacing="0" w:line="360" w:lineRule="auto"/>
      </w:pPr>
      <w:r>
        <w:t xml:space="preserve"> </w:t>
      </w:r>
      <w:r/>
    </w:p>
    <w:p>
      <w:pPr>
        <w:pStyle w:val="648"/>
        <w:spacing w:beforeAutospacing="0" w:afterAutospacing="0" w:line="360" w:lineRule="auto"/>
      </w:pPr>
      <w:r>
        <w:t xml:space="preserve"> </w:t>
      </w:r>
      <w:r/>
    </w:p>
    <w:p>
      <w:pPr>
        <w:pStyle w:val="648"/>
        <w:spacing w:beforeAutospacing="0" w:afterAutospacing="0" w:line="360" w:lineRule="auto"/>
      </w:pPr>
      <w:r>
        <w:t xml:space="preserve"> </w:t>
      </w:r>
      <w:r/>
    </w:p>
    <w:p>
      <w:pPr>
        <w:pStyle w:val="648"/>
        <w:spacing w:beforeAutospacing="0" w:afterAutospacing="0" w:line="360" w:lineRule="auto"/>
      </w:pPr>
      <w:r>
        <w:t xml:space="preserve"> </w:t>
      </w:r>
      <w:r/>
    </w:p>
    <w:p>
      <w:pPr>
        <w:pStyle w:val="648"/>
        <w:spacing w:beforeAutospacing="0" w:afterAutospacing="0" w:line="360" w:lineRule="auto"/>
      </w:pPr>
      <w:r>
        <w:t xml:space="preserve"> </w:t>
      </w:r>
      <w:r/>
    </w:p>
    <w:p>
      <w:pPr>
        <w:pStyle w:val="648"/>
        <w:spacing w:beforeAutospacing="0" w:afterAutospacing="0" w:line="360" w:lineRule="auto"/>
      </w:pPr>
      <w:r>
        <w:t xml:space="preserve"> </w:t>
      </w:r>
      <w:r/>
    </w:p>
    <w:p>
      <w:pPr>
        <w:pStyle w:val="648"/>
        <w:jc w:val="center"/>
        <w:spacing w:before="120" w:beforeAutospacing="0" w:after="120" w:afterAutospacing="0" w:line="360" w:lineRule="auto"/>
        <w:rPr>
          <w:rFonts w:hint="eastAsia" w:ascii="Arial" w:hAnsi="Arial" w:cs="Arial" w:eastAsiaTheme="minorEastAsia"/>
          <w:b/>
          <w:color w:val="000000"/>
          <w:sz w:val="32"/>
          <w:szCs w:val="32"/>
          <w:lang w:eastAsia="zh-CN"/>
        </w:rPr>
        <w:outlineLvl w:val="0"/>
      </w:pPr>
      <w:r/>
      <w:bookmarkStart w:id="6" w:name="_Toc24848"/>
      <w:r/>
      <w:bookmarkStart w:id="7" w:name="_Toc31509"/>
      <w:r/>
      <w:bookmarkStart w:id="8" w:name="_Toc2726"/>
      <w:r>
        <w:rPr>
          <w:rFonts w:hint="eastAsia" w:ascii="Arial" w:hAnsi="Arial" w:cs="Arial"/>
          <w:b/>
          <w:color w:val="000000"/>
          <w:sz w:val="32"/>
          <w:szCs w:val="32"/>
        </w:rPr>
        <w:t xml:space="preserve">采购单位</w:t>
      </w:r>
      <w:r>
        <w:rPr>
          <w:rFonts w:hint="eastAsia" w:ascii="Arial" w:hAnsi="Arial" w:cs="Arial"/>
          <w:b/>
          <w:color w:val="000000"/>
          <w:sz w:val="32"/>
          <w:szCs w:val="32"/>
          <w:lang w:eastAsia="zh-CN"/>
        </w:rPr>
        <w:t xml:space="preserve">：</w:t>
      </w:r>
      <w:bookmarkEnd w:id="6"/>
      <w:r/>
      <w:bookmarkEnd w:id="7"/>
      <w:r>
        <w:rPr>
          <w:rFonts w:hint="eastAsia" w:ascii="Arial" w:hAnsi="Arial" w:cs="Arial"/>
          <w:b/>
          <w:color w:val="000000"/>
          <w:sz w:val="32"/>
          <w:szCs w:val="32"/>
          <w:lang w:eastAsia="zh-CN"/>
        </w:rPr>
        <w:t xml:space="preserve">盐城市盐都区农业农村局</w:t>
      </w:r>
      <w:bookmarkEnd w:id="8"/>
      <w:r/>
      <w:r/>
    </w:p>
    <w:p>
      <w:pPr>
        <w:pStyle w:val="648"/>
        <w:jc w:val="center"/>
        <w:spacing w:before="120" w:beforeAutospacing="0" w:after="120" w:afterAutospacing="0" w:line="360" w:lineRule="auto"/>
      </w:pPr>
      <w:r>
        <w:rPr>
          <w:rFonts w:hint="eastAsia" w:ascii="Arial" w:hAnsi="Arial" w:cs="Arial"/>
          <w:b/>
          <w:color w:val="000000"/>
          <w:sz w:val="32"/>
          <w:szCs w:val="32"/>
          <w:lang w:val="en-US" w:eastAsia="zh-CN"/>
        </w:rPr>
        <w:t xml:space="preserve">2025</w:t>
      </w:r>
      <w:r>
        <w:rPr>
          <w:rFonts w:ascii="Arial" w:hAnsi="Arial" w:cs="Arial"/>
          <w:b/>
          <w:color w:val="000000"/>
          <w:sz w:val="32"/>
          <w:szCs w:val="32"/>
        </w:rPr>
        <w:t xml:space="preserve">年</w:t>
      </w:r>
      <w:r>
        <w:rPr>
          <w:rFonts w:hint="eastAsia" w:ascii="Arial" w:hAnsi="Arial" w:cs="Arial"/>
          <w:b/>
          <w:color w:val="000000"/>
          <w:sz w:val="32"/>
          <w:szCs w:val="32"/>
          <w:lang w:val="en-US" w:eastAsia="zh-CN"/>
        </w:rPr>
        <w:t xml:space="preserve">4</w:t>
      </w:r>
      <w:r>
        <w:rPr>
          <w:rFonts w:ascii="Arial" w:hAnsi="Arial" w:cs="Arial"/>
          <w:b/>
          <w:color w:val="000000"/>
          <w:sz w:val="32"/>
          <w:szCs w:val="32"/>
        </w:rPr>
        <w:t xml:space="preserve">月</w:t>
      </w:r>
      <w:r/>
    </w:p>
    <w:p>
      <w:pPr>
        <w:pStyle w:val="648"/>
        <w:spacing w:before="120" w:beforeAutospacing="0" w:after="120" w:afterAutospacing="0" w:line="360" w:lineRule="auto"/>
        <w:rPr>
          <w:highlight w:val="none"/>
        </w:rPr>
      </w:pPr>
      <w:r>
        <w:rPr>
          <w:rFonts w:ascii="Arial" w:hAnsi="Arial" w:cs="Arial"/>
          <w:color w:val="000000"/>
          <w:highlight w:val="none"/>
        </w:rPr>
        <w:t xml:space="preserve">                        </w:t>
      </w:r>
      <w:r/>
    </w:p>
    <w:p>
      <w:pPr>
        <w:pStyle w:val="648"/>
        <w:jc w:val="center"/>
        <w:spacing w:before="120" w:beforeAutospacing="0" w:after="120" w:afterAutospacing="0" w:line="360" w:lineRule="auto"/>
        <w:rPr>
          <w:highlight w:val="none"/>
        </w:rPr>
      </w:pPr>
      <w:r>
        <w:rPr>
          <w:highlight w:val="none"/>
        </w:rPr>
        <w:t xml:space="preserve"> </w:t>
      </w:r>
      <w:r/>
    </w:p>
    <w:p>
      <w:pPr>
        <w:pStyle w:val="648"/>
        <w:jc w:val="center"/>
        <w:spacing w:beforeAutospacing="0" w:afterAutospacing="0" w:line="480" w:lineRule="auto"/>
        <w:rPr>
          <w:highlight w:val="none"/>
        </w:rPr>
      </w:pPr>
      <w:r>
        <w:rPr>
          <w:rFonts w:ascii="Times New Roman" w:hAnsi="Times New Roman"/>
          <w:color w:val="000000"/>
          <w:sz w:val="21"/>
          <w:szCs w:val="21"/>
          <w:highlight w:val="none"/>
        </w:rPr>
        <w:br w:type="page" w:clear="all"/>
      </w:r>
      <w:r>
        <w:rPr>
          <w:rFonts w:ascii="Times New Roman" w:hAnsi="Times New Roman"/>
          <w:color w:val="000000"/>
          <w:sz w:val="21"/>
          <w:szCs w:val="21"/>
          <w:highlight w:val="none"/>
        </w:rPr>
        <w:t xml:space="preserve"> </w:t>
      </w:r>
      <w:bookmarkStart w:id="9" w:name="_Toc20823272"/>
      <w:r/>
      <w:bookmarkStart w:id="10" w:name="_Toc479757206"/>
      <w:r/>
      <w:bookmarkStart w:id="11" w:name="_Toc523127445"/>
      <w:r/>
      <w:bookmarkStart w:id="12" w:name="_Toc513029200"/>
      <w:r/>
      <w:bookmarkStart w:id="13" w:name="_Toc120614210"/>
      <w:r/>
      <w:bookmarkStart w:id="14" w:name="_Toc16938516"/>
      <w:r>
        <w:rPr>
          <w:rFonts w:ascii="Times New Roman" w:hAnsi="Times New Roman"/>
          <w:color w:val="000000"/>
          <w:sz w:val="21"/>
          <w:szCs w:val="21"/>
          <w:highlight w:val="none"/>
        </w:rPr>
        <w:t xml:space="preserve"> </w:t>
      </w:r>
      <w:r>
        <w:rPr>
          <w:rFonts w:ascii="黑体" w:hAnsi="宋体" w:eastAsia="黑体" w:cs="黑体"/>
          <w:b/>
          <w:color w:val="000000"/>
          <w:sz w:val="44"/>
          <w:szCs w:val="44"/>
          <w:highlight w:val="none"/>
        </w:rPr>
        <w:t xml:space="preserve">总  目  录</w:t>
      </w:r>
      <w:bookmarkEnd w:id="9"/>
      <w:r/>
      <w:bookmarkEnd w:id="10"/>
      <w:r/>
      <w:bookmarkEnd w:id="11"/>
      <w:r/>
      <w:bookmarkEnd w:id="12"/>
      <w:r/>
      <w:bookmarkEnd w:id="13"/>
      <w:r/>
      <w:bookmarkEnd w:id="14"/>
      <w:r/>
      <w:r/>
    </w:p>
    <w:p>
      <w:pPr>
        <w:pStyle w:val="648"/>
        <w:jc w:val="both"/>
        <w:spacing w:beforeAutospacing="0" w:afterAutospacing="0" w:line="480" w:lineRule="auto"/>
        <w:rPr>
          <w:highlight w:val="none"/>
        </w:rPr>
      </w:pPr>
      <w:r>
        <w:rPr>
          <w:highlight w:val="none"/>
        </w:rPr>
        <w:t xml:space="preserve"> </w:t>
      </w:r>
      <w:r/>
    </w:p>
    <w:sdt>
      <w:sdtPr>
        <w15:appearance w15:val="boundingBox"/>
        <w15:color w:val="dbdbdb"/>
        <w:id w:val="147451664"/>
        <w:docPartObj>
          <w:docPartGallery w:val="Table of Contents"/>
          <w:docPartUnique w:val="true"/>
        </w:docPartObj>
        <w:rPr>
          <w:rFonts w:ascii="宋体" w:hAnsi="宋体" w:eastAsia="宋体" w:cstheme="minorBidi"/>
          <w:sz w:val="21"/>
          <w:szCs w:val="24"/>
          <w:lang w:val="en-US" w:eastAsia="zh-CN" w:bidi="ar-SA"/>
        </w:rPr>
      </w:sdtPr>
      <w:sdtContent>
        <w:p>
          <w:pPr>
            <w:ind w:left="0" w:right="0" w:firstLine="0"/>
            <w:jc w:val="center"/>
            <w:spacing w:before="0" w:after="0" w:line="240" w:lineRule="auto"/>
          </w:pPr>
          <w:r>
            <w:rPr>
              <w:rFonts w:hint="eastAsia" w:ascii="黑体" w:hAnsi="宋体" w:eastAsia="黑体" w:cs="黑体"/>
              <w:color w:val="000000"/>
              <w:sz w:val="36"/>
              <w:szCs w:val="36"/>
              <w:highlight w:val="none"/>
              <w:lang w:val="en-US" w:eastAsia="zh-CN"/>
            </w:rPr>
            <w:fldChar w:fldCharType="begin"/>
          </w:r>
          <w:r>
            <w:rPr>
              <w:rFonts w:hint="eastAsia" w:ascii="黑体" w:hAnsi="宋体" w:eastAsia="黑体" w:cs="黑体"/>
              <w:color w:val="000000"/>
              <w:sz w:val="36"/>
              <w:szCs w:val="36"/>
              <w:highlight w:val="none"/>
              <w:lang w:val="en-US" w:eastAsia="zh-CN"/>
            </w:rPr>
            <w:instrText xml:space="preserve">TOC \o "1-1" \h \u </w:instrText>
          </w:r>
          <w:r>
            <w:rPr>
              <w:rFonts w:hint="eastAsia" w:ascii="黑体" w:hAnsi="宋体" w:eastAsia="黑体" w:cs="黑体"/>
              <w:color w:val="000000"/>
              <w:sz w:val="36"/>
              <w:szCs w:val="36"/>
              <w:highlight w:val="none"/>
              <w:lang w:val="en-US" w:eastAsia="zh-CN"/>
            </w:rPr>
            <w:fldChar w:fldCharType="separate"/>
          </w:r>
          <w:r/>
        </w:p>
        <w:p>
          <w:pPr>
            <w:pStyle w:val="657"/>
            <w:tabs>
              <w:tab w:val="right" w:pos="8306" w:leader="dot"/>
            </w:tabs>
            <w:rPr>
              <w:rFonts w:hint="eastAsia" w:ascii="黑体" w:hAnsi="黑体" w:eastAsia="黑体" w:cs="黑体"/>
              <w:sz w:val="36"/>
              <w:szCs w:val="36"/>
            </w:rPr>
          </w:pPr>
          <w:r>
            <w:rPr>
              <w:rFonts w:hint="eastAsia" w:ascii="黑体" w:hAnsi="黑体" w:eastAsia="黑体" w:cs="黑体"/>
              <w:color w:val="000000"/>
              <w:sz w:val="36"/>
              <w:szCs w:val="36"/>
              <w:highlight w:val="none"/>
              <w:lang w:val="en-US" w:eastAsia="zh-CN"/>
            </w:rPr>
            <w:fldChar w:fldCharType="begin"/>
          </w:r>
          <w:r>
            <w:rPr>
              <w:rFonts w:hint="eastAsia" w:ascii="黑体" w:hAnsi="黑体" w:eastAsia="黑体" w:cs="黑体"/>
              <w:sz w:val="36"/>
              <w:szCs w:val="36"/>
              <w:highlight w:val="none"/>
              <w:lang w:val="en-US" w:eastAsia="zh-CN"/>
            </w:rPr>
            <w:instrText xml:space="preserve"> HYPERLINK \l _Toc29504 </w:instrText>
          </w:r>
          <w:r>
            <w:rPr>
              <w:rFonts w:hint="eastAsia" w:ascii="黑体" w:hAnsi="黑体" w:eastAsia="黑体" w:cs="黑体"/>
              <w:sz w:val="36"/>
              <w:szCs w:val="36"/>
              <w:highlight w:val="none"/>
              <w:lang w:val="en-US" w:eastAsia="zh-CN"/>
            </w:rPr>
            <w:fldChar w:fldCharType="separate"/>
          </w:r>
          <w:r>
            <w:rPr>
              <w:rFonts w:hint="eastAsia" w:ascii="黑体" w:hAnsi="黑体" w:eastAsia="黑体" w:cs="黑体"/>
              <w:sz w:val="36"/>
              <w:szCs w:val="36"/>
              <w:highlight w:val="none"/>
            </w:rPr>
            <w:t xml:space="preserve">第一章 </w:t>
          </w:r>
          <w:r>
            <w:rPr>
              <w:rFonts w:hint="eastAsia" w:ascii="黑体" w:hAnsi="黑体" w:eastAsia="黑体" w:cs="黑体"/>
              <w:sz w:val="36"/>
              <w:szCs w:val="36"/>
              <w:highlight w:val="none"/>
              <w:lang w:val="en-US" w:eastAsia="zh-CN"/>
            </w:rPr>
            <w:t xml:space="preserve">招标公告</w:t>
          </w:r>
          <w:r>
            <w:rPr>
              <w:rFonts w:hint="eastAsia" w:ascii="黑体" w:hAnsi="黑体" w:eastAsia="黑体" w:cs="黑体"/>
              <w:sz w:val="36"/>
              <w:szCs w:val="36"/>
            </w:rPr>
            <w:tab/>
          </w:r>
          <w:r>
            <w:rPr>
              <w:rFonts w:hint="eastAsia" w:ascii="黑体" w:hAnsi="黑体" w:eastAsia="黑体" w:cs="黑体"/>
              <w:sz w:val="36"/>
              <w:szCs w:val="36"/>
            </w:rPr>
            <w:fldChar w:fldCharType="begin"/>
          </w:r>
          <w:r>
            <w:rPr>
              <w:rFonts w:hint="eastAsia" w:ascii="黑体" w:hAnsi="黑体" w:eastAsia="黑体" w:cs="黑体"/>
              <w:sz w:val="36"/>
              <w:szCs w:val="36"/>
            </w:rPr>
            <w:instrText xml:space="preserve"> PAGEREF _Toc29504 \h </w:instrText>
          </w:r>
          <w:r>
            <w:rPr>
              <w:rFonts w:hint="eastAsia" w:ascii="黑体" w:hAnsi="黑体" w:eastAsia="黑体" w:cs="黑体"/>
              <w:sz w:val="36"/>
              <w:szCs w:val="36"/>
            </w:rPr>
            <w:fldChar w:fldCharType="separate"/>
          </w:r>
          <w:r>
            <w:rPr>
              <w:rFonts w:hint="eastAsia" w:ascii="黑体" w:hAnsi="黑体" w:eastAsia="黑体" w:cs="黑体"/>
              <w:sz w:val="36"/>
              <w:szCs w:val="36"/>
            </w:rPr>
            <w:t xml:space="preserve">3</w:t>
          </w:r>
          <w:r>
            <w:rPr>
              <w:rFonts w:hint="eastAsia" w:ascii="黑体" w:hAnsi="黑体" w:eastAsia="黑体" w:cs="黑体"/>
              <w:sz w:val="36"/>
              <w:szCs w:val="36"/>
            </w:rPr>
            <w:fldChar w:fldCharType="end"/>
          </w:r>
          <w:r>
            <w:rPr>
              <w:rFonts w:hint="eastAsia" w:ascii="黑体" w:hAnsi="黑体" w:eastAsia="黑体" w:cs="黑体"/>
              <w:color w:val="000000"/>
              <w:sz w:val="36"/>
              <w:szCs w:val="36"/>
              <w:highlight w:val="none"/>
              <w:lang w:val="en-US" w:eastAsia="zh-CN"/>
            </w:rPr>
            <w:fldChar w:fldCharType="end"/>
          </w:r>
          <w:r/>
        </w:p>
        <w:p>
          <w:pPr>
            <w:pStyle w:val="657"/>
            <w:tabs>
              <w:tab w:val="right" w:pos="8306" w:leader="dot"/>
            </w:tabs>
            <w:rPr>
              <w:rFonts w:hint="eastAsia" w:ascii="黑体" w:hAnsi="黑体" w:eastAsia="黑体" w:cs="黑体"/>
              <w:sz w:val="36"/>
              <w:szCs w:val="36"/>
            </w:rPr>
          </w:pPr>
          <w:r>
            <w:rPr>
              <w:rFonts w:hint="eastAsia" w:ascii="黑体" w:hAnsi="黑体" w:eastAsia="黑体" w:cs="黑体"/>
              <w:color w:val="000000"/>
              <w:sz w:val="36"/>
              <w:szCs w:val="36"/>
              <w:highlight w:val="none"/>
              <w:lang w:val="en-US" w:eastAsia="zh-CN"/>
            </w:rPr>
            <w:fldChar w:fldCharType="begin"/>
          </w:r>
          <w:r>
            <w:rPr>
              <w:rFonts w:hint="eastAsia" w:ascii="黑体" w:hAnsi="黑体" w:eastAsia="黑体" w:cs="黑体"/>
              <w:sz w:val="36"/>
              <w:szCs w:val="36"/>
              <w:highlight w:val="none"/>
              <w:lang w:val="en-US" w:eastAsia="zh-CN"/>
            </w:rPr>
            <w:instrText xml:space="preserve"> HYPERLINK \l _Toc4611 </w:instrText>
          </w:r>
          <w:r>
            <w:rPr>
              <w:rFonts w:hint="eastAsia" w:ascii="黑体" w:hAnsi="黑体" w:eastAsia="黑体" w:cs="黑体"/>
              <w:sz w:val="36"/>
              <w:szCs w:val="36"/>
              <w:highlight w:val="none"/>
              <w:lang w:val="en-US" w:eastAsia="zh-CN"/>
            </w:rPr>
            <w:fldChar w:fldCharType="separate"/>
          </w:r>
          <w:r>
            <w:rPr>
              <w:rFonts w:hint="eastAsia" w:ascii="黑体" w:hAnsi="黑体" w:eastAsia="黑体" w:cs="黑体"/>
              <w:sz w:val="36"/>
              <w:szCs w:val="36"/>
              <w:highlight w:val="none"/>
            </w:rPr>
            <w:t xml:space="preserve">第二章  投标人须知</w:t>
          </w:r>
          <w:r>
            <w:rPr>
              <w:rFonts w:hint="eastAsia" w:ascii="黑体" w:hAnsi="黑体" w:eastAsia="黑体" w:cs="黑体"/>
              <w:sz w:val="36"/>
              <w:szCs w:val="36"/>
            </w:rPr>
            <w:tab/>
          </w:r>
          <w:r>
            <w:rPr>
              <w:rFonts w:hint="eastAsia" w:ascii="黑体" w:hAnsi="黑体" w:eastAsia="黑体" w:cs="黑体"/>
              <w:sz w:val="36"/>
              <w:szCs w:val="36"/>
            </w:rPr>
            <w:fldChar w:fldCharType="begin"/>
          </w:r>
          <w:r>
            <w:rPr>
              <w:rFonts w:hint="eastAsia" w:ascii="黑体" w:hAnsi="黑体" w:eastAsia="黑体" w:cs="黑体"/>
              <w:sz w:val="36"/>
              <w:szCs w:val="36"/>
            </w:rPr>
            <w:instrText xml:space="preserve"> PAGEREF _Toc4611 \h </w:instrText>
          </w:r>
          <w:r>
            <w:rPr>
              <w:rFonts w:hint="eastAsia" w:ascii="黑体" w:hAnsi="黑体" w:eastAsia="黑体" w:cs="黑体"/>
              <w:sz w:val="36"/>
              <w:szCs w:val="36"/>
            </w:rPr>
            <w:fldChar w:fldCharType="separate"/>
          </w:r>
          <w:r>
            <w:rPr>
              <w:rFonts w:hint="eastAsia" w:ascii="黑体" w:hAnsi="黑体" w:eastAsia="黑体" w:cs="黑体"/>
              <w:sz w:val="36"/>
              <w:szCs w:val="36"/>
            </w:rPr>
            <w:t xml:space="preserve">7</w:t>
          </w:r>
          <w:r>
            <w:rPr>
              <w:rFonts w:hint="eastAsia" w:ascii="黑体" w:hAnsi="黑体" w:eastAsia="黑体" w:cs="黑体"/>
              <w:sz w:val="36"/>
              <w:szCs w:val="36"/>
            </w:rPr>
            <w:fldChar w:fldCharType="end"/>
          </w:r>
          <w:r>
            <w:rPr>
              <w:rFonts w:hint="eastAsia" w:ascii="黑体" w:hAnsi="黑体" w:eastAsia="黑体" w:cs="黑体"/>
              <w:color w:val="000000"/>
              <w:sz w:val="36"/>
              <w:szCs w:val="36"/>
              <w:highlight w:val="none"/>
              <w:lang w:val="en-US" w:eastAsia="zh-CN"/>
            </w:rPr>
            <w:fldChar w:fldCharType="end"/>
          </w:r>
          <w:r/>
        </w:p>
        <w:p>
          <w:pPr>
            <w:pStyle w:val="657"/>
            <w:tabs>
              <w:tab w:val="right" w:pos="8306" w:leader="dot"/>
            </w:tabs>
            <w:rPr>
              <w:rFonts w:hint="eastAsia" w:ascii="黑体" w:hAnsi="黑体" w:eastAsia="黑体" w:cs="黑体"/>
              <w:sz w:val="36"/>
              <w:szCs w:val="36"/>
            </w:rPr>
          </w:pPr>
          <w:r>
            <w:rPr>
              <w:rFonts w:hint="eastAsia" w:ascii="黑体" w:hAnsi="黑体" w:eastAsia="黑体" w:cs="黑体"/>
              <w:color w:val="000000"/>
              <w:sz w:val="36"/>
              <w:szCs w:val="36"/>
              <w:highlight w:val="none"/>
              <w:lang w:val="en-US" w:eastAsia="zh-CN"/>
            </w:rPr>
            <w:fldChar w:fldCharType="begin"/>
          </w:r>
          <w:r>
            <w:rPr>
              <w:rFonts w:hint="eastAsia" w:ascii="黑体" w:hAnsi="黑体" w:eastAsia="黑体" w:cs="黑体"/>
              <w:sz w:val="36"/>
              <w:szCs w:val="36"/>
              <w:highlight w:val="none"/>
              <w:lang w:val="en-US" w:eastAsia="zh-CN"/>
            </w:rPr>
            <w:instrText xml:space="preserve"> HYPERLINK \l _Toc15611 </w:instrText>
          </w:r>
          <w:r>
            <w:rPr>
              <w:rFonts w:hint="eastAsia" w:ascii="黑体" w:hAnsi="黑体" w:eastAsia="黑体" w:cs="黑体"/>
              <w:sz w:val="36"/>
              <w:szCs w:val="36"/>
              <w:highlight w:val="none"/>
              <w:lang w:val="en-US" w:eastAsia="zh-CN"/>
            </w:rPr>
            <w:fldChar w:fldCharType="separate"/>
          </w:r>
          <w:r>
            <w:rPr>
              <w:rFonts w:hint="eastAsia" w:ascii="黑体" w:hAnsi="黑体" w:eastAsia="黑体" w:cs="黑体"/>
              <w:sz w:val="36"/>
              <w:szCs w:val="36"/>
              <w:highlight w:val="none"/>
            </w:rPr>
            <w:t xml:space="preserve">第三章  合同文本</w:t>
          </w:r>
          <w:r>
            <w:rPr>
              <w:rFonts w:hint="eastAsia" w:ascii="黑体" w:hAnsi="黑体" w:eastAsia="黑体" w:cs="黑体"/>
              <w:sz w:val="36"/>
              <w:szCs w:val="36"/>
            </w:rPr>
            <w:tab/>
          </w:r>
          <w:r>
            <w:rPr>
              <w:rFonts w:hint="eastAsia" w:ascii="黑体" w:hAnsi="黑体" w:eastAsia="黑体" w:cs="黑体"/>
              <w:sz w:val="36"/>
              <w:szCs w:val="36"/>
            </w:rPr>
            <w:fldChar w:fldCharType="begin"/>
          </w:r>
          <w:r>
            <w:rPr>
              <w:rFonts w:hint="eastAsia" w:ascii="黑体" w:hAnsi="黑体" w:eastAsia="黑体" w:cs="黑体"/>
              <w:sz w:val="36"/>
              <w:szCs w:val="36"/>
            </w:rPr>
            <w:instrText xml:space="preserve"> PAGEREF _Toc15611 \h </w:instrText>
          </w:r>
          <w:r>
            <w:rPr>
              <w:rFonts w:hint="eastAsia" w:ascii="黑体" w:hAnsi="黑体" w:eastAsia="黑体" w:cs="黑体"/>
              <w:sz w:val="36"/>
              <w:szCs w:val="36"/>
            </w:rPr>
            <w:fldChar w:fldCharType="separate"/>
          </w:r>
          <w:r>
            <w:rPr>
              <w:rFonts w:hint="eastAsia" w:ascii="黑体" w:hAnsi="黑体" w:eastAsia="黑体" w:cs="黑体"/>
              <w:sz w:val="36"/>
              <w:szCs w:val="36"/>
            </w:rPr>
            <w:t xml:space="preserve">17</w:t>
          </w:r>
          <w:r>
            <w:rPr>
              <w:rFonts w:hint="eastAsia" w:ascii="黑体" w:hAnsi="黑体" w:eastAsia="黑体" w:cs="黑体"/>
              <w:sz w:val="36"/>
              <w:szCs w:val="36"/>
            </w:rPr>
            <w:fldChar w:fldCharType="end"/>
          </w:r>
          <w:r>
            <w:rPr>
              <w:rFonts w:hint="eastAsia" w:ascii="黑体" w:hAnsi="黑体" w:eastAsia="黑体" w:cs="黑体"/>
              <w:color w:val="000000"/>
              <w:sz w:val="36"/>
              <w:szCs w:val="36"/>
              <w:highlight w:val="none"/>
              <w:lang w:val="en-US" w:eastAsia="zh-CN"/>
            </w:rPr>
            <w:fldChar w:fldCharType="end"/>
          </w:r>
          <w:r/>
        </w:p>
        <w:p>
          <w:pPr>
            <w:pStyle w:val="657"/>
            <w:tabs>
              <w:tab w:val="right" w:pos="8306" w:leader="dot"/>
            </w:tabs>
            <w:rPr>
              <w:rFonts w:hint="eastAsia" w:ascii="黑体" w:hAnsi="黑体" w:eastAsia="黑体" w:cs="黑体"/>
              <w:sz w:val="36"/>
              <w:szCs w:val="36"/>
            </w:rPr>
          </w:pPr>
          <w:r>
            <w:rPr>
              <w:rFonts w:hint="eastAsia" w:ascii="黑体" w:hAnsi="黑体" w:eastAsia="黑体" w:cs="黑体"/>
              <w:color w:val="000000"/>
              <w:sz w:val="36"/>
              <w:szCs w:val="36"/>
              <w:highlight w:val="none"/>
              <w:lang w:val="en-US" w:eastAsia="zh-CN"/>
            </w:rPr>
            <w:fldChar w:fldCharType="begin"/>
          </w:r>
          <w:r>
            <w:rPr>
              <w:rFonts w:hint="eastAsia" w:ascii="黑体" w:hAnsi="黑体" w:eastAsia="黑体" w:cs="黑体"/>
              <w:sz w:val="36"/>
              <w:szCs w:val="36"/>
              <w:highlight w:val="none"/>
              <w:lang w:val="en-US" w:eastAsia="zh-CN"/>
            </w:rPr>
            <w:instrText xml:space="preserve"> HYPERLINK \l _Toc551 </w:instrText>
          </w:r>
          <w:r>
            <w:rPr>
              <w:rFonts w:hint="eastAsia" w:ascii="黑体" w:hAnsi="黑体" w:eastAsia="黑体" w:cs="黑体"/>
              <w:sz w:val="36"/>
              <w:szCs w:val="36"/>
              <w:highlight w:val="none"/>
              <w:lang w:val="en-US" w:eastAsia="zh-CN"/>
            </w:rPr>
            <w:fldChar w:fldCharType="separate"/>
          </w:r>
          <w:r>
            <w:rPr>
              <w:rFonts w:hint="eastAsia" w:ascii="黑体" w:hAnsi="黑体" w:eastAsia="黑体" w:cs="黑体"/>
              <w:sz w:val="36"/>
              <w:szCs w:val="36"/>
              <w:highlight w:val="none"/>
            </w:rPr>
            <w:t xml:space="preserve">第五章  评标方法与评标标准</w:t>
          </w:r>
          <w:r>
            <w:rPr>
              <w:rFonts w:hint="eastAsia" w:ascii="黑体" w:hAnsi="黑体" w:eastAsia="黑体" w:cs="黑体"/>
              <w:sz w:val="36"/>
              <w:szCs w:val="36"/>
            </w:rPr>
            <w:tab/>
          </w:r>
          <w:r>
            <w:rPr>
              <w:rFonts w:hint="eastAsia" w:ascii="黑体" w:hAnsi="黑体" w:eastAsia="黑体" w:cs="黑体"/>
              <w:sz w:val="36"/>
              <w:szCs w:val="36"/>
            </w:rPr>
            <w:fldChar w:fldCharType="begin"/>
          </w:r>
          <w:r>
            <w:rPr>
              <w:rFonts w:hint="eastAsia" w:ascii="黑体" w:hAnsi="黑体" w:eastAsia="黑体" w:cs="黑体"/>
              <w:sz w:val="36"/>
              <w:szCs w:val="36"/>
            </w:rPr>
            <w:instrText xml:space="preserve"> PAGEREF _Toc551 \h </w:instrText>
          </w:r>
          <w:r>
            <w:rPr>
              <w:rFonts w:hint="eastAsia" w:ascii="黑体" w:hAnsi="黑体" w:eastAsia="黑体" w:cs="黑体"/>
              <w:sz w:val="36"/>
              <w:szCs w:val="36"/>
            </w:rPr>
            <w:fldChar w:fldCharType="separate"/>
          </w:r>
          <w:r>
            <w:rPr>
              <w:rFonts w:hint="eastAsia" w:ascii="黑体" w:hAnsi="黑体" w:eastAsia="黑体" w:cs="黑体"/>
              <w:sz w:val="36"/>
              <w:szCs w:val="36"/>
            </w:rPr>
            <w:t xml:space="preserve">29</w:t>
          </w:r>
          <w:r>
            <w:rPr>
              <w:rFonts w:hint="eastAsia" w:ascii="黑体" w:hAnsi="黑体" w:eastAsia="黑体" w:cs="黑体"/>
              <w:sz w:val="36"/>
              <w:szCs w:val="36"/>
            </w:rPr>
            <w:fldChar w:fldCharType="end"/>
          </w:r>
          <w:r>
            <w:rPr>
              <w:rFonts w:hint="eastAsia" w:ascii="黑体" w:hAnsi="黑体" w:eastAsia="黑体" w:cs="黑体"/>
              <w:color w:val="000000"/>
              <w:sz w:val="36"/>
              <w:szCs w:val="36"/>
              <w:highlight w:val="none"/>
              <w:lang w:val="en-US" w:eastAsia="zh-CN"/>
            </w:rPr>
            <w:fldChar w:fldCharType="end"/>
          </w:r>
          <w:r/>
        </w:p>
        <w:p>
          <w:pPr>
            <w:pStyle w:val="657"/>
            <w:tabs>
              <w:tab w:val="right" w:pos="8306" w:leader="dot"/>
            </w:tabs>
            <w:rPr>
              <w:rFonts w:hint="eastAsia" w:ascii="黑体" w:hAnsi="黑体" w:eastAsia="黑体" w:cs="黑体"/>
              <w:sz w:val="36"/>
              <w:szCs w:val="36"/>
            </w:rPr>
          </w:pPr>
          <w:r>
            <w:rPr>
              <w:rFonts w:hint="eastAsia" w:ascii="黑体" w:hAnsi="黑体" w:eastAsia="黑体" w:cs="黑体"/>
              <w:color w:val="000000"/>
              <w:sz w:val="36"/>
              <w:szCs w:val="36"/>
              <w:highlight w:val="none"/>
              <w:lang w:val="en-US" w:eastAsia="zh-CN"/>
            </w:rPr>
            <w:fldChar w:fldCharType="begin"/>
          </w:r>
          <w:r>
            <w:rPr>
              <w:rFonts w:hint="eastAsia" w:ascii="黑体" w:hAnsi="黑体" w:eastAsia="黑体" w:cs="黑体"/>
              <w:sz w:val="36"/>
              <w:szCs w:val="36"/>
              <w:highlight w:val="none"/>
              <w:lang w:val="en-US" w:eastAsia="zh-CN"/>
            </w:rPr>
            <w:instrText xml:space="preserve"> HYPERLINK \l _Toc30285 </w:instrText>
          </w:r>
          <w:r>
            <w:rPr>
              <w:rFonts w:hint="eastAsia" w:ascii="黑体" w:hAnsi="黑体" w:eastAsia="黑体" w:cs="黑体"/>
              <w:sz w:val="36"/>
              <w:szCs w:val="36"/>
              <w:highlight w:val="none"/>
              <w:lang w:val="en-US" w:eastAsia="zh-CN"/>
            </w:rPr>
            <w:fldChar w:fldCharType="separate"/>
          </w:r>
          <w:r>
            <w:rPr>
              <w:rFonts w:hint="eastAsia" w:ascii="黑体" w:hAnsi="黑体" w:eastAsia="黑体" w:cs="黑体"/>
              <w:sz w:val="36"/>
              <w:szCs w:val="36"/>
              <w:highlight w:val="none"/>
            </w:rPr>
            <w:t xml:space="preserve">第六章  投标文件格式</w:t>
          </w:r>
          <w:r>
            <w:rPr>
              <w:rFonts w:hint="eastAsia" w:ascii="黑体" w:hAnsi="黑体" w:eastAsia="黑体" w:cs="黑体"/>
              <w:sz w:val="36"/>
              <w:szCs w:val="36"/>
            </w:rPr>
            <w:tab/>
          </w:r>
          <w:r>
            <w:rPr>
              <w:rFonts w:hint="eastAsia" w:ascii="黑体" w:hAnsi="黑体" w:eastAsia="黑体" w:cs="黑体"/>
              <w:sz w:val="36"/>
              <w:szCs w:val="36"/>
            </w:rPr>
            <w:fldChar w:fldCharType="begin"/>
          </w:r>
          <w:r>
            <w:rPr>
              <w:rFonts w:hint="eastAsia" w:ascii="黑体" w:hAnsi="黑体" w:eastAsia="黑体" w:cs="黑体"/>
              <w:sz w:val="36"/>
              <w:szCs w:val="36"/>
            </w:rPr>
            <w:instrText xml:space="preserve"> PAGEREF _Toc30285 \h </w:instrText>
          </w:r>
          <w:r>
            <w:rPr>
              <w:rFonts w:hint="eastAsia" w:ascii="黑体" w:hAnsi="黑体" w:eastAsia="黑体" w:cs="黑体"/>
              <w:sz w:val="36"/>
              <w:szCs w:val="36"/>
            </w:rPr>
            <w:fldChar w:fldCharType="separate"/>
          </w:r>
          <w:r>
            <w:rPr>
              <w:rFonts w:hint="eastAsia" w:ascii="黑体" w:hAnsi="黑体" w:eastAsia="黑体" w:cs="黑体"/>
              <w:sz w:val="36"/>
              <w:szCs w:val="36"/>
            </w:rPr>
            <w:t xml:space="preserve">33</w:t>
          </w:r>
          <w:r>
            <w:rPr>
              <w:rFonts w:hint="eastAsia" w:ascii="黑体" w:hAnsi="黑体" w:eastAsia="黑体" w:cs="黑体"/>
              <w:sz w:val="36"/>
              <w:szCs w:val="36"/>
            </w:rPr>
            <w:fldChar w:fldCharType="end"/>
          </w:r>
          <w:r>
            <w:rPr>
              <w:rFonts w:hint="eastAsia" w:ascii="黑体" w:hAnsi="黑体" w:eastAsia="黑体" w:cs="黑体"/>
              <w:color w:val="000000"/>
              <w:sz w:val="36"/>
              <w:szCs w:val="36"/>
              <w:highlight w:val="none"/>
              <w:lang w:val="en-US" w:eastAsia="zh-CN"/>
            </w:rPr>
            <w:fldChar w:fldCharType="end"/>
          </w:r>
          <w:r/>
        </w:p>
        <w:p>
          <w:pPr>
            <w:pStyle w:val="648"/>
            <w:ind w:left="2160" w:hanging="1440"/>
            <w:jc w:val="both"/>
            <w:spacing w:beforeAutospacing="0" w:afterAutospacing="0" w:line="480" w:lineRule="auto"/>
            <w:tabs>
              <w:tab w:val="left" w:pos="1441" w:leader="none"/>
            </w:tabs>
            <w:rPr>
              <w:rFonts w:hint="eastAsia" w:ascii="黑体" w:hAnsi="宋体" w:eastAsia="黑体" w:cs="黑体"/>
              <w:color w:val="000000"/>
              <w:sz w:val="24"/>
              <w:szCs w:val="36"/>
              <w:highlight w:val="none"/>
              <w:lang w:val="en-US" w:eastAsia="zh-CN" w:bidi="ar-SA"/>
            </w:rPr>
          </w:pPr>
          <w:r>
            <w:rPr>
              <w:rFonts w:hint="eastAsia" w:ascii="黑体" w:hAnsi="宋体" w:eastAsia="黑体" w:cs="黑体"/>
              <w:color w:val="000000"/>
              <w:szCs w:val="36"/>
              <w:highlight w:val="none"/>
              <w:lang w:val="en-US" w:eastAsia="zh-CN"/>
            </w:rPr>
            <w:fldChar w:fldCharType="end"/>
          </w:r>
          <w:r/>
        </w:p>
      </w:sdtContent>
    </w:sdt>
    <w:p>
      <w:pPr>
        <w:pStyle w:val="648"/>
        <w:jc w:val="both"/>
        <w:spacing w:beforeAutospacing="0" w:afterAutospacing="0"/>
        <w:rPr>
          <w:highlight w:val="none"/>
        </w:rPr>
      </w:pPr>
      <w:r>
        <w:rPr>
          <w:highlight w:val="none"/>
        </w:rPr>
        <w:t xml:space="preserve"> </w:t>
      </w:r>
      <w:r/>
    </w:p>
    <w:p>
      <w:pPr>
        <w:pStyle w:val="648"/>
        <w:jc w:val="both"/>
        <w:spacing w:beforeAutospacing="0" w:afterAutospacing="0"/>
        <w:rPr>
          <w:highlight w:val="none"/>
        </w:rPr>
      </w:pPr>
      <w:r>
        <w:rPr>
          <w:highlight w:val="none"/>
        </w:rPr>
        <w:t xml:space="preserve"> </w:t>
      </w:r>
      <w:r/>
    </w:p>
    <w:p>
      <w:pPr>
        <w:pStyle w:val="648"/>
        <w:jc w:val="both"/>
        <w:spacing w:beforeAutospacing="0" w:afterAutospacing="0"/>
        <w:tabs>
          <w:tab w:val="left" w:pos="4770" w:leader="none"/>
        </w:tabs>
        <w:rPr>
          <w:rFonts w:hint="eastAsia" w:eastAsiaTheme="minorEastAsia"/>
          <w:highlight w:val="none"/>
          <w:lang w:eastAsia="zh-CN"/>
        </w:rPr>
      </w:pPr>
      <w:r>
        <w:rPr>
          <w:highlight w:val="none"/>
        </w:rPr>
        <w:t xml:space="preserve"> </w:t>
      </w:r>
      <w:r>
        <w:rPr>
          <w:rFonts w:hint="eastAsia"/>
          <w:highlight w:val="none"/>
          <w:lang w:eastAsia="zh-CN"/>
        </w:rPr>
        <w:tab/>
      </w:r>
      <w:r/>
    </w:p>
    <w:p>
      <w:pPr>
        <w:pStyle w:val="648"/>
        <w:jc w:val="both"/>
        <w:spacing w:beforeAutospacing="0" w:afterAutospacing="0"/>
        <w:rPr>
          <w:highlight w:val="none"/>
        </w:rPr>
      </w:pPr>
      <w:r>
        <w:rPr>
          <w:highlight w:val="none"/>
        </w:rPr>
        <w:t xml:space="preserve">  </w:t>
      </w:r>
      <w:r/>
    </w:p>
    <w:p>
      <w:pPr>
        <w:pStyle w:val="648"/>
        <w:jc w:val="both"/>
        <w:spacing w:beforeAutospacing="0" w:afterAutospacing="0"/>
        <w:rPr>
          <w:highlight w:val="none"/>
        </w:rPr>
      </w:pPr>
      <w:r>
        <w:rPr>
          <w:highlight w:val="none"/>
        </w:rPr>
        <w:t xml:space="preserve"> </w:t>
      </w:r>
      <w:r/>
    </w:p>
    <w:p>
      <w:pPr>
        <w:pStyle w:val="648"/>
        <w:jc w:val="both"/>
        <w:spacing w:beforeAutospacing="0" w:afterAutospacing="0"/>
        <w:rPr>
          <w:highlight w:val="none"/>
        </w:rPr>
      </w:pPr>
      <w:r>
        <w:rPr>
          <w:highlight w:val="none"/>
        </w:rPr>
        <w:t xml:space="preserve"> </w:t>
      </w:r>
      <w:r/>
    </w:p>
    <w:p>
      <w:pPr>
        <w:pStyle w:val="648"/>
        <w:jc w:val="both"/>
        <w:spacing w:beforeAutospacing="0" w:afterAutospacing="0"/>
        <w:rPr>
          <w:highlight w:val="none"/>
        </w:rPr>
      </w:pPr>
      <w:r>
        <w:rPr>
          <w:highlight w:val="none"/>
        </w:rPr>
        <w:t xml:space="preserve"> </w:t>
      </w:r>
      <w:r/>
    </w:p>
    <w:p>
      <w:pPr>
        <w:pStyle w:val="648"/>
        <w:jc w:val="both"/>
        <w:spacing w:beforeAutospacing="0" w:afterAutospacing="0"/>
        <w:rPr>
          <w:highlight w:val="none"/>
        </w:rPr>
      </w:pPr>
      <w:r>
        <w:rPr>
          <w:highlight w:val="none"/>
        </w:rPr>
        <w:t xml:space="preserve"> </w:t>
      </w:r>
      <w:r/>
    </w:p>
    <w:p>
      <w:pPr>
        <w:pStyle w:val="648"/>
        <w:jc w:val="both"/>
        <w:spacing w:beforeAutospacing="0" w:afterAutospacing="0"/>
        <w:rPr>
          <w:highlight w:val="none"/>
        </w:rPr>
      </w:pPr>
      <w:r>
        <w:rPr>
          <w:highlight w:val="none"/>
        </w:rPr>
        <w:t xml:space="preserve"> </w:t>
      </w:r>
      <w:r/>
    </w:p>
    <w:p>
      <w:pPr>
        <w:pStyle w:val="648"/>
        <w:jc w:val="both"/>
        <w:spacing w:beforeAutospacing="0" w:afterAutospacing="0"/>
        <w:rPr>
          <w:highlight w:val="none"/>
        </w:rPr>
      </w:pPr>
      <w:r>
        <w:rPr>
          <w:highlight w:val="none"/>
        </w:rPr>
        <w:t xml:space="preserve"> </w:t>
      </w:r>
      <w:r/>
    </w:p>
    <w:p>
      <w:pPr>
        <w:pStyle w:val="648"/>
        <w:jc w:val="both"/>
        <w:spacing w:beforeAutospacing="0" w:afterAutospacing="0"/>
        <w:rPr>
          <w:highlight w:val="none"/>
        </w:rPr>
      </w:pPr>
      <w:r>
        <w:rPr>
          <w:highlight w:val="none"/>
        </w:rPr>
        <w:t xml:space="preserve"> </w:t>
      </w:r>
      <w:r/>
    </w:p>
    <w:p>
      <w:pPr>
        <w:pStyle w:val="648"/>
        <w:jc w:val="both"/>
        <w:spacing w:beforeAutospacing="0" w:afterAutospacing="0"/>
        <w:rPr>
          <w:highlight w:val="none"/>
        </w:rPr>
      </w:pPr>
      <w:r>
        <w:rPr>
          <w:highlight w:val="none"/>
        </w:rPr>
        <w:t xml:space="preserve"> </w:t>
      </w:r>
      <w:r/>
    </w:p>
    <w:p>
      <w:pPr>
        <w:pStyle w:val="648"/>
        <w:jc w:val="both"/>
        <w:spacing w:beforeAutospacing="0" w:afterAutospacing="0"/>
        <w:rPr>
          <w:highlight w:val="none"/>
        </w:rPr>
      </w:pPr>
      <w:r>
        <w:rPr>
          <w:highlight w:val="none"/>
        </w:rPr>
        <w:t xml:space="preserve"> </w:t>
      </w:r>
      <w:r/>
    </w:p>
    <w:p>
      <w:pPr>
        <w:pStyle w:val="648"/>
        <w:jc w:val="both"/>
        <w:spacing w:beforeAutospacing="0" w:afterAutospacing="0"/>
        <w:rPr>
          <w:highlight w:val="none"/>
        </w:rPr>
      </w:pPr>
      <w:r>
        <w:rPr>
          <w:highlight w:val="none"/>
        </w:rPr>
        <w:t xml:space="preserve"> </w:t>
      </w:r>
      <w:r/>
    </w:p>
    <w:p>
      <w:pPr>
        <w:pStyle w:val="648"/>
        <w:jc w:val="both"/>
        <w:spacing w:beforeAutospacing="0" w:afterAutospacing="0"/>
        <w:rPr>
          <w:highlight w:val="none"/>
        </w:rPr>
      </w:pPr>
      <w:r>
        <w:rPr>
          <w:highlight w:val="none"/>
        </w:rPr>
        <w:t xml:space="preserve"> </w:t>
      </w:r>
      <w:r/>
    </w:p>
    <w:p>
      <w:pPr>
        <w:pStyle w:val="648"/>
        <w:jc w:val="both"/>
        <w:spacing w:beforeAutospacing="0" w:afterAutospacing="0"/>
        <w:rPr>
          <w:highlight w:val="none"/>
        </w:rPr>
      </w:pPr>
      <w:r>
        <w:rPr>
          <w:highlight w:val="none"/>
        </w:rPr>
        <w:t xml:space="preserve"> </w:t>
      </w:r>
      <w:r/>
    </w:p>
    <w:p>
      <w:pPr>
        <w:pStyle w:val="648"/>
        <w:jc w:val="both"/>
        <w:spacing w:beforeAutospacing="0" w:afterAutospacing="0"/>
        <w:rPr>
          <w:highlight w:val="none"/>
        </w:rPr>
      </w:pPr>
      <w:r>
        <w:rPr>
          <w:highlight w:val="none"/>
        </w:rPr>
        <w:t xml:space="preserve"> </w:t>
      </w:r>
      <w:r/>
    </w:p>
    <w:p>
      <w:pPr>
        <w:pStyle w:val="648"/>
        <w:jc w:val="both"/>
        <w:spacing w:beforeAutospacing="0" w:afterAutospacing="0"/>
        <w:rPr>
          <w:highlight w:val="none"/>
        </w:rPr>
      </w:pPr>
      <w:r>
        <w:rPr>
          <w:highlight w:val="none"/>
        </w:rPr>
        <w:t xml:space="preserve"> </w:t>
      </w:r>
      <w:r/>
    </w:p>
    <w:p>
      <w:pPr>
        <w:pStyle w:val="648"/>
        <w:jc w:val="both"/>
        <w:spacing w:beforeAutospacing="0" w:afterAutospacing="0"/>
        <w:rPr>
          <w:highlight w:val="none"/>
        </w:rPr>
      </w:pPr>
      <w:r>
        <w:rPr>
          <w:highlight w:val="none"/>
        </w:rPr>
        <w:t xml:space="preserve"> </w:t>
      </w:r>
      <w:r/>
    </w:p>
    <w:p>
      <w:pPr>
        <w:pStyle w:val="648"/>
        <w:jc w:val="both"/>
        <w:spacing w:beforeAutospacing="0" w:afterAutospacing="0"/>
        <w:rPr>
          <w:highlight w:val="none"/>
        </w:rPr>
      </w:pPr>
      <w:r>
        <w:rPr>
          <w:highlight w:val="none"/>
        </w:rPr>
        <w:t xml:space="preserve"> </w:t>
      </w:r>
      <w:r/>
    </w:p>
    <w:p>
      <w:pPr>
        <w:pStyle w:val="648"/>
        <w:jc w:val="both"/>
        <w:spacing w:beforeAutospacing="0" w:afterAutospacing="0"/>
        <w:rPr>
          <w:highlight w:val="none"/>
        </w:rPr>
      </w:pPr>
      <w:r>
        <w:rPr>
          <w:highlight w:val="none"/>
        </w:rPr>
        <w:t xml:space="preserve"> </w:t>
      </w:r>
      <w:r/>
    </w:p>
    <w:p>
      <w:pPr>
        <w:pStyle w:val="648"/>
        <w:jc w:val="both"/>
        <w:spacing w:beforeAutospacing="0" w:afterAutospacing="0"/>
        <w:rPr>
          <w:highlight w:val="none"/>
        </w:rPr>
      </w:pPr>
      <w:r>
        <w:rPr>
          <w:highlight w:val="none"/>
        </w:rPr>
        <w:t xml:space="preserve"> </w:t>
      </w:r>
      <w:r/>
    </w:p>
    <w:p>
      <w:pPr>
        <w:pStyle w:val="648"/>
        <w:jc w:val="both"/>
        <w:spacing w:beforeAutospacing="0" w:afterAutospacing="0"/>
        <w:rPr>
          <w:highlight w:val="none"/>
        </w:rPr>
      </w:pPr>
      <w:r>
        <w:rPr>
          <w:highlight w:val="none"/>
        </w:rPr>
        <w:t xml:space="preserve"> </w:t>
      </w:r>
      <w:r/>
    </w:p>
    <w:p>
      <w:pPr>
        <w:pStyle w:val="648"/>
        <w:jc w:val="both"/>
        <w:spacing w:beforeAutospacing="0" w:afterAutospacing="0"/>
        <w:rPr>
          <w:highlight w:val="none"/>
        </w:rPr>
      </w:pPr>
      <w:r>
        <w:rPr>
          <w:highlight w:val="none"/>
        </w:rPr>
        <w:t xml:space="preserve"> </w:t>
      </w:r>
      <w:r/>
    </w:p>
    <w:p>
      <w:pPr>
        <w:pStyle w:val="648"/>
        <w:jc w:val="both"/>
        <w:spacing w:beforeAutospacing="0" w:afterAutospacing="0"/>
        <w:rPr>
          <w:highlight w:val="none"/>
        </w:rPr>
      </w:pPr>
      <w:r>
        <w:rPr>
          <w:highlight w:val="none"/>
        </w:rPr>
        <w:t xml:space="preserve"> </w:t>
      </w:r>
      <w:r/>
    </w:p>
    <w:p>
      <w:pPr>
        <w:pStyle w:val="648"/>
        <w:jc w:val="both"/>
        <w:spacing w:beforeAutospacing="0" w:afterAutospacing="0"/>
        <w:rPr>
          <w:highlight w:val="none"/>
        </w:rPr>
      </w:pPr>
      <w:r>
        <w:rPr>
          <w:highlight w:val="none"/>
        </w:rPr>
        <w:t xml:space="preserve"> </w:t>
      </w:r>
      <w:r/>
    </w:p>
    <w:p>
      <w:pPr>
        <w:pStyle w:val="648"/>
        <w:jc w:val="both"/>
        <w:spacing w:beforeAutospacing="0" w:afterAutospacing="0"/>
        <w:rPr>
          <w:highlight w:val="none"/>
        </w:rPr>
      </w:pPr>
      <w:r>
        <w:rPr>
          <w:highlight w:val="none"/>
        </w:rPr>
        <w:t xml:space="preserve"> </w:t>
      </w:r>
      <w:r/>
    </w:p>
    <w:p>
      <w:pPr>
        <w:pStyle w:val="648"/>
        <w:jc w:val="both"/>
        <w:spacing w:beforeAutospacing="0" w:afterAutospacing="0"/>
        <w:rPr>
          <w:highlight w:val="none"/>
        </w:rPr>
      </w:pPr>
      <w:r>
        <w:rPr>
          <w:highlight w:val="none"/>
        </w:rPr>
        <w:t xml:space="preserve"> </w:t>
      </w:r>
      <w:r/>
    </w:p>
    <w:p>
      <w:pPr>
        <w:pStyle w:val="648"/>
        <w:jc w:val="center"/>
        <w:keepNext/>
        <w:spacing w:beforeAutospacing="0" w:afterAutospacing="0"/>
        <w:rPr>
          <w:rFonts w:hint="default" w:eastAsia="黑体"/>
          <w:highlight w:val="none"/>
          <w:lang w:val="en-US" w:eastAsia="zh-CN"/>
        </w:rPr>
        <w:outlineLvl w:val="0"/>
      </w:pPr>
      <w:r/>
      <w:bookmarkStart w:id="15" w:name="_Toc29504"/>
      <w:r>
        <w:rPr>
          <w:rFonts w:hint="eastAsia" w:ascii="黑体" w:hAnsi="宋体" w:eastAsia="黑体" w:cs="黑体"/>
          <w:color w:val="000000"/>
          <w:sz w:val="44"/>
          <w:szCs w:val="44"/>
          <w:highlight w:val="none"/>
        </w:rPr>
        <w:t xml:space="preserve">第一章 </w:t>
      </w:r>
      <w:r>
        <w:rPr>
          <w:rFonts w:hint="eastAsia" w:ascii="黑体" w:hAnsi="宋体" w:eastAsia="黑体" w:cs="黑体"/>
          <w:color w:val="000000"/>
          <w:sz w:val="44"/>
          <w:szCs w:val="44"/>
          <w:highlight w:val="none"/>
          <w:lang w:val="en-US" w:eastAsia="zh-CN"/>
        </w:rPr>
        <w:t xml:space="preserve">招标公告</w:t>
      </w:r>
      <w:bookmarkEnd w:id="15"/>
      <w:r/>
      <w:r/>
    </w:p>
    <w:p>
      <w:pPr>
        <w:pStyle w:val="648"/>
        <w:ind w:firstLine="482"/>
        <w:jc w:val="both"/>
        <w:keepLines w:val="0"/>
        <w:keepNext w:val="0"/>
        <w:pageBreakBefore w:val="0"/>
        <w:spacing w:beforeAutospacing="0" w:afterAutospacing="0"/>
        <w:widowControl w:val="off"/>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rPr>
        <w:t xml:space="preserve">项目概况</w:t>
      </w:r>
      <w:r/>
    </w:p>
    <w:p>
      <w:pPr>
        <w:pStyle w:val="648"/>
        <w:ind w:firstLine="482"/>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u w:val="single"/>
        </w:rPr>
        <w:t xml:space="preserve">2025年度盐都区农产品质量安全检测服务项目 </w:t>
      </w:r>
      <w:r>
        <w:rPr>
          <w:rFonts w:hint="eastAsia" w:ascii="宋体" w:hAnsi="宋体" w:eastAsia="宋体" w:cs="宋体"/>
          <w:color w:val="000000"/>
          <w:sz w:val="24"/>
          <w:szCs w:val="24"/>
          <w:highlight w:val="none"/>
        </w:rPr>
        <w:t xml:space="preserve">招标项目的潜在投标人可在</w:t>
      </w:r>
      <w:r>
        <w:rPr>
          <w:rFonts w:hint="eastAsia" w:ascii="宋体" w:hAnsi="宋体" w:eastAsia="宋体" w:cs="宋体"/>
          <w:i w:val="0"/>
          <w:iCs w:val="0"/>
          <w:caps w:val="0"/>
          <w:color w:val="333333"/>
          <w:spacing w:val="0"/>
          <w:sz w:val="24"/>
          <w:szCs w:val="24"/>
          <w:highlight w:val="none"/>
          <w:shd w:val="clear" w:color="auto" w:fill="ffffff"/>
        </w:rPr>
        <w:t xml:space="preserve">“苏采云”系统内免费下载（投标人必须在苏采云系统中获取采购文件，方能参与政府采购项目） </w:t>
      </w:r>
      <w:r>
        <w:rPr>
          <w:rFonts w:hint="eastAsia" w:ascii="宋体" w:hAnsi="宋体" w:eastAsia="宋体" w:cs="宋体"/>
          <w:color w:val="000000"/>
          <w:sz w:val="24"/>
          <w:szCs w:val="24"/>
          <w:highlight w:val="none"/>
        </w:rPr>
        <w:t xml:space="preserve">，并于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yellow"/>
          <w:u w:val="single"/>
          <w:lang w:val="en-US" w:eastAsia="zh-CN"/>
        </w:rPr>
        <w:t xml:space="preserve">2025</w:t>
      </w:r>
      <w:r>
        <w:rPr>
          <w:rFonts w:hint="eastAsia" w:ascii="宋体" w:hAnsi="宋体" w:eastAsia="宋体" w:cs="宋体"/>
          <w:color w:val="000000"/>
          <w:sz w:val="24"/>
          <w:szCs w:val="24"/>
          <w:highlight w:val="yellow"/>
          <w:u w:val="single"/>
        </w:rPr>
        <w:t xml:space="preserve">年</w:t>
      </w:r>
      <w:r>
        <w:rPr>
          <w:rFonts w:hint="eastAsia" w:ascii="宋体" w:hAnsi="宋体" w:eastAsia="宋体" w:cs="宋体"/>
          <w:color w:val="000000"/>
          <w:sz w:val="24"/>
          <w:szCs w:val="24"/>
          <w:highlight w:val="yellow"/>
          <w:u w:val="single"/>
          <w:lang w:val="en-US" w:eastAsia="zh-CN"/>
        </w:rPr>
        <w:t xml:space="preserve">4</w:t>
      </w:r>
      <w:r>
        <w:rPr>
          <w:rFonts w:hint="eastAsia" w:ascii="宋体" w:hAnsi="宋体" w:eastAsia="宋体" w:cs="宋体"/>
          <w:color w:val="000000"/>
          <w:sz w:val="24"/>
          <w:szCs w:val="24"/>
          <w:highlight w:val="yellow"/>
          <w:u w:val="single"/>
        </w:rPr>
        <w:t xml:space="preserve">月</w:t>
      </w:r>
      <w:r>
        <w:rPr>
          <w:rFonts w:hint="eastAsia" w:ascii="宋体" w:hAnsi="宋体" w:eastAsia="宋体" w:cs="宋体"/>
          <w:color w:val="000000"/>
          <w:sz w:val="24"/>
          <w:szCs w:val="24"/>
          <w:highlight w:val="yellow"/>
          <w:u w:val="single"/>
          <w:lang w:val="en-US" w:eastAsia="zh-CN"/>
        </w:rPr>
        <w:t xml:space="preserve">28</w:t>
      </w:r>
      <w:r>
        <w:rPr>
          <w:rFonts w:hint="eastAsia" w:ascii="宋体" w:hAnsi="宋体" w:eastAsia="宋体" w:cs="宋体"/>
          <w:color w:val="000000"/>
          <w:sz w:val="24"/>
          <w:szCs w:val="24"/>
          <w:highlight w:val="yellow"/>
          <w:u w:val="single"/>
        </w:rPr>
        <w:t xml:space="preserve">日</w:t>
      </w:r>
      <w:r>
        <w:rPr>
          <w:rFonts w:hint="eastAsia" w:ascii="宋体" w:hAnsi="宋体" w:eastAsia="宋体" w:cs="宋体"/>
          <w:color w:val="000000"/>
          <w:sz w:val="24"/>
          <w:szCs w:val="24"/>
          <w:highlight w:val="yellow"/>
          <w:u w:val="single"/>
          <w:lang w:val="en-US" w:eastAsia="zh-CN"/>
        </w:rPr>
        <w:t xml:space="preserve">15</w:t>
      </w:r>
      <w:r>
        <w:rPr>
          <w:rFonts w:hint="eastAsia" w:ascii="宋体" w:hAnsi="宋体" w:eastAsia="宋体" w:cs="宋体"/>
          <w:color w:val="000000"/>
          <w:sz w:val="24"/>
          <w:szCs w:val="24"/>
          <w:highlight w:val="yellow"/>
          <w:u w:val="single"/>
        </w:rPr>
        <w:t xml:space="preserve">点</w:t>
      </w:r>
      <w:r>
        <w:rPr>
          <w:rFonts w:hint="eastAsia" w:ascii="宋体" w:hAnsi="宋体" w:eastAsia="宋体" w:cs="宋体"/>
          <w:color w:val="000000"/>
          <w:sz w:val="24"/>
          <w:szCs w:val="24"/>
          <w:highlight w:val="yellow"/>
          <w:u w:val="single"/>
          <w:lang w:val="en-US" w:eastAsia="zh-CN"/>
        </w:rPr>
        <w:t xml:space="preserve">00</w:t>
      </w:r>
      <w:r>
        <w:rPr>
          <w:rFonts w:hint="eastAsia" w:ascii="宋体" w:hAnsi="宋体" w:eastAsia="宋体" w:cs="宋体"/>
          <w:color w:val="000000"/>
          <w:sz w:val="24"/>
          <w:szCs w:val="24"/>
          <w:highlight w:val="yellow"/>
          <w:u w:val="single"/>
        </w:rPr>
        <w:t xml:space="preserve">分</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北京时间）前递交投标文件。</w:t>
      </w:r>
      <w:r/>
    </w:p>
    <w:p>
      <w:pPr>
        <w:pStyle w:val="648"/>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6" w:name="_Toc28359079"/>
      <w:r/>
      <w:bookmarkStart w:id="17" w:name="_Toc38985263"/>
      <w:r/>
      <w:bookmarkStart w:id="18" w:name="_Toc35393621"/>
      <w:r/>
      <w:bookmarkStart w:id="19" w:name="_Hlk24379207"/>
      <w:r/>
      <w:bookmarkStart w:id="20" w:name="_Toc28359002"/>
      <w:r/>
      <w:bookmarkStart w:id="21" w:name="_Toc35393790"/>
      <w:r>
        <w:rPr>
          <w:rFonts w:hint="eastAsia" w:ascii="宋体" w:hAnsi="宋体" w:eastAsia="宋体" w:cs="宋体"/>
          <w:b/>
          <w:color w:val="000000"/>
          <w:sz w:val="24"/>
          <w:szCs w:val="24"/>
          <w:highlight w:val="none"/>
        </w:rPr>
        <w:t xml:space="preserve">一、项目基本情况</w:t>
      </w:r>
      <w:bookmarkEnd w:id="16"/>
      <w:r/>
      <w:bookmarkEnd w:id="17"/>
      <w:r/>
      <w:bookmarkEnd w:id="18"/>
      <w:r/>
      <w:bookmarkEnd w:id="19"/>
      <w:r/>
      <w:bookmarkEnd w:id="20"/>
      <w:r/>
      <w:bookmarkEnd w:id="21"/>
      <w:r/>
      <w:r/>
    </w:p>
    <w:p>
      <w:pPr>
        <w:pStyle w:val="648"/>
        <w:ind w:firstLine="480"/>
        <w:jc w:val="both"/>
        <w:spacing w:beforeAutospacing="0" w:afterAutospacing="0"/>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1.项目编号：JSZC-320903-YCLX-G2025-0007</w:t>
      </w:r>
      <w:r/>
    </w:p>
    <w:p>
      <w:pPr>
        <w:pStyle w:val="648"/>
        <w:ind w:firstLine="48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2.项目名称：2025年度盐都区农产品质量安全检测服务项目</w:t>
      </w:r>
      <w:r/>
    </w:p>
    <w:p>
      <w:pPr>
        <w:pStyle w:val="648"/>
        <w:ind w:firstLine="48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采购包1：2025年度盐都区农产品（例行检测）质量安全检测服务项目</w:t>
      </w:r>
      <w:r/>
    </w:p>
    <w:p>
      <w:pPr>
        <w:pStyle w:val="648"/>
        <w:ind w:firstLine="48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采购包2：2025年度盐都区农产品（监督检测和绿色食品例行抽检）质量安全检测服务项目</w:t>
      </w:r>
      <w:r/>
    </w:p>
    <w:p>
      <w:pPr>
        <w:pStyle w:val="648"/>
        <w:ind w:firstLine="48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投标申请人允许投二个采购包，但仅能中一个采购包，评审顺序为采购包</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→采购包</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，先开先中，在上一采购包评审中被确定为第一中标候选人的投标人，可继续参与下一采购包的评审，但不再被推荐为下一采购包的中标候选人。</w:t>
      </w:r>
      <w:r/>
    </w:p>
    <w:p>
      <w:pPr>
        <w:pStyle w:val="648"/>
        <w:ind w:firstLine="480"/>
        <w:jc w:val="both"/>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333333"/>
          <w:spacing w:val="0"/>
          <w:sz w:val="24"/>
          <w:szCs w:val="24"/>
          <w:highlight w:val="none"/>
          <w:shd w:val="clear" w:color="auto" w:fill="ffffff"/>
        </w:rPr>
        <w:t xml:space="preserve">采购方式：</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公开招标</w:t>
      </w:r>
      <w:r/>
    </w:p>
    <w:p>
      <w:pPr>
        <w:pStyle w:val="648"/>
        <w:ind w:firstLine="48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.预算金额：项目预算60万元（其中采购包1：40万元；采购包2：20万元）</w:t>
      </w:r>
      <w:r/>
    </w:p>
    <w:p>
      <w:pPr>
        <w:pStyle w:val="648"/>
        <w:ind w:firstLine="48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最高限价：60万元（其中采购包1：40万元；采购包2：20万元）</w:t>
      </w:r>
      <w:r/>
    </w:p>
    <w:p>
      <w:pPr>
        <w:pStyle w:val="648"/>
        <w:ind w:firstLine="48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.采购需求（简介）：</w:t>
      </w:r>
      <w:r>
        <w:rPr>
          <w:rFonts w:hint="eastAsia" w:ascii="宋体" w:hAnsi="宋体" w:eastAsia="宋体" w:cs="宋体"/>
          <w:color w:val="auto"/>
          <w:sz w:val="24"/>
          <w:szCs w:val="24"/>
          <w:highlight w:val="none"/>
        </w:rPr>
        <w:t xml:space="preserve">2025年度盐都区农产品质量安全检测服务（详细内容见本招标文件第四章）</w:t>
      </w:r>
      <w:r/>
    </w:p>
    <w:p>
      <w:pPr>
        <w:pStyle w:val="648"/>
        <w:ind w:firstLine="48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.合同履行期限：</w:t>
      </w:r>
      <w:r>
        <w:rPr>
          <w:rFonts w:hint="eastAsia" w:ascii="宋体" w:hAnsi="宋体" w:eastAsia="宋体" w:cs="宋体"/>
          <w:color w:val="auto"/>
          <w:sz w:val="24"/>
          <w:szCs w:val="24"/>
          <w:highlight w:val="none"/>
        </w:rPr>
        <w:t xml:space="preserve">服务期一年。</w:t>
      </w:r>
      <w:r/>
    </w:p>
    <w:p>
      <w:pPr>
        <w:pStyle w:val="648"/>
        <w:ind w:firstLine="480"/>
        <w:jc w:val="both"/>
        <w:pageBreakBefore w:val="0"/>
        <w:spacing w:beforeAutospacing="0" w:afterAutospacing="0"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auto"/>
          <w:sz w:val="24"/>
          <w:szCs w:val="24"/>
          <w:highlight w:val="none"/>
        </w:rPr>
        <w:t xml:space="preserve">本项目不接受联合体参与招标</w:t>
      </w:r>
      <w:r/>
    </w:p>
    <w:p>
      <w:pPr>
        <w:pStyle w:val="648"/>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22" w:name="_Toc35393791"/>
      <w:r/>
      <w:bookmarkStart w:id="23" w:name="_Toc35393622"/>
      <w:r/>
      <w:bookmarkStart w:id="24" w:name="_Toc38985264"/>
      <w:r/>
      <w:bookmarkStart w:id="25" w:name="_Toc28359003"/>
      <w:r/>
      <w:bookmarkStart w:id="26" w:name="_Toc28359080"/>
      <w:r>
        <w:rPr>
          <w:rFonts w:hint="eastAsia" w:ascii="宋体" w:hAnsi="宋体" w:eastAsia="宋体" w:cs="宋体"/>
          <w:b/>
          <w:color w:val="000000"/>
          <w:sz w:val="24"/>
          <w:szCs w:val="24"/>
          <w:highlight w:val="none"/>
        </w:rPr>
        <w:t xml:space="preserve">二、申请人的资格要求：</w:t>
      </w:r>
      <w:bookmarkEnd w:id="22"/>
      <w:r/>
      <w:bookmarkEnd w:id="23"/>
      <w:r/>
      <w:bookmarkEnd w:id="24"/>
      <w:r/>
      <w:bookmarkEnd w:id="25"/>
      <w:r/>
      <w:bookmarkEnd w:id="26"/>
      <w:r/>
      <w:r/>
    </w:p>
    <w:p>
      <w:pPr>
        <w:pStyle w:val="648"/>
        <w:ind w:firstLine="480"/>
        <w:jc w:val="both"/>
        <w:pageBreakBefore w:val="0"/>
        <w:spacing w:beforeAutospacing="0" w:afterAutospacing="0" w:line="460" w:lineRule="exact"/>
        <w:rPr>
          <w:rFonts w:hint="eastAsia" w:ascii="宋体" w:hAnsi="宋体" w:eastAsia="宋体" w:cs="宋体"/>
          <w:color w:val="000000"/>
          <w:sz w:val="24"/>
          <w:szCs w:val="24"/>
          <w:highlight w:val="none"/>
        </w:rPr>
      </w:pPr>
      <w:r>
        <w:rPr>
          <w:rFonts w:hint="eastAsia" w:ascii="宋体" w:hAnsi="宋体" w:eastAsia="宋体" w:cs="宋体"/>
          <w:b/>
          <w:bCs/>
          <w:color w:val="auto"/>
          <w:sz w:val="24"/>
          <w:szCs w:val="24"/>
          <w:highlight w:val="none"/>
          <w:lang w:eastAsia="zh-CN"/>
        </w:rPr>
        <w:t xml:space="preserve">采购包</w:t>
      </w:r>
      <w:r>
        <w:rPr>
          <w:rFonts w:hint="eastAsia" w:ascii="宋体" w:hAnsi="宋体" w:eastAsia="宋体" w:cs="宋体"/>
          <w:b/>
          <w:bCs/>
          <w:color w:val="auto"/>
          <w:sz w:val="24"/>
          <w:szCs w:val="24"/>
          <w:highlight w:val="none"/>
          <w:lang w:val="en-US" w:eastAsia="zh-CN"/>
        </w:rPr>
        <w:t xml:space="preserve">1</w:t>
      </w:r>
      <w:r/>
    </w:p>
    <w:p>
      <w:pPr>
        <w:pStyle w:val="648"/>
        <w:ind w:firstLine="480"/>
        <w:jc w:val="both"/>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1.满足《中华人民共和国政府采购法》第二十二条规定，并提供下列材料：</w:t>
      </w:r>
      <w:r/>
    </w:p>
    <w:p>
      <w:pPr>
        <w:pStyle w:val="648"/>
        <w:ind w:firstLine="480"/>
        <w:jc w:val="both"/>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 法人或者其他组织的营业执照等证明文件，自然人的身份证明；</w:t>
      </w:r>
      <w:r/>
    </w:p>
    <w:p>
      <w:pPr>
        <w:pStyle w:val="648"/>
        <w:ind w:firstLine="48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1.2上一年度的财务状况报表（成立不满一年无需提供）；</w:t>
      </w:r>
      <w:r/>
    </w:p>
    <w:p>
      <w:pPr>
        <w:pStyle w:val="648"/>
        <w:ind w:firstLine="480"/>
        <w:jc w:val="both"/>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具备履行合同所必需的设备和专业技术能力的书面声明；</w:t>
      </w:r>
      <w:r/>
    </w:p>
    <w:p>
      <w:pPr>
        <w:pStyle w:val="648"/>
        <w:ind w:firstLine="480"/>
        <w:jc w:val="both"/>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48"/>
        <w:ind w:firstLine="48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.5参加政府采购活动前3年内在经营活动中没有重大违法记录的书面声明。</w:t>
      </w:r>
      <w:r/>
    </w:p>
    <w:p>
      <w:pPr>
        <w:pStyle w:val="648"/>
        <w:ind w:firstLine="480"/>
        <w:jc w:val="both"/>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1.6法律、行政法规规定的其他条件。</w:t>
      </w:r>
      <w:r/>
    </w:p>
    <w:p>
      <w:pPr>
        <w:pStyle w:val="648"/>
        <w:ind w:firstLine="48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48"/>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单位负责人为同一人或者存在直接控股、管理关系的不同供应商，不得参加同一合同项下的政府采购活动。</w:t>
      </w:r>
      <w:r/>
    </w:p>
    <w:p>
      <w:pPr>
        <w:pStyle w:val="648"/>
        <w:ind w:firstLine="48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落实政府采购政策需满足的资格要求：无</w:t>
      </w:r>
      <w:r/>
    </w:p>
    <w:p>
      <w:pPr>
        <w:pStyle w:val="648"/>
        <w:ind w:right="0" w:firstLine="480"/>
        <w:jc w:val="both"/>
        <w:keepLines w:val="0"/>
        <w:keepNext w:val="0"/>
        <w:spacing w:before="0" w:beforeAutospacing="0" w:after="0" w:afterAutospacing="0"/>
        <w:shd w:val="clear" w:color="auto" w:fill="ffffff"/>
        <w:widowControl/>
        <w:rPr>
          <w:rFonts w:hint="eastAsia" w:ascii="宋体" w:hAnsi="宋体" w:eastAsia="宋体" w:cs="宋体"/>
          <w:color w:val="000000"/>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本项目的特定资格要求</w:t>
      </w:r>
      <w:r>
        <w:rPr>
          <w:rFonts w:hint="eastAsia" w:ascii="宋体" w:hAnsi="宋体" w:eastAsia="宋体" w:cs="宋体"/>
          <w:color w:val="000000"/>
          <w:sz w:val="24"/>
          <w:szCs w:val="24"/>
          <w:highlight w:val="none"/>
          <w:lang w:eastAsia="zh-CN"/>
        </w:rPr>
        <w:t xml:space="preserve">：</w:t>
      </w:r>
      <w:r/>
    </w:p>
    <w:p>
      <w:pPr>
        <w:pStyle w:val="648"/>
        <w:ind w:right="0" w:firstLine="480"/>
        <w:jc w:val="both"/>
        <w:keepLines w:val="0"/>
        <w:keepNext w:val="0"/>
        <w:spacing w:before="0" w:beforeAutospacing="0" w:after="0" w:afterAutospacing="0"/>
        <w:shd w:val="clear" w:color="auto" w:fill="ffffff"/>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3.1投标人具有CMA计量认证证书；投标人具有CATL农产品质量安全检验检测机构认证资格</w:t>
      </w:r>
      <w:r/>
    </w:p>
    <w:p>
      <w:pPr>
        <w:pStyle w:val="648"/>
        <w:ind w:right="0" w:firstLine="480"/>
        <w:jc w:val="both"/>
        <w:keepLines w:val="0"/>
        <w:keepNext w:val="0"/>
        <w:spacing w:before="0" w:beforeAutospacing="0" w:after="0" w:afterAutospacing="0"/>
        <w:shd w:val="clear" w:color="auto" w:fill="ffffff"/>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r>
      <w:r/>
    </w:p>
    <w:p>
      <w:pPr>
        <w:pStyle w:val="648"/>
        <w:ind w:firstLine="480"/>
        <w:jc w:val="both"/>
        <w:pageBreakBefore w:val="0"/>
        <w:spacing w:beforeAutospacing="0" w:afterAutospacing="0" w:line="460" w:lineRule="exact"/>
        <w:rPr>
          <w:rFonts w:hint="default" w:ascii="宋体" w:hAnsi="宋体" w:eastAsia="宋体" w:cs="宋体"/>
          <w:color w:val="auto"/>
          <w:sz w:val="24"/>
          <w:szCs w:val="24"/>
          <w:highlight w:val="none"/>
          <w:lang w:val="en-US"/>
        </w:rPr>
      </w:pPr>
      <w:r>
        <w:rPr>
          <w:rFonts w:hint="eastAsia" w:ascii="宋体" w:hAnsi="宋体" w:eastAsia="宋体" w:cs="宋体"/>
          <w:b/>
          <w:bCs/>
          <w:color w:val="auto"/>
          <w:sz w:val="24"/>
          <w:szCs w:val="24"/>
          <w:highlight w:val="none"/>
          <w:lang w:eastAsia="zh-CN"/>
        </w:rPr>
        <w:t xml:space="preserve">采购包</w:t>
      </w:r>
      <w:r>
        <w:rPr>
          <w:rFonts w:hint="eastAsia" w:ascii="宋体" w:hAnsi="宋体" w:eastAsia="宋体" w:cs="宋体"/>
          <w:b/>
          <w:bCs/>
          <w:color w:val="auto"/>
          <w:sz w:val="24"/>
          <w:szCs w:val="24"/>
          <w:highlight w:val="none"/>
          <w:lang w:val="en-US" w:eastAsia="zh-CN"/>
        </w:rPr>
        <w:t xml:space="preserve">2</w:t>
      </w:r>
      <w:r/>
    </w:p>
    <w:p>
      <w:pPr>
        <w:pStyle w:val="648"/>
        <w:ind w:firstLine="480"/>
        <w:jc w:val="both"/>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1.满足《中华人民共和国政府采购法》第二十二条规定，并提供下列材料：</w:t>
      </w:r>
      <w:r/>
    </w:p>
    <w:p>
      <w:pPr>
        <w:pStyle w:val="648"/>
        <w:ind w:firstLine="480"/>
        <w:jc w:val="both"/>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 法人或者其他组织的营业执照等证明文件，自然人的身份证明；</w:t>
      </w:r>
      <w:r/>
    </w:p>
    <w:p>
      <w:pPr>
        <w:pStyle w:val="648"/>
        <w:ind w:firstLine="48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1.2上一年度的财务状况报表（成立不满一年无需提供）；</w:t>
      </w:r>
      <w:r/>
    </w:p>
    <w:p>
      <w:pPr>
        <w:pStyle w:val="648"/>
        <w:ind w:firstLine="480"/>
        <w:jc w:val="both"/>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具备履行合同所必需的设备和专业技术能力的书面声明；</w:t>
      </w:r>
      <w:r/>
    </w:p>
    <w:p>
      <w:pPr>
        <w:pStyle w:val="648"/>
        <w:ind w:firstLine="480"/>
        <w:jc w:val="both"/>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48"/>
        <w:ind w:firstLine="48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.5参加政府采购活动前3年内在经营活动中没有重大违法记录的书面声明。</w:t>
      </w:r>
      <w:r/>
    </w:p>
    <w:p>
      <w:pPr>
        <w:pStyle w:val="648"/>
        <w:ind w:firstLine="480"/>
        <w:jc w:val="both"/>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1.6法律、行政法规规定的其他条件。</w:t>
      </w:r>
      <w:r/>
    </w:p>
    <w:p>
      <w:pPr>
        <w:pStyle w:val="648"/>
        <w:ind w:firstLine="48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48"/>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单位负责人为同一人或者存在直接控股、管理关系的不同供应商，不得参加同一合同项下的政府采购活动。</w:t>
      </w:r>
      <w:r/>
    </w:p>
    <w:p>
      <w:pPr>
        <w:pStyle w:val="648"/>
        <w:ind w:firstLine="48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落实政府采购政策需满足的资格要求：无</w:t>
      </w:r>
      <w:r/>
    </w:p>
    <w:p>
      <w:pPr>
        <w:pStyle w:val="648"/>
        <w:ind w:right="0" w:firstLine="480"/>
        <w:jc w:val="both"/>
        <w:keepLines w:val="0"/>
        <w:keepNext w:val="0"/>
        <w:spacing w:before="0" w:beforeAutospacing="0" w:after="0" w:afterAutospacing="0"/>
        <w:shd w:val="clear" w:color="auto" w:fill="ffffff"/>
        <w:widowControl/>
        <w:rPr>
          <w:rFonts w:hint="eastAsia" w:ascii="宋体" w:hAnsi="宋体" w:eastAsia="宋体" w:cs="宋体"/>
          <w:color w:val="000000"/>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本项目的特定资格要求</w:t>
      </w:r>
      <w:r>
        <w:rPr>
          <w:rFonts w:hint="eastAsia" w:ascii="宋体" w:hAnsi="宋体" w:eastAsia="宋体" w:cs="宋体"/>
          <w:color w:val="000000"/>
          <w:sz w:val="24"/>
          <w:szCs w:val="24"/>
          <w:highlight w:val="none"/>
          <w:lang w:eastAsia="zh-CN"/>
        </w:rPr>
        <w:t xml:space="preserve">：</w:t>
      </w:r>
      <w:r/>
    </w:p>
    <w:p>
      <w:pPr>
        <w:pStyle w:val="648"/>
        <w:ind w:right="0" w:firstLine="480"/>
        <w:jc w:val="both"/>
        <w:keepLines w:val="0"/>
        <w:keepNext w:val="0"/>
        <w:spacing w:before="0" w:beforeAutospacing="0" w:after="0" w:afterAutospacing="0"/>
        <w:shd w:val="clear" w:color="auto" w:fill="ffffff"/>
        <w:widowControl/>
        <w:rPr>
          <w:rFonts w:hint="eastAsia" w:ascii="宋体" w:hAnsi="宋体" w:eastAsia="宋体" w:cs="宋体"/>
          <w:b/>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3.1 (1)投标人具有CMA计量认证证书；投标人具有CATL农产品质量安全检验检测机构认证资格；(2) 投标人农业部绿色食品发展中心认定的绿色食品定点检测机构资格。</w:t>
      </w:r>
      <w:r/>
    </w:p>
    <w:p>
      <w:pPr>
        <w:pStyle w:val="648"/>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rPr>
          <w:rFonts w:hint="eastAsia" w:ascii="宋体" w:hAnsi="宋体" w:eastAsia="宋体" w:cs="宋体"/>
          <w:b/>
          <w:color w:val="auto"/>
          <w:sz w:val="24"/>
          <w:szCs w:val="24"/>
          <w:highlight w:val="none"/>
        </w:rPr>
        <w:t xml:space="preserve">三、获取招标</w:t>
      </w:r>
      <w:r>
        <w:rPr>
          <w:rFonts w:hint="eastAsia" w:ascii="宋体" w:hAnsi="宋体" w:eastAsia="宋体" w:cs="宋体"/>
          <w:b/>
          <w:color w:val="000000"/>
          <w:sz w:val="24"/>
          <w:szCs w:val="24"/>
          <w:highlight w:val="none"/>
        </w:rPr>
        <w:t xml:space="preserve">文件</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bookmarkStart w:id="27" w:name="_Toc28359082"/>
      <w:r/>
      <w:bookmarkStart w:id="28" w:name="_Toc28359005"/>
      <w:r/>
      <w:bookmarkStart w:id="29" w:name="_Toc35393793"/>
      <w:r/>
      <w:bookmarkStart w:id="30" w:name="_Toc35393624"/>
      <w:r/>
      <w:bookmarkStart w:id="31" w:name="_Toc38985266"/>
      <w:r>
        <w:rPr>
          <w:rFonts w:hint="eastAsia" w:ascii="宋体" w:hAnsi="宋体" w:eastAsia="宋体" w:cs="宋体"/>
          <w:color w:val="000000"/>
          <w:sz w:val="24"/>
          <w:szCs w:val="24"/>
          <w:highlight w:val="none"/>
        </w:rPr>
        <w:t xml:space="preserve">1.时间</w:t>
      </w:r>
      <w:r>
        <w:rPr>
          <w:rFonts w:hint="eastAsia" w:ascii="宋体" w:hAnsi="宋体" w:eastAsia="宋体" w:cs="宋体"/>
          <w:color w:val="000000"/>
          <w:sz w:val="24"/>
          <w:szCs w:val="24"/>
          <w:highlight w:val="none"/>
          <w:lang w:val="en-US" w:eastAsia="zh-CN" w:bidi="ar-SA"/>
        </w:rPr>
        <w:t xml:space="preserve">：</w:t>
      </w:r>
      <w:bookmarkEnd w:id="27"/>
      <w:r/>
      <w:bookmarkEnd w:id="28"/>
      <w:r/>
      <w:bookmarkEnd w:id="29"/>
      <w:r/>
      <w:bookmarkEnd w:id="30"/>
      <w:r/>
      <w:bookmarkEnd w:id="31"/>
      <w:r>
        <w:rPr>
          <w:rFonts w:hint="eastAsia" w:ascii="宋体" w:hAnsi="宋体" w:eastAsia="宋体" w:cs="宋体"/>
          <w:color w:val="000000"/>
          <w:sz w:val="24"/>
          <w:szCs w:val="24"/>
          <w:highlight w:val="none"/>
          <w:lang w:val="en-US" w:eastAsia="zh-CN" w:bidi="ar-SA"/>
        </w:rPr>
        <w:t xml:space="preserve">自招标文件公告发布之日起5个工作日。</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2.地点：“苏采云”系统内免费下载（投标人必须在苏采云系统中获取采购文件，方能参与政府采购项目）；</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3.方式：本项目采用网上注册登记方式。 </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4.售价：0元</w:t>
      </w:r>
      <w:r/>
    </w:p>
    <w:p>
      <w:pPr>
        <w:pStyle w:val="648"/>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四、提交投标文件截止时间、开标时间和地点</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bidi="ar-SA"/>
        </w:rPr>
        <w:t xml:space="preserve">时间：</w:t>
      </w:r>
      <w:r>
        <w:rPr>
          <w:rFonts w:hint="eastAsia" w:ascii="宋体" w:hAnsi="宋体" w:eastAsia="宋体" w:cs="宋体"/>
          <w:color w:val="000000"/>
          <w:sz w:val="24"/>
          <w:szCs w:val="24"/>
          <w:highlight w:val="yellow"/>
          <w:lang w:val="en-US" w:eastAsia="zh-CN" w:bidi="ar-SA"/>
        </w:rPr>
        <w:t xml:space="preserve">2025年4月28日15时00分</w:t>
      </w:r>
      <w:r>
        <w:rPr>
          <w:rFonts w:hint="eastAsia" w:ascii="宋体" w:hAnsi="宋体" w:eastAsia="宋体" w:cs="宋体"/>
          <w:color w:val="000000"/>
          <w:sz w:val="24"/>
          <w:szCs w:val="24"/>
          <w:highlight w:val="none"/>
          <w:lang w:val="en-US" w:eastAsia="zh-CN" w:bidi="ar-SA"/>
        </w:rPr>
        <w:t xml:space="preserve">（北京时间）</w:t>
      </w:r>
      <w:bookmarkStart w:id="220" w:name="_GoBack"/>
      <w:r/>
      <w:bookmarkEnd w:id="220"/>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2.地点：苏采云“不见面”开标大厅 。</w:t>
      </w:r>
      <w:r/>
    </w:p>
    <w:p>
      <w:pPr>
        <w:pStyle w:val="648"/>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32" w:name="_Toc35393625"/>
      <w:r/>
      <w:bookmarkStart w:id="33" w:name="_Toc38985267"/>
      <w:r/>
      <w:bookmarkStart w:id="34" w:name="_Toc35393794"/>
      <w:r/>
      <w:bookmarkStart w:id="35" w:name="_Toc28359084"/>
      <w:r/>
      <w:bookmarkStart w:id="36" w:name="_Toc28359007"/>
      <w:r>
        <w:rPr>
          <w:rFonts w:hint="eastAsia" w:ascii="宋体" w:hAnsi="宋体" w:eastAsia="宋体" w:cs="宋体"/>
          <w:b/>
          <w:color w:val="000000"/>
          <w:sz w:val="24"/>
          <w:szCs w:val="24"/>
          <w:highlight w:val="none"/>
        </w:rPr>
        <w:t xml:space="preserve">五、公告期限</w:t>
      </w:r>
      <w:bookmarkEnd w:id="32"/>
      <w:r/>
      <w:bookmarkEnd w:id="33"/>
      <w:r/>
      <w:bookmarkEnd w:id="34"/>
      <w:r/>
      <w:bookmarkEnd w:id="35"/>
      <w:r/>
      <w:bookmarkEnd w:id="36"/>
      <w:r/>
      <w:r/>
    </w:p>
    <w:p>
      <w:pPr>
        <w:pStyle w:val="648"/>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7" w:name="_Toc38985268"/>
      <w:r/>
      <w:bookmarkStart w:id="38" w:name="_Toc35393795"/>
      <w:r/>
      <w:bookmarkStart w:id="39" w:name="_Toc35393626"/>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自本公告发布之日起5个工作日。</w:t>
      </w:r>
      <w:bookmarkEnd w:id="37"/>
      <w:r/>
      <w:bookmarkEnd w:id="38"/>
      <w:r/>
      <w:bookmarkEnd w:id="39"/>
      <w:r/>
      <w:r/>
    </w:p>
    <w:p>
      <w:pPr>
        <w:pStyle w:val="648"/>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六、其他补充事宜</w:t>
      </w:r>
      <w:r/>
    </w:p>
    <w:p>
      <w:pPr>
        <w:pStyle w:val="648"/>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40" w:name="_Toc28359018"/>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648"/>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 潜在供应商访问电子招标响应交易平台的网络地址和方法： </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2.2 潜在投标人访问“苏采云”系统方法：江苏省政府采购网首页-“苏采云”链接。 </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2.3 采购文件（后缀名为“.kedt”）、供应商操作手册及政府采购客户端 工具可通过“苏采云”系统相应链接进行下载。 </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2.4 采购代理机构将数据电文形式的采购文件加载至“苏采云”系统，供潜在供应商下载或者查阅。 </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2.5 请潜在投标单位提前安装相应的控件（详见《“苏采云”系统供应商操作手册》）并使用谷歌浏览器登录“苏采云”系统参与不见面开评标。 </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如潜在投标人未按上述要求操作，将自行承担所产生的风险。</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3.有关本次招标的事项若存在变动或修改，敬请及时关注盐城市政府采购中心在“中国政府采购网”、“江苏政府采购网”、“盐城市政府采购网”发布的更正公告。</w:t>
      </w:r>
      <w:r/>
    </w:p>
    <w:p>
      <w:pPr>
        <w:pStyle w:val="648"/>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4.本次招标不收取投标保证金，不收取质量保证金。</w:t>
      </w:r>
      <w:r/>
    </w:p>
    <w:p>
      <w:pPr>
        <w:pStyle w:val="640"/>
        <w:ind w:left="0" w:right="0" w:firstLine="480"/>
        <w:jc w:val="both"/>
        <w:keepLines w:val="0"/>
        <w:keepNext w:val="0"/>
        <w:spacing w:before="0" w:beforeAutospacing="0" w:after="0" w:afterAutospacing="0" w:line="23" w:lineRule="atLeast"/>
        <w:shd w:val="clear" w:color="auto" w:fill="ffffff"/>
        <w:widowControl/>
        <w:rPr>
          <w:rFonts w:hint="eastAsia" w:ascii="宋体" w:hAnsi="宋体" w:eastAsia="宋体" w:cs="宋体"/>
          <w:b w:val="0"/>
          <w:bCs w:val="0"/>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七</w:t>
      </w:r>
      <w:r>
        <w:rPr>
          <w:rFonts w:hint="eastAsia" w:ascii="宋体" w:hAnsi="宋体" w:eastAsia="宋体" w:cs="宋体"/>
          <w:b w:val="0"/>
          <w:bCs w:val="0"/>
          <w:i w:val="0"/>
          <w:iCs w:val="0"/>
          <w:caps w:val="0"/>
          <w:color w:val="333333"/>
          <w:spacing w:val="0"/>
          <w:sz w:val="24"/>
          <w:szCs w:val="24"/>
          <w:highlight w:val="none"/>
          <w:u w:val="none"/>
          <w:shd w:val="clear" w:color="auto" w:fill="ffffff"/>
        </w:rPr>
        <w:t xml:space="preserve">、对本次</w:t>
      </w: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招标</w:t>
      </w:r>
      <w:r>
        <w:rPr>
          <w:rFonts w:hint="eastAsia" w:ascii="宋体" w:hAnsi="宋体" w:eastAsia="宋体" w:cs="宋体"/>
          <w:b w:val="0"/>
          <w:bCs w:val="0"/>
          <w:i w:val="0"/>
          <w:iCs w:val="0"/>
          <w:caps w:val="0"/>
          <w:color w:val="333333"/>
          <w:spacing w:val="0"/>
          <w:sz w:val="24"/>
          <w:szCs w:val="24"/>
          <w:highlight w:val="none"/>
          <w:u w:val="none"/>
          <w:shd w:val="clear" w:color="auto" w:fill="ffffff"/>
        </w:rPr>
        <w:t xml:space="preserve">提出询问，请按以下方式联系。</w:t>
      </w:r>
      <w:bookmarkEnd w:id="40"/>
      <w:r/>
      <w:r/>
    </w:p>
    <w:p>
      <w:pPr>
        <w:pStyle w:val="648"/>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rPr>
        <w:t xml:space="preserve"> </w:t>
      </w:r>
      <w:bookmarkStart w:id="41" w:name="_Toc28359009"/>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1.采购人信息</w:t>
      </w:r>
      <w:r/>
    </w:p>
    <w:p>
      <w:pPr>
        <w:pStyle w:val="648"/>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名 称： 盐城市盐都区农业农村局  </w:t>
      </w:r>
      <w:r/>
    </w:p>
    <w:p>
      <w:pPr>
        <w:pStyle w:val="648"/>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地址： 江苏省盐城市高新区华锐中路文化产业园B1栋  </w:t>
      </w:r>
      <w:r/>
    </w:p>
    <w:p>
      <w:pPr>
        <w:pStyle w:val="648"/>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联系人：刘先生             </w:t>
      </w:r>
      <w:r/>
    </w:p>
    <w:p>
      <w:pPr>
        <w:pStyle w:val="648"/>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联系方式：18351556799　  </w:t>
      </w:r>
      <w:r/>
    </w:p>
    <w:p>
      <w:pPr>
        <w:pStyle w:val="648"/>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2.采购代理机构信息</w:t>
      </w:r>
      <w:r/>
    </w:p>
    <w:p>
      <w:pPr>
        <w:pStyle w:val="648"/>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名 称：盐城立信造价工程师事务所有限公司 </w:t>
      </w:r>
      <w:r/>
    </w:p>
    <w:p>
      <w:pPr>
        <w:pStyle w:val="648"/>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地 址：盐城市青年西路盛世华城20号楼401室</w:t>
      </w:r>
      <w:r/>
    </w:p>
    <w:p>
      <w:pPr>
        <w:pStyle w:val="648"/>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联系人：万工</w:t>
      </w:r>
      <w:r/>
    </w:p>
    <w:p>
      <w:pPr>
        <w:pStyle w:val="648"/>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联系方式：13770039532               </w:t>
      </w:r>
      <w:r/>
    </w:p>
    <w:p>
      <w:pPr>
        <w:pStyle w:val="648"/>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2.项目联系方式</w:t>
      </w:r>
      <w:r/>
    </w:p>
    <w:p>
      <w:pPr>
        <w:pStyle w:val="648"/>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项目联系人：刘先生 </w:t>
      </w:r>
      <w:r/>
    </w:p>
    <w:p>
      <w:pPr>
        <w:pStyle w:val="648"/>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电　　 话：　18351556799　　　　　　　　　　　　　</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48"/>
        <w:ind w:right="840"/>
        <w:jc w:val="both"/>
        <w:spacing w:beforeAutospacing="0" w:afterAutospacing="0"/>
        <w:rPr>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highlight w:val="none"/>
        </w:rPr>
        <w:t xml:space="preserve"> </w:t>
      </w:r>
      <w:r/>
    </w:p>
    <w:p>
      <w:pPr>
        <w:pStyle w:val="648"/>
        <w:ind w:firstLine="2429"/>
        <w:jc w:val="both"/>
        <w:keepLines/>
        <w:keepNext/>
        <w:spacing w:before="260" w:beforeAutospacing="0" w:after="260" w:afterAutospacing="0" w:line="415" w:lineRule="auto"/>
        <w:rPr>
          <w:highlight w:val="none"/>
        </w:rPr>
        <w:outlineLvl w:val="0"/>
      </w:pPr>
      <w:r/>
      <w:bookmarkStart w:id="42" w:name="_Toc120614211"/>
      <w:r/>
      <w:bookmarkStart w:id="43" w:name="_Toc4611"/>
      <w:r>
        <w:rPr>
          <w:rFonts w:hint="eastAsia" w:ascii="黑体" w:hAnsi="宋体" w:eastAsia="黑体" w:cs="黑体"/>
          <w:b/>
          <w:color w:val="000000"/>
          <w:sz w:val="44"/>
          <w:szCs w:val="44"/>
          <w:highlight w:val="none"/>
        </w:rPr>
        <w:t xml:space="preserve">第二章  </w:t>
      </w:r>
      <w:bookmarkEnd w:id="42"/>
      <w:r/>
      <w:bookmarkStart w:id="44" w:name="_Toc20823274"/>
      <w:r/>
      <w:bookmarkStart w:id="45" w:name="_Toc16938518"/>
      <w:r/>
      <w:bookmarkStart w:id="46" w:name="_Toc120614213"/>
      <w:r/>
      <w:bookmarkStart w:id="47" w:name="_Toc513029202"/>
      <w:r>
        <w:rPr>
          <w:rFonts w:hint="eastAsia" w:ascii="黑体" w:hAnsi="宋体" w:eastAsia="黑体" w:cs="黑体"/>
          <w:b/>
          <w:color w:val="000000"/>
          <w:sz w:val="44"/>
          <w:szCs w:val="44"/>
          <w:highlight w:val="none"/>
        </w:rPr>
        <w:t xml:space="preserve">投标人须知</w:t>
      </w:r>
      <w:bookmarkEnd w:id="43"/>
      <w:r/>
      <w:bookmarkEnd w:id="44"/>
      <w:r/>
      <w:bookmarkEnd w:id="45"/>
      <w:r/>
      <w:bookmarkEnd w:id="46"/>
      <w:r/>
      <w:bookmarkEnd w:id="47"/>
      <w:r/>
      <w:r/>
    </w:p>
    <w:p>
      <w:pPr>
        <w:pStyle w:val="648"/>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48" w:name="_Toc120614214"/>
      <w:r/>
      <w:bookmarkStart w:id="49" w:name="_Toc513029203"/>
      <w:r/>
      <w:bookmarkStart w:id="50" w:name="_Toc16938519"/>
      <w:r/>
      <w:bookmarkStart w:id="51" w:name="_Toc20823275"/>
      <w:r>
        <w:rPr>
          <w:rFonts w:hint="eastAsia" w:ascii="宋体" w:hAnsi="宋体" w:eastAsia="宋体" w:cs="宋体"/>
          <w:b/>
          <w:color w:val="000000"/>
          <w:sz w:val="24"/>
          <w:szCs w:val="24"/>
          <w:highlight w:val="none"/>
        </w:rPr>
        <w:t xml:space="preserve">一、总则</w:t>
      </w:r>
      <w:bookmarkEnd w:id="48"/>
      <w:r/>
      <w:bookmarkEnd w:id="49"/>
      <w:r/>
      <w:bookmarkEnd w:id="50"/>
      <w:r/>
      <w:bookmarkEnd w:id="51"/>
      <w:r/>
      <w:r/>
    </w:p>
    <w:p>
      <w:pPr>
        <w:pStyle w:val="648"/>
        <w:ind w:firstLine="420"/>
        <w:jc w:val="both"/>
        <w:keepLines/>
        <w:keepNext/>
        <w:spacing w:beforeAutospacing="0" w:afterAutospacing="0"/>
        <w:rPr>
          <w:rFonts w:hint="eastAsia" w:ascii="宋体" w:hAnsi="宋体" w:eastAsia="宋体" w:cs="宋体"/>
          <w:sz w:val="24"/>
          <w:szCs w:val="24"/>
          <w:highlight w:val="none"/>
        </w:rPr>
      </w:pPr>
      <w:r/>
      <w:bookmarkStart w:id="52" w:name="_Toc16938520"/>
      <w:r/>
      <w:bookmarkStart w:id="53" w:name="_Toc20823276"/>
      <w:r/>
      <w:bookmarkStart w:id="54" w:name="_Toc458694821"/>
      <w:r/>
      <w:bookmarkStart w:id="55" w:name="_Toc513029204"/>
      <w:r/>
      <w:bookmarkStart w:id="56" w:name="_Hlt16619475"/>
      <w:r>
        <w:rPr>
          <w:rFonts w:hint="eastAsia" w:ascii="宋体" w:hAnsi="宋体" w:eastAsia="宋体" w:cs="宋体"/>
          <w:color w:val="000000"/>
          <w:sz w:val="24"/>
          <w:szCs w:val="24"/>
          <w:highlight w:val="none"/>
        </w:rPr>
        <w:t xml:space="preserve">1</w:t>
      </w:r>
      <w:bookmarkEnd w:id="52"/>
      <w:r>
        <w:rPr>
          <w:rFonts w:hint="eastAsia" w:ascii="宋体" w:hAnsi="宋体" w:eastAsia="宋体" w:cs="宋体"/>
          <w:color w:val="000000"/>
          <w:sz w:val="24"/>
          <w:szCs w:val="24"/>
          <w:highlight w:val="none"/>
        </w:rPr>
        <w:t xml:space="preserve">、招标方式</w:t>
      </w:r>
      <w:bookmarkEnd w:id="53"/>
      <w:r/>
      <w:bookmarkEnd w:id="54"/>
      <w:r/>
      <w:bookmarkEnd w:id="55"/>
      <w:r/>
      <w:r/>
    </w:p>
    <w:p>
      <w:pPr>
        <w:pStyle w:val="64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1.1本次招标采取公开招标方式，本招标文件仅适用于招标公告中所述项目。</w:t>
      </w:r>
      <w:r/>
    </w:p>
    <w:p>
      <w:pPr>
        <w:pStyle w:val="648"/>
        <w:ind w:firstLine="420"/>
        <w:jc w:val="both"/>
        <w:keepLines/>
        <w:keepNext/>
        <w:spacing w:beforeAutospacing="0" w:afterAutospacing="0"/>
        <w:rPr>
          <w:rFonts w:hint="eastAsia" w:ascii="宋体" w:hAnsi="宋体" w:eastAsia="宋体" w:cs="宋体"/>
          <w:sz w:val="24"/>
          <w:szCs w:val="24"/>
          <w:highlight w:val="none"/>
        </w:rPr>
      </w:pPr>
      <w:r/>
      <w:bookmarkStart w:id="57" w:name="_Toc20823277"/>
      <w:r/>
      <w:bookmarkStart w:id="58" w:name="_Toc513029205"/>
      <w:r/>
      <w:bookmarkStart w:id="59" w:name="_Toc16938521"/>
      <w:r>
        <w:rPr>
          <w:rFonts w:hint="eastAsia" w:ascii="宋体" w:hAnsi="宋体" w:eastAsia="宋体" w:cs="宋体"/>
          <w:color w:val="000000"/>
          <w:sz w:val="24"/>
          <w:szCs w:val="24"/>
          <w:highlight w:val="none"/>
        </w:rPr>
        <w:t xml:space="preserve">2、合格的投标人</w:t>
      </w:r>
      <w:bookmarkEnd w:id="57"/>
      <w:r/>
      <w:bookmarkEnd w:id="58"/>
      <w:r/>
      <w:bookmarkEnd w:id="59"/>
      <w:r/>
      <w:r/>
    </w:p>
    <w:p>
      <w:pPr>
        <w:pStyle w:val="64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2.1满足招标公告中供应商的资格要求的规定。</w:t>
      </w:r>
      <w:r/>
    </w:p>
    <w:p>
      <w:pPr>
        <w:pStyle w:val="64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2.2满足本文件实质性要求和条件的规定。</w:t>
      </w:r>
      <w:r/>
    </w:p>
    <w:p>
      <w:pPr>
        <w:pStyle w:val="648"/>
        <w:ind w:firstLine="420"/>
        <w:jc w:val="both"/>
        <w:keepLines/>
        <w:keepNext/>
        <w:spacing w:beforeAutospacing="0" w:afterAutospacing="0"/>
        <w:rPr>
          <w:rFonts w:hint="eastAsia" w:ascii="宋体" w:hAnsi="宋体" w:eastAsia="宋体" w:cs="宋体"/>
          <w:sz w:val="24"/>
          <w:szCs w:val="24"/>
          <w:highlight w:val="none"/>
        </w:rPr>
      </w:pPr>
      <w:r/>
      <w:bookmarkStart w:id="60" w:name="_Toc16938522"/>
      <w:r/>
      <w:bookmarkStart w:id="61" w:name="_Toc513029206"/>
      <w:r/>
      <w:bookmarkStart w:id="62" w:name="_Toc20823278"/>
      <w:r>
        <w:rPr>
          <w:rFonts w:hint="eastAsia" w:ascii="宋体" w:hAnsi="宋体" w:eastAsia="宋体" w:cs="宋体"/>
          <w:color w:val="000000"/>
          <w:sz w:val="24"/>
          <w:szCs w:val="24"/>
          <w:highlight w:val="none"/>
        </w:rPr>
        <w:t xml:space="preserve">3、适用法律</w:t>
      </w:r>
      <w:bookmarkEnd w:id="60"/>
      <w:r/>
      <w:bookmarkEnd w:id="61"/>
      <w:r/>
      <w:bookmarkEnd w:id="62"/>
      <w:r/>
      <w:r/>
    </w:p>
    <w:p>
      <w:pPr>
        <w:pStyle w:val="648"/>
        <w:ind w:firstLine="42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3.1本次招标及由此产生的合同受中华人民共和国有关的法律法规制约和保护。</w:t>
      </w:r>
      <w:r/>
    </w:p>
    <w:p>
      <w:pPr>
        <w:pStyle w:val="648"/>
        <w:ind w:firstLine="420"/>
        <w:jc w:val="both"/>
        <w:keepLines/>
        <w:keepNext/>
        <w:spacing w:beforeAutospacing="0" w:afterAutospacing="0"/>
        <w:rPr>
          <w:rFonts w:hint="eastAsia" w:ascii="宋体" w:hAnsi="宋体" w:eastAsia="宋体" w:cs="宋体"/>
          <w:sz w:val="24"/>
          <w:szCs w:val="24"/>
          <w:highlight w:val="none"/>
        </w:rPr>
      </w:pPr>
      <w:r/>
      <w:bookmarkStart w:id="63" w:name="_Toc16938523"/>
      <w:r/>
      <w:bookmarkStart w:id="64" w:name="_Toc20823279"/>
      <w:r/>
      <w:bookmarkStart w:id="65" w:name="_Toc513029207"/>
      <w:r/>
      <w:bookmarkStart w:id="66" w:name="_Toc462564067"/>
      <w:r>
        <w:rPr>
          <w:rFonts w:hint="eastAsia" w:ascii="宋体" w:hAnsi="宋体" w:eastAsia="宋体" w:cs="宋体"/>
          <w:color w:val="000000"/>
          <w:sz w:val="24"/>
          <w:szCs w:val="24"/>
          <w:highlight w:val="none"/>
        </w:rPr>
        <w:t xml:space="preserve">4、投标费用</w:t>
      </w:r>
      <w:bookmarkEnd w:id="63"/>
      <w:r/>
      <w:bookmarkEnd w:id="64"/>
      <w:r/>
      <w:bookmarkEnd w:id="65"/>
      <w:r/>
      <w:bookmarkEnd w:id="66"/>
      <w:r/>
      <w:r/>
    </w:p>
    <w:p>
      <w:pPr>
        <w:pStyle w:val="64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4.1投标人应自行承担所有与参加投标有关的费用，无论投标过程中的做法和结果如何，盐城市政府采购中心（以下简称采购中心）在任何情况下均无义务和责任承担这些费用。</w:t>
      </w:r>
      <w:r/>
    </w:p>
    <w:p>
      <w:pPr>
        <w:pStyle w:val="64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4.2本次招标采购中心和采购人不收取标书工本费与中标服务费。</w:t>
      </w:r>
      <w:r/>
    </w:p>
    <w:p>
      <w:pPr>
        <w:pStyle w:val="648"/>
        <w:ind w:firstLine="602"/>
        <w:jc w:val="both"/>
        <w:keepLines/>
        <w:keepNext/>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5、</w:t>
      </w:r>
      <w:r>
        <w:rPr>
          <w:rFonts w:hint="eastAsia" w:ascii="宋体" w:hAnsi="宋体" w:eastAsia="宋体" w:cs="宋体"/>
          <w:color w:val="000000"/>
          <w:sz w:val="24"/>
          <w:szCs w:val="24"/>
          <w:highlight w:val="none"/>
        </w:rPr>
        <w:t xml:space="preserve">招标文件的约束力</w:t>
      </w:r>
      <w:r/>
    </w:p>
    <w:p>
      <w:pPr>
        <w:pStyle w:val="64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5.1投标人一旦参加本项目采购活动，即被认为接受了本招标文件的规定和约束。</w:t>
      </w:r>
      <w:r/>
    </w:p>
    <w:p>
      <w:pPr>
        <w:pStyle w:val="648"/>
        <w:ind w:firstLine="321"/>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67" w:name="_Toc20823281"/>
      <w:r/>
      <w:bookmarkStart w:id="68" w:name="_Toc513029209"/>
      <w:r/>
      <w:bookmarkStart w:id="69" w:name="_Toc16938525"/>
      <w:r/>
      <w:bookmarkStart w:id="70" w:name="_Toc120614215"/>
      <w:r>
        <w:rPr>
          <w:rFonts w:hint="eastAsia" w:ascii="宋体" w:hAnsi="宋体" w:eastAsia="宋体" w:cs="宋体"/>
          <w:b/>
          <w:color w:val="000000"/>
          <w:sz w:val="24"/>
          <w:szCs w:val="24"/>
          <w:highlight w:val="none"/>
        </w:rPr>
        <w:t xml:space="preserve">二、招标文件</w:t>
      </w:r>
      <w:bookmarkEnd w:id="67"/>
      <w:r/>
      <w:bookmarkEnd w:id="68"/>
      <w:r/>
      <w:bookmarkEnd w:id="69"/>
      <w:r/>
      <w:bookmarkEnd w:id="70"/>
      <w:r/>
      <w:r/>
    </w:p>
    <w:p>
      <w:pPr>
        <w:pStyle w:val="648"/>
        <w:ind w:firstLine="420"/>
        <w:jc w:val="both"/>
        <w:keepLines/>
        <w:keepNext/>
        <w:spacing w:beforeAutospacing="0" w:afterAutospacing="0"/>
        <w:rPr>
          <w:rFonts w:hint="eastAsia" w:ascii="宋体" w:hAnsi="宋体" w:eastAsia="宋体" w:cs="宋体"/>
          <w:sz w:val="24"/>
          <w:szCs w:val="24"/>
          <w:highlight w:val="none"/>
        </w:rPr>
      </w:pPr>
      <w:r/>
      <w:bookmarkStart w:id="71" w:name="_Toc20823282"/>
      <w:r/>
      <w:bookmarkStart w:id="72" w:name="_Toc16938526"/>
      <w:r/>
      <w:bookmarkStart w:id="73" w:name="_Toc513029210"/>
      <w:r>
        <w:rPr>
          <w:rFonts w:hint="eastAsia" w:ascii="宋体" w:hAnsi="宋体" w:eastAsia="宋体" w:cs="宋体"/>
          <w:color w:val="000000"/>
          <w:sz w:val="24"/>
          <w:szCs w:val="24"/>
          <w:highlight w:val="none"/>
        </w:rPr>
        <w:t xml:space="preserve">6、招标文件构成</w:t>
      </w:r>
      <w:bookmarkEnd w:id="71"/>
      <w:r/>
      <w:bookmarkEnd w:id="72"/>
      <w:r/>
      <w:bookmarkEnd w:id="73"/>
      <w:r/>
      <w:r/>
    </w:p>
    <w:p>
      <w:pPr>
        <w:pStyle w:val="64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6.1 招标文件由以下部分组成：</w:t>
      </w:r>
      <w:r/>
    </w:p>
    <w:p>
      <w:pPr>
        <w:pStyle w:val="648"/>
        <w:ind w:firstLine="360"/>
        <w:jc w:val="both"/>
        <w:spacing w:beforeAutospacing="0" w:afterAutospacing="0" w:line="0" w:lineRule="atLeast"/>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招标公告</w:t>
      </w:r>
      <w:r/>
    </w:p>
    <w:p>
      <w:pPr>
        <w:pStyle w:val="648"/>
        <w:ind w:firstLine="36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（2）投标人须知</w:t>
      </w:r>
      <w:r/>
    </w:p>
    <w:p>
      <w:pPr>
        <w:pStyle w:val="648"/>
        <w:ind w:firstLine="36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（3）合同文本</w:t>
      </w:r>
      <w:r/>
    </w:p>
    <w:p>
      <w:pPr>
        <w:pStyle w:val="648"/>
        <w:ind w:firstLine="36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（4）采购需求</w:t>
      </w:r>
      <w:r/>
    </w:p>
    <w:p>
      <w:pPr>
        <w:pStyle w:val="648"/>
        <w:ind w:firstLine="360"/>
        <w:jc w:val="both"/>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（5）评标方法与评标标准</w:t>
      </w:r>
      <w:r/>
    </w:p>
    <w:p>
      <w:pPr>
        <w:pStyle w:val="648"/>
        <w:ind w:firstLine="36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（6）投标文件格式</w:t>
      </w:r>
      <w:r/>
    </w:p>
    <w:p>
      <w:pPr>
        <w:pStyle w:val="64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请仔细检查招标文件是否齐全，如有缺漏请立即与采购中心联系解决。</w:t>
      </w:r>
      <w:r/>
    </w:p>
    <w:p>
      <w:pPr>
        <w:pStyle w:val="64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48"/>
        <w:ind w:firstLine="560"/>
        <w:jc w:val="both"/>
        <w:keepLines/>
        <w:keepNext/>
        <w:spacing w:beforeAutospacing="0" w:afterAutospacing="0"/>
        <w:rPr>
          <w:rFonts w:hint="eastAsia" w:ascii="宋体" w:hAnsi="宋体" w:eastAsia="宋体" w:cs="宋体"/>
          <w:sz w:val="24"/>
          <w:szCs w:val="24"/>
          <w:highlight w:val="none"/>
        </w:rPr>
      </w:pPr>
      <w:r/>
      <w:bookmarkStart w:id="74" w:name="_Toc16938527"/>
      <w:r/>
      <w:bookmarkStart w:id="75" w:name="_Toc513029211"/>
      <w:r/>
      <w:bookmarkStart w:id="76" w:name="_Toc462564070"/>
      <w:r/>
      <w:bookmarkStart w:id="77" w:name="_Toc20823283"/>
      <w:r>
        <w:rPr>
          <w:rFonts w:hint="eastAsia" w:ascii="宋体" w:hAnsi="宋体" w:eastAsia="宋体" w:cs="宋体"/>
          <w:color w:val="000000"/>
          <w:sz w:val="24"/>
          <w:szCs w:val="24"/>
          <w:highlight w:val="none"/>
        </w:rPr>
        <w:t xml:space="preserve">7、招标文件的澄清</w:t>
      </w:r>
      <w:bookmarkEnd w:id="74"/>
      <w:r/>
      <w:bookmarkEnd w:id="75"/>
      <w:r/>
      <w:bookmarkEnd w:id="76"/>
      <w:r/>
      <w:bookmarkEnd w:id="77"/>
      <w:r/>
      <w:r/>
    </w:p>
    <w:p>
      <w:pPr>
        <w:pStyle w:val="64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7.1任何要求对招标文件进行澄清的投标人，应在投标截止期</w:t>
      </w:r>
      <w:r>
        <w:rPr>
          <w:rFonts w:hint="eastAsia" w:ascii="宋体" w:hAnsi="宋体" w:eastAsia="宋体" w:cs="宋体"/>
          <w:b/>
          <w:color w:val="000000"/>
          <w:sz w:val="24"/>
          <w:szCs w:val="24"/>
          <w:highlight w:val="none"/>
        </w:rPr>
        <w:t xml:space="preserve">十日</w:t>
      </w:r>
      <w:r>
        <w:rPr>
          <w:rFonts w:hint="eastAsia" w:ascii="宋体" w:hAnsi="宋体" w:eastAsia="宋体" w:cs="宋体"/>
          <w:color w:val="000000"/>
          <w:sz w:val="24"/>
          <w:szCs w:val="24"/>
          <w:highlight w:val="none"/>
        </w:rPr>
        <w:t xml:space="preserve">前按招标公告中的通讯地址，以书面形式通知采购中心。</w:t>
      </w:r>
      <w:r/>
    </w:p>
    <w:p>
      <w:pPr>
        <w:pStyle w:val="648"/>
        <w:ind w:firstLine="560"/>
        <w:jc w:val="both"/>
        <w:keepLines/>
        <w:keepNext/>
        <w:spacing w:beforeAutospacing="0" w:afterAutospacing="0"/>
        <w:rPr>
          <w:rFonts w:hint="eastAsia" w:ascii="宋体" w:hAnsi="宋体" w:eastAsia="宋体" w:cs="宋体"/>
          <w:sz w:val="24"/>
          <w:szCs w:val="24"/>
          <w:highlight w:val="none"/>
        </w:rPr>
      </w:pPr>
      <w:r/>
      <w:bookmarkStart w:id="78" w:name="_Toc462564071"/>
      <w:r/>
      <w:bookmarkStart w:id="79" w:name="_Toc16938528"/>
      <w:r/>
      <w:bookmarkStart w:id="80" w:name="_Toc513029212"/>
      <w:r/>
      <w:bookmarkStart w:id="81" w:name="_Toc20823284"/>
      <w:r>
        <w:rPr>
          <w:rFonts w:hint="eastAsia" w:ascii="宋体" w:hAnsi="宋体" w:eastAsia="宋体" w:cs="宋体"/>
          <w:color w:val="000000"/>
          <w:sz w:val="24"/>
          <w:szCs w:val="24"/>
          <w:highlight w:val="none"/>
        </w:rPr>
        <w:t xml:space="preserve">8、招标文件的修改</w:t>
      </w:r>
      <w:bookmarkEnd w:id="78"/>
      <w:r/>
      <w:bookmarkEnd w:id="79"/>
      <w:r/>
      <w:bookmarkEnd w:id="80"/>
      <w:r/>
      <w:bookmarkEnd w:id="81"/>
      <w:r/>
      <w:r/>
    </w:p>
    <w:p>
      <w:pPr>
        <w:pStyle w:val="64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8.1在投标截止时间前，采购中心可以对招标文件进行修改。</w:t>
      </w:r>
      <w:r/>
    </w:p>
    <w:p>
      <w:pPr>
        <w:pStyle w:val="64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8.2采购中心有权按照法定的要求推迟投标截止日期和开标日期。</w:t>
      </w:r>
      <w:r/>
    </w:p>
    <w:p>
      <w:pPr>
        <w:pStyle w:val="64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8.3招标文件的修改将在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盐城市政府采购网公布，补充文件将作为招标文件的组成部分，并对投标人具有约束力。</w:t>
      </w:r>
      <w:r/>
    </w:p>
    <w:p>
      <w:pPr>
        <w:pStyle w:val="648"/>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82" w:name="_Toc16938529"/>
      <w:r/>
      <w:bookmarkStart w:id="83" w:name="_Toc513029213"/>
      <w:r/>
      <w:bookmarkStart w:id="84" w:name="_Toc462564072"/>
      <w:r/>
      <w:bookmarkStart w:id="85" w:name="_Toc120614216"/>
      <w:r/>
      <w:bookmarkStart w:id="86" w:name="_Toc20823285"/>
      <w:r>
        <w:rPr>
          <w:rFonts w:hint="eastAsia" w:ascii="宋体" w:hAnsi="宋体" w:eastAsia="宋体" w:cs="宋体"/>
          <w:b/>
          <w:color w:val="000000"/>
          <w:sz w:val="24"/>
          <w:szCs w:val="24"/>
          <w:highlight w:val="none"/>
        </w:rPr>
        <w:t xml:space="preserve">三、投标文件的编制</w:t>
      </w:r>
      <w:bookmarkEnd w:id="82"/>
      <w:r/>
      <w:bookmarkEnd w:id="83"/>
      <w:r/>
      <w:bookmarkEnd w:id="84"/>
      <w:r/>
      <w:bookmarkEnd w:id="85"/>
      <w:r/>
      <w:bookmarkEnd w:id="86"/>
      <w:r/>
      <w:r/>
    </w:p>
    <w:p>
      <w:pPr>
        <w:pStyle w:val="648"/>
        <w:ind w:firstLine="560"/>
        <w:jc w:val="both"/>
        <w:keepLines/>
        <w:keepNext/>
        <w:spacing w:beforeAutospacing="0" w:afterAutospacing="0"/>
        <w:rPr>
          <w:rFonts w:hint="eastAsia" w:ascii="宋体" w:hAnsi="宋体" w:eastAsia="宋体" w:cs="宋体"/>
          <w:sz w:val="24"/>
          <w:szCs w:val="24"/>
          <w:highlight w:val="none"/>
        </w:rPr>
      </w:pPr>
      <w:r/>
      <w:bookmarkStart w:id="87" w:name="_Toc462564073"/>
      <w:r/>
      <w:bookmarkStart w:id="88" w:name="_Toc20823286"/>
      <w:r/>
      <w:bookmarkStart w:id="89" w:name="_Toc513029214"/>
      <w:r/>
      <w:bookmarkStart w:id="90" w:name="_Toc16938530"/>
      <w:r>
        <w:rPr>
          <w:rFonts w:hint="eastAsia" w:ascii="宋体" w:hAnsi="宋体" w:eastAsia="宋体" w:cs="宋体"/>
          <w:color w:val="000000"/>
          <w:sz w:val="24"/>
          <w:szCs w:val="24"/>
          <w:highlight w:val="none"/>
        </w:rPr>
        <w:t xml:space="preserve">9、投标文件的语言及度量衡单位</w:t>
      </w:r>
      <w:bookmarkEnd w:id="87"/>
      <w:r/>
      <w:bookmarkEnd w:id="88"/>
      <w:r/>
      <w:bookmarkEnd w:id="89"/>
      <w:r/>
      <w:bookmarkEnd w:id="90"/>
      <w:r/>
      <w:r/>
    </w:p>
    <w:p>
      <w:pPr>
        <w:pStyle w:val="64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9.1投标人提交的投标文件以及投标人与采购中心就有关投标的所有来往通知、函件和文件均应使用</w:t>
      </w:r>
      <w:r>
        <w:rPr>
          <w:rFonts w:hint="eastAsia" w:ascii="宋体" w:hAnsi="宋体" w:eastAsia="宋体" w:cs="宋体"/>
          <w:b/>
          <w:color w:val="000000"/>
          <w:sz w:val="24"/>
          <w:szCs w:val="24"/>
          <w:highlight w:val="none"/>
        </w:rPr>
        <w:t xml:space="preserve">简体中文</w:t>
      </w:r>
      <w:r>
        <w:rPr>
          <w:rFonts w:hint="eastAsia" w:ascii="宋体" w:hAnsi="宋体" w:eastAsia="宋体" w:cs="宋体"/>
          <w:color w:val="000000"/>
          <w:sz w:val="24"/>
          <w:szCs w:val="24"/>
          <w:highlight w:val="none"/>
        </w:rPr>
        <w:t xml:space="preserve">。</w:t>
      </w:r>
      <w:r/>
    </w:p>
    <w:p>
      <w:pPr>
        <w:pStyle w:val="64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9.2除技术性能另有规定外，投标文件所使用的度量衡单位，均须采用国家法定计量单位。</w:t>
      </w:r>
      <w:r/>
    </w:p>
    <w:p>
      <w:pPr>
        <w:pStyle w:val="648"/>
        <w:ind w:firstLine="420"/>
        <w:jc w:val="both"/>
        <w:keepLines/>
        <w:keepNext/>
        <w:spacing w:beforeAutospacing="0" w:afterAutospacing="0"/>
        <w:rPr>
          <w:rFonts w:hint="eastAsia" w:ascii="宋体" w:hAnsi="宋体" w:eastAsia="宋体" w:cs="宋体"/>
          <w:sz w:val="24"/>
          <w:szCs w:val="24"/>
          <w:highlight w:val="none"/>
        </w:rPr>
      </w:pPr>
      <w:r/>
      <w:bookmarkStart w:id="91" w:name="_Toc513029215"/>
      <w:r/>
      <w:bookmarkStart w:id="92" w:name="_Toc16938531"/>
      <w:r/>
      <w:bookmarkStart w:id="93" w:name="_Toc20823287"/>
      <w:r/>
      <w:bookmarkStart w:id="94" w:name="_Toc462564074"/>
      <w:r>
        <w:rPr>
          <w:rFonts w:hint="eastAsia" w:ascii="宋体" w:hAnsi="宋体" w:eastAsia="宋体" w:cs="宋体"/>
          <w:color w:val="000000"/>
          <w:sz w:val="24"/>
          <w:szCs w:val="24"/>
          <w:highlight w:val="none"/>
        </w:rPr>
        <w:t xml:space="preserve">10、投标文件构成</w:t>
      </w:r>
      <w:bookmarkEnd w:id="91"/>
      <w:r/>
      <w:bookmarkEnd w:id="92"/>
      <w:r/>
      <w:bookmarkEnd w:id="93"/>
      <w:r/>
      <w:bookmarkEnd w:id="94"/>
      <w:r/>
      <w:r/>
    </w:p>
    <w:p>
      <w:pPr>
        <w:pStyle w:val="64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64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10.2如标书制作工具中格式和内容与</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“江苏政府采购网”、“盐城市政府采购网”发布的招标文件不一致，请以</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“江苏政府采购网”、“盐城市政府采购网”发布的招标文件为准。</w:t>
      </w:r>
      <w:r/>
    </w:p>
    <w:p>
      <w:pPr>
        <w:pStyle w:val="648"/>
        <w:ind w:firstLine="420"/>
        <w:jc w:val="both"/>
        <w:keepLines/>
        <w:keepNext/>
        <w:spacing w:beforeAutospacing="0" w:afterAutospacing="0"/>
        <w:rPr>
          <w:rFonts w:hint="eastAsia" w:ascii="宋体" w:hAnsi="宋体" w:eastAsia="宋体" w:cs="宋体"/>
          <w:sz w:val="24"/>
          <w:szCs w:val="24"/>
          <w:highlight w:val="none"/>
        </w:rPr>
      </w:pPr>
      <w:r/>
      <w:bookmarkStart w:id="95" w:name="_Toc49090509"/>
      <w:r/>
      <w:bookmarkStart w:id="96" w:name="_Toc14577357"/>
      <w:r/>
      <w:bookmarkStart w:id="97" w:name="_Toc513029219"/>
      <w:r/>
      <w:bookmarkStart w:id="98" w:name="_Toc513029216"/>
      <w:r/>
      <w:bookmarkStart w:id="99" w:name="_Toc49090507"/>
      <w:r/>
      <w:bookmarkStart w:id="100" w:name="_Toc14577354"/>
      <w:r/>
      <w:bookmarkStart w:id="101" w:name="_Hlt26670360"/>
      <w:r/>
      <w:bookmarkStart w:id="102" w:name="_Hlt26668975"/>
      <w:r/>
      <w:bookmarkStart w:id="103" w:name="_Hlt26954838"/>
      <w:r>
        <w:rPr>
          <w:rFonts w:hint="eastAsia" w:ascii="宋体" w:hAnsi="宋体" w:eastAsia="宋体" w:cs="宋体"/>
          <w:color w:val="000000"/>
          <w:sz w:val="24"/>
          <w:szCs w:val="24"/>
          <w:highlight w:val="none"/>
        </w:rPr>
        <w:t xml:space="preserve">11、证明投标人及投标标的符合招标文件规定的文件</w:t>
      </w:r>
      <w:bookmarkEnd w:id="95"/>
      <w:r/>
      <w:bookmarkEnd w:id="96"/>
      <w:r/>
      <w:bookmarkEnd w:id="97"/>
      <w:r/>
      <w:bookmarkEnd w:id="98"/>
      <w:r/>
      <w:bookmarkEnd w:id="99"/>
      <w:r/>
      <w:bookmarkEnd w:id="100"/>
      <w:r/>
      <w:r/>
    </w:p>
    <w:p>
      <w:pPr>
        <w:pStyle w:val="648"/>
        <w:jc w:val="both"/>
        <w:spacing w:beforeAutospacing="0" w:afterAutospacing="0" w:line="0" w:lineRule="atLeast"/>
        <w:rPr>
          <w:rFonts w:hint="eastAsia" w:ascii="宋体" w:hAnsi="宋体" w:eastAsia="宋体" w:cs="宋体"/>
          <w:sz w:val="24"/>
          <w:szCs w:val="24"/>
          <w:highlight w:val="none"/>
        </w:rPr>
      </w:pPr>
      <w:r/>
      <w:bookmarkStart w:id="104" w:name="_Toc14577355"/>
      <w:r/>
      <w:bookmarkStart w:id="105" w:name="_Toc49090508"/>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11.1投标人应按照法律、法规、规章和规范性文件以及招标文件要求提交证明文件，证明其及投标标的符合招标文件规定。</w:t>
      </w:r>
      <w:bookmarkEnd w:id="104"/>
      <w:r/>
      <w:bookmarkEnd w:id="105"/>
      <w:r/>
      <w:r/>
    </w:p>
    <w:p>
      <w:pPr>
        <w:pStyle w:val="64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11.2招标文件对证明文件无明确形式要求的，证明文件可以以文字资料、图纸和数据等形式提交。</w:t>
      </w:r>
      <w:r/>
    </w:p>
    <w:p>
      <w:pPr>
        <w:pStyle w:val="648"/>
        <w:ind w:firstLine="42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12、投标分项报价</w:t>
      </w:r>
      <w:bookmarkStart w:id="106" w:name="_Hlt26670373"/>
      <w:r>
        <w:rPr>
          <w:rFonts w:hint="eastAsia" w:ascii="宋体" w:hAnsi="宋体" w:eastAsia="宋体" w:cs="宋体"/>
          <w:color w:val="000000"/>
          <w:sz w:val="24"/>
          <w:szCs w:val="24"/>
          <w:highlight w:val="none"/>
        </w:rPr>
        <w:t xml:space="preserve">表</w:t>
      </w:r>
      <w:r/>
    </w:p>
    <w:p>
      <w:pPr>
        <w:pStyle w:val="64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12.1投</w:t>
      </w:r>
      <w:bookmarkStart w:id="107" w:name="_Hlt26954840"/>
      <w:r>
        <w:rPr>
          <w:rFonts w:hint="eastAsia" w:ascii="宋体" w:hAnsi="宋体" w:eastAsia="宋体" w:cs="宋体"/>
          <w:color w:val="000000"/>
          <w:sz w:val="24"/>
          <w:szCs w:val="24"/>
          <w:highlight w:val="none"/>
        </w:rPr>
        <w:t xml:space="preserve">标人应按照招标文件规定格式填报投标分项报价表</w:t>
      </w:r>
      <w:bookmarkStart w:id="108" w:name="_Hlt26670399"/>
      <w:r>
        <w:rPr>
          <w:rFonts w:hint="eastAsia" w:ascii="宋体" w:hAnsi="宋体" w:eastAsia="宋体" w:cs="宋体"/>
          <w:color w:val="000000"/>
          <w:sz w:val="24"/>
          <w:szCs w:val="24"/>
          <w:highlight w:val="none"/>
        </w:rPr>
        <w:t xml:space="preserve">。</w:t>
      </w:r>
      <w:r/>
    </w:p>
    <w:p>
      <w:pPr>
        <w:pStyle w:val="64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12.2投标货币。投标文件中的单价和总价无特殊规定的采用人民币报价，以元为单位标注。招标文件中另有规定的按规定执行。</w:t>
      </w:r>
      <w:r/>
    </w:p>
    <w:p>
      <w:pPr>
        <w:pStyle w:val="648"/>
        <w:ind w:firstLine="420"/>
        <w:jc w:val="both"/>
        <w:keepLines/>
        <w:keepNext/>
        <w:spacing w:beforeAutospacing="0" w:afterAutospacing="0"/>
        <w:rPr>
          <w:rFonts w:hint="eastAsia" w:ascii="宋体" w:hAnsi="宋体" w:eastAsia="宋体" w:cs="宋体"/>
          <w:sz w:val="24"/>
          <w:szCs w:val="24"/>
          <w:highlight w:val="none"/>
        </w:rPr>
      </w:pPr>
      <w:r/>
      <w:bookmarkStart w:id="109" w:name="_Hlt26954842"/>
      <w:r/>
      <w:bookmarkStart w:id="110" w:name="_Hlt26670482"/>
      <w:r/>
      <w:bookmarkStart w:id="111" w:name="_Hlt26670425"/>
      <w:r/>
      <w:bookmarkStart w:id="112" w:name="_Hlt26670486"/>
      <w:r/>
      <w:bookmarkStart w:id="113" w:name="_Hlt26954844"/>
      <w:r/>
      <w:bookmarkStart w:id="114" w:name="_Hlt26954848"/>
      <w:r/>
      <w:bookmarkStart w:id="115" w:name="_Hlt26668983"/>
      <w:r/>
      <w:bookmarkStart w:id="116" w:name="_Hlt26954731"/>
      <w:r/>
      <w:bookmarkStart w:id="117" w:name="_Hlt26670403"/>
      <w:r/>
      <w:bookmarkStart w:id="118" w:name="_Hlt26954846"/>
      <w:r>
        <w:rPr>
          <w:rFonts w:hint="eastAsia" w:ascii="宋体" w:hAnsi="宋体" w:eastAsia="宋体" w:cs="宋体"/>
          <w:color w:val="000000"/>
          <w:sz w:val="24"/>
          <w:szCs w:val="24"/>
          <w:highlight w:val="none"/>
        </w:rPr>
        <w:t xml:space="preserve">13、技术要求响应及偏离表、商务要求响应及偏离表</w:t>
      </w:r>
      <w:r/>
    </w:p>
    <w:p>
      <w:pPr>
        <w:pStyle w:val="64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13.1投标人需对招标文件中的技术要求与商务要求逐项作出响应或偏离，并说明原因。</w:t>
      </w:r>
      <w:r/>
    </w:p>
    <w:p>
      <w:pPr>
        <w:pStyle w:val="648"/>
        <w:ind w:firstLine="480"/>
        <w:jc w:val="both"/>
        <w:spacing w:beforeAutospacing="0" w:afterAutospacing="0" w:line="0" w:lineRule="atLeast"/>
        <w:tabs>
          <w:tab w:val="left" w:pos="1036"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13.2投标人可在投标文件中提供认为需要的其他技术文件或说明。</w:t>
      </w:r>
      <w:r/>
    </w:p>
    <w:p>
      <w:pPr>
        <w:pStyle w:val="648"/>
        <w:ind w:firstLine="420"/>
        <w:jc w:val="both"/>
        <w:keepLines/>
        <w:keepNext/>
        <w:spacing w:beforeAutospacing="0" w:afterAutospacing="0"/>
        <w:rPr>
          <w:rFonts w:hint="eastAsia" w:ascii="宋体" w:hAnsi="宋体" w:eastAsia="宋体" w:cs="宋体"/>
          <w:sz w:val="24"/>
          <w:szCs w:val="24"/>
          <w:highlight w:val="none"/>
        </w:rPr>
      </w:pPr>
      <w:r/>
      <w:bookmarkStart w:id="119" w:name="_Toc49090510"/>
      <w:r/>
      <w:bookmarkStart w:id="120" w:name="_Toc14577359"/>
      <w:r>
        <w:rPr>
          <w:rFonts w:hint="eastAsia" w:ascii="宋体" w:hAnsi="宋体" w:eastAsia="宋体" w:cs="宋体"/>
          <w:color w:val="000000"/>
          <w:sz w:val="24"/>
          <w:szCs w:val="24"/>
          <w:highlight w:val="none"/>
        </w:rPr>
        <w:t xml:space="preserve">14、投标函和开标一览表</w:t>
      </w:r>
      <w:bookmarkEnd w:id="119"/>
      <w:r/>
      <w:bookmarkEnd w:id="120"/>
      <w:r/>
      <w:r/>
    </w:p>
    <w:p>
      <w:pPr>
        <w:pStyle w:val="64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14.1投标人应按照招标文件中提供的格式完整、正确填写投标函、开标一览表。</w:t>
      </w:r>
      <w:r/>
    </w:p>
    <w:p>
      <w:pPr>
        <w:pStyle w:val="64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sz w:val="24"/>
          <w:szCs w:val="24"/>
          <w:highlight w:val="none"/>
        </w:rPr>
        <w:t xml:space="preserve">。</w:t>
      </w:r>
      <w:r/>
    </w:p>
    <w:p>
      <w:pPr>
        <w:pStyle w:val="648"/>
        <w:ind w:firstLine="420"/>
        <w:jc w:val="both"/>
        <w:keepLines/>
        <w:keepNext/>
        <w:spacing w:beforeAutospacing="0" w:afterAutospacing="0"/>
        <w:rPr>
          <w:rFonts w:hint="eastAsia" w:ascii="宋体" w:hAnsi="宋体" w:eastAsia="宋体" w:cs="宋体"/>
          <w:sz w:val="24"/>
          <w:szCs w:val="24"/>
          <w:highlight w:val="none"/>
        </w:rPr>
      </w:pPr>
      <w:r/>
      <w:bookmarkStart w:id="121" w:name="_Toc14577360"/>
      <w:r/>
      <w:bookmarkStart w:id="122" w:name="_Toc49090511"/>
      <w:r/>
      <w:bookmarkStart w:id="123" w:name="_Hlt26670489"/>
      <w:r/>
      <w:bookmarkStart w:id="124" w:name="_Hlt26954734"/>
      <w:r/>
      <w:bookmarkStart w:id="125" w:name="_Hlt26954850"/>
      <w:r>
        <w:rPr>
          <w:rFonts w:hint="eastAsia" w:ascii="宋体" w:hAnsi="宋体" w:eastAsia="宋体" w:cs="宋体"/>
          <w:color w:val="000000"/>
          <w:sz w:val="24"/>
          <w:szCs w:val="24"/>
          <w:highlight w:val="none"/>
        </w:rPr>
        <w:t xml:space="preserve">15、投标有效期</w:t>
      </w:r>
      <w:bookmarkEnd w:id="121"/>
      <w:r/>
      <w:bookmarkEnd w:id="122"/>
      <w:r/>
      <w:r/>
    </w:p>
    <w:p>
      <w:pPr>
        <w:pStyle w:val="64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15.1投标有效期为采购中心规定的开标之日后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000000"/>
          <w:sz w:val="24"/>
          <w:szCs w:val="24"/>
          <w:highlight w:val="none"/>
        </w:rPr>
        <w:t xml:space="preserve">。投标有效期比规定短的将被视为未实质性响应招标文件而予以拒绝。</w:t>
      </w:r>
      <w:r/>
    </w:p>
    <w:p>
      <w:pPr>
        <w:pStyle w:val="648"/>
        <w:ind w:firstLine="42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16、投标有效期的延长</w:t>
      </w:r>
      <w:r/>
    </w:p>
    <w:p>
      <w:pPr>
        <w:pStyle w:val="64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pStyle w:val="648"/>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26" w:name="_Toc16938540"/>
      <w:r/>
      <w:bookmarkStart w:id="127" w:name="_Toc513029224"/>
      <w:r/>
      <w:bookmarkStart w:id="128" w:name="_Toc20823296"/>
      <w:r/>
      <w:bookmarkStart w:id="129" w:name="_Toc120614217"/>
      <w:r/>
      <w:bookmarkStart w:id="130" w:name="_Hlt26954739"/>
      <w:r/>
      <w:bookmarkStart w:id="131" w:name="_Hlt26954852"/>
      <w:r>
        <w:rPr>
          <w:rFonts w:hint="eastAsia" w:ascii="宋体" w:hAnsi="宋体" w:eastAsia="宋体" w:cs="宋体"/>
          <w:b/>
          <w:color w:val="000000"/>
          <w:sz w:val="24"/>
          <w:szCs w:val="24"/>
          <w:highlight w:val="none"/>
        </w:rPr>
        <w:t xml:space="preserve">四、投标文件的递交</w:t>
      </w:r>
      <w:bookmarkEnd w:id="126"/>
      <w:r/>
      <w:bookmarkEnd w:id="127"/>
      <w:r/>
      <w:bookmarkEnd w:id="128"/>
      <w:r/>
      <w:bookmarkEnd w:id="129"/>
      <w:r/>
      <w:r/>
    </w:p>
    <w:p>
      <w:pPr>
        <w:pStyle w:val="648"/>
        <w:ind w:firstLine="480"/>
        <w:jc w:val="both"/>
        <w:keepLines/>
        <w:keepNext/>
        <w:spacing w:beforeAutospacing="0" w:afterAutospacing="0"/>
        <w:rPr>
          <w:rFonts w:hint="eastAsia" w:ascii="宋体" w:hAnsi="宋体" w:eastAsia="宋体" w:cs="宋体"/>
          <w:sz w:val="24"/>
          <w:szCs w:val="24"/>
          <w:highlight w:val="none"/>
        </w:rPr>
      </w:pPr>
      <w:r/>
      <w:bookmarkStart w:id="132" w:name="_Toc462564084"/>
      <w:r/>
      <w:bookmarkStart w:id="133" w:name="_Toc20823297"/>
      <w:r/>
      <w:bookmarkStart w:id="134" w:name="_Toc513029225"/>
      <w:r/>
      <w:bookmarkStart w:id="135" w:name="_Toc16938541"/>
      <w:r>
        <w:rPr>
          <w:rFonts w:hint="eastAsia" w:ascii="宋体" w:hAnsi="宋体" w:eastAsia="宋体" w:cs="宋体"/>
          <w:color w:val="000000"/>
          <w:sz w:val="24"/>
          <w:szCs w:val="24"/>
          <w:highlight w:val="none"/>
        </w:rPr>
        <w:t xml:space="preserve">17、投标文件</w:t>
      </w:r>
      <w:bookmarkEnd w:id="132"/>
      <w:r/>
      <w:bookmarkEnd w:id="133"/>
      <w:r/>
      <w:bookmarkEnd w:id="134"/>
      <w:r/>
      <w:bookmarkEnd w:id="135"/>
      <w:r>
        <w:rPr>
          <w:rFonts w:hint="eastAsia" w:ascii="宋体" w:hAnsi="宋体" w:eastAsia="宋体" w:cs="宋体"/>
          <w:color w:val="000000"/>
          <w:sz w:val="24"/>
          <w:szCs w:val="24"/>
          <w:highlight w:val="none"/>
        </w:rPr>
        <w:t xml:space="preserve">的递交</w:t>
      </w:r>
      <w:r/>
    </w:p>
    <w:p>
      <w:pPr>
        <w:pStyle w:val="64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17.1 电子投标文件的递交</w:t>
      </w:r>
      <w:r/>
    </w:p>
    <w:p>
      <w:pPr>
        <w:pStyle w:val="648"/>
        <w:ind w:left="525"/>
        <w:jc w:val="both"/>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投标人应当按照《操作手册》规定，在投标截止时间前制作并上传电子投标文件。</w:t>
      </w:r>
      <w:bookmarkStart w:id="136" w:name="_Toc20823298"/>
      <w:r/>
      <w:bookmarkEnd w:id="136"/>
      <w:r/>
      <w:bookmarkStart w:id="137" w:name="_Toc16938542"/>
      <w:r/>
      <w:bookmarkEnd w:id="137"/>
      <w:r/>
      <w:bookmarkStart w:id="138" w:name="_Toc513029226"/>
      <w:r/>
      <w:r/>
    </w:p>
    <w:p>
      <w:pPr>
        <w:pStyle w:val="648"/>
        <w:ind w:firstLine="420"/>
        <w:jc w:val="both"/>
        <w:keepLines/>
        <w:keepNext/>
        <w:spacing w:before="280" w:beforeAutospacing="0" w:after="290" w:afterAutospacing="0" w:line="374"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18、投标截止时间</w:t>
      </w:r>
      <w:r/>
    </w:p>
    <w:p>
      <w:pPr>
        <w:pStyle w:val="64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i/>
          <w:color w:val="000000"/>
          <w:sz w:val="24"/>
          <w:szCs w:val="24"/>
          <w:highlight w:val="none"/>
          <w:u w:val="single"/>
        </w:rPr>
        <w:t xml:space="preserve">18.1投标人上传电子投标文件的时间不得迟于招标公告中规定的投标截止时间。</w:t>
      </w:r>
      <w:r/>
    </w:p>
    <w:p>
      <w:pPr>
        <w:pStyle w:val="64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投标人应充分考虑到网络环境、网络带宽等风险因素，如因投标人自身原因造成的电子投标文件上传不成功的按照本招标文件第二章第26.1.2条 规定做无效投标处理。</w:t>
      </w:r>
      <w:r/>
    </w:p>
    <w:p>
      <w:pPr>
        <w:pStyle w:val="64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18.2采购中心可以按照规定，通过修改招标文件酌情延长投标截止时间，在此情况下，投标人的所有权利和义务以及投标人受制的截止时间均应以延长后新的截止时间为准。</w:t>
      </w:r>
      <w:r/>
    </w:p>
    <w:p>
      <w:pPr>
        <w:pStyle w:val="648"/>
        <w:ind w:firstLine="420"/>
        <w:jc w:val="both"/>
        <w:keepLines/>
        <w:keepNext/>
        <w:spacing w:beforeAutospacing="0" w:afterAutospacing="0"/>
        <w:rPr>
          <w:rFonts w:hint="eastAsia" w:ascii="宋体" w:hAnsi="宋体" w:eastAsia="宋体" w:cs="宋体"/>
          <w:sz w:val="24"/>
          <w:szCs w:val="24"/>
          <w:highlight w:val="none"/>
        </w:rPr>
      </w:pPr>
      <w:r/>
      <w:bookmarkStart w:id="139" w:name="_Toc20823299"/>
      <w:r/>
      <w:bookmarkStart w:id="140" w:name="_Toc513029227"/>
      <w:r/>
      <w:bookmarkStart w:id="141" w:name="_Toc16938543"/>
      <w:r>
        <w:rPr>
          <w:rFonts w:hint="eastAsia" w:ascii="宋体" w:hAnsi="宋体" w:eastAsia="宋体" w:cs="宋体"/>
          <w:color w:val="000000"/>
          <w:sz w:val="24"/>
          <w:szCs w:val="24"/>
          <w:highlight w:val="none"/>
        </w:rPr>
        <w:t xml:space="preserve">19、投标文件</w:t>
      </w:r>
      <w:bookmarkEnd w:id="139"/>
      <w:r/>
      <w:bookmarkEnd w:id="140"/>
      <w:r/>
      <w:bookmarkEnd w:id="141"/>
      <w:r>
        <w:rPr>
          <w:rFonts w:hint="eastAsia" w:ascii="宋体" w:hAnsi="宋体" w:eastAsia="宋体" w:cs="宋体"/>
          <w:color w:val="000000"/>
          <w:sz w:val="24"/>
          <w:szCs w:val="24"/>
          <w:highlight w:val="none"/>
        </w:rPr>
        <w:t xml:space="preserve">的拒收</w:t>
      </w:r>
      <w:r/>
    </w:p>
    <w:p>
      <w:pPr>
        <w:pStyle w:val="64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19.1采购中心拒绝接收在其规定的投标截止时间后上传的任何投标文件。</w:t>
      </w:r>
      <w:r/>
    </w:p>
    <w:p>
      <w:pPr>
        <w:pStyle w:val="648"/>
        <w:ind w:firstLine="420"/>
        <w:jc w:val="both"/>
        <w:keepLines/>
        <w:keepNext/>
        <w:spacing w:beforeAutospacing="0" w:afterAutospacing="0"/>
        <w:rPr>
          <w:rFonts w:hint="eastAsia" w:ascii="宋体" w:hAnsi="宋体" w:eastAsia="宋体" w:cs="宋体"/>
          <w:sz w:val="24"/>
          <w:szCs w:val="24"/>
          <w:highlight w:val="none"/>
        </w:rPr>
      </w:pPr>
      <w:r/>
      <w:bookmarkStart w:id="142" w:name="_Toc16938544"/>
      <w:r/>
      <w:bookmarkStart w:id="143" w:name="_Toc20823300"/>
      <w:r/>
      <w:bookmarkStart w:id="144" w:name="_Toc513029228"/>
      <w:r>
        <w:rPr>
          <w:rFonts w:hint="eastAsia" w:ascii="宋体" w:hAnsi="宋体" w:eastAsia="宋体" w:cs="宋体"/>
          <w:color w:val="000000"/>
          <w:sz w:val="24"/>
          <w:szCs w:val="24"/>
          <w:highlight w:val="none"/>
        </w:rPr>
        <w:t xml:space="preserve">20、投标文件的撤回和修改</w:t>
      </w:r>
      <w:bookmarkEnd w:id="142"/>
      <w:r/>
      <w:bookmarkEnd w:id="143"/>
      <w:r/>
      <w:bookmarkEnd w:id="144"/>
      <w:r/>
      <w:r/>
    </w:p>
    <w:p>
      <w:pPr>
        <w:pStyle w:val="64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20.1投标文件的撤回</w:t>
      </w:r>
      <w:r/>
    </w:p>
    <w:p>
      <w:pPr>
        <w:pStyle w:val="64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.1.1电子投标文件的撤回</w:t>
      </w:r>
      <w:r/>
    </w:p>
    <w:p>
      <w:pPr>
        <w:pStyle w:val="64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投标人可在投标截止时间前，撤回其电子投标文件，具体操作方法见《操作手册》。</w:t>
      </w:r>
      <w:r/>
    </w:p>
    <w:p>
      <w:pPr>
        <w:pStyle w:val="64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.1.2投标人撤回电子投标文件，则认为其不再参与本项目投标活动。</w:t>
      </w:r>
      <w:r/>
    </w:p>
    <w:p>
      <w:pPr>
        <w:pStyle w:val="64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 投标文件的修改</w:t>
      </w:r>
      <w:r/>
    </w:p>
    <w:p>
      <w:pPr>
        <w:pStyle w:val="64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20.2.1投标人可在投标截止时间前，对其电子投标文件进行修改，具体操作方法见《操作手册》。</w:t>
      </w:r>
      <w:r/>
    </w:p>
    <w:p>
      <w:pPr>
        <w:pStyle w:val="64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20.2.2在投标截止时间之后，投标人不得对其电子投标文件作任何修改。</w:t>
      </w:r>
      <w:r/>
    </w:p>
    <w:p>
      <w:pPr>
        <w:pStyle w:val="64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20.3在投标截止时间至招标文件中规定的投标有效期满之间的这段时间内，投标人不得撤回其投标。</w:t>
      </w:r>
      <w:r/>
    </w:p>
    <w:p>
      <w:pPr>
        <w:pStyle w:val="648"/>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45" w:name="_Toc120614218"/>
      <w:r/>
      <w:bookmarkStart w:id="146" w:name="_Toc16938545"/>
      <w:r/>
      <w:bookmarkStart w:id="147" w:name="_Toc20823301"/>
      <w:r/>
      <w:bookmarkStart w:id="148" w:name="_Toc513029229"/>
      <w:r>
        <w:rPr>
          <w:rFonts w:hint="eastAsia" w:ascii="宋体" w:hAnsi="宋体" w:eastAsia="宋体" w:cs="宋体"/>
          <w:b/>
          <w:color w:val="000000"/>
          <w:sz w:val="24"/>
          <w:szCs w:val="24"/>
          <w:highlight w:val="none"/>
        </w:rPr>
        <w:t xml:space="preserve">五、开标与评标</w:t>
      </w:r>
      <w:bookmarkEnd w:id="145"/>
      <w:r/>
      <w:bookmarkEnd w:id="146"/>
      <w:r/>
      <w:bookmarkEnd w:id="147"/>
      <w:r/>
      <w:bookmarkEnd w:id="148"/>
      <w:r/>
      <w:r/>
    </w:p>
    <w:p>
      <w:pPr>
        <w:pStyle w:val="648"/>
        <w:ind w:firstLine="420"/>
        <w:jc w:val="both"/>
        <w:keepLines/>
        <w:keepNext/>
        <w:spacing w:beforeAutospacing="0" w:afterAutospacing="0"/>
        <w:rPr>
          <w:rFonts w:hint="eastAsia" w:ascii="宋体" w:hAnsi="宋体" w:eastAsia="宋体" w:cs="宋体"/>
          <w:color w:val="auto"/>
          <w:sz w:val="24"/>
          <w:szCs w:val="24"/>
          <w:highlight w:val="none"/>
        </w:rPr>
      </w:pPr>
      <w:r/>
      <w:bookmarkStart w:id="149" w:name="_Toc513029230"/>
      <w:r/>
      <w:bookmarkStart w:id="150" w:name="_Toc20823302"/>
      <w:r/>
      <w:bookmarkStart w:id="151" w:name="_Toc16938546"/>
      <w:r>
        <w:rPr>
          <w:rFonts w:hint="eastAsia" w:ascii="宋体" w:hAnsi="宋体" w:eastAsia="宋体" w:cs="宋体"/>
          <w:color w:val="auto"/>
          <w:sz w:val="24"/>
          <w:szCs w:val="24"/>
          <w:highlight w:val="none"/>
        </w:rPr>
        <w:t xml:space="preserve">21、开标</w:t>
      </w:r>
      <w:bookmarkEnd w:id="149"/>
      <w:r/>
      <w:bookmarkEnd w:id="150"/>
      <w:r/>
      <w:bookmarkEnd w:id="151"/>
      <w:r/>
      <w:r/>
    </w:p>
    <w:p>
      <w:pPr>
        <w:pStyle w:val="648"/>
        <w:ind w:firstLine="36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21.1采购中心将在招标公告中规定的时间和地点组织公开开标。投标人应当按照《操作手册》规定，参加开标活动和在苏采云系统规定的时间内对投标文件进行解密。</w:t>
      </w:r>
      <w:r/>
    </w:p>
    <w:p>
      <w:pPr>
        <w:pStyle w:val="648"/>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21.2开标仪式由采购中心组织。苏采云系统将自动对项目进行开标，并宣布各投标人名称和投标价格。</w:t>
      </w:r>
      <w:r/>
    </w:p>
    <w:p>
      <w:pPr>
        <w:pStyle w:val="648"/>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21.3投标人在开标过程中涉及到的投标文件解密、开标结果确认等工作，应按照《操作手册》规定执行。</w:t>
      </w:r>
      <w:r/>
    </w:p>
    <w:p>
      <w:pPr>
        <w:pStyle w:val="648"/>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21.4投标人如果对开标过程和开标记录有疑义，应当根据《操作手册》规定提出，如苏采云系统中《开标记录表》宣布后5分钟内未提出的，视同认可开标结果。</w:t>
      </w:r>
      <w:r/>
    </w:p>
    <w:p>
      <w:pPr>
        <w:pStyle w:val="648"/>
        <w:ind w:firstLine="420"/>
        <w:jc w:val="both"/>
        <w:keepLines/>
        <w:keepNext/>
        <w:spacing w:beforeAutospacing="0" w:afterAutospacing="0"/>
        <w:rPr>
          <w:rFonts w:hint="eastAsia" w:ascii="宋体" w:hAnsi="宋体" w:eastAsia="宋体" w:cs="宋体"/>
          <w:color w:val="auto"/>
          <w:sz w:val="24"/>
          <w:szCs w:val="24"/>
          <w:highlight w:val="none"/>
        </w:rPr>
      </w:pPr>
      <w:r/>
      <w:bookmarkStart w:id="152" w:name="_Toc16938547"/>
      <w:r/>
      <w:bookmarkStart w:id="153" w:name="_Toc20823303"/>
      <w:r/>
      <w:bookmarkStart w:id="154" w:name="_Toc513029231"/>
      <w:r>
        <w:rPr>
          <w:rFonts w:hint="eastAsia" w:ascii="宋体" w:hAnsi="宋体" w:eastAsia="宋体" w:cs="宋体"/>
          <w:color w:val="auto"/>
          <w:sz w:val="24"/>
          <w:szCs w:val="24"/>
          <w:highlight w:val="none"/>
        </w:rPr>
        <w:t xml:space="preserve">22、评标委员会</w:t>
      </w:r>
      <w:bookmarkEnd w:id="152"/>
      <w:r/>
      <w:bookmarkEnd w:id="153"/>
      <w:r/>
      <w:bookmarkEnd w:id="154"/>
      <w:r/>
      <w:r/>
    </w:p>
    <w:p>
      <w:pPr>
        <w:pStyle w:val="648"/>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22.1开标后，采购中心将立即组织评标委员会（以下简称评委会）进行评标。</w:t>
      </w:r>
      <w:r/>
    </w:p>
    <w:p>
      <w:pPr>
        <w:pStyle w:val="648"/>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22.2评委会由采购人代表和有关技术、经济等方面的专家组成，且人员构成符合政府采购有关规定。</w:t>
      </w:r>
      <w:r/>
    </w:p>
    <w:p>
      <w:pPr>
        <w:pStyle w:val="648"/>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22.3评委会独立工作，负责评审所有投标文件并确定中标侯选人。</w:t>
      </w:r>
      <w:r/>
    </w:p>
    <w:p>
      <w:pPr>
        <w:pStyle w:val="648"/>
        <w:ind w:firstLine="42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23、评标过程的保密与公正</w:t>
      </w:r>
      <w:r/>
    </w:p>
    <w:p>
      <w:pPr>
        <w:pStyle w:val="64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23.1凡是与审查、澄清、评价和比较投标的有关资料以及授标建议等，采购人、评委、采购中心均不得向投标人或与评标无关的其他人员透露。</w:t>
      </w:r>
      <w:r/>
    </w:p>
    <w:p>
      <w:pPr>
        <w:pStyle w:val="64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23.2在评标过程中，投标人不得以任何行为影响评标过程，否则其投标文件将被作为无效投标文件。</w:t>
      </w:r>
      <w:r/>
    </w:p>
    <w:p>
      <w:pPr>
        <w:pStyle w:val="648"/>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23.</w:t>
      </w:r>
      <w:r>
        <w:rPr>
          <w:rFonts w:hint="eastAsia" w:ascii="宋体" w:hAnsi="宋体" w:eastAsia="宋体" w:cs="宋体"/>
          <w:color w:val="auto"/>
          <w:sz w:val="24"/>
          <w:szCs w:val="24"/>
          <w:highlight w:val="none"/>
        </w:rPr>
        <w:t xml:space="preserve">3采购中心和评标委员会不向未中标的投标人解释未中标原因，也不公布评标过程中的相关细节。</w:t>
      </w:r>
      <w:r/>
    </w:p>
    <w:p>
      <w:pPr>
        <w:pStyle w:val="648"/>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23.4采用综合评分法的项目，未中标的</w:t>
      </w:r>
      <w:r>
        <w:rPr>
          <w:rFonts w:hint="eastAsia" w:ascii="宋体" w:hAnsi="宋体" w:eastAsia="宋体" w:cs="宋体"/>
          <w:color w:val="000000"/>
          <w:sz w:val="24"/>
          <w:szCs w:val="24"/>
          <w:highlight w:val="none"/>
        </w:rPr>
        <w:t xml:space="preserve">投标人可于中标结果公告期限届满之日起通过苏采云系统查看自己的评审得分及排序情况。（提醒：经办人在“江苏政府采购网”查询到中标结果后，再点击推送。招标文件定稿后该提醒删除）</w:t>
      </w:r>
      <w:r/>
    </w:p>
    <w:p>
      <w:pPr>
        <w:pStyle w:val="648"/>
        <w:ind w:firstLine="420"/>
        <w:jc w:val="both"/>
        <w:keepLines/>
        <w:keepNext/>
        <w:spacing w:beforeAutospacing="0" w:afterAutospacing="0"/>
        <w:rPr>
          <w:rFonts w:hint="eastAsia" w:ascii="宋体" w:hAnsi="宋体" w:eastAsia="宋体" w:cs="宋体"/>
          <w:sz w:val="24"/>
          <w:szCs w:val="24"/>
          <w:highlight w:val="none"/>
        </w:rPr>
      </w:pPr>
      <w:r/>
      <w:bookmarkStart w:id="155" w:name="_Toc513029232"/>
      <w:r/>
      <w:bookmarkStart w:id="156" w:name="_Toc20823304"/>
      <w:r/>
      <w:bookmarkStart w:id="157" w:name="_Toc16938548"/>
      <w:r>
        <w:rPr>
          <w:rFonts w:hint="eastAsia" w:ascii="宋体" w:hAnsi="宋体" w:eastAsia="宋体" w:cs="宋体"/>
          <w:color w:val="000000"/>
          <w:sz w:val="24"/>
          <w:szCs w:val="24"/>
          <w:highlight w:val="none"/>
        </w:rPr>
        <w:t xml:space="preserve">24、投标文件的澄清</w:t>
      </w:r>
      <w:bookmarkEnd w:id="155"/>
      <w:r/>
      <w:bookmarkEnd w:id="156"/>
      <w:r/>
      <w:bookmarkEnd w:id="157"/>
      <w:r/>
      <w:r/>
    </w:p>
    <w:p>
      <w:pPr>
        <w:pStyle w:val="64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24.1评标期间，评委会对投标文件中含义不明确、同类问题表述不一致或者有明显文字和计算错误的内容 ，有权要求投标人作出必要的澄清、说明或者补正。</w:t>
      </w:r>
      <w:r/>
    </w:p>
    <w:p>
      <w:pPr>
        <w:pStyle w:val="648"/>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投标人的澄清、说明或者补正不得超出投标文件的范围或者改变投标文件的实质性内容。</w:t>
      </w:r>
      <w:r/>
    </w:p>
    <w:p>
      <w:pPr>
        <w:pStyle w:val="648"/>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pStyle w:val="64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w:t>
      </w:r>
      <w:r>
        <w:rPr>
          <w:rFonts w:hint="eastAsia" w:ascii="宋体" w:hAnsi="宋体" w:eastAsia="宋体" w:cs="宋体"/>
          <w:color w:val="000000"/>
          <w:sz w:val="24"/>
          <w:szCs w:val="24"/>
          <w:highlight w:val="none"/>
        </w:rPr>
        <w:t xml:space="preserve">投标文件的补充部分，具体操作方式见《操作手册》。</w:t>
      </w:r>
      <w:r/>
    </w:p>
    <w:p>
      <w:pPr>
        <w:pStyle w:val="648"/>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24.3接到评委会澄清、说明和补正要求的投标人如未按规定做出澄清、说明和补正，其风险由投标人自行承担。</w:t>
      </w:r>
      <w:r/>
    </w:p>
    <w:p>
      <w:pPr>
        <w:pStyle w:val="648"/>
        <w:ind w:firstLine="420"/>
        <w:jc w:val="both"/>
        <w:keepLines/>
        <w:keepNext/>
        <w:spacing w:beforeAutospacing="0" w:afterAutospacing="0"/>
        <w:rPr>
          <w:rFonts w:hint="eastAsia" w:ascii="宋体" w:hAnsi="宋体" w:eastAsia="宋体" w:cs="宋体"/>
          <w:sz w:val="24"/>
          <w:szCs w:val="24"/>
          <w:highlight w:val="none"/>
        </w:rPr>
      </w:pPr>
      <w:r/>
      <w:bookmarkStart w:id="158" w:name="_Toc20823305"/>
      <w:r/>
      <w:bookmarkStart w:id="159" w:name="_Toc16938549"/>
      <w:r/>
      <w:bookmarkStart w:id="160" w:name="_Toc513029233"/>
      <w:r>
        <w:rPr>
          <w:rFonts w:hint="eastAsia" w:ascii="宋体" w:hAnsi="宋体" w:eastAsia="宋体" w:cs="宋体"/>
          <w:color w:val="000000"/>
          <w:sz w:val="24"/>
          <w:szCs w:val="24"/>
          <w:highlight w:val="none"/>
        </w:rPr>
        <w:t xml:space="preserve">25、对投标文件的初审</w:t>
      </w:r>
      <w:bookmarkEnd w:id="158"/>
      <w:r/>
      <w:bookmarkEnd w:id="159"/>
      <w:r/>
      <w:bookmarkEnd w:id="160"/>
      <w:r/>
      <w:r/>
    </w:p>
    <w:p>
      <w:pPr>
        <w:pStyle w:val="64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25.1投标文件初审分为资格审查和符合性审查。</w:t>
      </w:r>
      <w:r/>
    </w:p>
    <w:p>
      <w:pPr>
        <w:pStyle w:val="64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25.1.1资格审查：依据法律法规和招标文件的规定，由采购人对投标文件中的资格证明文件进行审查。资格审查的结论，采购人以书面形式向评委会进行反馈。</w:t>
      </w:r>
      <w:r/>
    </w:p>
    <w:p>
      <w:pPr>
        <w:pStyle w:val="64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64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648"/>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pStyle w:val="64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25.1.3未通过资格审查或符合性审查的投标人，采购中心将在苏采云系统中告知未通过资格审查或符合性审查的原因，评标结束后，采购中心将不再告知</w:t>
      </w:r>
      <w:r>
        <w:rPr>
          <w:rFonts w:hint="eastAsia" w:ascii="宋体" w:hAnsi="宋体" w:eastAsia="宋体" w:cs="宋体"/>
          <w:color w:val="000000"/>
          <w:sz w:val="24"/>
          <w:szCs w:val="24"/>
          <w:highlight w:val="none"/>
        </w:rPr>
        <w:t xml:space="preserve">未通过资格审查和符合性审查的原因。</w:t>
      </w:r>
      <w:r/>
    </w:p>
    <w:p>
      <w:pPr>
        <w:pStyle w:val="64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64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4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25.3如果投标文件实质上没有响应招标文件的要求，评委会将予以拒绝，投标人不得通过修改或撤销不合要求的偏离或保留而使其投标成为实质性响应的投标。</w:t>
      </w:r>
      <w:r/>
    </w:p>
    <w:p>
      <w:pPr>
        <w:pStyle w:val="64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25.4评委会将对确定为实质性响应的投标进行进一步审核，确定其是否有计算上或累加上的算术错误，修正错误的原则如下：</w:t>
      </w:r>
      <w:r/>
    </w:p>
    <w:p>
      <w:pPr>
        <w:pStyle w:val="64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（1）投标文件中开标一览表内容与投标文件中相应内容不一致的，以开标一览表为准。</w:t>
      </w:r>
      <w:r/>
    </w:p>
    <w:p>
      <w:pPr>
        <w:pStyle w:val="64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（2）大写金额和小写金额不一致的，以大写金额为准。</w:t>
      </w:r>
      <w:r/>
    </w:p>
    <w:p>
      <w:pPr>
        <w:pStyle w:val="64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（3）单价金额小数点或者百分比有明显错位的，以开标一览表的总价为准，并修改单价。</w:t>
      </w:r>
      <w:r/>
    </w:p>
    <w:p>
      <w:pPr>
        <w:pStyle w:val="64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（4）总价金额与按单价汇总金额不一致的，以单价金额计算结果为准。</w:t>
      </w:r>
      <w:r/>
    </w:p>
    <w:p>
      <w:pPr>
        <w:pStyle w:val="648"/>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pStyle w:val="648"/>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648"/>
        <w:ind w:firstLine="420"/>
        <w:jc w:val="both"/>
        <w:spacing w:beforeAutospacing="0" w:afterAutospacing="0" w:line="0" w:lineRule="atLeast"/>
        <w:rPr>
          <w:rFonts w:hint="eastAsia" w:ascii="宋体" w:hAnsi="宋体" w:eastAsia="宋体" w:cs="宋体"/>
          <w:color w:val="auto"/>
          <w:sz w:val="24"/>
          <w:szCs w:val="24"/>
          <w:highlight w:val="none"/>
        </w:rPr>
      </w:pPr>
      <w:r/>
      <w:bookmarkStart w:id="161" w:name="_Toc513029234"/>
      <w:r/>
      <w:bookmarkStart w:id="162" w:name="_Toc16938550"/>
      <w:r/>
      <w:bookmarkStart w:id="163" w:name="_Toc20823306"/>
      <w:r>
        <w:rPr>
          <w:rFonts w:hint="eastAsia" w:ascii="宋体" w:hAnsi="宋体" w:eastAsia="宋体" w:cs="宋体"/>
          <w:color w:val="auto"/>
          <w:sz w:val="24"/>
          <w:szCs w:val="24"/>
          <w:highlight w:val="none"/>
        </w:rPr>
        <w:t xml:space="preserve">25.6投标人在开、评标全过程中应保持通讯畅通，及时登录苏采云系统查阅、答复相关信息，并安排专人与采购中心及评标委员会联系。</w:t>
      </w:r>
      <w:bookmarkEnd w:id="161"/>
      <w:r/>
      <w:bookmarkEnd w:id="162"/>
      <w:r/>
      <w:bookmarkEnd w:id="163"/>
      <w:r/>
      <w:r/>
    </w:p>
    <w:p>
      <w:pPr>
        <w:pStyle w:val="648"/>
        <w:ind w:firstLine="420"/>
        <w:jc w:val="both"/>
        <w:keepLines/>
        <w:keepNext/>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26、无效投标条款和废标条款</w:t>
      </w:r>
      <w:r/>
    </w:p>
    <w:p>
      <w:pPr>
        <w:pStyle w:val="648"/>
        <w:ind w:left="479"/>
        <w:jc w:val="both"/>
        <w:spacing w:beforeAutospacing="0" w:afterAutospacing="0" w:line="0" w:lineRule="atLeast"/>
        <w:rPr>
          <w:rFonts w:hint="eastAsia" w:ascii="宋体" w:hAnsi="宋体" w:eastAsia="宋体" w:cs="宋体"/>
          <w:color w:val="auto"/>
          <w:sz w:val="24"/>
          <w:szCs w:val="24"/>
          <w:highlight w:val="none"/>
        </w:rPr>
      </w:pPr>
      <w:r/>
      <w:bookmarkStart w:id="164" w:name="_Toc20823307"/>
      <w:r/>
      <w:bookmarkStart w:id="165" w:name="_Toc16938551"/>
      <w:r/>
      <w:bookmarkStart w:id="166" w:name="_Toc513029235"/>
      <w:r>
        <w:rPr>
          <w:rFonts w:hint="eastAsia" w:ascii="宋体" w:hAnsi="宋体" w:eastAsia="宋体" w:cs="宋体"/>
          <w:color w:val="auto"/>
          <w:sz w:val="24"/>
          <w:szCs w:val="24"/>
          <w:highlight w:val="none"/>
        </w:rPr>
        <w:t xml:space="preserve">26.1无效投标条款</w:t>
      </w:r>
      <w:bookmarkEnd w:id="164"/>
      <w:r/>
      <w:bookmarkEnd w:id="165"/>
      <w:r/>
      <w:bookmarkEnd w:id="166"/>
      <w:r/>
      <w:r/>
    </w:p>
    <w:p>
      <w:pPr>
        <w:pStyle w:val="648"/>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26.1.1投标人在苏采云系统规定的时间内未成功解密电子投标文件的。</w:t>
      </w:r>
      <w:r/>
    </w:p>
    <w:p>
      <w:pPr>
        <w:pStyle w:val="648"/>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26.1.2投标人未按照招标文件要求上传电子投标文件的。</w:t>
      </w:r>
      <w:r/>
    </w:p>
    <w:p>
      <w:pPr>
        <w:pStyle w:val="648"/>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26.1.3同一投标人提交两个（含两个）以上不同的投标报价的。</w:t>
      </w:r>
      <w:r/>
    </w:p>
    <w:p>
      <w:pPr>
        <w:pStyle w:val="648"/>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26.1.4投标人不具备招标文件中规定资格要求的。</w:t>
      </w:r>
      <w:r/>
    </w:p>
    <w:p>
      <w:pPr>
        <w:pStyle w:val="64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26.1.5投标人的报价超过了采购预算或最高限价的。</w:t>
      </w:r>
      <w:r/>
    </w:p>
    <w:p>
      <w:pPr>
        <w:pStyle w:val="64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26.1.6未通过符合性审查的。</w:t>
      </w:r>
      <w:r/>
    </w:p>
    <w:p>
      <w:pPr>
        <w:pStyle w:val="648"/>
        <w:ind w:firstLine="36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26.1.7不符合招标文件中规定的实质性要求和条件的（</w:t>
      </w:r>
      <w:r>
        <w:rPr>
          <w:rFonts w:hint="eastAsia" w:ascii="宋体" w:hAnsi="宋体" w:eastAsia="宋体" w:cs="宋体"/>
          <w:i/>
          <w:color w:val="000000"/>
          <w:sz w:val="24"/>
          <w:szCs w:val="24"/>
          <w:highlight w:val="none"/>
          <w:u w:val="single"/>
        </w:rPr>
        <w:t xml:space="preserve">本招标文件中斜体且有下划线部分为实质性要求和条件）。</w:t>
      </w:r>
      <w:r/>
    </w:p>
    <w:p>
      <w:pPr>
        <w:pStyle w:val="64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4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26.1.9投标文件含有采购人不能接受的附加条件的。</w:t>
      </w:r>
      <w:r/>
    </w:p>
    <w:p>
      <w:pPr>
        <w:pStyle w:val="648"/>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26.1.10评标委员会认为投标人的报价明显低于其他通过符合性审查投标人的报价，有可能影响产品质量或者不能诚信履约</w:t>
      </w:r>
      <w:r>
        <w:rPr>
          <w:rFonts w:hint="eastAsia" w:ascii="宋体" w:hAnsi="宋体" w:eastAsia="宋体" w:cs="宋体"/>
          <w:color w:val="auto"/>
          <w:sz w:val="24"/>
          <w:szCs w:val="24"/>
          <w:highlight w:val="none"/>
        </w:rPr>
        <w:t xml:space="preserve">的，将通过苏采云系统要求其在合理的时间内提供说明，必要时提交相关证明材料；投标人不能证明其报价合理性的，评标委员会应当将其作为无效投标处理。</w:t>
      </w:r>
      <w:r/>
    </w:p>
    <w:p>
      <w:pPr>
        <w:pStyle w:val="648"/>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26.1.11投标文件未按照招标文件要求加盖CA电子公章的。</w:t>
      </w:r>
      <w:r/>
    </w:p>
    <w:p>
      <w:pPr>
        <w:pStyle w:val="648"/>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26.1.12其他法律、法规及本招标文件规定的属无效投标的情形。</w:t>
      </w:r>
      <w:r/>
    </w:p>
    <w:p>
      <w:pPr>
        <w:pStyle w:val="648"/>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26.2废标条款</w:t>
      </w:r>
      <w:r/>
    </w:p>
    <w:p>
      <w:pPr>
        <w:pStyle w:val="648"/>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26.2.1符合专业条件的供应商或者对招标文件作实质响应的供应商不足三家的。</w:t>
      </w:r>
      <w:r/>
    </w:p>
    <w:p>
      <w:pPr>
        <w:pStyle w:val="648"/>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26.2.2出现影响采购公正的违法、违规行为的。</w:t>
      </w:r>
      <w:r/>
    </w:p>
    <w:p>
      <w:pPr>
        <w:pStyle w:val="648"/>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26.2.3因重大变故，采购任务取消的。</w:t>
      </w:r>
      <w:r/>
    </w:p>
    <w:p>
      <w:pPr>
        <w:pStyle w:val="648"/>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26.2.4评标委员会认定招标文件存在歧义、重大缺陷导致评审工作无法进行。</w:t>
      </w:r>
      <w:r/>
    </w:p>
    <w:p>
      <w:pPr>
        <w:pStyle w:val="648"/>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26.2.5因苏采云系统系统故障原因造成开标不成功的。</w:t>
      </w:r>
      <w:r/>
    </w:p>
    <w:p>
      <w:pPr>
        <w:pStyle w:val="648"/>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投标截止时间结束后参加投标的供应商不足三家的处理：</w:t>
      </w:r>
      <w:r/>
    </w:p>
    <w:p>
      <w:pPr>
        <w:pStyle w:val="64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648"/>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67" w:name="_Toc120614219"/>
      <w:r>
        <w:rPr>
          <w:rFonts w:hint="eastAsia" w:ascii="宋体" w:hAnsi="宋体" w:eastAsia="宋体" w:cs="宋体"/>
          <w:b/>
          <w:color w:val="000000"/>
          <w:sz w:val="24"/>
          <w:szCs w:val="24"/>
          <w:highlight w:val="none"/>
        </w:rPr>
        <w:t xml:space="preserve">六、定标</w:t>
      </w:r>
      <w:bookmarkEnd w:id="167"/>
      <w:r/>
      <w:r/>
    </w:p>
    <w:p>
      <w:pPr>
        <w:pStyle w:val="648"/>
        <w:ind w:firstLine="600"/>
        <w:jc w:val="both"/>
        <w:keepLines/>
        <w:keepNext/>
        <w:spacing w:beforeAutospacing="0" w:afterAutospacing="0"/>
        <w:rPr>
          <w:rFonts w:hint="eastAsia" w:ascii="宋体" w:hAnsi="宋体" w:eastAsia="宋体" w:cs="宋体"/>
          <w:sz w:val="24"/>
          <w:szCs w:val="24"/>
          <w:highlight w:val="none"/>
        </w:rPr>
      </w:pPr>
      <w:r/>
      <w:bookmarkStart w:id="168" w:name="_Toc20823310"/>
      <w:r/>
      <w:bookmarkStart w:id="169" w:name="_Toc513029238"/>
      <w:r/>
      <w:bookmarkStart w:id="170" w:name="_Toc16938554"/>
      <w:r>
        <w:rPr>
          <w:rFonts w:hint="eastAsia" w:ascii="宋体" w:hAnsi="宋体" w:eastAsia="宋体" w:cs="宋体"/>
          <w:color w:val="000000"/>
          <w:sz w:val="24"/>
          <w:szCs w:val="24"/>
          <w:highlight w:val="none"/>
        </w:rPr>
        <w:t xml:space="preserve">27、</w:t>
      </w:r>
      <w:bookmarkEnd w:id="168"/>
      <w:r>
        <w:rPr>
          <w:rFonts w:hint="eastAsia" w:ascii="宋体" w:hAnsi="宋体" w:eastAsia="宋体" w:cs="宋体"/>
          <w:color w:val="000000"/>
          <w:sz w:val="24"/>
          <w:szCs w:val="24"/>
          <w:highlight w:val="none"/>
        </w:rPr>
        <w:t xml:space="preserve">确定</w:t>
      </w:r>
      <w:bookmarkEnd w:id="169"/>
      <w:r/>
      <w:bookmarkEnd w:id="170"/>
      <w:r>
        <w:rPr>
          <w:rFonts w:hint="eastAsia" w:ascii="宋体" w:hAnsi="宋体" w:eastAsia="宋体" w:cs="宋体"/>
          <w:color w:val="000000"/>
          <w:sz w:val="24"/>
          <w:szCs w:val="24"/>
          <w:highlight w:val="none"/>
        </w:rPr>
        <w:t xml:space="preserve">中标单位</w:t>
      </w:r>
      <w:r/>
    </w:p>
    <w:p>
      <w:pPr>
        <w:pStyle w:val="64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27.1中标候选人的选取原则和数量见招标文件第五章规定。 </w:t>
      </w:r>
      <w:r/>
    </w:p>
    <w:p>
      <w:pPr>
        <w:pStyle w:val="64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27.2采购人应根据评委会推荐的中标候选人确定中标人。</w:t>
      </w:r>
      <w:r/>
    </w:p>
    <w:p>
      <w:pPr>
        <w:pStyle w:val="64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27.3采购中心将在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中国政府采购网”、</w:t>
      </w:r>
      <w:r>
        <w:rPr>
          <w:rFonts w:hint="eastAsia" w:ascii="宋体" w:hAnsi="宋体" w:eastAsia="宋体" w:cs="宋体"/>
          <w:color w:val="000000"/>
          <w:sz w:val="24"/>
          <w:szCs w:val="24"/>
          <w:highlight w:val="none"/>
        </w:rPr>
        <w:t xml:space="preserve">“江苏政府采购网”、“盐城市政府采购网”发布中标公告，公告期限为1个工作日。</w:t>
      </w:r>
      <w:r/>
    </w:p>
    <w:p>
      <w:pPr>
        <w:pStyle w:val="64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27.4若有充分证据证明，中标人出现下列情况之一的，一经查实，将被取消中标资格：</w:t>
      </w:r>
      <w:r/>
    </w:p>
    <w:p>
      <w:pPr>
        <w:pStyle w:val="64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27.4.1提供虚假材料谋取中标的。</w:t>
      </w:r>
      <w:r/>
    </w:p>
    <w:p>
      <w:pPr>
        <w:pStyle w:val="64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27.4.2向采购人、采购中心行贿或者提供其他不正当利益的。</w:t>
      </w:r>
      <w:r/>
    </w:p>
    <w:p>
      <w:pPr>
        <w:pStyle w:val="64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27.4.3属于本文件规定的无效条件，但在评标过程中又未被评委会发现的。</w:t>
      </w:r>
      <w:r/>
    </w:p>
    <w:p>
      <w:pPr>
        <w:pStyle w:val="64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27.4.4与采购人或者其他供应商恶意串通的。</w:t>
      </w:r>
      <w:r/>
    </w:p>
    <w:p>
      <w:pPr>
        <w:pStyle w:val="64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27.4.5采取不正当手段诋毁、排挤其他供应商的。</w:t>
      </w:r>
      <w:r/>
    </w:p>
    <w:p>
      <w:pPr>
        <w:pStyle w:val="648"/>
        <w:ind w:firstLine="480"/>
        <w:jc w:val="both"/>
        <w:spacing w:beforeAutospacing="0" w:afterAutospacing="0" w:line="0" w:lineRule="atLeast"/>
        <w:rPr>
          <w:rFonts w:hint="eastAsia" w:ascii="宋体" w:hAnsi="宋体" w:eastAsia="宋体" w:cs="宋体"/>
          <w:sz w:val="24"/>
          <w:szCs w:val="24"/>
          <w:highlight w:val="none"/>
        </w:rPr>
      </w:pPr>
      <w:r/>
      <w:bookmarkStart w:id="171" w:name="_Toc200451960"/>
      <w:r>
        <w:rPr>
          <w:rFonts w:hint="eastAsia" w:ascii="宋体" w:hAnsi="宋体" w:eastAsia="宋体" w:cs="宋体"/>
          <w:color w:val="000000"/>
          <w:sz w:val="24"/>
          <w:szCs w:val="24"/>
          <w:highlight w:val="none"/>
        </w:rPr>
        <w:t xml:space="preserve">27.5 有下列情形之一的，视为投标人串通投标，投标无效：</w:t>
      </w:r>
      <w:bookmarkEnd w:id="171"/>
      <w:r/>
      <w:r/>
    </w:p>
    <w:p>
      <w:pPr>
        <w:pStyle w:val="64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27.5.1不同投标人的投标文件由同一单位或者个人编制。</w:t>
      </w:r>
      <w:r/>
    </w:p>
    <w:p>
      <w:pPr>
        <w:pStyle w:val="64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27.5.2不同投标人委托同一单位或者个人办理投标事宜。</w:t>
      </w:r>
      <w:r/>
    </w:p>
    <w:p>
      <w:pPr>
        <w:pStyle w:val="64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27.5.3不同投标人的投标文件载明的项目管理成员或者联系人员为同一人。</w:t>
      </w:r>
      <w:r/>
    </w:p>
    <w:p>
      <w:pPr>
        <w:pStyle w:val="64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27.5.4不同投标人的投标文件异常一致或者投标报价呈规律性差异。</w:t>
      </w:r>
      <w:r/>
    </w:p>
    <w:p>
      <w:pPr>
        <w:pStyle w:val="648"/>
        <w:ind w:firstLine="60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28、质疑处理</w:t>
      </w:r>
      <w:r/>
    </w:p>
    <w:p>
      <w:pPr>
        <w:pStyle w:val="64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28.1提出质疑的供应商应当是参与所质疑项目采购活动的供应商。潜在供应商依法获取其可质疑的采购文件的，可以对采购文件提出质疑。</w:t>
      </w:r>
      <w:r/>
    </w:p>
    <w:p>
      <w:pPr>
        <w:pStyle w:val="64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64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28.2.1对可以质疑的采购文件提出质疑的，为收到采购文件之日或者采购文件公告期限届满之日；</w:t>
      </w:r>
      <w:r/>
    </w:p>
    <w:p>
      <w:pPr>
        <w:pStyle w:val="64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28.2.2对采购过程提出质疑的，为各采购程序环节结束之日；</w:t>
      </w:r>
      <w:r/>
    </w:p>
    <w:p>
      <w:pPr>
        <w:pStyle w:val="64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28.2.3对中标或者成交结果提出质疑的，为中标或者成交结果公告期限届满之日。</w:t>
      </w:r>
      <w:r/>
    </w:p>
    <w:p>
      <w:pPr>
        <w:pStyle w:val="64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64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648"/>
        <w:ind w:firstLine="482"/>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w:t>
      </w:r>
      <w:r>
        <w:rPr>
          <w:rFonts w:hint="eastAsia" w:ascii="宋体" w:hAnsi="宋体" w:eastAsia="宋体" w:cs="宋体"/>
          <w:color w:val="000000" w:themeColor="text1"/>
          <w:sz w:val="24"/>
          <w:szCs w:val="24"/>
          <w:highlight w:val="none"/>
          <w14:textFill>
            <w14:solidFill>
              <w14:schemeClr w14:val="tx1"/>
            </w14:solidFill>
          </w14:textFill>
        </w:rPr>
        <w:t xml:space="preserve">供应商（含潜在供应商）对采购方式、采购需求、供应商资格条件及审查结果、评标方法和评标标准、合同文本的询问、质疑请向采购人提出，由采购人负责答复。</w:t>
      </w:r>
      <w:r>
        <w:rPr>
          <w:rFonts w:hint="eastAsia" w:ascii="宋体" w:hAnsi="宋体" w:eastAsia="宋体" w:cs="宋体"/>
          <w:color w:val="000000"/>
          <w:sz w:val="24"/>
          <w:szCs w:val="24"/>
          <w:highlight w:val="none"/>
        </w:rPr>
        <w:t xml:space="preserve">供应商对除上述事项以外其他事项的询问、质疑请向采购中心提出，由采购中心负责答复。</w:t>
      </w:r>
      <w:r/>
    </w:p>
    <w:p>
      <w:pPr>
        <w:ind w:firstLine="480"/>
        <w:jc w:val="left"/>
        <w:tabs>
          <w:tab w:val="left" w:pos="133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购中心及采购人只接收以纸质原件形式送达的质疑,采购人和采购中心不接受未填写快递运单的快件。质疑接收部门为公共资源交易中心业务受理处，联系地址：盐城市府西路1号市公共资源交易中心522，联系电话：0515-86665052。</w:t>
      </w:r>
      <w:r/>
    </w:p>
    <w:p>
      <w:pPr>
        <w:pStyle w:val="64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 以下情形的质疑不予受理</w:t>
      </w:r>
      <w:r/>
    </w:p>
    <w:p>
      <w:pPr>
        <w:pStyle w:val="64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28.5.1内容不符合《政府采购质疑和投诉办法》第十二条规定的质疑。</w:t>
      </w:r>
      <w:r/>
    </w:p>
    <w:p>
      <w:pPr>
        <w:pStyle w:val="64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28.5.2超出政府采购法定期限的质疑。</w:t>
      </w:r>
      <w:r/>
    </w:p>
    <w:p>
      <w:pPr>
        <w:pStyle w:val="64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28.5.3以传真、电子邮件等方式递交的非原件形式的质疑。</w:t>
      </w:r>
      <w:r/>
    </w:p>
    <w:p>
      <w:pPr>
        <w:pStyle w:val="64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28.5.4未参加投标活动的供应商或在投标活动中自身权益未受到损害的供应商所提出的质疑。</w:t>
      </w:r>
      <w:r/>
    </w:p>
    <w:p>
      <w:pPr>
        <w:pStyle w:val="64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28.5.5供应商组成联合体参加投标，联合体中任何一方或多方未按要求签字、盖章、加盖公章的质疑。</w:t>
      </w:r>
      <w:r/>
    </w:p>
    <w:p>
      <w:pPr>
        <w:pStyle w:val="648"/>
        <w:ind w:firstLine="468"/>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648"/>
        <w:ind w:firstLine="60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29、中标通知书</w:t>
      </w:r>
      <w:r/>
    </w:p>
    <w:p>
      <w:pPr>
        <w:pStyle w:val="648"/>
        <w:ind w:firstLine="60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29.l中标结果确定后，采购中心将向中标人发</w:t>
      </w:r>
      <w:r>
        <w:rPr>
          <w:rFonts w:hint="eastAsia" w:ascii="宋体" w:hAnsi="宋体" w:eastAsia="宋体" w:cs="宋体"/>
          <w:color w:val="auto"/>
          <w:sz w:val="24"/>
          <w:szCs w:val="24"/>
          <w:highlight w:val="none"/>
        </w:rPr>
        <w:t xml:space="preserve">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648"/>
        <w:ind w:firstLine="60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w:t>
      </w:r>
      <w:r>
        <w:rPr>
          <w:rFonts w:hint="eastAsia" w:ascii="宋体" w:hAnsi="宋体" w:eastAsia="宋体" w:cs="宋体"/>
          <w:color w:val="000000"/>
          <w:sz w:val="24"/>
          <w:szCs w:val="24"/>
          <w:highlight w:val="none"/>
        </w:rPr>
        <w:t xml:space="preserve">效力。中标通知书发出后，采购人改变中标结果的，或者中标人放弃中标项目的，应当依法承担法律责任。</w:t>
      </w:r>
      <w:r/>
    </w:p>
    <w:p>
      <w:pPr>
        <w:pStyle w:val="648"/>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72" w:name="_Toc20823308"/>
      <w:r/>
      <w:bookmarkStart w:id="173" w:name="_Toc120614220"/>
      <w:r/>
      <w:bookmarkStart w:id="174" w:name="_Toc513029236"/>
      <w:r/>
      <w:bookmarkStart w:id="175" w:name="_Toc16938552"/>
      <w:r>
        <w:rPr>
          <w:rFonts w:hint="eastAsia" w:ascii="宋体" w:hAnsi="宋体" w:eastAsia="宋体" w:cs="宋体"/>
          <w:b/>
          <w:color w:val="000000"/>
          <w:sz w:val="24"/>
          <w:szCs w:val="24"/>
          <w:highlight w:val="none"/>
        </w:rPr>
        <w:t xml:space="preserve">七、授予合同</w:t>
      </w:r>
      <w:bookmarkEnd w:id="172"/>
      <w:r/>
      <w:bookmarkEnd w:id="173"/>
      <w:r/>
      <w:bookmarkEnd w:id="174"/>
      <w:r/>
      <w:bookmarkEnd w:id="175"/>
      <w:r/>
      <w:r/>
    </w:p>
    <w:p>
      <w:pPr>
        <w:pStyle w:val="648"/>
        <w:ind w:firstLine="600"/>
        <w:jc w:val="both"/>
        <w:keepLines/>
        <w:keepNext/>
        <w:spacing w:beforeAutospacing="0" w:afterAutospacing="0"/>
        <w:rPr>
          <w:rFonts w:hint="eastAsia" w:ascii="宋体" w:hAnsi="宋体" w:eastAsia="宋体" w:cs="宋体"/>
          <w:sz w:val="24"/>
          <w:szCs w:val="24"/>
          <w:highlight w:val="none"/>
        </w:rPr>
      </w:pPr>
      <w:r/>
      <w:bookmarkStart w:id="176" w:name="_Toc513029237"/>
      <w:r/>
      <w:bookmarkStart w:id="177" w:name="_Toc20823309"/>
      <w:r/>
      <w:bookmarkStart w:id="178" w:name="_Toc16938553"/>
      <w:r>
        <w:rPr>
          <w:rFonts w:hint="eastAsia" w:ascii="宋体" w:hAnsi="宋体" w:eastAsia="宋体" w:cs="宋体"/>
          <w:color w:val="000000"/>
          <w:sz w:val="24"/>
          <w:szCs w:val="24"/>
          <w:highlight w:val="none"/>
        </w:rPr>
        <w:t xml:space="preserve">30.签订合同</w:t>
      </w:r>
      <w:bookmarkEnd w:id="176"/>
      <w:r/>
      <w:bookmarkEnd w:id="177"/>
      <w:r/>
      <w:bookmarkEnd w:id="178"/>
      <w:r/>
      <w:r/>
    </w:p>
    <w:p>
      <w:pPr>
        <w:pStyle w:val="648"/>
        <w:ind w:firstLine="60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30.l中标人应当在中标通知书发出之日起三十日内，按照招标文件确定的事项与采购人签订政府采购合同。</w:t>
      </w:r>
      <w:r/>
    </w:p>
    <w:p>
      <w:pPr>
        <w:pStyle w:val="648"/>
        <w:ind w:firstLine="60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30.2招标文件、中标人的投标文件及招标过程中有关澄清、承诺文件均应作为合同附件。</w:t>
      </w:r>
      <w:r/>
    </w:p>
    <w:p>
      <w:pPr>
        <w:pStyle w:val="648"/>
        <w:ind w:firstLine="60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30.3签订合同后，</w:t>
      </w:r>
      <w:r>
        <w:rPr>
          <w:rFonts w:hint="eastAsia" w:ascii="宋体" w:hAnsi="宋体" w:eastAsia="宋体" w:cs="宋体"/>
          <w:i/>
          <w:color w:val="000000"/>
          <w:sz w:val="24"/>
          <w:szCs w:val="24"/>
          <w:highlight w:val="none"/>
          <w:u w:val="single"/>
        </w:rPr>
        <w:t xml:space="preserve">中标人不得将合同标的进行转包</w:t>
      </w:r>
      <w:r>
        <w:rPr>
          <w:rFonts w:hint="eastAsia" w:ascii="宋体" w:hAnsi="宋体" w:eastAsia="宋体" w:cs="宋体"/>
          <w:color w:val="000000"/>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648"/>
        <w:ind w:firstLine="60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（备注：项目经办人在发标前应与采购人商定是否允许中标人分包履行合同，确定后该备注删除）</w:t>
      </w:r>
      <w:r/>
    </w:p>
    <w:p>
      <w:pPr>
        <w:pStyle w:val="648"/>
        <w:ind w:firstLine="60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31、服务（包含与服务相关的货物）的追加</w:t>
      </w:r>
      <w:r/>
    </w:p>
    <w:p>
      <w:pPr>
        <w:pStyle w:val="64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648"/>
        <w:ind w:firstLine="600"/>
        <w:jc w:val="both"/>
        <w:keepLines/>
        <w:keepNext/>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32.政府采购政策功能落实</w:t>
      </w:r>
      <w:r/>
    </w:p>
    <w:p>
      <w:pPr>
        <w:pStyle w:val="648"/>
        <w:ind w:firstLine="600"/>
        <w:jc w:val="both"/>
        <w:keepLines/>
        <w:keepNext/>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32.1</w:t>
      </w:r>
      <w:r>
        <w:rPr>
          <w:rFonts w:hint="eastAsia" w:ascii="宋体" w:hAnsi="宋体" w:eastAsia="宋体" w:cs="宋体"/>
          <w:color w:val="000000"/>
          <w:sz w:val="24"/>
          <w:szCs w:val="24"/>
          <w:highlight w:val="none"/>
        </w:rPr>
        <w:t xml:space="preserve">政府采购</w:t>
      </w:r>
      <w:r>
        <w:rPr>
          <w:rFonts w:hint="eastAsia" w:ascii="宋体" w:hAnsi="宋体" w:eastAsia="宋体" w:cs="宋体"/>
          <w:color w:val="000000"/>
          <w:sz w:val="24"/>
          <w:szCs w:val="24"/>
          <w:highlight w:val="none"/>
          <w:lang w:eastAsia="zh-CN"/>
        </w:rPr>
        <w:t xml:space="preserve">线上合同信用融资</w:t>
      </w:r>
      <w:r>
        <w:rPr>
          <w:rFonts w:hint="eastAsia" w:ascii="宋体" w:hAnsi="宋体" w:eastAsia="宋体" w:cs="宋体"/>
          <w:color w:val="000000"/>
          <w:sz w:val="24"/>
          <w:szCs w:val="24"/>
          <w:highlight w:val="none"/>
        </w:rPr>
        <w:t xml:space="preserve">政策</w:t>
      </w:r>
      <w:r/>
    </w:p>
    <w:p>
      <w:pPr>
        <w:pStyle w:val="648"/>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000000"/>
          <w:sz w:val="24"/>
          <w:szCs w:val="24"/>
          <w:highlight w:val="none"/>
          <w:lang w:val="en-US" w:eastAsia="zh-CN"/>
        </w:rPr>
        <w:t xml:space="preserve">江苏</w:t>
      </w:r>
      <w:r>
        <w:rPr>
          <w:rFonts w:hint="eastAsia" w:ascii="宋体" w:hAnsi="宋体" w:eastAsia="宋体" w:cs="宋体"/>
          <w:color w:val="000000"/>
          <w:sz w:val="24"/>
          <w:szCs w:val="24"/>
          <w:highlight w:val="none"/>
        </w:rPr>
        <w:t xml:space="preserve">政府采购网“政采贷”栏目）申请贷款，相关金融机构按照双方自愿的原则提供便捷、优惠的贷款服务；具体操作流程请参考苏采云系统中操作手册。 </w:t>
      </w:r>
      <w:r/>
    </w:p>
    <w:p>
      <w:pPr>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32.2进口产品</w:t>
      </w:r>
      <w:r/>
    </w:p>
    <w:p>
      <w:pPr>
        <w:pStyle w:val="648"/>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进口产品</w:t>
      </w:r>
      <w:r>
        <w:rPr>
          <w:rFonts w:hint="eastAsia" w:ascii="宋体" w:hAnsi="宋体" w:eastAsia="宋体" w:cs="宋体"/>
          <w:color w:val="000000"/>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32.3中小企业、监狱企业及残疾人福利性单位</w:t>
      </w:r>
      <w:r/>
    </w:p>
    <w:p>
      <w:pPr>
        <w:pStyle w:val="648"/>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32.3.1中小企业定义：</w:t>
      </w:r>
      <w:r/>
    </w:p>
    <w:p>
      <w:pPr>
        <w:pStyle w:val="648"/>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中小企业是</w:t>
      </w:r>
      <w:r>
        <w:rPr>
          <w:rFonts w:hint="eastAsia" w:ascii="宋体" w:hAnsi="宋体" w:eastAsia="宋体" w:cs="宋体"/>
          <w:color w:val="000000"/>
          <w:sz w:val="24"/>
          <w:szCs w:val="24"/>
          <w:highlight w:val="none"/>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48"/>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32.3.2供应商提供的货物、工程或者服务符合下列情形的，享受中小企业扶持政策：</w:t>
      </w:r>
      <w:r/>
    </w:p>
    <w:p>
      <w:pPr>
        <w:pStyle w:val="648"/>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32.3.2.1在货物采购项目中，货物由中小企业制造，即货物由中小企业生产且使用该中小企业商号或者注册商标；</w:t>
      </w:r>
      <w:r/>
    </w:p>
    <w:p>
      <w:pPr>
        <w:pStyle w:val="648"/>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32.3.2.2在工程采购项目中，工程由中小企业承建，即工程施工单位为中小企业；</w:t>
      </w:r>
      <w:r/>
    </w:p>
    <w:p>
      <w:pPr>
        <w:pStyle w:val="648"/>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32.3.2.3在服务采购项目中，服务由中小企业承接，即提供服务的人员为中小企业依照《中华人民共和国劳动合同法》订立劳动合同的从业人员。</w:t>
      </w:r>
      <w:r/>
    </w:p>
    <w:p>
      <w:pPr>
        <w:pStyle w:val="648"/>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32.3.3在货物采购项目中，供应商提供的货物既有中小企业制造货物，也有大型企业制造货物的，不享受中小企业扶持政策。</w:t>
      </w:r>
      <w:r/>
    </w:p>
    <w:p>
      <w:pPr>
        <w:pStyle w:val="648"/>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32.3.4以联合体形式参加政府采购活动，联合体各方均为中小企业的，联合体视同中小企业。其中，联合体各方均为小微企业的，联合体视同小微企业。</w:t>
      </w:r>
      <w:r/>
    </w:p>
    <w:p>
      <w:pPr>
        <w:pStyle w:val="648"/>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48"/>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32.3.6残疾人福利单位定义：享受政府采购支持政策的残疾人福利性单位应当同时满足以下条件：</w:t>
      </w:r>
      <w:r/>
    </w:p>
    <w:p>
      <w:pPr>
        <w:pStyle w:val="648"/>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32.3.6.1安置的残疾人占本单位在职职工人数的比例不低于25%（含25%），并且安置的残疾人人数不少于10 人（含10 人）；</w:t>
      </w:r>
      <w:r/>
    </w:p>
    <w:p>
      <w:pPr>
        <w:pStyle w:val="648"/>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32.3.6.2依法与安置的每位残疾人签订了一年以上（含一年）的劳动合同或服务协议；</w:t>
      </w:r>
      <w:r/>
    </w:p>
    <w:p>
      <w:pPr>
        <w:pStyle w:val="648"/>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32.3.6.3为安置的每位残疾人按月足额缴纳了基本养老保险、基本医疗保险、失业保险、工伤保险和生育保险等社会保险费；</w:t>
      </w:r>
      <w:r/>
    </w:p>
    <w:p>
      <w:pPr>
        <w:pStyle w:val="648"/>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32.3.6.4通过银行等金融机构向安置的每位残疾人，按月支付了不低于单位所在区县适用的经省级人民政府批准的月最低工资标准的工资；</w:t>
      </w:r>
      <w:r/>
    </w:p>
    <w:p>
      <w:pPr>
        <w:pStyle w:val="648"/>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32.3.6.5提供本单位制造的货物、承担的工程或者服务（以下简称产品），或者提供其他残疾人福利性单位制造的货物（不包括使用非残疾人福利性单位注册商标的货物）；</w:t>
      </w:r>
      <w:r/>
    </w:p>
    <w:p>
      <w:pPr>
        <w:pStyle w:val="648"/>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48"/>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32.3.7本项目是否专门面向中小企业预留采购份额见第一章《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000000"/>
          <w:sz w:val="24"/>
          <w:szCs w:val="24"/>
          <w:highlight w:val="none"/>
          <w:lang w:val="en-US" w:eastAsia="zh-CN"/>
        </w:rPr>
        <w:t xml:space="preserve">》。</w:t>
      </w:r>
      <w:r/>
    </w:p>
    <w:p>
      <w:pPr>
        <w:pStyle w:val="648"/>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32.3.8采购标的对应的中小企业划分标准所属行业见第四章《采购需求》。</w:t>
      </w:r>
      <w:r/>
    </w:p>
    <w:p>
      <w:pPr>
        <w:pStyle w:val="648"/>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32.3.9小微企业价格评审优惠的政策：见第五章《评标方法和评标标准》。</w:t>
      </w:r>
      <w:r/>
    </w:p>
    <w:p>
      <w:pPr>
        <w:pStyle w:val="648"/>
        <w:ind w:firstLine="600"/>
        <w:jc w:val="both"/>
        <w:keepLines/>
        <w:keepNext/>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32.4政府采购节能产品、环境标志产品</w:t>
      </w:r>
      <w:r/>
    </w:p>
    <w:p>
      <w:pPr>
        <w:pStyle w:val="648"/>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32.4.1严格执行政府采购关于支持</w:t>
      </w:r>
      <w:r>
        <w:rPr>
          <w:rFonts w:hint="eastAsia" w:ascii="宋体" w:hAnsi="宋体" w:eastAsia="宋体" w:cs="宋体"/>
          <w:color w:val="000000"/>
          <w:sz w:val="24"/>
          <w:szCs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648"/>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648"/>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32.5绿色包装</w:t>
      </w:r>
      <w:r/>
    </w:p>
    <w:p>
      <w:pPr>
        <w:pStyle w:val="648"/>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32.6政府采购创新产品</w:t>
      </w:r>
      <w:r/>
    </w:p>
    <w:p>
      <w:pPr>
        <w:pStyle w:val="648"/>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采购人优先采购各级政府部门公开发布的有效期内的创新产品、创新服务、首台套、首购首用等《目录》的创新产品。</w:t>
      </w:r>
      <w:r/>
    </w:p>
    <w:p>
      <w:pPr>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32.7绿色数据中心政策 </w:t>
      </w:r>
      <w:r/>
    </w:p>
    <w:p>
      <w:pPr>
        <w:pStyle w:val="648"/>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000000"/>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32.8履约保证金政策</w:t>
      </w:r>
      <w:r/>
    </w:p>
    <w:p>
      <w:pPr>
        <w:pStyle w:val="648"/>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确需收取履约保证金的，履约保证金的缴纳形式：</w:t>
      </w:r>
      <w:r/>
    </w:p>
    <w:p>
      <w:pPr>
        <w:pStyle w:val="648"/>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648"/>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如以履约保函（保险）形式缴纳履约保证金，供应商可通过政府采购电子履约保函（保险）平台（www.jsdzbh.com）在线申请履约保函（保险）。</w:t>
      </w:r>
      <w:r/>
    </w:p>
    <w:p>
      <w:pPr>
        <w:pStyle w:val="648"/>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648"/>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 预付款制度</w:t>
      </w:r>
      <w:r/>
    </w:p>
    <w:p>
      <w:pPr>
        <w:pStyle w:val="648"/>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本项目落实预付款制度，预付款比例</w:t>
      </w:r>
      <w:r>
        <w:rPr>
          <w:rFonts w:hint="eastAsia" w:ascii="宋体" w:hAnsi="宋体" w:eastAsia="宋体" w:cs="宋体"/>
          <w:color w:val="000000"/>
          <w:sz w:val="24"/>
          <w:szCs w:val="24"/>
          <w:highlight w:val="yellow"/>
          <w:lang w:val="en-US" w:eastAsia="zh-CN"/>
        </w:rPr>
        <w:t xml:space="preserve">为30%</w:t>
      </w:r>
      <w:r>
        <w:rPr>
          <w:rFonts w:hint="eastAsia" w:ascii="宋体" w:hAnsi="宋体" w:eastAsia="宋体" w:cs="宋体"/>
          <w:color w:val="000000"/>
          <w:sz w:val="24"/>
          <w:szCs w:val="24"/>
          <w:highlight w:val="none"/>
          <w:lang w:val="en-US" w:eastAsia="zh-CN"/>
        </w:rPr>
        <w:t xml:space="preserve">。在签订合同时，中标、成交供应商明确书面表示无需预付款或者主动要求降低预付款比例的，采购人可就预付款比例作相应调整。</w:t>
      </w:r>
      <w:r/>
    </w:p>
    <w:p>
      <w:pPr>
        <w:ind w:firstLine="482"/>
        <w:spacing w:line="500" w:lineRule="exact"/>
        <w:rPr>
          <w:rFonts w:ascii="宋体" w:hAnsi="宋体" w:cs="宋体"/>
          <w:b/>
          <w:sz w:val="24"/>
        </w:rPr>
      </w:pPr>
      <w:r>
        <w:rPr>
          <w:rFonts w:hint="eastAsia" w:ascii="宋体" w:hAnsi="宋体" w:cs="宋体"/>
          <w:b/>
          <w:sz w:val="24"/>
        </w:rPr>
        <w:t xml:space="preserve">十、招标代理服务费</w:t>
      </w:r>
      <w:r/>
    </w:p>
    <w:p>
      <w:pPr>
        <w:pStyle w:val="648"/>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34.1 投标人应自行承担所有与参加投标有关的费用，无论投标过程中的做法和结果如何，盐城立信造价工程量事务所有限公司（以下简称代理机构）在任何情况下均无义务和责任承担这些费用。</w:t>
      </w:r>
      <w:r/>
    </w:p>
    <w:p>
      <w:pPr>
        <w:pStyle w:val="648"/>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34.2 本项目招标代理费8000元，中标后由采购包1中标人承担5300元，采购包2中标人承担2700元，专家评审费按际发生费用按代理费用比列分摊，以上费用不单独立项，含在报价中，招标完成后，由成交供应商在领取中标通知书前一次性向代理机构支付。</w:t>
      </w:r>
      <w:r/>
    </w:p>
    <w:p>
      <w:pPr>
        <w:pStyle w:val="648"/>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48"/>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48"/>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48"/>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48"/>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48"/>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48"/>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48"/>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48"/>
        <w:jc w:val="center"/>
        <w:keepNext/>
        <w:spacing w:beforeAutospacing="0" w:afterAutospacing="0"/>
        <w:rPr>
          <w:rFonts w:ascii="黑体" w:hAnsi="宋体" w:eastAsia="黑体" w:cs="黑体"/>
          <w:color w:val="000000"/>
          <w:sz w:val="44"/>
          <w:szCs w:val="44"/>
          <w:highlight w:val="none"/>
        </w:rPr>
      </w:pPr>
      <w:r>
        <w:rPr>
          <w:rFonts w:ascii="黑体" w:hAnsi="宋体" w:eastAsia="黑体" w:cs="黑体"/>
          <w:color w:val="000000"/>
          <w:sz w:val="44"/>
          <w:szCs w:val="44"/>
          <w:highlight w:val="none"/>
        </w:rPr>
      </w:r>
      <w:r/>
    </w:p>
    <w:p>
      <w:pP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br w:type="page" w:clear="all"/>
      </w:r>
      <w:r/>
    </w:p>
    <w:p>
      <w:pPr>
        <w:jc w:val="center"/>
        <w:keepLines w:val="0"/>
        <w:keepNext w:val="0"/>
        <w:pageBreakBefore w:val="0"/>
        <w:spacing w:line="500" w:lineRule="exact"/>
        <w:widowControl w:val="off"/>
        <w:rPr>
          <w:sz w:val="24"/>
          <w:szCs w:val="24"/>
          <w:highlight w:val="none"/>
        </w:rPr>
        <w:outlineLvl w:val="0"/>
      </w:pPr>
      <w:r/>
      <w:bookmarkStart w:id="179" w:name="_Toc15611"/>
      <w:r>
        <w:rPr>
          <w:rFonts w:hint="eastAsia" w:ascii="黑体" w:hAnsi="宋体" w:eastAsia="黑体" w:cs="黑体"/>
          <w:color w:val="000000"/>
          <w:sz w:val="24"/>
          <w:szCs w:val="24"/>
          <w:highlight w:val="none"/>
        </w:rPr>
        <w:t xml:space="preserve">第三章  合同文本</w:t>
      </w:r>
      <w:bookmarkEnd w:id="179"/>
      <w:r/>
      <w:r/>
    </w:p>
    <w:p>
      <w:pPr>
        <w:pStyle w:val="648"/>
        <w:ind w:firstLine="480"/>
        <w:jc w:val="both"/>
        <w:keepLines w:val="0"/>
        <w:keepNext w:val="0"/>
        <w:pageBreakBefore w:val="0"/>
        <w:spacing w:beforeAutospacing="0" w:afterAutospacing="0" w:line="500" w:lineRule="exact"/>
        <w:widowControl w:val="off"/>
        <w:rPr>
          <w:sz w:val="24"/>
          <w:szCs w:val="24"/>
          <w:highlight w:val="none"/>
        </w:rPr>
      </w:pPr>
      <w:r/>
      <w:bookmarkStart w:id="180" w:name="_Toc20823315"/>
      <w:r/>
      <w:bookmarkStart w:id="181" w:name="_Toc513029243"/>
      <w:r/>
      <w:bookmarkStart w:id="182" w:name="_Toc16938559"/>
      <w:r>
        <w:rPr>
          <w:rFonts w:hint="eastAsia" w:ascii="宋体" w:hAnsi="宋体" w:eastAsia="宋体" w:cs="宋体"/>
          <w:color w:val="000000"/>
          <w:sz w:val="24"/>
          <w:szCs w:val="24"/>
          <w:highlight w:val="none"/>
        </w:rPr>
        <w:t xml:space="preserve">以下为中标后签定本项目合同的通用条款，中标人不得提出实质性的修改。</w:t>
      </w:r>
      <w:bookmarkEnd w:id="180"/>
      <w:r/>
      <w:bookmarkEnd w:id="181"/>
      <w:r/>
      <w:bookmarkEnd w:id="182"/>
      <w:r/>
      <w:r/>
    </w:p>
    <w:p>
      <w:pPr>
        <w:pStyle w:val="648"/>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备注：请项目经办人提醒采购人按照《政府采购需求管理办法》第二十三条的规定完善合同文本。招标文件定稿后该备注删除。</w:t>
      </w:r>
      <w:r/>
    </w:p>
    <w:p>
      <w:pPr>
        <w:pStyle w:val="648"/>
        <w:jc w:val="center"/>
        <w:keepLines w:val="0"/>
        <w:keepNext w:val="0"/>
        <w:pageBreakBefore w:val="0"/>
        <w:spacing w:before="145" w:beforeAutospacing="0" w:after="145" w:afterAutospacing="0" w:line="500" w:lineRule="exact"/>
        <w:widowControl w:val="off"/>
        <w:rPr>
          <w:sz w:val="24"/>
          <w:szCs w:val="24"/>
          <w:highlight w:val="none"/>
        </w:rPr>
      </w:pPr>
      <w:r>
        <w:rPr>
          <w:sz w:val="24"/>
          <w:szCs w:val="24"/>
          <w:highlight w:val="none"/>
        </w:rPr>
        <w:t xml:space="preserve"> </w:t>
      </w:r>
      <w:r/>
    </w:p>
    <w:p>
      <w:pPr>
        <w:pStyle w:val="648"/>
        <w:jc w:val="center"/>
        <w:keepLines w:val="0"/>
        <w:keepNext w:val="0"/>
        <w:pageBreakBefore w:val="0"/>
        <w:spacing w:before="145" w:beforeAutospacing="0" w:after="145"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盐城市政府采购合同（服务）（合同编号）</w:t>
      </w:r>
      <w:r/>
    </w:p>
    <w:p>
      <w:pPr>
        <w:pStyle w:val="648"/>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p>
    <w:p>
      <w:pPr>
        <w:pStyle w:val="648"/>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项目编号：</w:t>
      </w:r>
      <w:r/>
    </w:p>
    <w:p>
      <w:pPr>
        <w:pStyle w:val="648"/>
        <w:jc w:val="both"/>
        <w:keepLines w:val="0"/>
        <w:keepNext w:val="0"/>
        <w:pageBreakBefore w:val="0"/>
        <w:spacing w:before="120" w:beforeAutospacing="0" w:after="120" w:afterAutospacing="0" w:line="500" w:lineRule="exact"/>
        <w:widowControl w:val="off"/>
        <w:rPr>
          <w:rFonts w:hint="eastAsia" w:eastAsia="宋体"/>
          <w:sz w:val="24"/>
          <w:szCs w:val="24"/>
          <w:highlight w:val="none"/>
          <w:lang w:eastAsia="zh-CN"/>
        </w:rPr>
      </w:pPr>
      <w:r>
        <w:rPr>
          <w:rFonts w:hint="eastAsia" w:ascii="宋体" w:hAnsi="宋体" w:eastAsia="宋体" w:cs="宋体"/>
          <w:color w:val="000000"/>
          <w:sz w:val="24"/>
          <w:szCs w:val="24"/>
          <w:highlight w:val="none"/>
        </w:rPr>
        <w:t xml:space="preserve">甲方：（买方）</w:t>
      </w:r>
      <w:r>
        <w:rPr>
          <w:rFonts w:hint="eastAsia" w:ascii="宋体" w:hAnsi="宋体" w:eastAsia="宋体" w:cs="宋体"/>
          <w:color w:val="000000"/>
          <w:sz w:val="24"/>
          <w:szCs w:val="24"/>
          <w:highlight w:val="none"/>
          <w:lang w:eastAsia="zh-CN"/>
        </w:rPr>
        <w:t xml:space="preserve">盐城市盐都区农业农村局</w:t>
      </w:r>
      <w:r/>
    </w:p>
    <w:p>
      <w:pPr>
        <w:pStyle w:val="648"/>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乙方：（卖方）_________</w:t>
      </w:r>
      <w:r/>
    </w:p>
    <w:p>
      <w:pPr>
        <w:pStyle w:val="648"/>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甲、乙双方根据盐城市政府采购中心</w:t>
      </w:r>
      <w:r>
        <w:rPr>
          <w:rFonts w:hint="eastAsia" w:ascii="宋体" w:hAnsi="宋体" w:eastAsia="宋体" w:cs="宋体"/>
          <w:color w:val="000000"/>
          <w:sz w:val="24"/>
          <w:szCs w:val="24"/>
          <w:highlight w:val="none"/>
          <w:u w:val="single"/>
        </w:rPr>
        <w:t xml:space="preserve">2025年度盐都区农产品质量安全检测服务项目（采购包1：2025年度盐都区农产品（例行检测）质量安全检测服务项目</w:t>
      </w:r>
      <w:r>
        <w:rPr>
          <w:rFonts w:hint="eastAsia" w:ascii="宋体" w:hAnsi="宋体" w:eastAsia="宋体" w:cs="宋体"/>
          <w:color w:val="000000"/>
          <w:sz w:val="24"/>
          <w:szCs w:val="24"/>
          <w:highlight w:val="none"/>
          <w:u w:val="single"/>
          <w:lang w:eastAsia="zh-CN"/>
        </w:rPr>
        <w:t xml:space="preserve">或</w:t>
      </w:r>
      <w:r>
        <w:rPr>
          <w:rFonts w:hint="eastAsia" w:ascii="宋体" w:hAnsi="宋体" w:eastAsia="宋体" w:cs="宋体"/>
          <w:i/>
          <w:iCs/>
          <w:color w:val="000000"/>
          <w:sz w:val="24"/>
          <w:szCs w:val="24"/>
          <w:highlight w:val="none"/>
          <w:u w:val="single"/>
          <w:lang w:eastAsia="zh-CN"/>
        </w:rPr>
        <w:t xml:space="preserve">采购包2：2025年度盐都区农产品（监督检测和绿色食品例行抽检）质量安全检测服务项目</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项目公开招标的结果，签署本合同。</w:t>
      </w:r>
      <w:r/>
    </w:p>
    <w:p>
      <w:pPr>
        <w:pStyle w:val="648"/>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一、合同内容</w:t>
      </w:r>
      <w:r/>
    </w:p>
    <w:p>
      <w:pPr>
        <w:pStyle w:val="648"/>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1.1 标的名称：</w:t>
      </w:r>
      <w:r>
        <w:rPr>
          <w:rFonts w:hint="eastAsia" w:ascii="宋体" w:hAnsi="宋体" w:eastAsia="宋体" w:cs="宋体"/>
          <w:color w:val="000000"/>
          <w:sz w:val="24"/>
          <w:szCs w:val="24"/>
          <w:highlight w:val="none"/>
          <w:u w:val="single"/>
        </w:rPr>
        <w:t xml:space="preserve">2025年度盐都区农产品质量安全检测服务项目（采购包1：2025年度盐都区农产品（例行检测）质量安全检测服务项目</w:t>
      </w:r>
      <w:r>
        <w:rPr>
          <w:rFonts w:hint="eastAsia" w:ascii="宋体" w:hAnsi="宋体" w:eastAsia="宋体" w:cs="宋体"/>
          <w:color w:val="000000"/>
          <w:sz w:val="24"/>
          <w:szCs w:val="24"/>
          <w:highlight w:val="none"/>
          <w:u w:val="single"/>
          <w:lang w:eastAsia="zh-CN"/>
        </w:rPr>
        <w:t xml:space="preserve">或</w:t>
      </w:r>
      <w:r>
        <w:rPr>
          <w:rFonts w:hint="eastAsia" w:ascii="宋体" w:hAnsi="宋体" w:eastAsia="宋体" w:cs="宋体"/>
          <w:i/>
          <w:iCs/>
          <w:color w:val="000000"/>
          <w:sz w:val="24"/>
          <w:szCs w:val="24"/>
          <w:highlight w:val="none"/>
          <w:u w:val="single"/>
          <w:lang w:eastAsia="zh-CN"/>
        </w:rPr>
        <w:t xml:space="preserve">采购包2：2025年度盐都区农产品（监督检测和绿色食品例行抽检）质量安全检测服务项目</w:t>
      </w:r>
      <w:r>
        <w:rPr>
          <w:rFonts w:hint="eastAsia" w:ascii="宋体" w:hAnsi="宋体" w:eastAsia="宋体" w:cs="宋体"/>
          <w:color w:val="000000"/>
          <w:sz w:val="24"/>
          <w:szCs w:val="24"/>
          <w:highlight w:val="none"/>
          <w:u w:val="single"/>
        </w:rPr>
        <w:t xml:space="preserve">）</w:t>
      </w:r>
      <w:r/>
    </w:p>
    <w:p>
      <w:pPr>
        <w:pStyle w:val="648"/>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1.2质量要求、技术标准及售后服务：</w:t>
      </w:r>
      <w:r/>
    </w:p>
    <w:p>
      <w:pPr>
        <w:pStyle w:val="648"/>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1. 每次任务的抽检品种和项目由甲方确定，乙方必须具备该任务所有检验项目的CMA资质，种植业产品检测方法和判定依据按照GB2763执行，畜牧业产品检测方法必须是国家现行有效的检测方法，乙方有资格承担该任务。如乙方不具备承检资格或不按甲方确定的检测项目检验，甲方将视实际情况决定另行委托其他取得CMA资质的检验机构承担。</w:t>
      </w:r>
      <w:r/>
    </w:p>
    <w:p>
      <w:pPr>
        <w:pStyle w:val="648"/>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2.乙方应遵照《农产品质量安全法》、《江苏省农产品质量安全条例》、《农产品质量安全监测管理办法》等要求执行农产品安全抽检工作，包括抽检信息的录入和数据的汇总。</w:t>
      </w:r>
      <w:r/>
    </w:p>
    <w:p>
      <w:pPr>
        <w:pStyle w:val="648"/>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3.抽样标准：种植业样品抽样方法按照《农药残留分析样本的采样方法》（NY/T 789）、《蔬菜抽样技术规范》（NY/T 2103）和《农、畜、水产品污染监测技术规范》（NY/T398）执行。猪肝、猪肉按照《猪肉、猪肝、猪尿抽样方法》（NY/T 763）执行；猪肉（肝）、禽蛋按照《动物及动物产品兽药残留监控抽样规范》（NY/T 1897）执行；水产品按《水产品抽样规范》（GB/T30891）执行。抽样程序须严格按照《农产品质量安全监测管理办法》监督抽查有关规定进行。</w:t>
      </w:r>
      <w:r/>
    </w:p>
    <w:p>
      <w:pPr>
        <w:pStyle w:val="648"/>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4. 抽样时间：按照甲方实际需求确定时间。</w:t>
      </w:r>
      <w:r/>
    </w:p>
    <w:p>
      <w:pPr>
        <w:pStyle w:val="648"/>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5. 抽样地点：根据甲方实际工作要求确定具体抽样地点。</w:t>
      </w:r>
      <w:r/>
    </w:p>
    <w:p>
      <w:pPr>
        <w:pStyle w:val="648"/>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6. 抽样人员：每次抽检由乙方安排2名以上具备食品抽样资格的工作人配合采购方抽样，承诺配备能同时派出2组（2人一组）或以上专业抽样人员。</w:t>
      </w:r>
      <w:r/>
    </w:p>
    <w:p>
      <w:pPr>
        <w:pStyle w:val="648"/>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7. 样品运输：由乙方负责，并确保样品安全。</w:t>
      </w:r>
      <w:r/>
    </w:p>
    <w:p>
      <w:pPr>
        <w:pStyle w:val="648"/>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8. 交通工具：乙方单日能安排配套的抽样车辆2台（提供行驶证），并配有车载冰箱。</w:t>
      </w:r>
      <w:r/>
    </w:p>
    <w:p>
      <w:pPr>
        <w:pStyle w:val="648"/>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9. 乙方在完成抽样检验工作后20个工作日内完成对检验检测数据分析研判并编制检验检测结果分析报告提供给甲方。</w:t>
      </w:r>
      <w:r/>
    </w:p>
    <w:p>
      <w:pPr>
        <w:pStyle w:val="648"/>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10. 乙方在检验过程中发现被检样品存在严重安全问题或较高风险问题的（如食品中检出非食用物质，致病性微生物，或农药残留、兽药残留、生物毒素、重金属以及其他危害人体健康的物质严重超出标准限量等可能危及人体健康的重要安全问题），应在发现问题并确认无误后24小时内填写《食品安全抽检限时报告情况表》，将问题或有关情况报告甲方。</w:t>
      </w:r>
      <w:r/>
    </w:p>
    <w:p>
      <w:pPr>
        <w:pStyle w:val="648"/>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11、承检单位检验品种、项目必须满足甲方年度考核的要求，若食品药品监管部门在年中布置的专项检验，承检单位要按规定进行检验。</w:t>
      </w:r>
      <w:r/>
    </w:p>
    <w:p>
      <w:pPr>
        <w:pStyle w:val="648"/>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12、乙方要及时将检测结果录入到规定的系统内，并开展检测结果的统计分析，以便于甲方进行结果公示。</w:t>
      </w:r>
      <w:r/>
    </w:p>
    <w:p>
      <w:pPr>
        <w:pStyle w:val="648"/>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、检验期限：</w:t>
      </w:r>
      <w:r/>
    </w:p>
    <w:p>
      <w:pPr>
        <w:pStyle w:val="648"/>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1、原则上乙方应在收到样品之日起 20 个工作日内出具检验报告和当月的检测结果汇总表。检验结论为不合格的，在结论做出后的2个工作日内报送。组织抽检监测工作的甲方与乙方另有约定的，从其约定。</w:t>
      </w:r>
      <w:r/>
    </w:p>
    <w:p>
      <w:pPr>
        <w:pStyle w:val="648"/>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2、应急抽检时。乙方应根据甲方要求在2小时内到达指定现场，乙方应在收到样品之日起 7 个工作日内出具检验报告，并报送给甲方。</w:t>
      </w:r>
      <w:r/>
    </w:p>
    <w:p>
      <w:pPr>
        <w:pStyle w:val="648"/>
        <w:jc w:val="both"/>
        <w:keepLines w:val="0"/>
        <w:keepNext w:val="0"/>
        <w:pageBreakBefore w:val="0"/>
        <w:spacing w:before="120" w:beforeAutospacing="0" w:after="120" w:afterAutospacing="0" w:line="500" w:lineRule="exact"/>
        <w:widowControl w:val="off"/>
        <w:rPr>
          <w:rFonts w:hint="eastAsia" w:eastAsia="宋体"/>
          <w:sz w:val="24"/>
          <w:szCs w:val="24"/>
          <w:highlight w:val="none"/>
          <w:lang w:eastAsia="zh-CN"/>
        </w:rPr>
      </w:pPr>
      <w:r>
        <w:rPr>
          <w:rFonts w:hint="eastAsia" w:ascii="宋体" w:hAnsi="宋体" w:eastAsia="宋体" w:cs="宋体"/>
          <w:color w:val="000000"/>
          <w:sz w:val="24"/>
          <w:szCs w:val="24"/>
          <w:highlight w:val="none"/>
        </w:rPr>
        <w:t xml:space="preserve">1.3 标的数量（规模）：</w:t>
      </w:r>
      <w:r>
        <w:rPr>
          <w:rFonts w:hint="eastAsia" w:ascii="宋体" w:hAnsi="宋体" w:eastAsia="宋体" w:cs="宋体"/>
          <w:color w:val="000000"/>
          <w:sz w:val="24"/>
          <w:szCs w:val="24"/>
          <w:highlight w:val="none"/>
          <w:lang w:eastAsia="zh-CN"/>
        </w:rPr>
        <w:t xml:space="preserve">（采购包</w:t>
      </w:r>
      <w:r>
        <w:rPr>
          <w:rFonts w:hint="eastAsia" w:ascii="宋体" w:hAnsi="宋体" w:eastAsia="宋体" w:cs="宋体"/>
          <w:color w:val="000000"/>
          <w:sz w:val="24"/>
          <w:szCs w:val="24"/>
          <w:highlight w:val="none"/>
          <w:lang w:val="en-US" w:eastAsia="zh-CN"/>
        </w:rPr>
        <w:t xml:space="preserve">1：700批次；采购包2：250批次</w:t>
      </w:r>
      <w:r>
        <w:rPr>
          <w:rFonts w:hint="eastAsia" w:ascii="宋体" w:hAnsi="宋体" w:eastAsia="宋体" w:cs="宋体"/>
          <w:color w:val="000000"/>
          <w:sz w:val="24"/>
          <w:szCs w:val="24"/>
          <w:highlight w:val="none"/>
          <w:lang w:eastAsia="zh-CN"/>
        </w:rPr>
        <w:t xml:space="preserve">）</w:t>
      </w:r>
      <w:r/>
    </w:p>
    <w:p>
      <w:pPr>
        <w:pStyle w:val="648"/>
        <w:jc w:val="both"/>
        <w:keepLines w:val="0"/>
        <w:keepNext w:val="0"/>
        <w:pageBreakBefore w:val="0"/>
        <w:spacing w:before="120" w:beforeAutospacing="0" w:after="120" w:afterAutospacing="0" w:line="500" w:lineRule="exact"/>
        <w:widowControl w:val="off"/>
        <w:rPr>
          <w:rFonts w:hint="eastAsia" w:eastAsia="宋体"/>
          <w:sz w:val="24"/>
          <w:szCs w:val="24"/>
          <w:highlight w:val="none"/>
          <w:lang w:eastAsia="zh-CN"/>
        </w:rPr>
      </w:pPr>
      <w:r>
        <w:rPr>
          <w:rFonts w:hint="eastAsia" w:ascii="宋体" w:hAnsi="宋体" w:eastAsia="宋体" w:cs="宋体"/>
          <w:color w:val="000000"/>
          <w:sz w:val="24"/>
          <w:szCs w:val="24"/>
          <w:highlight w:val="none"/>
        </w:rPr>
        <w:t xml:space="preserve">1.4 履行时间（期限）：</w:t>
      </w:r>
      <w:r>
        <w:rPr>
          <w:rFonts w:hint="eastAsia" w:ascii="宋体" w:hAnsi="宋体" w:eastAsia="宋体" w:cs="宋体"/>
          <w:color w:val="000000"/>
          <w:sz w:val="24"/>
          <w:szCs w:val="24"/>
          <w:highlight w:val="none"/>
          <w:lang w:eastAsia="zh-CN"/>
        </w:rPr>
        <w:t xml:space="preserve">一年</w:t>
      </w:r>
      <w:r/>
    </w:p>
    <w:p>
      <w:pPr>
        <w:pStyle w:val="648"/>
        <w:jc w:val="both"/>
        <w:keepLines w:val="0"/>
        <w:keepNext w:val="0"/>
        <w:pageBreakBefore w:val="0"/>
        <w:spacing w:before="120" w:beforeAutospacing="0" w:after="120" w:afterAutospacing="0" w:line="500" w:lineRule="exact"/>
        <w:widowControl w:val="off"/>
        <w:rPr>
          <w:rFonts w:hint="eastAsia" w:eastAsia="宋体"/>
          <w:sz w:val="24"/>
          <w:szCs w:val="24"/>
          <w:highlight w:val="none"/>
          <w:lang w:eastAsia="zh-CN"/>
        </w:rPr>
      </w:pPr>
      <w:r>
        <w:rPr>
          <w:rFonts w:hint="eastAsia" w:ascii="宋体" w:hAnsi="宋体" w:eastAsia="宋体" w:cs="宋体"/>
          <w:color w:val="000000"/>
          <w:sz w:val="24"/>
          <w:szCs w:val="24"/>
          <w:highlight w:val="none"/>
        </w:rPr>
        <w:t xml:space="preserve">1.5 履行地点：</w:t>
      </w:r>
      <w:r>
        <w:rPr>
          <w:rFonts w:hint="eastAsia" w:ascii="宋体" w:hAnsi="宋体" w:eastAsia="宋体" w:cs="宋体"/>
          <w:color w:val="000000"/>
          <w:sz w:val="24"/>
          <w:szCs w:val="24"/>
          <w:highlight w:val="none"/>
          <w:lang w:eastAsia="zh-CN"/>
        </w:rPr>
        <w:t xml:space="preserve">盐都区境内</w:t>
      </w:r>
      <w:r/>
    </w:p>
    <w:p>
      <w:pPr>
        <w:pStyle w:val="648"/>
        <w:jc w:val="both"/>
        <w:keepLines w:val="0"/>
        <w:keepNext w:val="0"/>
        <w:pageBreakBefore w:val="0"/>
        <w:spacing w:before="120" w:beforeAutospacing="0" w:after="120" w:afterAutospacing="0" w:line="500" w:lineRule="exact"/>
        <w:widowControl w:val="off"/>
        <w:rPr>
          <w:rFonts w:hint="eastAsia" w:eastAsia="宋体"/>
          <w:sz w:val="24"/>
          <w:szCs w:val="24"/>
          <w:highlight w:val="none"/>
          <w:lang w:eastAsia="zh-CN"/>
        </w:rPr>
      </w:pPr>
      <w:r>
        <w:rPr>
          <w:rFonts w:hint="eastAsia" w:ascii="宋体" w:hAnsi="宋体" w:eastAsia="宋体" w:cs="宋体"/>
          <w:color w:val="000000"/>
          <w:sz w:val="24"/>
          <w:szCs w:val="24"/>
          <w:highlight w:val="none"/>
        </w:rPr>
        <w:t xml:space="preserve">1.6履行方式：</w:t>
      </w:r>
      <w:r>
        <w:rPr>
          <w:rFonts w:hint="eastAsia" w:ascii="宋体" w:hAnsi="宋体" w:eastAsia="宋体" w:cs="宋体"/>
          <w:color w:val="000000"/>
          <w:sz w:val="24"/>
          <w:szCs w:val="24"/>
          <w:highlight w:val="none"/>
          <w:lang w:eastAsia="zh-CN"/>
        </w:rPr>
        <w:t xml:space="preserve">按采购人约定的方式</w:t>
      </w:r>
      <w:r/>
    </w:p>
    <w:p>
      <w:pPr>
        <w:pStyle w:val="648"/>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二、合同金额</w:t>
      </w:r>
      <w:r/>
    </w:p>
    <w:p>
      <w:pPr>
        <w:pStyle w:val="648"/>
        <w:ind w:left="410" w:hanging="41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2.1本合同金额为（大写）：_____________________圆（_______________元）人民币或其他币种。</w:t>
      </w:r>
      <w:r/>
    </w:p>
    <w:tbl>
      <w:tblPr>
        <w:tblStyle w:val="65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04"/>
        <w:gridCol w:w="1704"/>
        <w:gridCol w:w="1704"/>
        <w:gridCol w:w="1705"/>
        <w:gridCol w:w="1705"/>
      </w:tblGrid>
      <w:tr>
        <w:trPr/>
        <w:tc>
          <w:tcPr>
            <w:tcW w:w="1704" w:type="dxa"/>
            <w:textDirection w:val="lrTb"/>
            <w:noWrap w:val="false"/>
          </w:tcPr>
          <w:p>
            <w:pPr>
              <w:pStyle w:val="648"/>
              <w:jc w:val="center"/>
              <w:keepLines w:val="0"/>
              <w:keepNext w:val="0"/>
              <w:pageBreakBefore w:val="0"/>
              <w:spacing w:before="120" w:beforeAutospacing="0" w:after="120" w:afterAutospacing="0" w:line="500" w:lineRule="exact"/>
              <w:widowControl w:val="off"/>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t xml:space="preserve">序号</w:t>
            </w:r>
            <w:r/>
          </w:p>
        </w:tc>
        <w:tc>
          <w:tcPr>
            <w:tcW w:w="1704" w:type="dxa"/>
            <w:textDirection w:val="lrTb"/>
            <w:noWrap w:val="false"/>
          </w:tcPr>
          <w:p>
            <w:pPr>
              <w:pStyle w:val="648"/>
              <w:jc w:val="center"/>
              <w:keepLines w:val="0"/>
              <w:keepNext w:val="0"/>
              <w:pageBreakBefore w:val="0"/>
              <w:spacing w:before="120" w:beforeAutospacing="0" w:after="120" w:afterAutospacing="0" w:line="500" w:lineRule="exact"/>
              <w:widowControl w:val="off"/>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t xml:space="preserve">单位</w:t>
            </w:r>
            <w:r/>
          </w:p>
        </w:tc>
        <w:tc>
          <w:tcPr>
            <w:tcW w:w="1704" w:type="dxa"/>
            <w:textDirection w:val="lrTb"/>
            <w:noWrap w:val="false"/>
          </w:tcPr>
          <w:p>
            <w:pPr>
              <w:pStyle w:val="648"/>
              <w:jc w:val="center"/>
              <w:keepLines w:val="0"/>
              <w:keepNext w:val="0"/>
              <w:pageBreakBefore w:val="0"/>
              <w:spacing w:before="120" w:beforeAutospacing="0" w:after="120" w:afterAutospacing="0" w:line="500" w:lineRule="exact"/>
              <w:widowControl w:val="off"/>
              <w:rPr>
                <w:rFonts w:hint="eastAsia" w:ascii="宋体" w:hAnsi="宋体" w:eastAsia="宋体" w:cs="宋体"/>
                <w:b/>
                <w:color w:val="000000"/>
                <w:sz w:val="24"/>
                <w:szCs w:val="24"/>
                <w:highlight w:val="none"/>
                <w:vertAlign w:val="baseline"/>
              </w:rPr>
            </w:pPr>
            <w:r>
              <w:rPr>
                <w:rFonts w:hint="eastAsia" w:ascii="宋体" w:hAnsi="宋体" w:eastAsia="宋体" w:cs="宋体"/>
                <w:b/>
                <w:color w:val="000000"/>
                <w:sz w:val="24"/>
                <w:szCs w:val="24"/>
                <w:highlight w:val="none"/>
                <w:vertAlign w:val="baseline"/>
                <w:lang w:eastAsia="zh-CN"/>
              </w:rPr>
              <w:t xml:space="preserve">数量</w:t>
            </w:r>
            <w:r/>
          </w:p>
        </w:tc>
        <w:tc>
          <w:tcPr>
            <w:tcW w:w="1705" w:type="dxa"/>
            <w:textDirection w:val="lrTb"/>
            <w:noWrap w:val="false"/>
          </w:tcPr>
          <w:p>
            <w:pPr>
              <w:pStyle w:val="648"/>
              <w:jc w:val="center"/>
              <w:keepLines w:val="0"/>
              <w:keepNext w:val="0"/>
              <w:pageBreakBefore w:val="0"/>
              <w:spacing w:before="120" w:beforeAutospacing="0" w:after="120" w:afterAutospacing="0" w:line="500" w:lineRule="exact"/>
              <w:widowControl w:val="off"/>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t xml:space="preserve">单价</w:t>
            </w:r>
            <w:r/>
          </w:p>
        </w:tc>
        <w:tc>
          <w:tcPr>
            <w:tcW w:w="1705" w:type="dxa"/>
            <w:textDirection w:val="lrTb"/>
            <w:noWrap w:val="false"/>
          </w:tcPr>
          <w:p>
            <w:pPr>
              <w:pStyle w:val="648"/>
              <w:jc w:val="center"/>
              <w:keepLines w:val="0"/>
              <w:keepNext w:val="0"/>
              <w:pageBreakBefore w:val="0"/>
              <w:spacing w:before="120" w:beforeAutospacing="0" w:after="120" w:afterAutospacing="0" w:line="500" w:lineRule="exact"/>
              <w:widowControl w:val="off"/>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t xml:space="preserve">合价</w:t>
            </w:r>
            <w:r/>
          </w:p>
        </w:tc>
      </w:tr>
      <w:tr>
        <w:trPr/>
        <w:tc>
          <w:tcPr>
            <w:tcW w:w="1704" w:type="dxa"/>
            <w:textDirection w:val="lrTb"/>
            <w:noWrap w:val="false"/>
          </w:tcPr>
          <w:p>
            <w:pPr>
              <w:pStyle w:val="648"/>
              <w:jc w:val="center"/>
              <w:keepLines w:val="0"/>
              <w:keepNext w:val="0"/>
              <w:pageBreakBefore w:val="0"/>
              <w:spacing w:before="120" w:beforeAutospacing="0" w:after="120" w:afterAutospacing="0" w:line="500" w:lineRule="exact"/>
              <w:widowControl w:val="off"/>
              <w:rPr>
                <w:rFonts w:hint="default" w:ascii="宋体" w:hAnsi="宋体" w:eastAsia="宋体" w:cs="宋体"/>
                <w:b/>
                <w:color w:val="000000"/>
                <w:sz w:val="24"/>
                <w:szCs w:val="24"/>
                <w:highlight w:val="none"/>
                <w:vertAlign w:val="baseline"/>
                <w:lang w:val="en-US" w:eastAsia="zh-CN"/>
              </w:rPr>
            </w:pPr>
            <w:r>
              <w:rPr>
                <w:rFonts w:hint="eastAsia" w:ascii="宋体" w:hAnsi="宋体" w:eastAsia="宋体" w:cs="宋体"/>
                <w:b/>
                <w:color w:val="000000"/>
                <w:sz w:val="24"/>
                <w:szCs w:val="24"/>
                <w:highlight w:val="none"/>
                <w:vertAlign w:val="baseline"/>
                <w:lang w:eastAsia="zh-CN"/>
              </w:rPr>
              <w:t xml:space="preserve">采购包</w:t>
            </w:r>
            <w:r>
              <w:rPr>
                <w:rFonts w:hint="eastAsia" w:ascii="宋体" w:hAnsi="宋体" w:eastAsia="宋体" w:cs="宋体"/>
                <w:b/>
                <w:color w:val="000000"/>
                <w:sz w:val="24"/>
                <w:szCs w:val="24"/>
                <w:highlight w:val="none"/>
                <w:vertAlign w:val="baseline"/>
                <w:lang w:val="en-US" w:eastAsia="zh-CN"/>
              </w:rPr>
              <w:t xml:space="preserve">1</w:t>
            </w:r>
            <w:r/>
          </w:p>
        </w:tc>
        <w:tc>
          <w:tcPr>
            <w:tcW w:w="1704" w:type="dxa"/>
            <w:textDirection w:val="lrTb"/>
            <w:noWrap w:val="false"/>
          </w:tcPr>
          <w:p>
            <w:pPr>
              <w:pStyle w:val="648"/>
              <w:jc w:val="center"/>
              <w:keepLines w:val="0"/>
              <w:keepNext w:val="0"/>
              <w:pageBreakBefore w:val="0"/>
              <w:spacing w:before="120" w:beforeAutospacing="0" w:after="120" w:afterAutospacing="0" w:line="500" w:lineRule="exact"/>
              <w:widowControl w:val="off"/>
              <w:rPr>
                <w:rFonts w:hint="eastAsia" w:ascii="宋体" w:hAnsi="宋体" w:eastAsia="宋体" w:cs="宋体"/>
                <w:b/>
                <w:color w:val="000000"/>
                <w:sz w:val="24"/>
                <w:szCs w:val="24"/>
                <w:highlight w:val="none"/>
                <w:vertAlign w:val="baseline"/>
                <w:lang w:eastAsia="zh-CN"/>
              </w:rPr>
            </w:pPr>
            <w:r>
              <w:rPr>
                <w:rFonts w:hint="eastAsia" w:ascii="宋体" w:hAnsi="宋体" w:eastAsia="宋体" w:cs="宋体"/>
                <w:b/>
                <w:color w:val="000000"/>
                <w:sz w:val="24"/>
                <w:szCs w:val="24"/>
                <w:highlight w:val="none"/>
                <w:vertAlign w:val="baseline"/>
                <w:lang w:eastAsia="zh-CN"/>
              </w:rPr>
              <w:t xml:space="preserve">批次</w:t>
            </w:r>
            <w:r/>
          </w:p>
        </w:tc>
        <w:tc>
          <w:tcPr>
            <w:tcW w:w="1704" w:type="dxa"/>
            <w:textDirection w:val="lrTb"/>
            <w:noWrap w:val="false"/>
          </w:tcPr>
          <w:p>
            <w:pPr>
              <w:pStyle w:val="648"/>
              <w:jc w:val="center"/>
              <w:keepLines w:val="0"/>
              <w:keepNext w:val="0"/>
              <w:pageBreakBefore w:val="0"/>
              <w:spacing w:before="120" w:beforeAutospacing="0" w:after="120" w:afterAutospacing="0" w:line="500" w:lineRule="exact"/>
              <w:widowControl w:val="off"/>
              <w:rPr>
                <w:rFonts w:hint="default" w:ascii="宋体" w:hAnsi="宋体" w:eastAsia="宋体" w:cs="宋体"/>
                <w:b/>
                <w:color w:val="000000"/>
                <w:sz w:val="24"/>
                <w:szCs w:val="24"/>
                <w:highlight w:val="none"/>
                <w:vertAlign w:val="baseline"/>
                <w:lang w:val="en-US" w:eastAsia="zh-CN"/>
              </w:rPr>
            </w:pPr>
            <w:r>
              <w:rPr>
                <w:rFonts w:hint="eastAsia" w:ascii="宋体" w:hAnsi="宋体" w:eastAsia="宋体" w:cs="宋体"/>
                <w:b/>
                <w:color w:val="000000"/>
                <w:sz w:val="24"/>
                <w:szCs w:val="24"/>
                <w:highlight w:val="none"/>
                <w:vertAlign w:val="baseline"/>
                <w:lang w:val="en-US" w:eastAsia="zh-CN"/>
              </w:rPr>
              <w:t xml:space="preserve">700</w:t>
            </w:r>
            <w:r/>
          </w:p>
        </w:tc>
        <w:tc>
          <w:tcPr>
            <w:tcW w:w="1705" w:type="dxa"/>
            <w:textDirection w:val="lrTb"/>
            <w:noWrap w:val="false"/>
          </w:tcPr>
          <w:p>
            <w:pPr>
              <w:pStyle w:val="648"/>
              <w:jc w:val="center"/>
              <w:keepLines w:val="0"/>
              <w:keepNext w:val="0"/>
              <w:pageBreakBefore w:val="0"/>
              <w:spacing w:before="120" w:beforeAutospacing="0" w:after="120" w:afterAutospacing="0" w:line="500" w:lineRule="exact"/>
              <w:widowControl w:val="off"/>
              <w:rPr>
                <w:rFonts w:hint="eastAsia" w:ascii="宋体" w:hAnsi="宋体" w:eastAsia="宋体" w:cs="宋体"/>
                <w:b/>
                <w:color w:val="000000"/>
                <w:sz w:val="24"/>
                <w:szCs w:val="24"/>
                <w:highlight w:val="none"/>
                <w:vertAlign w:val="baseline"/>
              </w:rPr>
            </w:pPr>
            <w:r>
              <w:rPr>
                <w:rFonts w:hint="eastAsia" w:ascii="宋体" w:hAnsi="宋体" w:eastAsia="宋体" w:cs="宋体"/>
                <w:b/>
                <w:color w:val="000000"/>
                <w:sz w:val="24"/>
                <w:szCs w:val="24"/>
                <w:highlight w:val="none"/>
                <w:vertAlign w:val="baseline"/>
              </w:rPr>
            </w:r>
            <w:r/>
          </w:p>
        </w:tc>
        <w:tc>
          <w:tcPr>
            <w:tcW w:w="1705" w:type="dxa"/>
            <w:textDirection w:val="lrTb"/>
            <w:noWrap w:val="false"/>
          </w:tcPr>
          <w:p>
            <w:pPr>
              <w:pStyle w:val="648"/>
              <w:jc w:val="center"/>
              <w:keepLines w:val="0"/>
              <w:keepNext w:val="0"/>
              <w:pageBreakBefore w:val="0"/>
              <w:spacing w:before="120" w:beforeAutospacing="0" w:after="120" w:afterAutospacing="0" w:line="500" w:lineRule="exact"/>
              <w:widowControl w:val="off"/>
              <w:rPr>
                <w:rFonts w:hint="eastAsia" w:ascii="宋体" w:hAnsi="宋体" w:eastAsia="宋体" w:cs="宋体"/>
                <w:b/>
                <w:color w:val="000000"/>
                <w:sz w:val="24"/>
                <w:szCs w:val="24"/>
                <w:highlight w:val="none"/>
                <w:vertAlign w:val="baseline"/>
              </w:rPr>
            </w:pPr>
            <w:r>
              <w:rPr>
                <w:rFonts w:hint="eastAsia" w:ascii="宋体" w:hAnsi="宋体" w:eastAsia="宋体" w:cs="宋体"/>
                <w:b/>
                <w:color w:val="000000"/>
                <w:sz w:val="24"/>
                <w:szCs w:val="24"/>
                <w:highlight w:val="none"/>
                <w:vertAlign w:val="baseline"/>
              </w:rPr>
            </w:r>
            <w:r/>
          </w:p>
        </w:tc>
      </w:tr>
    </w:tbl>
    <w:p>
      <w:pPr>
        <w:pStyle w:val="648"/>
        <w:jc w:val="both"/>
        <w:keepLines w:val="0"/>
        <w:keepNext w:val="0"/>
        <w:pageBreakBefore w:val="0"/>
        <w:spacing w:before="120" w:beforeAutospacing="0" w:after="120" w:afterAutospacing="0" w:line="50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bl>
      <w:tblPr>
        <w:tblStyle w:val="65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04"/>
        <w:gridCol w:w="1704"/>
        <w:gridCol w:w="1704"/>
        <w:gridCol w:w="1705"/>
        <w:gridCol w:w="1705"/>
      </w:tblGrid>
      <w:tr>
        <w:trPr/>
        <w:tc>
          <w:tcPr>
            <w:tcW w:w="1704" w:type="dxa"/>
            <w:textDirection w:val="lrTb"/>
            <w:noWrap w:val="false"/>
          </w:tcPr>
          <w:p>
            <w:pPr>
              <w:pStyle w:val="648"/>
              <w:jc w:val="center"/>
              <w:keepLines w:val="0"/>
              <w:keepNext w:val="0"/>
              <w:pageBreakBefore w:val="0"/>
              <w:spacing w:before="120" w:beforeAutospacing="0" w:after="120" w:afterAutospacing="0" w:line="500" w:lineRule="exact"/>
              <w:widowControl w:val="off"/>
              <w:rPr>
                <w:rFonts w:hint="eastAsia" w:ascii="宋体" w:hAnsi="宋体" w:eastAsia="宋体" w:cs="宋体"/>
                <w:b/>
                <w:i/>
                <w:iCs/>
                <w:color w:val="000000"/>
                <w:sz w:val="24"/>
                <w:szCs w:val="24"/>
                <w:highlight w:val="none"/>
                <w:vertAlign w:val="baseline"/>
                <w:lang w:eastAsia="zh-CN"/>
              </w:rPr>
            </w:pPr>
            <w:r>
              <w:rPr>
                <w:rFonts w:hint="eastAsia" w:ascii="宋体" w:hAnsi="宋体" w:eastAsia="宋体" w:cs="宋体"/>
                <w:b/>
                <w:i/>
                <w:iCs/>
                <w:color w:val="000000"/>
                <w:sz w:val="24"/>
                <w:szCs w:val="24"/>
                <w:highlight w:val="none"/>
                <w:vertAlign w:val="baseline"/>
                <w:lang w:eastAsia="zh-CN"/>
              </w:rPr>
              <w:t xml:space="preserve">序号</w:t>
            </w:r>
            <w:r/>
          </w:p>
        </w:tc>
        <w:tc>
          <w:tcPr>
            <w:tcW w:w="1704" w:type="dxa"/>
            <w:textDirection w:val="lrTb"/>
            <w:noWrap w:val="false"/>
          </w:tcPr>
          <w:p>
            <w:pPr>
              <w:pStyle w:val="648"/>
              <w:jc w:val="center"/>
              <w:keepLines w:val="0"/>
              <w:keepNext w:val="0"/>
              <w:pageBreakBefore w:val="0"/>
              <w:spacing w:before="120" w:beforeAutospacing="0" w:after="120" w:afterAutospacing="0" w:line="500" w:lineRule="exact"/>
              <w:widowControl w:val="off"/>
              <w:rPr>
                <w:rFonts w:hint="eastAsia" w:ascii="宋体" w:hAnsi="宋体" w:eastAsia="宋体" w:cs="宋体"/>
                <w:b/>
                <w:i/>
                <w:iCs/>
                <w:color w:val="000000"/>
                <w:sz w:val="24"/>
                <w:szCs w:val="24"/>
                <w:highlight w:val="none"/>
                <w:vertAlign w:val="baseline"/>
                <w:lang w:eastAsia="zh-CN"/>
              </w:rPr>
            </w:pPr>
            <w:r>
              <w:rPr>
                <w:rFonts w:hint="eastAsia" w:ascii="宋体" w:hAnsi="宋体" w:eastAsia="宋体" w:cs="宋体"/>
                <w:b/>
                <w:i/>
                <w:iCs/>
                <w:color w:val="000000"/>
                <w:sz w:val="24"/>
                <w:szCs w:val="24"/>
                <w:highlight w:val="none"/>
                <w:vertAlign w:val="baseline"/>
                <w:lang w:eastAsia="zh-CN"/>
              </w:rPr>
              <w:t xml:space="preserve">单位</w:t>
            </w:r>
            <w:r/>
          </w:p>
        </w:tc>
        <w:tc>
          <w:tcPr>
            <w:tcW w:w="1704" w:type="dxa"/>
            <w:textDirection w:val="lrTb"/>
            <w:noWrap w:val="false"/>
          </w:tcPr>
          <w:p>
            <w:pPr>
              <w:pStyle w:val="648"/>
              <w:jc w:val="center"/>
              <w:keepLines w:val="0"/>
              <w:keepNext w:val="0"/>
              <w:pageBreakBefore w:val="0"/>
              <w:spacing w:before="120" w:beforeAutospacing="0" w:after="120" w:afterAutospacing="0" w:line="500" w:lineRule="exact"/>
              <w:widowControl w:val="off"/>
              <w:rPr>
                <w:rFonts w:hint="eastAsia" w:ascii="宋体" w:hAnsi="宋体" w:eastAsia="宋体" w:cs="宋体"/>
                <w:b/>
                <w:i/>
                <w:iCs/>
                <w:color w:val="000000"/>
                <w:sz w:val="24"/>
                <w:szCs w:val="24"/>
                <w:highlight w:val="none"/>
                <w:vertAlign w:val="baseline"/>
              </w:rPr>
            </w:pPr>
            <w:r>
              <w:rPr>
                <w:rFonts w:hint="eastAsia" w:ascii="宋体" w:hAnsi="宋体" w:eastAsia="宋体" w:cs="宋体"/>
                <w:b/>
                <w:i/>
                <w:iCs/>
                <w:color w:val="000000"/>
                <w:sz w:val="24"/>
                <w:szCs w:val="24"/>
                <w:highlight w:val="none"/>
                <w:vertAlign w:val="baseline"/>
                <w:lang w:eastAsia="zh-CN"/>
              </w:rPr>
              <w:t xml:space="preserve">数量</w:t>
            </w:r>
            <w:r/>
          </w:p>
        </w:tc>
        <w:tc>
          <w:tcPr>
            <w:tcW w:w="1705" w:type="dxa"/>
            <w:textDirection w:val="lrTb"/>
            <w:noWrap w:val="false"/>
          </w:tcPr>
          <w:p>
            <w:pPr>
              <w:pStyle w:val="648"/>
              <w:jc w:val="center"/>
              <w:keepLines w:val="0"/>
              <w:keepNext w:val="0"/>
              <w:pageBreakBefore w:val="0"/>
              <w:spacing w:before="120" w:beforeAutospacing="0" w:after="120" w:afterAutospacing="0" w:line="500" w:lineRule="exact"/>
              <w:widowControl w:val="off"/>
              <w:rPr>
                <w:rFonts w:hint="eastAsia" w:ascii="宋体" w:hAnsi="宋体" w:eastAsia="宋体" w:cs="宋体"/>
                <w:b/>
                <w:i/>
                <w:iCs/>
                <w:color w:val="000000"/>
                <w:sz w:val="24"/>
                <w:szCs w:val="24"/>
                <w:highlight w:val="none"/>
                <w:vertAlign w:val="baseline"/>
                <w:lang w:eastAsia="zh-CN"/>
              </w:rPr>
            </w:pPr>
            <w:r>
              <w:rPr>
                <w:rFonts w:hint="eastAsia" w:ascii="宋体" w:hAnsi="宋体" w:eastAsia="宋体" w:cs="宋体"/>
                <w:b/>
                <w:i/>
                <w:iCs/>
                <w:color w:val="000000"/>
                <w:sz w:val="24"/>
                <w:szCs w:val="24"/>
                <w:highlight w:val="none"/>
                <w:vertAlign w:val="baseline"/>
                <w:lang w:eastAsia="zh-CN"/>
              </w:rPr>
              <w:t xml:space="preserve">单价</w:t>
            </w:r>
            <w:r/>
          </w:p>
        </w:tc>
        <w:tc>
          <w:tcPr>
            <w:tcW w:w="1705" w:type="dxa"/>
            <w:textDirection w:val="lrTb"/>
            <w:noWrap w:val="false"/>
          </w:tcPr>
          <w:p>
            <w:pPr>
              <w:pStyle w:val="648"/>
              <w:jc w:val="center"/>
              <w:keepLines w:val="0"/>
              <w:keepNext w:val="0"/>
              <w:pageBreakBefore w:val="0"/>
              <w:spacing w:before="120" w:beforeAutospacing="0" w:after="120" w:afterAutospacing="0" w:line="500" w:lineRule="exact"/>
              <w:widowControl w:val="off"/>
              <w:rPr>
                <w:rFonts w:hint="eastAsia" w:ascii="宋体" w:hAnsi="宋体" w:eastAsia="宋体" w:cs="宋体"/>
                <w:b/>
                <w:i/>
                <w:iCs/>
                <w:color w:val="000000"/>
                <w:sz w:val="24"/>
                <w:szCs w:val="24"/>
                <w:highlight w:val="none"/>
                <w:vertAlign w:val="baseline"/>
                <w:lang w:eastAsia="zh-CN"/>
              </w:rPr>
            </w:pPr>
            <w:r>
              <w:rPr>
                <w:rFonts w:hint="eastAsia" w:ascii="宋体" w:hAnsi="宋体" w:eastAsia="宋体" w:cs="宋体"/>
                <w:b/>
                <w:i/>
                <w:iCs/>
                <w:color w:val="000000"/>
                <w:sz w:val="24"/>
                <w:szCs w:val="24"/>
                <w:highlight w:val="none"/>
                <w:vertAlign w:val="baseline"/>
                <w:lang w:eastAsia="zh-CN"/>
              </w:rPr>
              <w:t xml:space="preserve">合价</w:t>
            </w:r>
            <w:r/>
          </w:p>
        </w:tc>
      </w:tr>
      <w:tr>
        <w:trPr/>
        <w:tc>
          <w:tcPr>
            <w:tcW w:w="1704" w:type="dxa"/>
            <w:textDirection w:val="lrTb"/>
            <w:noWrap w:val="false"/>
          </w:tcPr>
          <w:p>
            <w:pPr>
              <w:pStyle w:val="648"/>
              <w:jc w:val="center"/>
              <w:keepLines w:val="0"/>
              <w:keepNext w:val="0"/>
              <w:pageBreakBefore w:val="0"/>
              <w:spacing w:before="120" w:beforeAutospacing="0" w:after="120" w:afterAutospacing="0" w:line="500" w:lineRule="exact"/>
              <w:widowControl w:val="off"/>
              <w:rPr>
                <w:rFonts w:hint="default" w:ascii="宋体" w:hAnsi="宋体" w:eastAsia="宋体" w:cs="宋体"/>
                <w:b/>
                <w:i/>
                <w:iCs/>
                <w:color w:val="000000"/>
                <w:sz w:val="24"/>
                <w:szCs w:val="24"/>
                <w:highlight w:val="none"/>
                <w:vertAlign w:val="baseline"/>
                <w:lang w:val="en-US" w:eastAsia="zh-CN"/>
              </w:rPr>
            </w:pPr>
            <w:r>
              <w:rPr>
                <w:rFonts w:hint="eastAsia" w:ascii="宋体" w:hAnsi="宋体" w:eastAsia="宋体" w:cs="宋体"/>
                <w:b/>
                <w:i/>
                <w:iCs/>
                <w:color w:val="000000"/>
                <w:sz w:val="24"/>
                <w:szCs w:val="24"/>
                <w:highlight w:val="none"/>
                <w:vertAlign w:val="baseline"/>
                <w:lang w:eastAsia="zh-CN"/>
              </w:rPr>
              <w:t xml:space="preserve">采购包</w:t>
            </w:r>
            <w:r>
              <w:rPr>
                <w:rFonts w:hint="eastAsia" w:ascii="宋体" w:hAnsi="宋体" w:eastAsia="宋体" w:cs="宋体"/>
                <w:b/>
                <w:i/>
                <w:iCs/>
                <w:color w:val="000000"/>
                <w:sz w:val="24"/>
                <w:szCs w:val="24"/>
                <w:highlight w:val="none"/>
                <w:vertAlign w:val="baseline"/>
                <w:lang w:val="en-US" w:eastAsia="zh-CN"/>
              </w:rPr>
              <w:t xml:space="preserve">2</w:t>
            </w:r>
            <w:r/>
          </w:p>
        </w:tc>
        <w:tc>
          <w:tcPr>
            <w:tcW w:w="1704" w:type="dxa"/>
            <w:textDirection w:val="lrTb"/>
            <w:noWrap w:val="false"/>
          </w:tcPr>
          <w:p>
            <w:pPr>
              <w:pStyle w:val="648"/>
              <w:jc w:val="center"/>
              <w:keepLines w:val="0"/>
              <w:keepNext w:val="0"/>
              <w:pageBreakBefore w:val="0"/>
              <w:spacing w:before="120" w:beforeAutospacing="0" w:after="120" w:afterAutospacing="0" w:line="500" w:lineRule="exact"/>
              <w:widowControl w:val="off"/>
              <w:rPr>
                <w:rFonts w:hint="eastAsia" w:ascii="宋体" w:hAnsi="宋体" w:eastAsia="宋体" w:cs="宋体"/>
                <w:b/>
                <w:i/>
                <w:iCs/>
                <w:color w:val="000000"/>
                <w:sz w:val="24"/>
                <w:szCs w:val="24"/>
                <w:highlight w:val="none"/>
                <w:vertAlign w:val="baseline"/>
                <w:lang w:eastAsia="zh-CN"/>
              </w:rPr>
            </w:pPr>
            <w:r>
              <w:rPr>
                <w:rFonts w:hint="eastAsia" w:ascii="宋体" w:hAnsi="宋体" w:eastAsia="宋体" w:cs="宋体"/>
                <w:b/>
                <w:i/>
                <w:iCs/>
                <w:color w:val="000000"/>
                <w:sz w:val="24"/>
                <w:szCs w:val="24"/>
                <w:highlight w:val="none"/>
                <w:vertAlign w:val="baseline"/>
                <w:lang w:eastAsia="zh-CN"/>
              </w:rPr>
              <w:t xml:space="preserve">批次</w:t>
            </w:r>
            <w:r/>
          </w:p>
        </w:tc>
        <w:tc>
          <w:tcPr>
            <w:tcW w:w="1704" w:type="dxa"/>
            <w:textDirection w:val="lrTb"/>
            <w:noWrap w:val="false"/>
          </w:tcPr>
          <w:p>
            <w:pPr>
              <w:pStyle w:val="648"/>
              <w:jc w:val="center"/>
              <w:keepLines w:val="0"/>
              <w:keepNext w:val="0"/>
              <w:pageBreakBefore w:val="0"/>
              <w:spacing w:before="120" w:beforeAutospacing="0" w:after="120" w:afterAutospacing="0" w:line="500" w:lineRule="exact"/>
              <w:widowControl w:val="off"/>
              <w:rPr>
                <w:rFonts w:hint="default" w:ascii="宋体" w:hAnsi="宋体" w:eastAsia="宋体" w:cs="宋体"/>
                <w:b/>
                <w:i/>
                <w:iCs/>
                <w:color w:val="000000"/>
                <w:sz w:val="24"/>
                <w:szCs w:val="24"/>
                <w:highlight w:val="none"/>
                <w:vertAlign w:val="baseline"/>
                <w:lang w:val="en-US" w:eastAsia="zh-CN"/>
              </w:rPr>
            </w:pPr>
            <w:r>
              <w:rPr>
                <w:rFonts w:hint="eastAsia" w:ascii="宋体" w:hAnsi="宋体" w:eastAsia="宋体" w:cs="宋体"/>
                <w:b/>
                <w:i/>
                <w:iCs/>
                <w:color w:val="000000"/>
                <w:sz w:val="24"/>
                <w:szCs w:val="24"/>
                <w:highlight w:val="none"/>
                <w:vertAlign w:val="baseline"/>
                <w:lang w:val="en-US" w:eastAsia="zh-CN"/>
              </w:rPr>
              <w:t xml:space="preserve">250</w:t>
            </w:r>
            <w:r/>
          </w:p>
        </w:tc>
        <w:tc>
          <w:tcPr>
            <w:tcW w:w="1705" w:type="dxa"/>
            <w:textDirection w:val="lrTb"/>
            <w:noWrap w:val="false"/>
          </w:tcPr>
          <w:p>
            <w:pPr>
              <w:pStyle w:val="648"/>
              <w:jc w:val="center"/>
              <w:keepLines w:val="0"/>
              <w:keepNext w:val="0"/>
              <w:pageBreakBefore w:val="0"/>
              <w:spacing w:before="120" w:beforeAutospacing="0" w:after="120" w:afterAutospacing="0" w:line="500" w:lineRule="exact"/>
              <w:widowControl w:val="off"/>
              <w:rPr>
                <w:rFonts w:hint="eastAsia" w:ascii="宋体" w:hAnsi="宋体" w:eastAsia="宋体" w:cs="宋体"/>
                <w:b/>
                <w:i/>
                <w:iCs/>
                <w:color w:val="000000"/>
                <w:sz w:val="24"/>
                <w:szCs w:val="24"/>
                <w:highlight w:val="none"/>
                <w:vertAlign w:val="baseline"/>
              </w:rPr>
            </w:pPr>
            <w:r>
              <w:rPr>
                <w:rFonts w:hint="eastAsia" w:ascii="宋体" w:hAnsi="宋体" w:eastAsia="宋体" w:cs="宋体"/>
                <w:b/>
                <w:i/>
                <w:iCs/>
                <w:color w:val="000000"/>
                <w:sz w:val="24"/>
                <w:szCs w:val="24"/>
                <w:highlight w:val="none"/>
                <w:vertAlign w:val="baseline"/>
              </w:rPr>
            </w:r>
            <w:r/>
          </w:p>
        </w:tc>
        <w:tc>
          <w:tcPr>
            <w:tcW w:w="1705" w:type="dxa"/>
            <w:textDirection w:val="lrTb"/>
            <w:noWrap w:val="false"/>
          </w:tcPr>
          <w:p>
            <w:pPr>
              <w:pStyle w:val="648"/>
              <w:jc w:val="center"/>
              <w:keepLines w:val="0"/>
              <w:keepNext w:val="0"/>
              <w:pageBreakBefore w:val="0"/>
              <w:spacing w:before="120" w:beforeAutospacing="0" w:after="120" w:afterAutospacing="0" w:line="500" w:lineRule="exact"/>
              <w:widowControl w:val="off"/>
              <w:rPr>
                <w:rFonts w:hint="eastAsia" w:ascii="宋体" w:hAnsi="宋体" w:eastAsia="宋体" w:cs="宋体"/>
                <w:b/>
                <w:i/>
                <w:iCs/>
                <w:color w:val="000000"/>
                <w:sz w:val="24"/>
                <w:szCs w:val="24"/>
                <w:highlight w:val="none"/>
                <w:vertAlign w:val="baseline"/>
              </w:rPr>
            </w:pPr>
            <w:r>
              <w:rPr>
                <w:rFonts w:hint="eastAsia" w:ascii="宋体" w:hAnsi="宋体" w:eastAsia="宋体" w:cs="宋体"/>
                <w:b/>
                <w:i/>
                <w:iCs/>
                <w:color w:val="000000"/>
                <w:sz w:val="24"/>
                <w:szCs w:val="24"/>
                <w:highlight w:val="none"/>
                <w:vertAlign w:val="baseline"/>
              </w:rPr>
            </w:r>
            <w:r/>
          </w:p>
        </w:tc>
      </w:tr>
    </w:tbl>
    <w:p>
      <w:pPr>
        <w:pStyle w:val="648"/>
        <w:jc w:val="both"/>
        <w:keepLines w:val="0"/>
        <w:keepNext w:val="0"/>
        <w:pageBreakBefore w:val="0"/>
        <w:spacing w:before="120" w:beforeAutospacing="0" w:after="120" w:afterAutospacing="0" w:line="50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48"/>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三、技术资料</w:t>
      </w:r>
      <w:r/>
    </w:p>
    <w:p>
      <w:pPr>
        <w:pStyle w:val="648"/>
        <w:ind w:left="410" w:hanging="41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3.1乙方应按招标文件规定的时间向甲方提供服务（包含与服务相关的货物）的有关技术资料。</w:t>
      </w:r>
      <w:r/>
    </w:p>
    <w:p>
      <w:pPr>
        <w:pStyle w:val="648"/>
        <w:ind w:left="410" w:hanging="41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48"/>
        <w:ind w:left="412" w:hanging="41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四、知识产权</w:t>
      </w:r>
      <w:r/>
    </w:p>
    <w:p>
      <w:pPr>
        <w:pStyle w:val="648"/>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4.1乙方保证其对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rPr>
          <w:rFonts w:hint="eastAsia" w:ascii="宋体" w:hAnsi="宋体" w:eastAsia="宋体" w:cs="宋体"/>
          <w:color w:val="000000"/>
          <w:sz w:val="24"/>
          <w:szCs w:val="24"/>
          <w:highlight w:val="none"/>
          <w:lang w:val="en-US" w:eastAsia="zh-CN"/>
        </w:rPr>
        <w:t xml:space="preserve">。</w:t>
      </w:r>
      <w:r/>
    </w:p>
    <w:p>
      <w:pPr>
        <w:pStyle w:val="648"/>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五、产权担保</w:t>
      </w:r>
      <w:r/>
    </w:p>
    <w:p>
      <w:pPr>
        <w:pStyle w:val="648"/>
        <w:ind w:left="408" w:hanging="408"/>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5.1乙方保证所交付的服务（包含与服务相关的货物）的所有权完全属于乙方且无任何抵押、查封等产权瑕疵。</w:t>
      </w:r>
      <w:r/>
    </w:p>
    <w:p>
      <w:pPr>
        <w:pStyle w:val="648"/>
        <w:ind w:left="410" w:hanging="41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六、履约保证金</w:t>
      </w:r>
      <w:r/>
    </w:p>
    <w:p>
      <w:pPr>
        <w:ind w:firstLine="480"/>
        <w:spacing w:line="500" w:lineRule="exact"/>
        <w:rPr>
          <w:rFonts w:ascii="宋体" w:hAnsi="宋体" w:cs="宋体"/>
          <w:sz w:val="24"/>
          <w:szCs w:val="28"/>
        </w:rPr>
      </w:pPr>
      <w:r>
        <w:rPr>
          <w:rFonts w:hint="eastAsia" w:ascii="宋体" w:hAnsi="宋体" w:eastAsia="宋体" w:cs="宋体"/>
          <w:color w:val="000000"/>
          <w:sz w:val="24"/>
          <w:szCs w:val="24"/>
          <w:highlight w:val="none"/>
        </w:rPr>
        <w:t xml:space="preserve">6.1</w:t>
      </w:r>
      <w:r>
        <w:rPr>
          <w:rFonts w:hint="eastAsia" w:ascii="宋体" w:hAnsi="宋体" w:cs="宋体"/>
          <w:sz w:val="24"/>
          <w:szCs w:val="28"/>
        </w:rPr>
        <w:t xml:space="preserve">乙方在签订合同前须缴纳合同金额的10%的履约保证金，于合同履行完毕后无息退还。履约保证金可自主选择以支票、汇票、本票、保函等非现金形式缴纳或提交。</w:t>
      </w:r>
      <w:r/>
    </w:p>
    <w:p>
      <w:pPr>
        <w:ind w:firstLine="480"/>
        <w:spacing w:line="500" w:lineRule="exact"/>
        <w:rPr>
          <w:rFonts w:ascii="宋体" w:hAnsi="宋体" w:cs="宋体"/>
          <w:sz w:val="24"/>
          <w:szCs w:val="28"/>
        </w:rPr>
      </w:pPr>
      <w:r>
        <w:rPr>
          <w:rFonts w:hint="eastAsia" w:ascii="宋体" w:hAnsi="宋体" w:cs="宋体"/>
          <w:sz w:val="24"/>
          <w:szCs w:val="28"/>
        </w:rPr>
        <w:t xml:space="preserve">甲方对第三方信用服务机构依据标准规范评定为AA级及以上的政府采购供应商（需在签订采购合同前提供信用管理部门备案的第三方信用报告，且信用报告通过“信用盐城网”可查实），可降低履约保证金缴纳比例为50%。依据《关于在全省政府采购领域推行电子履约保函（保险）的通知》（苏财购〔2023〕150号），鼓励供应商自愿使用电子履约保函（保险）代替缴纳履约保证金）。</w:t>
      </w:r>
      <w:r/>
    </w:p>
    <w:p>
      <w:pPr>
        <w:pStyle w:val="648"/>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48"/>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48"/>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2确需收取履约保证金的，</w:t>
      </w:r>
      <w:r>
        <w:rPr>
          <w:rFonts w:hint="eastAsia" w:ascii="宋体" w:hAnsi="宋体" w:eastAsia="宋体" w:cs="宋体"/>
          <w:color w:val="auto"/>
          <w:sz w:val="24"/>
          <w:szCs w:val="24"/>
          <w:highlight w:val="none"/>
          <w:lang w:eastAsia="zh-CN"/>
        </w:rPr>
        <w:t xml:space="preserve">履约保证金的缴纳形式：</w:t>
      </w:r>
      <w:r/>
    </w:p>
    <w:p>
      <w:pPr>
        <w:pStyle w:val="648"/>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6.2.1</w:t>
      </w:r>
      <w:r>
        <w:rPr>
          <w:rFonts w:hint="eastAsia" w:ascii="宋体" w:hAnsi="宋体" w:eastAsia="宋体" w:cs="宋体"/>
          <w:color w:val="auto"/>
          <w:sz w:val="24"/>
          <w:szCs w:val="24"/>
          <w:highlight w:val="none"/>
        </w:rPr>
        <w:t xml:space="preserve">供应商应当以支票、汇票、本票或者金融机构、担保机构出具的保函等非现金形式提交</w:t>
      </w:r>
      <w:r>
        <w:rPr>
          <w:rFonts w:hint="eastAsia" w:ascii="宋体" w:hAnsi="宋体" w:eastAsia="宋体" w:cs="宋体"/>
          <w:color w:val="auto"/>
          <w:sz w:val="24"/>
          <w:szCs w:val="24"/>
          <w:highlight w:val="none"/>
          <w:lang w:eastAsia="zh-CN"/>
        </w:rPr>
        <w:t xml:space="preserve">履约保证金</w:t>
      </w:r>
      <w:r>
        <w:rPr>
          <w:rFonts w:hint="eastAsia" w:ascii="宋体" w:hAnsi="宋体" w:eastAsia="宋体" w:cs="宋体"/>
          <w:color w:val="auto"/>
          <w:sz w:val="24"/>
          <w:szCs w:val="24"/>
          <w:highlight w:val="none"/>
        </w:rPr>
        <w:t xml:space="preserve">。依据《关于在全省政府采购领域推行电子履约保函（保险）的通知》，鼓励供应商自愿使用</w:t>
      </w:r>
      <w:r>
        <w:rPr>
          <w:rFonts w:hint="eastAsia" w:ascii="宋体" w:hAnsi="宋体" w:eastAsia="宋体" w:cs="宋体"/>
          <w:color w:val="auto"/>
          <w:sz w:val="24"/>
          <w:szCs w:val="24"/>
          <w:highlight w:val="none"/>
          <w:lang w:eastAsia="zh-CN"/>
        </w:rPr>
        <w:t xml:space="preserve">电子</w:t>
      </w:r>
      <w:r>
        <w:rPr>
          <w:rFonts w:hint="eastAsia" w:ascii="宋体" w:hAnsi="宋体" w:eastAsia="宋体" w:cs="宋体"/>
          <w:color w:val="auto"/>
          <w:sz w:val="24"/>
          <w:szCs w:val="24"/>
          <w:highlight w:val="none"/>
        </w:rPr>
        <w:t xml:space="preserve">履约保函（保险）代替缴纳履约保证金</w:t>
      </w:r>
      <w:r>
        <w:rPr>
          <w:rFonts w:hint="eastAsia" w:ascii="宋体" w:hAnsi="宋体" w:eastAsia="宋体" w:cs="宋体"/>
          <w:color w:val="auto"/>
          <w:sz w:val="24"/>
          <w:szCs w:val="24"/>
          <w:highlight w:val="none"/>
          <w:lang w:eastAsia="zh-CN"/>
        </w:rPr>
        <w:t xml:space="preserve">。</w:t>
      </w:r>
      <w:r/>
    </w:p>
    <w:p>
      <w:pPr>
        <w:pStyle w:val="648"/>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6.2.2 如以履约保函（保险）形式缴纳履约保证金，供应商可通过政府采购电子履约保函（保险）平台（www.jsdzbh.com）在线申请履约保函（保险）。</w:t>
      </w:r>
      <w:r/>
    </w:p>
    <w:p>
      <w:pPr>
        <w:pStyle w:val="648"/>
        <w:ind w:left="408" w:hanging="408"/>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合同履行结束后，甲方应及时退还交纳的履约保证金。</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履约保证金的退还：</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.1方式：退还至投标人缴纳履约保证金的账户。如为保函，在到期时自行失效。</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.2时间：验收合格且采购人收到发票后30日内。</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.3条件：按合同要求全部履约完成并经采购人验收合格，且采购人收到中标人出具的发票。</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.4不予退还情形：</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除不可抗力情况外，投标人出现下列情形之一的，其履约保证金，招标人将视情节决定不予退还或部分不予退还。</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（1）中标人无正当理由拒绝签订合同的，或者在签订合同时向采购人提出附加条件或者更改合同实质性内容要求的；</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（2）中标人不履行与采购人订立的合同的；</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（3）中标人所供货物或服务不符合招标文件规定要求的；</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（4）中标人采取欺骗、弄虚作假方式投标的或与其它投标人串通投标的；</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（5）中标人将合同内容转包、违法分包的；</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（6）中标人故意捏造事实或伪造证明材料，进行虚假恶意投诉或反映的。</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.5逾期退还的违约责任：采购人逾期无故未退还履约保证金的，按中国人民银行同期贷款基准利率上浮20%后的利率支付超期资金占用费，但因供应商自身原因导致无法及时退还的除外。</w:t>
      </w:r>
      <w:r/>
    </w:p>
    <w:p>
      <w:pPr>
        <w:pStyle w:val="648"/>
        <w:jc w:val="both"/>
        <w:keepLines w:val="0"/>
        <w:keepNext w:val="0"/>
        <w:pageBreakBefore w:val="0"/>
        <w:spacing w:before="145" w:beforeAutospacing="0" w:after="145"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七、合同转包或分包</w:t>
      </w:r>
      <w:r/>
    </w:p>
    <w:p>
      <w:pPr>
        <w:pStyle w:val="648"/>
        <w:jc w:val="both"/>
        <w:keepLines w:val="0"/>
        <w:keepNext w:val="0"/>
        <w:pageBreakBefore w:val="0"/>
        <w:spacing w:before="145" w:beforeAutospacing="0" w:after="145"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7.1乙方不得将合同标的转包给他人履行。</w:t>
      </w:r>
      <w:r/>
    </w:p>
    <w:p>
      <w:pPr>
        <w:pStyle w:val="648"/>
        <w:jc w:val="both"/>
        <w:keepLines w:val="0"/>
        <w:keepNext w:val="0"/>
        <w:pageBreakBefore w:val="0"/>
        <w:spacing w:before="145" w:beforeAutospacing="0" w:after="145"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7.2乙方不得将合同标的分包给他人履行。</w:t>
      </w:r>
      <w:r/>
    </w:p>
    <w:p>
      <w:pPr>
        <w:pStyle w:val="648"/>
        <w:jc w:val="both"/>
        <w:keepLines w:val="0"/>
        <w:keepNext w:val="0"/>
        <w:pageBreakBefore w:val="0"/>
        <w:spacing w:before="145" w:beforeAutospacing="0" w:after="145"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或7.2乙方应当按照投标文件中提供的分包意向协议履行合同。</w:t>
      </w:r>
      <w:r/>
    </w:p>
    <w:p>
      <w:pPr>
        <w:pStyle w:val="648"/>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（备注：请项目经办人与采购人确定采用哪种说法。确定后该备注删除）</w:t>
      </w:r>
      <w:r/>
    </w:p>
    <w:p>
      <w:pPr>
        <w:pStyle w:val="648"/>
        <w:jc w:val="both"/>
        <w:keepLines w:val="0"/>
        <w:keepNext w:val="0"/>
        <w:pageBreakBefore w:val="0"/>
        <w:spacing w:before="145" w:beforeAutospacing="0" w:after="145"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7.3乙方如有转包或未经甲方同意的分包行为，甲方有权解除合同。</w:t>
      </w:r>
      <w:r/>
    </w:p>
    <w:p>
      <w:pPr>
        <w:pStyle w:val="648"/>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八、合同款项支付</w:t>
      </w:r>
      <w:r/>
    </w:p>
    <w:p>
      <w:pPr>
        <w:pStyle w:val="648"/>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8.1合同款项的支付方式及进度安排</w:t>
      </w:r>
      <w:r/>
    </w:p>
    <w:p>
      <w:pPr>
        <w:pStyle w:val="648"/>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8.1.1 付款方式：本合同项下的采购资金由甲方支付，合同签订后，甲方收到乙方发票后10个工作日内支付合同总价30%的预付款。乙方按甲方要求分批抽样检验，提供检验报告书并确认无误后，按照</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none"/>
        </w:rPr>
        <w:t xml:space="preserve">元/批次，分批给付检测费用直至结清</w:t>
      </w:r>
      <w:r>
        <w:rPr>
          <w:rFonts w:hint="eastAsia" w:ascii="宋体" w:hAnsi="宋体" w:eastAsia="宋体" w:cs="宋体"/>
          <w:color w:val="000000"/>
          <w:sz w:val="24"/>
          <w:szCs w:val="24"/>
          <w:highlight w:val="none"/>
          <w:u w:val="none"/>
          <w:lang w:eastAsia="zh-CN"/>
        </w:rPr>
        <w:t xml:space="preserve">（预付款在</w:t>
      </w:r>
      <w:r>
        <w:rPr>
          <w:rFonts w:hint="eastAsia" w:ascii="宋体" w:hAnsi="宋体" w:eastAsia="宋体" w:cs="宋体"/>
          <w:color w:val="000000"/>
          <w:sz w:val="24"/>
          <w:szCs w:val="24"/>
          <w:highlight w:val="none"/>
          <w:u w:val="none"/>
        </w:rPr>
        <w:t xml:space="preserve">分批抽样检验</w:t>
      </w:r>
      <w:r>
        <w:rPr>
          <w:rFonts w:hint="eastAsia" w:ascii="宋体" w:hAnsi="宋体" w:eastAsia="宋体" w:cs="宋体"/>
          <w:color w:val="000000"/>
          <w:sz w:val="24"/>
          <w:szCs w:val="24"/>
          <w:highlight w:val="none"/>
          <w:u w:val="none"/>
          <w:lang w:eastAsia="zh-CN"/>
        </w:rPr>
        <w:t xml:space="preserve">费用中分批次扣回）</w:t>
      </w:r>
      <w:r>
        <w:rPr>
          <w:rFonts w:hint="eastAsia" w:ascii="宋体" w:hAnsi="宋体" w:eastAsia="宋体" w:cs="宋体"/>
          <w:color w:val="000000"/>
          <w:sz w:val="24"/>
          <w:szCs w:val="24"/>
          <w:highlight w:val="none"/>
          <w:u w:val="none"/>
        </w:rPr>
        <w:t xml:space="preserve">。（注：以上付款均不计任何利息和相关费用，付款一律通过银行结转）</w:t>
      </w:r>
      <w:r/>
    </w:p>
    <w:p>
      <w:pPr>
        <w:pStyle w:val="648"/>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lang w:val="en-US" w:eastAsia="zh-CN"/>
        </w:rPr>
        <w:t xml:space="preserve">8</w:t>
      </w:r>
      <w:r>
        <w:rPr>
          <w:rFonts w:hint="eastAsia" w:ascii="宋体" w:hAnsi="宋体" w:eastAsia="宋体" w:cs="宋体"/>
          <w:color w:val="000000"/>
          <w:sz w:val="24"/>
          <w:szCs w:val="24"/>
          <w:highlight w:val="none"/>
          <w:u w:val="none"/>
        </w:rPr>
        <w:t xml:space="preserve">.2当采购数量与实际使用数量不一致时，乙方应根据实际使用量提供，合同的最终结算金额按实际使用量乘以成交单价进行计算。</w:t>
      </w:r>
      <w:r/>
    </w:p>
    <w:p>
      <w:pPr>
        <w:pStyle w:val="648"/>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lang w:val="en-US" w:eastAsia="zh-CN"/>
        </w:rPr>
        <w:t xml:space="preserve">8</w:t>
      </w:r>
      <w:r>
        <w:rPr>
          <w:rFonts w:hint="eastAsia" w:ascii="宋体" w:hAnsi="宋体" w:eastAsia="宋体" w:cs="宋体"/>
          <w:color w:val="000000"/>
          <w:sz w:val="24"/>
          <w:szCs w:val="24"/>
          <w:highlight w:val="none"/>
          <w:u w:val="none"/>
        </w:rPr>
        <w:t xml:space="preserve">.3如需向与财政部门签署融资合作协议的银行办理授信申请的, 需在协作银行开立结算户作为回款专用户，作为该笔合同唯一的收款帐户，供货结束货款结算时，财政部门将政府采购款项直接支付到该账户。</w:t>
      </w:r>
      <w:r/>
    </w:p>
    <w:p>
      <w:pPr>
        <w:pStyle w:val="648"/>
        <w:jc w:val="both"/>
        <w:keepLines w:val="0"/>
        <w:keepNext w:val="0"/>
        <w:pageBreakBefore w:val="0"/>
        <w:spacing w:before="145" w:beforeAutospacing="0" w:after="145"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九、税费</w:t>
      </w:r>
      <w:r/>
    </w:p>
    <w:p>
      <w:pPr>
        <w:pStyle w:val="648"/>
        <w:jc w:val="both"/>
        <w:keepLines w:val="0"/>
        <w:keepNext w:val="0"/>
        <w:pageBreakBefore w:val="0"/>
        <w:spacing w:before="145" w:beforeAutospacing="0" w:after="145"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9.1本合同执行中相关的一切税费均由乙方负担。</w:t>
      </w:r>
      <w:r/>
    </w:p>
    <w:p>
      <w:pPr>
        <w:pStyle w:val="648"/>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十、项目验收</w:t>
      </w:r>
      <w:r/>
    </w:p>
    <w:p>
      <w:pPr>
        <w:pStyle w:val="648"/>
        <w:ind w:left="480" w:hanging="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10.1甲方依法组织履约验收工作。</w:t>
      </w:r>
      <w:r/>
    </w:p>
    <w:p>
      <w:pPr>
        <w:pStyle w:val="648"/>
        <w:ind w:left="480" w:hanging="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648"/>
        <w:ind w:left="480" w:hanging="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10.3对于实际使用人和甲方分离的项目，甲方邀请实际使用人参与验收。</w:t>
      </w:r>
      <w:r/>
    </w:p>
    <w:p>
      <w:pPr>
        <w:pStyle w:val="648"/>
        <w:ind w:left="480" w:hanging="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10.4如有必要，甲方邀请参加本项目的其他供应商或第三方专业机构及专家参与验收，相关意见将作为验收书的参考资料。</w:t>
      </w:r>
      <w:r/>
    </w:p>
    <w:p>
      <w:pPr>
        <w:pStyle w:val="648"/>
        <w:ind w:left="480" w:hanging="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648"/>
        <w:ind w:left="480" w:hanging="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10.6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648"/>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十一、违约责任</w:t>
      </w:r>
      <w:r/>
    </w:p>
    <w:p>
      <w:pPr>
        <w:pStyle w:val="648"/>
        <w:ind w:left="410" w:hanging="41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11.1甲方无正当理由拒绝接受乙方提供服务的，甲方向乙方偿付拒绝接受服务合同价款总值</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10%</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的违约金。</w:t>
      </w:r>
      <w:r/>
    </w:p>
    <w:p>
      <w:pPr>
        <w:pStyle w:val="648"/>
        <w:ind w:left="410" w:hanging="41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11.2甲方无故逾期验收和办理合同款项支付手续的,甲方应按逾期付款总额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1‰</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每日向乙方支付违约金。</w:t>
      </w:r>
      <w:r/>
    </w:p>
    <w:p>
      <w:pPr>
        <w:pStyle w:val="648"/>
        <w:ind w:left="410" w:hanging="41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1‰</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的违约金，如造成甲方损失超过违约金的，超出部分由乙方继续承担赔偿责任。 </w:t>
      </w:r>
      <w:r/>
    </w:p>
    <w:p>
      <w:pPr>
        <w:pStyle w:val="648"/>
        <w:ind w:left="410" w:hanging="41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11.4乙方所提供服务的标准不符合合同规定及招标文件规定标准的，甲方有权拒绝接受服务，并可单方面解除合同。</w:t>
      </w:r>
      <w:r/>
    </w:p>
    <w:p>
      <w:pPr>
        <w:pStyle w:val="648"/>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十二、不可抗力事件处理</w:t>
      </w:r>
      <w:r/>
    </w:p>
    <w:p>
      <w:pPr>
        <w:pStyle w:val="648"/>
        <w:ind w:left="480" w:hanging="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12.1在合同有效期内，任何一方因不可抗力事件导致不能履行合同，则合同履行期可延长，其延长期与不可抗力影响 期相同。</w:t>
      </w:r>
      <w:r/>
    </w:p>
    <w:p>
      <w:pPr>
        <w:pStyle w:val="648"/>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12.2不可抗力事件发生后，应立即通知对方，并寄送有关权威机构出具的证明。</w:t>
      </w:r>
      <w:r/>
    </w:p>
    <w:p>
      <w:pPr>
        <w:pStyle w:val="648"/>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12.3不可抗力事件延续120天以上，双方应通过友好协商，确定是否继续履行合同。</w:t>
      </w:r>
      <w:r/>
    </w:p>
    <w:p>
      <w:pPr>
        <w:pStyle w:val="648"/>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十三、解决争议的方法</w:t>
      </w:r>
      <w:r/>
    </w:p>
    <w:p>
      <w:pPr>
        <w:pStyle w:val="648"/>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13.1双方在签订、履行合同中所发生的一切争议，应通过友好协商解决。如协商不成，由甲方住所地人民法院管辖。</w:t>
      </w:r>
      <w:r/>
    </w:p>
    <w:p>
      <w:pPr>
        <w:pStyle w:val="648"/>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十四、合同生效及其它</w:t>
      </w:r>
      <w:r/>
    </w:p>
    <w:p>
      <w:pPr>
        <w:pStyle w:val="648"/>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14.1合同经双方法定代表人或授权委托代表人签字并加盖单位公章后生效。</w:t>
      </w:r>
      <w:r/>
    </w:p>
    <w:p>
      <w:pPr>
        <w:pStyle w:val="648"/>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14.2本合同未尽事宜，遵照《民法典》、《政府采购法》有关条文执行。</w:t>
      </w:r>
      <w:r/>
    </w:p>
    <w:p>
      <w:pPr>
        <w:pStyle w:val="648"/>
        <w:ind w:left="480" w:hanging="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14.3 本合同正本一式</w:t>
      </w:r>
      <w:r>
        <w:rPr>
          <w:rFonts w:hint="eastAsia" w:ascii="宋体" w:hAnsi="宋体" w:eastAsia="宋体" w:cs="宋体"/>
          <w:color w:val="000000"/>
          <w:sz w:val="24"/>
          <w:szCs w:val="24"/>
          <w:highlight w:val="none"/>
          <w:lang w:eastAsia="zh-CN"/>
        </w:rPr>
        <w:t xml:space="preserve">四</w:t>
      </w:r>
      <w:r>
        <w:rPr>
          <w:rFonts w:hint="eastAsia" w:ascii="宋体" w:hAnsi="宋体" w:eastAsia="宋体" w:cs="宋体"/>
          <w:color w:val="000000"/>
          <w:sz w:val="24"/>
          <w:szCs w:val="24"/>
          <w:highlight w:val="none"/>
        </w:rPr>
        <w:t xml:space="preserve">份，具有同等法律效力，甲方、乙方各执</w:t>
      </w:r>
      <w:r>
        <w:rPr>
          <w:rFonts w:hint="eastAsia" w:ascii="宋体" w:hAnsi="宋体" w:eastAsia="宋体" w:cs="宋体"/>
          <w:color w:val="000000"/>
          <w:sz w:val="24"/>
          <w:szCs w:val="24"/>
          <w:highlight w:val="none"/>
          <w:lang w:eastAsia="zh-CN"/>
        </w:rPr>
        <w:t xml:space="preserve">二</w:t>
      </w:r>
      <w:r>
        <w:rPr>
          <w:rFonts w:hint="eastAsia" w:ascii="宋体" w:hAnsi="宋体" w:eastAsia="宋体" w:cs="宋体"/>
          <w:color w:val="000000"/>
          <w:sz w:val="24"/>
          <w:szCs w:val="24"/>
          <w:highlight w:val="none"/>
        </w:rPr>
        <w:t xml:space="preserve">份。</w:t>
      </w:r>
      <w:r/>
    </w:p>
    <w:p>
      <w:pPr>
        <w:pStyle w:val="648"/>
        <w:ind w:left="480" w:hanging="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  甲方：                        乙方： </w:t>
      </w:r>
      <w:r/>
    </w:p>
    <w:p>
      <w:pPr>
        <w:pStyle w:val="648"/>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  地址：                        地址： </w:t>
      </w:r>
      <w:r/>
    </w:p>
    <w:p>
      <w:pPr>
        <w:pStyle w:val="648"/>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  法定代表人或授权代表：        法定代表人或授权代表：</w:t>
      </w:r>
      <w:r/>
    </w:p>
    <w:p>
      <w:pPr>
        <w:pStyle w:val="648"/>
        <w:ind w:firstLine="24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联系电话：               联系电话：          </w:t>
      </w:r>
      <w:r/>
    </w:p>
    <w:p>
      <w:pPr>
        <w:pStyle w:val="648"/>
        <w:jc w:val="center"/>
        <w:keepLines w:val="0"/>
        <w:keepNext w:val="0"/>
        <w:pageBreakBefore w:val="0"/>
        <w:spacing w:before="120" w:beforeAutospacing="0" w:after="120" w:afterAutospacing="0" w:line="500" w:lineRule="exact"/>
        <w:widowControl w:val="off"/>
        <w:rPr>
          <w:highlight w:val="none"/>
        </w:rPr>
      </w:pPr>
      <w:r>
        <w:rPr>
          <w:rFonts w:hint="eastAsia" w:ascii="宋体" w:hAnsi="宋体" w:eastAsia="宋体" w:cs="宋体"/>
          <w:color w:val="000000"/>
          <w:sz w:val="24"/>
          <w:szCs w:val="24"/>
          <w:highlight w:val="none"/>
        </w:rPr>
        <w:t xml:space="preserve">                                          签订日期：      年    月   日</w:t>
      </w:r>
      <w:bookmarkStart w:id="183" w:name="_Toc479757211"/>
      <w:r/>
      <w:bookmarkStart w:id="184" w:name="_Toc462564139"/>
      <w:r/>
      <w:bookmarkStart w:id="185" w:name="_Hlt16619350"/>
      <w:r/>
      <w:bookmarkStart w:id="186" w:name="_Toc120614244"/>
      <w:r/>
      <w:bookmarkStart w:id="187" w:name="_Toc16938590"/>
      <w:r/>
      <w:bookmarkStart w:id="188" w:name="_Toc20823346"/>
      <w:r/>
      <w:bookmarkStart w:id="189" w:name="_Hlt16619369"/>
      <w:r>
        <w:rPr>
          <w:rFonts w:hint="eastAsia" w:ascii="黑体" w:hAnsi="宋体" w:eastAsia="黑体" w:cs="黑体"/>
          <w:color w:val="000000"/>
          <w:sz w:val="24"/>
          <w:szCs w:val="24"/>
          <w:highlight w:val="none"/>
        </w:rPr>
        <w:br w:type="page" w:clear="all"/>
      </w:r>
      <w:r>
        <w:rPr>
          <w:rFonts w:hint="eastAsia" w:ascii="黑体" w:hAnsi="宋体" w:eastAsia="黑体" w:cs="黑体"/>
          <w:color w:val="000000"/>
          <w:sz w:val="44"/>
          <w:szCs w:val="44"/>
          <w:highlight w:val="none"/>
        </w:rPr>
        <w:t xml:space="preserve"> 第</w:t>
      </w:r>
      <w:bookmarkEnd w:id="183"/>
      <w:r>
        <w:rPr>
          <w:rFonts w:hint="eastAsia" w:ascii="黑体" w:hAnsi="宋体" w:eastAsia="黑体" w:cs="黑体"/>
          <w:color w:val="000000"/>
          <w:sz w:val="44"/>
          <w:szCs w:val="44"/>
          <w:highlight w:val="none"/>
        </w:rPr>
        <w:t xml:space="preserve">四章 采购需求</w:t>
      </w:r>
      <w:bookmarkEnd w:id="184"/>
      <w:r/>
      <w:bookmarkEnd w:id="185"/>
      <w:r/>
      <w:bookmarkEnd w:id="186"/>
      <w:r/>
      <w:bookmarkEnd w:id="187"/>
      <w:r/>
      <w:bookmarkEnd w:id="188"/>
      <w:r/>
      <w:r/>
    </w:p>
    <w:p>
      <w:pPr>
        <w:pStyle w:val="648"/>
        <w:ind w:firstLine="480"/>
        <w:jc w:val="both"/>
        <w:spacing w:beforeAutospacing="0" w:afterAutospacing="0" w:line="0" w:lineRule="atLeast"/>
        <w:rPr>
          <w:rFonts w:hint="eastAsia" w:ascii="宋体" w:hAnsi="宋体" w:eastAsia="宋体" w:cs="宋体"/>
          <w:color w:val="000000"/>
          <w:sz w:val="24"/>
          <w:szCs w:val="24"/>
          <w:highlight w:val="none"/>
        </w:rPr>
      </w:pPr>
      <w:r/>
      <w:bookmarkStart w:id="190" w:name="_Toc49090575"/>
      <w:r/>
      <w:bookmarkStart w:id="191" w:name="_Toc26554093"/>
      <w:r>
        <w:rPr>
          <w:rFonts w:hint="eastAsia" w:ascii="宋体" w:hAnsi="宋体" w:eastAsia="宋体" w:cs="宋体"/>
          <w:color w:val="000000"/>
          <w:sz w:val="24"/>
          <w:szCs w:val="24"/>
          <w:highlight w:val="none"/>
        </w:rPr>
        <w:t xml:space="preserve">项目属性:服务类项目。</w:t>
      </w:r>
      <w:bookmarkEnd w:id="190"/>
      <w:r/>
      <w:bookmarkEnd w:id="191"/>
      <w:r/>
      <w:r/>
    </w:p>
    <w:p>
      <w:pPr>
        <w:pStyle w:val="648"/>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采购需求包括拟采购的标的及其需要满足的技术、商务要求。</w:t>
      </w:r>
      <w:r/>
    </w:p>
    <w:p>
      <w:pPr>
        <w:pStyle w:val="648"/>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w:t>
      </w:r>
      <w:r/>
    </w:p>
    <w:tbl>
      <w:tblPr>
        <w:tblStyle w:val="643"/>
        <w:tblW w:w="83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60"/>
        <w:gridCol w:w="855"/>
        <w:gridCol w:w="960"/>
        <w:gridCol w:w="4305"/>
        <w:gridCol w:w="780"/>
        <w:gridCol w:w="780"/>
      </w:tblGrid>
      <w:tr>
        <w:trPr>
          <w:trHeight w:val="87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2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数量</w:t>
            </w:r>
            <w:r/>
          </w:p>
        </w:tc>
      </w:tr>
      <w:tr>
        <w:trPr>
          <w:trHeight w:val="470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采购包1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种植业</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1、蔬菜、水果类</w:t>
            </w:r>
            <w:r/>
          </w:p>
        </w:tc>
        <w:tc>
          <w:tcPr>
            <w:shd w:val="clear" w:color="auto" w:fill="auto"/>
            <w:tcBorders>
              <w:top w:val="single" w:color="000000" w:sz="4" w:space="0"/>
              <w:left w:val="single" w:color="000000" w:sz="4" w:space="0"/>
              <w:bottom w:val="single" w:color="000000" w:sz="4" w:space="0"/>
              <w:right w:val="single" w:color="000000" w:sz="4" w:space="0"/>
            </w:tcBorders>
            <w:tcW w:w="430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甲胺磷、对硫磷、甲基对硫磷、六六六、甲拌磷（包括甲拌磷砜和甲拌磷亚砜）、水胺硫磷、甲基异柳磷、灭线磷；氧乐果、克百威（包括3-羟基克百威）、涕灭威（包括涕灭威砜和涕灭威亚砜）、毒死蜱、三唑磷、乐果、乙酰甲胺磷、灭多威、内吸磷、硫环磷、氯唑磷；敌</w:t>
            </w:r>
            <w:r>
              <w:rPr>
                <w:rFonts w:hint="eastAsia" w:ascii="宋体" w:hAnsi="宋体" w:eastAsia="宋体" w:cs="宋体"/>
                <w:i w:val="0"/>
                <w:iCs w:val="0"/>
                <w:color w:val="000000"/>
                <w:sz w:val="20"/>
                <w:szCs w:val="20"/>
                <w:u w:val="none"/>
                <w:lang w:val="en-US" w:eastAsia="zh-CN" w:bidi="ar"/>
              </w:rPr>
              <w:t xml:space="preserve">敌畏、丙溴磷、辛硫磷、氰戊菊酯、甲氰菊酯、溴氰菊酯、联苯菊酯、三唑酮、异菌脲、腐霉利、多菌灵、吡虫啉、倍硫磷、敌百虫、三氯杀螨醇；氯氰菊酯、氯氟氰菊酯、氟氯氰菊酯、百菌清、五氯硝基苯、氟虫腈（包括氟甲腈、氟虫腈硫醚、氟虫腈砜）；啶虫脒、哒螨灵、苯醚甲环唑、嘧霉胺、甲氨基阿维菌素苯甲酸盐、烯酰吗啉、咪鲜胺、嘧菌酯、二甲戊灵、噻虫嗪、氟啶脲、灭幼脲、甲霜灵、霜霉威、多效唑、氯吡脲、氯虫苯甲酰胺、戊唑醇、虫酰肼、吡唑醚菌酯、除虫脲、抑霉唑、丙环唑、虫螨腈、灭蝇胺、阿维菌素、丁硫克百威、乙基多杀菌素、多杀霉素、噻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jc w:val="center"/>
              <w:keepLines w:val="0"/>
              <w:keepNext w:val="0"/>
              <w:widowControl/>
              <w:rPr>
                <w:rFonts w:ascii="Calibri" w:hAnsi="Calibri" w:eastAsia="宋体" w:cs="Calibri"/>
                <w:i w:val="0"/>
                <w:iCs w:val="0"/>
                <w:color w:val="000000"/>
                <w:sz w:val="20"/>
                <w:szCs w:val="20"/>
                <w:u w:val="none"/>
              </w:rPr>
              <w:suppressLineNumbers w:val="0"/>
            </w:pPr>
            <w:r>
              <w:rPr>
                <w:rFonts w:hint="default" w:ascii="Calibri" w:hAnsi="Calibri" w:eastAsia="宋体" w:cs="Calibri"/>
                <w:i w:val="0"/>
                <w:iCs w:val="0"/>
                <w:color w:val="000000"/>
                <w:sz w:val="20"/>
                <w:szCs w:val="20"/>
                <w:u w:val="none"/>
                <w:lang w:val="en-US" w:eastAsia="zh-CN" w:bidi="ar"/>
              </w:rPr>
              <w:t xml:space="preserve">450</w:t>
            </w:r>
            <w:r/>
          </w:p>
        </w:tc>
      </w:tr>
      <w:tr>
        <w:trPr>
          <w:trHeight w:val="226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2、稻谷</w:t>
            </w:r>
            <w:r/>
          </w:p>
        </w:tc>
        <w:tc>
          <w:tcPr>
            <w:shd w:val="clear" w:color="auto" w:fill="auto"/>
            <w:tcBorders>
              <w:top w:val="single" w:color="000000" w:sz="4" w:space="0"/>
              <w:left w:val="single" w:color="000000" w:sz="4" w:space="0"/>
              <w:bottom w:val="single" w:color="000000" w:sz="4" w:space="0"/>
              <w:right w:val="single" w:color="000000" w:sz="4" w:space="0"/>
            </w:tcBorders>
            <w:tcW w:w="430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禁用农药（2个）：甲胺磷、氟虫腈；常规农药（31个）：三唑磷、毒死蜱、克百威、稻瘟灵、氯虫苯甲酰胺、苯醚甲环唑、吡蚜酮、嘧菌酯、丙环唑、戊唑醇、吡虫啉、噻虫嗪、多菌灵、啶虫脒、噻虫胺、仲丁威、咪鲜胺、水胺硫磷、噻嗪酮、烯啶虫胺、异丙威、三唑酮、乐果、三环唑、肟菌酯、辛硫磷、杀螟丹、茚虫威、稻瘟酰胺、吡唑醚菌酯、噻呋酰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sz w:val="20"/>
                <w:szCs w:val="20"/>
                <w:u w:val="none"/>
              </w:rPr>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3、小麦</w:t>
            </w:r>
            <w:r/>
          </w:p>
        </w:tc>
        <w:tc>
          <w:tcPr>
            <w:shd w:val="clear" w:color="auto" w:fill="auto"/>
            <w:tcBorders>
              <w:top w:val="single" w:color="000000" w:sz="4" w:space="0"/>
              <w:left w:val="single" w:color="000000" w:sz="4" w:space="0"/>
              <w:bottom w:val="single" w:color="000000" w:sz="4" w:space="0"/>
              <w:right w:val="single" w:color="000000" w:sz="4" w:space="0"/>
            </w:tcBorders>
            <w:tcW w:w="430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禁用农药（2个）：甲胺磷、氟虫腈；常规农药（27个）： 毒死蜱、克百威、苯醚甲环唑、吡蚜酮、嘧菌酯、丙环唑、戊唑醇、吡虫啉、噻虫嗪、多菌灵、啶虫脒、噻虫胺、咪鲜胺、异丙威、三唑酮、乐果、肟菌酯、辛硫磷、氰戊菊酯、氰烯菌酯、丙硫菌唑、吡唑醚菌酯、噻呋酰胺、氟唑菌酰羟胺、氯虫苯甲酰胺、噻嗪酮、烯啶虫胺、三环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sz w:val="20"/>
                <w:szCs w:val="20"/>
                <w:u w:val="none"/>
              </w:rPr>
            </w:r>
            <w:r/>
          </w:p>
        </w:tc>
      </w:tr>
      <w:tr>
        <w:trPr>
          <w:trHeight w:val="32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畜禽类</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1、猪肉、猪肝、牛肉、羊肉</w:t>
            </w:r>
            <w:r/>
          </w:p>
        </w:tc>
        <w:tc>
          <w:tcPr>
            <w:shd w:val="clear" w:color="auto" w:fill="auto"/>
            <w:tcBorders>
              <w:top w:val="single" w:color="000000" w:sz="4" w:space="0"/>
              <w:left w:val="single" w:color="000000" w:sz="4" w:space="0"/>
              <w:bottom w:val="single" w:color="000000" w:sz="4" w:space="0"/>
              <w:right w:val="single" w:color="000000" w:sz="4" w:space="0"/>
            </w:tcBorders>
            <w:tcW w:w="430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β-受体激动剂类（克伦特罗、莱克多巴胺、沙丁胺醇、特布他林、西马特罗、非诺特罗、氯丙那林、妥布特罗、喷布特罗）、磺胺类（磺胺间甲氧嘧啶、磺胺二甲嘧啶、磺胺甲噁唑、磺胺（间）二甲氧嘧啶、磺胺喹噁啉），四环素类（金霉素、土霉素、四环素、多西环素）、糖皮质激素类（地塞米松、倍他米松）</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禽肉：酰胺醇类（氯霉素，氟苯尼考、氟苯尼考胺、甲砜霉素）、氟喹诺酮类（氧氟沙星、培氟沙星、诺氟沙星、洛美沙星，恩诺沙星、环丙沙星、沙拉沙星、达氟沙星）、抗菌增效剂（甲氧苄啶）、金刚烷胺</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2、禽蛋</w:t>
            </w:r>
            <w:r/>
          </w:p>
        </w:tc>
        <w:tc>
          <w:tcPr>
            <w:shd w:val="clear" w:color="auto" w:fill="auto"/>
            <w:tcBorders>
              <w:top w:val="single" w:color="000000" w:sz="4" w:space="0"/>
              <w:left w:val="single" w:color="000000" w:sz="4" w:space="0"/>
              <w:bottom w:val="single" w:color="000000" w:sz="4" w:space="0"/>
              <w:right w:val="single" w:color="000000" w:sz="4" w:space="0"/>
            </w:tcBorders>
            <w:tcW w:w="430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酰胺醇类（氯霉素，氟苯尼考、氟苯尼考胺、甲砜霉素）、氟喹诺酮类（氧氟沙星、培氟沙星、诺氟沙星、洛美沙星、恩诺沙星、环丙沙星、沙拉沙星、达氟沙星）、金刚烷胺、四环素类（多西环素）</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86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水产类</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水产</w:t>
            </w:r>
            <w:r/>
          </w:p>
        </w:tc>
        <w:tc>
          <w:tcPr>
            <w:shd w:val="clear" w:color="auto" w:fill="auto"/>
            <w:tcBorders>
              <w:top w:val="single" w:color="000000" w:sz="4" w:space="0"/>
              <w:left w:val="single" w:color="000000" w:sz="4" w:space="0"/>
              <w:bottom w:val="single" w:color="000000" w:sz="4" w:space="0"/>
              <w:right w:val="single" w:color="000000" w:sz="4" w:space="0"/>
            </w:tcBorders>
            <w:tcW w:w="430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氯霉素、酰胺醇类（甲砜霉素、氟苯尼考、氟苯尼考胺）、硝基呋喃类代谢物</w:t>
            </w:r>
            <w:r>
              <w:rPr>
                <w:rFonts w:hint="eastAsia" w:ascii="宋体" w:hAnsi="宋体" w:eastAsia="宋体" w:cs="宋体"/>
                <w:i w:val="0"/>
                <w:iCs w:val="0"/>
                <w:color w:val="000000"/>
                <w:sz w:val="20"/>
                <w:szCs w:val="20"/>
                <w:u w:val="none"/>
                <w:lang w:val="en-US" w:eastAsia="zh-CN" w:bidi="ar"/>
              </w:rPr>
              <w:t xml:space="preserve">（呋喃唑酮代谢物、呋喃它酮代谢物、呋喃西林代谢物、呋喃妥因代谢物）、孔雀石绿（包括有色孔雀石绿和无色孔雀石绿）、地西泮、磺胺类（磺胺嘧啶、磺胺二甲基嘧啶、磺胺甲基异噁唑、磺胺异噁唑、磺胺间二甲氧嘧啶、磺胺噻唑、磺胺甲基嘧啶、磺胺多辛、磺胺喹噁啉、磺胺间甲氧嘧啶、磺胺氯哒嗪和磺胺甲噻二唑）、四环素类（四环素、土霉素、金霉素、多西环素）、氟喹诺酮类（诺氟沙星、氧氟沙星、培氟沙星、洛美沙星）、氟喹诺酮类（恩诺沙星、环丙沙星）、抗菌增效剂（甲氧苄啶）。注：只有淡水鱼类检测地西泮，虾蟹类呋喃西林代谢物SEM 不作判定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default" w:ascii="Calibri" w:hAnsi="Calibri" w:eastAsia="宋体" w:cs="Calibri"/>
                <w:i w:val="0"/>
                <w:iCs w:val="0"/>
                <w:color w:val="000000"/>
                <w:sz w:val="20"/>
                <w:szCs w:val="20"/>
                <w:u w:val="none"/>
              </w:rPr>
              <w:suppressLineNumbers w:val="0"/>
            </w:pPr>
            <w:r>
              <w:rPr>
                <w:rFonts w:hint="default" w:ascii="Calibri" w:hAnsi="Calibri" w:eastAsia="宋体" w:cs="Calibri"/>
                <w:i w:val="0"/>
                <w:iCs w:val="0"/>
                <w:color w:val="000000"/>
                <w:sz w:val="20"/>
                <w:szCs w:val="20"/>
                <w:u w:val="none"/>
                <w:lang w:val="en-US" w:eastAsia="zh-CN" w:bidi="ar"/>
              </w:rPr>
              <w:t xml:space="preserve">100</w:t>
            </w:r>
            <w:r/>
          </w:p>
        </w:tc>
      </w:tr>
    </w:tbl>
    <w:p>
      <w:pPr>
        <w:pStyle w:val="648"/>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48"/>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48"/>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48"/>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48"/>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48"/>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48"/>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48"/>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48"/>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48"/>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48"/>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bl>
      <w:tblPr>
        <w:tblStyle w:val="643"/>
        <w:tblW w:w="83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60"/>
        <w:gridCol w:w="855"/>
        <w:gridCol w:w="960"/>
        <w:gridCol w:w="4305"/>
        <w:gridCol w:w="780"/>
        <w:gridCol w:w="780"/>
      </w:tblGrid>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2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数量</w:t>
            </w:r>
            <w:r/>
          </w:p>
        </w:tc>
      </w:tr>
      <w:tr>
        <w:trPr>
          <w:trHeight w:val="470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采购包2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种植业</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1、蔬菜、水果类</w:t>
            </w:r>
            <w:r/>
          </w:p>
        </w:tc>
        <w:tc>
          <w:tcPr>
            <w:shd w:val="clear" w:color="auto" w:fill="auto"/>
            <w:tcBorders>
              <w:top w:val="single" w:color="000000" w:sz="4" w:space="0"/>
              <w:left w:val="single" w:color="000000" w:sz="4" w:space="0"/>
              <w:bottom w:val="single" w:color="000000" w:sz="4" w:space="0"/>
              <w:right w:val="single" w:color="000000" w:sz="4" w:space="0"/>
            </w:tcBorders>
            <w:tcW w:w="430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甲胺磷、对硫磷、甲基对硫磷、六六六、甲拌磷（包括甲拌磷砜和甲拌磷亚砜）、水胺硫磷、甲基异柳磷、灭线磷；氧乐果、克百威（包括3-羟基克百威）、涕灭威（包括涕灭威砜和涕灭威亚砜）、毒死蜱、三唑磷、乐果、乙酰甲胺磷、灭多威、内吸磷、硫环磷、氯唑磷；敌</w:t>
            </w:r>
            <w:r>
              <w:rPr>
                <w:rFonts w:hint="eastAsia" w:ascii="宋体" w:hAnsi="宋体" w:eastAsia="宋体" w:cs="宋体"/>
                <w:i w:val="0"/>
                <w:iCs w:val="0"/>
                <w:color w:val="000000"/>
                <w:sz w:val="20"/>
                <w:szCs w:val="20"/>
                <w:u w:val="none"/>
                <w:lang w:val="en-US" w:eastAsia="zh-CN" w:bidi="ar"/>
              </w:rPr>
              <w:t xml:space="preserve">敌畏、丙溴磷、辛硫磷、氰戊菊酯、甲氰菊酯、溴氰菊酯、联苯菊酯、三唑酮、异菌脲、腐霉利、多菌灵、吡虫啉、倍硫磷、敌百虫、三氯杀螨醇；氯氰菊酯、氯氟氰菊酯、氟氯氰菊酯、百菌清、五氯硝基苯、氟虫腈（包括氟甲腈、氟虫腈硫醚、氟虫腈砜）；啶虫脒、哒螨灵、苯醚甲环唑、嘧霉胺、甲氨基阿维菌素苯甲酸盐、烯酰吗啉、咪鲜胺、嘧菌酯、二甲戊灵、噻虫嗪、氟啶脲、灭幼脲、甲霜灵、霜霉威、多效唑、氯吡脲、氯虫苯甲酰胺、戊唑醇、虫酰肼、吡唑醚菌酯、除虫脲、抑霉唑、丙环唑、虫螨腈、灭蝇胺、阿维菌素、丁硫克百威、乙基多杀菌素、多杀霉素、噻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ascii="Calibri" w:hAnsi="Calibri" w:eastAsia="宋体" w:cs="Calibri"/>
                <w:i w:val="0"/>
                <w:iCs w:val="0"/>
                <w:color w:val="000000"/>
                <w:sz w:val="20"/>
                <w:szCs w:val="20"/>
                <w:u w:val="none"/>
              </w:rPr>
              <w:suppressLineNumbers w:val="0"/>
            </w:pPr>
            <w:r>
              <w:rPr>
                <w:rFonts w:hint="default" w:ascii="Calibri" w:hAnsi="Calibri" w:eastAsia="宋体" w:cs="Calibri"/>
                <w:i w:val="0"/>
                <w:iCs w:val="0"/>
                <w:color w:val="000000"/>
                <w:sz w:val="20"/>
                <w:szCs w:val="20"/>
                <w:u w:val="none"/>
                <w:lang w:val="en-US" w:eastAsia="zh-CN" w:bidi="ar"/>
              </w:rPr>
              <w:t xml:space="preserve">80</w:t>
            </w:r>
            <w:r/>
          </w:p>
        </w:tc>
      </w:tr>
      <w:tr>
        <w:trPr>
          <w:trHeight w:val="31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畜禽类</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1、猪肉、猪肝、牛肉、羊肉</w:t>
            </w:r>
            <w:r/>
          </w:p>
        </w:tc>
        <w:tc>
          <w:tcPr>
            <w:shd w:val="clear" w:color="auto" w:fill="auto"/>
            <w:tcBorders>
              <w:top w:val="single" w:color="000000" w:sz="4" w:space="0"/>
              <w:left w:val="single" w:color="000000" w:sz="4" w:space="0"/>
              <w:bottom w:val="single" w:color="000000" w:sz="4" w:space="0"/>
              <w:right w:val="single" w:color="000000" w:sz="4" w:space="0"/>
            </w:tcBorders>
            <w:tcW w:w="430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β-受体激动剂类（克伦特罗、莱克多巴胺、沙丁胺醇、特布他林、西马特罗、非诺特罗、氯丙那林、妥布特罗、喷布特罗）、磺胺类（磺胺间甲氧嘧啶、磺胺二甲嘧啶、磺胺甲噁唑、磺胺（间）二甲氧嘧啶、磺胺喹噁啉），四环素类（金霉素、土霉素、四环素、多西环素）、糖皮质激素类（地塞米松、倍他米松）</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禽肉：酰胺醇类（氯霉素，氟苯尼考、氟苯尼考胺、甲砜霉素）、氟喹诺酮类（氧氟沙星、培氟沙星、诺氟沙星、洛美沙星，恩诺沙星、环丙沙星、沙拉沙星、达氟沙星）、抗菌增效剂（甲氧苄啶）、金刚烷胺</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r>
      <w:tr>
        <w:trPr>
          <w:trHeight w:val="138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2、禽蛋</w:t>
            </w:r>
            <w:r/>
          </w:p>
        </w:tc>
        <w:tc>
          <w:tcPr>
            <w:shd w:val="clear" w:color="auto" w:fill="auto"/>
            <w:tcBorders>
              <w:top w:val="single" w:color="000000" w:sz="4" w:space="0"/>
              <w:left w:val="single" w:color="000000" w:sz="4" w:space="0"/>
              <w:bottom w:val="single" w:color="000000" w:sz="4" w:space="0"/>
              <w:right w:val="single" w:color="000000" w:sz="4" w:space="0"/>
            </w:tcBorders>
            <w:tcW w:w="430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酰胺醇类（氯霉素，氟苯尼考、氟苯尼考胺、甲砜霉素）、氟喹诺酮类（氧氟沙星、培氟沙星、诺氟沙星、洛美沙星、恩诺沙星、环丙沙星、沙拉沙星、达氟沙星）、金刚烷胺、四环素类（多西环素）</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76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水产类</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水产</w:t>
            </w:r>
            <w:r/>
          </w:p>
        </w:tc>
        <w:tc>
          <w:tcPr>
            <w:shd w:val="clear" w:color="auto" w:fill="auto"/>
            <w:tcBorders>
              <w:top w:val="single" w:color="000000" w:sz="4" w:space="0"/>
              <w:left w:val="single" w:color="000000" w:sz="4" w:space="0"/>
              <w:bottom w:val="single" w:color="000000" w:sz="4" w:space="0"/>
              <w:right w:val="single" w:color="000000" w:sz="4" w:space="0"/>
            </w:tcBorders>
            <w:tcW w:w="430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氯霉素、酰胺醇类（甲砜霉素、氟苯尼考、氟苯尼考胺）、硝基呋喃类代谢物</w:t>
            </w:r>
            <w:r>
              <w:rPr>
                <w:rFonts w:hint="eastAsia" w:ascii="宋体" w:hAnsi="宋体" w:eastAsia="宋体" w:cs="宋体"/>
                <w:i w:val="0"/>
                <w:iCs w:val="0"/>
                <w:color w:val="000000"/>
                <w:sz w:val="20"/>
                <w:szCs w:val="20"/>
                <w:u w:val="none"/>
                <w:lang w:val="en-US" w:eastAsia="zh-CN" w:bidi="ar"/>
              </w:rPr>
              <w:t xml:space="preserve">（呋喃唑酮代谢物、呋喃它酮代谢物、呋喃西林代谢物、呋喃妥因代谢物）、孔雀石绿（包括有色孔雀石绿和无色孔雀石绿）、地西泮、磺胺类（磺胺嘧啶、磺胺二甲基嘧啶、磺胺甲基异噁唑、磺胺异噁唑、磺胺间二甲氧嘧啶、磺胺噻唑、磺胺甲基嘧啶、磺胺多辛、磺胺喹噁啉、磺胺间甲氧嘧啶、磺胺氯哒嗪和磺胺甲噻二唑）、四环素类（四环素、土霉素、金霉素、多西环素）、氟喹诺酮类（诺氟沙星、氧氟沙星、培氟沙星、洛美沙星）、氟喹诺酮类（恩诺沙星、环丙沙星）、抗菌增效剂（甲氧苄啶）。注：只有淡水鱼类检测地西泮，虾蟹类呋喃西林代谢物SEM 不作判定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default" w:ascii="Calibri" w:hAnsi="Calibri" w:eastAsia="宋体" w:cs="Calibri"/>
                <w:i w:val="0"/>
                <w:iCs w:val="0"/>
                <w:color w:val="000000"/>
                <w:sz w:val="20"/>
                <w:szCs w:val="20"/>
                <w:u w:val="none"/>
              </w:rPr>
              <w:suppressLineNumbers w:val="0"/>
            </w:pPr>
            <w:r>
              <w:rPr>
                <w:rFonts w:hint="default" w:ascii="Calibri" w:hAnsi="Calibri" w:eastAsia="宋体" w:cs="Calibri"/>
                <w:i w:val="0"/>
                <w:iCs w:val="0"/>
                <w:color w:val="000000"/>
                <w:sz w:val="20"/>
                <w:szCs w:val="20"/>
                <w:u w:val="none"/>
                <w:lang w:val="en-US" w:eastAsia="zh-CN" w:bidi="ar"/>
              </w:rPr>
              <w:t xml:space="preserve">60</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绿色食品</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绿色食品</w:t>
            </w:r>
            <w:r/>
          </w:p>
        </w:tc>
        <w:tc>
          <w:tcPr>
            <w:shd w:val="clear" w:color="auto" w:fill="auto"/>
            <w:tcBorders>
              <w:top w:val="single" w:color="000000" w:sz="4" w:space="0"/>
              <w:left w:val="single" w:color="000000" w:sz="4" w:space="0"/>
              <w:bottom w:val="single" w:color="000000" w:sz="4" w:space="0"/>
              <w:right w:val="single" w:color="000000" w:sz="4" w:space="0"/>
            </w:tcBorders>
            <w:tcW w:w="430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绿色食品检测标准</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default" w:ascii="Calibri" w:hAnsi="Calibri" w:eastAsia="宋体" w:cs="Calibri"/>
                <w:i w:val="0"/>
                <w:iCs w:val="0"/>
                <w:color w:val="000000"/>
                <w:sz w:val="20"/>
                <w:szCs w:val="20"/>
                <w:u w:val="none"/>
              </w:rPr>
              <w:suppressLineNumbers w:val="0"/>
            </w:pPr>
            <w:r>
              <w:rPr>
                <w:rFonts w:hint="default" w:ascii="Calibri" w:hAnsi="Calibri" w:eastAsia="宋体" w:cs="Calibri"/>
                <w:i w:val="0"/>
                <w:iCs w:val="0"/>
                <w:color w:val="000000"/>
                <w:sz w:val="20"/>
                <w:szCs w:val="20"/>
                <w:u w:val="none"/>
                <w:lang w:val="en-US" w:eastAsia="zh-CN" w:bidi="ar"/>
              </w:rPr>
              <w:t xml:space="preserve">50</w:t>
            </w:r>
            <w:r/>
          </w:p>
        </w:tc>
      </w:tr>
    </w:tbl>
    <w:p>
      <w:pPr>
        <w:pStyle w:val="648"/>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48"/>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48"/>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outlineLvl w:val="0"/>
      </w:pPr>
      <w:r/>
      <w:bookmarkStart w:id="192" w:name="_Toc13180"/>
      <w:r>
        <w:rPr>
          <w:rFonts w:hint="eastAsia" w:ascii="宋体" w:hAnsi="宋体" w:eastAsia="宋体" w:cs="宋体"/>
          <w:color w:val="000000"/>
          <w:sz w:val="24"/>
          <w:szCs w:val="24"/>
          <w:highlight w:val="none"/>
          <w:lang w:val="en-US" w:eastAsia="zh-CN"/>
        </w:rPr>
        <w:t xml:space="preserve">采购标的对应的中小企业划分标准所属行业一览表</w:t>
      </w:r>
      <w:bookmarkEnd w:id="192"/>
      <w:r/>
      <w:r/>
    </w:p>
    <w:tbl>
      <w:tblPr>
        <w:tblStyle w:val="643"/>
        <w:tblW w:w="7104"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961"/>
        <w:gridCol w:w="3291"/>
        <w:gridCol w:w="2852"/>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pStyle w:val="648"/>
              <w:jc w:val="center"/>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648"/>
              <w:ind w:firstLine="480"/>
              <w:jc w:val="center"/>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648"/>
              <w:jc w:val="center"/>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对应中小企业划分标准所属行业</w:t>
            </w:r>
            <w:r/>
          </w:p>
        </w:tc>
      </w:tr>
      <w:tr>
        <w:trPr>
          <w:jc w:val="center"/>
          <w:tblCellSpacing w:w="0" w:type="dxa"/>
          <w:trHeight w:val="291"/>
        </w:trPr>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pStyle w:val="648"/>
              <w:jc w:val="center"/>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648"/>
              <w:ind w:firstLine="480"/>
              <w:jc w:val="center"/>
              <w:spacing w:beforeAutospacing="0" w:afterAutospacing="0" w:line="0" w:lineRule="atLeast"/>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采购包1、采购包2</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648"/>
              <w:ind w:firstLine="480"/>
              <w:jc w:val="center"/>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其他未列明行业</w:t>
            </w:r>
            <w:r/>
          </w:p>
        </w:tc>
      </w:tr>
    </w:tbl>
    <w:p>
      <w:pPr>
        <w:pStyle w:val="64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所属行业按《工业和信息化部、国家统计局、国家发展和改革委员会、财政部关于印发中小企业划型标准规定的通知》(工信部联企业[2011]300号)规定填写。</w:t>
      </w:r>
      <w:r>
        <w:rPr>
          <w:rFonts w:hint="eastAsia" w:ascii="宋体" w:hAnsi="宋体" w:eastAsia="宋体" w:cs="宋体"/>
          <w:sz w:val="24"/>
          <w:szCs w:val="24"/>
          <w:highlight w:val="none"/>
        </w:rPr>
        <w:t xml:space="preserve"> </w:t>
      </w:r>
      <w:bookmarkStart w:id="193" w:name="_Toc120614281"/>
      <w:r/>
      <w:r/>
    </w:p>
    <w:p>
      <w:pPr>
        <w:pStyle w:val="648"/>
        <w:jc w:val="both"/>
        <w:spacing w:beforeAutospacing="0" w:afterAutospacing="0"/>
        <w:rPr>
          <w:highlight w:val="none"/>
        </w:rPr>
      </w:pPr>
      <w:r>
        <w:rPr>
          <w:highlight w:val="none"/>
        </w:rPr>
      </w:r>
      <w:r/>
    </w:p>
    <w:p>
      <w:pPr>
        <w:pStyle w:val="648"/>
        <w:jc w:val="center"/>
        <w:keepNext/>
        <w:spacing w:beforeAutospacing="0" w:afterAutospacing="0"/>
        <w:rPr>
          <w:highlight w:val="none"/>
        </w:rPr>
      </w:pPr>
      <w:r>
        <w:rPr>
          <w:highlight w:val="none"/>
        </w:rPr>
        <w:t xml:space="preserve"> </w:t>
      </w:r>
      <w:r/>
    </w:p>
    <w:p>
      <w:pPr>
        <w:rPr>
          <w:rFonts w:hint="eastAsia" w:ascii="黑体" w:hAnsi="宋体" w:eastAsia="黑体" w:cs="黑体"/>
          <w:color w:val="000000"/>
          <w:sz w:val="44"/>
          <w:szCs w:val="44"/>
          <w:highlight w:val="none"/>
        </w:rPr>
      </w:pPr>
      <w:r/>
      <w:bookmarkStart w:id="194" w:name="_Toc551"/>
      <w:r>
        <w:rPr>
          <w:rFonts w:hint="eastAsia" w:ascii="黑体" w:hAnsi="宋体" w:eastAsia="黑体" w:cs="黑体"/>
          <w:color w:val="000000"/>
          <w:sz w:val="44"/>
          <w:szCs w:val="44"/>
          <w:highlight w:val="none"/>
        </w:rPr>
        <w:br w:type="page" w:clear="all"/>
      </w:r>
      <w:r/>
    </w:p>
    <w:p>
      <w:pPr>
        <w:pStyle w:val="648"/>
        <w:jc w:val="center"/>
        <w:keepNext/>
        <w:spacing w:beforeAutospacing="0" w:afterAutospacing="0"/>
        <w:rPr>
          <w:highlight w:val="none"/>
        </w:rPr>
        <w:outlineLvl w:val="0"/>
      </w:pPr>
      <w:r>
        <w:rPr>
          <w:rFonts w:hint="eastAsia" w:ascii="黑体" w:hAnsi="宋体" w:eastAsia="黑体" w:cs="黑体"/>
          <w:color w:val="000000"/>
          <w:sz w:val="44"/>
          <w:szCs w:val="44"/>
          <w:highlight w:val="none"/>
        </w:rPr>
        <w:t xml:space="preserve">第五章  </w:t>
      </w:r>
      <w:r>
        <w:rPr>
          <w:rFonts w:hint="eastAsia" w:ascii="黑体" w:hAnsi="宋体" w:eastAsia="黑体" w:cs="黑体"/>
          <w:b/>
          <w:color w:val="000000"/>
          <w:sz w:val="44"/>
          <w:szCs w:val="44"/>
          <w:highlight w:val="none"/>
        </w:rPr>
        <w:t xml:space="preserve">评标方法与评标标准</w:t>
      </w:r>
      <w:bookmarkEnd w:id="194"/>
      <w:r/>
      <w:r/>
    </w:p>
    <w:p>
      <w:pPr>
        <w:pStyle w:val="648"/>
        <w:jc w:val="both"/>
        <w:spacing w:beforeAutospacing="0" w:afterAutospacing="0"/>
        <w:rPr>
          <w:highlight w:val="none"/>
        </w:rPr>
      </w:pPr>
      <w:r>
        <w:rPr>
          <w:highlight w:val="none"/>
        </w:rPr>
        <w:t xml:space="preserve"> </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一、定标原则</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本项目采用</w:t>
      </w:r>
      <w:r>
        <w:rPr>
          <w:rFonts w:hint="eastAsia" w:ascii="宋体" w:hAnsi="宋体" w:eastAsia="宋体" w:cs="宋体"/>
          <w:bCs/>
          <w:color w:val="000000"/>
          <w:sz w:val="24"/>
          <w:szCs w:val="24"/>
          <w:highlight w:val="none"/>
          <w:u w:val="single"/>
        </w:rPr>
        <w:t xml:space="preserve"> 综合评分 </w:t>
      </w:r>
      <w:r>
        <w:rPr>
          <w:rFonts w:hint="eastAsia" w:ascii="宋体" w:hAnsi="宋体" w:eastAsia="宋体" w:cs="宋体"/>
          <w:bCs/>
          <w:color w:val="000000"/>
          <w:sz w:val="24"/>
          <w:szCs w:val="24"/>
          <w:highlight w:val="none"/>
        </w:rPr>
        <w:t xml:space="preserve">法。</w:t>
      </w:r>
      <w:r>
        <w:rPr>
          <w:rFonts w:hint="eastAsia" w:ascii="宋体" w:hAnsi="宋体" w:eastAsia="宋体" w:cs="宋体"/>
          <w:color w:val="000000"/>
          <w:sz w:val="24"/>
          <w:szCs w:val="24"/>
          <w:highlight w:val="none"/>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pStyle w:val="648"/>
        <w:ind w:firstLine="441"/>
        <w:spacing w:before="120" w:beforeAutospacing="0" w:after="12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排名第一的中标候选人放弃中标，或因不可抗力提出不能履行合同，或者被查实存在影响中标结果的违法行为等情形，不符合中标条件的，本项目直接重新招标，不确定其他投标人为中标人。</w:t>
      </w:r>
      <w:r/>
    </w:p>
    <w:p>
      <w:pPr>
        <w:pStyle w:val="648"/>
        <w:ind w:firstLine="441"/>
        <w:spacing w:before="120" w:beforeAutospacing="0" w:after="120" w:afterAutospacing="0"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投标申请人允许投二个采购包，但仅能中一个采购包，评审顺序为采购包1→采购包2，先开先中，在上一采购包评审中被确定为第一中标候选人的投标人，可继续参与下一采购包的评审，但不再被推荐为下一采购包的中标候选人。</w:t>
      </w:r>
      <w:r/>
    </w:p>
    <w:p>
      <w:pPr>
        <w:pStyle w:val="648"/>
        <w:ind w:firstLine="441"/>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b/>
          <w:color w:val="000000"/>
          <w:highlight w:val="none"/>
        </w:rPr>
        <w:t xml:space="preserve">政府采购政策功能落实</w:t>
      </w:r>
      <w:r/>
    </w:p>
    <w:p>
      <w:pPr>
        <w:pStyle w:val="648"/>
        <w:ind w:firstLine="48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1、小微型企业价格扣除</w:t>
      </w:r>
      <w:r/>
    </w:p>
    <w:p>
      <w:pPr>
        <w:pStyle w:val="654"/>
        <w:ind w:firstLine="360"/>
        <w:rPr>
          <w:rFonts w:hint="eastAsia" w:ascii="宋体" w:hAnsi="宋体" w:eastAsia="宋体" w:cs="宋体"/>
          <w:highlight w:val="none"/>
        </w:rPr>
      </w:pPr>
      <w:r>
        <w:rPr>
          <w:rFonts w:hint="eastAsia" w:ascii="宋体" w:hAnsi="宋体" w:eastAsia="宋体" w:cs="宋体"/>
          <w:highlight w:val="none"/>
        </w:rPr>
        <w:t xml:space="preserve">（1）本项目若不专门面向中小企业采购，对</w:t>
      </w:r>
      <w:r>
        <w:rPr>
          <w:rFonts w:hint="eastAsia" w:ascii="宋体" w:hAnsi="宋体" w:eastAsia="宋体" w:cs="宋体"/>
          <w:highlight w:val="none"/>
          <w:lang w:val="en-US" w:eastAsia="zh-CN"/>
        </w:rPr>
        <w:t xml:space="preserve">符合规定的</w:t>
      </w:r>
      <w:r>
        <w:rPr>
          <w:rFonts w:hint="eastAsia" w:ascii="宋体" w:hAnsi="宋体" w:eastAsia="宋体" w:cs="宋体"/>
          <w:highlight w:val="none"/>
        </w:rPr>
        <w:t xml:space="preserve">小型和微型企业</w:t>
      </w:r>
      <w:r>
        <w:rPr>
          <w:rFonts w:hint="eastAsia" w:ascii="宋体" w:hAnsi="宋体" w:eastAsia="宋体" w:cs="宋体"/>
          <w:highlight w:val="none"/>
          <w:lang w:val="en-US" w:eastAsia="zh-CN"/>
        </w:rPr>
        <w:t xml:space="preserve">报价</w:t>
      </w:r>
      <w:r>
        <w:rPr>
          <w:rFonts w:hint="eastAsia" w:ascii="宋体" w:hAnsi="宋体" w:eastAsia="宋体" w:cs="宋体"/>
          <w:highlight w:val="none"/>
        </w:rPr>
        <w:t xml:space="preserve">给予20%的扣除价格，用扣除后的价格参与评审；若专门面向中小企业采购，不再对小型和微型企业</w:t>
      </w:r>
      <w:r>
        <w:rPr>
          <w:rFonts w:hint="eastAsia" w:ascii="宋体" w:hAnsi="宋体" w:eastAsia="宋体" w:cs="宋体"/>
          <w:highlight w:val="none"/>
          <w:lang w:val="en-US" w:eastAsia="zh-CN"/>
        </w:rPr>
        <w:t xml:space="preserve">报价</w:t>
      </w:r>
      <w:r>
        <w:rPr>
          <w:rFonts w:hint="eastAsia" w:ascii="宋体" w:hAnsi="宋体" w:eastAsia="宋体" w:cs="宋体"/>
          <w:highlight w:val="none"/>
        </w:rPr>
        <w:t xml:space="preserve">给予价格扣除。</w:t>
      </w:r>
      <w:r/>
    </w:p>
    <w:p>
      <w:pPr>
        <w:pStyle w:val="648"/>
        <w:ind w:firstLine="36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（2）供应商需按照采购文件的要求提供相应的《</w:t>
      </w:r>
      <w:r>
        <w:rPr>
          <w:rFonts w:hint="eastAsia" w:ascii="宋体" w:hAnsi="宋体" w:eastAsia="宋体" w:cs="宋体"/>
          <w:color w:val="auto"/>
          <w:highlight w:val="none"/>
          <w:lang w:val="en-US" w:eastAsia="zh-CN"/>
        </w:rPr>
        <w:t xml:space="preserve">中小</w:t>
      </w:r>
      <w:r>
        <w:rPr>
          <w:rFonts w:hint="eastAsia" w:ascii="宋体" w:hAnsi="宋体" w:eastAsia="宋体" w:cs="宋体"/>
          <w:color w:val="auto"/>
          <w:highlight w:val="none"/>
        </w:rPr>
        <w:t xml:space="preserve">企业声明函</w:t>
      </w:r>
      <w:r>
        <w:rPr>
          <w:rFonts w:hint="eastAsia" w:ascii="宋体" w:hAnsi="宋体" w:eastAsia="宋体" w:cs="宋体"/>
          <w:color w:val="000000"/>
          <w:highlight w:val="none"/>
        </w:rPr>
        <w:t xml:space="preserve">》。</w:t>
      </w:r>
      <w:r/>
    </w:p>
    <w:p>
      <w:pPr>
        <w:pStyle w:val="648"/>
        <w:ind w:firstLine="36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（3）企业标准请参照《关于印发中小企业划型标准规定的通知》（工信部联企业[2011]300号）文件规定自行填写。</w:t>
      </w:r>
      <w:r/>
    </w:p>
    <w:p>
      <w:pPr>
        <w:pStyle w:val="648"/>
        <w:ind w:firstLine="48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2、残疾人福利单位价格扣除</w:t>
      </w:r>
      <w:r/>
    </w:p>
    <w:p>
      <w:pPr>
        <w:pStyle w:val="648"/>
        <w:ind w:left="120" w:firstLine="360"/>
        <w:spacing w:before="120" w:beforeAutospacing="0" w:after="120" w:afterAutospacing="0" w:line="0" w:lineRule="atLeast"/>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 xml:space="preserve">（1）本项目对残疾人福利性单位视同小型、微型企业，给予</w:t>
      </w:r>
      <w:r>
        <w:rPr>
          <w:rFonts w:hint="eastAsia" w:ascii="宋体" w:hAnsi="宋体" w:eastAsia="宋体" w:cs="宋体"/>
          <w:color w:val="000000"/>
          <w:highlight w:val="none"/>
          <w:u w:val="single"/>
        </w:rPr>
        <w:t xml:space="preserve">20%</w:t>
      </w:r>
      <w:r>
        <w:rPr>
          <w:rFonts w:hint="eastAsia" w:ascii="宋体" w:hAnsi="宋体" w:eastAsia="宋体" w:cs="宋体"/>
          <w:color w:val="000000"/>
          <w:highlight w:val="none"/>
          <w:u w:val="single"/>
          <w:lang w:eastAsia="zh-CN"/>
        </w:rPr>
        <w:t xml:space="preserve">的价格扣除。</w:t>
      </w:r>
      <w:r/>
    </w:p>
    <w:p>
      <w:pPr>
        <w:pStyle w:val="648"/>
        <w:ind w:left="120" w:firstLine="36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（2）残疾人福利单位需按照采购文件的要求提供《残疾人福利性单位声明函》。</w:t>
      </w:r>
      <w:r/>
    </w:p>
    <w:p>
      <w:pPr>
        <w:pStyle w:val="648"/>
        <w:ind w:left="120" w:firstLine="36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（3）残疾人福利单位标准请参照《关于促进残疾人就业政府采购政策的通知》（财库〔2017〕141号）。</w:t>
      </w:r>
      <w:r/>
    </w:p>
    <w:p>
      <w:pPr>
        <w:pStyle w:val="648"/>
        <w:ind w:firstLine="48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3、监狱和戒毒企业价格扣除</w:t>
      </w:r>
      <w:r/>
    </w:p>
    <w:p>
      <w:pPr>
        <w:pStyle w:val="648"/>
        <w:ind w:left="120" w:firstLine="360"/>
        <w:spacing w:before="120" w:beforeAutospacing="0" w:after="120" w:afterAutospacing="0" w:line="0" w:lineRule="atLeast"/>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（1）本项目对监狱和戒毒企业（简称监狱企业）视同小型、微型企业，给予</w:t>
      </w:r>
      <w:r>
        <w:rPr>
          <w:rFonts w:hint="eastAsia" w:ascii="宋体" w:hAnsi="宋体" w:eastAsia="宋体" w:cs="宋体"/>
          <w:color w:val="000000"/>
          <w:highlight w:val="none"/>
          <w:u w:val="single"/>
        </w:rPr>
        <w:t xml:space="preserve">20%</w:t>
      </w:r>
      <w:r>
        <w:rPr>
          <w:rFonts w:hint="eastAsia" w:ascii="宋体" w:hAnsi="宋体" w:eastAsia="宋体" w:cs="宋体"/>
          <w:color w:val="000000"/>
          <w:highlight w:val="none"/>
          <w:u w:val="single"/>
          <w:lang w:eastAsia="zh-CN"/>
        </w:rPr>
        <w:t xml:space="preserve">的价格扣除。</w:t>
      </w:r>
      <w:r/>
    </w:p>
    <w:p>
      <w:pPr>
        <w:pStyle w:val="648"/>
        <w:ind w:firstLine="48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48"/>
        <w:ind w:firstLine="48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（3）监狱企业标准请参照《关于政府采购支持监狱企业发展有关问题的通知》（财库[2014]68号）。</w:t>
      </w:r>
      <w:r/>
    </w:p>
    <w:p>
      <w:pPr>
        <w:pStyle w:val="648"/>
        <w:ind w:firstLine="48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4、残疾人福利单位、监狱企业属于小型、微型企业的，不重复享受政策。</w:t>
      </w:r>
      <w:r/>
    </w:p>
    <w:p>
      <w:pPr>
        <w:pStyle w:val="648"/>
        <w:ind w:firstLine="480"/>
        <w:spacing w:before="120" w:beforeAutospacing="0" w:after="12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highlight w:val="none"/>
          <w:u w:val="single"/>
        </w:rPr>
        <w:t xml:space="preserve">6%</w:t>
      </w:r>
      <w:r>
        <w:rPr>
          <w:rFonts w:hint="eastAsia" w:ascii="宋体" w:hAnsi="宋体" w:eastAsia="宋体" w:cs="宋体"/>
          <w:color w:val="000000"/>
          <w:highlight w:val="none"/>
        </w:rPr>
        <w:t xml:space="preserve">的价格扣除，用扣除后的价格参与评审。</w:t>
      </w:r>
      <w:r/>
    </w:p>
    <w:p>
      <w:pPr>
        <w:pStyle w:val="648"/>
        <w:ind w:left="120" w:firstLine="360"/>
        <w:spacing w:before="120" w:beforeAutospacing="0" w:after="120" w:afterAutospacing="0" w:line="0" w:lineRule="atLeast"/>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 xml:space="preserve">6、联合体各方均为小型、微型企业（残疾人福利单位、监狱企业）的，联合体享受</w:t>
      </w:r>
      <w:r>
        <w:rPr>
          <w:rFonts w:hint="eastAsia" w:ascii="宋体" w:hAnsi="宋体" w:eastAsia="宋体" w:cs="宋体"/>
          <w:color w:val="000000"/>
          <w:highlight w:val="none"/>
          <w:u w:val="single"/>
        </w:rPr>
        <w:t xml:space="preserve">20%</w:t>
      </w:r>
      <w:r>
        <w:rPr>
          <w:rFonts w:hint="eastAsia" w:ascii="宋体" w:hAnsi="宋体" w:eastAsia="宋体" w:cs="宋体"/>
          <w:color w:val="000000"/>
          <w:highlight w:val="none"/>
          <w:u w:val="single"/>
          <w:lang w:eastAsia="zh-CN"/>
        </w:rPr>
        <w:t xml:space="preserve">的价格扣除。</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highlight w:val="none"/>
        </w:rPr>
        <w:t xml:space="preserve">。</w:t>
      </w:r>
      <w:r>
        <w:rPr>
          <w:rFonts w:hint="eastAsia" w:ascii="宋体" w:hAnsi="宋体" w:eastAsia="宋体" w:cs="宋体"/>
          <w:color w:val="auto"/>
          <w:sz w:val="24"/>
          <w:highlight w:val="none"/>
        </w:rPr>
        <w:t xml:space="preserve">其他条件相同情况下，应当优先采购节能产品、环境标志产品。</w:t>
      </w:r>
      <w:r/>
    </w:p>
    <w:p>
      <w:pPr>
        <w:pStyle w:val="648"/>
        <w:ind w:firstLine="482"/>
        <w:spacing w:before="120" w:beforeAutospacing="0" w:after="120" w:afterAutospacing="0" w:line="0" w:lineRule="atLeast"/>
        <w:rPr>
          <w:rFonts w:hint="eastAsia" w:ascii="宋体" w:hAnsi="宋体" w:eastAsia="宋体" w:cs="宋体"/>
          <w:color w:val="auto"/>
          <w:highlight w:val="none"/>
        </w:rPr>
      </w:pPr>
      <w:r>
        <w:rPr>
          <w:rFonts w:hint="eastAsia" w:ascii="宋体" w:hAnsi="宋体" w:eastAsia="宋体" w:cs="宋体"/>
          <w:b/>
          <w:color w:val="auto"/>
          <w:highlight w:val="none"/>
        </w:rPr>
        <w:t xml:space="preserve">评标方法与评标标准</w:t>
      </w:r>
      <w:r/>
    </w:p>
    <w:p>
      <w:pPr>
        <w:numPr>
          <w:ilvl w:val="0"/>
          <w:numId w:val="1"/>
        </w:numPr>
        <w:ind w:firstLine="240"/>
        <w:spacing w:line="360" w:lineRule="auto"/>
        <w:rPr>
          <w:rFonts w:ascii="宋体" w:hAnsi="宋体" w:cs="Courier New"/>
          <w:bCs/>
          <w:color w:val="auto"/>
          <w:sz w:val="24"/>
          <w:szCs w:val="24"/>
          <w:highlight w:val="none"/>
        </w:rPr>
      </w:pPr>
      <w:r>
        <w:rPr>
          <w:rFonts w:ascii="宋体" w:hAnsi="宋体" w:cs="Courier New"/>
          <w:bCs/>
          <w:color w:val="auto"/>
          <w:sz w:val="24"/>
          <w:szCs w:val="24"/>
          <w:highlight w:val="none"/>
        </w:rPr>
        <w:t xml:space="preserve">本项目评分总分值为100分</w:t>
      </w:r>
      <w:r/>
    </w:p>
    <w:tbl>
      <w:tblPr>
        <w:tblStyle w:val="643"/>
        <w:tblW w:w="92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03"/>
        <w:gridCol w:w="6897"/>
        <w:gridCol w:w="814"/>
      </w:tblGrid>
      <w:tr>
        <w:trPr>
          <w:jc w:val="center"/>
          <w:trHeight w:val="578"/>
        </w:trPr>
        <w:tc>
          <w:tcPr>
            <w:tcBorders>
              <w:left w:val="single" w:color="auto" w:sz="4" w:space="0"/>
              <w:bottom w:val="single" w:color="auto" w:sz="4" w:space="0"/>
            </w:tcBorders>
            <w:tcW w:w="1503" w:type="dxa"/>
            <w:vAlign w:val="center"/>
            <w:textDirection w:val="lrTb"/>
            <w:noWrap/>
          </w:tcPr>
          <w:p>
            <w:pPr>
              <w:ind w:firstLine="420"/>
              <w:jc w:val="center"/>
              <w:spacing w:line="400" w:lineRule="exact"/>
              <w:rPr>
                <w:rFonts w:ascii="宋体" w:hAnsi="宋体" w:cs="宋体"/>
                <w:color w:val="auto"/>
                <w:highlight w:val="none"/>
              </w:rPr>
            </w:pPr>
            <w:r>
              <w:rPr>
                <w:rFonts w:hint="eastAsia" w:ascii="宋体" w:hAnsi="宋体" w:cs="宋体"/>
                <w:color w:val="auto"/>
                <w:highlight w:val="none"/>
              </w:rPr>
              <w:t xml:space="preserve">评审项目</w:t>
            </w:r>
            <w:r/>
          </w:p>
        </w:tc>
        <w:tc>
          <w:tcPr>
            <w:tcBorders>
              <w:bottom w:val="single" w:color="auto" w:sz="4" w:space="0"/>
            </w:tcBorders>
            <w:tcW w:w="6897" w:type="dxa"/>
            <w:vAlign w:val="center"/>
            <w:textDirection w:val="lrTb"/>
            <w:noWrap/>
          </w:tcPr>
          <w:p>
            <w:pPr>
              <w:ind w:firstLine="8"/>
              <w:jc w:val="center"/>
              <w:spacing w:line="400" w:lineRule="exact"/>
              <w:rPr>
                <w:rFonts w:ascii="宋体" w:hAnsi="宋体" w:cs="宋体"/>
                <w:color w:val="auto"/>
                <w:highlight w:val="none"/>
              </w:rPr>
            </w:pPr>
            <w:r>
              <w:rPr>
                <w:rFonts w:hint="eastAsia" w:ascii="宋体" w:hAnsi="宋体" w:cs="宋体"/>
                <w:color w:val="auto"/>
                <w:highlight w:val="none"/>
              </w:rPr>
              <w:t xml:space="preserve">评审标准</w:t>
            </w:r>
            <w:r/>
          </w:p>
        </w:tc>
        <w:tc>
          <w:tcPr>
            <w:tcBorders>
              <w:bottom w:val="single" w:color="auto" w:sz="4" w:space="0"/>
              <w:right w:val="single" w:color="auto" w:sz="4" w:space="0"/>
            </w:tcBorders>
            <w:tcW w:w="814" w:type="dxa"/>
            <w:vAlign w:val="center"/>
            <w:textDirection w:val="lrTb"/>
            <w:noWrap/>
          </w:tcPr>
          <w:p>
            <w:pPr>
              <w:jc w:val="center"/>
              <w:spacing w:line="400" w:lineRule="exact"/>
              <w:rPr>
                <w:rFonts w:ascii="宋体" w:hAnsi="宋体" w:cs="宋体"/>
                <w:color w:val="auto"/>
                <w:highlight w:val="none"/>
              </w:rPr>
            </w:pPr>
            <w:r>
              <w:rPr>
                <w:rFonts w:hint="eastAsia" w:ascii="宋体" w:hAnsi="宋体" w:cs="宋体"/>
                <w:color w:val="auto"/>
                <w:highlight w:val="none"/>
              </w:rPr>
              <w:t xml:space="preserve">得分</w:t>
            </w:r>
            <w:r/>
          </w:p>
        </w:tc>
      </w:tr>
      <w:tr>
        <w:trPr>
          <w:jc w:val="center"/>
          <w:trHeight w:val="1010"/>
        </w:trPr>
        <w:tc>
          <w:tcPr>
            <w:tcBorders>
              <w:top w:val="single" w:color="auto" w:sz="4" w:space="0"/>
              <w:left w:val="single" w:color="auto" w:sz="4" w:space="0"/>
              <w:bottom w:val="single" w:color="auto" w:sz="4" w:space="0"/>
            </w:tcBorders>
            <w:tcW w:w="1503" w:type="dxa"/>
            <w:vAlign w:val="center"/>
            <w:textDirection w:val="lrTb"/>
            <w:noWrap/>
          </w:tcPr>
          <w:p>
            <w:pPr>
              <w:spacing w:line="380" w:lineRule="exact"/>
              <w:rPr>
                <w:rFonts w:ascii="宋体" w:hAnsi="宋体" w:cs="宋体"/>
                <w:color w:val="auto"/>
                <w:highlight w:val="none"/>
              </w:rPr>
            </w:pPr>
            <w:r>
              <w:rPr>
                <w:rFonts w:hint="eastAsia" w:ascii="宋体" w:hAnsi="宋体" w:cs="宋体"/>
                <w:color w:val="auto"/>
                <w:highlight w:val="none"/>
              </w:rPr>
              <w:t xml:space="preserve">一、报价部分</w:t>
            </w:r>
            <w:r/>
          </w:p>
          <w:p>
            <w:pPr>
              <w:ind w:firstLine="420"/>
              <w:spacing w:line="380" w:lineRule="exact"/>
              <w:rPr>
                <w:rFonts w:ascii="宋体" w:hAnsi="宋体" w:cs="宋体"/>
                <w:color w:val="auto"/>
                <w:highlight w:val="none"/>
              </w:rPr>
            </w:pPr>
            <w:r>
              <w:rPr>
                <w:rFonts w:ascii="宋体" w:hAnsi="宋体" w:cs="宋体"/>
                <w:color w:val="auto"/>
                <w:highlight w:val="none"/>
              </w:rPr>
              <w:t xml:space="preserve">(10</w:t>
            </w:r>
            <w:r>
              <w:rPr>
                <w:rFonts w:hint="eastAsia" w:ascii="宋体" w:hAnsi="宋体" w:cs="宋体"/>
                <w:color w:val="auto"/>
                <w:highlight w:val="none"/>
              </w:rPr>
              <w:t xml:space="preserve">分</w:t>
            </w:r>
            <w:r>
              <w:rPr>
                <w:rFonts w:ascii="宋体" w:hAnsi="宋体" w:cs="宋体"/>
                <w:color w:val="auto"/>
                <w:highlight w:val="none"/>
              </w:rPr>
              <w:t xml:space="preserve">)</w:t>
            </w:r>
            <w:r/>
          </w:p>
        </w:tc>
        <w:tc>
          <w:tcPr>
            <w:tcBorders>
              <w:top w:val="single" w:color="auto" w:sz="4" w:space="0"/>
              <w:bottom w:val="single" w:color="auto" w:sz="4" w:space="0"/>
            </w:tcBorders>
            <w:tcW w:w="6897" w:type="dxa"/>
            <w:vAlign w:val="center"/>
            <w:textDirection w:val="lrTb"/>
            <w:noWrap/>
          </w:tcPr>
          <w:p>
            <w:pPr>
              <w:ind w:firstLine="420"/>
              <w:keepLines w:val="0"/>
              <w:keepNext w:val="0"/>
              <w:pageBreakBefore w:val="0"/>
              <w:spacing w:line="320" w:lineRule="atLeast"/>
              <w:rPr>
                <w:rFonts w:ascii="宋体" w:hAnsi="宋体" w:cs="宋体"/>
                <w:bCs/>
                <w:color w:val="auto"/>
                <w:highlight w:val="none"/>
              </w:rPr>
            </w:pPr>
            <w:r>
              <w:rPr>
                <w:rFonts w:hint="eastAsia" w:ascii="宋体" w:hAnsi="宋体" w:cs="宋体"/>
                <w:bCs/>
                <w:color w:val="auto"/>
                <w:highlight w:val="none"/>
              </w:rPr>
              <w:t xml:space="preserve">满足招标文件要求且投标价格最低的投标报价为评标基准价，其价格分为满分。其他投标人的价格分统一按照下列公式计算：</w:t>
            </w:r>
            <w:r/>
          </w:p>
          <w:p>
            <w:pPr>
              <w:jc w:val="left"/>
              <w:keepLines w:val="0"/>
              <w:keepNext w:val="0"/>
              <w:pageBreakBefore w:val="0"/>
              <w:spacing w:line="320" w:lineRule="atLeast"/>
              <w:rPr>
                <w:rFonts w:ascii="宋体" w:hAnsi="宋体" w:cs="宋体"/>
                <w:bCs/>
                <w:color w:val="auto"/>
                <w:highlight w:val="none"/>
              </w:rPr>
            </w:pPr>
            <w:r>
              <w:rPr>
                <w:rFonts w:hint="eastAsia" w:ascii="宋体" w:hAnsi="宋体" w:cs="宋体"/>
                <w:bCs/>
                <w:color w:val="auto"/>
                <w:highlight w:val="none"/>
              </w:rPr>
              <w:t xml:space="preserve">投标报价得分</w:t>
            </w:r>
            <w:r>
              <w:rPr>
                <w:rFonts w:ascii="宋体" w:hAnsi="宋体" w:cs="宋体"/>
                <w:bCs/>
                <w:color w:val="auto"/>
                <w:highlight w:val="none"/>
              </w:rPr>
              <w:t xml:space="preserve">=(</w:t>
            </w:r>
            <w:r>
              <w:rPr>
                <w:rFonts w:hint="eastAsia" w:ascii="宋体" w:hAnsi="宋体" w:cs="宋体"/>
                <w:bCs/>
                <w:color w:val="auto"/>
                <w:highlight w:val="none"/>
              </w:rPr>
              <w:t xml:space="preserve">评标基准价／投标报价</w:t>
            </w:r>
            <w:r>
              <w:rPr>
                <w:rFonts w:ascii="宋体" w:hAnsi="宋体" w:cs="宋体"/>
                <w:bCs/>
                <w:color w:val="auto"/>
                <w:highlight w:val="none"/>
              </w:rPr>
              <w:t xml:space="preserve">)</w:t>
            </w:r>
            <w:r>
              <w:rPr>
                <w:rFonts w:hint="eastAsia" w:ascii="宋体" w:hAnsi="宋体" w:cs="宋体"/>
                <w:bCs/>
                <w:color w:val="auto"/>
                <w:highlight w:val="none"/>
              </w:rPr>
              <w:t xml:space="preserve">×</w:t>
            </w:r>
            <w:r>
              <w:rPr>
                <w:rFonts w:ascii="宋体" w:hAnsi="宋体" w:cs="宋体"/>
                <w:bCs/>
                <w:color w:val="auto"/>
                <w:highlight w:val="none"/>
              </w:rPr>
              <w:t xml:space="preserve">10</w:t>
            </w:r>
            <w:r>
              <w:rPr>
                <w:rFonts w:hint="eastAsia" w:ascii="宋体" w:hAnsi="宋体" w:cs="宋体"/>
                <w:bCs/>
                <w:color w:val="auto"/>
                <w:highlight w:val="none"/>
              </w:rPr>
              <w:t xml:space="preserve"> （该结果四舍五入，保留两位小数）</w:t>
            </w:r>
            <w:r/>
          </w:p>
        </w:tc>
        <w:tc>
          <w:tcPr>
            <w:tcBorders>
              <w:top w:val="single" w:color="auto" w:sz="4" w:space="0"/>
              <w:bottom w:val="single" w:color="auto" w:sz="4" w:space="0"/>
              <w:right w:val="single" w:color="auto" w:sz="4" w:space="0"/>
            </w:tcBorders>
            <w:tcW w:w="814" w:type="dxa"/>
            <w:vAlign w:val="center"/>
            <w:textDirection w:val="lrTb"/>
            <w:noWrap/>
          </w:tcPr>
          <w:p>
            <w:pPr>
              <w:spacing w:line="380" w:lineRule="exact"/>
              <w:rPr>
                <w:rFonts w:ascii="宋体" w:hAnsi="宋体" w:cs="宋体"/>
                <w:color w:val="auto"/>
                <w:highlight w:val="none"/>
              </w:rPr>
            </w:pPr>
            <w:r>
              <w:rPr>
                <w:rFonts w:ascii="宋体" w:hAnsi="宋体" w:cs="宋体"/>
                <w:color w:val="auto"/>
                <w:highlight w:val="none"/>
              </w:rPr>
              <w:t xml:space="preserve">10</w:t>
            </w:r>
            <w:r>
              <w:rPr>
                <w:rFonts w:hint="eastAsia" w:ascii="宋体" w:hAnsi="宋体" w:cs="宋体"/>
                <w:color w:val="auto"/>
                <w:highlight w:val="none"/>
              </w:rPr>
              <w:t xml:space="preserve">分</w:t>
            </w:r>
            <w:r/>
          </w:p>
        </w:tc>
      </w:tr>
      <w:tr>
        <w:trPr>
          <w:jc w:val="center"/>
          <w:trHeight w:val="1010"/>
        </w:trPr>
        <w:tc>
          <w:tcPr>
            <w:tcBorders>
              <w:top w:val="single" w:color="auto" w:sz="4" w:space="0"/>
              <w:left w:val="single" w:color="auto" w:sz="4" w:space="0"/>
              <w:bottom w:val="single" w:color="auto" w:sz="4" w:space="0"/>
            </w:tcBorders>
            <w:tcW w:w="1503" w:type="dxa"/>
            <w:vAlign w:val="center"/>
            <w:textDirection w:val="lrTb"/>
            <w:noWrap/>
          </w:tcPr>
          <w:p>
            <w:pPr>
              <w:spacing w:line="380" w:lineRule="exact"/>
              <w:rPr>
                <w:rFonts w:ascii="宋体" w:hAnsi="宋体" w:cs="宋体"/>
                <w:color w:val="auto"/>
                <w:highlight w:val="none"/>
              </w:rPr>
            </w:pPr>
            <w:r>
              <w:rPr>
                <w:rFonts w:hint="eastAsia" w:ascii="宋体" w:hAnsi="宋体" w:cs="宋体"/>
                <w:color w:val="auto"/>
                <w:highlight w:val="none"/>
              </w:rPr>
              <w:t xml:space="preserve">二、检测能力</w:t>
            </w:r>
            <w:r>
              <w:rPr>
                <w:rFonts w:ascii="宋体" w:hAnsi="宋体" w:cs="宋体"/>
                <w:color w:val="auto"/>
                <w:highlight w:val="none"/>
              </w:rPr>
              <w:t xml:space="preserve">(10</w:t>
            </w:r>
            <w:r>
              <w:rPr>
                <w:rFonts w:hint="eastAsia" w:ascii="宋体" w:hAnsi="宋体" w:cs="宋体"/>
                <w:color w:val="auto"/>
                <w:highlight w:val="none"/>
              </w:rPr>
              <w:t xml:space="preserve">分</w:t>
            </w:r>
            <w:r>
              <w:rPr>
                <w:rFonts w:ascii="宋体" w:hAnsi="宋体" w:cs="宋体"/>
                <w:color w:val="auto"/>
                <w:highlight w:val="none"/>
              </w:rPr>
              <w:t xml:space="preserve">)</w:t>
            </w:r>
            <w:r/>
          </w:p>
        </w:tc>
        <w:tc>
          <w:tcPr>
            <w:tcBorders>
              <w:top w:val="single" w:color="auto" w:sz="4" w:space="0"/>
              <w:bottom w:val="single" w:color="auto" w:sz="4" w:space="0"/>
            </w:tcBorders>
            <w:tcW w:w="6897" w:type="dxa"/>
            <w:vAlign w:val="center"/>
            <w:textDirection w:val="lrTb"/>
            <w:noWrap/>
          </w:tcPr>
          <w:p>
            <w:pPr>
              <w:ind w:firstLine="420"/>
              <w:keepLines w:val="0"/>
              <w:keepNext w:val="0"/>
              <w:pageBreakBefore w:val="0"/>
              <w:spacing w:line="320" w:lineRule="atLeast"/>
              <w:rPr>
                <w:rFonts w:ascii="宋体" w:hAnsi="宋体" w:cs="宋体"/>
                <w:bCs/>
                <w:color w:val="auto"/>
                <w:highlight w:val="none"/>
              </w:rPr>
            </w:pPr>
            <w:r>
              <w:rPr>
                <w:rFonts w:hint="eastAsia" w:ascii="宋体" w:hAnsi="宋体" w:cs="宋体"/>
                <w:color w:val="auto"/>
                <w:highlight w:val="none"/>
              </w:rPr>
              <w:t xml:space="preserve">根据供应商CATL能力附表参数针对监测项目的覆盖率情况进行评定，全覆盖得10分；未达到全覆盖但覆盖率90%以上得5分；达不到的不得分。（提供CATL资质附表与检验项目情况表逐项进行对照，标明对应资质附表中的页码，证明资料不完整或不一致的不计分。</w:t>
            </w:r>
            <w:r/>
          </w:p>
        </w:tc>
        <w:tc>
          <w:tcPr>
            <w:tcBorders>
              <w:top w:val="single" w:color="auto" w:sz="4" w:space="0"/>
              <w:bottom w:val="single" w:color="auto" w:sz="4" w:space="0"/>
              <w:right w:val="single" w:color="auto" w:sz="4" w:space="0"/>
            </w:tcBorders>
            <w:tcW w:w="814" w:type="dxa"/>
            <w:vAlign w:val="center"/>
            <w:textDirection w:val="lrTb"/>
            <w:noWrap/>
          </w:tcPr>
          <w:p>
            <w:pPr>
              <w:spacing w:line="380" w:lineRule="exact"/>
              <w:rPr>
                <w:rFonts w:ascii="宋体" w:hAnsi="宋体" w:eastAsia="宋体" w:cs="宋体"/>
                <w:color w:val="auto"/>
                <w:highlight w:val="none"/>
              </w:rPr>
            </w:pPr>
            <w:r>
              <w:rPr>
                <w:rFonts w:hint="eastAsia" w:ascii="宋体" w:hAnsi="宋体" w:cs="宋体"/>
                <w:color w:val="auto"/>
                <w:highlight w:val="none"/>
              </w:rPr>
              <w:t xml:space="preserve">10分</w:t>
            </w:r>
            <w:r/>
          </w:p>
        </w:tc>
      </w:tr>
      <w:tr>
        <w:trPr>
          <w:jc w:val="center"/>
          <w:trHeight w:val="1010"/>
        </w:trPr>
        <w:tc>
          <w:tcPr>
            <w:tcBorders>
              <w:top w:val="single" w:color="auto" w:sz="4" w:space="0"/>
              <w:left w:val="single" w:color="auto" w:sz="4" w:space="0"/>
              <w:bottom w:val="single" w:color="auto" w:sz="4" w:space="0"/>
            </w:tcBorders>
            <w:tcW w:w="1503" w:type="dxa"/>
            <w:vAlign w:val="center"/>
            <w:textDirection w:val="lrTb"/>
            <w:noWrap/>
          </w:tcPr>
          <w:p>
            <w:pPr>
              <w:spacing w:line="380" w:lineRule="exact"/>
              <w:rPr>
                <w:rFonts w:ascii="宋体" w:hAnsi="宋体" w:cs="宋体"/>
                <w:color w:val="auto"/>
                <w:highlight w:val="none"/>
              </w:rPr>
            </w:pPr>
            <w:r>
              <w:rPr>
                <w:rFonts w:hint="eastAsia" w:ascii="宋体" w:hAnsi="宋体" w:cs="宋体"/>
                <w:color w:val="auto"/>
                <w:highlight w:val="none"/>
              </w:rPr>
              <w:t xml:space="preserve">三、实验室设备场地（14分）</w:t>
            </w:r>
            <w:r/>
          </w:p>
        </w:tc>
        <w:tc>
          <w:tcPr>
            <w:tcBorders>
              <w:top w:val="single" w:color="auto" w:sz="4" w:space="0"/>
              <w:bottom w:val="single" w:color="auto" w:sz="4" w:space="0"/>
            </w:tcBorders>
            <w:tcW w:w="6897" w:type="dxa"/>
            <w:vAlign w:val="center"/>
            <w:textDirection w:val="lrTb"/>
            <w:noWrap/>
          </w:tcPr>
          <w:p>
            <w:pPr>
              <w:ind w:firstLine="420"/>
              <w:jc w:val="left"/>
              <w:spacing w:line="276" w:lineRule="auto"/>
              <w:rPr>
                <w:color w:val="auto"/>
              </w:rPr>
            </w:pPr>
            <w:r>
              <w:rPr>
                <w:rFonts w:hint="eastAsia"/>
                <w:color w:val="auto"/>
              </w:rPr>
              <w:t xml:space="preserve">（1）投标人具有与承检项目相适应的独立的检验实验室，并且承担本项目相应的实验室面积满足任务需求且实验室布局合理的得3分。</w:t>
            </w:r>
            <w:r/>
          </w:p>
          <w:p>
            <w:pPr>
              <w:jc w:val="left"/>
              <w:spacing w:line="276" w:lineRule="auto"/>
              <w:rPr>
                <w:color w:val="auto"/>
              </w:rPr>
            </w:pPr>
            <w:r>
              <w:rPr>
                <w:rFonts w:hint="eastAsia"/>
                <w:color w:val="auto"/>
              </w:rPr>
              <w:t xml:space="preserve">以提供实验室详细地址、场地所有权证书或租赁合同</w:t>
            </w:r>
            <w:r>
              <w:rPr>
                <w:rFonts w:hint="eastAsia" w:ascii="宋体" w:hAnsi="宋体" w:cs="宋体"/>
                <w:color w:val="auto"/>
              </w:rPr>
              <w:t xml:space="preserve">扫描件</w:t>
            </w:r>
            <w:r>
              <w:rPr>
                <w:rFonts w:hint="eastAsia"/>
                <w:color w:val="auto"/>
              </w:rPr>
              <w:t xml:space="preserve">（加盖投标人公章）、实验室布局平面图、实验室各组成部分面积清单、工作场地照片为准，以上文件需同时提供，否则不得分。</w:t>
            </w:r>
            <w:r/>
          </w:p>
          <w:p>
            <w:pPr>
              <w:keepLines w:val="0"/>
              <w:keepNext w:val="0"/>
              <w:pageBreakBefore w:val="0"/>
              <w:spacing w:line="320" w:lineRule="atLeast"/>
              <w:rPr>
                <w:rFonts w:hint="default" w:ascii="宋体" w:hAnsi="宋体" w:cs="宋体" w:eastAsiaTheme="minorEastAsia"/>
                <w:color w:val="auto"/>
                <w:highlight w:val="none"/>
                <w:lang w:val="en-US" w:eastAsia="zh-CN"/>
              </w:rPr>
            </w:pPr>
            <w:r>
              <w:rPr>
                <w:rFonts w:hint="eastAsia" w:ascii="宋体" w:hAnsi="宋体" w:cs="宋体"/>
                <w:bCs/>
                <w:color w:val="auto"/>
              </w:rPr>
              <w:t xml:space="preserve">（2）根据与农产品例行监测和风险监测工作相适应的检验检测仪器设备等情况进行评价。①投标人具有以下主要仪器设备的：具备高分辨质谱仪、高效液相色谱仪、气相色谱仪、液相色谱/串联质谱联用仪、气相色谱/质谱联用仪，全部提供的得5分；未全部提供的不得分 ②投标人具有紫外可见分光光度计、原子吸收分光光度计、氨基酸分析仪、酶标仪、电感耦合等离子体质谱、生物安全柜，每种设备得0.5分，本项累加最多得3分。</w:t>
            </w:r>
            <w:r>
              <w:rPr>
                <w:rFonts w:hint="eastAsia" w:cs="宋体" w:asciiTheme="minorEastAsia" w:hAnsiTheme="minorEastAsia"/>
                <w:bCs/>
                <w:color w:val="auto"/>
              </w:rPr>
              <w:t xml:space="preserve">③</w:t>
            </w:r>
            <w:r>
              <w:rPr>
                <w:rFonts w:hint="eastAsia" w:ascii="宋体" w:hAnsi="宋体" w:cs="宋体"/>
                <w:bCs/>
                <w:color w:val="auto"/>
              </w:rPr>
              <w:t xml:space="preserve">在上述①中的仪器设备</w:t>
            </w:r>
            <w:r>
              <w:rPr>
                <w:rFonts w:hint="eastAsia" w:ascii="宋体" w:hAnsi="宋体" w:cs="宋体"/>
                <w:bCs/>
                <w:color w:val="auto"/>
                <w:lang w:eastAsia="zh-CN"/>
              </w:rPr>
              <w:t xml:space="preserve">提供齐全在</w:t>
            </w:r>
            <w:r>
              <w:rPr>
                <w:rFonts w:hint="eastAsia" w:ascii="宋体" w:hAnsi="宋体" w:cs="宋体"/>
                <w:bCs/>
                <w:color w:val="auto"/>
              </w:rPr>
              <w:t xml:space="preserve">原有1台的基础上每多提供其中任何1台仪器的加0.5分，加满3分为止</w:t>
            </w:r>
            <w:r>
              <w:rPr>
                <w:rFonts w:hint="eastAsia" w:ascii="宋体" w:hAnsi="宋体" w:cs="宋体"/>
                <w:bCs/>
                <w:color w:val="auto"/>
                <w:lang w:eastAsia="zh-CN"/>
              </w:rPr>
              <w:t xml:space="preserve">，如</w:t>
            </w:r>
            <w:r>
              <w:rPr>
                <w:rFonts w:hint="eastAsia" w:ascii="宋体" w:hAnsi="宋体" w:cs="宋体"/>
                <w:bCs/>
                <w:color w:val="auto"/>
              </w:rPr>
              <w:t xml:space="preserve">①中的仪器设备</w:t>
            </w:r>
            <w:r>
              <w:rPr>
                <w:rFonts w:hint="eastAsia" w:ascii="宋体" w:hAnsi="宋体" w:cs="宋体"/>
                <w:bCs/>
                <w:color w:val="auto"/>
                <w:lang w:eastAsia="zh-CN"/>
              </w:rPr>
              <w:t xml:space="preserve">未提供齐全本项不加分</w:t>
            </w:r>
            <w:r>
              <w:rPr>
                <w:rFonts w:hint="eastAsia" w:ascii="宋体" w:hAnsi="宋体" w:cs="宋体"/>
                <w:bCs/>
                <w:color w:val="auto"/>
              </w:rPr>
              <w:t xml:space="preserve">。提供设备清单及相应设备的检定证书或校准证书（不需要检定校准的设备可不提供检定证书或校准证书），及购置发票复印件或其他能够证明是投标人可使用的设备的证明材料（加盖投标人公章）。</w:t>
            </w:r>
            <w:r>
              <w:rPr>
                <w:rFonts w:hint="eastAsia" w:ascii="宋体" w:hAnsi="宋体" w:cs="宋体"/>
                <w:bCs/>
                <w:color w:val="auto"/>
                <w:lang w:eastAsia="zh-CN"/>
              </w:rPr>
              <w:t xml:space="preserve">本项最高得分</w:t>
            </w:r>
            <w:r>
              <w:rPr>
                <w:rFonts w:hint="eastAsia" w:ascii="宋体" w:hAnsi="宋体" w:cs="宋体"/>
                <w:bCs/>
                <w:color w:val="auto"/>
                <w:lang w:val="en-US" w:eastAsia="zh-CN"/>
              </w:rPr>
              <w:t xml:space="preserve">11分</w:t>
            </w:r>
            <w:r>
              <w:rPr>
                <w:rFonts w:hint="eastAsia" w:ascii="宋体" w:hAnsi="宋体" w:cs="宋体"/>
                <w:bCs/>
                <w:color w:val="auto"/>
                <w:highlight w:val="none"/>
                <w:lang w:val="en-US" w:eastAsia="zh-CN"/>
              </w:rPr>
              <w:t xml:space="preserve">。</w:t>
            </w:r>
            <w:r/>
          </w:p>
        </w:tc>
        <w:tc>
          <w:tcPr>
            <w:tcBorders>
              <w:top w:val="single" w:color="auto" w:sz="4" w:space="0"/>
              <w:bottom w:val="single" w:color="auto" w:sz="4" w:space="0"/>
              <w:right w:val="single" w:color="auto" w:sz="4" w:space="0"/>
            </w:tcBorders>
            <w:tcW w:w="814" w:type="dxa"/>
            <w:vAlign w:val="center"/>
            <w:textDirection w:val="lrTb"/>
            <w:noWrap/>
          </w:tcPr>
          <w:p>
            <w:pPr>
              <w:spacing w:line="380" w:lineRule="exact"/>
              <w:rPr>
                <w:rFonts w:ascii="宋体" w:hAnsi="宋体" w:cs="宋体"/>
                <w:color w:val="auto"/>
                <w:highlight w:val="none"/>
              </w:rPr>
            </w:pPr>
            <w:r>
              <w:rPr>
                <w:rFonts w:hint="eastAsia" w:ascii="宋体" w:hAnsi="宋体" w:cs="宋体"/>
                <w:color w:val="auto"/>
                <w:highlight w:val="none"/>
              </w:rPr>
              <w:t xml:space="preserve">14分</w:t>
            </w:r>
            <w:r/>
          </w:p>
        </w:tc>
      </w:tr>
      <w:tr>
        <w:trPr>
          <w:jc w:val="center"/>
          <w:trHeight w:val="416"/>
        </w:trPr>
        <w:tc>
          <w:tcPr>
            <w:tcBorders>
              <w:top w:val="single" w:color="auto" w:sz="4" w:space="0"/>
              <w:left w:val="single" w:color="auto" w:sz="4" w:space="0"/>
              <w:bottom w:val="single" w:color="auto" w:sz="4" w:space="0"/>
            </w:tcBorders>
            <w:tcW w:w="1503" w:type="dxa"/>
            <w:vAlign w:val="center"/>
            <w:vMerge w:val="restart"/>
            <w:textDirection w:val="lrTb"/>
            <w:noWrap/>
          </w:tcPr>
          <w:p>
            <w:pPr>
              <w:spacing w:line="380" w:lineRule="exact"/>
              <w:rPr>
                <w:rFonts w:ascii="宋体" w:hAnsi="宋体" w:cs="宋体"/>
                <w:color w:val="auto"/>
                <w:highlight w:val="none"/>
              </w:rPr>
            </w:pPr>
            <w:r>
              <w:rPr>
                <w:rFonts w:hint="eastAsia" w:ascii="宋体" w:hAnsi="宋体" w:cs="宋体"/>
                <w:color w:val="auto"/>
                <w:highlight w:val="none"/>
              </w:rPr>
              <w:t xml:space="preserve">四、项目服务团队（</w:t>
            </w:r>
            <w:r>
              <w:rPr>
                <w:rFonts w:ascii="宋体" w:hAnsi="宋体" w:cs="宋体"/>
                <w:color w:val="auto"/>
                <w:highlight w:val="none"/>
              </w:rPr>
              <w:t xml:space="preserve">2</w:t>
            </w:r>
            <w:r>
              <w:rPr>
                <w:rFonts w:hint="eastAsia" w:ascii="宋体" w:hAnsi="宋体" w:cs="宋体"/>
                <w:color w:val="auto"/>
                <w:highlight w:val="none"/>
              </w:rPr>
              <w:t xml:space="preserve">2分）</w:t>
            </w:r>
            <w:r/>
          </w:p>
        </w:tc>
        <w:tc>
          <w:tcPr>
            <w:tcBorders>
              <w:top w:val="single" w:color="auto" w:sz="4" w:space="0"/>
              <w:bottom w:val="single" w:color="auto" w:sz="4" w:space="0"/>
            </w:tcBorders>
            <w:tcW w:w="6897" w:type="dxa"/>
            <w:vAlign w:val="center"/>
            <w:textDirection w:val="lrTb"/>
            <w:noWrap/>
          </w:tcPr>
          <w:p>
            <w:pPr>
              <w:ind w:firstLine="420"/>
              <w:keepLines w:val="0"/>
              <w:keepNext w:val="0"/>
              <w:pageBreakBefore w:val="0"/>
              <w:spacing w:line="320" w:lineRule="atLeast"/>
              <w:rPr>
                <w:rFonts w:ascii="宋体" w:hAnsi="宋体" w:cs="宋体"/>
                <w:color w:val="auto"/>
                <w:highlight w:val="none"/>
              </w:rPr>
            </w:pPr>
            <w:r>
              <w:rPr>
                <w:rFonts w:hint="eastAsia" w:ascii="宋体" w:hAnsi="宋体" w:cs="宋体"/>
                <w:color w:val="auto"/>
                <w:highlight w:val="none"/>
              </w:rPr>
              <w:t xml:space="preserve">（1）具有专职抽样人员</w:t>
            </w:r>
            <w:r>
              <w:rPr>
                <w:rFonts w:ascii="宋体" w:hAnsi="宋体" w:cs="宋体"/>
                <w:color w:val="auto"/>
                <w:highlight w:val="none"/>
              </w:rPr>
              <w:t xml:space="preserve">10</w:t>
            </w:r>
            <w:r>
              <w:rPr>
                <w:rFonts w:hint="eastAsia" w:ascii="宋体" w:hAnsi="宋体" w:cs="宋体"/>
                <w:color w:val="auto"/>
                <w:highlight w:val="none"/>
              </w:rPr>
              <w:t xml:space="preserve">人（含）得</w:t>
            </w:r>
            <w:r>
              <w:rPr>
                <w:rFonts w:ascii="宋体" w:hAnsi="宋体" w:cs="宋体"/>
                <w:color w:val="auto"/>
                <w:highlight w:val="none"/>
              </w:rPr>
              <w:t xml:space="preserve">2</w:t>
            </w:r>
            <w:r>
              <w:rPr>
                <w:rFonts w:hint="eastAsia" w:ascii="宋体" w:hAnsi="宋体" w:cs="宋体"/>
                <w:color w:val="auto"/>
                <w:highlight w:val="none"/>
              </w:rPr>
              <w:t xml:space="preserve">分，每增加</w:t>
            </w:r>
            <w:r>
              <w:rPr>
                <w:rFonts w:ascii="宋体" w:hAnsi="宋体" w:cs="宋体"/>
                <w:color w:val="auto"/>
                <w:highlight w:val="none"/>
              </w:rPr>
              <w:t xml:space="preserve">6</w:t>
            </w:r>
            <w:r>
              <w:rPr>
                <w:rFonts w:hint="eastAsia" w:ascii="宋体" w:hAnsi="宋体" w:cs="宋体"/>
                <w:color w:val="auto"/>
                <w:highlight w:val="none"/>
              </w:rPr>
              <w:t xml:space="preserve">人（低于</w:t>
            </w:r>
            <w:r>
              <w:rPr>
                <w:rFonts w:ascii="宋体" w:hAnsi="宋体" w:cs="宋体"/>
                <w:color w:val="auto"/>
                <w:highlight w:val="none"/>
              </w:rPr>
              <w:t xml:space="preserve">6</w:t>
            </w:r>
            <w:r>
              <w:rPr>
                <w:rFonts w:hint="eastAsia" w:ascii="宋体" w:hAnsi="宋体" w:cs="宋体"/>
                <w:color w:val="auto"/>
                <w:highlight w:val="none"/>
              </w:rPr>
              <w:t xml:space="preserve">人不计算得分）加1分，本项目最高得</w:t>
            </w:r>
            <w:r>
              <w:rPr>
                <w:rFonts w:ascii="宋体" w:hAnsi="宋体" w:cs="宋体"/>
                <w:color w:val="auto"/>
                <w:highlight w:val="none"/>
              </w:rPr>
              <w:t xml:space="preserve">4</w:t>
            </w:r>
            <w:r>
              <w:rPr>
                <w:rFonts w:hint="eastAsia" w:ascii="宋体" w:hAnsi="宋体" w:cs="宋体"/>
                <w:color w:val="auto"/>
                <w:highlight w:val="none"/>
              </w:rPr>
              <w:t xml:space="preserve">分。以投标人提供的专职抽样人员上岗</w:t>
            </w:r>
            <w:r>
              <w:rPr>
                <w:rFonts w:hint="eastAsia" w:ascii="宋体" w:hAnsi="宋体" w:cs="宋体"/>
                <w:bCs/>
                <w:color w:val="auto"/>
                <w:highlight w:val="none"/>
              </w:rPr>
              <w:t xml:space="preserve">证扫描件和</w:t>
            </w:r>
            <w:r>
              <w:rPr>
                <w:rFonts w:hint="eastAsia" w:ascii="宋体" w:hAnsi="宋体" w:cs="宋体"/>
                <w:color w:val="auto"/>
                <w:highlight w:val="none"/>
              </w:rPr>
              <w:t xml:space="preserve">社保证明扫描件（加盖投标人公章）为准；</w:t>
            </w:r>
            <w:r/>
          </w:p>
          <w:p>
            <w:pPr>
              <w:ind w:firstLine="420"/>
              <w:keepLines w:val="0"/>
              <w:keepNext w:val="0"/>
              <w:pageBreakBefore w:val="0"/>
              <w:spacing w:line="320" w:lineRule="atLeast"/>
              <w:rPr>
                <w:rFonts w:hint="eastAsia" w:ascii="宋体" w:hAnsi="宋体" w:cs="宋体"/>
                <w:color w:val="auto"/>
                <w:highlight w:val="none"/>
              </w:rPr>
            </w:pPr>
            <w:r>
              <w:rPr>
                <w:rFonts w:hint="eastAsia" w:ascii="宋体" w:hAnsi="宋体" w:cs="宋体"/>
                <w:color w:val="auto"/>
                <w:highlight w:val="none"/>
              </w:rPr>
              <w:t xml:space="preserve">（2）投标人自有采样车辆4台（含）得2分，每增加2台（低于2台不计算得分）加1分，本项目最高得4分。以投标人提供的车辆购买发票扫描件、行驶证扫描件、登记证扫描件（加盖投标人公章），以上文件需同时提供，否则不得分；</w:t>
            </w:r>
            <w:r/>
          </w:p>
          <w:p>
            <w:pPr>
              <w:ind w:firstLine="420"/>
              <w:keepLines w:val="0"/>
              <w:keepNext w:val="0"/>
              <w:pageBreakBefore w:val="0"/>
              <w:spacing w:line="320" w:lineRule="atLeast"/>
              <w:rPr>
                <w:rFonts w:ascii="宋体" w:hAnsi="宋体" w:cs="宋体"/>
                <w:color w:val="auto"/>
                <w:highlight w:val="none"/>
                <w:lang w:val="zh-TW" w:eastAsia="zh-TW"/>
              </w:rPr>
            </w:pPr>
            <w:r>
              <w:rPr>
                <w:rFonts w:hint="eastAsia" w:ascii="宋体" w:hAnsi="宋体" w:cs="宋体"/>
                <w:color w:val="auto"/>
                <w:highlight w:val="none"/>
              </w:rPr>
              <w:t xml:space="preserve">（3）具备车载冰箱4台（含）得2分，每增加2台（低于2台不计算得分）加1分，本项目最高得4分。以投标人提供的购买发票扫描件加盖投标人公章为准。</w:t>
            </w:r>
            <w:r/>
          </w:p>
        </w:tc>
        <w:tc>
          <w:tcPr>
            <w:tcBorders>
              <w:top w:val="single" w:color="auto" w:sz="4" w:space="0"/>
              <w:bottom w:val="single" w:color="auto" w:sz="4" w:space="0"/>
              <w:right w:val="single" w:color="auto" w:sz="4" w:space="0"/>
            </w:tcBorders>
            <w:tcW w:w="814" w:type="dxa"/>
            <w:vAlign w:val="center"/>
            <w:textDirection w:val="lrTb"/>
            <w:noWrap/>
          </w:tcPr>
          <w:p>
            <w:pPr>
              <w:spacing w:line="380" w:lineRule="exact"/>
              <w:rPr>
                <w:rFonts w:ascii="宋体" w:hAnsi="宋体" w:cs="宋体"/>
                <w:color w:val="auto"/>
                <w:highlight w:val="none"/>
              </w:rPr>
            </w:pPr>
            <w:r>
              <w:rPr>
                <w:rFonts w:ascii="宋体" w:hAnsi="宋体" w:cs="宋体"/>
                <w:color w:val="auto"/>
                <w:highlight w:val="none"/>
              </w:rPr>
              <w:t xml:space="preserve">12</w:t>
            </w:r>
            <w:r>
              <w:rPr>
                <w:rFonts w:hint="eastAsia" w:ascii="宋体" w:hAnsi="宋体" w:cs="宋体"/>
                <w:color w:val="auto"/>
                <w:highlight w:val="none"/>
              </w:rPr>
              <w:t xml:space="preserve">分</w:t>
            </w:r>
            <w:r/>
          </w:p>
        </w:tc>
      </w:tr>
      <w:tr>
        <w:trPr>
          <w:jc w:val="center"/>
          <w:trHeight w:val="1010"/>
        </w:trPr>
        <w:tc>
          <w:tcPr>
            <w:tcBorders>
              <w:top w:val="single" w:color="auto" w:sz="4" w:space="0"/>
              <w:left w:val="single" w:color="auto" w:sz="4" w:space="0"/>
              <w:bottom w:val="single" w:color="auto" w:sz="4" w:space="0"/>
            </w:tcBorders>
            <w:tcW w:w="1503" w:type="dxa"/>
            <w:vAlign w:val="center"/>
            <w:vMerge w:val="continue"/>
            <w:textDirection w:val="lrTb"/>
            <w:noWrap/>
          </w:tcPr>
          <w:p>
            <w:pPr>
              <w:spacing w:line="380" w:lineRule="exact"/>
              <w:rPr>
                <w:rFonts w:ascii="宋体" w:hAnsi="宋体" w:cs="宋体"/>
                <w:color w:val="auto"/>
                <w:highlight w:val="none"/>
              </w:rPr>
            </w:pPr>
            <w:r>
              <w:rPr>
                <w:rFonts w:ascii="宋体" w:hAnsi="宋体" w:cs="宋体"/>
                <w:color w:val="auto"/>
                <w:highlight w:val="none"/>
              </w:rPr>
            </w:r>
            <w:r/>
          </w:p>
        </w:tc>
        <w:tc>
          <w:tcPr>
            <w:tcBorders>
              <w:top w:val="single" w:color="auto" w:sz="4" w:space="0"/>
              <w:bottom w:val="single" w:color="auto" w:sz="4" w:space="0"/>
            </w:tcBorders>
            <w:tcW w:w="6897" w:type="dxa"/>
            <w:vAlign w:val="center"/>
            <w:textDirection w:val="lrTb"/>
            <w:noWrap/>
          </w:tcPr>
          <w:p>
            <w:pPr>
              <w:ind w:firstLine="420"/>
              <w:keepLines w:val="0"/>
              <w:keepNext w:val="0"/>
              <w:pageBreakBefore w:val="0"/>
              <w:spacing w:line="320" w:lineRule="atLeast"/>
              <w:rPr>
                <w:rFonts w:ascii="宋体" w:hAnsi="宋体" w:cs="宋体"/>
                <w:color w:val="auto"/>
                <w:highlight w:val="none"/>
              </w:rPr>
            </w:pPr>
            <w:r>
              <w:rPr>
                <w:rFonts w:hint="eastAsia" w:ascii="宋体" w:hAnsi="宋体" w:cs="宋体"/>
                <w:color w:val="auto"/>
                <w:highlight w:val="none"/>
              </w:rPr>
              <w:t xml:space="preserve">（1）投标人投入本项目专业技术人员具备中级职称10人（含）得2分，每增加1人加0.2分，本项最高得4分；</w:t>
            </w:r>
            <w:r/>
          </w:p>
          <w:p>
            <w:pPr>
              <w:ind w:firstLine="420"/>
              <w:keepLines w:val="0"/>
              <w:keepNext w:val="0"/>
              <w:pageBreakBefore w:val="0"/>
              <w:spacing w:line="320" w:lineRule="atLeast"/>
              <w:rPr>
                <w:rFonts w:ascii="宋体" w:hAnsi="宋体" w:cs="宋体"/>
                <w:color w:val="auto"/>
                <w:highlight w:val="none"/>
              </w:rPr>
            </w:pPr>
            <w:r>
              <w:rPr>
                <w:rFonts w:hint="eastAsia" w:ascii="宋体" w:hAnsi="宋体" w:cs="宋体"/>
                <w:color w:val="auto"/>
                <w:highlight w:val="none"/>
              </w:rPr>
              <w:t xml:space="preserve">（2）投标人承担本项目的专业技术人员具备高级及以上职称人数每有一个得0.5分，最多得4分；</w:t>
            </w:r>
            <w:r/>
          </w:p>
          <w:p>
            <w:pPr>
              <w:ind w:firstLine="420"/>
              <w:keepLines w:val="0"/>
              <w:keepNext w:val="0"/>
              <w:pageBreakBefore w:val="0"/>
              <w:spacing w:line="320" w:lineRule="atLeast"/>
              <w:rPr>
                <w:rFonts w:ascii="宋体" w:hAnsi="宋体" w:cs="宋体"/>
                <w:color w:val="auto"/>
                <w:highlight w:val="none"/>
              </w:rPr>
            </w:pPr>
            <w:r>
              <w:rPr>
                <w:rFonts w:hint="eastAsia" w:ascii="宋体" w:hAnsi="宋体" w:cs="宋体"/>
                <w:color w:val="auto"/>
                <w:highlight w:val="none"/>
              </w:rPr>
              <w:t xml:space="preserve">（3）投标人承担本项目的项目负责人具有高级职称的得2分；</w:t>
            </w:r>
            <w:r/>
          </w:p>
          <w:p>
            <w:pPr>
              <w:ind w:firstLine="420"/>
              <w:keepLines w:val="0"/>
              <w:keepNext w:val="0"/>
              <w:pageBreakBefore w:val="0"/>
              <w:spacing w:line="320" w:lineRule="atLeast"/>
              <w:rPr>
                <w:rFonts w:ascii="宋体" w:hAnsi="宋体" w:cs="宋体"/>
                <w:color w:val="auto"/>
                <w:highlight w:val="none"/>
                <w:lang w:val="zh-TW" w:eastAsia="zh-TW"/>
              </w:rPr>
            </w:pPr>
            <w:r>
              <w:rPr>
                <w:rFonts w:hint="eastAsia" w:ascii="宋体" w:hAnsi="宋体" w:cs="宋体"/>
                <w:color w:val="auto"/>
                <w:highlight w:val="none"/>
              </w:rPr>
              <w:t xml:space="preserve">以投标人提供人员社保证明、职称证书、上岗</w:t>
            </w:r>
            <w:r>
              <w:rPr>
                <w:rFonts w:hint="eastAsia" w:ascii="宋体" w:hAnsi="宋体" w:cs="宋体"/>
                <w:bCs/>
                <w:color w:val="auto"/>
                <w:highlight w:val="none"/>
              </w:rPr>
              <w:t xml:space="preserve">证扫描件（加盖投标人公章）为准，</w:t>
            </w:r>
            <w:r>
              <w:rPr>
                <w:rFonts w:hint="eastAsia" w:ascii="宋体" w:hAnsi="宋体" w:cs="宋体"/>
                <w:color w:val="auto"/>
                <w:highlight w:val="none"/>
              </w:rPr>
              <w:t xml:space="preserve">否则不得分。</w:t>
            </w:r>
            <w:r/>
          </w:p>
        </w:tc>
        <w:tc>
          <w:tcPr>
            <w:tcBorders>
              <w:top w:val="single" w:color="auto" w:sz="4" w:space="0"/>
              <w:bottom w:val="single" w:color="auto" w:sz="4" w:space="0"/>
              <w:right w:val="single" w:color="auto" w:sz="4" w:space="0"/>
            </w:tcBorders>
            <w:tcW w:w="814" w:type="dxa"/>
            <w:vAlign w:val="center"/>
            <w:textDirection w:val="lrTb"/>
            <w:noWrap/>
          </w:tcPr>
          <w:p>
            <w:pPr>
              <w:spacing w:line="380" w:lineRule="exact"/>
              <w:rPr>
                <w:rFonts w:ascii="宋体" w:hAnsi="宋体" w:cs="宋体"/>
                <w:color w:val="auto"/>
                <w:highlight w:val="none"/>
              </w:rPr>
            </w:pPr>
            <w:r>
              <w:rPr>
                <w:rFonts w:hint="eastAsia" w:ascii="宋体" w:hAnsi="宋体" w:cs="宋体"/>
                <w:color w:val="auto"/>
                <w:highlight w:val="none"/>
              </w:rPr>
              <w:t xml:space="preserve">10分</w:t>
            </w:r>
            <w:r/>
          </w:p>
        </w:tc>
      </w:tr>
      <w:tr>
        <w:trPr>
          <w:jc w:val="center"/>
          <w:trHeight w:val="2167"/>
        </w:trPr>
        <w:tc>
          <w:tcPr>
            <w:tcBorders>
              <w:top w:val="single" w:color="auto" w:sz="4" w:space="0"/>
              <w:left w:val="single" w:color="auto" w:sz="4" w:space="0"/>
              <w:bottom w:val="single" w:color="auto" w:sz="4" w:space="0"/>
            </w:tcBorders>
            <w:tcW w:w="1503" w:type="dxa"/>
            <w:vAlign w:val="center"/>
            <w:vMerge w:val="restart"/>
            <w:textDirection w:val="lrTb"/>
            <w:noWrap/>
          </w:tcPr>
          <w:p>
            <w:pPr>
              <w:spacing w:line="380" w:lineRule="exact"/>
              <w:rPr>
                <w:rFonts w:ascii="宋体" w:hAnsi="宋体" w:cs="宋体"/>
                <w:color w:val="auto"/>
                <w:highlight w:val="none"/>
              </w:rPr>
            </w:pPr>
            <w:r>
              <w:rPr>
                <w:rFonts w:hint="eastAsia" w:ascii="宋体" w:hAnsi="宋体" w:cs="宋体"/>
                <w:color w:val="auto"/>
                <w:highlight w:val="none"/>
              </w:rPr>
              <w:t xml:space="preserve">五、商务部分（16）</w:t>
            </w:r>
            <w:r/>
          </w:p>
        </w:tc>
        <w:tc>
          <w:tcPr>
            <w:tcBorders>
              <w:top w:val="single" w:color="auto" w:sz="4" w:space="0"/>
              <w:bottom w:val="single" w:color="auto" w:sz="4" w:space="0"/>
            </w:tcBorders>
            <w:tcW w:w="6897" w:type="dxa"/>
            <w:vAlign w:val="center"/>
            <w:textDirection w:val="lrTb"/>
            <w:noWrap/>
          </w:tcPr>
          <w:p>
            <w:pPr>
              <w:ind w:firstLine="420"/>
              <w:keepLines w:val="0"/>
              <w:keepNext w:val="0"/>
              <w:pageBreakBefore w:val="0"/>
              <w:spacing w:line="320" w:lineRule="atLeast"/>
              <w:rPr>
                <w:rFonts w:ascii="宋体" w:hAnsi="宋体" w:cs="宋体"/>
                <w:color w:val="auto"/>
                <w:highlight w:val="none"/>
              </w:rPr>
            </w:pPr>
            <w:r>
              <w:rPr>
                <w:rFonts w:hint="eastAsia" w:ascii="宋体" w:hAnsi="宋体" w:cs="宋体"/>
                <w:color w:val="auto"/>
                <w:highlight w:val="none"/>
              </w:rPr>
              <w:t xml:space="preserve">专业技术能力</w:t>
            </w:r>
            <w:r/>
          </w:p>
          <w:p>
            <w:pPr>
              <w:ind w:firstLine="420"/>
              <w:keepLines w:val="0"/>
              <w:keepNext w:val="0"/>
              <w:pageBreakBefore w:val="0"/>
              <w:spacing w:line="320" w:lineRule="atLeast"/>
              <w:rPr>
                <w:rFonts w:ascii="宋体" w:hAnsi="宋体" w:cs="宋体"/>
                <w:color w:val="auto"/>
                <w:highlight w:val="none"/>
              </w:rPr>
            </w:pPr>
            <w:r>
              <w:rPr>
                <w:rFonts w:hint="eastAsia" w:ascii="宋体" w:hAnsi="宋体" w:cs="宋体"/>
                <w:color w:val="auto"/>
                <w:highlight w:val="none"/>
              </w:rPr>
              <w:t xml:space="preserve">2022年、2023年、2024年，参加省级农业农村部门或农业农村部组织的农产品中农药残留、畜禽产品兽药残留、水产品中兽药残留能力验证的，同一年内初验合格的每覆盖一项得1分，补验合格的每覆盖一项得0.5分。未参加或者其中一项补验不合格的该项不得分。以三年分别累计相加得分为准，本项最高得分9分。以上以提供证明材料扫描件（加盖投标人公章）为准。</w:t>
            </w:r>
            <w:r/>
          </w:p>
        </w:tc>
        <w:tc>
          <w:tcPr>
            <w:tcBorders>
              <w:top w:val="single" w:color="auto" w:sz="4" w:space="0"/>
              <w:bottom w:val="single" w:color="auto" w:sz="4" w:space="0"/>
              <w:right w:val="single" w:color="auto" w:sz="4" w:space="0"/>
            </w:tcBorders>
            <w:tcW w:w="814" w:type="dxa"/>
            <w:vAlign w:val="center"/>
            <w:textDirection w:val="lrTb"/>
            <w:noWrap/>
          </w:tcPr>
          <w:p>
            <w:pPr>
              <w:spacing w:line="380" w:lineRule="exact"/>
              <w:rPr>
                <w:rFonts w:ascii="宋体" w:hAnsi="宋体" w:cs="宋体"/>
                <w:color w:val="auto"/>
                <w:highlight w:val="none"/>
              </w:rPr>
            </w:pPr>
            <w:r>
              <w:rPr>
                <w:rFonts w:hint="eastAsia" w:ascii="宋体" w:hAnsi="宋体" w:cs="宋体"/>
                <w:color w:val="auto"/>
                <w:highlight w:val="none"/>
              </w:rPr>
              <w:t xml:space="preserve">9分</w:t>
            </w:r>
            <w:r/>
          </w:p>
        </w:tc>
      </w:tr>
      <w:tr>
        <w:trPr>
          <w:jc w:val="center"/>
          <w:trHeight w:val="1010"/>
        </w:trPr>
        <w:tc>
          <w:tcPr>
            <w:tcBorders>
              <w:top w:val="single" w:color="auto" w:sz="4" w:space="0"/>
              <w:left w:val="single" w:color="auto" w:sz="4" w:space="0"/>
              <w:bottom w:val="single" w:color="auto" w:sz="4" w:space="0"/>
            </w:tcBorders>
            <w:tcW w:w="1503" w:type="dxa"/>
            <w:vAlign w:val="center"/>
            <w:vMerge w:val="continue"/>
            <w:textDirection w:val="lrTb"/>
            <w:noWrap/>
          </w:tcPr>
          <w:p>
            <w:pPr>
              <w:spacing w:line="380" w:lineRule="exact"/>
              <w:rPr>
                <w:rFonts w:ascii="宋体" w:hAnsi="宋体" w:cs="宋体"/>
                <w:color w:val="auto"/>
                <w:highlight w:val="none"/>
              </w:rPr>
            </w:pPr>
            <w:r>
              <w:rPr>
                <w:rFonts w:ascii="宋体" w:hAnsi="宋体" w:cs="宋体"/>
                <w:color w:val="auto"/>
                <w:highlight w:val="none"/>
              </w:rPr>
            </w:r>
            <w:r/>
          </w:p>
        </w:tc>
        <w:tc>
          <w:tcPr>
            <w:tcBorders>
              <w:top w:val="single" w:color="auto" w:sz="4" w:space="0"/>
              <w:bottom w:val="single" w:color="auto" w:sz="4" w:space="0"/>
            </w:tcBorders>
            <w:tcW w:w="6897" w:type="dxa"/>
            <w:vAlign w:val="center"/>
            <w:textDirection w:val="lrTb"/>
            <w:noWrap/>
          </w:tcPr>
          <w:p>
            <w:pPr>
              <w:ind w:firstLine="220"/>
              <w:keepLines w:val="0"/>
              <w:keepNext w:val="0"/>
              <w:pageBreakBefore w:val="0"/>
              <w:spacing w:before="31" w:after="31" w:line="320" w:lineRule="atLeast"/>
              <w:widowControl/>
              <w:rPr>
                <w:rFonts w:hint="eastAsia" w:ascii="宋体" w:hAnsi="宋体"/>
                <w:color w:val="auto"/>
                <w:sz w:val="22"/>
                <w:szCs w:val="22"/>
                <w:highlight w:val="none"/>
              </w:rPr>
            </w:pPr>
            <w:r>
              <w:rPr>
                <w:rFonts w:hint="eastAsia" w:ascii="宋体" w:hAnsi="宋体"/>
                <w:color w:val="auto"/>
                <w:sz w:val="22"/>
                <w:szCs w:val="22"/>
                <w:highlight w:val="none"/>
              </w:rPr>
              <w:t xml:space="preserve">企业认证及荣誉</w:t>
            </w:r>
            <w:r/>
          </w:p>
          <w:p>
            <w:pPr>
              <w:ind w:firstLine="220"/>
              <w:keepLines w:val="0"/>
              <w:keepNext w:val="0"/>
              <w:pageBreakBefore w:val="0"/>
              <w:spacing w:before="31" w:after="31" w:line="320" w:lineRule="atLeast"/>
              <w:widowControl/>
              <w:rPr>
                <w:rFonts w:hint="eastAsia" w:ascii="宋体" w:hAnsi="宋体"/>
                <w:color w:val="auto"/>
                <w:sz w:val="22"/>
                <w:szCs w:val="22"/>
                <w:highlight w:val="none"/>
              </w:rPr>
            </w:pPr>
            <w:r>
              <w:rPr>
                <w:rFonts w:hint="eastAsia" w:ascii="宋体" w:hAnsi="宋体"/>
                <w:color w:val="auto"/>
                <w:sz w:val="22"/>
                <w:szCs w:val="22"/>
                <w:highlight w:val="none"/>
              </w:rPr>
              <w:t xml:space="preserve">（1）投标人获得质量管理体系（ISO9001）认证的得1分；</w:t>
            </w:r>
            <w:r/>
          </w:p>
          <w:p>
            <w:pPr>
              <w:ind w:firstLine="220"/>
              <w:keepLines w:val="0"/>
              <w:keepNext w:val="0"/>
              <w:pageBreakBefore w:val="0"/>
              <w:spacing w:before="31" w:after="31" w:line="320" w:lineRule="atLeast"/>
              <w:widowControl/>
              <w:rPr>
                <w:rFonts w:hint="eastAsia" w:ascii="宋体" w:hAnsi="宋体"/>
                <w:color w:val="auto"/>
                <w:sz w:val="22"/>
                <w:szCs w:val="22"/>
                <w:highlight w:val="none"/>
              </w:rPr>
            </w:pPr>
            <w:r>
              <w:rPr>
                <w:rFonts w:hint="eastAsia" w:ascii="宋体" w:hAnsi="宋体"/>
                <w:color w:val="auto"/>
                <w:sz w:val="22"/>
                <w:szCs w:val="22"/>
                <w:highlight w:val="none"/>
              </w:rPr>
              <w:t xml:space="preserve">（2）投标人获得职业健康管理体系认证的得1分；</w:t>
            </w:r>
            <w:r/>
          </w:p>
          <w:p>
            <w:pPr>
              <w:ind w:firstLine="220"/>
              <w:keepLines w:val="0"/>
              <w:keepNext w:val="0"/>
              <w:pageBreakBefore w:val="0"/>
              <w:spacing w:before="31" w:after="31" w:line="320" w:lineRule="atLeast"/>
              <w:widowControl/>
              <w:rPr>
                <w:rFonts w:hint="eastAsia" w:ascii="宋体" w:hAnsi="宋体"/>
                <w:color w:val="auto"/>
                <w:sz w:val="22"/>
                <w:szCs w:val="22"/>
                <w:highlight w:val="none"/>
              </w:rPr>
            </w:pPr>
            <w:r>
              <w:rPr>
                <w:rFonts w:hint="eastAsia" w:ascii="宋体" w:hAnsi="宋体"/>
                <w:color w:val="auto"/>
                <w:sz w:val="22"/>
                <w:szCs w:val="22"/>
                <w:highlight w:val="none"/>
              </w:rPr>
              <w:t xml:space="preserve">（3）投标人获得环境管理体系认证的得1分；</w:t>
            </w:r>
            <w:r/>
          </w:p>
          <w:p>
            <w:pPr>
              <w:ind w:firstLine="220"/>
              <w:keepLines w:val="0"/>
              <w:keepNext w:val="0"/>
              <w:pageBreakBefore w:val="0"/>
              <w:spacing w:before="31" w:after="31" w:line="320" w:lineRule="atLeast"/>
              <w:widowControl/>
              <w:rPr>
                <w:rFonts w:hint="eastAsia" w:ascii="宋体" w:hAnsi="宋体"/>
                <w:color w:val="auto"/>
                <w:sz w:val="22"/>
                <w:szCs w:val="22"/>
                <w:highlight w:val="none"/>
              </w:rPr>
            </w:pPr>
            <w:r>
              <w:rPr>
                <w:rFonts w:hint="eastAsia" w:ascii="宋体" w:hAnsi="宋体"/>
                <w:color w:val="auto"/>
                <w:sz w:val="22"/>
                <w:szCs w:val="22"/>
                <w:highlight w:val="none"/>
              </w:rPr>
              <w:t xml:space="preserve">（1）至（3）以提供证书复印件及网站截图（全国认证认可信息公共服务平台http://cx.cnca.cn/CertECloud/index/index/page）为准，相关证书复印件及网站截图均加盖投标人公章，否则不得分。</w:t>
            </w:r>
            <w:r/>
          </w:p>
          <w:p>
            <w:pPr>
              <w:ind w:firstLine="220"/>
              <w:keepLines w:val="0"/>
              <w:keepNext w:val="0"/>
              <w:pageBreakBefore w:val="0"/>
              <w:spacing w:before="31" w:after="31" w:line="320" w:lineRule="atLeast"/>
              <w:widowControl/>
              <w:rPr>
                <w:rFonts w:hint="eastAsia" w:ascii="宋体" w:hAnsi="宋体"/>
                <w:color w:val="auto"/>
                <w:sz w:val="22"/>
                <w:szCs w:val="22"/>
                <w:highlight w:val="none"/>
              </w:rPr>
            </w:pPr>
            <w:r>
              <w:rPr>
                <w:rFonts w:hint="eastAsia" w:ascii="宋体" w:hAnsi="宋体"/>
                <w:color w:val="auto"/>
                <w:sz w:val="22"/>
                <w:szCs w:val="22"/>
                <w:highlight w:val="none"/>
              </w:rPr>
              <w:t xml:space="preserve">（4）投标人获得CNAS实验室认证资质的得2分；（提供有效证书）</w:t>
            </w:r>
            <w:r/>
          </w:p>
          <w:p>
            <w:pPr>
              <w:ind w:firstLine="220"/>
              <w:keepLines w:val="0"/>
              <w:keepNext w:val="0"/>
              <w:pageBreakBefore w:val="0"/>
              <w:spacing w:before="31" w:after="31" w:line="320" w:lineRule="atLeast"/>
              <w:widowControl/>
              <w:rPr>
                <w:rFonts w:hint="eastAsia" w:ascii="宋体" w:hAnsi="宋体"/>
                <w:color w:val="auto"/>
                <w:sz w:val="22"/>
                <w:szCs w:val="22"/>
                <w:highlight w:val="none"/>
              </w:rPr>
            </w:pPr>
            <w:r>
              <w:rPr>
                <w:rFonts w:hint="eastAsia" w:ascii="宋体" w:hAnsi="宋体"/>
                <w:color w:val="auto"/>
                <w:sz w:val="22"/>
                <w:szCs w:val="22"/>
                <w:highlight w:val="none"/>
              </w:rPr>
              <w:t xml:space="preserve">（5）投标人自2022年以来承担过农产品质量安全相关课题或制定相关行业标准的，每提供1个国家级的得2分，每提供1个省级的得1分，本项目</w:t>
            </w:r>
            <w:r>
              <w:rPr>
                <w:rFonts w:hint="eastAsia" w:ascii="宋体" w:hAnsi="宋体"/>
                <w:color w:val="auto"/>
                <w:sz w:val="22"/>
                <w:szCs w:val="22"/>
                <w:highlight w:val="none"/>
                <w:lang w:eastAsia="zh-CN"/>
              </w:rPr>
              <w:t xml:space="preserve">最高得</w:t>
            </w:r>
            <w:r>
              <w:rPr>
                <w:rFonts w:hint="eastAsia" w:ascii="宋体" w:hAnsi="宋体"/>
                <w:color w:val="auto"/>
                <w:sz w:val="22"/>
                <w:szCs w:val="22"/>
                <w:highlight w:val="none"/>
              </w:rPr>
              <w:t xml:space="preserve">2分。（提供承担课题、标准合同书或相关证明）</w:t>
            </w:r>
            <w:r/>
          </w:p>
          <w:p>
            <w:pPr>
              <w:ind w:firstLine="440"/>
              <w:keepLines w:val="0"/>
              <w:keepNext w:val="0"/>
              <w:pageBreakBefore w:val="0"/>
              <w:spacing w:line="320" w:lineRule="atLeast"/>
              <w:rPr>
                <w:rFonts w:ascii="宋体" w:hAnsi="宋体" w:cs="宋体"/>
                <w:color w:val="auto"/>
                <w:highlight w:val="none"/>
                <w:lang w:val="zh-TW" w:eastAsia="zh-TW"/>
              </w:rPr>
            </w:pPr>
            <w:r>
              <w:rPr>
                <w:rFonts w:hint="eastAsia" w:ascii="宋体" w:hAnsi="宋体"/>
                <w:color w:val="auto"/>
                <w:sz w:val="22"/>
                <w:szCs w:val="22"/>
                <w:highlight w:val="none"/>
              </w:rPr>
              <w:t xml:space="preserve">注：提供以上证书或相关证明文件复印件加盖公章，未按要求提供不得分。</w:t>
            </w:r>
            <w:r/>
          </w:p>
        </w:tc>
        <w:tc>
          <w:tcPr>
            <w:tcBorders>
              <w:top w:val="single" w:color="auto" w:sz="4" w:space="0"/>
              <w:bottom w:val="single" w:color="auto" w:sz="4" w:space="0"/>
              <w:right w:val="single" w:color="auto" w:sz="4" w:space="0"/>
            </w:tcBorders>
            <w:tcW w:w="814" w:type="dxa"/>
            <w:vAlign w:val="center"/>
            <w:textDirection w:val="lrTb"/>
            <w:noWrap/>
          </w:tcPr>
          <w:p>
            <w:pPr>
              <w:spacing w:line="380" w:lineRule="exact"/>
              <w:rPr>
                <w:rFonts w:ascii="宋体" w:hAnsi="宋体" w:cs="宋体"/>
                <w:color w:val="auto"/>
                <w:highlight w:val="none"/>
              </w:rPr>
            </w:pPr>
            <w:r>
              <w:rPr>
                <w:rFonts w:hint="eastAsia" w:ascii="宋体" w:hAnsi="宋体" w:cs="宋体"/>
                <w:color w:val="auto"/>
                <w:highlight w:val="none"/>
              </w:rPr>
              <w:t xml:space="preserve">7分</w:t>
            </w:r>
            <w:r/>
          </w:p>
        </w:tc>
      </w:tr>
      <w:tr>
        <w:trPr>
          <w:jc w:val="center"/>
          <w:trHeight w:val="6820"/>
        </w:trPr>
        <w:tc>
          <w:tcPr>
            <w:tcBorders>
              <w:top w:val="single" w:color="auto" w:sz="4" w:space="0"/>
              <w:left w:val="single" w:color="auto" w:sz="4" w:space="0"/>
              <w:bottom w:val="single" w:color="auto" w:sz="4" w:space="0"/>
            </w:tcBorders>
            <w:tcW w:w="1503" w:type="dxa"/>
            <w:vAlign w:val="center"/>
            <w:textDirection w:val="lrTb"/>
            <w:noWrap/>
          </w:tcPr>
          <w:p>
            <w:pPr>
              <w:spacing w:line="380" w:lineRule="exact"/>
              <w:rPr>
                <w:rFonts w:ascii="宋体" w:hAnsi="宋体" w:cs="宋体"/>
                <w:color w:val="auto"/>
                <w:highlight w:val="none"/>
              </w:rPr>
            </w:pPr>
            <w:r>
              <w:rPr>
                <w:rFonts w:hint="eastAsia" w:ascii="宋体" w:hAnsi="宋体" w:cs="宋体"/>
                <w:color w:val="auto"/>
                <w:highlight w:val="none"/>
              </w:rPr>
              <w:t xml:space="preserve">六、技术方案（18分）</w:t>
            </w:r>
            <w:r/>
          </w:p>
          <w:p>
            <w:pPr>
              <w:ind w:firstLine="420"/>
              <w:spacing w:line="380" w:lineRule="exact"/>
              <w:rPr>
                <w:rFonts w:ascii="宋体" w:hAnsi="宋体" w:cs="宋体"/>
                <w:color w:val="auto"/>
                <w:highlight w:val="none"/>
              </w:rPr>
            </w:pPr>
            <w:r>
              <w:rPr>
                <w:rFonts w:ascii="宋体" w:hAnsi="宋体" w:cs="宋体"/>
                <w:color w:val="auto"/>
                <w:highlight w:val="none"/>
              </w:rPr>
            </w:r>
            <w:r/>
          </w:p>
        </w:tc>
        <w:tc>
          <w:tcPr>
            <w:tcBorders>
              <w:top w:val="single" w:color="auto" w:sz="4" w:space="0"/>
              <w:bottom w:val="single" w:color="auto" w:sz="4" w:space="0"/>
            </w:tcBorders>
            <w:tcW w:w="6897" w:type="dxa"/>
            <w:vAlign w:val="center"/>
            <w:textDirection w:val="lrTb"/>
            <w:noWrap/>
          </w:tcPr>
          <w:p>
            <w:pPr>
              <w:keepLines w:val="0"/>
              <w:keepNext w:val="0"/>
              <w:pageBreakBefore w:val="0"/>
              <w:spacing w:line="320" w:lineRule="atLeast"/>
              <w:rPr>
                <w:rFonts w:ascii="宋体" w:hAnsi="宋体" w:cs="宋体"/>
                <w:color w:val="auto"/>
                <w:highlight w:val="none"/>
              </w:rPr>
            </w:pPr>
            <w:r>
              <w:rPr>
                <w:rFonts w:hint="eastAsia" w:ascii="宋体" w:hAnsi="宋体" w:cs="宋体"/>
                <w:color w:val="auto"/>
                <w:highlight w:val="none"/>
              </w:rPr>
              <w:t xml:space="preserve">评标委员会对投标人的项目实施方案进行独立评审。</w:t>
            </w:r>
            <w:r/>
          </w:p>
          <w:p>
            <w:pPr>
              <w:ind w:firstLine="420"/>
              <w:keepLines w:val="0"/>
              <w:keepNext w:val="0"/>
              <w:pageBreakBefore w:val="0"/>
              <w:spacing w:line="320" w:lineRule="atLeast"/>
              <w:rPr>
                <w:color w:val="auto"/>
                <w:highlight w:val="none"/>
              </w:rPr>
            </w:pPr>
            <w:r>
              <w:rPr>
                <w:rFonts w:hint="eastAsia"/>
                <w:color w:val="auto"/>
                <w:highlight w:val="none"/>
              </w:rPr>
              <w:t xml:space="preserve">（1）对项目任务的理解和响应：</w:t>
            </w:r>
            <w:r/>
          </w:p>
          <w:p>
            <w:pPr>
              <w:ind w:firstLine="420"/>
              <w:keepLines w:val="0"/>
              <w:keepNext w:val="0"/>
              <w:pageBreakBefore w:val="0"/>
              <w:spacing w:line="320" w:lineRule="atLeast"/>
              <w:rPr>
                <w:rFonts w:eastAsia="宋体"/>
                <w:color w:val="auto"/>
                <w:highlight w:val="none"/>
              </w:rPr>
            </w:pPr>
            <w:r>
              <w:rPr>
                <w:rFonts w:hint="eastAsia"/>
                <w:color w:val="auto"/>
                <w:highlight w:val="none"/>
              </w:rPr>
              <w:t xml:space="preserve">由评标委员会根据投标文件中对项目目标、工作任务等要求理解准确，提交的服务方案内容满足本项目任务要求等进行评审。内容详实、需求贴合度高且条理清晰的得6分；内容较为简单、可行、细节待完善的得5分；内容粗糙、无针对性、仅能基本满足采购求的得4分；未提供的，不得分。本项最高得6分；</w:t>
            </w:r>
            <w:r/>
          </w:p>
          <w:p>
            <w:pPr>
              <w:ind w:firstLine="420"/>
              <w:keepLines w:val="0"/>
              <w:keepNext w:val="0"/>
              <w:pageBreakBefore w:val="0"/>
              <w:spacing w:line="320" w:lineRule="atLeast"/>
              <w:rPr>
                <w:rFonts w:ascii="宋体" w:hAnsi="宋体" w:cs="宋体"/>
                <w:color w:val="auto"/>
                <w:highlight w:val="none"/>
              </w:rPr>
            </w:pPr>
            <w:r>
              <w:rPr>
                <w:rFonts w:hint="eastAsia" w:ascii="宋体" w:hAnsi="宋体" w:cs="宋体"/>
                <w:color w:val="auto"/>
                <w:highlight w:val="none"/>
              </w:rPr>
              <w:t xml:space="preserve">（2）</w:t>
            </w:r>
            <w:r>
              <w:rPr>
                <w:rFonts w:hint="eastAsia"/>
                <w:color w:val="auto"/>
                <w:highlight w:val="none"/>
              </w:rPr>
              <w:t xml:space="preserve">质量、进度保证措施：</w:t>
            </w:r>
            <w:r/>
          </w:p>
          <w:p>
            <w:pPr>
              <w:ind w:firstLine="420"/>
              <w:keepLines w:val="0"/>
              <w:keepNext w:val="0"/>
              <w:pageBreakBefore w:val="0"/>
              <w:spacing w:line="320" w:lineRule="atLeast"/>
              <w:rPr>
                <w:color w:val="auto"/>
                <w:highlight w:val="none"/>
              </w:rPr>
            </w:pPr>
            <w:r>
              <w:rPr>
                <w:rFonts w:hint="eastAsia"/>
                <w:color w:val="auto"/>
                <w:highlight w:val="none"/>
              </w:rPr>
              <w:t xml:space="preserve">由评标委员会根据投标文件中对进度计划安排合理可行，质量控制措施详尽，管理制度完善，能保证较好完成任务等进行评审。内容详实、需求贴合度高且条理清晰的得6分；内容较为简单、可行、细节待完善的得5分；内容粗糙、无针对性、仅能基本满足采购求的得4分；未提供的，不得分。本项最高得6分；</w:t>
            </w:r>
            <w:r/>
          </w:p>
          <w:p>
            <w:pPr>
              <w:ind w:firstLine="420"/>
              <w:keepLines w:val="0"/>
              <w:keepNext w:val="0"/>
              <w:pageBreakBefore w:val="0"/>
              <w:spacing w:line="320" w:lineRule="atLeast"/>
              <w:rPr>
                <w:rFonts w:hAnsi="宋体" w:cs="宋体"/>
                <w:color w:val="auto"/>
                <w:highlight w:val="none"/>
              </w:rPr>
            </w:pPr>
            <w:r>
              <w:rPr>
                <w:rFonts w:hint="eastAsia" w:hAnsi="宋体" w:cs="宋体"/>
                <w:color w:val="auto"/>
                <w:highlight w:val="none"/>
              </w:rPr>
              <w:t xml:space="preserve">（3）</w:t>
            </w:r>
            <w:r>
              <w:rPr>
                <w:rFonts w:hint="eastAsia"/>
                <w:color w:val="auto"/>
                <w:highlight w:val="none"/>
              </w:rPr>
              <w:t xml:space="preserve">由评标委员会根据投标文件中对</w:t>
            </w:r>
            <w:r>
              <w:rPr>
                <w:rFonts w:hint="eastAsia" w:hAnsi="宋体" w:cs="宋体"/>
                <w:color w:val="auto"/>
                <w:highlight w:val="none"/>
              </w:rPr>
              <w:t xml:space="preserve">考察投标人提供的应急服务方案及承诺情况，横向比较后视投标人方案及承诺的全面性和针对性进</w:t>
            </w:r>
            <w:r>
              <w:rPr>
                <w:rFonts w:hint="eastAsia"/>
                <w:color w:val="auto"/>
                <w:highlight w:val="none"/>
              </w:rPr>
              <w:t xml:space="preserve">等进行评审。内容详实、需求贴合度高且条理清晰的得6分；内容较为简单、可行、细节待完善的得5分；内容粗糙、无针对性、仅能基本满足采购求的得4分；未提供的，不得分。本项最高得6分。</w:t>
            </w:r>
            <w:r/>
          </w:p>
        </w:tc>
        <w:tc>
          <w:tcPr>
            <w:tcBorders>
              <w:top w:val="single" w:color="auto" w:sz="4" w:space="0"/>
              <w:bottom w:val="single" w:color="auto" w:sz="4" w:space="0"/>
              <w:right w:val="single" w:color="auto" w:sz="4" w:space="0"/>
            </w:tcBorders>
            <w:tcW w:w="814" w:type="dxa"/>
            <w:vAlign w:val="center"/>
            <w:textDirection w:val="lrTb"/>
            <w:noWrap/>
          </w:tcPr>
          <w:p>
            <w:pPr>
              <w:spacing w:line="380" w:lineRule="exact"/>
              <w:rPr>
                <w:rFonts w:ascii="宋体" w:hAnsi="宋体" w:cs="宋体"/>
                <w:color w:val="auto"/>
                <w:highlight w:val="none"/>
              </w:rPr>
            </w:pPr>
            <w:r>
              <w:rPr>
                <w:rFonts w:hint="eastAsia" w:ascii="宋体" w:hAnsi="宋体" w:cs="宋体"/>
                <w:color w:val="auto"/>
                <w:highlight w:val="none"/>
              </w:rPr>
              <w:t xml:space="preserve">18分</w:t>
            </w:r>
            <w:r/>
          </w:p>
        </w:tc>
      </w:tr>
      <w:tr>
        <w:trPr>
          <w:jc w:val="center"/>
          <w:trHeight w:val="357"/>
        </w:trPr>
        <w:tc>
          <w:tcPr>
            <w:tcBorders>
              <w:top w:val="single" w:color="auto" w:sz="4" w:space="0"/>
              <w:left w:val="single" w:color="auto" w:sz="4" w:space="0"/>
            </w:tcBorders>
            <w:tcW w:w="1503" w:type="dxa"/>
            <w:vAlign w:val="center"/>
            <w:textDirection w:val="lrTb"/>
            <w:noWrap/>
          </w:tcPr>
          <w:p>
            <w:pPr>
              <w:spacing w:line="380" w:lineRule="exact"/>
              <w:rPr>
                <w:rFonts w:ascii="宋体" w:hAnsi="宋体" w:cs="宋体"/>
                <w:color w:val="auto"/>
                <w:highlight w:val="none"/>
              </w:rPr>
            </w:pPr>
            <w:r>
              <w:rPr>
                <w:rFonts w:hint="eastAsia" w:ascii="宋体" w:hAnsi="宋体" w:cs="宋体"/>
                <w:color w:val="auto"/>
                <w:highlight w:val="none"/>
              </w:rPr>
              <w:t xml:space="preserve">七、业绩部分（10分）</w:t>
            </w:r>
            <w:r/>
          </w:p>
        </w:tc>
        <w:tc>
          <w:tcPr>
            <w:tcBorders>
              <w:top w:val="single" w:color="auto" w:sz="4" w:space="0"/>
            </w:tcBorders>
            <w:tcW w:w="6897" w:type="dxa"/>
            <w:vAlign w:val="center"/>
            <w:textDirection w:val="lrTb"/>
            <w:noWrap/>
          </w:tcPr>
          <w:p>
            <w:pPr>
              <w:ind w:firstLine="420"/>
              <w:keepLines w:val="0"/>
              <w:keepNext w:val="0"/>
              <w:pageBreakBefore w:val="0"/>
              <w:spacing w:line="320" w:lineRule="atLeast"/>
              <w:rPr>
                <w:rFonts w:ascii="宋体" w:hAnsi="宋体" w:cs="宋体"/>
                <w:color w:val="auto"/>
                <w:highlight w:val="none"/>
              </w:rPr>
            </w:pPr>
            <w:r>
              <w:rPr>
                <w:rFonts w:ascii="Calibri" w:hAnsi="Calibri" w:cs="Calibri"/>
                <w:color w:val="auto"/>
                <w:highlight w:val="none"/>
              </w:rPr>
              <w:t xml:space="preserve">①</w:t>
            </w:r>
            <w:r>
              <w:rPr>
                <w:rFonts w:hint="eastAsia" w:ascii="宋体" w:hAnsi="宋体" w:cs="宋体"/>
                <w:color w:val="auto"/>
                <w:highlight w:val="none"/>
              </w:rPr>
              <w:t xml:space="preserve">投标人2022年1月1日以来承担过省级同类抽检任务的，每有一项加3分；</w:t>
            </w:r>
            <w:r/>
          </w:p>
          <w:p>
            <w:pPr>
              <w:ind w:firstLine="420"/>
              <w:keepLines w:val="0"/>
              <w:keepNext w:val="0"/>
              <w:pageBreakBefore w:val="0"/>
              <w:spacing w:line="320" w:lineRule="atLeast"/>
              <w:rPr>
                <w:rFonts w:ascii="宋体" w:hAnsi="宋体" w:cs="宋体"/>
                <w:color w:val="auto"/>
                <w:highlight w:val="none"/>
              </w:rPr>
            </w:pPr>
            <w:r>
              <w:rPr>
                <w:rFonts w:ascii="Calibri" w:hAnsi="Calibri" w:cs="Calibri"/>
                <w:color w:val="auto"/>
                <w:highlight w:val="none"/>
              </w:rPr>
              <w:t xml:space="preserve">②</w:t>
            </w:r>
            <w:r>
              <w:rPr>
                <w:rFonts w:hint="eastAsia" w:ascii="宋体" w:hAnsi="宋体" w:cs="宋体"/>
                <w:color w:val="auto"/>
                <w:highlight w:val="none"/>
              </w:rPr>
              <w:t xml:space="preserve">投标人2022年1月1日以承担过设区市同类抽检任务的，每有一项加2分。</w:t>
            </w:r>
            <w:r/>
          </w:p>
          <w:p>
            <w:pPr>
              <w:ind w:firstLine="420"/>
              <w:keepLines w:val="0"/>
              <w:keepNext w:val="0"/>
              <w:pageBreakBefore w:val="0"/>
              <w:spacing w:line="320" w:lineRule="atLeast"/>
              <w:rPr>
                <w:rFonts w:ascii="宋体" w:hAnsi="宋体" w:cs="宋体"/>
                <w:color w:val="auto"/>
                <w:highlight w:val="none"/>
              </w:rPr>
            </w:pPr>
            <w:r>
              <w:rPr>
                <w:rFonts w:ascii="Calibri" w:hAnsi="Calibri" w:cs="Calibri"/>
                <w:color w:val="auto"/>
                <w:highlight w:val="none"/>
              </w:rPr>
              <w:t xml:space="preserve">③</w:t>
            </w:r>
            <w:r>
              <w:rPr>
                <w:rFonts w:hint="eastAsia" w:ascii="宋体" w:hAnsi="宋体" w:cs="宋体"/>
                <w:color w:val="auto"/>
                <w:highlight w:val="none"/>
              </w:rPr>
              <w:t xml:space="preserve">投标人2022年1月1日以承担过县（区）级同类抽检任务的，每有一项加1分；</w:t>
            </w:r>
            <w:r/>
          </w:p>
          <w:p>
            <w:pPr>
              <w:ind w:firstLine="420"/>
              <w:keepLines w:val="0"/>
              <w:keepNext w:val="0"/>
              <w:pageBreakBefore w:val="0"/>
              <w:spacing w:line="320" w:lineRule="atLeast"/>
              <w:rPr>
                <w:rFonts w:ascii="宋体" w:hAnsi="宋体" w:cs="宋体"/>
                <w:color w:val="auto"/>
                <w:highlight w:val="none"/>
              </w:rPr>
            </w:pPr>
            <w:r>
              <w:rPr>
                <w:rFonts w:hint="eastAsia" w:ascii="宋体" w:hAnsi="宋体" w:cs="宋体"/>
                <w:color w:val="auto"/>
                <w:highlight w:val="none"/>
              </w:rPr>
              <w:t xml:space="preserve">以上</w:t>
            </w:r>
            <w:r>
              <w:rPr>
                <w:rFonts w:ascii="Calibri" w:hAnsi="Calibri" w:cs="Calibri"/>
                <w:color w:val="auto"/>
                <w:highlight w:val="none"/>
              </w:rPr>
              <w:t xml:space="preserve">①②③</w:t>
            </w:r>
            <w:r>
              <w:rPr>
                <w:rFonts w:hint="eastAsia" w:ascii="Calibri" w:hAnsi="Calibri" w:cs="Calibri"/>
                <w:color w:val="auto"/>
                <w:highlight w:val="none"/>
              </w:rPr>
              <w:t xml:space="preserve">项</w:t>
            </w:r>
            <w:r>
              <w:rPr>
                <w:rFonts w:hint="eastAsia" w:ascii="宋体" w:hAnsi="宋体" w:cs="宋体"/>
                <w:color w:val="auto"/>
                <w:highlight w:val="none"/>
              </w:rPr>
              <w:t xml:space="preserve">累计最高加分10分（以投标人提供的合同扫描件为准，否则不得分。）</w:t>
            </w:r>
            <w:r/>
          </w:p>
        </w:tc>
        <w:tc>
          <w:tcPr>
            <w:tcBorders>
              <w:top w:val="single" w:color="auto" w:sz="4" w:space="0"/>
              <w:right w:val="single" w:color="auto" w:sz="4" w:space="0"/>
            </w:tcBorders>
            <w:tcW w:w="814" w:type="dxa"/>
            <w:vAlign w:val="center"/>
            <w:textDirection w:val="lrTb"/>
            <w:noWrap/>
          </w:tcPr>
          <w:p>
            <w:pPr>
              <w:spacing w:line="380" w:lineRule="exact"/>
              <w:rPr>
                <w:rFonts w:ascii="宋体" w:hAnsi="宋体" w:cs="宋体"/>
                <w:color w:val="auto"/>
                <w:highlight w:val="none"/>
              </w:rPr>
            </w:pPr>
            <w:r>
              <w:rPr>
                <w:rFonts w:hint="eastAsia" w:ascii="宋体" w:hAnsi="宋体" w:cs="宋体"/>
                <w:color w:val="auto"/>
                <w:highlight w:val="none"/>
              </w:rPr>
              <w:t xml:space="preserve">10分</w:t>
            </w:r>
            <w:r/>
          </w:p>
        </w:tc>
      </w:tr>
    </w:tbl>
    <w:p>
      <w:pPr>
        <w:pStyle w:val="648"/>
        <w:ind w:firstLine="480"/>
        <w:jc w:val="both"/>
        <w:spacing w:before="120" w:beforeAutospacing="0" w:after="12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648"/>
        <w:ind w:firstLine="480"/>
        <w:jc w:val="both"/>
        <w:spacing w:before="120" w:beforeAutospacing="0" w:after="12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8"/>
        <w:ind w:firstLine="480"/>
        <w:jc w:val="both"/>
        <w:spacing w:before="120" w:beforeAutospacing="0" w:after="12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8"/>
        <w:ind w:firstLine="480"/>
        <w:jc w:val="both"/>
        <w:spacing w:before="120" w:beforeAutospacing="0" w:after="12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8"/>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48"/>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48"/>
        <w:jc w:val="both"/>
        <w:spacing w:beforeAutospacing="0" w:afterAutospacing="0"/>
        <w:rPr>
          <w:highlight w:val="none"/>
        </w:rPr>
      </w:pPr>
      <w:r>
        <w:rPr>
          <w:highlight w:val="none"/>
        </w:rPr>
        <w:t xml:space="preserve"> </w:t>
      </w:r>
      <w:r/>
    </w:p>
    <w:p>
      <w:pPr>
        <w:pStyle w:val="648"/>
        <w:jc w:val="both"/>
        <w:spacing w:beforeAutospacing="0" w:afterAutospacing="0"/>
        <w:rPr>
          <w:highlight w:val="none"/>
        </w:rPr>
      </w:pPr>
      <w:r>
        <w:rPr>
          <w:highlight w:val="none"/>
        </w:rPr>
        <w:t xml:space="preserve"> </w:t>
      </w:r>
      <w:r/>
    </w:p>
    <w:p>
      <w:pPr>
        <w:pStyle w:val="648"/>
        <w:jc w:val="both"/>
        <w:spacing w:beforeAutospacing="0" w:afterAutospacing="0"/>
        <w:rPr>
          <w:highlight w:val="none"/>
        </w:rPr>
      </w:pPr>
      <w:r>
        <w:rPr>
          <w:highlight w:val="none"/>
        </w:rPr>
        <w:t xml:space="preserve"> </w:t>
      </w:r>
      <w:r/>
    </w:p>
    <w:p>
      <w:pPr>
        <w:pStyle w:val="648"/>
        <w:jc w:val="both"/>
        <w:spacing w:beforeAutospacing="0" w:afterAutospacing="0"/>
        <w:rPr>
          <w:highlight w:val="none"/>
        </w:rPr>
      </w:pPr>
      <w:r>
        <w:rPr>
          <w:highlight w:val="none"/>
        </w:rPr>
        <w:t xml:space="preserve"> </w:t>
      </w:r>
      <w:r/>
    </w:p>
    <w:p>
      <w:pPr>
        <w:pStyle w:val="648"/>
        <w:jc w:val="center"/>
        <w:keepNext/>
        <w:spacing w:beforeAutospacing="0" w:afterAutospacing="0"/>
        <w:rPr>
          <w:highlight w:val="none"/>
        </w:rPr>
        <w:outlineLvl w:val="0"/>
      </w:pPr>
      <w:r/>
      <w:bookmarkStart w:id="195" w:name="_Toc30285"/>
      <w:r>
        <w:rPr>
          <w:rFonts w:hint="eastAsia" w:ascii="黑体" w:hAnsi="宋体" w:eastAsia="黑体" w:cs="黑体"/>
          <w:color w:val="000000"/>
          <w:sz w:val="44"/>
          <w:szCs w:val="44"/>
          <w:highlight w:val="none"/>
        </w:rPr>
        <w:t xml:space="preserve">第六章  投标文件格式</w:t>
      </w:r>
      <w:bookmarkEnd w:id="195"/>
      <w:r>
        <w:rPr>
          <w:rFonts w:hint="eastAsia" w:ascii="黑体" w:hAnsi="宋体" w:eastAsia="黑体" w:cs="黑体"/>
          <w:color w:val="000000"/>
          <w:sz w:val="44"/>
          <w:szCs w:val="44"/>
          <w:highlight w:val="none"/>
        </w:rPr>
        <w:t xml:space="preserve"> </w:t>
      </w:r>
      <w:r/>
    </w:p>
    <w:p>
      <w:pPr>
        <w:pStyle w:val="648"/>
        <w:jc w:val="center"/>
        <w:spacing w:beforeAutospacing="0" w:afterAutospacing="0"/>
        <w:rPr>
          <w:highlight w:val="none"/>
        </w:rPr>
      </w:pPr>
      <w:r/>
      <w:bookmarkStart w:id="196" w:name="_Hlt26671244"/>
      <w:r/>
      <w:bookmarkEnd w:id="196"/>
      <w:r/>
      <w:bookmarkStart w:id="197" w:name="_Toc26554094"/>
      <w:r/>
      <w:bookmarkEnd w:id="197"/>
      <w:r/>
      <w:bookmarkStart w:id="198" w:name="_Hlt26955039"/>
      <w:r/>
      <w:bookmarkEnd w:id="198"/>
      <w:r/>
      <w:bookmarkStart w:id="199" w:name="_Toc49090576"/>
      <w:r/>
      <w:bookmarkStart w:id="200" w:name="_Toc120614282"/>
      <w:r>
        <w:rPr>
          <w:rFonts w:hint="eastAsia" w:ascii="宋体" w:hAnsi="宋体" w:eastAsia="宋体" w:cs="宋体"/>
          <w:b/>
          <w:color w:val="000000"/>
          <w:sz w:val="72"/>
          <w:szCs w:val="72"/>
          <w:highlight w:val="none"/>
        </w:rPr>
        <w:t xml:space="preserve">投  标  文  件</w:t>
      </w:r>
      <w:r/>
    </w:p>
    <w:p>
      <w:pPr>
        <w:pStyle w:val="648"/>
        <w:jc w:val="center"/>
        <w:spacing w:beforeAutospacing="0" w:afterAutospacing="0"/>
        <w:rPr>
          <w:highlight w:val="none"/>
        </w:rPr>
      </w:pPr>
      <w:r>
        <w:rPr>
          <w:highlight w:val="none"/>
        </w:rPr>
        <w:t xml:space="preserve"> </w:t>
      </w:r>
      <w:r/>
    </w:p>
    <w:p>
      <w:pPr>
        <w:pStyle w:val="648"/>
        <w:jc w:val="center"/>
        <w:spacing w:beforeAutospacing="0" w:afterAutospacing="0"/>
        <w:rPr>
          <w:highlight w:val="none"/>
        </w:rPr>
      </w:pPr>
      <w:r>
        <w:rPr>
          <w:highlight w:val="none"/>
        </w:rPr>
        <w:t xml:space="preserve"> </w:t>
      </w:r>
      <w:r/>
    </w:p>
    <w:p>
      <w:pPr>
        <w:pStyle w:val="648"/>
        <w:jc w:val="center"/>
        <w:spacing w:beforeAutospacing="0" w:afterAutospacing="0"/>
        <w:rPr>
          <w:highlight w:val="none"/>
        </w:rPr>
      </w:pPr>
      <w:r>
        <w:rPr>
          <w:highlight w:val="none"/>
        </w:rPr>
        <w:t xml:space="preserve"> </w:t>
      </w:r>
      <w:r/>
    </w:p>
    <w:p>
      <w:pPr>
        <w:pStyle w:val="648"/>
        <w:jc w:val="center"/>
        <w:spacing w:beforeAutospacing="0" w:afterAutospacing="0"/>
        <w:rPr>
          <w:highlight w:val="none"/>
        </w:rPr>
      </w:pPr>
      <w:r>
        <w:rPr>
          <w:highlight w:val="none"/>
        </w:rPr>
        <w:t xml:space="preserve"> </w:t>
      </w:r>
      <w:r/>
    </w:p>
    <w:p>
      <w:pPr>
        <w:pStyle w:val="648"/>
        <w:jc w:val="center"/>
        <w:spacing w:beforeAutospacing="0" w:afterAutospacing="0"/>
        <w:rPr>
          <w:highlight w:val="none"/>
        </w:rPr>
      </w:pPr>
      <w:r>
        <w:rPr>
          <w:highlight w:val="none"/>
        </w:rPr>
        <w:t xml:space="preserve"> </w:t>
      </w:r>
      <w:r/>
    </w:p>
    <w:p>
      <w:pPr>
        <w:pStyle w:val="648"/>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项目 名 称：</w:t>
      </w:r>
      <w:r>
        <w:rPr>
          <w:rFonts w:hint="eastAsia" w:ascii="宋体" w:hAnsi="宋体" w:eastAsia="宋体" w:cs="宋体"/>
          <w:b/>
          <w:color w:val="000000"/>
          <w:sz w:val="36"/>
          <w:szCs w:val="36"/>
          <w:highlight w:val="none"/>
          <w:u w:val="single"/>
        </w:rPr>
        <w:t xml:space="preserve">               </w:t>
      </w:r>
      <w:r/>
    </w:p>
    <w:p>
      <w:pPr>
        <w:pStyle w:val="648"/>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项目 编 号：</w:t>
      </w:r>
      <w:r>
        <w:rPr>
          <w:rFonts w:hint="eastAsia" w:ascii="宋体" w:hAnsi="宋体" w:eastAsia="宋体" w:cs="宋体"/>
          <w:b/>
          <w:color w:val="000000"/>
          <w:sz w:val="36"/>
          <w:szCs w:val="36"/>
          <w:highlight w:val="none"/>
          <w:u w:val="single"/>
        </w:rPr>
        <w:t xml:space="preserve">               </w:t>
      </w:r>
      <w:r/>
    </w:p>
    <w:p>
      <w:pPr>
        <w:pStyle w:val="648"/>
        <w:jc w:val="both"/>
        <w:spacing w:beforeAutospacing="0" w:afterAutospacing="0"/>
        <w:rPr>
          <w:highlight w:val="none"/>
        </w:rPr>
      </w:pPr>
      <w:r>
        <w:rPr>
          <w:rFonts w:hint="eastAsia" w:ascii="宋体" w:hAnsi="宋体" w:eastAsia="宋体" w:cs="宋体"/>
          <w:b/>
          <w:color w:val="000000"/>
          <w:sz w:val="36"/>
          <w:szCs w:val="36"/>
          <w:highlight w:val="none"/>
        </w:rPr>
        <w:t xml:space="preserve">   投标人名称 ：</w:t>
      </w:r>
      <w:r>
        <w:rPr>
          <w:rFonts w:hint="eastAsia" w:ascii="宋体" w:hAnsi="宋体" w:eastAsia="宋体" w:cs="宋体"/>
          <w:b/>
          <w:color w:val="000000"/>
          <w:sz w:val="36"/>
          <w:szCs w:val="36"/>
          <w:highlight w:val="none"/>
          <w:u w:val="single"/>
        </w:rPr>
        <w:t xml:space="preserve">（加盖CA电子公章）        </w:t>
      </w:r>
      <w:r/>
    </w:p>
    <w:p>
      <w:pPr>
        <w:pStyle w:val="648"/>
        <w:jc w:val="both"/>
        <w:spacing w:beforeAutospacing="0" w:afterAutospacing="0"/>
        <w:rPr>
          <w:highlight w:val="none"/>
        </w:rPr>
      </w:pPr>
      <w:r>
        <w:rPr>
          <w:rFonts w:hint="eastAsia" w:ascii="宋体" w:hAnsi="宋体" w:eastAsia="宋体" w:cs="宋体"/>
          <w:b/>
          <w:color w:val="000000"/>
          <w:sz w:val="36"/>
          <w:szCs w:val="36"/>
          <w:highlight w:val="none"/>
        </w:rPr>
        <w:t xml:space="preserve">   日   期 ：</w:t>
      </w:r>
      <w:r>
        <w:rPr>
          <w:rFonts w:hint="eastAsia" w:ascii="宋体" w:hAnsi="宋体" w:eastAsia="宋体" w:cs="宋体"/>
          <w:b/>
          <w:color w:val="000000"/>
          <w:sz w:val="36"/>
          <w:szCs w:val="36"/>
          <w:highlight w:val="none"/>
          <w:u w:val="single"/>
        </w:rPr>
        <w:t xml:space="preserve">                     </w:t>
      </w:r>
      <w:r/>
    </w:p>
    <w:p>
      <w:pPr>
        <w:pStyle w:val="648"/>
        <w:jc w:val="center"/>
        <w:spacing w:beforeAutospacing="0" w:afterAutospacing="0" w:line="0" w:lineRule="atLeast"/>
        <w:rPr>
          <w:highlight w:val="none"/>
        </w:rPr>
      </w:pPr>
      <w:r>
        <w:rPr>
          <w:highlight w:val="none"/>
        </w:rPr>
        <w:t xml:space="preserve"> </w:t>
      </w:r>
      <w:r/>
    </w:p>
    <w:p>
      <w:pPr>
        <w:pStyle w:val="648"/>
        <w:jc w:val="both"/>
        <w:spacing w:beforeAutospacing="0" w:afterAutospacing="0" w:line="0" w:lineRule="atLeast"/>
        <w:rPr>
          <w:highlight w:val="none"/>
        </w:rPr>
      </w:pPr>
      <w:r>
        <w:rPr>
          <w:highlight w:val="none"/>
        </w:rPr>
        <w:t xml:space="preserve"> </w:t>
      </w:r>
      <w:r/>
    </w:p>
    <w:p>
      <w:pPr>
        <w:pStyle w:val="648"/>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48"/>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48"/>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48"/>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48"/>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48"/>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48"/>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48"/>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48"/>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48"/>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48"/>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48"/>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48"/>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48"/>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48"/>
        <w:jc w:val="center"/>
        <w:spacing w:beforeAutospacing="0" w:afterAutospacing="0" w:line="0" w:lineRule="atLeast"/>
        <w:rPr>
          <w:highlight w:val="none"/>
        </w:rPr>
      </w:pPr>
      <w:r>
        <w:rPr>
          <w:rFonts w:hint="eastAsia" w:ascii="宋体" w:hAnsi="宋体" w:eastAsia="宋体" w:cs="宋体"/>
          <w:b/>
          <w:color w:val="000000"/>
          <w:sz w:val="32"/>
          <w:szCs w:val="32"/>
          <w:highlight w:val="none"/>
        </w:rPr>
        <w:t xml:space="preserve">投标文件目录</w:t>
      </w:r>
      <w:r/>
    </w:p>
    <w:p>
      <w:pPr>
        <w:pStyle w:val="648"/>
        <w:jc w:val="center"/>
        <w:spacing w:beforeAutospacing="0" w:afterAutospacing="0" w:line="0" w:lineRule="atLeast"/>
        <w:rPr>
          <w:highlight w:val="none"/>
        </w:rPr>
      </w:pPr>
      <w:r>
        <w:rPr>
          <w:highlight w:val="none"/>
        </w:rPr>
        <w:t xml:space="preserve"> </w:t>
      </w:r>
      <w:r/>
    </w:p>
    <w:p>
      <w:pPr>
        <w:pStyle w:val="648"/>
        <w:ind w:left="480"/>
        <w:jc w:val="both"/>
        <w:spacing w:beforeAutospacing="0" w:afterAutospacing="0"/>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一、法人或者其他组织的营业执照等证明文件，自然人的身份证明</w:t>
      </w:r>
      <w:r/>
    </w:p>
    <w:p>
      <w:pPr>
        <w:ind w:firstLine="480"/>
        <w:jc w:val="left"/>
        <w:tabs>
          <w:tab w:val="left" w:pos="1331" w:leader="none"/>
        </w:tabs>
        <w:rPr>
          <w:rFonts w:hint="eastAsia" w:ascii="宋体" w:hAnsi="宋体" w:eastAsia="宋体" w:cs="宋体"/>
          <w:i w:val="0"/>
          <w:iCs/>
          <w:color w:val="auto"/>
          <w:sz w:val="24"/>
          <w:szCs w:val="24"/>
          <w:highlight w:val="none"/>
          <w:u w:val="none"/>
          <w:lang w:val="en-US" w:eastAsia="zh-CN" w:bidi="ar-SA"/>
        </w:rPr>
      </w:pPr>
      <w:r>
        <w:rPr>
          <w:rFonts w:hint="eastAsia" w:ascii="宋体" w:hAnsi="宋体" w:eastAsia="宋体" w:cs="宋体"/>
          <w:i w:val="0"/>
          <w:iCs/>
          <w:color w:val="auto"/>
          <w:sz w:val="24"/>
          <w:szCs w:val="24"/>
          <w:highlight w:val="none"/>
          <w:u w:val="none"/>
          <w:lang w:val="en-US" w:eastAsia="zh-CN" w:bidi="ar-SA"/>
        </w:rPr>
        <w:t xml:space="preserve">二、上一年度的财务状况报表（至少提供资产负债表、利润表、现金流量表，</w:t>
      </w:r>
      <w:r/>
    </w:p>
    <w:p>
      <w:pPr>
        <w:pStyle w:val="648"/>
        <w:ind w:left="480"/>
        <w:jc w:val="both"/>
        <w:spacing w:beforeAutospacing="0" w:afterAutospacing="0"/>
        <w:rPr>
          <w:rFonts w:hint="eastAsia" w:ascii="宋体" w:hAnsi="宋体" w:eastAsia="宋体" w:cs="宋体"/>
          <w:i w:val="0"/>
          <w:iCs/>
          <w:color w:val="auto"/>
          <w:sz w:val="24"/>
          <w:szCs w:val="24"/>
          <w:highlight w:val="none"/>
          <w:u w:val="none"/>
          <w:lang w:val="en-US" w:eastAsia="zh-CN" w:bidi="ar-SA"/>
        </w:rPr>
      </w:pPr>
      <w:r>
        <w:rPr>
          <w:rFonts w:hint="eastAsia" w:ascii="宋体" w:hAnsi="宋体" w:eastAsia="宋体" w:cs="宋体"/>
          <w:i w:val="0"/>
          <w:iCs/>
          <w:color w:val="auto"/>
          <w:sz w:val="24"/>
          <w:szCs w:val="24"/>
          <w:highlight w:val="none"/>
          <w:u w:val="none"/>
          <w:lang w:val="en-US" w:eastAsia="zh-CN" w:bidi="ar-SA"/>
        </w:rPr>
        <w:t xml:space="preserve">投标人成立不满一年无需提供）</w:t>
      </w:r>
      <w:r/>
    </w:p>
    <w:p>
      <w:pPr>
        <w:pStyle w:val="648"/>
        <w:ind w:left="480"/>
        <w:jc w:val="both"/>
        <w:spacing w:beforeAutospacing="0" w:afterAutospacing="0"/>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三</w:t>
      </w:r>
      <w:r>
        <w:rPr>
          <w:rFonts w:hint="eastAsia" w:ascii="宋体" w:hAnsi="宋体" w:eastAsia="宋体" w:cs="宋体"/>
          <w:i w:val="0"/>
          <w:iCs/>
          <w:color w:val="auto"/>
          <w:highlight w:val="none"/>
          <w:u w:val="none"/>
        </w:rPr>
        <w:t xml:space="preserve">、具备履行合同所必需的设备和专业技术能力的书面声明</w:t>
      </w:r>
      <w:r/>
    </w:p>
    <w:p>
      <w:pPr>
        <w:pStyle w:val="648"/>
        <w:ind w:left="480"/>
        <w:jc w:val="both"/>
        <w:spacing w:beforeAutospacing="0" w:afterAutospacing="0"/>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四</w:t>
      </w:r>
      <w:r>
        <w:rPr>
          <w:rFonts w:hint="eastAsia" w:ascii="宋体" w:hAnsi="宋体" w:eastAsia="宋体" w:cs="宋体"/>
          <w:i w:val="0"/>
          <w:iCs/>
          <w:color w:val="auto"/>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48"/>
        <w:ind w:left="480"/>
        <w:jc w:val="both"/>
        <w:spacing w:beforeAutospacing="0" w:afterAutospacing="0"/>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五、参加政府采购活动前 3 年内在经营活动中没有重大违法记录的书面声明</w:t>
      </w:r>
      <w:r/>
    </w:p>
    <w:p>
      <w:pPr>
        <w:pStyle w:val="648"/>
        <w:ind w:left="480"/>
        <w:jc w:val="both"/>
        <w:spacing w:beforeAutospacing="0" w:afterAutospacing="0"/>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六、特定资格要求的证明文件（如果本项目设置特定资格要求，则需要提供）</w:t>
      </w:r>
      <w:r/>
    </w:p>
    <w:p>
      <w:pPr>
        <w:pStyle w:val="648"/>
        <w:ind w:left="480"/>
        <w:jc w:val="both"/>
        <w:spacing w:beforeAutospacing="0" w:afterAutospacing="0"/>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七、法人授权书</w:t>
      </w:r>
      <w:r/>
    </w:p>
    <w:p>
      <w:pPr>
        <w:pStyle w:val="648"/>
        <w:ind w:left="480"/>
        <w:jc w:val="both"/>
        <w:spacing w:beforeAutospacing="0" w:afterAutospacing="0"/>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八、投标函</w:t>
      </w:r>
      <w:r/>
    </w:p>
    <w:p>
      <w:pPr>
        <w:pStyle w:val="648"/>
        <w:ind w:firstLine="480"/>
        <w:jc w:val="both"/>
        <w:spacing w:beforeAutospacing="0" w:afterAutospacing="0" w:line="0" w:lineRule="atLeas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九、</w:t>
      </w: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w:t>
      </w:r>
      <w:r/>
    </w:p>
    <w:p>
      <w:pPr>
        <w:pStyle w:val="648"/>
        <w:ind w:firstLine="480"/>
        <w:jc w:val="both"/>
        <w:spacing w:beforeAutospacing="0" w:afterAutospacing="0" w:line="0" w:lineRule="atLeas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十、残疾人福利性单位声明函</w:t>
      </w:r>
      <w:r/>
    </w:p>
    <w:p>
      <w:pPr>
        <w:pStyle w:val="648"/>
        <w:ind w:firstLine="480"/>
        <w:jc w:val="both"/>
        <w:spacing w:beforeAutospacing="0" w:afterAutospacing="0" w:line="0" w:lineRule="atLeas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十一、联合体协议</w:t>
      </w:r>
      <w:r/>
    </w:p>
    <w:p>
      <w:pPr>
        <w:pStyle w:val="648"/>
        <w:ind w:firstLine="480"/>
        <w:jc w:val="both"/>
        <w:spacing w:beforeAutospacing="0" w:afterAutospacing="0" w:line="0" w:lineRule="atLeas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十二、投标分项报价表</w:t>
      </w:r>
      <w:r/>
    </w:p>
    <w:p>
      <w:pPr>
        <w:pStyle w:val="648"/>
        <w:ind w:firstLine="480"/>
        <w:jc w:val="both"/>
        <w:spacing w:beforeAutospacing="0" w:afterAutospacing="0" w:line="0" w:lineRule="atLeas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十三、技术要求响应及偏离表</w:t>
      </w:r>
      <w:r/>
    </w:p>
    <w:p>
      <w:pPr>
        <w:pStyle w:val="648"/>
        <w:ind w:firstLine="480"/>
        <w:jc w:val="both"/>
        <w:spacing w:beforeAutospacing="0" w:afterAutospacing="0" w:line="0" w:lineRule="atLeas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十四、商务要求响应及偏离表</w:t>
      </w:r>
      <w:r/>
    </w:p>
    <w:p>
      <w:pPr>
        <w:pStyle w:val="648"/>
        <w:ind w:left="480"/>
        <w:jc w:val="both"/>
        <w:spacing w:beforeAutospacing="0" w:afterAutospacing="0"/>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十五、开标一览表</w:t>
      </w:r>
      <w:r/>
    </w:p>
    <w:p>
      <w:pPr>
        <w:ind w:firstLine="480"/>
        <w:spacing w:before="50" w:after="50"/>
        <w:widowControl/>
        <w:rPr>
          <w:rFonts w:hint="eastAsia" w:ascii="宋体" w:hAnsi="宋体" w:eastAsia="宋体" w:cs="宋体"/>
          <w:i w:val="0"/>
          <w:iCs/>
          <w:color w:val="auto"/>
          <w:sz w:val="24"/>
          <w:highlight w:val="none"/>
          <w:u w:val="none"/>
        </w:rPr>
      </w:pPr>
      <w:r>
        <w:rPr>
          <w:rFonts w:hint="eastAsia" w:ascii="宋体" w:hAnsi="宋体" w:eastAsia="宋体" w:cs="宋体"/>
          <w:i w:val="0"/>
          <w:iCs/>
          <w:color w:val="auto"/>
          <w:sz w:val="24"/>
          <w:highlight w:val="none"/>
          <w:u w:val="none"/>
        </w:rPr>
        <w:t xml:space="preserve">十六、技术方案、服务承诺、培训承诺等</w:t>
      </w:r>
      <w:r/>
    </w:p>
    <w:p>
      <w:pPr>
        <w:pStyle w:val="649"/>
        <w:rPr>
          <w:rFonts w:hint="eastAsia" w:asciiTheme="majorEastAsia" w:hAnsiTheme="majorEastAsia" w:eastAsiaTheme="majorEastAsia" w:cstheme="majorEastAsia"/>
          <w:color w:val="auto"/>
          <w:sz w:val="24"/>
          <w:highlight w:val="green"/>
          <w:lang w:eastAsia="zh-CN"/>
        </w:rPr>
      </w:pPr>
      <w:r>
        <w:rPr>
          <w:rFonts w:hint="eastAsia" w:asciiTheme="majorEastAsia" w:hAnsiTheme="majorEastAsia" w:eastAsiaTheme="majorEastAsia" w:cstheme="majorEastAsia"/>
          <w:color w:val="auto"/>
          <w:sz w:val="24"/>
          <w:highlight w:val="green"/>
          <w:lang w:eastAsia="zh-CN"/>
        </w:rPr>
        <w:t xml:space="preserve">十七、CATL资质证书及实验室资质、登记与相关的检测能力附表项目</w:t>
      </w:r>
      <w:r/>
    </w:p>
    <w:p>
      <w:pPr>
        <w:pStyle w:val="648"/>
        <w:ind w:firstLine="480"/>
        <w:jc w:val="both"/>
        <w:spacing w:beforeAutospacing="0" w:afterAutospacing="0" w:line="360" w:lineRule="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eastAsia="zh-CN"/>
        </w:rPr>
        <w:t xml:space="preserve">八</w:t>
      </w:r>
      <w:r>
        <w:rPr>
          <w:rFonts w:hint="eastAsia" w:ascii="宋体" w:hAnsi="宋体" w:eastAsia="宋体" w:cs="宋体"/>
          <w:i w:val="0"/>
          <w:iCs/>
          <w:color w:val="auto"/>
          <w:highlight w:val="none"/>
          <w:u w:val="none"/>
        </w:rPr>
        <w:t xml:space="preserve">、</w:t>
      </w:r>
      <w:r>
        <w:rPr>
          <w:rFonts w:hint="eastAsia" w:ascii="宋体" w:hAnsi="宋体" w:eastAsia="宋体" w:cs="宋体"/>
          <w:i w:val="0"/>
          <w:iCs/>
          <w:color w:val="auto"/>
          <w:highlight w:val="none"/>
          <w:u w:val="none"/>
          <w:lang w:eastAsia="zh-CN"/>
        </w:rPr>
        <w:t xml:space="preserve">盐都区</w:t>
      </w:r>
      <w:r>
        <w:rPr>
          <w:rFonts w:hint="eastAsia" w:ascii="宋体" w:hAnsi="宋体" w:eastAsia="宋体" w:cs="宋体"/>
          <w:i w:val="0"/>
          <w:iCs/>
          <w:color w:val="auto"/>
          <w:highlight w:val="none"/>
          <w:u w:val="none"/>
        </w:rPr>
        <w:t xml:space="preserve">政府采购事前信用承诺书</w:t>
      </w:r>
      <w:r/>
    </w:p>
    <w:p>
      <w:pPr>
        <w:pStyle w:val="648"/>
        <w:ind w:firstLine="480"/>
        <w:jc w:val="both"/>
        <w:spacing w:beforeAutospacing="0" w:afterAutospacing="0" w:line="0" w:lineRule="atLeast"/>
        <w:rPr>
          <w:rFonts w:ascii="宋体" w:hAnsi="宋体" w:eastAsia="宋体" w:cs="宋体"/>
          <w:color w:val="000000"/>
          <w:highlight w:val="none"/>
        </w:rPr>
      </w:pPr>
      <w:r>
        <w:rPr>
          <w:rFonts w:ascii="宋体" w:hAnsi="宋体" w:eastAsia="宋体" w:cs="宋体"/>
          <w:color w:val="000000"/>
          <w:highlight w:val="none"/>
        </w:rPr>
      </w:r>
      <w:r/>
    </w:p>
    <w:p>
      <w:pPr>
        <w:pStyle w:val="648"/>
        <w:ind w:firstLine="480"/>
        <w:jc w:val="both"/>
        <w:spacing w:beforeAutospacing="0" w:afterAutospacing="0" w:line="0" w:lineRule="atLeast"/>
        <w:rPr>
          <w:rFonts w:ascii="宋体" w:hAnsi="宋体" w:eastAsia="宋体" w:cs="宋体"/>
          <w:color w:val="000000"/>
          <w:highlight w:val="none"/>
        </w:rPr>
      </w:pPr>
      <w:r>
        <w:rPr>
          <w:rFonts w:ascii="宋体" w:hAnsi="宋体" w:eastAsia="宋体" w:cs="宋体"/>
          <w:color w:val="000000"/>
          <w:highlight w:val="none"/>
        </w:rPr>
      </w:r>
      <w:r/>
    </w:p>
    <w:p>
      <w:pPr>
        <w:pStyle w:val="648"/>
        <w:ind w:firstLine="480"/>
        <w:jc w:val="both"/>
        <w:spacing w:beforeAutospacing="0" w:afterAutospacing="0" w:line="0" w:lineRule="atLeast"/>
        <w:rPr>
          <w:highlight w:val="none"/>
        </w:rPr>
      </w:pPr>
      <w:r>
        <w:rPr>
          <w:highlight w:val="none"/>
        </w:rPr>
        <w:t xml:space="preserve"> </w:t>
      </w:r>
      <w:r/>
    </w:p>
    <w:p>
      <w:pPr>
        <w:pStyle w:val="648"/>
        <w:ind w:firstLine="480"/>
        <w:jc w:val="both"/>
        <w:spacing w:beforeAutospacing="0" w:afterAutospacing="0" w:line="0" w:lineRule="atLeast"/>
        <w:rPr>
          <w:highlight w:val="none"/>
        </w:rPr>
      </w:pPr>
      <w:r>
        <w:rPr>
          <w:highlight w:val="none"/>
        </w:rPr>
        <w:t xml:space="preserve"> </w:t>
      </w:r>
      <w:r/>
    </w:p>
    <w:p>
      <w:pPr>
        <w:pStyle w:val="648"/>
        <w:ind w:firstLine="480"/>
        <w:jc w:val="both"/>
        <w:spacing w:beforeAutospacing="0" w:afterAutospacing="0" w:line="0" w:lineRule="atLeast"/>
        <w:rPr>
          <w:highlight w:val="none"/>
        </w:rPr>
      </w:pPr>
      <w:r>
        <w:rPr>
          <w:highlight w:val="none"/>
        </w:rPr>
        <w:t xml:space="preserve"> </w:t>
      </w:r>
      <w:r/>
    </w:p>
    <w:p>
      <w:pPr>
        <w:pStyle w:val="648"/>
        <w:ind w:firstLine="480"/>
        <w:jc w:val="both"/>
        <w:spacing w:beforeAutospacing="0" w:afterAutospacing="0" w:line="0" w:lineRule="atLeast"/>
        <w:rPr>
          <w:highlight w:val="none"/>
        </w:rPr>
      </w:pPr>
      <w:r>
        <w:rPr>
          <w:highlight w:val="none"/>
        </w:rPr>
        <w:t xml:space="preserve"> </w:t>
      </w:r>
      <w:r/>
    </w:p>
    <w:p>
      <w:pPr>
        <w:pStyle w:val="648"/>
        <w:ind w:firstLine="480"/>
        <w:jc w:val="both"/>
        <w:spacing w:beforeAutospacing="0" w:afterAutospacing="0" w:line="0" w:lineRule="atLeast"/>
        <w:rPr>
          <w:highlight w:val="none"/>
        </w:rPr>
      </w:pPr>
      <w:r>
        <w:rPr>
          <w:highlight w:val="none"/>
        </w:rPr>
      </w:r>
      <w:r/>
    </w:p>
    <w:p>
      <w:pPr>
        <w:pStyle w:val="648"/>
        <w:ind w:firstLine="480"/>
        <w:jc w:val="both"/>
        <w:spacing w:beforeAutospacing="0" w:afterAutospacing="0" w:line="0" w:lineRule="atLeast"/>
        <w:rPr>
          <w:highlight w:val="none"/>
        </w:rPr>
      </w:pPr>
      <w:r>
        <w:rPr>
          <w:highlight w:val="none"/>
        </w:rPr>
      </w:r>
      <w:r/>
    </w:p>
    <w:p>
      <w:pPr>
        <w:pStyle w:val="648"/>
        <w:ind w:firstLine="480"/>
        <w:jc w:val="both"/>
        <w:spacing w:beforeAutospacing="0" w:afterAutospacing="0" w:line="0" w:lineRule="atLeast"/>
        <w:rPr>
          <w:highlight w:val="none"/>
        </w:rPr>
      </w:pPr>
      <w:r>
        <w:rPr>
          <w:highlight w:val="none"/>
        </w:rPr>
      </w:r>
      <w:r/>
    </w:p>
    <w:p>
      <w:pPr>
        <w:pStyle w:val="648"/>
        <w:ind w:firstLine="480"/>
        <w:jc w:val="both"/>
        <w:spacing w:beforeAutospacing="0" w:afterAutospacing="0" w:line="0" w:lineRule="atLeast"/>
        <w:rPr>
          <w:highlight w:val="none"/>
        </w:rPr>
      </w:pPr>
      <w:r>
        <w:rPr>
          <w:highlight w:val="none"/>
        </w:rPr>
      </w:r>
      <w:r/>
    </w:p>
    <w:p>
      <w:pPr>
        <w:pStyle w:val="648"/>
        <w:ind w:firstLine="480"/>
        <w:jc w:val="both"/>
        <w:spacing w:beforeAutospacing="0" w:afterAutospacing="0" w:line="0" w:lineRule="atLeast"/>
        <w:rPr>
          <w:highlight w:val="none"/>
        </w:rPr>
      </w:pPr>
      <w:r>
        <w:rPr>
          <w:highlight w:val="none"/>
        </w:rPr>
      </w:r>
      <w:r/>
    </w:p>
    <w:p>
      <w:pPr>
        <w:pStyle w:val="648"/>
        <w:ind w:firstLine="480"/>
        <w:jc w:val="both"/>
        <w:spacing w:beforeAutospacing="0" w:afterAutospacing="0" w:line="0" w:lineRule="atLeast"/>
        <w:rPr>
          <w:highlight w:val="none"/>
        </w:rPr>
      </w:pPr>
      <w:r>
        <w:rPr>
          <w:highlight w:val="none"/>
        </w:rPr>
      </w:r>
      <w:r/>
    </w:p>
    <w:p>
      <w:pPr>
        <w:pStyle w:val="648"/>
        <w:ind w:firstLine="480"/>
        <w:jc w:val="both"/>
        <w:spacing w:beforeAutospacing="0" w:afterAutospacing="0" w:line="0" w:lineRule="atLeast"/>
        <w:rPr>
          <w:highlight w:val="none"/>
        </w:rPr>
      </w:pPr>
      <w:r>
        <w:rPr>
          <w:highlight w:val="none"/>
        </w:rPr>
      </w:r>
      <w:r/>
    </w:p>
    <w:p>
      <w:pPr>
        <w:pStyle w:val="648"/>
        <w:ind w:firstLine="480"/>
        <w:jc w:val="both"/>
        <w:spacing w:beforeAutospacing="0" w:afterAutospacing="0" w:line="0" w:lineRule="atLeast"/>
        <w:rPr>
          <w:highlight w:val="none"/>
        </w:rPr>
      </w:pPr>
      <w:r>
        <w:rPr>
          <w:highlight w:val="none"/>
        </w:rPr>
      </w:r>
      <w:r/>
    </w:p>
    <w:p>
      <w:pPr>
        <w:pStyle w:val="648"/>
        <w:ind w:firstLine="480"/>
        <w:jc w:val="both"/>
        <w:spacing w:beforeAutospacing="0" w:afterAutospacing="0" w:line="0" w:lineRule="atLeast"/>
        <w:rPr>
          <w:highlight w:val="none"/>
        </w:rPr>
      </w:pPr>
      <w:r>
        <w:rPr>
          <w:highlight w:val="none"/>
        </w:rPr>
      </w:r>
      <w:r/>
    </w:p>
    <w:p>
      <w:pPr>
        <w:pStyle w:val="648"/>
        <w:ind w:firstLine="480"/>
        <w:jc w:val="both"/>
        <w:spacing w:beforeAutospacing="0" w:afterAutospacing="0" w:line="0" w:lineRule="atLeast"/>
        <w:rPr>
          <w:highlight w:val="none"/>
        </w:rPr>
      </w:pPr>
      <w:r>
        <w:rPr>
          <w:highlight w:val="none"/>
        </w:rPr>
      </w:r>
      <w:r/>
    </w:p>
    <w:p>
      <w:pPr>
        <w:pStyle w:val="648"/>
        <w:ind w:firstLine="480"/>
        <w:jc w:val="both"/>
        <w:spacing w:beforeAutospacing="0" w:afterAutospacing="0" w:line="0" w:lineRule="atLeast"/>
        <w:rPr>
          <w:highlight w:val="none"/>
        </w:rPr>
      </w:pPr>
      <w:r>
        <w:rPr>
          <w:highlight w:val="none"/>
        </w:rPr>
      </w:r>
      <w:r/>
    </w:p>
    <w:p>
      <w:pPr>
        <w:pStyle w:val="648"/>
        <w:ind w:firstLine="480"/>
        <w:jc w:val="both"/>
        <w:spacing w:beforeAutospacing="0" w:afterAutospacing="0" w:line="0" w:lineRule="atLeast"/>
        <w:rPr>
          <w:highlight w:val="none"/>
        </w:rPr>
      </w:pPr>
      <w:r>
        <w:rPr>
          <w:highlight w:val="none"/>
        </w:rPr>
      </w:r>
      <w:r/>
    </w:p>
    <w:p>
      <w:pPr>
        <w:pStyle w:val="648"/>
        <w:ind w:firstLine="480"/>
        <w:jc w:val="both"/>
        <w:spacing w:beforeAutospacing="0" w:afterAutospacing="0" w:line="0" w:lineRule="atLeast"/>
        <w:rPr>
          <w:highlight w:val="none"/>
        </w:rPr>
      </w:pPr>
      <w:r>
        <w:rPr>
          <w:highlight w:val="none"/>
        </w:rPr>
        <w:t xml:space="preserve"> </w:t>
      </w:r>
      <w:r/>
    </w:p>
    <w:p>
      <w:pPr>
        <w:pStyle w:val="648"/>
        <w:ind w:firstLine="480"/>
        <w:jc w:val="both"/>
        <w:spacing w:beforeAutospacing="0" w:afterAutospacing="0" w:line="0" w:lineRule="atLeast"/>
        <w:rPr>
          <w:highlight w:val="none"/>
        </w:rPr>
      </w:pPr>
      <w:r>
        <w:rPr>
          <w:highlight w:val="none"/>
        </w:rPr>
        <w:t xml:space="preserve"> </w:t>
      </w:r>
      <w:r/>
    </w:p>
    <w:p>
      <w:pPr>
        <w:pStyle w:val="648"/>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一、法人或者其他组织的营业执照等证明文件，自然人的身份证明</w:t>
      </w:r>
      <w:r/>
    </w:p>
    <w:p>
      <w:pPr>
        <w:pStyle w:val="648"/>
        <w:ind w:firstLine="480"/>
        <w:jc w:val="both"/>
        <w:spacing w:beforeAutospacing="0" w:afterAutospacing="0" w:line="0" w:lineRule="atLeast"/>
        <w:rPr>
          <w:highlight w:val="none"/>
        </w:rPr>
      </w:pPr>
      <w:r>
        <w:rPr>
          <w:highlight w:val="none"/>
        </w:rPr>
        <w:t xml:space="preserve"> </w:t>
      </w:r>
      <w:r/>
    </w:p>
    <w:p>
      <w:pPr>
        <w:pStyle w:val="648"/>
        <w:jc w:val="both"/>
        <w:spacing w:beforeAutospacing="0" w:afterAutospacing="0"/>
        <w:rPr>
          <w:rFonts w:eastAsia="黑体"/>
          <w:highlight w:val="none"/>
        </w:rPr>
      </w:pPr>
      <w:r>
        <w:rPr>
          <w:rFonts w:hint="eastAsia" w:ascii="黑体" w:hAnsi="宋体" w:eastAsia="黑体" w:cs="黑体"/>
          <w:i/>
          <w:color w:val="000000"/>
          <w:sz w:val="32"/>
          <w:szCs w:val="32"/>
          <w:highlight w:val="none"/>
          <w:u w:val="single"/>
        </w:rPr>
        <w:t xml:space="preserve">二、上一年度的财务状况报表</w:t>
      </w:r>
      <w:r/>
    </w:p>
    <w:p>
      <w:pPr>
        <w:pStyle w:val="648"/>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投标人成立不满一年不需提供</w:t>
      </w:r>
      <w:r/>
    </w:p>
    <w:p>
      <w:pPr>
        <w:pStyle w:val="648"/>
        <w:jc w:val="both"/>
        <w:spacing w:beforeAutospacing="0" w:afterAutospacing="0"/>
        <w:rPr>
          <w:highlight w:val="none"/>
        </w:rPr>
      </w:pPr>
      <w:r>
        <w:rPr>
          <w:highlight w:val="none"/>
        </w:rPr>
        <w:t xml:space="preserve"> </w:t>
      </w:r>
      <w:r/>
    </w:p>
    <w:p>
      <w:pPr>
        <w:pStyle w:val="648"/>
        <w:jc w:val="both"/>
        <w:spacing w:beforeAutospacing="0" w:afterAutospacing="0"/>
        <w:rPr>
          <w:highlight w:val="none"/>
        </w:rPr>
      </w:pPr>
      <w:r>
        <w:rPr>
          <w:highlight w:val="none"/>
        </w:rPr>
        <w:t xml:space="preserve"> </w:t>
      </w:r>
      <w:r/>
    </w:p>
    <w:p>
      <w:pPr>
        <w:pStyle w:val="648"/>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三</w:t>
      </w:r>
      <w:r>
        <w:rPr>
          <w:rFonts w:hint="eastAsia" w:ascii="黑体" w:hAnsi="宋体" w:eastAsia="黑体" w:cs="黑体"/>
          <w:i/>
          <w:color w:val="000000"/>
          <w:sz w:val="32"/>
          <w:szCs w:val="32"/>
          <w:highlight w:val="none"/>
          <w:u w:val="single"/>
        </w:rPr>
        <w:t xml:space="preserve">、具备履行合同所必需的设备和专业技术能力的书面声明</w:t>
      </w:r>
      <w:r/>
    </w:p>
    <w:p>
      <w:pPr>
        <w:pStyle w:val="648"/>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648"/>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648"/>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648"/>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四</w:t>
      </w:r>
      <w:r>
        <w:rPr>
          <w:rFonts w:hint="eastAsia" w:ascii="黑体" w:hAnsi="宋体" w:eastAsia="黑体" w:cs="黑体"/>
          <w:i/>
          <w:color w:val="000000"/>
          <w:sz w:val="32"/>
          <w:szCs w:val="32"/>
          <w:highlight w:val="none"/>
          <w:u w:val="single"/>
        </w:rPr>
        <w:t xml:space="preserve">、依法缴纳税收和社会保障资金的相关材料</w:t>
      </w:r>
      <w:r/>
    </w:p>
    <w:p>
      <w:pPr>
        <w:pStyle w:val="648"/>
        <w:ind w:firstLine="480"/>
        <w:jc w:val="both"/>
        <w:spacing w:beforeAutospacing="0" w:afterAutospacing="0"/>
        <w:rPr>
          <w:highlight w:val="none"/>
        </w:rPr>
      </w:pPr>
      <w:r/>
      <w:bookmarkStart w:id="201" w:name="_Toc120614284"/>
      <w:r>
        <w:rPr>
          <w:rFonts w:hint="eastAsia" w:ascii="宋体" w:hAnsi="宋体" w:eastAsia="宋体" w:cs="宋体"/>
          <w:color w:val="000000"/>
          <w:highlight w:val="none"/>
        </w:rPr>
        <w:t xml:space="preserve">提供提交投标文件截止时间前一年内至少一个月依法缴纳税收及缴纳社会保障资金的证明材料。投标人依法享受缓缴、免缴税收、社会保障资金的提供证明材料。</w:t>
      </w:r>
      <w:bookmarkEnd w:id="201"/>
      <w:r/>
      <w:r/>
    </w:p>
    <w:p>
      <w:pPr>
        <w:pStyle w:val="648"/>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五、参加政府采购活动前 3 年内在经营活动中没有重大违法记录的书面声明</w:t>
      </w:r>
      <w:r/>
    </w:p>
    <w:p>
      <w:pPr>
        <w:pStyle w:val="648"/>
        <w:jc w:val="both"/>
        <w:spacing w:beforeAutospacing="0" w:afterAutospacing="0" w:line="0" w:lineRule="atLeast"/>
        <w:rPr>
          <w:highlight w:val="none"/>
        </w:rPr>
      </w:pPr>
      <w:r>
        <w:rPr>
          <w:rFonts w:hint="eastAsia" w:ascii="宋体" w:hAnsi="宋体" w:eastAsia="宋体" w:cs="宋体"/>
          <w:b/>
          <w:color w:val="000000"/>
          <w:sz w:val="44"/>
          <w:szCs w:val="44"/>
          <w:highlight w:val="none"/>
        </w:rPr>
        <w:t xml:space="preserve">       声  明</w:t>
      </w:r>
      <w:r/>
    </w:p>
    <w:p>
      <w:pPr>
        <w:pStyle w:val="648"/>
        <w:jc w:val="both"/>
        <w:spacing w:beforeAutospacing="0" w:afterAutospacing="0" w:line="0" w:lineRule="atLeast"/>
        <w:rPr>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648"/>
        <w:jc w:val="both"/>
        <w:spacing w:beforeAutospacing="0" w:afterAutospacing="0"/>
        <w:rPr>
          <w:highlight w:val="none"/>
        </w:rPr>
      </w:pPr>
      <w:r>
        <w:rPr>
          <w:highlight w:val="none"/>
        </w:rPr>
        <w:t xml:space="preserve"> </w:t>
      </w:r>
      <w:r/>
    </w:p>
    <w:p>
      <w:pPr>
        <w:pStyle w:val="648"/>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六、特定资格要求的证明文件</w:t>
      </w:r>
      <w:r/>
    </w:p>
    <w:p>
      <w:pPr>
        <w:pStyle w:val="648"/>
        <w:jc w:val="both"/>
        <w:spacing w:beforeAutospacing="0" w:afterAutospacing="0" w:line="0" w:lineRule="atLeast"/>
        <w:rPr>
          <w:rFonts w:hint="eastAsia" w:ascii="宋体" w:hAnsi="宋体" w:eastAsia="宋体" w:cs="宋体"/>
          <w:b/>
          <w:bCs/>
          <w:color w:val="ff0000"/>
          <w:highlight w:val="none"/>
        </w:rPr>
      </w:pPr>
      <w:r>
        <w:rPr>
          <w:rFonts w:hint="eastAsia" w:ascii="宋体" w:hAnsi="宋体" w:eastAsia="宋体" w:cs="宋体"/>
          <w:color w:val="000000"/>
          <w:highlight w:val="none"/>
        </w:rPr>
        <w:t xml:space="preserve">  </w:t>
      </w:r>
      <w:r>
        <w:rPr>
          <w:rFonts w:hint="eastAsia" w:ascii="宋体" w:hAnsi="宋体" w:eastAsia="宋体" w:cs="宋体"/>
          <w:b/>
          <w:bCs/>
          <w:color w:val="ff0000"/>
          <w:highlight w:val="none"/>
        </w:rPr>
        <w:t xml:space="preserve">投标人的CMA计量认证证书、CATL农产品质量安全检验检测机构认证资格证书（清晰可辨的</w:t>
      </w:r>
      <w:r>
        <w:rPr>
          <w:rFonts w:hint="eastAsia" w:ascii="宋体" w:hAnsi="宋体" w:eastAsia="宋体" w:cs="宋体"/>
          <w:b/>
          <w:bCs/>
          <w:color w:val="ff0000"/>
          <w:highlight w:val="none"/>
          <w:lang w:eastAsia="zh-CN"/>
        </w:rPr>
        <w:t xml:space="preserve">扫描</w:t>
      </w:r>
      <w:r>
        <w:rPr>
          <w:rFonts w:hint="eastAsia" w:ascii="宋体" w:hAnsi="宋体" w:eastAsia="宋体" w:cs="宋体"/>
          <w:b/>
          <w:bCs/>
          <w:color w:val="ff0000"/>
          <w:highlight w:val="none"/>
        </w:rPr>
        <w:t xml:space="preserve">件加盖企业公章）；</w:t>
      </w:r>
      <w:r/>
    </w:p>
    <w:p>
      <w:pPr>
        <w:pStyle w:val="648"/>
        <w:ind w:firstLine="482"/>
        <w:jc w:val="both"/>
        <w:spacing w:beforeAutospacing="0" w:afterAutospacing="0" w:line="0" w:lineRule="atLeast"/>
        <w:rPr>
          <w:b/>
          <w:bCs/>
          <w:color w:val="ff0000"/>
          <w:highlight w:val="none"/>
        </w:rPr>
      </w:pPr>
      <w:r>
        <w:rPr>
          <w:rFonts w:hint="eastAsia" w:ascii="宋体" w:hAnsi="宋体" w:eastAsia="宋体" w:cs="宋体"/>
          <w:b/>
          <w:bCs/>
          <w:color w:val="ff0000"/>
          <w:highlight w:val="none"/>
        </w:rPr>
        <w:t xml:space="preserve">投标人具有绿色农产品定点检测机构资格以中国绿色食品发展中心最新公布的定点监测名录为准 (须提供相关证明材料</w:t>
      </w:r>
      <w:r>
        <w:rPr>
          <w:rFonts w:hint="eastAsia" w:ascii="宋体" w:hAnsi="宋体" w:eastAsia="宋体" w:cs="宋体"/>
          <w:b/>
          <w:bCs/>
          <w:color w:val="ff0000"/>
          <w:highlight w:val="none"/>
          <w:lang w:eastAsia="zh-CN"/>
        </w:rPr>
        <w:t xml:space="preserve">扫描</w:t>
      </w:r>
      <w:r>
        <w:rPr>
          <w:rFonts w:hint="eastAsia" w:ascii="宋体" w:hAnsi="宋体" w:eastAsia="宋体" w:cs="宋体"/>
          <w:b/>
          <w:bCs/>
          <w:color w:val="ff0000"/>
          <w:highlight w:val="none"/>
        </w:rPr>
        <w:t xml:space="preserve">件加盖投标人公章)(</w:t>
      </w:r>
      <w:r>
        <w:rPr>
          <w:rFonts w:hint="eastAsia" w:ascii="宋体" w:hAnsi="宋体" w:eastAsia="宋体" w:cs="宋体"/>
          <w:b/>
          <w:bCs/>
          <w:color w:val="ff0000"/>
          <w:highlight w:val="none"/>
          <w:lang w:eastAsia="zh-CN"/>
        </w:rPr>
        <w:t xml:space="preserve">采购包</w:t>
      </w:r>
      <w:r>
        <w:rPr>
          <w:rFonts w:hint="eastAsia" w:ascii="宋体" w:hAnsi="宋体" w:eastAsia="宋体" w:cs="宋体"/>
          <w:b/>
          <w:bCs/>
          <w:color w:val="ff0000"/>
          <w:highlight w:val="none"/>
          <w:lang w:val="en-US" w:eastAsia="zh-CN"/>
        </w:rPr>
        <w:t xml:space="preserve">2</w:t>
      </w:r>
      <w:r>
        <w:rPr>
          <w:rFonts w:hint="eastAsia" w:ascii="宋体" w:hAnsi="宋体" w:eastAsia="宋体" w:cs="宋体"/>
          <w:b/>
          <w:bCs/>
          <w:color w:val="ff0000"/>
          <w:highlight w:val="none"/>
        </w:rPr>
        <w:t xml:space="preserve">提供)。</w:t>
      </w:r>
      <w:r/>
    </w:p>
    <w:p>
      <w:pPr>
        <w:pStyle w:val="648"/>
        <w:jc w:val="both"/>
        <w:spacing w:beforeAutospacing="0" w:afterAutospacing="0" w:line="0" w:lineRule="atLeast"/>
        <w:rPr>
          <w:b/>
          <w:bCs/>
          <w:color w:val="ff0000"/>
          <w:highlight w:val="none"/>
        </w:rPr>
      </w:pPr>
      <w:r>
        <w:rPr>
          <w:b/>
          <w:bCs/>
          <w:color w:val="ff0000"/>
          <w:highlight w:val="none"/>
        </w:rPr>
        <w:t xml:space="preserve"> </w:t>
      </w:r>
      <w:r/>
    </w:p>
    <w:p>
      <w:pPr>
        <w:pStyle w:val="648"/>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648"/>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648"/>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648"/>
        <w:jc w:val="center"/>
        <w:spacing w:beforeAutospacing="0" w:afterAutospacing="0"/>
        <w:rPr>
          <w:highlight w:val="none"/>
        </w:rPr>
      </w:pPr>
      <w:r>
        <w:rPr>
          <w:rFonts w:hint="eastAsia" w:ascii="黑体" w:hAnsi="宋体" w:eastAsia="黑体" w:cs="黑体"/>
          <w:i/>
          <w:color w:val="000000"/>
          <w:sz w:val="32"/>
          <w:szCs w:val="32"/>
          <w:highlight w:val="none"/>
          <w:u w:val="single"/>
        </w:rPr>
        <w:t xml:space="preserve">七、法人授权书</w:t>
      </w:r>
      <w:r/>
    </w:p>
    <w:p>
      <w:pPr>
        <w:pStyle w:val="648"/>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本授权书声明：____________（投标人名称）授权________________（被授权人的姓名）为我方就JSZC-</w:t>
      </w:r>
      <w:r>
        <w:rPr>
          <w:rFonts w:ascii="Times New Roman" w:hAnsi="Times New Roman"/>
          <w:color w:val="000000"/>
          <w:highlight w:val="none"/>
          <w:u w:val="single"/>
        </w:rPr>
        <w:t xml:space="preserve">        </w:t>
      </w:r>
      <w:r>
        <w:rPr>
          <w:rFonts w:ascii="Times New Roman" w:hAnsi="Times New Roman"/>
          <w:color w:val="000000"/>
          <w:highlight w:val="none"/>
        </w:rPr>
        <w:t xml:space="preserve">号项目采购活动的合法代理人，以本单位名义全权处理一切与该项目采购有关的事务。</w:t>
      </w:r>
      <w:r/>
    </w:p>
    <w:p>
      <w:pPr>
        <w:pStyle w:val="648"/>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本授权书于______年____月____日起生效，特此声明。</w:t>
      </w:r>
      <w:r/>
    </w:p>
    <w:p>
      <w:pPr>
        <w:pStyle w:val="648"/>
        <w:jc w:val="both"/>
        <w:spacing w:beforeAutospacing="0" w:afterAutospacing="0"/>
        <w:tabs>
          <w:tab w:val="left" w:pos="360" w:leader="none"/>
        </w:tabs>
        <w:rPr>
          <w:highlight w:val="none"/>
        </w:rPr>
      </w:pPr>
      <w:r>
        <w:rPr>
          <w:rFonts w:ascii="Times New Roman" w:hAnsi="Times New Roman"/>
          <w:color w:val="000000"/>
          <w:highlight w:val="none"/>
        </w:rPr>
        <w:t xml:space="preserve">          被授权人身份证号码：</w:t>
      </w:r>
      <w:r>
        <w:rPr>
          <w:rFonts w:ascii="Times New Roman" w:hAnsi="Times New Roman"/>
          <w:color w:val="000000"/>
          <w:highlight w:val="none"/>
          <w:u w:val="single"/>
        </w:rPr>
        <w:t xml:space="preserve">                              </w:t>
      </w:r>
      <w:r/>
    </w:p>
    <w:p>
      <w:pPr>
        <w:pStyle w:val="648"/>
        <w:jc w:val="both"/>
        <w:spacing w:beforeAutospacing="0" w:afterAutospacing="0"/>
        <w:tabs>
          <w:tab w:val="left" w:pos="360" w:leader="none"/>
        </w:tabs>
        <w:rPr>
          <w:highlight w:val="none"/>
        </w:rPr>
      </w:pPr>
      <w:r>
        <w:rPr>
          <w:rFonts w:ascii="Times New Roman" w:hAnsi="Times New Roman"/>
          <w:color w:val="000000"/>
          <w:highlight w:val="none"/>
        </w:rPr>
        <w:t xml:space="preserve">          被授权人联系电话：（手机）</w:t>
      </w:r>
      <w:r>
        <w:rPr>
          <w:rFonts w:ascii="Times New Roman" w:hAnsi="Times New Roman"/>
          <w:color w:val="000000"/>
          <w:highlight w:val="none"/>
          <w:u w:val="single"/>
        </w:rPr>
        <w:t xml:space="preserve">                          </w:t>
      </w:r>
      <w:r/>
    </w:p>
    <w:p>
      <w:pPr>
        <w:pStyle w:val="648"/>
        <w:ind w:firstLine="1200"/>
        <w:jc w:val="both"/>
        <w:spacing w:beforeAutospacing="0" w:afterAutospacing="0"/>
        <w:tabs>
          <w:tab w:val="left" w:pos="360" w:leader="none"/>
        </w:tabs>
        <w:rPr>
          <w:highlight w:val="none"/>
        </w:rPr>
      </w:pPr>
      <w:r>
        <w:rPr>
          <w:rFonts w:ascii="Times New Roman" w:hAnsi="Times New Roman"/>
          <w:color w:val="000000"/>
          <w:highlight w:val="none"/>
        </w:rPr>
        <w:t xml:space="preserve">授权单位名称：</w:t>
      </w:r>
      <w:r>
        <w:rPr>
          <w:rFonts w:ascii="Times New Roman" w:hAnsi="Times New Roman"/>
          <w:color w:val="000000"/>
          <w:highlight w:val="none"/>
          <w:u w:val="single"/>
        </w:rPr>
        <w:t xml:space="preserve">（加盖CA电子公章）</w:t>
      </w:r>
      <w:r/>
    </w:p>
    <w:p>
      <w:pPr>
        <w:pStyle w:val="648"/>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      单位地址：</w:t>
      </w:r>
      <w:r>
        <w:rPr>
          <w:rFonts w:ascii="Times New Roman" w:hAnsi="Times New Roman"/>
          <w:color w:val="000000"/>
          <w:highlight w:val="none"/>
          <w:u w:val="single"/>
        </w:rPr>
        <w:t xml:space="preserve">                                         </w:t>
      </w:r>
      <w:r/>
    </w:p>
    <w:p>
      <w:pPr>
        <w:pStyle w:val="648"/>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      日期：</w:t>
      </w:r>
      <w:bookmarkStart w:id="202" w:name="_Hlt26671380"/>
      <w:r/>
      <w:bookmarkStart w:id="203" w:name="_Hlt26955070"/>
      <w:r/>
      <w:bookmarkStart w:id="204" w:name="_格式3__银行出具的资信证明"/>
      <w:r>
        <w:rPr>
          <w:rFonts w:ascii="Times New Roman" w:hAnsi="Times New Roman"/>
          <w:color w:val="000000"/>
          <w:highlight w:val="none"/>
          <w:u w:val="single"/>
        </w:rPr>
        <w:t xml:space="preserve">                                         </w:t>
      </w:r>
      <w:r/>
    </w:p>
    <w:p>
      <w:pPr>
        <w:pStyle w:val="648"/>
        <w:ind w:firstLine="420"/>
        <w:jc w:val="both"/>
        <w:spacing w:beforeAutospacing="0" w:afterAutospacing="0"/>
        <w:rPr>
          <w:highlight w:val="none"/>
        </w:rPr>
      </w:pPr>
      <w:r>
        <w:rPr>
          <w:highlight w:val="none"/>
        </w:rPr>
        <w:t xml:space="preserve"> </w:t>
      </w:r>
      <w:r/>
    </w:p>
    <w:p>
      <w:pPr>
        <w:pStyle w:val="648"/>
        <w:jc w:val="both"/>
        <w:spacing w:beforeAutospacing="0" w:afterAutospacing="0"/>
        <w:rPr>
          <w:highlight w:val="none"/>
        </w:rPr>
      </w:pPr>
      <w:r>
        <w:rPr>
          <w:highlight w:val="none"/>
        </w:rPr>
        <w:t xml:space="preserve"> </w:t>
      </w:r>
      <w:r/>
    </w:p>
    <w:p>
      <w:pPr>
        <w:pStyle w:val="648"/>
        <w:jc w:val="both"/>
        <w:spacing w:beforeAutospacing="0" w:afterAutospacing="0" w:line="0" w:lineRule="atLeast"/>
        <w:rPr>
          <w:highlight w:val="none"/>
        </w:rPr>
      </w:pPr>
      <w:r>
        <w:rPr>
          <w:highlight w:val="none"/>
        </w:rPr>
        <w:t xml:space="preserve"> </w:t>
      </w:r>
      <w:r/>
    </w:p>
    <w:p>
      <w:pPr>
        <w:pStyle w:val="648"/>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我公司（单位）委托进行现场演示的人员为（本项目如果无现场演示要求，请项目经办人自行删除该备注）</w:t>
      </w:r>
      <w:r/>
    </w:p>
    <w:p>
      <w:pPr>
        <w:pStyle w:val="648"/>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        （人员姓名），身份证号          。</w:t>
      </w:r>
      <w:r/>
    </w:p>
    <w:p>
      <w:pPr>
        <w:pStyle w:val="648"/>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        ……</w:t>
      </w:r>
      <w:r/>
    </w:p>
    <w:p>
      <w:pPr>
        <w:pStyle w:val="648"/>
        <w:jc w:val="both"/>
        <w:spacing w:beforeAutospacing="0" w:afterAutospacing="0" w:line="0" w:lineRule="atLeast"/>
        <w:rPr>
          <w:highlight w:val="none"/>
        </w:rPr>
      </w:pPr>
      <w:r>
        <w:rPr>
          <w:highlight w:val="none"/>
        </w:rPr>
        <w:t xml:space="preserve"> </w:t>
      </w:r>
      <w:r/>
    </w:p>
    <w:p>
      <w:pPr>
        <w:pStyle w:val="648"/>
        <w:ind w:firstLine="3390"/>
        <w:jc w:val="both"/>
        <w:keepLines/>
        <w:keepNext/>
        <w:spacing w:before="260" w:beforeAutospacing="0" w:after="260" w:afterAutospacing="0" w:line="415" w:lineRule="auto"/>
        <w:rPr>
          <w:rFonts w:ascii="黑体" w:hAnsi="宋体" w:eastAsia="黑体" w:cs="黑体"/>
          <w:b/>
          <w:color w:val="000000"/>
          <w:sz w:val="32"/>
          <w:szCs w:val="32"/>
          <w:highlight w:val="none"/>
        </w:rPr>
      </w:pPr>
      <w:r>
        <w:rPr>
          <w:rFonts w:hint="eastAsia" w:ascii="宋体" w:hAnsi="宋体" w:eastAsia="宋体" w:cs="宋体"/>
          <w:b/>
          <w:color w:val="000000"/>
          <w:highlight w:val="none"/>
        </w:rPr>
        <w:br w:type="page" w:clear="all"/>
      </w:r>
      <w:r>
        <w:rPr>
          <w:rFonts w:hint="eastAsia" w:ascii="宋体" w:hAnsi="宋体" w:eastAsia="宋体" w:cs="宋体"/>
          <w:b/>
          <w:color w:val="000000"/>
          <w:highlight w:val="none"/>
        </w:rPr>
        <w:t xml:space="preserve"> </w:t>
      </w:r>
      <w:r>
        <w:rPr>
          <w:rFonts w:hint="eastAsia" w:ascii="黑体" w:hAnsi="宋体" w:eastAsia="黑体" w:cs="黑体"/>
          <w:b/>
          <w:color w:val="000000"/>
          <w:sz w:val="32"/>
          <w:szCs w:val="32"/>
          <w:highlight w:val="none"/>
        </w:rPr>
        <w:t xml:space="preserve">八、投标函</w:t>
      </w:r>
      <w:r/>
    </w:p>
    <w:p>
      <w:pPr>
        <w:pStyle w:val="648"/>
        <w:spacing w:beforeAutospacing="0" w:afterAutospacing="0" w:line="0" w:lineRule="atLeast"/>
        <w:rPr>
          <w:highlight w:val="none"/>
        </w:rPr>
      </w:pPr>
      <w:r>
        <w:rPr>
          <w:rFonts w:hint="eastAsia" w:ascii="宋体" w:hAnsi="宋体" w:eastAsia="宋体" w:cs="宋体"/>
          <w:color w:val="000000"/>
          <w:highlight w:val="none"/>
        </w:rPr>
        <w:t xml:space="preserve">致：盐城市政府采购中心</w:t>
      </w:r>
      <w:r/>
    </w:p>
    <w:p>
      <w:pPr>
        <w:pStyle w:val="648"/>
        <w:ind w:firstLine="480"/>
        <w:spacing w:beforeAutospacing="0" w:afterAutospacing="0" w:line="0" w:lineRule="atLeast"/>
        <w:rPr>
          <w:highlight w:val="none"/>
        </w:rPr>
      </w:pPr>
      <w:r>
        <w:rPr>
          <w:rFonts w:hint="eastAsia" w:ascii="宋体" w:hAnsi="宋体" w:eastAsia="宋体" w:cs="宋体"/>
          <w:color w:val="000000"/>
          <w:highlight w:val="none"/>
        </w:rPr>
        <w:t xml:space="preserve">根据贵方的JSZC-320000-***号招标文件，正式授权下述签字人______(姓名)代表我方______________（投标人的名称），全权处理本次项目投标的有关事宜。</w:t>
      </w:r>
      <w:r/>
    </w:p>
    <w:p>
      <w:pPr>
        <w:pStyle w:val="648"/>
        <w:ind w:firstLine="480"/>
        <w:spacing w:beforeAutospacing="0" w:afterAutospacing="0" w:line="0" w:lineRule="atLeast"/>
        <w:rPr>
          <w:highlight w:val="none"/>
        </w:rPr>
      </w:pPr>
      <w:r>
        <w:rPr>
          <w:rFonts w:hint="eastAsia" w:ascii="宋体" w:hAnsi="宋体" w:eastAsia="宋体" w:cs="宋体"/>
          <w:color w:val="000000"/>
          <w:highlight w:val="none"/>
        </w:rPr>
        <w:t xml:space="preserve">据此函，__________签字人兹宣布同意如下：</w:t>
      </w:r>
      <w:r/>
    </w:p>
    <w:p>
      <w:pPr>
        <w:pStyle w:val="648"/>
        <w:ind w:firstLine="480"/>
        <w:spacing w:beforeAutospacing="0" w:afterAutospacing="0" w:line="0" w:lineRule="atLeast"/>
        <w:rPr>
          <w:highlight w:val="none"/>
        </w:rPr>
      </w:pPr>
      <w:r>
        <w:rPr>
          <w:rFonts w:hint="eastAsia" w:ascii="宋体" w:hAnsi="宋体" w:eastAsia="宋体" w:cs="宋体"/>
          <w:color w:val="000000"/>
          <w:highlight w:val="none"/>
        </w:rPr>
        <w:t xml:space="preserve">1.按招标文件规定的各项要求，向买方提供所需服务（包含与服务相关的货物）。</w:t>
      </w:r>
      <w:r/>
    </w:p>
    <w:p>
      <w:pPr>
        <w:pStyle w:val="648"/>
        <w:ind w:firstLine="480"/>
        <w:spacing w:beforeAutospacing="0" w:afterAutospacing="0" w:line="0" w:lineRule="atLeast"/>
        <w:rPr>
          <w:highlight w:val="none"/>
        </w:rPr>
      </w:pPr>
      <w:r>
        <w:rPr>
          <w:rFonts w:hint="eastAsia" w:ascii="宋体" w:hAnsi="宋体" w:eastAsia="宋体" w:cs="宋体"/>
          <w:color w:val="000000"/>
          <w:highlight w:val="none"/>
        </w:rPr>
        <w:t xml:space="preserve">2.我们完全理解贵方不一定将合同授予最低报价的投标人。</w:t>
      </w:r>
      <w:r/>
    </w:p>
    <w:p>
      <w:pPr>
        <w:pStyle w:val="648"/>
        <w:ind w:firstLine="480"/>
        <w:spacing w:beforeAutospacing="0" w:afterAutospacing="0" w:line="0" w:lineRule="atLeast"/>
        <w:rPr>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p>
    <w:p>
      <w:pPr>
        <w:pStyle w:val="648"/>
        <w:ind w:firstLine="480"/>
        <w:spacing w:beforeAutospacing="0" w:afterAutospacing="0" w:line="0" w:lineRule="atLeast"/>
        <w:rPr>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p>
    <w:p>
      <w:pPr>
        <w:pStyle w:val="648"/>
        <w:ind w:firstLine="480"/>
        <w:spacing w:beforeAutospacing="0" w:afterAutospacing="0" w:line="0" w:lineRule="atLeast"/>
        <w:rPr>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p>
    <w:p>
      <w:pPr>
        <w:pStyle w:val="648"/>
        <w:ind w:firstLine="480"/>
        <w:spacing w:beforeAutospacing="0" w:afterAutospacing="0" w:line="0" w:lineRule="atLeast"/>
        <w:rPr>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6.一旦我方中标,我方将根据招标文件的规定，严格履行合同的责任和义务,并保证在招标文件规定的时间完成项目，交付买方验收、使用。</w:t>
      </w:r>
      <w:r/>
    </w:p>
    <w:p>
      <w:pPr>
        <w:pStyle w:val="648"/>
        <w:ind w:firstLine="480"/>
        <w:spacing w:beforeAutospacing="0" w:afterAutospacing="0" w:line="0" w:lineRule="atLeast"/>
        <w:rPr>
          <w:highlight w:val="none"/>
        </w:rPr>
      </w:pPr>
      <w:r>
        <w:rPr>
          <w:rFonts w:hint="eastAsia" w:ascii="宋体" w:hAnsi="宋体" w:eastAsia="宋体" w:cs="宋体"/>
          <w:color w:val="000000"/>
          <w:highlight w:val="none"/>
        </w:rPr>
        <w:t xml:space="preserve">7.与本投标有关的正式通讯地址为：</w:t>
      </w:r>
      <w:r/>
    </w:p>
    <w:p>
      <w:pPr>
        <w:pStyle w:val="648"/>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地          址：</w:t>
      </w:r>
      <w:r/>
    </w:p>
    <w:p>
      <w:pPr>
        <w:pStyle w:val="648"/>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邮          编：</w:t>
      </w:r>
      <w:r/>
    </w:p>
    <w:p>
      <w:pPr>
        <w:pStyle w:val="648"/>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电          话：</w:t>
      </w:r>
      <w:r/>
    </w:p>
    <w:p>
      <w:pPr>
        <w:pStyle w:val="648"/>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传          真：</w:t>
      </w:r>
      <w:r/>
    </w:p>
    <w:p>
      <w:pPr>
        <w:pStyle w:val="648"/>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投标人开户行：</w:t>
      </w:r>
      <w:r/>
    </w:p>
    <w:p>
      <w:pPr>
        <w:pStyle w:val="648"/>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账          号： </w:t>
      </w:r>
      <w:r/>
    </w:p>
    <w:p>
      <w:pPr>
        <w:pStyle w:val="648"/>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日           期：________年____月____日</w:t>
      </w:r>
      <w:r/>
    </w:p>
    <w:p>
      <w:pPr>
        <w:pStyle w:val="648"/>
        <w:ind w:firstLine="240"/>
        <w:jc w:val="center"/>
        <w:spacing w:beforeAutospacing="0" w:afterAutospacing="0" w:line="0" w:lineRule="atLeast"/>
        <w:rPr>
          <w:highlight w:val="none"/>
        </w:rPr>
      </w:pPr>
      <w:r>
        <w:rPr>
          <w:highlight w:val="none"/>
        </w:rPr>
        <w:t xml:space="preserve"> </w:t>
      </w:r>
      <w:r/>
    </w:p>
    <w:p>
      <w:pPr>
        <w:pStyle w:val="648"/>
        <w:ind w:firstLine="240"/>
        <w:jc w:val="center"/>
        <w:spacing w:beforeAutospacing="0" w:afterAutospacing="0" w:line="0" w:lineRule="atLeast"/>
        <w:rPr>
          <w:highlight w:val="none"/>
        </w:rPr>
      </w:pPr>
      <w:r>
        <w:rPr>
          <w:highlight w:val="none"/>
        </w:rPr>
        <w:t xml:space="preserve"> </w:t>
      </w:r>
      <w:r/>
    </w:p>
    <w:p>
      <w:pPr>
        <w:pStyle w:val="648"/>
        <w:ind w:firstLine="240"/>
        <w:jc w:val="center"/>
        <w:spacing w:beforeAutospacing="0" w:afterAutospacing="0" w:line="0" w:lineRule="atLeast"/>
        <w:rPr>
          <w:highlight w:val="none"/>
        </w:rPr>
      </w:pPr>
      <w:r>
        <w:rPr>
          <w:highlight w:val="none"/>
        </w:rPr>
        <w:t xml:space="preserve"> </w:t>
      </w:r>
      <w:r/>
    </w:p>
    <w:p>
      <w:pPr>
        <w:pStyle w:val="648"/>
        <w:ind w:firstLine="240"/>
        <w:jc w:val="center"/>
        <w:spacing w:beforeAutospacing="0" w:afterAutospacing="0" w:line="0" w:lineRule="atLeast"/>
        <w:rPr>
          <w:highlight w:val="none"/>
        </w:rPr>
      </w:pPr>
      <w:r>
        <w:rPr>
          <w:highlight w:val="none"/>
        </w:rPr>
        <w:t xml:space="preserve"> </w:t>
      </w:r>
      <w:r/>
    </w:p>
    <w:p>
      <w:pPr>
        <w:pStyle w:val="648"/>
        <w:ind w:firstLine="240"/>
        <w:jc w:val="center"/>
        <w:spacing w:beforeAutospacing="0" w:afterAutospacing="0" w:line="0" w:lineRule="atLeast"/>
        <w:rPr>
          <w:highlight w:val="none"/>
        </w:rPr>
      </w:pPr>
      <w:r>
        <w:rPr>
          <w:highlight w:val="none"/>
        </w:rPr>
        <w:t xml:space="preserve"> </w:t>
      </w:r>
      <w:r/>
    </w:p>
    <w:p>
      <w:pPr>
        <w:pStyle w:val="648"/>
        <w:ind w:firstLine="240"/>
        <w:jc w:val="center"/>
        <w:spacing w:beforeAutospacing="0" w:afterAutospacing="0" w:line="0" w:lineRule="atLeast"/>
        <w:rPr>
          <w:highlight w:val="none"/>
        </w:rPr>
      </w:pPr>
      <w:r>
        <w:rPr>
          <w:highlight w:val="none"/>
        </w:rPr>
      </w:r>
      <w:r/>
    </w:p>
    <w:p>
      <w:pPr>
        <w:pStyle w:val="648"/>
        <w:ind w:firstLine="240"/>
        <w:jc w:val="center"/>
        <w:spacing w:beforeAutospacing="0" w:afterAutospacing="0" w:line="0" w:lineRule="atLeast"/>
        <w:rPr>
          <w:highlight w:val="none"/>
        </w:rPr>
      </w:pPr>
      <w:r>
        <w:rPr>
          <w:highlight w:val="none"/>
        </w:rPr>
      </w:r>
      <w:r/>
    </w:p>
    <w:p>
      <w:pPr>
        <w:pStyle w:val="648"/>
        <w:ind w:firstLine="240"/>
        <w:jc w:val="center"/>
        <w:spacing w:beforeAutospacing="0" w:afterAutospacing="0" w:line="0" w:lineRule="atLeast"/>
        <w:rPr>
          <w:highlight w:val="none"/>
        </w:rPr>
      </w:pPr>
      <w:r>
        <w:rPr>
          <w:highlight w:val="none"/>
        </w:rPr>
      </w:r>
      <w:r/>
    </w:p>
    <w:p>
      <w:pPr>
        <w:pStyle w:val="648"/>
        <w:ind w:firstLine="240"/>
        <w:jc w:val="center"/>
        <w:spacing w:beforeAutospacing="0" w:afterAutospacing="0" w:line="0" w:lineRule="atLeast"/>
        <w:rPr>
          <w:highlight w:val="none"/>
        </w:rPr>
      </w:pPr>
      <w:r>
        <w:rPr>
          <w:highlight w:val="none"/>
        </w:rPr>
      </w:r>
      <w:r/>
    </w:p>
    <w:p>
      <w:pPr>
        <w:pStyle w:val="648"/>
        <w:ind w:firstLine="240"/>
        <w:jc w:val="center"/>
        <w:spacing w:beforeAutospacing="0" w:afterAutospacing="0" w:line="0" w:lineRule="atLeast"/>
        <w:rPr>
          <w:highlight w:val="none"/>
        </w:rPr>
      </w:pPr>
      <w:r>
        <w:rPr>
          <w:highlight w:val="none"/>
        </w:rPr>
      </w:r>
      <w:r/>
    </w:p>
    <w:p>
      <w:pPr>
        <w:pStyle w:val="648"/>
        <w:ind w:firstLine="240"/>
        <w:jc w:val="center"/>
        <w:spacing w:beforeAutospacing="0" w:afterAutospacing="0" w:line="0" w:lineRule="atLeast"/>
        <w:rPr>
          <w:highlight w:val="none"/>
        </w:rPr>
      </w:pPr>
      <w:r>
        <w:rPr>
          <w:highlight w:val="none"/>
        </w:rPr>
      </w:r>
      <w:r/>
    </w:p>
    <w:p>
      <w:pPr>
        <w:pStyle w:val="648"/>
        <w:ind w:firstLine="240"/>
        <w:jc w:val="center"/>
        <w:spacing w:beforeAutospacing="0" w:afterAutospacing="0" w:line="0" w:lineRule="atLeast"/>
        <w:rPr>
          <w:highlight w:val="none"/>
        </w:rPr>
      </w:pPr>
      <w:r>
        <w:rPr>
          <w:highlight w:val="none"/>
        </w:rPr>
      </w:r>
      <w:r/>
    </w:p>
    <w:p>
      <w:pPr>
        <w:pStyle w:val="648"/>
        <w:ind w:firstLine="240"/>
        <w:jc w:val="center"/>
        <w:spacing w:beforeAutospacing="0" w:afterAutospacing="0" w:line="0" w:lineRule="atLeast"/>
        <w:rPr>
          <w:highlight w:val="none"/>
        </w:rPr>
      </w:pPr>
      <w:r>
        <w:rPr>
          <w:highlight w:val="none"/>
        </w:rPr>
      </w:r>
      <w:r/>
    </w:p>
    <w:p>
      <w:pPr>
        <w:pStyle w:val="648"/>
        <w:ind w:firstLine="240"/>
        <w:jc w:val="center"/>
        <w:spacing w:beforeAutospacing="0" w:afterAutospacing="0" w:line="0" w:lineRule="atLeast"/>
        <w:rPr>
          <w:highlight w:val="none"/>
        </w:rPr>
      </w:pPr>
      <w:r>
        <w:rPr>
          <w:highlight w:val="none"/>
        </w:rPr>
      </w:r>
      <w:r/>
    </w:p>
    <w:p>
      <w:pPr>
        <w:pStyle w:val="648"/>
        <w:ind w:firstLine="240"/>
        <w:jc w:val="center"/>
        <w:spacing w:beforeAutospacing="0" w:afterAutospacing="0" w:line="0" w:lineRule="atLeast"/>
        <w:rPr>
          <w:highlight w:val="none"/>
        </w:rPr>
      </w:pPr>
      <w:r>
        <w:rPr>
          <w:highlight w:val="none"/>
        </w:rPr>
      </w:r>
      <w:r/>
    </w:p>
    <w:p>
      <w:pPr>
        <w:pStyle w:val="648"/>
        <w:ind w:firstLine="240"/>
        <w:jc w:val="center"/>
        <w:spacing w:beforeAutospacing="0" w:afterAutospacing="0" w:line="0" w:lineRule="atLeast"/>
        <w:rPr>
          <w:highlight w:val="none"/>
        </w:rPr>
      </w:pPr>
      <w:r>
        <w:rPr>
          <w:highlight w:val="none"/>
        </w:rPr>
      </w:r>
      <w:r/>
    </w:p>
    <w:p>
      <w:pPr>
        <w:pStyle w:val="648"/>
        <w:jc w:val="center"/>
        <w:spacing w:beforeAutospacing="0" w:afterAutospacing="0" w:line="0" w:lineRule="atLeast"/>
        <w:rPr>
          <w:highlight w:val="none"/>
        </w:rPr>
      </w:pPr>
      <w:r>
        <w:rPr>
          <w:highlight w:val="none"/>
        </w:rPr>
        <w:t xml:space="preserve"> </w:t>
      </w:r>
      <w:r/>
    </w:p>
    <w:p>
      <w:pPr>
        <w:pStyle w:val="648"/>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九、</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企业声明函（服务）（分包号：**）</w:t>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本公司（联合体）郑重声明，根据《政府采购促进中小企业发展管理办法》（财库﹝2020﹞46 号）的规定，本公司（联合体）参加盐城市政府采购中心组织的</w:t>
      </w:r>
      <w:r>
        <w:rPr>
          <w:rFonts w:hint="eastAsia"/>
          <w:i/>
          <w:iCs/>
          <w:color w:val="auto"/>
          <w:sz w:val="24"/>
          <w:szCs w:val="24"/>
          <w:highlight w:val="none"/>
          <w:u w:val="single"/>
        </w:rPr>
        <w:t xml:space="preserve">（单位名称）</w:t>
      </w:r>
      <w:r>
        <w:rPr>
          <w:rFonts w:hint="eastAsia"/>
          <w:color w:val="auto"/>
          <w:sz w:val="24"/>
          <w:szCs w:val="20"/>
          <w:highlight w:val="none"/>
        </w:rPr>
        <w:t xml:space="preserve">，</w:t>
      </w:r>
      <w:r>
        <w:rPr>
          <w:rFonts w:hint="eastAsia"/>
          <w:color w:val="auto"/>
          <w:sz w:val="24"/>
          <w:highlight w:val="none"/>
        </w:rPr>
        <w:t xml:space="preserve">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 xml:space="preserve">的</w:t>
      </w:r>
      <w:r>
        <w:rPr>
          <w:rFonts w:hint="eastAsia"/>
          <w:i/>
          <w:iCs/>
          <w:color w:val="auto"/>
          <w:sz w:val="24"/>
          <w:highlight w:val="none"/>
          <w:u w:val="single"/>
        </w:rPr>
        <w:t xml:space="preserve">（项目名称）</w:t>
      </w:r>
      <w:r>
        <w:rPr>
          <w:rFonts w:hint="eastAsia"/>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2"/>
        </w:numPr>
        <w:ind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2"/>
        </w:numPr>
        <w:ind w:left="0"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648"/>
        <w:ind w:right="720"/>
        <w:jc w:val="both"/>
        <w:spacing w:beforeAutospacing="0" w:afterAutospacing="0" w:line="0" w:lineRule="atLeast"/>
        <w:rPr>
          <w:color w:val="auto"/>
          <w:highlight w:val="none"/>
        </w:rPr>
      </w:pPr>
      <w:r>
        <w:rPr>
          <w:color w:val="auto"/>
          <w:highlight w:val="none"/>
        </w:rPr>
        <w:t xml:space="preserve"> </w:t>
      </w:r>
      <w:r/>
    </w:p>
    <w:p>
      <w:pPr>
        <w:pStyle w:val="648"/>
        <w:ind w:right="180" w:firstLine="360"/>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企业名称（加盖CA电子公章）：</w:t>
      </w:r>
      <w:r/>
    </w:p>
    <w:p>
      <w:pPr>
        <w:pStyle w:val="648"/>
        <w:ind w:right="480" w:firstLine="540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日  期：</w:t>
      </w:r>
      <w:r/>
    </w:p>
    <w:p>
      <w:pPr>
        <w:pStyle w:val="648"/>
        <w:ind w:firstLine="240"/>
        <w:jc w:val="both"/>
        <w:spacing w:beforeAutospacing="0" w:afterAutospacing="0" w:line="0" w:lineRule="atLeast"/>
        <w:rPr>
          <w:color w:val="auto"/>
          <w:highlight w:val="none"/>
        </w:rPr>
      </w:pPr>
      <w:r>
        <w:rPr>
          <w:color w:val="auto"/>
          <w:highlight w:val="none"/>
        </w:rPr>
        <w:t xml:space="preserve"> </w:t>
      </w:r>
      <w:r/>
    </w:p>
    <w:p>
      <w:pPr>
        <w:pStyle w:val="648"/>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648"/>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648"/>
        <w:jc w:val="center"/>
        <w:spacing w:beforeAutospacing="0" w:afterAutospacing="0" w:line="0" w:lineRule="atLeast"/>
        <w:rPr>
          <w:highlight w:val="none"/>
        </w:rPr>
      </w:pPr>
      <w:r>
        <w:rPr>
          <w:rFonts w:hint="eastAsia" w:ascii="黑体" w:hAnsi="宋体" w:eastAsia="黑体" w:cs="黑体"/>
          <w:b/>
          <w:color w:val="auto"/>
          <w:sz w:val="32"/>
          <w:szCs w:val="32"/>
          <w:highlight w:val="none"/>
        </w:rPr>
        <w:br w:type="page" w:clear="all"/>
      </w:r>
      <w:r>
        <w:rPr>
          <w:rFonts w:hint="eastAsia" w:ascii="黑体" w:hAnsi="宋体" w:eastAsia="黑体" w:cs="黑体"/>
          <w:b/>
          <w:color w:val="000000"/>
          <w:sz w:val="32"/>
          <w:szCs w:val="32"/>
          <w:highlight w:val="none"/>
        </w:rPr>
        <w:t xml:space="preserve"> 十、残疾人福利性单位声明函（分包号：**）</w:t>
      </w:r>
      <w:r/>
    </w:p>
    <w:p>
      <w:pPr>
        <w:pStyle w:val="648"/>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项目（分包号：**）采购活动由本单位提供服务。</w:t>
      </w:r>
      <w:r/>
    </w:p>
    <w:p>
      <w:pPr>
        <w:pStyle w:val="648"/>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648"/>
        <w:ind w:firstLine="480"/>
        <w:jc w:val="both"/>
        <w:spacing w:beforeAutospacing="0" w:afterAutospacing="0" w:line="0" w:lineRule="atLeast"/>
        <w:rPr>
          <w:highlight w:val="none"/>
        </w:rPr>
      </w:pPr>
      <w:r>
        <w:rPr>
          <w:highlight w:val="none"/>
        </w:rPr>
        <w:t xml:space="preserve"> </w:t>
      </w:r>
      <w:r/>
    </w:p>
    <w:p>
      <w:pPr>
        <w:pStyle w:val="648"/>
        <w:ind w:firstLine="480"/>
        <w:jc w:val="both"/>
        <w:spacing w:beforeAutospacing="0" w:afterAutospacing="0" w:line="0" w:lineRule="atLeast"/>
        <w:rPr>
          <w:rFonts w:hint="eastAsia" w:eastAsia="宋体"/>
          <w:highlight w:val="none"/>
          <w:lang w:eastAsia="zh-CN"/>
        </w:rPr>
      </w:pPr>
      <w:r>
        <w:rPr>
          <w:rFonts w:hint="eastAsia" w:ascii="宋体" w:hAnsi="宋体" w:eastAsia="宋体" w:cs="宋体"/>
          <w:color w:val="000000"/>
          <w:highlight w:val="none"/>
        </w:rPr>
        <w:t xml:space="preserve">备注：1、供应商如不提供此声明函，价格将不做相应扣除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p>
    <w:p>
      <w:pPr>
        <w:pStyle w:val="648"/>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2、中标人为残疾人福利单位的，此声明函将随中标结果同时公告，接受社会监督</w:t>
      </w:r>
      <w:r/>
    </w:p>
    <w:p>
      <w:pPr>
        <w:pStyle w:val="648"/>
        <w:ind w:firstLine="624"/>
        <w:jc w:val="both"/>
        <w:spacing w:beforeAutospacing="0" w:afterAutospacing="0" w:line="0" w:lineRule="atLeast"/>
        <w:rPr>
          <w:highlight w:val="none"/>
        </w:rPr>
      </w:pPr>
      <w:r>
        <w:rPr>
          <w:highlight w:val="none"/>
        </w:rPr>
        <w:t xml:space="preserve"> </w:t>
      </w:r>
      <w:r/>
    </w:p>
    <w:p>
      <w:pPr>
        <w:pStyle w:val="648"/>
        <w:ind w:right="1560" w:firstLine="624"/>
        <w:jc w:val="center"/>
        <w:spacing w:beforeAutospacing="0" w:afterAutospacing="0" w:line="0" w:lineRule="atLeast"/>
        <w:tabs>
          <w:tab w:val="left" w:pos="4864" w:leader="none"/>
        </w:tabs>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xml:space="preserve">          供应商全称（加盖CA电子公章）：</w:t>
      </w:r>
      <w:r/>
    </w:p>
    <w:p>
      <w:pPr>
        <w:pStyle w:val="648"/>
        <w:ind w:right="1560" w:firstLine="480"/>
        <w:jc w:val="center"/>
        <w:spacing w:beforeAutospacing="0" w:afterAutospacing="0" w:line="0" w:lineRule="atLeast"/>
        <w:tabs>
          <w:tab w:val="left" w:pos="4864" w:leader="none"/>
        </w:tabs>
        <w:rPr>
          <w:highlight w:val="none"/>
        </w:rPr>
      </w:pPr>
      <w:r>
        <w:rPr>
          <w:rFonts w:hint="eastAsia" w:ascii="宋体" w:hAnsi="宋体" w:eastAsia="宋体" w:cs="宋体"/>
          <w:color w:val="000000"/>
          <w:highlight w:val="none"/>
        </w:rPr>
        <w:t xml:space="preserve">        日  期：</w:t>
      </w:r>
      <w:r/>
    </w:p>
    <w:p>
      <w:pPr>
        <w:pStyle w:val="648"/>
        <w:jc w:val="center"/>
        <w:spacing w:beforeAutospacing="0" w:afterAutospacing="0" w:line="0" w:lineRule="atLeast"/>
        <w:rPr>
          <w:highlight w:val="none"/>
        </w:rPr>
      </w:pPr>
      <w:r>
        <w:rPr>
          <w:highlight w:val="none"/>
        </w:rPr>
        <w:t xml:space="preserve"> </w:t>
      </w:r>
      <w:r/>
    </w:p>
    <w:p>
      <w:pPr>
        <w:pStyle w:val="648"/>
        <w:jc w:val="center"/>
        <w:spacing w:beforeAutospacing="0" w:afterAutospacing="0" w:line="0" w:lineRule="atLeast"/>
        <w:rPr>
          <w:highlight w:val="none"/>
        </w:rPr>
      </w:pPr>
      <w:r>
        <w:rPr>
          <w:highlight w:val="none"/>
        </w:rPr>
        <w:t xml:space="preserve"> </w:t>
      </w:r>
      <w:r/>
    </w:p>
    <w:p>
      <w:pPr>
        <w:pStyle w:val="648"/>
        <w:jc w:val="center"/>
        <w:spacing w:beforeAutospacing="0" w:afterAutospacing="0" w:line="0" w:lineRule="atLeast"/>
        <w:rPr>
          <w:highlight w:val="none"/>
        </w:rPr>
      </w:pPr>
      <w:r>
        <w:rPr>
          <w:highlight w:val="none"/>
        </w:rPr>
        <w:t xml:space="preserve"> </w:t>
      </w:r>
      <w:r/>
    </w:p>
    <w:p>
      <w:pPr>
        <w:pStyle w:val="648"/>
        <w:jc w:val="center"/>
        <w:spacing w:beforeAutospacing="0" w:afterAutospacing="0" w:line="0" w:lineRule="atLeast"/>
        <w:rPr>
          <w:highlight w:val="none"/>
        </w:rPr>
      </w:pPr>
      <w:r>
        <w:rPr>
          <w:highlight w:val="none"/>
        </w:rPr>
        <w:t xml:space="preserve"> </w:t>
      </w:r>
      <w:r/>
    </w:p>
    <w:p>
      <w:pPr>
        <w:pStyle w:val="648"/>
        <w:jc w:val="center"/>
        <w:spacing w:beforeAutospacing="0" w:afterAutospacing="0" w:line="0" w:lineRule="atLeast"/>
        <w:rPr>
          <w:highlight w:val="none"/>
        </w:rPr>
      </w:pPr>
      <w:r>
        <w:rPr>
          <w:highlight w:val="none"/>
        </w:rPr>
        <w:t xml:space="preserve"> </w:t>
      </w:r>
      <w:r/>
    </w:p>
    <w:p>
      <w:pPr>
        <w:pStyle w:val="648"/>
        <w:jc w:val="center"/>
        <w:spacing w:beforeAutospacing="0" w:afterAutospacing="0" w:line="0" w:lineRule="atLeast"/>
        <w:rPr>
          <w:highlight w:val="none"/>
        </w:rPr>
      </w:pPr>
      <w:r>
        <w:rPr>
          <w:highlight w:val="none"/>
        </w:rPr>
        <w:t xml:space="preserve"> </w:t>
      </w:r>
      <w:r/>
    </w:p>
    <w:p>
      <w:pPr>
        <w:pStyle w:val="648"/>
        <w:jc w:val="center"/>
        <w:spacing w:beforeAutospacing="0" w:afterAutospacing="0" w:line="0" w:lineRule="atLeast"/>
        <w:rPr>
          <w:highlight w:val="none"/>
        </w:rPr>
      </w:pPr>
      <w:r>
        <w:rPr>
          <w:highlight w:val="none"/>
        </w:rPr>
        <w:t xml:space="preserve"> </w:t>
      </w:r>
      <w:r/>
    </w:p>
    <w:p>
      <w:pPr>
        <w:pStyle w:val="648"/>
        <w:jc w:val="center"/>
        <w:spacing w:beforeAutospacing="0" w:afterAutospacing="0" w:line="0" w:lineRule="atLeast"/>
        <w:rPr>
          <w:highlight w:val="none"/>
        </w:rPr>
      </w:pPr>
      <w:r>
        <w:rPr>
          <w:highlight w:val="none"/>
        </w:rPr>
        <w:t xml:space="preserve"> </w:t>
      </w:r>
      <w:r/>
    </w:p>
    <w:p>
      <w:pPr>
        <w:pStyle w:val="648"/>
        <w:jc w:val="center"/>
        <w:spacing w:beforeAutospacing="0" w:afterAutospacing="0" w:line="0" w:lineRule="atLeast"/>
        <w:rPr>
          <w:highlight w:val="none"/>
        </w:rPr>
      </w:pPr>
      <w:r>
        <w:rPr>
          <w:highlight w:val="none"/>
        </w:rPr>
      </w:r>
      <w:r/>
    </w:p>
    <w:p>
      <w:pPr>
        <w:pStyle w:val="648"/>
        <w:jc w:val="center"/>
        <w:spacing w:beforeAutospacing="0" w:afterAutospacing="0" w:line="0" w:lineRule="atLeast"/>
        <w:rPr>
          <w:highlight w:val="none"/>
        </w:rPr>
      </w:pPr>
      <w:r>
        <w:rPr>
          <w:highlight w:val="none"/>
        </w:rPr>
      </w:r>
      <w:r/>
    </w:p>
    <w:p>
      <w:pPr>
        <w:pStyle w:val="648"/>
        <w:jc w:val="center"/>
        <w:spacing w:beforeAutospacing="0" w:afterAutospacing="0" w:line="0" w:lineRule="atLeast"/>
        <w:rPr>
          <w:highlight w:val="none"/>
        </w:rPr>
      </w:pPr>
      <w:r>
        <w:rPr>
          <w:highlight w:val="none"/>
        </w:rPr>
      </w:r>
      <w:r/>
    </w:p>
    <w:p>
      <w:pPr>
        <w:pStyle w:val="648"/>
        <w:jc w:val="center"/>
        <w:spacing w:beforeAutospacing="0" w:afterAutospacing="0" w:line="0" w:lineRule="atLeast"/>
        <w:rPr>
          <w:highlight w:val="none"/>
        </w:rPr>
      </w:pPr>
      <w:r>
        <w:rPr>
          <w:highlight w:val="none"/>
        </w:rPr>
      </w:r>
      <w:r/>
    </w:p>
    <w:p>
      <w:pPr>
        <w:pStyle w:val="648"/>
        <w:jc w:val="center"/>
        <w:spacing w:beforeAutospacing="0" w:afterAutospacing="0" w:line="0" w:lineRule="atLeast"/>
        <w:rPr>
          <w:highlight w:val="none"/>
        </w:rPr>
      </w:pPr>
      <w:r>
        <w:rPr>
          <w:highlight w:val="none"/>
        </w:rPr>
      </w:r>
      <w:r/>
    </w:p>
    <w:p>
      <w:pPr>
        <w:pStyle w:val="648"/>
        <w:jc w:val="center"/>
        <w:spacing w:beforeAutospacing="0" w:afterAutospacing="0" w:line="0" w:lineRule="atLeast"/>
        <w:rPr>
          <w:highlight w:val="none"/>
        </w:rPr>
      </w:pPr>
      <w:r>
        <w:rPr>
          <w:highlight w:val="none"/>
        </w:rPr>
      </w:r>
      <w:r/>
    </w:p>
    <w:p>
      <w:pPr>
        <w:pStyle w:val="648"/>
        <w:jc w:val="center"/>
        <w:spacing w:beforeAutospacing="0" w:afterAutospacing="0" w:line="0" w:lineRule="atLeast"/>
        <w:rPr>
          <w:highlight w:val="none"/>
        </w:rPr>
      </w:pPr>
      <w:r>
        <w:rPr>
          <w:highlight w:val="none"/>
        </w:rPr>
      </w:r>
      <w:r/>
    </w:p>
    <w:p>
      <w:pPr>
        <w:pStyle w:val="648"/>
        <w:jc w:val="center"/>
        <w:spacing w:beforeAutospacing="0" w:afterAutospacing="0" w:line="0" w:lineRule="atLeast"/>
        <w:rPr>
          <w:highlight w:val="none"/>
        </w:rPr>
      </w:pPr>
      <w:r>
        <w:rPr>
          <w:highlight w:val="none"/>
        </w:rPr>
      </w:r>
      <w:r/>
    </w:p>
    <w:p>
      <w:pPr>
        <w:pStyle w:val="648"/>
        <w:jc w:val="center"/>
        <w:spacing w:beforeAutospacing="0" w:afterAutospacing="0" w:line="0" w:lineRule="atLeast"/>
        <w:rPr>
          <w:highlight w:val="none"/>
        </w:rPr>
      </w:pPr>
      <w:r>
        <w:rPr>
          <w:highlight w:val="none"/>
        </w:rPr>
      </w:r>
      <w:r/>
    </w:p>
    <w:p>
      <w:pPr>
        <w:pStyle w:val="648"/>
        <w:jc w:val="center"/>
        <w:spacing w:beforeAutospacing="0" w:afterAutospacing="0" w:line="0" w:lineRule="atLeast"/>
        <w:rPr>
          <w:highlight w:val="none"/>
        </w:rPr>
      </w:pPr>
      <w:r>
        <w:rPr>
          <w:highlight w:val="none"/>
        </w:rPr>
      </w:r>
      <w:r/>
    </w:p>
    <w:p>
      <w:pPr>
        <w:pStyle w:val="648"/>
        <w:jc w:val="center"/>
        <w:spacing w:beforeAutospacing="0" w:afterAutospacing="0" w:line="0" w:lineRule="atLeast"/>
        <w:rPr>
          <w:highlight w:val="none"/>
        </w:rPr>
      </w:pPr>
      <w:r>
        <w:rPr>
          <w:highlight w:val="none"/>
        </w:rPr>
      </w:r>
      <w:r/>
    </w:p>
    <w:p>
      <w:pPr>
        <w:pStyle w:val="648"/>
        <w:jc w:val="center"/>
        <w:spacing w:beforeAutospacing="0" w:afterAutospacing="0" w:line="0" w:lineRule="atLeast"/>
        <w:rPr>
          <w:highlight w:val="none"/>
        </w:rPr>
      </w:pPr>
      <w:r>
        <w:rPr>
          <w:highlight w:val="none"/>
        </w:rPr>
      </w:r>
      <w:r/>
    </w:p>
    <w:p>
      <w:pPr>
        <w:pStyle w:val="648"/>
        <w:jc w:val="center"/>
        <w:spacing w:beforeAutospacing="0" w:afterAutospacing="0" w:line="0" w:lineRule="atLeast"/>
        <w:rPr>
          <w:highlight w:val="none"/>
        </w:rPr>
      </w:pPr>
      <w:r>
        <w:rPr>
          <w:highlight w:val="none"/>
        </w:rPr>
      </w:r>
      <w:r/>
    </w:p>
    <w:p>
      <w:pPr>
        <w:pStyle w:val="648"/>
        <w:jc w:val="center"/>
        <w:spacing w:beforeAutospacing="0" w:afterAutospacing="0" w:line="0" w:lineRule="atLeast"/>
        <w:rPr>
          <w:highlight w:val="none"/>
        </w:rPr>
      </w:pPr>
      <w:r>
        <w:rPr>
          <w:highlight w:val="none"/>
        </w:rPr>
      </w:r>
      <w:r/>
    </w:p>
    <w:p>
      <w:pPr>
        <w:pStyle w:val="648"/>
        <w:jc w:val="center"/>
        <w:spacing w:beforeAutospacing="0" w:afterAutospacing="0" w:line="0" w:lineRule="atLeast"/>
        <w:rPr>
          <w:highlight w:val="none"/>
        </w:rPr>
      </w:pPr>
      <w:r>
        <w:rPr>
          <w:highlight w:val="none"/>
        </w:rPr>
      </w:r>
      <w:r/>
    </w:p>
    <w:p>
      <w:pPr>
        <w:pStyle w:val="648"/>
        <w:jc w:val="center"/>
        <w:spacing w:beforeAutospacing="0" w:afterAutospacing="0" w:line="0" w:lineRule="atLeast"/>
        <w:rPr>
          <w:highlight w:val="none"/>
        </w:rPr>
      </w:pPr>
      <w:r>
        <w:rPr>
          <w:highlight w:val="none"/>
        </w:rPr>
      </w:r>
      <w:r/>
    </w:p>
    <w:p>
      <w:pPr>
        <w:pStyle w:val="648"/>
        <w:jc w:val="center"/>
        <w:spacing w:beforeAutospacing="0" w:afterAutospacing="0" w:line="0" w:lineRule="atLeast"/>
        <w:rPr>
          <w:highlight w:val="none"/>
        </w:rPr>
      </w:pPr>
      <w:r>
        <w:rPr>
          <w:highlight w:val="none"/>
        </w:rPr>
      </w:r>
      <w:r/>
    </w:p>
    <w:p>
      <w:pPr>
        <w:pStyle w:val="648"/>
        <w:jc w:val="center"/>
        <w:spacing w:beforeAutospacing="0" w:afterAutospacing="0" w:line="0" w:lineRule="atLeast"/>
        <w:rPr>
          <w:highlight w:val="none"/>
        </w:rPr>
      </w:pPr>
      <w:r>
        <w:rPr>
          <w:highlight w:val="none"/>
        </w:rPr>
      </w:r>
      <w:r/>
    </w:p>
    <w:p>
      <w:pPr>
        <w:pStyle w:val="648"/>
        <w:jc w:val="center"/>
        <w:spacing w:beforeAutospacing="0" w:afterAutospacing="0" w:line="0" w:lineRule="atLeast"/>
        <w:rPr>
          <w:highlight w:val="none"/>
        </w:rPr>
      </w:pPr>
      <w:r>
        <w:rPr>
          <w:highlight w:val="none"/>
        </w:rPr>
      </w:r>
      <w:r/>
    </w:p>
    <w:p>
      <w:pPr>
        <w:pStyle w:val="648"/>
        <w:jc w:val="center"/>
        <w:spacing w:beforeAutospacing="0" w:afterAutospacing="0" w:line="0" w:lineRule="atLeast"/>
        <w:rPr>
          <w:highlight w:val="none"/>
        </w:rPr>
      </w:pPr>
      <w:r>
        <w:rPr>
          <w:highlight w:val="none"/>
        </w:rPr>
      </w:r>
      <w:r/>
    </w:p>
    <w:p>
      <w:pPr>
        <w:pStyle w:val="648"/>
        <w:jc w:val="center"/>
        <w:spacing w:beforeAutospacing="0" w:afterAutospacing="0" w:line="0" w:lineRule="atLeast"/>
        <w:rPr>
          <w:highlight w:val="none"/>
        </w:rPr>
      </w:pPr>
      <w:r>
        <w:rPr>
          <w:highlight w:val="none"/>
        </w:rPr>
        <w:t xml:space="preserve"> </w:t>
      </w:r>
      <w:r/>
    </w:p>
    <w:p>
      <w:pPr>
        <w:pStyle w:val="648"/>
        <w:jc w:val="center"/>
        <w:spacing w:beforeAutospacing="0" w:afterAutospacing="0" w:line="0" w:lineRule="atLeast"/>
        <w:rPr>
          <w:highlight w:val="none"/>
        </w:rPr>
      </w:pPr>
      <w:r>
        <w:rPr>
          <w:highlight w:val="none"/>
        </w:rPr>
        <w:t xml:space="preserve"> </w:t>
      </w:r>
      <w:r/>
    </w:p>
    <w:p>
      <w:pPr>
        <w:pStyle w:val="648"/>
        <w:jc w:val="center"/>
        <w:spacing w:beforeAutospacing="0" w:afterAutospacing="0" w:line="0" w:lineRule="atLeast"/>
        <w:rPr>
          <w:highlight w:val="none"/>
        </w:rPr>
      </w:pPr>
      <w:r>
        <w:rPr>
          <w:highlight w:val="none"/>
        </w:rPr>
        <w:t xml:space="preserve"> </w:t>
      </w:r>
      <w:r/>
    </w:p>
    <w:p>
      <w:pPr>
        <w:pStyle w:val="648"/>
        <w:jc w:val="center"/>
        <w:spacing w:beforeAutospacing="0" w:afterAutospacing="0" w:line="0" w:lineRule="atLeast"/>
        <w:rPr>
          <w:highlight w:val="none"/>
        </w:rPr>
      </w:pPr>
      <w:r>
        <w:rPr>
          <w:highlight w:val="none"/>
        </w:rPr>
        <w:t xml:space="preserve"> </w:t>
      </w:r>
      <w:r/>
    </w:p>
    <w:p>
      <w:pPr>
        <w:pStyle w:val="648"/>
        <w:jc w:val="center"/>
        <w:spacing w:beforeAutospacing="0" w:afterAutospacing="0" w:line="0" w:lineRule="atLeast"/>
        <w:rPr>
          <w:highlight w:val="none"/>
        </w:rPr>
      </w:pPr>
      <w:r>
        <w:rPr>
          <w:rFonts w:hint="eastAsia" w:ascii="黑体" w:hAnsi="宋体" w:eastAsia="黑体" w:cs="黑体"/>
          <w:b/>
          <w:color w:val="000000"/>
          <w:sz w:val="32"/>
          <w:szCs w:val="32"/>
          <w:highlight w:val="none"/>
        </w:rPr>
        <w:t xml:space="preserve">十一、联合体协议（参考格式）（分包号：**）</w:t>
      </w:r>
      <w:r/>
    </w:p>
    <w:p>
      <w:pPr>
        <w:pStyle w:val="648"/>
        <w:jc w:val="both"/>
        <w:spacing w:beforeAutospacing="0" w:afterAutospacing="0" w:line="0" w:lineRule="atLeast"/>
        <w:rPr>
          <w:highlight w:val="none"/>
        </w:rPr>
      </w:pPr>
      <w:r>
        <w:rPr>
          <w:rFonts w:hint="eastAsia" w:ascii="宋体" w:hAnsi="宋体" w:eastAsia="宋体" w:cs="宋体"/>
          <w:color w:val="000000"/>
          <w:highlight w:val="none"/>
        </w:rPr>
        <w:t xml:space="preserve">（联合体中各供应商全称）在此达成以下协议：</w:t>
      </w:r>
      <w:r/>
    </w:p>
    <w:p>
      <w:pPr>
        <w:pStyle w:val="648"/>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1、我们</w:t>
      </w:r>
      <w:r>
        <w:rPr>
          <w:rFonts w:hint="eastAsia" w:ascii="宋体" w:hAnsi="宋体" w:eastAsia="宋体" w:cs="宋体"/>
          <w:color w:val="000000"/>
          <w:highlight w:val="none"/>
          <w:u w:val="single"/>
        </w:rPr>
        <w:t xml:space="preserve"> （供应商1），（供应商2） ，……</w:t>
      </w:r>
      <w:r>
        <w:rPr>
          <w:rFonts w:hint="eastAsia" w:ascii="宋体" w:hAnsi="宋体" w:eastAsia="宋体" w:cs="宋体"/>
          <w:color w:val="000000"/>
          <w:highlight w:val="none"/>
        </w:rPr>
        <w:t xml:space="preserve">自愿组成联合体，参加盐城市政府采购中心组织的采购编号为</w:t>
      </w:r>
      <w:r>
        <w:rPr>
          <w:rFonts w:hint="eastAsia" w:ascii="宋体" w:hAnsi="宋体" w:eastAsia="宋体" w:cs="宋体"/>
          <w:color w:val="000000"/>
          <w:highlight w:val="none"/>
          <w:u w:val="single"/>
        </w:rPr>
        <w:t xml:space="preserve">（编号全称），（项目全称）</w:t>
      </w:r>
      <w:r>
        <w:rPr>
          <w:rFonts w:hint="eastAsia" w:ascii="宋体" w:hAnsi="宋体" w:eastAsia="宋体" w:cs="宋体"/>
          <w:color w:val="000000"/>
          <w:highlight w:val="none"/>
        </w:rPr>
        <w:t xml:space="preserve">项目（分包号：**）的政府采购活动，我联合体指定</w:t>
      </w:r>
      <w:r>
        <w:rPr>
          <w:rFonts w:hint="eastAsia" w:ascii="宋体" w:hAnsi="宋体" w:eastAsia="宋体" w:cs="宋体"/>
          <w:color w:val="000000"/>
          <w:highlight w:val="none"/>
          <w:u w:val="single"/>
        </w:rPr>
        <w:t xml:space="preserve">（供应商*）</w:t>
      </w:r>
      <w:r>
        <w:rPr>
          <w:rFonts w:hint="eastAsia" w:ascii="宋体" w:hAnsi="宋体" w:eastAsia="宋体" w:cs="宋体"/>
          <w:color w:val="000000"/>
          <w:highlight w:val="none"/>
        </w:rPr>
        <w:t xml:space="preserve">为牵头单位（牵头单位必须为联合体成员）。</w:t>
      </w:r>
      <w:r/>
    </w:p>
    <w:p>
      <w:pPr>
        <w:pStyle w:val="648"/>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648"/>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3、其中</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（小型、微型企业/残疾人福利性单位/监狱企业全称）为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648"/>
        <w:ind w:firstLine="645"/>
        <w:jc w:val="both"/>
        <w:spacing w:beforeAutospacing="0" w:afterAutospacing="0" w:line="0" w:lineRule="atLeast"/>
        <w:rPr>
          <w:highlight w:val="none"/>
        </w:rPr>
      </w:pPr>
      <w:r>
        <w:rPr>
          <w:highlight w:val="none"/>
        </w:rPr>
        <w:t xml:space="preserve"> </w:t>
      </w:r>
      <w:r/>
    </w:p>
    <w:p>
      <w:pPr>
        <w:pStyle w:val="648"/>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备注：本招标文件中要求加盖CA电子签章的地方，仅需加盖牵头单位的CA电子签章。</w:t>
      </w:r>
      <w:r/>
    </w:p>
    <w:p>
      <w:pPr>
        <w:pStyle w:val="648"/>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                               </w:t>
      </w:r>
      <w:r/>
    </w:p>
    <w:p>
      <w:pPr>
        <w:pStyle w:val="648"/>
        <w:ind w:firstLine="645"/>
        <w:jc w:val="right"/>
        <w:spacing w:beforeAutospacing="0" w:afterAutospacing="0" w:line="0" w:lineRule="atLeast"/>
        <w:rPr>
          <w:highlight w:val="none"/>
        </w:rPr>
      </w:pPr>
      <w:r>
        <w:rPr>
          <w:rFonts w:hint="eastAsia" w:ascii="宋体" w:hAnsi="宋体" w:eastAsia="宋体" w:cs="宋体"/>
          <w:color w:val="000000"/>
          <w:highlight w:val="none"/>
        </w:rPr>
        <w:t xml:space="preserve">联合体中各供应商全称（公章）：     </w:t>
      </w:r>
      <w:r/>
    </w:p>
    <w:p>
      <w:pPr>
        <w:pStyle w:val="648"/>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                                                          日期：</w:t>
      </w:r>
      <w:r/>
    </w:p>
    <w:p>
      <w:pPr>
        <w:pStyle w:val="648"/>
        <w:ind w:firstLine="645"/>
        <w:jc w:val="both"/>
        <w:spacing w:beforeAutospacing="0" w:afterAutospacing="0" w:line="0" w:lineRule="atLeast"/>
        <w:rPr>
          <w:highlight w:val="none"/>
        </w:rPr>
      </w:pPr>
      <w:r>
        <w:rPr>
          <w:highlight w:val="none"/>
        </w:rPr>
        <w:t xml:space="preserve"> </w:t>
      </w:r>
      <w:r/>
    </w:p>
    <w:p>
      <w:pPr>
        <w:pStyle w:val="648"/>
        <w:jc w:val="both"/>
        <w:spacing w:beforeAutospacing="0" w:afterAutospacing="0" w:line="0" w:lineRule="atLeast"/>
        <w:rPr>
          <w:highlight w:val="none"/>
        </w:rPr>
      </w:pPr>
      <w:r>
        <w:rPr>
          <w:highlight w:val="none"/>
        </w:rPr>
        <w:t xml:space="preserve"> </w:t>
      </w:r>
      <w:r/>
    </w:p>
    <w:p>
      <w:pPr>
        <w:pStyle w:val="648"/>
        <w:jc w:val="both"/>
        <w:spacing w:beforeAutospacing="0" w:afterAutospacing="0" w:line="0" w:lineRule="atLeast"/>
        <w:rPr>
          <w:highlight w:val="none"/>
        </w:rPr>
      </w:pPr>
      <w:r>
        <w:rPr>
          <w:highlight w:val="none"/>
        </w:rPr>
        <w:t xml:space="preserve"> </w:t>
      </w:r>
      <w:r/>
    </w:p>
    <w:p>
      <w:pPr>
        <w:pStyle w:val="648"/>
        <w:jc w:val="both"/>
        <w:spacing w:beforeAutospacing="0" w:afterAutospacing="0" w:line="0" w:lineRule="atLeast"/>
        <w:rPr>
          <w:highlight w:val="none"/>
        </w:rPr>
      </w:pPr>
      <w:r>
        <w:rPr>
          <w:highlight w:val="none"/>
        </w:rPr>
        <w:t xml:space="preserve"> </w:t>
      </w:r>
      <w:r/>
    </w:p>
    <w:p>
      <w:pPr>
        <w:pStyle w:val="648"/>
        <w:jc w:val="both"/>
        <w:spacing w:beforeAutospacing="0" w:afterAutospacing="0" w:line="0" w:lineRule="atLeast"/>
        <w:rPr>
          <w:highlight w:val="none"/>
        </w:rPr>
      </w:pPr>
      <w:r>
        <w:rPr>
          <w:highlight w:val="none"/>
        </w:rPr>
        <w:t xml:space="preserve"> </w:t>
      </w:r>
      <w:r/>
    </w:p>
    <w:p>
      <w:pPr>
        <w:pStyle w:val="648"/>
        <w:jc w:val="both"/>
        <w:spacing w:beforeAutospacing="0" w:afterAutospacing="0" w:line="0" w:lineRule="atLeast"/>
        <w:rPr>
          <w:highlight w:val="none"/>
        </w:rPr>
      </w:pPr>
      <w:r>
        <w:rPr>
          <w:highlight w:val="none"/>
        </w:rPr>
        <w:t xml:space="preserve"> </w:t>
      </w:r>
      <w:r/>
    </w:p>
    <w:p>
      <w:pPr>
        <w:pStyle w:val="648"/>
        <w:jc w:val="both"/>
        <w:spacing w:beforeAutospacing="0" w:afterAutospacing="0" w:line="0" w:lineRule="atLeast"/>
        <w:rPr>
          <w:highlight w:val="none"/>
        </w:rPr>
      </w:pPr>
      <w:r>
        <w:rPr>
          <w:highlight w:val="none"/>
        </w:rPr>
      </w:r>
      <w:r/>
    </w:p>
    <w:p>
      <w:pPr>
        <w:pStyle w:val="648"/>
        <w:jc w:val="both"/>
        <w:spacing w:beforeAutospacing="0" w:afterAutospacing="0" w:line="0" w:lineRule="atLeast"/>
        <w:rPr>
          <w:highlight w:val="none"/>
        </w:rPr>
      </w:pPr>
      <w:r>
        <w:rPr>
          <w:highlight w:val="none"/>
        </w:rPr>
      </w:r>
      <w:r/>
    </w:p>
    <w:p>
      <w:pPr>
        <w:pStyle w:val="648"/>
        <w:jc w:val="both"/>
        <w:spacing w:beforeAutospacing="0" w:afterAutospacing="0" w:line="0" w:lineRule="atLeast"/>
        <w:rPr>
          <w:highlight w:val="none"/>
        </w:rPr>
      </w:pPr>
      <w:r>
        <w:rPr>
          <w:highlight w:val="none"/>
        </w:rPr>
      </w:r>
      <w:r/>
    </w:p>
    <w:p>
      <w:pPr>
        <w:pStyle w:val="648"/>
        <w:jc w:val="both"/>
        <w:spacing w:beforeAutospacing="0" w:afterAutospacing="0" w:line="0" w:lineRule="atLeast"/>
        <w:rPr>
          <w:highlight w:val="none"/>
        </w:rPr>
      </w:pPr>
      <w:r>
        <w:rPr>
          <w:highlight w:val="none"/>
        </w:rPr>
      </w:r>
      <w:r/>
    </w:p>
    <w:p>
      <w:pPr>
        <w:pStyle w:val="648"/>
        <w:jc w:val="both"/>
        <w:spacing w:beforeAutospacing="0" w:afterAutospacing="0" w:line="0" w:lineRule="atLeast"/>
        <w:rPr>
          <w:highlight w:val="none"/>
        </w:rPr>
      </w:pPr>
      <w:r>
        <w:rPr>
          <w:highlight w:val="none"/>
        </w:rPr>
      </w:r>
      <w:r/>
    </w:p>
    <w:p>
      <w:pPr>
        <w:pStyle w:val="648"/>
        <w:jc w:val="both"/>
        <w:spacing w:beforeAutospacing="0" w:afterAutospacing="0" w:line="0" w:lineRule="atLeast"/>
        <w:rPr>
          <w:highlight w:val="none"/>
        </w:rPr>
      </w:pPr>
      <w:r>
        <w:rPr>
          <w:highlight w:val="none"/>
        </w:rPr>
      </w:r>
      <w:r/>
    </w:p>
    <w:p>
      <w:pPr>
        <w:pStyle w:val="648"/>
        <w:jc w:val="both"/>
        <w:spacing w:beforeAutospacing="0" w:afterAutospacing="0" w:line="0" w:lineRule="atLeast"/>
        <w:rPr>
          <w:highlight w:val="none"/>
        </w:rPr>
      </w:pPr>
      <w:r>
        <w:rPr>
          <w:highlight w:val="none"/>
        </w:rPr>
      </w:r>
      <w:r/>
    </w:p>
    <w:p>
      <w:pPr>
        <w:pStyle w:val="648"/>
        <w:jc w:val="both"/>
        <w:spacing w:beforeAutospacing="0" w:afterAutospacing="0" w:line="0" w:lineRule="atLeast"/>
        <w:rPr>
          <w:highlight w:val="none"/>
        </w:rPr>
      </w:pPr>
      <w:r>
        <w:rPr>
          <w:highlight w:val="none"/>
        </w:rPr>
      </w:r>
      <w:r/>
    </w:p>
    <w:p>
      <w:pPr>
        <w:pStyle w:val="648"/>
        <w:jc w:val="both"/>
        <w:spacing w:beforeAutospacing="0" w:afterAutospacing="0" w:line="0" w:lineRule="atLeast"/>
        <w:rPr>
          <w:highlight w:val="none"/>
        </w:rPr>
      </w:pPr>
      <w:r>
        <w:rPr>
          <w:highlight w:val="none"/>
        </w:rPr>
      </w:r>
      <w:r/>
    </w:p>
    <w:p>
      <w:pPr>
        <w:pStyle w:val="648"/>
        <w:jc w:val="both"/>
        <w:spacing w:beforeAutospacing="0" w:afterAutospacing="0" w:line="0" w:lineRule="atLeast"/>
        <w:rPr>
          <w:highlight w:val="none"/>
        </w:rPr>
      </w:pPr>
      <w:r>
        <w:rPr>
          <w:highlight w:val="none"/>
        </w:rPr>
      </w:r>
      <w:r/>
    </w:p>
    <w:p>
      <w:pPr>
        <w:pStyle w:val="648"/>
        <w:jc w:val="both"/>
        <w:spacing w:beforeAutospacing="0" w:afterAutospacing="0" w:line="0" w:lineRule="atLeast"/>
        <w:rPr>
          <w:highlight w:val="none"/>
        </w:rPr>
      </w:pPr>
      <w:r>
        <w:rPr>
          <w:highlight w:val="none"/>
        </w:rPr>
      </w:r>
      <w:r/>
    </w:p>
    <w:p>
      <w:pPr>
        <w:pStyle w:val="648"/>
        <w:jc w:val="both"/>
        <w:spacing w:beforeAutospacing="0" w:afterAutospacing="0" w:line="0" w:lineRule="atLeast"/>
        <w:rPr>
          <w:highlight w:val="none"/>
        </w:rPr>
      </w:pPr>
      <w:r>
        <w:rPr>
          <w:highlight w:val="none"/>
        </w:rPr>
      </w:r>
      <w:r/>
    </w:p>
    <w:p>
      <w:pPr>
        <w:pStyle w:val="648"/>
        <w:jc w:val="both"/>
        <w:spacing w:beforeAutospacing="0" w:afterAutospacing="0" w:line="0" w:lineRule="atLeast"/>
        <w:rPr>
          <w:highlight w:val="none"/>
        </w:rPr>
      </w:pPr>
      <w:r>
        <w:rPr>
          <w:highlight w:val="none"/>
        </w:rPr>
      </w:r>
      <w:r/>
    </w:p>
    <w:p>
      <w:pPr>
        <w:pStyle w:val="648"/>
        <w:jc w:val="both"/>
        <w:spacing w:beforeAutospacing="0" w:afterAutospacing="0" w:line="0" w:lineRule="atLeast"/>
        <w:rPr>
          <w:highlight w:val="none"/>
        </w:rPr>
      </w:pPr>
      <w:r>
        <w:rPr>
          <w:highlight w:val="none"/>
        </w:rPr>
      </w:r>
      <w:r/>
    </w:p>
    <w:p>
      <w:pPr>
        <w:pStyle w:val="648"/>
        <w:jc w:val="both"/>
        <w:spacing w:beforeAutospacing="0" w:afterAutospacing="0" w:line="0" w:lineRule="atLeast"/>
        <w:rPr>
          <w:highlight w:val="none"/>
        </w:rPr>
      </w:pPr>
      <w:r>
        <w:rPr>
          <w:highlight w:val="none"/>
        </w:rPr>
      </w:r>
      <w:r/>
    </w:p>
    <w:p>
      <w:pPr>
        <w:pStyle w:val="648"/>
        <w:jc w:val="both"/>
        <w:spacing w:beforeAutospacing="0" w:afterAutospacing="0" w:line="0" w:lineRule="atLeast"/>
        <w:rPr>
          <w:highlight w:val="none"/>
        </w:rPr>
      </w:pPr>
      <w:r>
        <w:rPr>
          <w:highlight w:val="none"/>
        </w:rPr>
      </w:r>
      <w:r/>
    </w:p>
    <w:p>
      <w:pPr>
        <w:pStyle w:val="648"/>
        <w:jc w:val="both"/>
        <w:spacing w:beforeAutospacing="0" w:afterAutospacing="0" w:line="0" w:lineRule="atLeast"/>
        <w:rPr>
          <w:highlight w:val="none"/>
        </w:rPr>
      </w:pPr>
      <w:r>
        <w:rPr>
          <w:highlight w:val="none"/>
        </w:rPr>
      </w:r>
      <w:r/>
    </w:p>
    <w:p>
      <w:pPr>
        <w:pStyle w:val="648"/>
        <w:jc w:val="both"/>
        <w:spacing w:beforeAutospacing="0" w:afterAutospacing="0" w:line="0" w:lineRule="atLeast"/>
        <w:rPr>
          <w:highlight w:val="none"/>
        </w:rPr>
      </w:pPr>
      <w:r>
        <w:rPr>
          <w:highlight w:val="none"/>
        </w:rPr>
        <w:t xml:space="preserve"> </w:t>
      </w:r>
      <w:r/>
    </w:p>
    <w:p>
      <w:pPr>
        <w:pStyle w:val="648"/>
        <w:jc w:val="both"/>
        <w:spacing w:beforeAutospacing="0" w:afterAutospacing="0"/>
        <w:rPr>
          <w:highlight w:val="none"/>
        </w:rPr>
      </w:pPr>
      <w:r>
        <w:rPr>
          <w:highlight w:val="none"/>
        </w:rPr>
        <w:t xml:space="preserve"> </w:t>
      </w:r>
      <w:r/>
    </w:p>
    <w:p>
      <w:pPr>
        <w:pStyle w:val="648"/>
        <w:numPr>
          <w:ilvl w:val="0"/>
          <w:numId w:val="3"/>
        </w:numPr>
        <w:jc w:val="center"/>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t xml:space="preserve">投标分项报价表（分包号：**）</w:t>
      </w:r>
      <w:r/>
    </w:p>
    <w:p>
      <w:pPr>
        <w:pStyle w:val="648"/>
        <w:numPr>
          <w:ilvl w:val="0"/>
          <w:numId w:val="0"/>
        </w:numPr>
        <w:jc w:val="center"/>
        <w:spacing w:beforeAutospacing="0" w:afterAutospacing="0"/>
        <w:widowControl w:val="off"/>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tbl>
      <w:tblPr>
        <w:tblStyle w:val="643"/>
        <w:tblW w:w="847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53"/>
        <w:gridCol w:w="842"/>
        <w:gridCol w:w="950"/>
        <w:gridCol w:w="2806"/>
        <w:gridCol w:w="616"/>
        <w:gridCol w:w="521"/>
        <w:gridCol w:w="1043"/>
        <w:gridCol w:w="1044"/>
      </w:tblGrid>
      <w:tr>
        <w:trPr>
          <w:trHeight w:val="87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合价（元）</w:t>
            </w:r>
            <w:r/>
          </w:p>
        </w:tc>
      </w:tr>
      <w:tr>
        <w:trPr>
          <w:trHeight w:val="4700"/>
        </w:trPr>
        <w:tc>
          <w:tcPr>
            <w:shd w:val="clear" w:color="auto" w:fill="auto"/>
            <w:tcBorders>
              <w:top w:val="single" w:color="000000" w:sz="4" w:space="0"/>
              <w:left w:val="single" w:color="000000" w:sz="4" w:space="0"/>
              <w:bottom w:val="none" w:color="000000" w:sz="4" w:space="0"/>
              <w:right w:val="single" w:color="000000" w:sz="4" w:space="0"/>
            </w:tcBorders>
            <w:tcW w:w="66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采购包1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种植业</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1、蔬菜、水果类</w:t>
            </w:r>
            <w:r/>
          </w:p>
        </w:tc>
        <w:tc>
          <w:tcPr>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甲胺磷、对硫磷、甲基对硫磷、六六六、甲拌磷（包括甲拌磷砜和甲拌磷亚砜）、水胺硫磷、甲基异柳磷、灭线磷；氧乐果、克百威（包括3-羟基克百威）、涕灭威（包括涕灭威砜和涕灭威亚砜）、毒死蜱、三唑磷、乐果、乙酰甲胺磷、灭多威、内吸磷、硫环磷、氯唑磷；敌</w:t>
            </w:r>
            <w:r>
              <w:rPr>
                <w:rFonts w:hint="eastAsia" w:ascii="宋体" w:hAnsi="宋体" w:eastAsia="宋体" w:cs="宋体"/>
                <w:i w:val="0"/>
                <w:iCs w:val="0"/>
                <w:color w:val="000000"/>
                <w:sz w:val="20"/>
                <w:szCs w:val="20"/>
                <w:u w:val="none"/>
                <w:lang w:val="en-US" w:eastAsia="zh-CN" w:bidi="ar"/>
              </w:rPr>
              <w:t xml:space="preserve">敌畏、丙溴磷、辛硫磷、氰戊菊酯、甲氰菊酯、溴氰菊酯、联苯菊酯、三唑酮、异菌脲、腐霉利、多菌灵、吡虫啉、倍硫磷、敌百虫、三氯杀螨醇；氯氰菊酯、氯氟氰菊酯、氟氯氰菊酯、百菌清、五氯硝基苯、氟虫腈（包括氟甲腈、氟虫腈硫醚、氟虫腈砜）；啶虫脒、哒螨灵、苯醚甲环唑、嘧霉胺、甲氨基阿维菌素苯甲酸盐、烯酰吗啉、咪鲜胺、嘧菌酯、二甲戊灵、噻虫嗪、氟啶脲、灭幼脲、甲霜灵、霜霉威、多效唑、氯吡脲、氯虫苯甲酰胺、戊唑醇、虫酰肼、吡唑醚菌酯、除虫脲、抑霉唑、丙环唑、虫螨腈、灭蝇胺、阿维菌素、丁硫克百威、乙基多杀菌素、多杀霉素、噻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restart"/>
            <w:textDirection w:val="lrTb"/>
            <w:noWrap w:val="false"/>
          </w:tcPr>
          <w:p>
            <w:pPr>
              <w:jc w:val="center"/>
              <w:keepLines w:val="0"/>
              <w:keepNext w:val="0"/>
              <w:widowControl/>
              <w:rPr>
                <w:rFonts w:ascii="Calibri" w:hAnsi="Calibri" w:eastAsia="宋体" w:cs="Calibri"/>
                <w:i w:val="0"/>
                <w:iCs w:val="0"/>
                <w:color w:val="000000"/>
                <w:sz w:val="20"/>
                <w:szCs w:val="20"/>
                <w:u w:val="none"/>
              </w:rPr>
              <w:suppressLineNumbers w:val="0"/>
            </w:pPr>
            <w:r>
              <w:rPr>
                <w:rFonts w:hint="default" w:ascii="Calibri" w:hAnsi="Calibri" w:eastAsia="宋体" w:cs="Calibri"/>
                <w:i w:val="0"/>
                <w:iCs w:val="0"/>
                <w:color w:val="000000"/>
                <w:sz w:val="20"/>
                <w:szCs w:val="20"/>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restart"/>
            <w:textDirection w:val="lrTb"/>
            <w:noWrap w:val="false"/>
          </w:tcPr>
          <w:p>
            <w:pPr>
              <w:jc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restart"/>
            <w:textDirection w:val="lrTb"/>
            <w:noWrap w:val="false"/>
          </w:tcPr>
          <w:p>
            <w:pPr>
              <w:jc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sz w:val="20"/>
                <w:szCs w:val="20"/>
                <w:u w:val="none"/>
              </w:rPr>
            </w:r>
            <w:r/>
          </w:p>
        </w:tc>
      </w:tr>
      <w:tr>
        <w:trPr>
          <w:trHeight w:val="2260"/>
        </w:trPr>
        <w:tc>
          <w:tcPr>
            <w:shd w:val="clear" w:color="auto" w:fill="auto"/>
            <w:tcBorders>
              <w:top w:val="single" w:color="000000" w:sz="4" w:space="0"/>
              <w:left w:val="single" w:color="000000" w:sz="4" w:space="0"/>
              <w:bottom w:val="none" w:color="000000" w:sz="4" w:space="0"/>
              <w:right w:val="single" w:color="000000"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2、稻谷</w:t>
            </w:r>
            <w:r/>
          </w:p>
        </w:tc>
        <w:tc>
          <w:tcPr>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禁用农药（2个）：甲胺磷、氟虫腈；常规农药（31个）：三唑磷、毒死蜱、克百威、稻瘟灵、氯虫苯甲酰胺、苯醚甲环唑、吡蚜酮、嘧菌酯、丙环唑、戊唑醇、吡虫啉、噻虫嗪、多菌灵、啶虫脒、噻虫胺、仲丁威、咪鲜胺、水胺硫磷、噻嗪酮、烯啶虫胺、异丙威、三唑酮、乐果、三环唑、肟菌酯、辛硫磷、杀螟丹、茚虫威、稻瘟酰胺、吡唑醚菌酯、噻呋酰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sz w:val="20"/>
                <w:szCs w:val="20"/>
                <w:u w:val="none"/>
              </w:rPr>
            </w:r>
            <w:r/>
          </w:p>
        </w:tc>
      </w:tr>
      <w:tr>
        <w:trPr>
          <w:trHeight w:val="2160"/>
        </w:trPr>
        <w:tc>
          <w:tcPr>
            <w:shd w:val="clear" w:color="auto" w:fill="auto"/>
            <w:tcBorders>
              <w:top w:val="single" w:color="000000" w:sz="4" w:space="0"/>
              <w:left w:val="single" w:color="000000" w:sz="4" w:space="0"/>
              <w:bottom w:val="none" w:color="000000" w:sz="4" w:space="0"/>
              <w:right w:val="single" w:color="000000"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3、小麦</w:t>
            </w:r>
            <w:r/>
          </w:p>
        </w:tc>
        <w:tc>
          <w:tcPr>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禁用农药（2个）：甲胺磷、氟虫腈；常规农药（27个）： 毒死蜱、克百威、苯醚甲环唑、吡蚜酮、嘧菌酯、丙环唑、戊唑醇、吡虫啉、噻虫嗪、多菌灵、啶虫脒、噻虫胺、咪鲜胺、异丙威、三唑酮、乐果、肟菌酯、辛硫磷、氰戊菊酯、氰烯菌酯、丙硫菌唑、吡唑醚菌酯、噻呋酰胺、氟唑菌酰羟胺、氯虫苯甲酰胺、噻嗪酮、烯啶虫胺、三环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sz w:val="20"/>
                <w:szCs w:val="20"/>
                <w:u w:val="none"/>
              </w:rPr>
            </w:r>
            <w:r/>
          </w:p>
        </w:tc>
      </w:tr>
      <w:tr>
        <w:trPr>
          <w:trHeight w:val="3280"/>
        </w:trPr>
        <w:tc>
          <w:tcPr>
            <w:shd w:val="clear" w:color="auto" w:fill="auto"/>
            <w:tcBorders>
              <w:top w:val="single" w:color="000000" w:sz="4" w:space="0"/>
              <w:left w:val="single" w:color="000000" w:sz="4" w:space="0"/>
              <w:bottom w:val="none" w:color="000000" w:sz="4" w:space="0"/>
              <w:right w:val="single" w:color="000000"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4" w:space="0"/>
              <w:bottom w:val="single" w:color="000000" w:sz="4" w:space="0"/>
              <w:right w:val="single" w:color="000000" w:sz="4" w:space="0"/>
            </w:tcBorders>
            <w:tcW w:w="85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畜禽类</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1、猪肉、猪肝、牛肉、羊肉</w:t>
            </w:r>
            <w:r/>
          </w:p>
        </w:tc>
        <w:tc>
          <w:tcPr>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β-受体激动剂类（克伦特罗、莱克多巴胺、沙丁胺醇、特布他林、西马特罗、非诺特罗、氯丙那林、妥布特罗、喷布特罗）、磺胺类（磺胺间甲氧嘧啶、磺胺二甲嘧啶、磺胺甲噁唑、磺胺（间）二甲氧嘧啶、磺胺喹噁啉），四环素类（金霉素、土霉素、四环素、多西环素）、糖皮质激素类（地塞米松、倍他米松）</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禽肉：酰胺醇类（氯霉素，氟苯尼考、氟苯尼考胺、甲砜霉素）、氟喹诺酮类（氧氟沙星、培氟沙星、诺氟沙星、洛美沙星，恩诺沙星、环丙沙星、沙拉沙星、达氟沙星）、抗菌增效剂（甲氧苄啶）、金刚烷胺</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restart"/>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restart"/>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620"/>
        </w:trPr>
        <w:tc>
          <w:tcPr>
            <w:shd w:val="clear" w:color="auto" w:fill="auto"/>
            <w:tcBorders>
              <w:top w:val="single" w:color="000000" w:sz="4" w:space="0"/>
              <w:left w:val="single" w:color="000000" w:sz="4" w:space="0"/>
              <w:bottom w:val="none" w:color="000000" w:sz="4" w:space="0"/>
              <w:right w:val="single" w:color="000000"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2、禽蛋</w:t>
            </w:r>
            <w:r/>
          </w:p>
        </w:tc>
        <w:tc>
          <w:tcPr>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酰胺醇类（氯霉素，氟苯尼考、氟苯尼考胺、甲砜霉素）、氟喹诺酮类（氧氟沙星、培氟沙星、诺氟沙星、洛美沙星、恩诺沙星、环丙沙星、沙拉沙星、达氟沙星）、金刚烷胺、四环素类（多西环素）</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860"/>
        </w:trPr>
        <w:tc>
          <w:tcPr>
            <w:shd w:val="clear" w:color="auto" w:fill="auto"/>
            <w:tcBorders>
              <w:top w:val="single" w:color="000000" w:sz="4" w:space="0"/>
              <w:left w:val="single" w:color="000000" w:sz="4" w:space="0"/>
              <w:bottom w:val="none" w:color="000000" w:sz="4" w:space="0"/>
              <w:right w:val="single" w:color="000000"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水产类</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水产</w:t>
            </w:r>
            <w:r/>
          </w:p>
        </w:tc>
        <w:tc>
          <w:tcPr>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氯霉素、酰胺醇类（甲砜霉素、氟苯尼考、氟苯尼考胺）、硝基呋喃类代谢物</w:t>
            </w:r>
            <w:r>
              <w:rPr>
                <w:rFonts w:hint="eastAsia" w:ascii="宋体" w:hAnsi="宋体" w:eastAsia="宋体" w:cs="宋体"/>
                <w:i w:val="0"/>
                <w:iCs w:val="0"/>
                <w:color w:val="000000"/>
                <w:sz w:val="20"/>
                <w:szCs w:val="20"/>
                <w:u w:val="none"/>
                <w:lang w:val="en-US" w:eastAsia="zh-CN" w:bidi="ar"/>
              </w:rPr>
              <w:t xml:space="preserve">（呋喃唑酮代谢物、呋喃它酮代谢物、呋喃西林代谢物、呋喃妥因代谢物）、孔雀石绿（包括有色孔雀石绿和无色孔雀石绿）、地西泮、磺胺类（磺胺嘧啶、磺胺二甲基嘧啶、磺胺甲基异噁唑、磺胺异噁唑、磺胺间二甲氧嘧啶、磺胺噻唑、磺胺甲基嘧啶、磺胺多辛、磺胺喹噁啉、磺胺间甲氧嘧啶、磺胺氯哒嗪和磺胺甲噻二唑）、四环素类（四环素、土霉素、金霉素、多西环素）、氟喹诺酮类（诺氟沙星、氧氟沙星、培氟沙星、洛美沙星）、氟喹诺酮类（恩诺沙星、环丙沙星）、抗菌增效剂（甲氧苄啶）。注：只有淡水鱼类检测地西泮，虾蟹类呋喃西林代谢物SEM 不作判定</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textDirection w:val="lrTb"/>
            <w:noWrap w:val="false"/>
          </w:tcPr>
          <w:p>
            <w:pPr>
              <w:jc w:val="center"/>
              <w:keepLines w:val="0"/>
              <w:keepNext w:val="0"/>
              <w:widowControl/>
              <w:rPr>
                <w:rFonts w:hint="default" w:ascii="Calibri" w:hAnsi="Calibri" w:eastAsia="宋体" w:cs="Calibri"/>
                <w:i w:val="0"/>
                <w:iCs w:val="0"/>
                <w:color w:val="000000"/>
                <w:sz w:val="20"/>
                <w:szCs w:val="20"/>
                <w:u w:val="none"/>
              </w:rPr>
              <w:suppressLineNumbers w:val="0"/>
            </w:pPr>
            <w:r>
              <w:rPr>
                <w:rFonts w:hint="default" w:ascii="Calibri" w:hAnsi="Calibri" w:eastAsia="宋体" w:cs="Calibri"/>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sz w:val="20"/>
                <w:szCs w:val="20"/>
                <w:u w:val="none"/>
              </w:rPr>
            </w:r>
            <w:r/>
          </w:p>
        </w:tc>
      </w:tr>
      <w:tr>
        <w:trPr>
          <w:trHeight w:val="1279"/>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6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textDirection w:val="lrTb"/>
            <w:noWrap w:val="false"/>
          </w:tcPr>
          <w:p>
            <w:pPr>
              <w:jc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sz w:val="20"/>
                <w:szCs w:val="20"/>
                <w:u w:val="none"/>
              </w:rPr>
            </w:r>
            <w:r/>
          </w:p>
        </w:tc>
      </w:tr>
    </w:tbl>
    <w:p>
      <w:pPr>
        <w:pStyle w:val="648"/>
        <w:numPr>
          <w:ilvl w:val="0"/>
          <w:numId w:val="0"/>
        </w:numPr>
        <w:jc w:val="left"/>
        <w:spacing w:beforeAutospacing="0" w:afterAutospacing="0"/>
        <w:widowControl w:val="off"/>
        <w:rPr>
          <w:rFonts w:hint="eastAsia" w:ascii="黑体" w:hAnsi="宋体" w:eastAsia="黑体" w:cs="黑体"/>
          <w:b/>
          <w:color w:val="000000"/>
          <w:sz w:val="21"/>
          <w:szCs w:val="21"/>
          <w:highlight w:val="none"/>
        </w:rPr>
      </w:pPr>
      <w:r>
        <w:rPr>
          <w:rFonts w:hint="eastAsia" w:ascii="黑体" w:hAnsi="宋体" w:eastAsia="黑体" w:cs="黑体"/>
          <w:b/>
          <w:color w:val="000000"/>
          <w:sz w:val="21"/>
          <w:szCs w:val="21"/>
          <w:highlight w:val="none"/>
        </w:rPr>
      </w:r>
      <w:r/>
    </w:p>
    <w:p>
      <w:pPr>
        <w:pStyle w:val="648"/>
        <w:numPr>
          <w:ilvl w:val="0"/>
          <w:numId w:val="0"/>
        </w:numPr>
        <w:jc w:val="left"/>
        <w:spacing w:beforeAutospacing="0" w:afterAutospacing="0"/>
        <w:widowControl w:val="off"/>
        <w:rPr>
          <w:rFonts w:hint="eastAsia" w:ascii="黑体" w:hAnsi="宋体" w:eastAsia="黑体" w:cs="黑体"/>
          <w:b/>
          <w:color w:val="000000"/>
          <w:sz w:val="21"/>
          <w:szCs w:val="21"/>
          <w:highlight w:val="none"/>
        </w:rPr>
      </w:pPr>
      <w:r>
        <w:rPr>
          <w:rFonts w:hint="eastAsia" w:ascii="黑体" w:hAnsi="宋体" w:eastAsia="黑体" w:cs="黑体"/>
          <w:b/>
          <w:color w:val="000000"/>
          <w:sz w:val="21"/>
          <w:szCs w:val="21"/>
          <w:highlight w:val="none"/>
        </w:rPr>
      </w:r>
      <w:r/>
    </w:p>
    <w:p>
      <w:pPr>
        <w:pStyle w:val="648"/>
        <w:numPr>
          <w:ilvl w:val="0"/>
          <w:numId w:val="0"/>
        </w:numPr>
        <w:jc w:val="left"/>
        <w:spacing w:beforeAutospacing="0" w:afterAutospacing="0"/>
        <w:widowControl w:val="off"/>
        <w:rPr>
          <w:rFonts w:hint="eastAsia" w:ascii="黑体" w:hAnsi="宋体" w:eastAsia="黑体" w:cs="黑体"/>
          <w:b/>
          <w:color w:val="000000"/>
          <w:sz w:val="21"/>
          <w:szCs w:val="21"/>
          <w:highlight w:val="none"/>
        </w:rPr>
      </w:pPr>
      <w:r>
        <w:rPr>
          <w:rFonts w:hint="eastAsia" w:ascii="黑体" w:hAnsi="宋体" w:eastAsia="黑体" w:cs="黑体"/>
          <w:b/>
          <w:color w:val="000000"/>
          <w:sz w:val="21"/>
          <w:szCs w:val="21"/>
          <w:highlight w:val="none"/>
        </w:rPr>
      </w:r>
      <w:r/>
    </w:p>
    <w:p>
      <w:pPr>
        <w:pStyle w:val="648"/>
        <w:numPr>
          <w:ilvl w:val="0"/>
          <w:numId w:val="0"/>
        </w:numPr>
        <w:jc w:val="left"/>
        <w:spacing w:beforeAutospacing="0" w:afterAutospacing="0"/>
        <w:widowControl w:val="off"/>
        <w:rPr>
          <w:rFonts w:hint="eastAsia" w:ascii="黑体" w:hAnsi="宋体" w:eastAsia="黑体" w:cs="黑体"/>
          <w:b/>
          <w:color w:val="000000"/>
          <w:sz w:val="21"/>
          <w:szCs w:val="21"/>
          <w:highlight w:val="none"/>
        </w:rPr>
      </w:pPr>
      <w:r>
        <w:rPr>
          <w:rFonts w:hint="eastAsia" w:ascii="黑体" w:hAnsi="宋体" w:eastAsia="黑体" w:cs="黑体"/>
          <w:b/>
          <w:color w:val="000000"/>
          <w:sz w:val="21"/>
          <w:szCs w:val="21"/>
          <w:highlight w:val="none"/>
        </w:rPr>
      </w:r>
      <w:r/>
    </w:p>
    <w:p>
      <w:pPr>
        <w:pStyle w:val="648"/>
        <w:numPr>
          <w:ilvl w:val="0"/>
          <w:numId w:val="0"/>
        </w:numPr>
        <w:jc w:val="left"/>
        <w:spacing w:beforeAutospacing="0" w:afterAutospacing="0"/>
        <w:widowControl w:val="off"/>
        <w:rPr>
          <w:rFonts w:hint="eastAsia" w:ascii="黑体" w:hAnsi="宋体" w:eastAsia="黑体" w:cs="黑体"/>
          <w:b/>
          <w:color w:val="000000"/>
          <w:sz w:val="21"/>
          <w:szCs w:val="21"/>
          <w:highlight w:val="none"/>
        </w:rPr>
      </w:pPr>
      <w:r>
        <w:rPr>
          <w:rFonts w:hint="eastAsia" w:ascii="黑体" w:hAnsi="宋体" w:eastAsia="黑体" w:cs="黑体"/>
          <w:b/>
          <w:color w:val="000000"/>
          <w:sz w:val="21"/>
          <w:szCs w:val="21"/>
          <w:highlight w:val="none"/>
        </w:rPr>
      </w:r>
      <w:r/>
    </w:p>
    <w:p>
      <w:pPr>
        <w:pStyle w:val="648"/>
        <w:numPr>
          <w:ilvl w:val="0"/>
          <w:numId w:val="0"/>
        </w:numPr>
        <w:jc w:val="left"/>
        <w:spacing w:beforeAutospacing="0" w:afterAutospacing="0"/>
        <w:widowControl w:val="off"/>
        <w:rPr>
          <w:rFonts w:hint="eastAsia" w:ascii="黑体" w:hAnsi="宋体" w:eastAsia="黑体" w:cs="黑体"/>
          <w:b/>
          <w:color w:val="000000"/>
          <w:sz w:val="21"/>
          <w:szCs w:val="21"/>
          <w:highlight w:val="none"/>
        </w:rPr>
      </w:pPr>
      <w:r>
        <w:rPr>
          <w:rFonts w:hint="eastAsia" w:ascii="黑体" w:hAnsi="宋体" w:eastAsia="黑体" w:cs="黑体"/>
          <w:b/>
          <w:color w:val="000000"/>
          <w:sz w:val="21"/>
          <w:szCs w:val="21"/>
          <w:highlight w:val="none"/>
        </w:rPr>
      </w:r>
      <w:r/>
    </w:p>
    <w:p>
      <w:pPr>
        <w:pStyle w:val="648"/>
        <w:numPr>
          <w:ilvl w:val="0"/>
          <w:numId w:val="0"/>
        </w:numPr>
        <w:jc w:val="left"/>
        <w:spacing w:beforeAutospacing="0" w:afterAutospacing="0"/>
        <w:widowControl w:val="off"/>
        <w:rPr>
          <w:rFonts w:hint="eastAsia" w:ascii="黑体" w:hAnsi="宋体" w:eastAsia="黑体" w:cs="黑体"/>
          <w:b/>
          <w:color w:val="000000"/>
          <w:sz w:val="21"/>
          <w:szCs w:val="21"/>
          <w:highlight w:val="none"/>
        </w:rPr>
      </w:pPr>
      <w:r>
        <w:rPr>
          <w:rFonts w:hint="eastAsia" w:ascii="黑体" w:hAnsi="宋体" w:eastAsia="黑体" w:cs="黑体"/>
          <w:b/>
          <w:color w:val="000000"/>
          <w:sz w:val="21"/>
          <w:szCs w:val="21"/>
          <w:highlight w:val="none"/>
        </w:rPr>
      </w:r>
      <w:r/>
    </w:p>
    <w:p>
      <w:pPr>
        <w:pStyle w:val="648"/>
        <w:numPr>
          <w:ilvl w:val="0"/>
          <w:numId w:val="0"/>
        </w:numPr>
        <w:jc w:val="left"/>
        <w:spacing w:beforeAutospacing="0" w:afterAutospacing="0"/>
        <w:widowControl w:val="off"/>
        <w:rPr>
          <w:rFonts w:hint="eastAsia" w:ascii="黑体" w:hAnsi="宋体" w:eastAsia="黑体" w:cs="黑体"/>
          <w:b/>
          <w:color w:val="000000"/>
          <w:sz w:val="21"/>
          <w:szCs w:val="21"/>
          <w:highlight w:val="none"/>
        </w:rPr>
      </w:pPr>
      <w:r>
        <w:rPr>
          <w:rFonts w:hint="eastAsia" w:ascii="黑体" w:hAnsi="宋体" w:eastAsia="黑体" w:cs="黑体"/>
          <w:b/>
          <w:color w:val="000000"/>
          <w:sz w:val="21"/>
          <w:szCs w:val="21"/>
          <w:highlight w:val="none"/>
        </w:rPr>
      </w:r>
      <w:r/>
    </w:p>
    <w:p>
      <w:pPr>
        <w:pStyle w:val="648"/>
        <w:numPr>
          <w:ilvl w:val="0"/>
          <w:numId w:val="0"/>
        </w:numPr>
        <w:jc w:val="left"/>
        <w:spacing w:beforeAutospacing="0" w:afterAutospacing="0"/>
        <w:widowControl w:val="off"/>
        <w:rPr>
          <w:rFonts w:hint="eastAsia" w:ascii="黑体" w:hAnsi="宋体" w:eastAsia="黑体" w:cs="黑体"/>
          <w:b/>
          <w:color w:val="000000"/>
          <w:sz w:val="21"/>
          <w:szCs w:val="21"/>
          <w:highlight w:val="none"/>
        </w:rPr>
      </w:pPr>
      <w:r>
        <w:rPr>
          <w:rFonts w:hint="eastAsia" w:ascii="黑体" w:hAnsi="宋体" w:eastAsia="黑体" w:cs="黑体"/>
          <w:b/>
          <w:color w:val="000000"/>
          <w:sz w:val="21"/>
          <w:szCs w:val="21"/>
          <w:highlight w:val="none"/>
        </w:rPr>
      </w:r>
      <w:r/>
    </w:p>
    <w:p>
      <w:pPr>
        <w:pStyle w:val="648"/>
        <w:numPr>
          <w:ilvl w:val="0"/>
          <w:numId w:val="0"/>
        </w:numPr>
        <w:jc w:val="left"/>
        <w:spacing w:beforeAutospacing="0" w:afterAutospacing="0"/>
        <w:widowControl w:val="off"/>
        <w:rPr>
          <w:rFonts w:hint="eastAsia" w:ascii="黑体" w:hAnsi="宋体" w:eastAsia="黑体" w:cs="黑体"/>
          <w:b/>
          <w:color w:val="000000"/>
          <w:sz w:val="21"/>
          <w:szCs w:val="21"/>
          <w:highlight w:val="none"/>
        </w:rPr>
      </w:pPr>
      <w:r>
        <w:rPr>
          <w:rFonts w:hint="eastAsia" w:ascii="黑体" w:hAnsi="宋体" w:eastAsia="黑体" w:cs="黑体"/>
          <w:b/>
          <w:color w:val="000000"/>
          <w:sz w:val="21"/>
          <w:szCs w:val="21"/>
          <w:highlight w:val="none"/>
        </w:rPr>
      </w:r>
      <w:r/>
    </w:p>
    <w:p>
      <w:pPr>
        <w:pStyle w:val="648"/>
        <w:numPr>
          <w:ilvl w:val="0"/>
          <w:numId w:val="0"/>
        </w:numPr>
        <w:jc w:val="left"/>
        <w:spacing w:beforeAutospacing="0" w:afterAutospacing="0"/>
        <w:widowControl w:val="off"/>
        <w:rPr>
          <w:rFonts w:hint="eastAsia" w:ascii="黑体" w:hAnsi="宋体" w:eastAsia="黑体" w:cs="黑体"/>
          <w:b/>
          <w:color w:val="000000"/>
          <w:sz w:val="21"/>
          <w:szCs w:val="21"/>
          <w:highlight w:val="none"/>
        </w:rPr>
      </w:pPr>
      <w:r>
        <w:rPr>
          <w:rFonts w:hint="eastAsia" w:ascii="黑体" w:hAnsi="宋体" w:eastAsia="黑体" w:cs="黑体"/>
          <w:b/>
          <w:color w:val="000000"/>
          <w:sz w:val="21"/>
          <w:szCs w:val="21"/>
          <w:highlight w:val="none"/>
        </w:rPr>
      </w:r>
      <w:r/>
    </w:p>
    <w:p>
      <w:pPr>
        <w:pStyle w:val="648"/>
        <w:numPr>
          <w:ilvl w:val="0"/>
          <w:numId w:val="0"/>
        </w:numPr>
        <w:jc w:val="left"/>
        <w:spacing w:beforeAutospacing="0" w:afterAutospacing="0"/>
        <w:widowControl w:val="off"/>
        <w:rPr>
          <w:rFonts w:hint="eastAsia" w:ascii="黑体" w:hAnsi="宋体" w:eastAsia="黑体" w:cs="黑体"/>
          <w:b/>
          <w:color w:val="000000"/>
          <w:sz w:val="21"/>
          <w:szCs w:val="21"/>
          <w:highlight w:val="none"/>
        </w:rPr>
      </w:pPr>
      <w:r>
        <w:rPr>
          <w:rFonts w:hint="eastAsia" w:ascii="黑体" w:hAnsi="宋体" w:eastAsia="黑体" w:cs="黑体"/>
          <w:b/>
          <w:color w:val="000000"/>
          <w:sz w:val="21"/>
          <w:szCs w:val="21"/>
          <w:highlight w:val="none"/>
        </w:rPr>
      </w:r>
      <w:r/>
    </w:p>
    <w:p>
      <w:pPr>
        <w:pStyle w:val="648"/>
        <w:numPr>
          <w:ilvl w:val="0"/>
          <w:numId w:val="0"/>
        </w:numPr>
        <w:jc w:val="left"/>
        <w:spacing w:beforeAutospacing="0" w:afterAutospacing="0"/>
        <w:widowControl w:val="off"/>
        <w:rPr>
          <w:rFonts w:hint="eastAsia" w:ascii="黑体" w:hAnsi="宋体" w:eastAsia="黑体" w:cs="黑体"/>
          <w:b/>
          <w:color w:val="000000"/>
          <w:sz w:val="21"/>
          <w:szCs w:val="21"/>
          <w:highlight w:val="none"/>
        </w:rPr>
      </w:pPr>
      <w:r>
        <w:rPr>
          <w:rFonts w:hint="eastAsia" w:ascii="黑体" w:hAnsi="宋体" w:eastAsia="黑体" w:cs="黑体"/>
          <w:b/>
          <w:color w:val="000000"/>
          <w:sz w:val="21"/>
          <w:szCs w:val="21"/>
          <w:highlight w:val="none"/>
        </w:rPr>
      </w:r>
      <w:r/>
    </w:p>
    <w:p>
      <w:pPr>
        <w:pStyle w:val="648"/>
        <w:numPr>
          <w:ilvl w:val="0"/>
          <w:numId w:val="0"/>
        </w:numPr>
        <w:jc w:val="left"/>
        <w:spacing w:beforeAutospacing="0" w:afterAutospacing="0"/>
        <w:widowControl w:val="off"/>
        <w:rPr>
          <w:rFonts w:hint="eastAsia" w:ascii="黑体" w:hAnsi="宋体" w:eastAsia="黑体" w:cs="黑体"/>
          <w:b/>
          <w:color w:val="000000"/>
          <w:sz w:val="21"/>
          <w:szCs w:val="21"/>
          <w:highlight w:val="none"/>
        </w:rPr>
      </w:pPr>
      <w:r>
        <w:rPr>
          <w:rFonts w:hint="eastAsia" w:ascii="黑体" w:hAnsi="宋体" w:eastAsia="黑体" w:cs="黑体"/>
          <w:b/>
          <w:color w:val="000000"/>
          <w:sz w:val="21"/>
          <w:szCs w:val="21"/>
          <w:highlight w:val="none"/>
        </w:rPr>
      </w:r>
      <w:r/>
    </w:p>
    <w:p>
      <w:pPr>
        <w:pStyle w:val="648"/>
        <w:numPr>
          <w:ilvl w:val="0"/>
          <w:numId w:val="0"/>
        </w:numPr>
        <w:jc w:val="left"/>
        <w:spacing w:beforeAutospacing="0" w:afterAutospacing="0"/>
        <w:widowControl w:val="off"/>
        <w:rPr>
          <w:rFonts w:hint="eastAsia" w:ascii="黑体" w:hAnsi="宋体" w:eastAsia="黑体" w:cs="黑体"/>
          <w:b/>
          <w:color w:val="000000"/>
          <w:sz w:val="21"/>
          <w:szCs w:val="21"/>
          <w:highlight w:val="none"/>
        </w:rPr>
      </w:pPr>
      <w:r>
        <w:rPr>
          <w:rFonts w:hint="eastAsia" w:ascii="黑体" w:hAnsi="宋体" w:eastAsia="黑体" w:cs="黑体"/>
          <w:b/>
          <w:color w:val="000000"/>
          <w:sz w:val="21"/>
          <w:szCs w:val="21"/>
          <w:highlight w:val="none"/>
        </w:rPr>
      </w:r>
      <w:r/>
    </w:p>
    <w:p>
      <w:pPr>
        <w:pStyle w:val="648"/>
        <w:numPr>
          <w:ilvl w:val="0"/>
          <w:numId w:val="0"/>
        </w:numPr>
        <w:jc w:val="left"/>
        <w:spacing w:beforeAutospacing="0" w:afterAutospacing="0"/>
        <w:widowControl w:val="off"/>
        <w:rPr>
          <w:rFonts w:hint="eastAsia" w:ascii="黑体" w:hAnsi="宋体" w:eastAsia="黑体" w:cs="黑体"/>
          <w:b/>
          <w:color w:val="000000"/>
          <w:sz w:val="21"/>
          <w:szCs w:val="21"/>
          <w:highlight w:val="none"/>
        </w:rPr>
      </w:pPr>
      <w:r>
        <w:rPr>
          <w:rFonts w:hint="eastAsia" w:ascii="黑体" w:hAnsi="宋体" w:eastAsia="黑体" w:cs="黑体"/>
          <w:b/>
          <w:color w:val="000000"/>
          <w:sz w:val="21"/>
          <w:szCs w:val="21"/>
          <w:highlight w:val="none"/>
        </w:rPr>
      </w:r>
      <w:r/>
    </w:p>
    <w:p>
      <w:pPr>
        <w:pStyle w:val="648"/>
        <w:numPr>
          <w:ilvl w:val="0"/>
          <w:numId w:val="0"/>
        </w:numPr>
        <w:jc w:val="left"/>
        <w:spacing w:beforeAutospacing="0" w:afterAutospacing="0"/>
        <w:widowControl w:val="off"/>
        <w:rPr>
          <w:rFonts w:hint="eastAsia" w:ascii="黑体" w:hAnsi="宋体" w:eastAsia="黑体" w:cs="黑体"/>
          <w:b/>
          <w:color w:val="000000"/>
          <w:sz w:val="21"/>
          <w:szCs w:val="21"/>
          <w:highlight w:val="none"/>
        </w:rPr>
      </w:pPr>
      <w:r>
        <w:rPr>
          <w:rFonts w:hint="eastAsia" w:ascii="黑体" w:hAnsi="宋体" w:eastAsia="黑体" w:cs="黑体"/>
          <w:b/>
          <w:color w:val="000000"/>
          <w:sz w:val="21"/>
          <w:szCs w:val="21"/>
          <w:highlight w:val="none"/>
        </w:rPr>
      </w:r>
      <w:r/>
    </w:p>
    <w:tbl>
      <w:tblPr>
        <w:tblStyle w:val="643"/>
        <w:tblW w:w="913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60"/>
        <w:gridCol w:w="855"/>
        <w:gridCol w:w="960"/>
        <w:gridCol w:w="3000"/>
        <w:gridCol w:w="780"/>
        <w:gridCol w:w="780"/>
        <w:gridCol w:w="1050"/>
        <w:gridCol w:w="1050"/>
      </w:tblGrid>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货物名称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合价（元）</w:t>
            </w:r>
            <w:r/>
          </w:p>
        </w:tc>
      </w:tr>
      <w:tr>
        <w:trPr>
          <w:trHeight w:val="624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采购包2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种植业</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1、蔬菜、水果类</w:t>
            </w:r>
            <w:r/>
          </w:p>
        </w:tc>
        <w:tc>
          <w:tcPr>
            <w:shd w:val="clear" w:color="auto" w:fill="auto"/>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甲胺磷、对硫磷、甲基对硫磷、六六六、甲拌磷（包括甲拌磷砜和甲拌磷亚砜）、水胺硫磷、甲基异柳磷、灭线磷；氧乐果、克百威（包括3-羟基克百威）、涕灭威（包括涕灭威砜和涕灭威亚砜）、毒死蜱、三唑磷、乐果、乙酰甲胺磷、灭多威、内吸磷、硫环磷、氯唑磷；敌</w:t>
            </w:r>
            <w:r>
              <w:rPr>
                <w:rFonts w:hint="eastAsia" w:ascii="宋体" w:hAnsi="宋体" w:eastAsia="宋体" w:cs="宋体"/>
                <w:i w:val="0"/>
                <w:iCs w:val="0"/>
                <w:color w:val="000000"/>
                <w:sz w:val="20"/>
                <w:szCs w:val="20"/>
                <w:u w:val="none"/>
                <w:lang w:val="en-US" w:eastAsia="zh-CN" w:bidi="ar"/>
              </w:rPr>
              <w:t xml:space="preserve">敌畏、丙溴磷、辛硫磷、氰戊菊酯、甲氰菊酯、溴氰菊酯、联苯菊酯、三唑酮、异菌脲、腐霉利、多菌灵、吡虫啉、倍硫磷、敌百虫、三氯杀螨醇；氯氰菊酯、氯氟氰菊酯、氟氯氰菊酯、百菌清、五氯硝基苯、氟虫腈（包括氟甲腈、氟虫腈硫醚、氟虫腈砜）；啶虫脒、哒螨灵、苯醚甲环唑、嘧霉胺、甲氨基阿维菌素苯甲酸盐、烯酰吗啉、咪鲜胺、嘧菌酯、二甲戊灵、噻虫嗪、氟啶脲、灭幼脲、甲霜灵、霜霉威、多效唑、氯吡脲、氯虫苯甲酰胺、戊唑醇、虫酰肼、吡唑醚菌酯、除虫脲、抑霉唑、丙环唑、虫螨腈、灭蝇胺、阿维菌素、丁硫克百威、乙基多杀菌素、多杀霉素、噻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ascii="Calibri" w:hAnsi="Calibri" w:eastAsia="宋体" w:cs="Calibri"/>
                <w:i w:val="0"/>
                <w:iCs w:val="0"/>
                <w:color w:val="000000"/>
                <w:sz w:val="20"/>
                <w:szCs w:val="20"/>
                <w:u w:val="none"/>
              </w:rPr>
              <w:suppressLineNumbers w:val="0"/>
            </w:pPr>
            <w:r>
              <w:rPr>
                <w:rFonts w:hint="default" w:ascii="Calibri" w:hAnsi="Calibri" w:eastAsia="宋体" w:cs="Calibri"/>
                <w:i w:val="0"/>
                <w:iCs w:val="0"/>
                <w:color w:val="000000"/>
                <w:sz w:val="20"/>
                <w:szCs w:val="20"/>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sz w:val="20"/>
                <w:szCs w:val="20"/>
                <w:u w:val="none"/>
              </w:rPr>
            </w:r>
            <w:r/>
          </w:p>
        </w:tc>
      </w:tr>
      <w:tr>
        <w:trPr>
          <w:trHeight w:val="67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畜禽类</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1、猪肉、猪肝、牛肉、羊肉</w:t>
            </w:r>
            <w:r/>
          </w:p>
        </w:tc>
        <w:tc>
          <w:tcPr>
            <w:shd w:val="clear" w:color="auto" w:fill="auto"/>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β-受体激动剂类（克伦特罗、莱克多巴胺、沙丁胺醇、特布他林、西马特罗、非诺特罗、氯丙那林、妥布特罗、喷布特罗）、磺胺类（磺胺间甲氧嘧啶、磺胺二甲嘧啶、磺胺甲噁唑、磺胺（间）二甲氧嘧啶、磺胺喹噁啉），四环素类（金霉素、土霉素、四环素、多西环素）、糖皮质激素类（地塞米松、倍他米松）</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禽肉：酰胺醇类（氯霉素，氟苯尼考、氟苯尼考胺、甲砜霉素）、氟喹诺酮类（氧氟沙星、培氟沙星、诺氟沙星、洛美沙星，恩诺沙星、环丙沙星、沙拉沙星、达氟沙星）、抗菌增效剂（甲氧苄啶）、金刚烷胺</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restart"/>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restart"/>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2、禽蛋</w:t>
            </w:r>
            <w:r/>
          </w:p>
        </w:tc>
        <w:tc>
          <w:tcPr>
            <w:shd w:val="clear" w:color="auto" w:fill="auto"/>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酰胺醇类（氯霉素，氟苯尼考、氟苯尼考胺、甲砜霉素）、氟喹诺酮类（氧氟沙星、培氟沙星、诺氟沙星、洛美沙星、恩诺沙星、环丙沙星、沙拉沙星、达氟沙星）、金刚烷胺、四环素类（多西环素）</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0"/>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水产类</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水产</w:t>
            </w:r>
            <w:r/>
          </w:p>
        </w:tc>
        <w:tc>
          <w:tcPr>
            <w:shd w:val="clear" w:color="auto" w:fill="auto"/>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氯霉素、酰胺醇类（甲砜霉素、氟苯尼考、氟苯尼考胺）、硝基呋喃类代谢物</w:t>
            </w:r>
            <w:r>
              <w:rPr>
                <w:rFonts w:hint="eastAsia" w:ascii="宋体" w:hAnsi="宋体" w:eastAsia="宋体" w:cs="宋体"/>
                <w:i w:val="0"/>
                <w:iCs w:val="0"/>
                <w:color w:val="000000"/>
                <w:sz w:val="20"/>
                <w:szCs w:val="20"/>
                <w:u w:val="none"/>
                <w:lang w:val="en-US" w:eastAsia="zh-CN" w:bidi="ar"/>
              </w:rPr>
              <w:t xml:space="preserve">（呋喃唑酮代谢物、呋喃它酮代谢物、呋喃西林代谢物、呋喃妥因代谢物）、孔雀石绿（包括有色孔雀石绿和无色孔雀石绿）、地西泮、磺胺类（磺胺嘧啶、磺胺二甲基嘧啶、磺胺甲基异噁唑、磺胺异噁唑、磺胺间二甲氧嘧啶、磺胺噻唑、磺胺甲基嘧啶、磺胺多辛、磺胺喹噁啉、磺胺间甲氧嘧啶、磺胺氯哒嗪和磺胺甲噻二唑）、四环素类（四环素、土霉素、金霉素、多西环素）、氟喹诺酮类（诺氟沙星、氧氟沙星、培氟沙星、洛美沙星）、氟喹诺酮类（恩诺沙星、环丙沙星）、抗菌增效剂（甲氧苄啶）。注：只有淡水鱼类检测地西泮，虾蟹类呋喃西林代谢物SEM 不作判定</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default" w:ascii="Calibri" w:hAnsi="Calibri" w:eastAsia="宋体" w:cs="Calibri"/>
                <w:i w:val="0"/>
                <w:iCs w:val="0"/>
                <w:color w:val="000000"/>
                <w:sz w:val="20"/>
                <w:szCs w:val="20"/>
                <w:u w:val="none"/>
              </w:rPr>
              <w:suppressLineNumbers w:val="0"/>
            </w:pPr>
            <w:r>
              <w:rPr>
                <w:rFonts w:hint="default" w:ascii="Calibri" w:hAnsi="Calibri" w:eastAsia="宋体" w:cs="Calibri"/>
                <w:i w:val="0"/>
                <w:iCs w:val="0"/>
                <w:color w:val="000000"/>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sz w:val="20"/>
                <w:szCs w:val="20"/>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绿色食品</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绿色食品</w:t>
            </w:r>
            <w:r/>
          </w:p>
        </w:tc>
        <w:tc>
          <w:tcPr>
            <w:shd w:val="clear" w:color="auto" w:fill="auto"/>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绿色食品检测标准</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default" w:ascii="Calibri" w:hAnsi="Calibri" w:eastAsia="宋体" w:cs="Calibri"/>
                <w:i w:val="0"/>
                <w:iCs w:val="0"/>
                <w:color w:val="000000"/>
                <w:sz w:val="20"/>
                <w:szCs w:val="20"/>
                <w:u w:val="none"/>
              </w:rPr>
              <w:suppressLineNumbers w:val="0"/>
            </w:pPr>
            <w:r>
              <w:rPr>
                <w:rFonts w:hint="default" w:ascii="Calibri" w:hAnsi="Calibri" w:eastAsia="宋体" w:cs="Calibri"/>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sz w:val="20"/>
                <w:szCs w:val="20"/>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default" w:ascii="Calibri" w:hAnsi="Calibri" w:eastAsia="宋体" w:cs="Calibri"/>
                <w:i w:val="0"/>
                <w:iCs w:val="0"/>
                <w:color w:val="000000"/>
                <w:sz w:val="20"/>
                <w:szCs w:val="20"/>
                <w:u w:val="none"/>
              </w:rPr>
            </w:pPr>
            <w:r>
              <w:rPr>
                <w:rFonts w:hint="default" w:ascii="Calibri" w:hAnsi="Calibri" w:eastAsia="宋体" w:cs="Calibri"/>
                <w:i w:val="0"/>
                <w:iCs w:val="0"/>
                <w:color w:val="000000"/>
                <w:sz w:val="20"/>
                <w:szCs w:val="20"/>
                <w:u w:val="none"/>
              </w:rPr>
            </w:r>
            <w:r/>
          </w:p>
        </w:tc>
      </w:tr>
    </w:tbl>
    <w:p>
      <w:pPr>
        <w:pStyle w:val="648"/>
        <w:numPr>
          <w:ilvl w:val="0"/>
          <w:numId w:val="0"/>
        </w:numPr>
        <w:jc w:val="left"/>
        <w:spacing w:beforeAutospacing="0" w:afterAutospacing="0"/>
        <w:widowControl w:val="off"/>
        <w:rPr>
          <w:rFonts w:hint="eastAsia" w:ascii="黑体" w:hAnsi="宋体" w:eastAsia="黑体" w:cs="黑体"/>
          <w:b/>
          <w:color w:val="000000"/>
          <w:sz w:val="21"/>
          <w:szCs w:val="21"/>
          <w:highlight w:val="none"/>
        </w:rPr>
      </w:pPr>
      <w:r>
        <w:rPr>
          <w:rFonts w:hint="eastAsia" w:ascii="黑体" w:hAnsi="宋体" w:eastAsia="黑体" w:cs="黑体"/>
          <w:b/>
          <w:color w:val="000000"/>
          <w:sz w:val="21"/>
          <w:szCs w:val="21"/>
          <w:highlight w:val="none"/>
        </w:rPr>
      </w:r>
      <w:r/>
    </w:p>
    <w:p>
      <w:pPr>
        <w:pStyle w:val="648"/>
        <w:numPr>
          <w:ilvl w:val="0"/>
          <w:numId w:val="0"/>
        </w:numPr>
        <w:jc w:val="left"/>
        <w:spacing w:beforeAutospacing="0" w:afterAutospacing="0"/>
        <w:widowControl w:val="off"/>
        <w:rPr>
          <w:rFonts w:hint="eastAsia" w:ascii="黑体" w:hAnsi="宋体" w:eastAsia="黑体" w:cs="黑体"/>
          <w:b/>
          <w:color w:val="000000"/>
          <w:sz w:val="21"/>
          <w:szCs w:val="21"/>
          <w:highlight w:val="none"/>
        </w:rPr>
      </w:pPr>
      <w:r>
        <w:rPr>
          <w:rFonts w:hint="eastAsia" w:ascii="黑体" w:hAnsi="宋体" w:eastAsia="黑体" w:cs="黑体"/>
          <w:b/>
          <w:color w:val="000000"/>
          <w:sz w:val="21"/>
          <w:szCs w:val="21"/>
          <w:highlight w:val="none"/>
        </w:rPr>
      </w:r>
      <w:r/>
    </w:p>
    <w:p>
      <w:pPr>
        <w:pStyle w:val="648"/>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rPr>
        <w:t xml:space="preserve">备注：1.投标报价采用总承包方式，“投标总报价”应包括采购人需求的服务（包含与服务相关的货物）价格、质量保证费用、培训费</w:t>
      </w:r>
      <w:r>
        <w:rPr>
          <w:rFonts w:hint="eastAsia" w:ascii="宋体" w:hAnsi="宋体" w:eastAsia="宋体" w:cs="宋体"/>
          <w:color w:val="000000"/>
          <w:highlight w:val="none"/>
          <w:lang w:eastAsia="zh-CN"/>
        </w:rPr>
        <w:t xml:space="preserve">用、</w:t>
      </w:r>
      <w:r>
        <w:rPr>
          <w:rFonts w:hint="eastAsia" w:ascii="宋体" w:hAnsi="宋体"/>
          <w:color w:val="000000"/>
          <w:sz w:val="24"/>
          <w:szCs w:val="24"/>
        </w:rPr>
        <w:t xml:space="preserve">、</w:t>
      </w:r>
      <w:r>
        <w:rPr>
          <w:rFonts w:hint="eastAsia" w:ascii="宋体" w:hAnsi="宋体"/>
          <w:b/>
          <w:bCs/>
          <w:color w:val="ff0000"/>
          <w:sz w:val="24"/>
          <w:szCs w:val="24"/>
        </w:rPr>
        <w:t xml:space="preserve">样品费</w:t>
      </w:r>
      <w:r>
        <w:rPr>
          <w:rFonts w:hint="eastAsia" w:ascii="宋体" w:hAnsi="宋体" w:eastAsia="宋体" w:cs="宋体"/>
          <w:color w:val="000000"/>
          <w:highlight w:val="none"/>
        </w:rPr>
        <w:t xml:space="preserve">用等，项目在指定地点、环境交付、安装、调试、验收所需费用和所有相关税金费用及为完成整个项目所产生</w:t>
      </w:r>
      <w:r>
        <w:rPr>
          <w:rFonts w:hint="eastAsia" w:ascii="宋体" w:hAnsi="宋体" w:eastAsia="宋体" w:cs="宋体"/>
          <w:color w:val="000000"/>
          <w:highlight w:val="none"/>
          <w:lang w:val="en-US" w:eastAsia="zh-CN"/>
        </w:rPr>
        <w:t xml:space="preserve">的其它所有费用，招标文件另有规定的除外。2. “投标分项报价表”中“投标总报价”数额应当与“开标一览表”中“投标总报价”数额一致。</w:t>
      </w:r>
      <w:r/>
    </w:p>
    <w:p>
      <w:pPr>
        <w:pStyle w:val="648"/>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 </w:t>
      </w:r>
      <w:r/>
    </w:p>
    <w:p>
      <w:pPr>
        <w:pStyle w:val="648"/>
        <w:jc w:val="center"/>
        <w:spacing w:beforeAutospacing="0" w:afterAutospacing="0"/>
        <w:rPr>
          <w:highlight w:val="none"/>
        </w:rPr>
      </w:pPr>
      <w:r>
        <w:rPr>
          <w:highlight w:val="none"/>
        </w:rPr>
        <w:t xml:space="preserve"> </w:t>
      </w:r>
      <w:r/>
    </w:p>
    <w:p>
      <w:pPr>
        <w:pStyle w:val="648"/>
        <w:jc w:val="center"/>
        <w:spacing w:beforeAutospacing="0" w:afterAutospacing="0"/>
        <w:rPr>
          <w:highlight w:val="none"/>
        </w:rPr>
      </w:pPr>
      <w:r>
        <w:rPr>
          <w:highlight w:val="none"/>
        </w:rPr>
        <w:t xml:space="preserve"> </w:t>
      </w:r>
      <w:r/>
    </w:p>
    <w:p>
      <w:pPr>
        <w:pStyle w:val="648"/>
        <w:jc w:val="center"/>
        <w:spacing w:beforeAutospacing="0" w:afterAutospacing="0"/>
        <w:rPr>
          <w:highlight w:val="none"/>
        </w:rPr>
      </w:pPr>
      <w:r>
        <w:rPr>
          <w:highlight w:val="none"/>
        </w:rPr>
        <w:t xml:space="preserve"> </w:t>
      </w:r>
      <w:r/>
    </w:p>
    <w:p>
      <w:pPr>
        <w:pStyle w:val="648"/>
        <w:jc w:val="center"/>
        <w:spacing w:beforeAutospacing="0" w:afterAutospacing="0"/>
        <w:rPr>
          <w:highlight w:val="none"/>
        </w:rPr>
      </w:pPr>
      <w:r>
        <w:rPr>
          <w:highlight w:val="none"/>
        </w:rPr>
      </w:r>
      <w:r/>
    </w:p>
    <w:p>
      <w:pPr>
        <w:pStyle w:val="648"/>
        <w:jc w:val="center"/>
        <w:spacing w:beforeAutospacing="0" w:afterAutospacing="0"/>
        <w:rPr>
          <w:highlight w:val="none"/>
        </w:rPr>
      </w:pPr>
      <w:r>
        <w:rPr>
          <w:rFonts w:hint="eastAsia" w:ascii="黑体" w:hAnsi="宋体" w:eastAsia="黑体" w:cs="黑体"/>
          <w:b/>
          <w:color w:val="000000"/>
          <w:sz w:val="32"/>
          <w:szCs w:val="32"/>
          <w:highlight w:val="none"/>
        </w:rPr>
        <w:t xml:space="preserve">十三、技术要求响应及偏离表（分包号：**）</w:t>
      </w:r>
      <w:r/>
    </w:p>
    <w:tbl>
      <w:tblPr>
        <w:tblStyle w:val="643"/>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8"/>
              <w:jc w:val="center"/>
              <w:spacing w:beforeAutospacing="0" w:afterAutospacing="0"/>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8"/>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8"/>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8"/>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8"/>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648"/>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8"/>
              <w:jc w:val="center"/>
              <w:spacing w:beforeAutospacing="0" w:afterAutospacing="0"/>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8"/>
              <w:jc w:val="center"/>
              <w:spacing w:beforeAutospacing="0" w:afterAutospacing="0"/>
              <w:rPr>
                <w:highlight w:val="none"/>
              </w:rPr>
            </w:pPr>
            <w:r>
              <w:rPr>
                <w:highlight w:val="none"/>
              </w:rPr>
              <w:t xml:space="preserve"> </w:t>
            </w:r>
            <w:r/>
          </w:p>
        </w:tc>
      </w:tr>
    </w:tbl>
    <w:p>
      <w:pPr>
        <w:pStyle w:val="648"/>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648"/>
        <w:jc w:val="center"/>
        <w:spacing w:beforeAutospacing="0" w:afterAutospacing="0"/>
        <w:rPr>
          <w:highlight w:val="none"/>
        </w:rPr>
      </w:pPr>
      <w:r>
        <w:rPr>
          <w:highlight w:val="none"/>
        </w:rPr>
        <w:t xml:space="preserve"> </w:t>
      </w:r>
      <w:r/>
    </w:p>
    <w:p>
      <w:pPr>
        <w:pStyle w:val="648"/>
        <w:jc w:val="center"/>
        <w:spacing w:beforeAutospacing="0" w:afterAutospacing="0"/>
        <w:rPr>
          <w:highlight w:val="none"/>
        </w:rPr>
      </w:pPr>
      <w:r>
        <w:rPr>
          <w:highlight w:val="none"/>
        </w:rPr>
        <w:t xml:space="preserve"> </w:t>
      </w:r>
      <w:r/>
    </w:p>
    <w:p>
      <w:pPr>
        <w:pStyle w:val="648"/>
        <w:jc w:val="center"/>
        <w:spacing w:beforeAutospacing="0" w:afterAutospacing="0"/>
        <w:rPr>
          <w:highlight w:val="none"/>
        </w:rPr>
      </w:pPr>
      <w:r>
        <w:rPr>
          <w:highlight w:val="none"/>
        </w:rPr>
        <w:t xml:space="preserve"> </w:t>
      </w:r>
      <w:r/>
    </w:p>
    <w:p>
      <w:pPr>
        <w:pStyle w:val="648"/>
        <w:jc w:val="center"/>
        <w:spacing w:beforeAutospacing="0" w:afterAutospacing="0"/>
        <w:rPr>
          <w:highlight w:val="none"/>
        </w:rPr>
      </w:pPr>
      <w:r>
        <w:rPr>
          <w:highlight w:val="none"/>
        </w:rPr>
        <w:t xml:space="preserve"> </w:t>
      </w:r>
      <w:r/>
    </w:p>
    <w:p>
      <w:pPr>
        <w:pStyle w:val="648"/>
        <w:jc w:val="both"/>
        <w:spacing w:beforeAutospacing="0" w:afterAutospacing="0"/>
        <w:rPr>
          <w:highlight w:val="none"/>
        </w:rPr>
      </w:pPr>
      <w:r>
        <w:rPr>
          <w:highlight w:val="none"/>
        </w:rPr>
        <w:t xml:space="preserve"> </w:t>
      </w:r>
      <w:r/>
    </w:p>
    <w:p>
      <w:pPr>
        <w:pStyle w:val="648"/>
        <w:jc w:val="both"/>
        <w:spacing w:beforeAutospacing="0" w:afterAutospacing="0"/>
        <w:rPr>
          <w:highlight w:val="none"/>
        </w:rPr>
      </w:pPr>
      <w:r>
        <w:rPr>
          <w:highlight w:val="none"/>
        </w:rPr>
        <w:t xml:space="preserve"> </w:t>
      </w:r>
      <w:r/>
    </w:p>
    <w:p>
      <w:pPr>
        <w:pStyle w:val="648"/>
        <w:jc w:val="both"/>
        <w:spacing w:beforeAutospacing="0" w:afterAutospacing="0"/>
        <w:rPr>
          <w:highlight w:val="none"/>
        </w:rPr>
      </w:pPr>
      <w:r>
        <w:rPr>
          <w:highlight w:val="none"/>
        </w:rPr>
        <w:t xml:space="preserve"> </w:t>
      </w:r>
      <w:r/>
    </w:p>
    <w:p>
      <w:pPr>
        <w:pStyle w:val="648"/>
        <w:jc w:val="both"/>
        <w:spacing w:beforeAutospacing="0" w:afterAutospacing="0"/>
        <w:rPr>
          <w:highlight w:val="none"/>
        </w:rPr>
      </w:pPr>
      <w:r>
        <w:rPr>
          <w:highlight w:val="none"/>
        </w:rPr>
        <w:t xml:space="preserve"> </w:t>
      </w:r>
      <w:r/>
    </w:p>
    <w:p>
      <w:pPr>
        <w:pStyle w:val="648"/>
        <w:jc w:val="both"/>
        <w:spacing w:beforeAutospacing="0" w:afterAutospacing="0"/>
        <w:rPr>
          <w:highlight w:val="none"/>
        </w:rPr>
      </w:pPr>
      <w:r>
        <w:rPr>
          <w:highlight w:val="none"/>
        </w:rPr>
      </w:r>
      <w:r/>
    </w:p>
    <w:p>
      <w:pPr>
        <w:pStyle w:val="648"/>
        <w:jc w:val="both"/>
        <w:spacing w:beforeAutospacing="0" w:afterAutospacing="0"/>
        <w:rPr>
          <w:highlight w:val="none"/>
        </w:rPr>
      </w:pPr>
      <w:r>
        <w:rPr>
          <w:highlight w:val="none"/>
        </w:rPr>
      </w:r>
      <w:r/>
    </w:p>
    <w:p>
      <w:pPr>
        <w:pStyle w:val="648"/>
        <w:jc w:val="both"/>
        <w:spacing w:beforeAutospacing="0" w:afterAutospacing="0"/>
        <w:rPr>
          <w:highlight w:val="none"/>
        </w:rPr>
      </w:pPr>
      <w:r>
        <w:rPr>
          <w:highlight w:val="none"/>
        </w:rPr>
      </w:r>
      <w:r/>
    </w:p>
    <w:p>
      <w:pPr>
        <w:pStyle w:val="648"/>
        <w:jc w:val="both"/>
        <w:spacing w:beforeAutospacing="0" w:afterAutospacing="0"/>
        <w:rPr>
          <w:highlight w:val="none"/>
        </w:rPr>
      </w:pPr>
      <w:r>
        <w:rPr>
          <w:highlight w:val="none"/>
        </w:rPr>
      </w:r>
      <w:r/>
    </w:p>
    <w:p>
      <w:pPr>
        <w:pStyle w:val="648"/>
        <w:jc w:val="both"/>
        <w:spacing w:beforeAutospacing="0" w:afterAutospacing="0"/>
        <w:rPr>
          <w:highlight w:val="none"/>
        </w:rPr>
      </w:pPr>
      <w:r>
        <w:rPr>
          <w:highlight w:val="none"/>
        </w:rPr>
      </w:r>
      <w:r/>
    </w:p>
    <w:p>
      <w:pPr>
        <w:pStyle w:val="648"/>
        <w:jc w:val="both"/>
        <w:spacing w:beforeAutospacing="0" w:afterAutospacing="0"/>
        <w:rPr>
          <w:highlight w:val="none"/>
        </w:rPr>
      </w:pPr>
      <w:r>
        <w:rPr>
          <w:highlight w:val="none"/>
        </w:rPr>
      </w:r>
      <w:r/>
    </w:p>
    <w:p>
      <w:pPr>
        <w:pStyle w:val="648"/>
        <w:jc w:val="both"/>
        <w:spacing w:beforeAutospacing="0" w:afterAutospacing="0"/>
        <w:rPr>
          <w:highlight w:val="none"/>
        </w:rPr>
      </w:pPr>
      <w:r>
        <w:rPr>
          <w:highlight w:val="none"/>
        </w:rPr>
      </w:r>
      <w:r/>
    </w:p>
    <w:p>
      <w:pPr>
        <w:pStyle w:val="648"/>
        <w:jc w:val="both"/>
        <w:spacing w:beforeAutospacing="0" w:afterAutospacing="0"/>
        <w:rPr>
          <w:highlight w:val="none"/>
        </w:rPr>
      </w:pPr>
      <w:r>
        <w:rPr>
          <w:highlight w:val="none"/>
        </w:rPr>
      </w:r>
      <w:r/>
    </w:p>
    <w:p>
      <w:pPr>
        <w:pStyle w:val="648"/>
        <w:jc w:val="both"/>
        <w:spacing w:beforeAutospacing="0" w:afterAutospacing="0"/>
        <w:rPr>
          <w:highlight w:val="none"/>
        </w:rPr>
      </w:pPr>
      <w:r>
        <w:rPr>
          <w:highlight w:val="none"/>
        </w:rPr>
      </w:r>
      <w:r/>
    </w:p>
    <w:p>
      <w:pPr>
        <w:pStyle w:val="648"/>
        <w:jc w:val="both"/>
        <w:spacing w:beforeAutospacing="0" w:afterAutospacing="0"/>
        <w:rPr>
          <w:highlight w:val="none"/>
        </w:rPr>
      </w:pPr>
      <w:r>
        <w:rPr>
          <w:highlight w:val="none"/>
        </w:rPr>
      </w:r>
      <w:r/>
    </w:p>
    <w:p>
      <w:pPr>
        <w:pStyle w:val="648"/>
        <w:jc w:val="both"/>
        <w:spacing w:beforeAutospacing="0" w:afterAutospacing="0"/>
        <w:rPr>
          <w:highlight w:val="none"/>
        </w:rPr>
      </w:pPr>
      <w:r>
        <w:rPr>
          <w:highlight w:val="none"/>
        </w:rPr>
      </w:r>
      <w:r/>
    </w:p>
    <w:p>
      <w:pPr>
        <w:pStyle w:val="648"/>
        <w:jc w:val="both"/>
        <w:spacing w:beforeAutospacing="0" w:afterAutospacing="0"/>
        <w:rPr>
          <w:highlight w:val="none"/>
        </w:rPr>
      </w:pPr>
      <w:r>
        <w:rPr>
          <w:highlight w:val="none"/>
        </w:rPr>
      </w:r>
      <w:r/>
    </w:p>
    <w:p>
      <w:pPr>
        <w:pStyle w:val="648"/>
        <w:jc w:val="both"/>
        <w:spacing w:beforeAutospacing="0" w:afterAutospacing="0"/>
        <w:rPr>
          <w:highlight w:val="none"/>
        </w:rPr>
      </w:pPr>
      <w:r>
        <w:rPr>
          <w:highlight w:val="none"/>
        </w:rPr>
        <w:t xml:space="preserve"> </w:t>
      </w:r>
      <w:r/>
    </w:p>
    <w:p>
      <w:pPr>
        <w:pStyle w:val="648"/>
        <w:jc w:val="both"/>
        <w:spacing w:beforeAutospacing="0" w:afterAutospacing="0"/>
        <w:rPr>
          <w:highlight w:val="none"/>
        </w:rPr>
      </w:pPr>
      <w:r>
        <w:rPr>
          <w:highlight w:val="none"/>
        </w:rPr>
        <w:t xml:space="preserve"> </w:t>
      </w:r>
      <w:r/>
    </w:p>
    <w:p>
      <w:pPr>
        <w:pStyle w:val="648"/>
        <w:jc w:val="center"/>
        <w:spacing w:beforeAutospacing="0" w:afterAutospacing="0"/>
        <w:rPr>
          <w:highlight w:val="none"/>
        </w:rPr>
      </w:pPr>
      <w:r/>
      <w:bookmarkStart w:id="205" w:name="_Hlt26955054"/>
      <w:r>
        <w:rPr>
          <w:rFonts w:hint="eastAsia" w:ascii="黑体" w:hAnsi="宋体" w:eastAsia="黑体" w:cs="黑体"/>
          <w:b/>
          <w:color w:val="000000"/>
          <w:sz w:val="32"/>
          <w:szCs w:val="32"/>
          <w:highlight w:val="none"/>
        </w:rPr>
        <w:t xml:space="preserve">十四、商务要求响应及偏离表（分包号：**）</w:t>
      </w:r>
      <w:r/>
    </w:p>
    <w:tbl>
      <w:tblPr>
        <w:tblStyle w:val="643"/>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48"/>
              <w:jc w:val="center"/>
              <w:spacing w:beforeAutospacing="0" w:afterAutospacing="0"/>
              <w:rPr>
                <w:highlight w:val="none"/>
              </w:rPr>
            </w:pPr>
            <w:r/>
            <w:bookmarkStart w:id="206" w:name="_Hlt26955056"/>
            <w:r/>
            <w:bookmarkStart w:id="207" w:name="_Hlt24879081"/>
            <w:r/>
            <w:bookmarkStart w:id="208" w:name="_Hlt26609391"/>
            <w:r/>
            <w:bookmarkStart w:id="209" w:name="_Hlt26671343"/>
            <w:r/>
            <w:bookmarkStart w:id="210" w:name="_Hlt26782999"/>
            <w:r/>
            <w:bookmarkStart w:id="211" w:name="_Hlt26580838"/>
            <w:r/>
            <w:bookmarkStart w:id="212" w:name="_Hlt26671372"/>
            <w:r/>
            <w:bookmarkStart w:id="213" w:name="_Hlt26955064"/>
            <w:r>
              <w:rPr>
                <w:rFonts w:hint="eastAsia" w:ascii="宋体" w:hAnsi="宋体" w:eastAsia="宋体" w:cs="宋体"/>
                <w:color w:val="000000"/>
                <w:highlight w:val="none"/>
              </w:rPr>
              <w:t xml:space="preserve">序号</w:t>
            </w:r>
            <w:bookmarkEnd w:id="206"/>
            <w:bookmarkEnd w:id="207"/>
            <w:bookmarkEnd w:id="208"/>
            <w:bookmarkEnd w:id="209"/>
            <w:bookmarkEnd w:id="210"/>
            <w:bookmarkEnd w:id="211"/>
            <w:bookmarkEnd w:id="212"/>
            <w:bookmarkEnd w:id="213"/>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48"/>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48"/>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48"/>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48"/>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648"/>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4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4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4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4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4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4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4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48"/>
              <w:jc w:val="center"/>
              <w:spacing w:beforeAutospacing="0" w:afterAutospacing="0"/>
              <w:rPr>
                <w:highlight w:val="none"/>
              </w:rPr>
            </w:pPr>
            <w:r>
              <w:rPr>
                <w:highlight w:val="none"/>
              </w:rPr>
              <w:t xml:space="preserve"> </w:t>
            </w:r>
            <w:r/>
          </w:p>
        </w:tc>
      </w:tr>
    </w:tbl>
    <w:p>
      <w:pPr>
        <w:pStyle w:val="648"/>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648"/>
        <w:jc w:val="both"/>
        <w:spacing w:beforeAutospacing="0" w:afterAutospacing="0" w:line="480" w:lineRule="auto"/>
        <w:rPr>
          <w:highlight w:val="none"/>
        </w:rPr>
      </w:pPr>
      <w:r>
        <w:rPr>
          <w:highlight w:val="none"/>
        </w:rPr>
        <w:t xml:space="preserve"> </w:t>
      </w:r>
      <w:r/>
    </w:p>
    <w:p>
      <w:pPr>
        <w:pStyle w:val="648"/>
        <w:jc w:val="both"/>
        <w:spacing w:beforeAutospacing="0" w:afterAutospacing="0" w:line="480" w:lineRule="auto"/>
        <w:rPr>
          <w:highlight w:val="none"/>
        </w:rPr>
      </w:pPr>
      <w:r>
        <w:rPr>
          <w:highlight w:val="none"/>
        </w:rPr>
        <w:t xml:space="preserve"> </w:t>
      </w:r>
      <w:r/>
    </w:p>
    <w:p>
      <w:pPr>
        <w:pStyle w:val="648"/>
        <w:jc w:val="center"/>
        <w:spacing w:beforeAutospacing="0" w:afterAutospacing="0"/>
        <w:rPr>
          <w:highlight w:val="none"/>
        </w:rPr>
      </w:pPr>
      <w:r/>
      <w:bookmarkStart w:id="214" w:name="_Hlt26609389"/>
      <w:r/>
      <w:bookmarkStart w:id="215" w:name="_Hlt26671374"/>
      <w:r/>
      <w:bookmarkStart w:id="216" w:name="_Toc462564146"/>
      <w:r/>
      <w:bookmarkStart w:id="217" w:name="_Hlt26955066"/>
      <w:r/>
      <w:bookmarkStart w:id="218" w:name="_格式2__法定代表人授权书"/>
      <w:r>
        <w:rPr>
          <w:highlight w:val="none"/>
        </w:rPr>
        <w:t xml:space="preserve"> </w:t>
      </w:r>
      <w:r/>
    </w:p>
    <w:p>
      <w:pPr>
        <w:pStyle w:val="648"/>
        <w:jc w:val="both"/>
        <w:spacing w:beforeAutospacing="0" w:afterAutospacing="0"/>
        <w:rPr>
          <w:highlight w:val="none"/>
        </w:rPr>
      </w:pPr>
      <w:r>
        <w:rPr>
          <w:highlight w:val="none"/>
        </w:rPr>
        <w:t xml:space="preserve"> </w:t>
      </w:r>
      <w:r/>
    </w:p>
    <w:p>
      <w:pPr>
        <w:pStyle w:val="648"/>
        <w:jc w:val="both"/>
        <w:spacing w:beforeAutospacing="0" w:afterAutospacing="0"/>
        <w:rPr>
          <w:highlight w:val="none"/>
        </w:rPr>
      </w:pPr>
      <w:r>
        <w:rPr>
          <w:highlight w:val="none"/>
        </w:rPr>
        <w:t xml:space="preserve"> </w:t>
      </w:r>
      <w:r/>
    </w:p>
    <w:p>
      <w:pPr>
        <w:pStyle w:val="648"/>
        <w:jc w:val="both"/>
        <w:spacing w:beforeAutospacing="0" w:afterAutospacing="0"/>
        <w:rPr>
          <w:highlight w:val="none"/>
        </w:rPr>
      </w:pPr>
      <w:r>
        <w:rPr>
          <w:highlight w:val="none"/>
        </w:rPr>
      </w:r>
      <w:r/>
    </w:p>
    <w:p>
      <w:pPr>
        <w:pStyle w:val="648"/>
        <w:jc w:val="both"/>
        <w:spacing w:beforeAutospacing="0" w:afterAutospacing="0"/>
        <w:rPr>
          <w:highlight w:val="none"/>
        </w:rPr>
      </w:pPr>
      <w:r>
        <w:rPr>
          <w:highlight w:val="none"/>
        </w:rPr>
      </w:r>
      <w:r/>
    </w:p>
    <w:p>
      <w:pPr>
        <w:pStyle w:val="648"/>
        <w:jc w:val="both"/>
        <w:spacing w:beforeAutospacing="0" w:afterAutospacing="0"/>
        <w:rPr>
          <w:highlight w:val="none"/>
        </w:rPr>
      </w:pPr>
      <w:r>
        <w:rPr>
          <w:highlight w:val="none"/>
        </w:rPr>
      </w:r>
      <w:r/>
    </w:p>
    <w:p>
      <w:pPr>
        <w:pStyle w:val="648"/>
        <w:jc w:val="both"/>
        <w:spacing w:beforeAutospacing="0" w:afterAutospacing="0"/>
        <w:rPr>
          <w:highlight w:val="none"/>
        </w:rPr>
      </w:pPr>
      <w:r>
        <w:rPr>
          <w:highlight w:val="none"/>
        </w:rPr>
      </w:r>
      <w:r/>
    </w:p>
    <w:p>
      <w:pPr>
        <w:pStyle w:val="648"/>
        <w:jc w:val="both"/>
        <w:spacing w:beforeAutospacing="0" w:afterAutospacing="0"/>
        <w:rPr>
          <w:highlight w:val="none"/>
        </w:rPr>
      </w:pPr>
      <w:r>
        <w:rPr>
          <w:highlight w:val="none"/>
        </w:rPr>
      </w:r>
      <w:r/>
    </w:p>
    <w:p>
      <w:pPr>
        <w:pStyle w:val="648"/>
        <w:jc w:val="both"/>
        <w:spacing w:beforeAutospacing="0" w:afterAutospacing="0"/>
        <w:rPr>
          <w:highlight w:val="none"/>
        </w:rPr>
      </w:pPr>
      <w:r>
        <w:rPr>
          <w:highlight w:val="none"/>
        </w:rPr>
      </w:r>
      <w:r/>
    </w:p>
    <w:p>
      <w:pPr>
        <w:pStyle w:val="648"/>
        <w:jc w:val="both"/>
        <w:spacing w:beforeAutospacing="0" w:afterAutospacing="0"/>
        <w:rPr>
          <w:highlight w:val="none"/>
        </w:rPr>
      </w:pPr>
      <w:r>
        <w:rPr>
          <w:highlight w:val="none"/>
        </w:rPr>
      </w:r>
      <w:r/>
    </w:p>
    <w:p>
      <w:pPr>
        <w:pStyle w:val="648"/>
        <w:jc w:val="both"/>
        <w:spacing w:beforeAutospacing="0" w:afterAutospacing="0"/>
        <w:rPr>
          <w:highlight w:val="none"/>
        </w:rPr>
      </w:pPr>
      <w:r>
        <w:rPr>
          <w:highlight w:val="none"/>
        </w:rPr>
      </w:r>
      <w:r/>
    </w:p>
    <w:p>
      <w:pPr>
        <w:pStyle w:val="648"/>
        <w:jc w:val="both"/>
        <w:spacing w:beforeAutospacing="0" w:afterAutospacing="0"/>
        <w:rPr>
          <w:highlight w:val="none"/>
        </w:rPr>
      </w:pPr>
      <w:r>
        <w:rPr>
          <w:highlight w:val="none"/>
        </w:rPr>
      </w:r>
      <w:r/>
    </w:p>
    <w:p>
      <w:pPr>
        <w:pStyle w:val="648"/>
        <w:jc w:val="both"/>
        <w:spacing w:beforeAutospacing="0" w:afterAutospacing="0"/>
        <w:rPr>
          <w:highlight w:val="none"/>
        </w:rPr>
      </w:pPr>
      <w:r>
        <w:rPr>
          <w:highlight w:val="none"/>
        </w:rPr>
      </w:r>
      <w:r/>
    </w:p>
    <w:p>
      <w:pPr>
        <w:pStyle w:val="648"/>
        <w:jc w:val="both"/>
        <w:spacing w:beforeAutospacing="0" w:afterAutospacing="0"/>
        <w:rPr>
          <w:highlight w:val="none"/>
        </w:rPr>
      </w:pPr>
      <w:r>
        <w:rPr>
          <w:highlight w:val="none"/>
        </w:rPr>
      </w:r>
      <w:r/>
    </w:p>
    <w:p>
      <w:pPr>
        <w:pStyle w:val="648"/>
        <w:jc w:val="both"/>
        <w:spacing w:beforeAutospacing="0" w:afterAutospacing="0"/>
        <w:rPr>
          <w:highlight w:val="none"/>
        </w:rPr>
      </w:pPr>
      <w:r>
        <w:rPr>
          <w:highlight w:val="none"/>
        </w:rPr>
      </w:r>
      <w:r/>
    </w:p>
    <w:p>
      <w:pPr>
        <w:pStyle w:val="648"/>
        <w:jc w:val="both"/>
        <w:spacing w:beforeAutospacing="0" w:afterAutospacing="0"/>
        <w:rPr>
          <w:highlight w:val="none"/>
        </w:rPr>
      </w:pPr>
      <w:r>
        <w:rPr>
          <w:highlight w:val="none"/>
        </w:rPr>
      </w:r>
      <w:r/>
    </w:p>
    <w:p>
      <w:pPr>
        <w:pStyle w:val="648"/>
        <w:jc w:val="both"/>
        <w:spacing w:beforeAutospacing="0" w:afterAutospacing="0"/>
        <w:rPr>
          <w:highlight w:val="none"/>
        </w:rPr>
      </w:pPr>
      <w:r>
        <w:rPr>
          <w:highlight w:val="none"/>
        </w:rPr>
      </w:r>
      <w:r/>
    </w:p>
    <w:p>
      <w:pPr>
        <w:pStyle w:val="648"/>
        <w:jc w:val="both"/>
        <w:spacing w:beforeAutospacing="0" w:afterAutospacing="0"/>
        <w:rPr>
          <w:highlight w:val="none"/>
        </w:rPr>
      </w:pPr>
      <w:r>
        <w:rPr>
          <w:highlight w:val="none"/>
        </w:rPr>
      </w:r>
      <w:r/>
    </w:p>
    <w:p>
      <w:pPr>
        <w:pStyle w:val="648"/>
        <w:jc w:val="both"/>
        <w:spacing w:beforeAutospacing="0" w:afterAutospacing="0"/>
        <w:rPr>
          <w:color w:val="auto"/>
          <w:highlight w:val="none"/>
        </w:rPr>
      </w:pPr>
      <w:r>
        <w:rPr>
          <w:rFonts w:hint="eastAsia" w:ascii="黑体" w:hAnsi="宋体" w:eastAsia="黑体" w:cs="黑体"/>
          <w:b/>
          <w:i/>
          <w:color w:val="auto"/>
          <w:sz w:val="32"/>
          <w:szCs w:val="32"/>
          <w:highlight w:val="none"/>
          <w:u w:val="single"/>
        </w:rPr>
        <w:t xml:space="preserve">十五、开标一览表</w:t>
      </w:r>
      <w:r/>
    </w:p>
    <w:p>
      <w:pPr>
        <w:pStyle w:val="648"/>
        <w:ind w:firstLine="480"/>
        <w:jc w:val="both"/>
        <w:spacing w:beforeAutospacing="0" w:afterAutospacing="0"/>
        <w:rPr>
          <w:color w:val="auto"/>
          <w:highlight w:val="none"/>
        </w:rPr>
      </w:pPr>
      <w:r>
        <w:rPr>
          <w:rFonts w:hint="eastAsia" w:ascii="宋体" w:hAnsi="宋体" w:eastAsia="宋体" w:cs="宋体"/>
          <w:color w:val="auto"/>
          <w:highlight w:val="none"/>
        </w:rPr>
        <w:t xml:space="preserve">投标人全称（加盖CA电子签章）：</w:t>
      </w:r>
      <w:r/>
    </w:p>
    <w:p>
      <w:pPr>
        <w:pStyle w:val="648"/>
        <w:ind w:firstLine="480"/>
        <w:jc w:val="both"/>
        <w:spacing w:beforeAutospacing="0" w:afterAutospacing="0"/>
        <w:rPr>
          <w:color w:val="auto"/>
          <w:highlight w:val="none"/>
        </w:rPr>
      </w:pPr>
      <w:r>
        <w:rPr>
          <w:rFonts w:hint="eastAsia" w:ascii="宋体" w:hAnsi="宋体" w:eastAsia="宋体" w:cs="宋体"/>
          <w:color w:val="auto"/>
          <w:highlight w:val="none"/>
        </w:rPr>
        <w:t xml:space="preserve">项目名称：</w:t>
      </w:r>
      <w:r/>
    </w:p>
    <w:p>
      <w:pPr>
        <w:pStyle w:val="648"/>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p>
      <w:pPr>
        <w:pStyle w:val="648"/>
        <w:ind w:firstLine="480"/>
        <w:jc w:val="both"/>
        <w:spacing w:beforeAutospacing="0" w:afterAutospacing="0"/>
        <w:rPr>
          <w:color w:val="auto"/>
          <w:highlight w:val="none"/>
        </w:rPr>
      </w:pPr>
      <w:r>
        <w:rPr>
          <w:rFonts w:hint="eastAsia" w:ascii="宋体" w:hAnsi="宋体" w:eastAsia="宋体" w:cs="宋体"/>
          <w:color w:val="auto"/>
          <w:highlight w:val="none"/>
        </w:rPr>
        <w:t xml:space="preserve">分包号：</w:t>
      </w:r>
      <w:r/>
    </w:p>
    <w:tbl>
      <w:tblPr>
        <w:tblStyle w:val="643"/>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48"/>
              <w:jc w:val="center"/>
              <w:spacing w:beforeAutospacing="0" w:afterAutospacing="0"/>
              <w:rPr>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48"/>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48"/>
              <w:spacing w:beforeAutospacing="0" w:afterAutospacing="0" w:line="0" w:lineRule="atLeast"/>
              <w:rPr>
                <w:color w:val="auto"/>
                <w:highlight w:val="none"/>
              </w:rPr>
            </w:pPr>
            <w:r>
              <w:rPr>
                <w:rFonts w:hint="eastAsia" w:ascii="宋体" w:hAnsi="宋体" w:eastAsia="宋体" w:cs="宋体"/>
                <w:color w:val="auto"/>
                <w:highlight w:val="none"/>
              </w:rPr>
              <w:t xml:space="preserve">小写：                        （人民币：元）</w:t>
            </w:r>
            <w:r/>
          </w:p>
        </w:tc>
      </w:tr>
    </w:tbl>
    <w:p>
      <w:pPr>
        <w:pStyle w:val="648"/>
        <w:jc w:val="both"/>
        <w:spacing w:beforeAutospacing="0" w:afterAutospacing="0"/>
        <w:rPr>
          <w:color w:val="auto"/>
          <w:highlight w:val="none"/>
        </w:rPr>
      </w:pPr>
      <w:r>
        <w:rPr>
          <w:color w:val="auto"/>
          <w:highlight w:val="none"/>
        </w:rPr>
        <w:t xml:space="preserve"> </w:t>
      </w:r>
      <w:r/>
    </w:p>
    <w:p>
      <w:pPr>
        <w:pStyle w:val="648"/>
        <w:ind w:firstLine="480"/>
        <w:jc w:val="both"/>
        <w:spacing w:beforeAutospacing="0" w:afterAutospacing="0"/>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648"/>
        <w:ind w:firstLine="480"/>
        <w:jc w:val="both"/>
        <w:spacing w:beforeAutospacing="0" w:afterAutospacing="0"/>
        <w:rPr>
          <w:highlight w:val="none"/>
        </w:rPr>
      </w:pPr>
      <w:r>
        <w:rPr>
          <w:highlight w:val="none"/>
        </w:rPr>
        <w:t xml:space="preserve"> </w:t>
      </w:r>
      <w:r/>
    </w:p>
    <w:p>
      <w:pPr>
        <w:pStyle w:val="648"/>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jc w:val="center"/>
        <w:spacing w:before="50" w:after="50"/>
        <w:widowControl/>
        <w:rPr>
          <w:highlight w:val="none"/>
        </w:rPr>
      </w:pPr>
      <w:r>
        <w:rPr>
          <w:highlight w:val="none"/>
        </w:rPr>
        <w:tab/>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pStyle w:val="649"/>
        <w:rPr>
          <w:highlight w:val="none"/>
        </w:rPr>
      </w:pPr>
      <w:r>
        <w:rPr>
          <w:highlight w:val="none"/>
        </w:rPr>
      </w:r>
      <w:r/>
    </w:p>
    <w:p>
      <w:pPr>
        <w:pStyle w:val="649"/>
        <w:rPr>
          <w:highlight w:val="none"/>
        </w:rPr>
      </w:pPr>
      <w:r>
        <w:rPr>
          <w:highlight w:val="none"/>
        </w:rPr>
      </w:r>
      <w:r/>
    </w:p>
    <w:p>
      <w:pPr>
        <w:pStyle w:val="649"/>
        <w:rPr>
          <w:highlight w:val="none"/>
        </w:rPr>
      </w:pPr>
      <w:r>
        <w:rPr>
          <w:highlight w:val="none"/>
        </w:rPr>
      </w:r>
      <w:r/>
    </w:p>
    <w:p>
      <w:pPr>
        <w:pStyle w:val="649"/>
        <w:rPr>
          <w:highlight w:val="none"/>
        </w:rPr>
      </w:pPr>
      <w:r>
        <w:rPr>
          <w:highlight w:val="none"/>
        </w:rPr>
      </w:r>
      <w:r/>
    </w:p>
    <w:p>
      <w:pPr>
        <w:pStyle w:val="649"/>
        <w:rPr>
          <w:highlight w:val="none"/>
        </w:rPr>
      </w:pPr>
      <w:r>
        <w:rPr>
          <w:highlight w:val="none"/>
        </w:rPr>
      </w:r>
      <w:r/>
    </w:p>
    <w:p>
      <w:pPr>
        <w:pStyle w:val="649"/>
        <w:rPr>
          <w:highlight w:val="none"/>
        </w:rPr>
      </w:pPr>
      <w:r>
        <w:rPr>
          <w:highlight w:val="none"/>
        </w:rPr>
      </w:r>
      <w:r/>
    </w:p>
    <w:p>
      <w:pPr>
        <w:pStyle w:val="649"/>
        <w:rPr>
          <w:highlight w:val="none"/>
        </w:rPr>
      </w:pPr>
      <w:r>
        <w:rPr>
          <w:highlight w:val="none"/>
        </w:rPr>
      </w:r>
      <w:r/>
    </w:p>
    <w:p>
      <w:pPr>
        <w:pStyle w:val="651"/>
        <w:rPr>
          <w:highlight w:val="none"/>
        </w:rPr>
      </w:pPr>
      <w:r>
        <w:rPr>
          <w:highlight w:val="none"/>
        </w:rPr>
      </w:r>
      <w:r/>
    </w:p>
    <w:p>
      <w:pPr>
        <w:pStyle w:val="651"/>
        <w:rPr>
          <w:highlight w:val="none"/>
        </w:rPr>
      </w:pPr>
      <w:r>
        <w:rPr>
          <w:highlight w:val="none"/>
        </w:rPr>
      </w:r>
      <w:r/>
    </w:p>
    <w:p>
      <w:pPr>
        <w:pStyle w:val="651"/>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rFonts w:ascii="宋体" w:hAnsi="宋体" w:eastAsia="宋体" w:cs="宋体"/>
          <w:b/>
          <w:bCs/>
          <w:sz w:val="24"/>
          <w:highlight w:val="none"/>
        </w:rPr>
      </w:pPr>
      <w:r>
        <w:rPr>
          <w:rFonts w:hint="eastAsia" w:ascii="宋体" w:hAnsi="宋体" w:eastAsia="宋体" w:cs="宋体"/>
          <w:b/>
          <w:bCs/>
          <w:color w:val="000000"/>
          <w:sz w:val="32"/>
          <w:szCs w:val="32"/>
          <w:highlight w:val="none"/>
        </w:rPr>
        <w:t xml:space="preserve">十六、技术方案、服务承诺、培训承诺等</w:t>
      </w:r>
      <w:r/>
    </w:p>
    <w:p>
      <w:pPr>
        <w:pStyle w:val="648"/>
        <w:jc w:val="both"/>
        <w:spacing w:beforeAutospacing="0" w:afterAutospacing="0"/>
        <w:tabs>
          <w:tab w:val="left" w:pos="2160" w:leader="none"/>
        </w:tabs>
        <w:rPr>
          <w:highlight w:val="none"/>
        </w:rPr>
      </w:pPr>
      <w:r>
        <w:rPr>
          <w:highlight w:val="none"/>
        </w:rPr>
      </w:r>
      <w:r/>
    </w:p>
    <w:p>
      <w:pPr>
        <w:ind w:firstLine="420"/>
        <w:spacing w:line="500" w:lineRule="exact"/>
        <w:rPr>
          <w:rFonts w:hint="eastAsia" w:ascii="新宋体" w:hAnsi="新宋体" w:eastAsia="新宋体"/>
          <w:bCs/>
          <w:color w:val="auto"/>
          <w:lang w:eastAsia="zh-CN"/>
        </w:rPr>
      </w:pPr>
      <w:r>
        <w:rPr>
          <w:rFonts w:hint="eastAsia" w:ascii="新宋体" w:hAnsi="新宋体" w:eastAsia="新宋体"/>
          <w:bCs/>
          <w:color w:val="auto"/>
        </w:rPr>
        <w:t xml:space="preserve">（对项目任务的理解和响应；质量、进度保证措施</w:t>
      </w:r>
      <w:r>
        <w:rPr>
          <w:rFonts w:hint="eastAsia" w:ascii="新宋体" w:hAnsi="新宋体" w:eastAsia="新宋体"/>
          <w:bCs/>
          <w:color w:val="auto"/>
          <w:lang w:val="en-US" w:eastAsia="zh-CN"/>
        </w:rPr>
        <w:t xml:space="preserve">；</w:t>
      </w:r>
      <w:r>
        <w:rPr>
          <w:rFonts w:hint="eastAsia" w:ascii="新宋体" w:hAnsi="新宋体" w:eastAsia="新宋体"/>
          <w:bCs/>
          <w:color w:val="auto"/>
        </w:rPr>
        <w:t xml:space="preserve">考察投标人提供的应急服务方案及承诺情况（包括服务时效性承诺、样品快速送检能力承诺等内容）</w:t>
      </w:r>
      <w:r>
        <w:rPr>
          <w:rFonts w:hint="eastAsia" w:ascii="新宋体" w:hAnsi="新宋体" w:eastAsia="新宋体"/>
          <w:bCs/>
          <w:color w:val="auto"/>
          <w:lang w:eastAsia="zh-CN"/>
        </w:rPr>
        <w:t xml:space="preserve">）</w:t>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jc w:val="center"/>
        <w:spacing w:line="499" w:lineRule="atLeast"/>
        <w:widowControl/>
        <w:rPr>
          <w:rFonts w:ascii="宋体" w:hAnsi="宋体" w:eastAsia="宋体" w:cs="宋体"/>
          <w:b/>
          <w:bCs/>
          <w:color w:val="auto"/>
          <w:sz w:val="24"/>
          <w:highlight w:val="none"/>
        </w:rPr>
      </w:pPr>
      <w:r>
        <w:rPr>
          <w:rFonts w:hint="eastAsia" w:ascii="宋体" w:hAnsi="宋体" w:eastAsia="宋体" w:cs="宋体"/>
          <w:b/>
          <w:bCs/>
          <w:color w:val="000000"/>
          <w:sz w:val="32"/>
          <w:szCs w:val="32"/>
          <w:highlight w:val="none"/>
        </w:rPr>
        <w:t xml:space="preserve">十</w:t>
      </w:r>
      <w:r>
        <w:rPr>
          <w:rFonts w:hint="eastAsia" w:ascii="宋体" w:hAnsi="宋体" w:eastAsia="宋体" w:cs="宋体"/>
          <w:b/>
          <w:bCs/>
          <w:color w:val="000000"/>
          <w:sz w:val="32"/>
          <w:szCs w:val="32"/>
          <w:highlight w:val="none"/>
          <w:lang w:eastAsia="zh-CN"/>
        </w:rPr>
        <w:t xml:space="preserve">七</w:t>
      </w:r>
      <w:r>
        <w:rPr>
          <w:rFonts w:hint="eastAsia" w:ascii="宋体" w:hAnsi="宋体" w:eastAsia="宋体" w:cs="宋体"/>
          <w:b/>
          <w:bCs/>
          <w:color w:val="000000"/>
          <w:sz w:val="32"/>
          <w:szCs w:val="32"/>
          <w:highlight w:val="none"/>
        </w:rPr>
        <w:t xml:space="preserve">、CATL资质证书及实验室资质、登记与相关的检测能力附表</w:t>
      </w:r>
      <w:r>
        <w:rPr>
          <w:rFonts w:hint="eastAsia" w:ascii="宋体" w:hAnsi="宋体" w:eastAsia="宋体" w:cs="宋体"/>
          <w:b/>
          <w:bCs/>
          <w:color w:val="auto"/>
          <w:sz w:val="32"/>
          <w:szCs w:val="32"/>
          <w:highlight w:val="none"/>
        </w:rPr>
        <w:t xml:space="preserve">项目</w:t>
      </w:r>
      <w:r/>
    </w:p>
    <w:tbl>
      <w:tblPr>
        <w:tblStyle w:val="643"/>
        <w:tblW w:w="92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065"/>
        <w:gridCol w:w="4500"/>
      </w:tblGrid>
      <w:tr>
        <w:trPr>
          <w:trHeight w:val="882"/>
        </w:trPr>
        <w:tc>
          <w:tcPr>
            <w:tcW w:w="646" w:type="dxa"/>
            <w:vAlign w:val="center"/>
            <w:textDirection w:val="lrTb"/>
            <w:noWrap w:val="false"/>
          </w:tcPr>
          <w:p>
            <w:pPr>
              <w:jc w:val="center"/>
              <w:spacing w:line="240" w:lineRule="atLeast"/>
              <w:rPr>
                <w:rFonts w:ascii="幼圆" w:eastAsia="幼圆"/>
                <w:b/>
                <w:color w:val="auto"/>
              </w:rPr>
            </w:pPr>
            <w:r>
              <w:rPr>
                <w:rFonts w:hint="eastAsia" w:ascii="幼圆" w:eastAsia="幼圆"/>
                <w:b/>
                <w:color w:val="auto"/>
              </w:rPr>
              <w:t xml:space="preserve">序号</w:t>
            </w:r>
            <w:r/>
          </w:p>
        </w:tc>
        <w:tc>
          <w:tcPr>
            <w:tcW w:w="4065" w:type="dxa"/>
            <w:vAlign w:val="center"/>
            <w:textDirection w:val="lrTb"/>
            <w:noWrap w:val="false"/>
          </w:tcPr>
          <w:p>
            <w:pPr>
              <w:jc w:val="center"/>
              <w:spacing w:line="240" w:lineRule="atLeast"/>
              <w:rPr>
                <w:rFonts w:hint="eastAsia" w:ascii="幼圆" w:eastAsia="幼圆"/>
                <w:b/>
                <w:color w:val="auto"/>
                <w:highlight w:val="none"/>
                <w:lang w:eastAsia="zh-CN"/>
              </w:rPr>
            </w:pPr>
            <w:r>
              <w:rPr>
                <w:rFonts w:hint="eastAsia" w:ascii="幼圆" w:eastAsia="幼圆"/>
                <w:b/>
                <w:color w:val="auto"/>
                <w:highlight w:val="none"/>
                <w:lang w:eastAsia="zh-CN"/>
              </w:rPr>
              <w:t xml:space="preserve">采购需求中相关参数名称</w:t>
            </w:r>
            <w:r/>
          </w:p>
        </w:tc>
        <w:tc>
          <w:tcPr>
            <w:tcW w:w="4500" w:type="dxa"/>
            <w:vAlign w:val="center"/>
            <w:textDirection w:val="lrTb"/>
            <w:noWrap w:val="false"/>
          </w:tcPr>
          <w:p>
            <w:pPr>
              <w:jc w:val="center"/>
              <w:spacing w:line="240" w:lineRule="atLeast"/>
              <w:rPr>
                <w:rFonts w:hint="eastAsia" w:ascii="幼圆" w:eastAsia="幼圆"/>
                <w:b/>
                <w:color w:val="auto"/>
                <w:highlight w:val="none"/>
              </w:rPr>
            </w:pPr>
            <w:r/>
            <w:bookmarkStart w:id="219" w:name="_Hlk40793729"/>
            <w:r>
              <w:rPr>
                <w:rFonts w:hint="eastAsia" w:ascii="宋体" w:hAnsi="宋体"/>
                <w:b/>
                <w:color w:val="auto"/>
                <w:sz w:val="24"/>
                <w:szCs w:val="24"/>
                <w:highlight w:val="none"/>
              </w:rPr>
              <w:t xml:space="preserve">证书含该项目所有检测参数的投标文件中的页码位置</w:t>
            </w:r>
            <w:bookmarkEnd w:id="219"/>
            <w:r>
              <w:rPr>
                <w:rFonts w:hint="eastAsia" w:ascii="宋体" w:hAnsi="宋体"/>
                <w:b/>
                <w:color w:val="auto"/>
                <w:sz w:val="24"/>
                <w:szCs w:val="24"/>
                <w:highlight w:val="none"/>
              </w:rPr>
              <w:t xml:space="preserve">（并下划标注）</w:t>
            </w:r>
            <w:r/>
          </w:p>
        </w:tc>
      </w:tr>
      <w:tr>
        <w:trPr>
          <w:trHeight w:val="585"/>
        </w:trPr>
        <w:tc>
          <w:tcPr>
            <w:tcW w:w="646" w:type="dxa"/>
            <w:vAlign w:val="center"/>
            <w:textDirection w:val="lrTb"/>
            <w:noWrap w:val="false"/>
          </w:tcPr>
          <w:p>
            <w:pPr>
              <w:rPr>
                <w:rFonts w:ascii="宋体" w:hAnsi="宋体"/>
                <w:b/>
                <w:color w:val="000000"/>
              </w:rPr>
            </w:pPr>
            <w:r>
              <w:rPr>
                <w:rFonts w:hint="eastAsia" w:ascii="宋体" w:hAnsi="宋体"/>
                <w:b/>
                <w:color w:val="000000"/>
              </w:rPr>
              <w:t xml:space="preserve">1</w:t>
            </w:r>
            <w:r/>
          </w:p>
        </w:tc>
        <w:tc>
          <w:tcPr>
            <w:tcW w:w="4065" w:type="dxa"/>
            <w:vAlign w:val="center"/>
            <w:textDirection w:val="lrTb"/>
            <w:noWrap w:val="false"/>
          </w:tcPr>
          <w:p>
            <w:pPr>
              <w:spacing w:line="480" w:lineRule="exact"/>
              <w:rPr>
                <w:rFonts w:ascii="宋体" w:hAnsi="宋体"/>
                <w:iCs/>
                <w:color w:val="000000"/>
                <w:sz w:val="24"/>
                <w:szCs w:val="24"/>
              </w:rPr>
            </w:pPr>
            <w:r>
              <w:rPr>
                <w:rFonts w:ascii="宋体" w:hAnsi="宋体"/>
                <w:iCs/>
                <w:color w:val="000000"/>
                <w:sz w:val="24"/>
                <w:szCs w:val="24"/>
              </w:rPr>
            </w:r>
            <w:r/>
          </w:p>
        </w:tc>
        <w:tc>
          <w:tcPr>
            <w:tcW w:w="4500" w:type="dxa"/>
            <w:vAlign w:val="center"/>
            <w:textDirection w:val="lrTb"/>
            <w:noWrap w:val="false"/>
          </w:tcPr>
          <w:p>
            <w:pPr>
              <w:rPr>
                <w:rFonts w:ascii="宋体" w:hAnsi="宋体"/>
                <w:b/>
                <w:color w:val="000000"/>
              </w:rPr>
            </w:pPr>
            <w:r>
              <w:rPr>
                <w:rFonts w:ascii="宋体" w:hAnsi="宋体"/>
                <w:b/>
                <w:color w:val="000000"/>
              </w:rPr>
            </w:r>
            <w:r/>
          </w:p>
        </w:tc>
      </w:tr>
      <w:tr>
        <w:trPr>
          <w:trHeight w:val="585"/>
        </w:trPr>
        <w:tc>
          <w:tcPr>
            <w:tcW w:w="646" w:type="dxa"/>
            <w:vAlign w:val="center"/>
            <w:textDirection w:val="lrTb"/>
            <w:noWrap w:val="false"/>
          </w:tcPr>
          <w:p>
            <w:pPr>
              <w:rPr>
                <w:rFonts w:ascii="宋体" w:hAnsi="宋体"/>
                <w:color w:val="000000"/>
              </w:rPr>
            </w:pPr>
            <w:r>
              <w:rPr>
                <w:rFonts w:hint="eastAsia" w:ascii="宋体" w:hAnsi="宋体"/>
                <w:color w:val="000000"/>
              </w:rPr>
              <w:t xml:space="preserve">2</w:t>
            </w:r>
            <w:r/>
          </w:p>
        </w:tc>
        <w:tc>
          <w:tcPr>
            <w:tcW w:w="4065" w:type="dxa"/>
            <w:vAlign w:val="center"/>
            <w:textDirection w:val="lrTb"/>
            <w:noWrap w:val="false"/>
          </w:tcPr>
          <w:p>
            <w:pPr>
              <w:spacing w:line="480" w:lineRule="exact"/>
              <w:rPr>
                <w:rFonts w:ascii="宋体" w:hAnsi="宋体"/>
                <w:iCs/>
                <w:color w:val="000000"/>
                <w:sz w:val="24"/>
                <w:szCs w:val="24"/>
              </w:rPr>
            </w:pPr>
            <w:r>
              <w:rPr>
                <w:rFonts w:ascii="宋体" w:hAnsi="宋体"/>
                <w:iCs/>
                <w:color w:val="000000"/>
                <w:sz w:val="24"/>
                <w:szCs w:val="24"/>
              </w:rPr>
            </w:r>
            <w:r/>
          </w:p>
        </w:tc>
        <w:tc>
          <w:tcPr>
            <w:tcW w:w="4500" w:type="dxa"/>
            <w:vAlign w:val="center"/>
            <w:textDirection w:val="lrTb"/>
            <w:noWrap w:val="false"/>
          </w:tcPr>
          <w:p>
            <w:pPr>
              <w:rPr>
                <w:rFonts w:ascii="宋体" w:hAnsi="宋体"/>
                <w:color w:val="000000"/>
              </w:rPr>
            </w:pPr>
            <w:r>
              <w:rPr>
                <w:rFonts w:ascii="宋体" w:hAnsi="宋体"/>
                <w:color w:val="000000"/>
              </w:rPr>
            </w:r>
            <w:r/>
          </w:p>
        </w:tc>
      </w:tr>
      <w:tr>
        <w:trPr>
          <w:trHeight w:val="585"/>
        </w:trPr>
        <w:tc>
          <w:tcPr>
            <w:tcW w:w="646" w:type="dxa"/>
            <w:vAlign w:val="center"/>
            <w:textDirection w:val="lrTb"/>
            <w:noWrap w:val="false"/>
          </w:tcPr>
          <w:p>
            <w:pPr>
              <w:rPr>
                <w:rFonts w:ascii="宋体" w:hAnsi="宋体"/>
                <w:color w:val="000000"/>
              </w:rPr>
            </w:pPr>
            <w:r>
              <w:rPr>
                <w:rFonts w:hint="eastAsia" w:ascii="宋体" w:hAnsi="宋体"/>
                <w:color w:val="000000"/>
              </w:rPr>
              <w:t xml:space="preserve">3</w:t>
            </w:r>
            <w:r/>
          </w:p>
        </w:tc>
        <w:tc>
          <w:tcPr>
            <w:tcW w:w="4065" w:type="dxa"/>
            <w:vAlign w:val="center"/>
            <w:textDirection w:val="lrTb"/>
            <w:noWrap w:val="false"/>
          </w:tcPr>
          <w:p>
            <w:pPr>
              <w:spacing w:line="480" w:lineRule="exact"/>
              <w:rPr>
                <w:rFonts w:hint="eastAsia" w:ascii="宋体" w:hAnsi="宋体"/>
                <w:iCs/>
                <w:color w:val="000000"/>
                <w:sz w:val="24"/>
                <w:szCs w:val="24"/>
              </w:rPr>
            </w:pPr>
            <w:r>
              <w:rPr>
                <w:rFonts w:hint="eastAsia" w:ascii="宋体" w:hAnsi="宋体"/>
                <w:iCs/>
                <w:color w:val="000000"/>
                <w:sz w:val="24"/>
                <w:szCs w:val="24"/>
              </w:rPr>
            </w:r>
            <w:r/>
          </w:p>
        </w:tc>
        <w:tc>
          <w:tcPr>
            <w:tcW w:w="4500" w:type="dxa"/>
            <w:vAlign w:val="center"/>
            <w:textDirection w:val="lrTb"/>
            <w:noWrap w:val="false"/>
          </w:tcPr>
          <w:p>
            <w:pPr>
              <w:rPr>
                <w:rFonts w:ascii="宋体" w:hAnsi="宋体"/>
                <w:color w:val="000000"/>
              </w:rPr>
            </w:pPr>
            <w:r>
              <w:rPr>
                <w:rFonts w:ascii="宋体" w:hAnsi="宋体"/>
                <w:color w:val="000000"/>
              </w:rPr>
            </w:r>
            <w:r/>
          </w:p>
        </w:tc>
      </w:tr>
      <w:tr>
        <w:trPr>
          <w:trHeight w:val="2596"/>
        </w:trPr>
        <w:tc>
          <w:tcPr>
            <w:tcW w:w="646" w:type="dxa"/>
            <w:vAlign w:val="center"/>
            <w:textDirection w:val="lrTb"/>
            <w:noWrap w:val="false"/>
          </w:tcPr>
          <w:p>
            <w:pPr>
              <w:rPr>
                <w:rFonts w:ascii="宋体" w:hAnsi="宋体"/>
                <w:color w:val="000000"/>
              </w:rPr>
            </w:pPr>
            <w:r>
              <w:rPr>
                <w:rFonts w:hint="eastAsia" w:ascii="宋体" w:hAnsi="宋体"/>
                <w:color w:val="000000"/>
              </w:rPr>
              <w:t xml:space="preserve">4</w:t>
            </w:r>
            <w:r/>
          </w:p>
        </w:tc>
        <w:tc>
          <w:tcPr>
            <w:tcW w:w="4065" w:type="dxa"/>
            <w:vAlign w:val="center"/>
            <w:textDirection w:val="lrTb"/>
            <w:noWrap w:val="false"/>
          </w:tcPr>
          <w:p>
            <w:pPr>
              <w:spacing w:line="360" w:lineRule="auto"/>
              <w:rPr>
                <w:rFonts w:hint="eastAsia" w:ascii="宋体" w:hAnsi="宋体"/>
                <w:iCs/>
                <w:color w:val="000000"/>
                <w:sz w:val="24"/>
                <w:szCs w:val="24"/>
              </w:rPr>
            </w:pPr>
            <w:r>
              <w:rPr>
                <w:rFonts w:hint="eastAsia" w:ascii="宋体" w:hAnsi="宋体"/>
                <w:iCs/>
                <w:color w:val="000000"/>
                <w:sz w:val="24"/>
                <w:szCs w:val="24"/>
              </w:rPr>
            </w:r>
            <w:r/>
          </w:p>
        </w:tc>
        <w:tc>
          <w:tcPr>
            <w:tcW w:w="4500" w:type="dxa"/>
            <w:vAlign w:val="center"/>
            <w:textDirection w:val="lrTb"/>
            <w:noWrap w:val="false"/>
          </w:tcPr>
          <w:p>
            <w:pPr>
              <w:rPr>
                <w:rFonts w:ascii="宋体" w:hAnsi="宋体"/>
                <w:color w:val="000000"/>
              </w:rPr>
            </w:pPr>
            <w:r>
              <w:rPr>
                <w:rFonts w:ascii="宋体" w:hAnsi="宋体"/>
                <w:color w:val="000000"/>
              </w:rPr>
            </w:r>
            <w:r/>
          </w:p>
        </w:tc>
      </w:tr>
      <w:tr>
        <w:trPr>
          <w:trHeight w:val="1575"/>
        </w:trPr>
        <w:tc>
          <w:tcPr>
            <w:tcW w:w="646" w:type="dxa"/>
            <w:vAlign w:val="center"/>
            <w:textDirection w:val="lrTb"/>
            <w:noWrap w:val="false"/>
          </w:tcPr>
          <w:p>
            <w:pPr>
              <w:rPr>
                <w:rFonts w:ascii="宋体" w:hAnsi="宋体"/>
                <w:b/>
                <w:bCs/>
                <w:color w:val="auto"/>
                <w:highlight w:val="none"/>
              </w:rPr>
            </w:pPr>
            <w:r>
              <w:rPr>
                <w:rFonts w:hint="eastAsia" w:ascii="宋体" w:hAnsi="宋体"/>
                <w:b/>
                <w:bCs/>
                <w:color w:val="auto"/>
                <w:highlight w:val="none"/>
              </w:rPr>
              <w:t xml:space="preserve">5</w:t>
            </w:r>
            <w:r/>
          </w:p>
        </w:tc>
        <w:tc>
          <w:tcPr>
            <w:tcW w:w="4065" w:type="dxa"/>
            <w:vAlign w:val="center"/>
            <w:textDirection w:val="lrTb"/>
            <w:noWrap w:val="false"/>
          </w:tcPr>
          <w:p>
            <w:pPr>
              <w:jc w:val="center"/>
              <w:spacing w:line="500" w:lineRule="exact"/>
              <w:rPr>
                <w:rFonts w:ascii="宋体" w:hAnsi="宋体"/>
                <w:b/>
                <w:bCs/>
                <w:i/>
                <w:iCs/>
                <w:color w:val="auto"/>
                <w:sz w:val="24"/>
                <w:szCs w:val="24"/>
                <w:highlight w:val="green"/>
              </w:rPr>
            </w:pPr>
            <w:r>
              <w:rPr>
                <w:rFonts w:hint="eastAsia" w:ascii="宋体"/>
                <w:b/>
                <w:bCs/>
                <w:i/>
                <w:iCs/>
                <w:color w:val="auto"/>
                <w:sz w:val="24"/>
                <w:szCs w:val="24"/>
                <w:highlight w:val="green"/>
                <w:u w:val="none"/>
              </w:rPr>
              <w:t xml:space="preserve">例：甲胺磷</w:t>
            </w:r>
            <w:r/>
          </w:p>
        </w:tc>
        <w:tc>
          <w:tcPr>
            <w:tcW w:w="4500" w:type="dxa"/>
            <w:vAlign w:val="center"/>
            <w:textDirection w:val="lrTb"/>
            <w:noWrap w:val="false"/>
          </w:tcPr>
          <w:p>
            <w:pPr>
              <w:jc w:val="center"/>
              <w:spacing w:line="500" w:lineRule="exact"/>
              <w:rPr>
                <w:rFonts w:ascii="宋体" w:hAnsi="宋体"/>
                <w:b/>
                <w:bCs/>
                <w:i/>
                <w:iCs/>
                <w:color w:val="auto"/>
                <w:highlight w:val="green"/>
              </w:rPr>
            </w:pPr>
            <w:r>
              <w:rPr>
                <w:rFonts w:hint="eastAsia" w:ascii="宋体"/>
                <w:b/>
                <w:bCs/>
                <w:i/>
                <w:iCs/>
                <w:color w:val="auto"/>
                <w:sz w:val="24"/>
                <w:szCs w:val="24"/>
                <w:highlight w:val="green"/>
                <w:u w:val="none"/>
              </w:rPr>
              <w:t xml:space="preserve">例：P145，</w:t>
            </w:r>
            <w:r>
              <w:rPr>
                <w:rFonts w:hint="eastAsia" w:ascii="宋体"/>
                <w:b/>
                <w:bCs/>
                <w:i/>
                <w:iCs/>
                <w:color w:val="auto"/>
                <w:sz w:val="24"/>
                <w:szCs w:val="24"/>
                <w:highlight w:val="green"/>
                <w:u w:val="single"/>
              </w:rPr>
              <w:t xml:space="preserve">甲胺磷</w:t>
            </w:r>
            <w:r>
              <w:rPr>
                <w:rFonts w:hint="eastAsia" w:ascii="宋体"/>
                <w:b/>
                <w:bCs/>
                <w:i/>
                <w:iCs/>
                <w:color w:val="auto"/>
                <w:sz w:val="24"/>
                <w:szCs w:val="24"/>
                <w:highlight w:val="green"/>
                <w:u w:val="none"/>
                <w:lang w:eastAsia="zh-CN"/>
              </w:rPr>
              <w:t xml:space="preserve">（</w:t>
            </w:r>
            <w:r>
              <w:rPr>
                <w:rFonts w:hint="eastAsia" w:ascii="宋体"/>
                <w:b/>
                <w:bCs/>
                <w:i/>
                <w:iCs/>
                <w:color w:val="auto"/>
                <w:sz w:val="24"/>
                <w:szCs w:val="24"/>
                <w:highlight w:val="green"/>
                <w:u w:val="none"/>
              </w:rPr>
              <w:t xml:space="preserve">并下划标注</w:t>
            </w:r>
            <w:r>
              <w:rPr>
                <w:rFonts w:hint="eastAsia" w:ascii="宋体"/>
                <w:b/>
                <w:bCs/>
                <w:i/>
                <w:iCs/>
                <w:color w:val="auto"/>
                <w:sz w:val="24"/>
                <w:szCs w:val="24"/>
                <w:highlight w:val="green"/>
                <w:u w:val="none"/>
                <w:lang w:eastAsia="zh-CN"/>
              </w:rPr>
              <w:t xml:space="preserve">）</w:t>
            </w:r>
            <w:r/>
          </w:p>
        </w:tc>
      </w:tr>
      <w:tr>
        <w:trPr>
          <w:trHeight w:val="90"/>
        </w:trPr>
        <w:tc>
          <w:tcPr>
            <w:tcW w:w="646" w:type="dxa"/>
            <w:vAlign w:val="center"/>
            <w:textDirection w:val="lrTb"/>
            <w:noWrap w:val="false"/>
          </w:tcPr>
          <w:p>
            <w:pPr>
              <w:rPr>
                <w:rFonts w:ascii="宋体" w:hAnsi="宋体"/>
                <w:color w:val="000000"/>
              </w:rPr>
            </w:pPr>
            <w:r>
              <w:rPr>
                <w:rFonts w:hint="eastAsia" w:ascii="宋体" w:hAnsi="宋体"/>
                <w:color w:val="000000"/>
              </w:rPr>
              <w:t xml:space="preserve">6</w:t>
            </w:r>
            <w:r/>
          </w:p>
        </w:tc>
        <w:tc>
          <w:tcPr>
            <w:tcW w:w="4065" w:type="dxa"/>
            <w:vAlign w:val="center"/>
            <w:textDirection w:val="lrTb"/>
            <w:noWrap w:val="false"/>
          </w:tcPr>
          <w:p>
            <w:pPr>
              <w:spacing w:line="590" w:lineRule="atLeast"/>
              <w:rPr>
                <w:rFonts w:ascii="宋体" w:hAnsi="宋体"/>
                <w:iCs/>
                <w:color w:val="000000"/>
                <w:sz w:val="24"/>
                <w:szCs w:val="24"/>
              </w:rPr>
            </w:pPr>
            <w:r>
              <w:rPr>
                <w:rFonts w:ascii="宋体" w:hAnsi="宋体"/>
                <w:iCs/>
                <w:color w:val="000000"/>
                <w:sz w:val="24"/>
                <w:szCs w:val="24"/>
              </w:rPr>
            </w:r>
            <w:r/>
          </w:p>
        </w:tc>
        <w:tc>
          <w:tcPr>
            <w:tcW w:w="4500" w:type="dxa"/>
            <w:vAlign w:val="center"/>
            <w:textDirection w:val="lrTb"/>
            <w:noWrap w:val="false"/>
          </w:tcPr>
          <w:p>
            <w:pPr>
              <w:rPr>
                <w:rFonts w:ascii="宋体" w:hAnsi="宋体"/>
                <w:color w:val="000000"/>
              </w:rPr>
            </w:pPr>
            <w:r>
              <w:rPr>
                <w:rFonts w:ascii="宋体" w:hAnsi="宋体"/>
                <w:color w:val="000000"/>
              </w:rPr>
            </w:r>
            <w:r/>
          </w:p>
        </w:tc>
      </w:tr>
      <w:tr>
        <w:trPr>
          <w:trHeight w:val="400"/>
        </w:trPr>
        <w:tc>
          <w:tcPr>
            <w:tcW w:w="646" w:type="dxa"/>
            <w:vAlign w:val="center"/>
            <w:textDirection w:val="lrTb"/>
            <w:noWrap w:val="false"/>
          </w:tcPr>
          <w:p>
            <w:pPr>
              <w:rPr>
                <w:rFonts w:hint="eastAsia" w:ascii="宋体" w:hAnsi="宋体"/>
                <w:color w:val="000000"/>
              </w:rPr>
            </w:pPr>
            <w:r>
              <w:rPr>
                <w:rFonts w:hint="eastAsia" w:ascii="宋体" w:hAnsi="宋体"/>
                <w:color w:val="000000"/>
              </w:rPr>
              <w:t xml:space="preserve">7</w:t>
            </w:r>
            <w:r/>
          </w:p>
        </w:tc>
        <w:tc>
          <w:tcPr>
            <w:tcW w:w="4065" w:type="dxa"/>
            <w:vAlign w:val="center"/>
            <w:textDirection w:val="lrTb"/>
            <w:noWrap w:val="false"/>
          </w:tcPr>
          <w:p>
            <w:pPr>
              <w:spacing w:line="590" w:lineRule="atLeast"/>
              <w:rPr>
                <w:rFonts w:hint="eastAsia" w:ascii="宋体" w:hAnsi="宋体"/>
                <w:iCs/>
                <w:color w:val="000000"/>
                <w:sz w:val="24"/>
                <w:szCs w:val="24"/>
              </w:rPr>
            </w:pPr>
            <w:r>
              <w:rPr>
                <w:rFonts w:hint="eastAsia" w:ascii="宋体" w:hAnsi="宋体"/>
                <w:iCs/>
                <w:color w:val="000000"/>
                <w:sz w:val="24"/>
                <w:szCs w:val="24"/>
              </w:rPr>
            </w:r>
            <w:r/>
          </w:p>
        </w:tc>
        <w:tc>
          <w:tcPr>
            <w:tcW w:w="4500" w:type="dxa"/>
            <w:vAlign w:val="center"/>
            <w:textDirection w:val="lrTb"/>
            <w:noWrap w:val="false"/>
          </w:tcPr>
          <w:p>
            <w:pPr>
              <w:rPr>
                <w:rFonts w:ascii="宋体" w:hAnsi="宋体"/>
                <w:color w:val="000000"/>
              </w:rPr>
            </w:pPr>
            <w:r>
              <w:rPr>
                <w:rFonts w:ascii="宋体" w:hAnsi="宋体"/>
                <w:color w:val="000000"/>
              </w:rPr>
            </w:r>
            <w:r/>
          </w:p>
        </w:tc>
      </w:tr>
    </w:tbl>
    <w:p>
      <w:pPr>
        <w:ind w:firstLine="1600"/>
        <w:spacing w:line="499" w:lineRule="atLeast"/>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ind w:firstLine="1600"/>
        <w:spacing w:line="499" w:lineRule="atLeast"/>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ind w:firstLine="1600"/>
        <w:spacing w:line="499" w:lineRule="atLeast"/>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649"/>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649"/>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649"/>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649"/>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ind w:firstLine="1600"/>
        <w:spacing w:line="499" w:lineRule="atLeast"/>
        <w:widowControl/>
        <w:rPr>
          <w:rFonts w:ascii="宋体" w:hAnsi="宋体" w:eastAsia="宋体" w:cs="宋体"/>
          <w:b/>
          <w:bCs/>
          <w:sz w:val="24"/>
          <w:highlight w:val="none"/>
        </w:rPr>
      </w:pPr>
      <w:r>
        <w:rPr>
          <w:rFonts w:hint="eastAsia" w:ascii="宋体" w:hAnsi="宋体" w:eastAsia="宋体" w:cs="宋体"/>
          <w:b/>
          <w:bCs/>
          <w:color w:val="000000"/>
          <w:sz w:val="32"/>
          <w:szCs w:val="32"/>
          <w:highlight w:val="none"/>
        </w:rPr>
        <w:t xml:space="preserve">十</w:t>
      </w:r>
      <w:r>
        <w:rPr>
          <w:rFonts w:hint="eastAsia" w:ascii="宋体" w:hAnsi="宋体" w:eastAsia="宋体" w:cs="宋体"/>
          <w:b/>
          <w:bCs/>
          <w:color w:val="000000"/>
          <w:sz w:val="32"/>
          <w:szCs w:val="32"/>
          <w:highlight w:val="none"/>
          <w:lang w:eastAsia="zh-CN"/>
        </w:rPr>
        <w:t xml:space="preserve">八</w:t>
      </w:r>
      <w:r>
        <w:rPr>
          <w:rFonts w:hint="eastAsia" w:ascii="宋体" w:hAnsi="宋体" w:eastAsia="宋体" w:cs="宋体"/>
          <w:b/>
          <w:bCs/>
          <w:color w:val="000000"/>
          <w:sz w:val="32"/>
          <w:szCs w:val="32"/>
          <w:highlight w:val="none"/>
        </w:rPr>
        <w:t xml:space="preserve">、盐</w:t>
      </w:r>
      <w:r>
        <w:rPr>
          <w:rFonts w:hint="eastAsia" w:ascii="宋体" w:hAnsi="宋体" w:eastAsia="宋体" w:cs="宋体"/>
          <w:b/>
          <w:bCs/>
          <w:color w:val="000000"/>
          <w:sz w:val="32"/>
          <w:szCs w:val="32"/>
          <w:highlight w:val="none"/>
          <w:lang w:eastAsia="zh-CN"/>
        </w:rPr>
        <w:t xml:space="preserve">都区</w:t>
      </w:r>
      <w:r>
        <w:rPr>
          <w:rFonts w:hint="eastAsia" w:ascii="宋体" w:hAnsi="宋体" w:eastAsia="宋体" w:cs="宋体"/>
          <w:b/>
          <w:bCs/>
          <w:color w:val="000000"/>
          <w:sz w:val="32"/>
          <w:szCs w:val="32"/>
          <w:highlight w:val="none"/>
        </w:rPr>
        <w:t xml:space="preserve">政府采购事前信用承诺书</w:t>
      </w:r>
      <w:r/>
    </w:p>
    <w:p>
      <w:pPr>
        <w:ind w:firstLine="640"/>
        <w:jc w:val="left"/>
        <w:spacing w:line="499" w:lineRule="atLeast"/>
        <w:widowControl/>
        <w:rPr>
          <w:rFonts w:ascii="宋体" w:hAnsi="宋体" w:eastAsia="宋体" w:cs="宋体"/>
          <w:sz w:val="24"/>
          <w:highlight w:val="none"/>
        </w:rPr>
      </w:pPr>
      <w:r>
        <w:rPr>
          <w:rFonts w:hint="eastAsia" w:ascii="宋体" w:hAnsi="宋体" w:eastAsia="宋体" w:cs="宋体"/>
          <w:color w:val="000000"/>
          <w:sz w:val="32"/>
          <w:szCs w:val="32"/>
          <w:highlight w:val="none"/>
        </w:rPr>
        <w:t xml:space="preserve"> </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（四）严格遵守即时信息公示规定，及时维护和更新维护和更新盐城市政府采购网中与本单位相关的信息；</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（八）本人已认真阅读了上述承诺，并向本单位员工作了宣传教育。</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法定代表人签名：</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单位名称（盖章）：</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年月日</w:t>
      </w:r>
      <w:r/>
    </w:p>
    <w:p>
      <w:pPr>
        <w:pStyle w:val="648"/>
        <w:jc w:val="center"/>
        <w:spacing w:beforeAutospacing="0" w:afterAutospacing="0"/>
        <w:rPr>
          <w:highlight w:val="none"/>
        </w:rPr>
      </w:pPr>
      <w:r>
        <w:rPr>
          <w:highlight w:val="none"/>
        </w:rPr>
      </w:r>
      <w:bookmarkEnd w:id="41"/>
      <w:bookmarkEnd w:id="56"/>
      <w:bookmarkEnd w:id="101"/>
      <w:bookmarkEnd w:id="102"/>
      <w:bookmarkEnd w:id="103"/>
      <w:bookmarkEnd w:id="106"/>
      <w:bookmarkEnd w:id="107"/>
      <w:bookmarkEnd w:id="108"/>
      <w:bookmarkEnd w:id="109"/>
      <w:bookmarkEnd w:id="110"/>
      <w:bookmarkEnd w:id="111"/>
      <w:bookmarkEnd w:id="112"/>
      <w:bookmarkEnd w:id="113"/>
      <w:bookmarkEnd w:id="114"/>
      <w:bookmarkEnd w:id="115"/>
      <w:bookmarkEnd w:id="116"/>
      <w:bookmarkEnd w:id="117"/>
      <w:bookmarkEnd w:id="118"/>
      <w:bookmarkEnd w:id="123"/>
      <w:bookmarkEnd w:id="124"/>
      <w:bookmarkEnd w:id="125"/>
      <w:bookmarkEnd w:id="130"/>
      <w:bookmarkEnd w:id="131"/>
      <w:bookmarkEnd w:id="138"/>
      <w:bookmarkEnd w:id="189"/>
      <w:bookmarkEnd w:id="193"/>
      <w:bookmarkEnd w:id="199"/>
      <w:bookmarkEnd w:id="200"/>
      <w:bookmarkEnd w:id="202"/>
      <w:bookmarkEnd w:id="203"/>
      <w:bookmarkEnd w:id="204"/>
      <w:bookmarkEnd w:id="205"/>
      <w:bookmarkEnd w:id="214"/>
      <w:bookmarkEnd w:id="215"/>
      <w:bookmarkEnd w:id="216"/>
      <w:bookmarkEnd w:id="217"/>
      <w:bookmarkEnd w:id="218"/>
      <w:r/>
    </w:p>
    <w:p>
      <w:pPr>
        <w:rPr>
          <w:highlight w:val="none"/>
        </w:rPr>
      </w:pPr>
      <w:r>
        <w:rPr>
          <w:highlight w:val="none"/>
        </w:rPr>
      </w:r>
      <w:r/>
    </w:p>
    <w:p>
      <w:pPr>
        <w:pStyle w:val="648"/>
        <w:jc w:val="center"/>
        <w:spacing w:beforeAutospacing="0" w:afterAutospacing="0"/>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648"/>
        <w:jc w:val="both"/>
        <w:spacing w:before="290"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一、质疑供应商基本信息</w:t>
      </w:r>
      <w:r/>
    </w:p>
    <w:p>
      <w:pPr>
        <w:pStyle w:val="64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48"/>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4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48"/>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4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p>
    <w:p>
      <w:pPr>
        <w:pStyle w:val="64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4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48"/>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4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64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二、质疑项目基本情况</w:t>
      </w:r>
      <w:r/>
    </w:p>
    <w:p>
      <w:pPr>
        <w:pStyle w:val="64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pStyle w:val="648"/>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pStyle w:val="64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4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p>
    <w:p>
      <w:pPr>
        <w:pStyle w:val="64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p>
    <w:p>
      <w:pPr>
        <w:pStyle w:val="64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三、质疑事项具体内容</w:t>
      </w:r>
      <w:r/>
    </w:p>
    <w:p>
      <w:pPr>
        <w:pStyle w:val="64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pStyle w:val="648"/>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pStyle w:val="64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pStyle w:val="64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质疑事项2</w:t>
      </w:r>
      <w:r/>
    </w:p>
    <w:p>
      <w:pPr>
        <w:pStyle w:val="64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w:t>
      </w:r>
      <w:r/>
    </w:p>
    <w:p>
      <w:pPr>
        <w:pStyle w:val="64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四、与质疑事项相关的质疑请求</w:t>
      </w:r>
      <w:r/>
    </w:p>
    <w:p>
      <w:pPr>
        <w:pStyle w:val="64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648"/>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签字(签章)：                 公章：               日期：    </w:t>
      </w:r>
      <w:r/>
    </w:p>
    <w:p>
      <w:pPr>
        <w:pStyle w:val="648"/>
        <w:jc w:val="both"/>
        <w:spacing w:beforeAutospacing="0" w:afterAutospacing="0" w:line="0" w:lineRule="atLeast"/>
        <w:rPr>
          <w:rFonts w:ascii="宋体" w:hAnsi="宋体" w:eastAsia="宋体" w:cs="宋体"/>
          <w:highlight w:val="none"/>
        </w:rPr>
      </w:pPr>
      <w:r>
        <w:rPr>
          <w:rFonts w:hint="eastAsia" w:ascii="宋体" w:hAnsi="宋体" w:eastAsia="宋体" w:cs="宋体"/>
          <w:b/>
          <w:color w:val="000000"/>
          <w:highlight w:val="none"/>
        </w:rPr>
        <w:t xml:space="preserve">质疑函制作说明：</w:t>
      </w:r>
      <w:r/>
    </w:p>
    <w:p>
      <w:pPr>
        <w:pStyle w:val="648"/>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p>
    <w:p>
      <w:pPr>
        <w:pStyle w:val="648"/>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48"/>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648"/>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648"/>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pStyle w:val="648"/>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p>
      <w:pPr>
        <w:pStyle w:val="648"/>
        <w:ind w:firstLine="420"/>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p>
      <w:pPr>
        <w:rPr>
          <w:highlight w:val="none"/>
        </w:rPr>
      </w:pPr>
      <w:r>
        <w:rPr>
          <w:highlight w:val="none"/>
        </w:rPr>
      </w:r>
      <w:r/>
    </w:p>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Wingdings">
    <w:panose1 w:val="05000000000000000000"/>
  </w:font>
  <w:font w:name="Courier New">
    <w:panose1 w:val="02070309020205020404"/>
  </w:font>
  <w:font w:name="等线">
    <w:panose1 w:val="02010600030101010101"/>
  </w:font>
  <w:font w:name="Calibri">
    <w:panose1 w:val="020F0502020204030204"/>
  </w:font>
  <w:font w:name="幼圆">
    <w:panose1 w:val="02010509060101010101"/>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4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4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4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39"/>
    <w:next w:val="63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42"/>
    <w:link w:val="12"/>
    <w:uiPriority w:val="9"/>
    <w:rPr>
      <w:rFonts w:ascii="Arial" w:hAnsi="Arial" w:eastAsia="Arial" w:cs="Arial"/>
      <w:sz w:val="40"/>
      <w:szCs w:val="40"/>
    </w:rPr>
  </w:style>
  <w:style w:type="character" w:styleId="15">
    <w:name w:val="Heading 2 Char"/>
    <w:basedOn w:val="642"/>
    <w:link w:val="640"/>
    <w:uiPriority w:val="9"/>
    <w:rPr>
      <w:rFonts w:ascii="Arial" w:hAnsi="Arial" w:eastAsia="Arial" w:cs="Arial"/>
      <w:sz w:val="34"/>
    </w:rPr>
  </w:style>
  <w:style w:type="character" w:styleId="17">
    <w:name w:val="Heading 3 Char"/>
    <w:basedOn w:val="642"/>
    <w:link w:val="641"/>
    <w:uiPriority w:val="9"/>
    <w:rPr>
      <w:rFonts w:ascii="Arial" w:hAnsi="Arial" w:eastAsia="Arial" w:cs="Arial"/>
      <w:sz w:val="30"/>
      <w:szCs w:val="30"/>
    </w:rPr>
  </w:style>
  <w:style w:type="paragraph" w:styleId="18">
    <w:name w:val="Heading 4"/>
    <w:basedOn w:val="639"/>
    <w:next w:val="63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42"/>
    <w:link w:val="18"/>
    <w:uiPriority w:val="9"/>
    <w:rPr>
      <w:rFonts w:ascii="Arial" w:hAnsi="Arial" w:eastAsia="Arial" w:cs="Arial"/>
      <w:b/>
      <w:bCs/>
      <w:sz w:val="26"/>
      <w:szCs w:val="26"/>
    </w:rPr>
  </w:style>
  <w:style w:type="paragraph" w:styleId="20">
    <w:name w:val="Heading 5"/>
    <w:basedOn w:val="639"/>
    <w:next w:val="63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42"/>
    <w:link w:val="20"/>
    <w:uiPriority w:val="9"/>
    <w:rPr>
      <w:rFonts w:ascii="Arial" w:hAnsi="Arial" w:eastAsia="Arial" w:cs="Arial"/>
      <w:b/>
      <w:bCs/>
      <w:sz w:val="24"/>
      <w:szCs w:val="24"/>
    </w:rPr>
  </w:style>
  <w:style w:type="paragraph" w:styleId="22">
    <w:name w:val="Heading 6"/>
    <w:basedOn w:val="639"/>
    <w:next w:val="63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42"/>
    <w:link w:val="22"/>
    <w:uiPriority w:val="9"/>
    <w:rPr>
      <w:rFonts w:ascii="Arial" w:hAnsi="Arial" w:eastAsia="Arial" w:cs="Arial"/>
      <w:b/>
      <w:bCs/>
      <w:sz w:val="22"/>
      <w:szCs w:val="22"/>
    </w:rPr>
  </w:style>
  <w:style w:type="paragraph" w:styleId="24">
    <w:name w:val="Heading 7"/>
    <w:basedOn w:val="639"/>
    <w:next w:val="63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42"/>
    <w:link w:val="24"/>
    <w:uiPriority w:val="9"/>
    <w:rPr>
      <w:rFonts w:ascii="Arial" w:hAnsi="Arial" w:eastAsia="Arial" w:cs="Arial"/>
      <w:b/>
      <w:bCs/>
      <w:i/>
      <w:iCs/>
      <w:sz w:val="22"/>
      <w:szCs w:val="22"/>
    </w:rPr>
  </w:style>
  <w:style w:type="paragraph" w:styleId="26">
    <w:name w:val="Heading 8"/>
    <w:basedOn w:val="639"/>
    <w:next w:val="63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42"/>
    <w:link w:val="26"/>
    <w:uiPriority w:val="9"/>
    <w:rPr>
      <w:rFonts w:ascii="Arial" w:hAnsi="Arial" w:eastAsia="Arial" w:cs="Arial"/>
      <w:i/>
      <w:iCs/>
      <w:sz w:val="22"/>
      <w:szCs w:val="22"/>
    </w:rPr>
  </w:style>
  <w:style w:type="paragraph" w:styleId="28">
    <w:name w:val="Heading 9"/>
    <w:basedOn w:val="639"/>
    <w:next w:val="63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42"/>
    <w:link w:val="28"/>
    <w:uiPriority w:val="9"/>
    <w:rPr>
      <w:rFonts w:ascii="Arial" w:hAnsi="Arial" w:eastAsia="Arial" w:cs="Arial"/>
      <w:i/>
      <w:iCs/>
      <w:sz w:val="21"/>
      <w:szCs w:val="21"/>
    </w:rPr>
  </w:style>
  <w:style w:type="paragraph" w:styleId="30">
    <w:name w:val="List Paragraph"/>
    <w:basedOn w:val="63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39"/>
    <w:next w:val="639"/>
    <w:link w:val="34"/>
    <w:uiPriority w:val="10"/>
    <w:qFormat/>
    <w:pPr>
      <w:contextualSpacing/>
      <w:spacing w:before="300" w:after="200"/>
    </w:pPr>
    <w:rPr>
      <w:sz w:val="48"/>
      <w:szCs w:val="48"/>
    </w:rPr>
  </w:style>
  <w:style w:type="character" w:styleId="34">
    <w:name w:val="Title Char"/>
    <w:basedOn w:val="642"/>
    <w:link w:val="33"/>
    <w:uiPriority w:val="10"/>
    <w:rPr>
      <w:sz w:val="48"/>
      <w:szCs w:val="48"/>
    </w:rPr>
  </w:style>
  <w:style w:type="paragraph" w:styleId="35">
    <w:name w:val="Subtitle"/>
    <w:basedOn w:val="639"/>
    <w:next w:val="639"/>
    <w:link w:val="36"/>
    <w:uiPriority w:val="11"/>
    <w:qFormat/>
    <w:pPr>
      <w:spacing w:before="200" w:after="200"/>
    </w:pPr>
    <w:rPr>
      <w:sz w:val="24"/>
      <w:szCs w:val="24"/>
    </w:rPr>
  </w:style>
  <w:style w:type="character" w:styleId="36">
    <w:name w:val="Subtitle Char"/>
    <w:basedOn w:val="642"/>
    <w:link w:val="35"/>
    <w:uiPriority w:val="11"/>
    <w:rPr>
      <w:sz w:val="24"/>
      <w:szCs w:val="24"/>
    </w:rPr>
  </w:style>
  <w:style w:type="paragraph" w:styleId="37">
    <w:name w:val="Quote"/>
    <w:basedOn w:val="639"/>
    <w:next w:val="639"/>
    <w:link w:val="38"/>
    <w:uiPriority w:val="29"/>
    <w:qFormat/>
    <w:pPr>
      <w:ind w:left="720" w:right="720"/>
    </w:pPr>
    <w:rPr>
      <w:i/>
    </w:rPr>
  </w:style>
  <w:style w:type="character" w:styleId="38">
    <w:name w:val="Quote Char"/>
    <w:link w:val="37"/>
    <w:uiPriority w:val="29"/>
    <w:rPr>
      <w:i/>
    </w:rPr>
  </w:style>
  <w:style w:type="paragraph" w:styleId="39">
    <w:name w:val="Intense Quote"/>
    <w:basedOn w:val="639"/>
    <w:next w:val="63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42"/>
    <w:link w:val="647"/>
    <w:uiPriority w:val="99"/>
  </w:style>
  <w:style w:type="character" w:styleId="44">
    <w:name w:val="Footer Char"/>
    <w:basedOn w:val="642"/>
    <w:link w:val="646"/>
    <w:uiPriority w:val="99"/>
  </w:style>
  <w:style w:type="paragraph" w:styleId="45">
    <w:name w:val="Caption"/>
    <w:basedOn w:val="639"/>
    <w:next w:val="639"/>
    <w:uiPriority w:val="35"/>
    <w:semiHidden/>
    <w:unhideWhenUsed/>
    <w:qFormat/>
    <w:pPr>
      <w:spacing w:line="276" w:lineRule="auto"/>
    </w:pPr>
    <w:rPr>
      <w:b/>
      <w:bCs/>
      <w:color w:val="4f81bd" w:themeColor="accent1"/>
      <w:sz w:val="18"/>
      <w:szCs w:val="18"/>
    </w:rPr>
  </w:style>
  <w:style w:type="character" w:styleId="46">
    <w:name w:val="Caption Char"/>
    <w:basedOn w:val="45"/>
    <w:link w:val="646"/>
    <w:uiPriority w:val="99"/>
  </w:style>
  <w:style w:type="table" w:styleId="48">
    <w:name w:val="Table Grid Light"/>
    <w:basedOn w:val="6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4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4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4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4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4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4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4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4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4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4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4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4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4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4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4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4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4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4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4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4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4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4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4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4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4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4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4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4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4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4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4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4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4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4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4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4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4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4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4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43"/>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4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4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4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43"/>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4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4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4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4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4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4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4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4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4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4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4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4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4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4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4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4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4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4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4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4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4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4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4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4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4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4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4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4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4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4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4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4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4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4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4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4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4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4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4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4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4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4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4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4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4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4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4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4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4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4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4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4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4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4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3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42"/>
    <w:uiPriority w:val="99"/>
    <w:unhideWhenUsed/>
    <w:rPr>
      <w:vertAlign w:val="superscript"/>
    </w:rPr>
  </w:style>
  <w:style w:type="paragraph" w:styleId="177">
    <w:name w:val="endnote text"/>
    <w:basedOn w:val="63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42"/>
    <w:uiPriority w:val="99"/>
    <w:semiHidden/>
    <w:unhideWhenUsed/>
    <w:rPr>
      <w:vertAlign w:val="superscript"/>
    </w:rPr>
  </w:style>
  <w:style w:type="paragraph" w:styleId="180">
    <w:name w:val="toc 1"/>
    <w:basedOn w:val="639"/>
    <w:next w:val="639"/>
    <w:uiPriority w:val="39"/>
    <w:unhideWhenUsed/>
    <w:pPr>
      <w:ind w:left="0" w:right="0" w:firstLine="0"/>
      <w:spacing w:after="57"/>
    </w:pPr>
  </w:style>
  <w:style w:type="paragraph" w:styleId="181">
    <w:name w:val="toc 2"/>
    <w:basedOn w:val="639"/>
    <w:next w:val="639"/>
    <w:uiPriority w:val="39"/>
    <w:unhideWhenUsed/>
    <w:pPr>
      <w:ind w:left="283" w:right="0" w:firstLine="0"/>
      <w:spacing w:after="57"/>
    </w:pPr>
  </w:style>
  <w:style w:type="paragraph" w:styleId="182">
    <w:name w:val="toc 3"/>
    <w:basedOn w:val="639"/>
    <w:next w:val="639"/>
    <w:uiPriority w:val="39"/>
    <w:unhideWhenUsed/>
    <w:pPr>
      <w:ind w:left="567" w:right="0" w:firstLine="0"/>
      <w:spacing w:after="57"/>
    </w:pPr>
  </w:style>
  <w:style w:type="paragraph" w:styleId="183">
    <w:name w:val="toc 4"/>
    <w:basedOn w:val="639"/>
    <w:next w:val="639"/>
    <w:uiPriority w:val="39"/>
    <w:unhideWhenUsed/>
    <w:pPr>
      <w:ind w:left="850" w:right="0" w:firstLine="0"/>
      <w:spacing w:after="57"/>
    </w:pPr>
  </w:style>
  <w:style w:type="paragraph" w:styleId="184">
    <w:name w:val="toc 5"/>
    <w:basedOn w:val="639"/>
    <w:next w:val="639"/>
    <w:uiPriority w:val="39"/>
    <w:unhideWhenUsed/>
    <w:pPr>
      <w:ind w:left="1134" w:right="0" w:firstLine="0"/>
      <w:spacing w:after="57"/>
    </w:pPr>
  </w:style>
  <w:style w:type="paragraph" w:styleId="185">
    <w:name w:val="toc 6"/>
    <w:basedOn w:val="639"/>
    <w:next w:val="639"/>
    <w:uiPriority w:val="39"/>
    <w:unhideWhenUsed/>
    <w:pPr>
      <w:ind w:left="1417" w:right="0" w:firstLine="0"/>
      <w:spacing w:after="57"/>
    </w:pPr>
  </w:style>
  <w:style w:type="paragraph" w:styleId="186">
    <w:name w:val="toc 7"/>
    <w:basedOn w:val="639"/>
    <w:next w:val="639"/>
    <w:uiPriority w:val="39"/>
    <w:unhideWhenUsed/>
    <w:pPr>
      <w:ind w:left="1701" w:right="0" w:firstLine="0"/>
      <w:spacing w:after="57"/>
    </w:pPr>
  </w:style>
  <w:style w:type="paragraph" w:styleId="187">
    <w:name w:val="toc 8"/>
    <w:basedOn w:val="639"/>
    <w:next w:val="639"/>
    <w:uiPriority w:val="39"/>
    <w:unhideWhenUsed/>
    <w:pPr>
      <w:ind w:left="1984" w:right="0" w:firstLine="0"/>
      <w:spacing w:after="57"/>
    </w:pPr>
  </w:style>
  <w:style w:type="paragraph" w:styleId="188">
    <w:name w:val="toc 9"/>
    <w:basedOn w:val="639"/>
    <w:next w:val="639"/>
    <w:uiPriority w:val="39"/>
    <w:unhideWhenUsed/>
    <w:pPr>
      <w:ind w:left="2268" w:right="0" w:firstLine="0"/>
      <w:spacing w:after="57"/>
    </w:pPr>
  </w:style>
  <w:style w:type="paragraph" w:styleId="189">
    <w:name w:val="TOC Heading"/>
    <w:uiPriority w:val="39"/>
    <w:unhideWhenUsed/>
  </w:style>
  <w:style w:type="paragraph" w:styleId="190">
    <w:name w:val="table of figures"/>
    <w:basedOn w:val="639"/>
    <w:next w:val="639"/>
    <w:uiPriority w:val="99"/>
    <w:unhideWhenUsed/>
    <w:pPr>
      <w:spacing w:after="0" w:afterAutospacing="0"/>
    </w:pPr>
  </w:style>
  <w:style w:type="paragraph" w:styleId="639" w:default="1">
    <w:name w:val="Normal"/>
    <w:next w:val="644"/>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40">
    <w:name w:val="Heading 2"/>
    <w:basedOn w:val="639"/>
    <w:next w:val="639"/>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641">
    <w:name w:val="Heading 3"/>
    <w:basedOn w:val="639"/>
    <w:next w:val="639"/>
    <w:uiPriority w:val="0"/>
    <w:qFormat/>
    <w:pPr>
      <w:keepLines/>
      <w:keepNext/>
      <w:spacing w:before="260" w:after="260" w:line="416" w:lineRule="auto"/>
      <w:outlineLvl w:val="2"/>
    </w:pPr>
    <w:rPr>
      <w:b/>
      <w:bCs/>
      <w:sz w:val="32"/>
      <w:szCs w:val="32"/>
    </w:rPr>
  </w:style>
  <w:style w:type="character" w:styleId="642" w:default="1">
    <w:name w:val="Default Paragraph Font"/>
    <w:uiPriority w:val="1"/>
    <w:semiHidden/>
    <w:unhideWhenUsed/>
    <w:qFormat/>
  </w:style>
  <w:style w:type="table" w:styleId="643" w:default="1">
    <w:name w:val="Normal Table"/>
    <w:uiPriority w:val="99"/>
    <w:semiHidden/>
    <w:unhideWhenUsed/>
    <w:qFormat/>
    <w:tblPr>
      <w:tblCellMar>
        <w:left w:w="108" w:type="dxa"/>
        <w:top w:w="0" w:type="dxa"/>
        <w:right w:w="108" w:type="dxa"/>
        <w:bottom w:w="0" w:type="dxa"/>
      </w:tblCellMar>
    </w:tblPr>
  </w:style>
  <w:style w:type="paragraph" w:styleId="644" w:customStyle="1">
    <w:name w:val="文本块1"/>
    <w:basedOn w:val="639"/>
    <w:uiPriority w:val="99"/>
    <w:qFormat/>
    <w:pPr>
      <w:ind w:left="1440" w:right="1440"/>
      <w:spacing w:after="120"/>
      <w:tabs>
        <w:tab w:val="left" w:pos="9000" w:leader="none"/>
      </w:tabs>
    </w:pPr>
    <w:rPr>
      <w:rFonts w:ascii="Times New Roman" w:hAnsi="Times New Roman"/>
    </w:rPr>
  </w:style>
  <w:style w:type="paragraph" w:styleId="645">
    <w:name w:val="annotation text"/>
    <w:basedOn w:val="639"/>
    <w:uiPriority w:val="0"/>
    <w:qFormat/>
    <w:pPr>
      <w:jc w:val="left"/>
    </w:pPr>
  </w:style>
  <w:style w:type="paragraph" w:styleId="646">
    <w:name w:val="Footer"/>
    <w:basedOn w:val="639"/>
    <w:link w:val="653"/>
    <w:uiPriority w:val="0"/>
    <w:qFormat/>
    <w:pPr>
      <w:jc w:val="left"/>
      <w:tabs>
        <w:tab w:val="center" w:pos="4153" w:leader="none"/>
        <w:tab w:val="right" w:pos="8306" w:leader="none"/>
      </w:tabs>
    </w:pPr>
    <w:rPr>
      <w:sz w:val="18"/>
      <w:szCs w:val="18"/>
    </w:rPr>
  </w:style>
  <w:style w:type="paragraph" w:styleId="647">
    <w:name w:val="Header"/>
    <w:basedOn w:val="639"/>
    <w:link w:val="652"/>
    <w:uiPriority w:val="0"/>
    <w:qFormat/>
    <w:pPr>
      <w:jc w:val="center"/>
      <w:tabs>
        <w:tab w:val="center" w:pos="4153" w:leader="none"/>
        <w:tab w:val="right" w:pos="8306" w:leader="none"/>
      </w:tabs>
      <w:pBdr>
        <w:bottom w:val="single" w:color="auto" w:sz="6" w:space="1"/>
      </w:pBdr>
    </w:pPr>
    <w:rPr>
      <w:sz w:val="18"/>
      <w:szCs w:val="18"/>
    </w:rPr>
  </w:style>
  <w:style w:type="paragraph" w:styleId="648">
    <w:name w:val="Normal (Web)"/>
    <w:basedOn w:val="639"/>
    <w:uiPriority w:val="0"/>
    <w:qFormat/>
    <w:pPr>
      <w:jc w:val="left"/>
      <w:spacing w:beforeAutospacing="1" w:afterAutospacing="1"/>
    </w:pPr>
    <w:rPr>
      <w:rFonts w:cs="Times New Roman"/>
      <w:sz w:val="24"/>
    </w:rPr>
  </w:style>
  <w:style w:type="paragraph" w:styleId="649">
    <w:name w:val="Body Text First Indent"/>
    <w:basedOn w:val="639"/>
    <w:uiPriority w:val="0"/>
    <w:qFormat/>
    <w:pPr>
      <w:ind w:firstLine="200"/>
      <w:spacing w:line="360" w:lineRule="auto"/>
    </w:pPr>
    <w:rPr>
      <w:rFonts w:ascii="仿宋_GB2312" w:eastAsia="仿宋_GB2312"/>
      <w:sz w:val="30"/>
      <w:szCs w:val="30"/>
    </w:rPr>
  </w:style>
  <w:style w:type="table" w:styleId="650">
    <w:name w:val="Table Grid"/>
    <w:basedOn w:val="64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651" w:customStyle="1">
    <w:name w:val="Default"/>
    <w:basedOn w:val="639"/>
    <w:uiPriority w:val="0"/>
    <w:semiHidden/>
    <w:qFormat/>
    <w:pPr>
      <w:jc w:val="left"/>
    </w:pPr>
    <w:rPr>
      <w:rFonts w:ascii="宋体" w:hAnsi="Calibri" w:cs="宋体"/>
      <w:color w:val="000000"/>
      <w:sz w:val="24"/>
    </w:rPr>
  </w:style>
  <w:style w:type="character" w:styleId="652" w:customStyle="1">
    <w:name w:val="页眉 Char"/>
    <w:basedOn w:val="642"/>
    <w:link w:val="647"/>
    <w:uiPriority w:val="0"/>
    <w:qFormat/>
    <w:rPr>
      <w:rFonts w:asciiTheme="minorHAnsi" w:hAnsiTheme="minorHAnsi" w:eastAsiaTheme="minorEastAsia" w:cstheme="minorBidi"/>
      <w:sz w:val="18"/>
      <w:szCs w:val="18"/>
    </w:rPr>
  </w:style>
  <w:style w:type="character" w:styleId="653" w:customStyle="1">
    <w:name w:val="页脚 Char"/>
    <w:basedOn w:val="642"/>
    <w:link w:val="646"/>
    <w:uiPriority w:val="0"/>
    <w:qFormat/>
    <w:rPr>
      <w:rFonts w:asciiTheme="minorHAnsi" w:hAnsiTheme="minorHAnsi" w:eastAsiaTheme="minorEastAsia" w:cstheme="minorBidi"/>
      <w:sz w:val="18"/>
      <w:szCs w:val="18"/>
    </w:rPr>
  </w:style>
  <w:style w:type="paragraph" w:styleId="654" w:customStyle="1">
    <w:name w:val="普通正文"/>
    <w:basedOn w:val="639"/>
    <w:uiPriority w:val="0"/>
    <w:qFormat/>
    <w:pPr>
      <w:ind w:firstLine="480"/>
      <w:jc w:val="left"/>
      <w:spacing w:before="120" w:after="120" w:line="360" w:lineRule="auto"/>
    </w:pPr>
    <w:rPr>
      <w:rFonts w:ascii="Arial" w:hAnsi="Arial" w:eastAsia="等线" w:cs="Arial"/>
      <w:sz w:val="24"/>
      <w:szCs w:val="24"/>
    </w:rPr>
  </w:style>
  <w:style w:type="paragraph" w:styleId="655" w:customStyle="1">
    <w:name w:val="正文首行缩进 21"/>
    <w:basedOn w:val="656"/>
    <w:uiPriority w:val="0"/>
    <w:qFormat/>
    <w:pPr>
      <w:ind w:firstLine="420"/>
    </w:pPr>
  </w:style>
  <w:style w:type="paragraph" w:styleId="656" w:customStyle="1">
    <w:name w:val="正文文本缩进1"/>
    <w:basedOn w:val="639"/>
    <w:uiPriority w:val="0"/>
    <w:qFormat/>
    <w:pPr>
      <w:ind w:left="420"/>
      <w:spacing w:after="120"/>
    </w:pPr>
  </w:style>
  <w:style w:type="paragraph" w:styleId="657" w:customStyle="1">
    <w:name w:val="WPSOffice手动目录 1"/>
    <w:uiPriority w:val="0"/>
    <w:qFormat/>
    <w:rPr>
      <w:rFonts w:ascii="Times New Roman" w:hAnsi="Times New Roman" w:eastAsia="宋体" w:cs="Times New Roman"/>
      <w:sz w:val="20"/>
      <w:szCs w:val="20"/>
    </w:rPr>
  </w:style>
  <w:style w:type="numbering" w:styleId="965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万荣胜</cp:lastModifiedBy>
  <cp:revision>273</cp:revision>
  <dcterms:created xsi:type="dcterms:W3CDTF">2014-10-29T12:08:00Z</dcterms:created>
  <dcterms:modified xsi:type="dcterms:W3CDTF">2025-04-07T02:09:08Z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65759699444F44BBBFCCC89CEABA8F49_13</vt:lpwstr>
  </property>
  <property fmtid="{D5CDD505-2E9C-101B-9397-08002B2CF9AE}" pid="4" name="KSOTemplateDocerSaveRecord">
    <vt:lpwstr>eyJoZGlkIjoiZGYwOWJmZjI4YzczYzhmOTVjMjY5YTdhMzkzN2JiODQiLCJ1c2VySWQiOiIyNjExNDUzMDIifQ==</vt:lpwstr>
  </property>
</Properties>
</file>