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120" w:beforeAutospacing="0" w:after="120" w:afterAutospacing="0" w:line="360" w:lineRule="auto"/>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pStyle w:val="675"/>
        <w:jc w:val="center"/>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sz w:val="84"/>
          <w:szCs w:val="84"/>
        </w:rPr>
        <w:t xml:space="preserve">招 标 文 件</w:t>
      </w:r>
      <w:r/>
    </w:p>
    <w:p>
      <w:pPr>
        <w:pStyle w:val="675"/>
        <w:ind w:firstLine="2249"/>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75"/>
        <w:ind w:firstLine="2249"/>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675"/>
        <w:jc w:val="center"/>
        <w:spacing w:before="120" w:beforeAutospacing="0" w:after="120" w:afterAutospacing="0" w:line="360" w:lineRule="auto"/>
        <w:rPr>
          <w:rFonts w:hint="eastAsia" w:ascii="宋体" w:hAnsi="宋体" w:eastAsia="宋体" w:cs="宋体"/>
          <w:color w:val="auto"/>
          <w:sz w:val="36"/>
          <w:szCs w:val="36"/>
        </w:rPr>
      </w:pPr>
      <w:r>
        <w:rPr>
          <w:rFonts w:hint="eastAsia" w:ascii="宋体" w:hAnsi="宋体" w:eastAsia="宋体" w:cs="宋体"/>
          <w:b/>
          <w:color w:val="auto"/>
          <w:sz w:val="36"/>
          <w:szCs w:val="36"/>
        </w:rPr>
        <w:t xml:space="preserve">项目名称：盐城市亭湖生态环境局</w:t>
      </w:r>
      <w:r>
        <w:rPr>
          <w:rFonts w:hint="eastAsia" w:ascii="宋体" w:hAnsi="宋体" w:eastAsia="宋体" w:cs="宋体"/>
          <w:b/>
          <w:color w:val="auto"/>
          <w:sz w:val="36"/>
          <w:szCs w:val="36"/>
          <w:lang w:val="en-US" w:eastAsia="zh-CN"/>
        </w:rPr>
        <w:t xml:space="preserve">亭湖区</w:t>
      </w:r>
      <w:r>
        <w:rPr>
          <w:rFonts w:hint="eastAsia" w:ascii="宋体" w:hAnsi="宋体" w:eastAsia="宋体" w:cs="宋体"/>
          <w:b/>
          <w:color w:val="auto"/>
          <w:sz w:val="36"/>
          <w:szCs w:val="36"/>
        </w:rPr>
        <w:t xml:space="preserve">大气环境数字化管控服务项目</w:t>
      </w:r>
      <w:r/>
    </w:p>
    <w:p>
      <w:pPr>
        <w:pStyle w:val="675"/>
        <w:ind w:left="2100" w:firstLine="161"/>
        <w:jc w:val="both"/>
        <w:spacing w:beforeAutospacing="0" w:afterAutospacing="0"/>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pStyle w:val="675"/>
        <w:spacing w:beforeAutospacing="0" w:afterAutospacing="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675"/>
        <w:spacing w:beforeAutospacing="0" w:afterAutospacing="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675"/>
        <w:spacing w:beforeAutospacing="0" w:afterAutospacing="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675"/>
        <w:spacing w:beforeAutospacing="0" w:afterAutospacing="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675"/>
        <w:spacing w:beforeAutospacing="0" w:afterAutospacing="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r>
        <w:rPr>
          <w:rFonts w:hint="eastAsia" w:ascii="宋体" w:hAnsi="宋体" w:eastAsia="宋体" w:cs="宋体"/>
          <w:color w:val="auto"/>
          <w:sz w:val="36"/>
          <w:szCs w:val="36"/>
        </w:rPr>
        <w:t xml:space="preserve"> </w:t>
      </w:r>
      <w:r/>
      <w:r>
        <w:rPr>
          <w:rFonts w:hint="eastAsia" w:ascii="宋体" w:hAnsi="宋体" w:eastAsia="宋体" w:cs="宋体"/>
          <w:color w:val="auto"/>
          <w:sz w:val="36"/>
          <w:szCs w:val="36"/>
        </w:rPr>
      </w:r>
    </w:p>
    <w:p>
      <w:pPr>
        <w:pStyle w:val="675"/>
        <w:jc w:val="center"/>
        <w:spacing w:before="120" w:beforeAutospacing="0" w:after="120" w:afterAutospacing="0"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盐城市亭湖生态环境局</w:t>
      </w:r>
      <w:r/>
    </w:p>
    <w:p>
      <w:pPr>
        <w:pStyle w:val="675"/>
        <w:jc w:val="center"/>
        <w:spacing w:before="120" w:beforeAutospacing="0" w:after="120" w:afterAutospacing="0"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江苏苏伟项目管理有限公司</w:t>
      </w:r>
      <w:r/>
    </w:p>
    <w:p>
      <w:pPr>
        <w:pStyle w:val="675"/>
        <w:jc w:val="center"/>
        <w:spacing w:beforeAutospacing="0" w:afterAutospacing="0" w:line="480" w:lineRule="auto"/>
        <w:rPr>
          <w:rFonts w:hint="eastAsia" w:ascii="宋体" w:hAnsi="宋体" w:eastAsia="宋体" w:cs="宋体"/>
          <w:b/>
          <w:color w:val="auto"/>
          <w:sz w:val="36"/>
          <w:szCs w:val="36"/>
        </w:rPr>
        <w:sectPr>
          <w:footerReference w:type="default" r:id="rId9"/>
          <w:footerReference w:type="even" r:id="rId10"/>
          <w:footnotePr/>
          <w:endnotePr/>
          <w:type w:val="nextPage"/>
          <w:pgSz w:w="11906" w:h="16838" w:orient="portrait"/>
          <w:pgMar w:top="1440" w:right="1797" w:bottom="1440" w:left="1797" w:header="851" w:footer="992" w:gutter="0"/>
          <w:cols w:num="1" w:sep="0" w:space="720" w:equalWidth="1"/>
          <w:docGrid w:linePitch="360"/>
          <w:titlePg/>
        </w:sectPr>
      </w:pPr>
      <w:r>
        <w:rPr>
          <w:rFonts w:hint="eastAsia" w:ascii="宋体" w:hAnsi="宋体" w:eastAsia="宋体" w:cs="宋体"/>
          <w:b/>
          <w:color w:val="auto"/>
          <w:sz w:val="36"/>
          <w:szCs w:val="36"/>
          <w:lang w:val="en-US" w:eastAsia="zh-CN"/>
        </w:rPr>
        <w:t xml:space="preserve">2024</w:t>
      </w:r>
      <w:r>
        <w:rPr>
          <w:rFonts w:hint="eastAsia" w:ascii="宋体" w:hAnsi="宋体" w:eastAsia="宋体" w:cs="宋体"/>
          <w:b/>
          <w:color w:val="auto"/>
          <w:sz w:val="36"/>
          <w:szCs w:val="36"/>
        </w:rPr>
        <w:t xml:space="preserve">年</w:t>
      </w:r>
      <w:r>
        <w:rPr>
          <w:rFonts w:hint="eastAsia" w:ascii="宋体" w:hAnsi="宋体" w:eastAsia="宋体" w:cs="宋体"/>
          <w:b/>
          <w:color w:val="auto"/>
          <w:sz w:val="36"/>
          <w:szCs w:val="36"/>
          <w:lang w:val="en-US" w:eastAsia="zh-CN"/>
        </w:rPr>
        <w:t xml:space="preserve">7</w:t>
      </w:r>
      <w:r>
        <w:rPr>
          <w:rFonts w:hint="eastAsia" w:ascii="宋体" w:hAnsi="宋体" w:eastAsia="宋体" w:cs="宋体"/>
          <w:b/>
          <w:color w:val="auto"/>
          <w:sz w:val="36"/>
          <w:szCs w:val="36"/>
        </w:rPr>
        <w:t xml:space="preserve">月</w:t>
      </w:r>
      <w:r/>
      <w:r>
        <w:rPr>
          <w:rFonts w:hint="eastAsia" w:ascii="宋体" w:hAnsi="宋体" w:eastAsia="宋体" w:cs="宋体"/>
          <w:b/>
          <w:color w:val="auto"/>
          <w:sz w:val="36"/>
          <w:szCs w:val="36"/>
        </w:rPr>
      </w:r>
      <w:r/>
      <w:r>
        <w:rPr>
          <w:rFonts w:hint="eastAsia" w:ascii="宋体" w:hAnsi="宋体" w:eastAsia="宋体" w:cs="宋体"/>
          <w:b/>
          <w:color w:val="auto"/>
          <w:sz w:val="36"/>
          <w:szCs w:val="36"/>
        </w:rPr>
      </w:r>
      <w:r>
        <w:rPr>
          <w:rFonts w:hint="eastAsia" w:ascii="宋体" w:hAnsi="宋体" w:eastAsia="宋体" w:cs="宋体"/>
          <w:color w:val="auto"/>
          <w:sz w:val="21"/>
          <w:szCs w:val="21"/>
        </w:rPr>
      </w:r>
      <w:r/>
      <w:r>
        <w:rPr>
          <w:rFonts w:hint="eastAsia" w:ascii="宋体" w:hAnsi="宋体" w:eastAsia="宋体" w:cs="宋体"/>
          <w:b/>
          <w:color w:val="auto"/>
          <w:sz w:val="36"/>
          <w:szCs w:val="36"/>
        </w:rPr>
      </w:r>
    </w:p>
    <w:p>
      <w:pPr>
        <w:pStyle w:val="675"/>
        <w:jc w:val="center"/>
        <w:spacing w:beforeAutospacing="0" w:afterAutospacing="0" w:line="480" w:lineRule="auto"/>
        <w:rPr>
          <w:rFonts w:hint="eastAsia" w:ascii="宋体" w:hAnsi="宋体" w:eastAsia="宋体" w:cs="宋体"/>
          <w:color w:val="auto"/>
        </w:rPr>
        <w:outlineLvl w:val="0"/>
      </w:pPr>
      <w:r>
        <w:rPr>
          <w:rFonts w:hint="eastAsia" w:ascii="宋体" w:hAnsi="宋体" w:eastAsia="宋体" w:cs="宋体"/>
          <w:color w:val="auto"/>
          <w:sz w:val="21"/>
          <w:szCs w:val="21"/>
        </w:rPr>
        <w:t xml:space="preserve"> </w:t>
      </w:r>
      <w:bookmarkStart w:id="0" w:name="_Toc20823272"/>
      <w:r/>
      <w:bookmarkStart w:id="1" w:name="_Toc16938516"/>
      <w:r/>
      <w:bookmarkStart w:id="2" w:name="_Toc479757206"/>
      <w:r/>
      <w:bookmarkStart w:id="3" w:name="_Toc120614210"/>
      <w:r/>
      <w:bookmarkStart w:id="4" w:name="_Toc523127445"/>
      <w:r/>
      <w:bookmarkStart w:id="5" w:name="_Toc513029200"/>
      <w:r>
        <w:rPr>
          <w:rFonts w:hint="eastAsia" w:ascii="宋体" w:hAnsi="宋体" w:eastAsia="宋体" w:cs="宋体"/>
          <w:color w:val="auto"/>
          <w:sz w:val="21"/>
          <w:szCs w:val="21"/>
        </w:rPr>
        <w:t xml:space="preserve"> </w:t>
      </w:r>
      <w:r>
        <w:rPr>
          <w:rFonts w:hint="eastAsia" w:ascii="宋体" w:hAnsi="宋体" w:eastAsia="宋体" w:cs="宋体"/>
          <w:b/>
          <w:color w:val="auto"/>
          <w:sz w:val="44"/>
          <w:szCs w:val="44"/>
        </w:rPr>
        <w:t xml:space="preserve">总  目  录</w:t>
      </w:r>
      <w:bookmarkEnd w:id="0"/>
      <w:r/>
      <w:bookmarkEnd w:id="1"/>
      <w:r/>
      <w:bookmarkEnd w:id="2"/>
      <w:r/>
      <w:bookmarkEnd w:id="3"/>
      <w:r/>
      <w:bookmarkEnd w:id="4"/>
      <w:r/>
      <w:bookmarkEnd w:id="5"/>
      <w:r/>
      <w:r/>
    </w:p>
    <w:p>
      <w:pPr>
        <w:pStyle w:val="675"/>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t xml:space="preserve"> </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eastAsia" w:ascii="宋体" w:hAnsi="宋体" w:eastAsia="宋体" w:cs="宋体"/>
          <w:color w:val="auto"/>
        </w:rPr>
      </w:pPr>
      <w:r>
        <w:rPr>
          <w:rFonts w:hint="eastAsia" w:ascii="宋体" w:hAnsi="宋体" w:eastAsia="宋体" w:cs="宋体"/>
          <w:color w:val="auto"/>
          <w:sz w:val="36"/>
          <w:szCs w:val="36"/>
          <w:lang w:val="en-US" w:eastAsia="zh-CN"/>
        </w:rPr>
        <w:t xml:space="preserve">招标公告</w:t>
      </w:r>
      <w:r>
        <w:rPr>
          <w:rFonts w:hint="eastAsia" w:ascii="宋体" w:hAnsi="宋体" w:eastAsia="宋体" w:cs="宋体"/>
          <w:color w:val="auto"/>
          <w:sz w:val="36"/>
          <w:szCs w:val="36"/>
        </w:rPr>
        <w:t xml:space="preserve">……………………………………</w:t>
      </w:r>
      <w:r>
        <w:rPr>
          <w:rFonts w:hint="eastAsia" w:ascii="宋体" w:hAnsi="宋体" w:eastAsia="宋体" w:cs="宋体"/>
          <w:color w:val="auto"/>
          <w:sz w:val="36"/>
          <w:szCs w:val="36"/>
          <w:lang w:val="en-US" w:eastAsia="zh-CN"/>
        </w:rPr>
        <w:t xml:space="preserve">2</w:t>
      </w:r>
      <w:r>
        <w:rPr>
          <w:rFonts w:hint="eastAsia" w:ascii="宋体" w:hAnsi="宋体" w:eastAsia="宋体" w:cs="宋体"/>
          <w:color w:val="auto"/>
          <w:sz w:val="36"/>
          <w:szCs w:val="36"/>
        </w:rPr>
        <w:t xml:space="preserve"> </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eastAsia" w:ascii="宋体" w:hAnsi="宋体" w:eastAsia="宋体" w:cs="宋体"/>
          <w:color w:val="auto"/>
        </w:rPr>
      </w:pPr>
      <w:r>
        <w:rPr>
          <w:rFonts w:hint="eastAsia" w:ascii="宋体" w:hAnsi="宋体" w:eastAsia="宋体" w:cs="宋体"/>
          <w:color w:val="auto"/>
          <w:sz w:val="36"/>
          <w:szCs w:val="36"/>
        </w:rPr>
        <w:t xml:space="preserve">投标人须知…………………………………</w:t>
      </w:r>
      <w:r>
        <w:rPr>
          <w:rFonts w:hint="eastAsia" w:ascii="宋体" w:hAnsi="宋体" w:eastAsia="宋体" w:cs="宋体"/>
          <w:color w:val="auto"/>
          <w:sz w:val="36"/>
          <w:szCs w:val="36"/>
          <w:lang w:val="en-US" w:eastAsia="zh-CN"/>
        </w:rPr>
        <w:t xml:space="preserve">7</w:t>
      </w:r>
      <w:r>
        <w:rPr>
          <w:rFonts w:hint="eastAsia" w:ascii="宋体" w:hAnsi="宋体" w:eastAsia="宋体" w:cs="宋体"/>
          <w:color w:val="auto"/>
          <w:sz w:val="36"/>
          <w:szCs w:val="36"/>
        </w:rPr>
        <w:t xml:space="preserve">  </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default" w:ascii="宋体" w:hAnsi="宋体" w:eastAsia="宋体" w:cs="宋体"/>
          <w:color w:val="auto"/>
          <w:lang w:val="en-US" w:eastAsia="zh-CN"/>
        </w:rPr>
      </w:pPr>
      <w:r>
        <w:rPr>
          <w:rFonts w:hint="eastAsia" w:ascii="宋体" w:hAnsi="宋体" w:eastAsia="宋体" w:cs="宋体"/>
          <w:color w:val="auto"/>
          <w:sz w:val="36"/>
          <w:szCs w:val="36"/>
        </w:rPr>
        <w:t xml:space="preserve">合同文本……………………………………</w:t>
      </w:r>
      <w:r>
        <w:rPr>
          <w:rFonts w:hint="eastAsia" w:ascii="宋体" w:hAnsi="宋体" w:eastAsia="宋体" w:cs="宋体"/>
          <w:color w:val="auto"/>
          <w:sz w:val="36"/>
          <w:szCs w:val="36"/>
          <w:lang w:val="en-US" w:eastAsia="zh-CN"/>
        </w:rPr>
        <w:t xml:space="preserve">19</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default" w:ascii="宋体" w:hAnsi="宋体" w:eastAsia="宋体" w:cs="宋体"/>
          <w:color w:val="auto"/>
          <w:lang w:val="en-US" w:eastAsia="zh-CN"/>
        </w:rPr>
      </w:pPr>
      <w:r>
        <w:rPr>
          <w:rFonts w:hint="eastAsia" w:ascii="宋体" w:hAnsi="宋体" w:eastAsia="宋体" w:cs="宋体"/>
          <w:color w:val="auto"/>
          <w:sz w:val="36"/>
          <w:szCs w:val="36"/>
        </w:rPr>
        <w:t xml:space="preserve">采购需求……………………………………</w:t>
      </w:r>
      <w:r>
        <w:rPr>
          <w:rFonts w:hint="eastAsia" w:ascii="宋体" w:hAnsi="宋体" w:eastAsia="宋体" w:cs="宋体"/>
          <w:color w:val="auto"/>
          <w:sz w:val="36"/>
          <w:szCs w:val="36"/>
          <w:lang w:val="en-US" w:eastAsia="zh-CN"/>
        </w:rPr>
        <w:t xml:space="preserve">23</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default" w:ascii="宋体" w:hAnsi="宋体" w:eastAsia="宋体" w:cs="宋体"/>
          <w:color w:val="auto"/>
          <w:lang w:val="en-US" w:eastAsia="zh-CN"/>
        </w:rPr>
      </w:pPr>
      <w:r>
        <w:rPr>
          <w:rFonts w:hint="eastAsia" w:ascii="宋体" w:hAnsi="宋体" w:eastAsia="宋体" w:cs="宋体"/>
          <w:color w:val="auto"/>
          <w:sz w:val="36"/>
          <w:szCs w:val="36"/>
        </w:rPr>
        <w:t xml:space="preserve">评标方法与评标标准………………………</w:t>
      </w:r>
      <w:r>
        <w:rPr>
          <w:rFonts w:hint="eastAsia" w:ascii="宋体" w:hAnsi="宋体" w:eastAsia="宋体" w:cs="宋体"/>
          <w:color w:val="auto"/>
          <w:sz w:val="36"/>
          <w:szCs w:val="36"/>
          <w:lang w:val="en-US" w:eastAsia="zh-CN"/>
        </w:rPr>
        <w:t xml:space="preserve">27</w:t>
      </w:r>
      <w:r/>
    </w:p>
    <w:p>
      <w:pPr>
        <w:pStyle w:val="675"/>
        <w:ind w:left="720" w:hanging="720"/>
        <w:jc w:val="both"/>
        <w:keepLines w:val="0"/>
        <w:keepNext w:val="0"/>
        <w:pageBreakBefore w:val="0"/>
        <w:spacing w:beforeAutospacing="0" w:afterAutospacing="0" w:line="800" w:lineRule="exact"/>
        <w:widowControl w:val="off"/>
        <w:tabs>
          <w:tab w:val="left" w:pos="1441" w:leader="none"/>
        </w:tabs>
        <w:rPr>
          <w:rFonts w:hint="default" w:ascii="宋体" w:hAnsi="宋体" w:eastAsia="宋体" w:cs="宋体"/>
          <w:color w:val="auto"/>
          <w:lang w:val="en-US" w:eastAsia="zh-CN"/>
        </w:rPr>
      </w:pPr>
      <w:r>
        <w:rPr>
          <w:rFonts w:hint="eastAsia" w:ascii="宋体" w:hAnsi="宋体" w:eastAsia="宋体" w:cs="宋体"/>
          <w:color w:val="auto"/>
          <w:sz w:val="36"/>
          <w:szCs w:val="36"/>
        </w:rPr>
        <w:t xml:space="preserve">投标文件格式………………………………</w:t>
      </w:r>
      <w:r>
        <w:rPr>
          <w:rFonts w:hint="eastAsia" w:ascii="宋体" w:hAnsi="宋体" w:eastAsia="宋体" w:cs="宋体"/>
          <w:color w:val="auto"/>
          <w:sz w:val="36"/>
          <w:szCs w:val="36"/>
          <w:lang w:val="en-US" w:eastAsia="zh-CN"/>
        </w:rPr>
        <w:t xml:space="preserve">34</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r>
        <w:rPr>
          <w:rFonts w:hint="eastAsia" w:ascii="宋体" w:hAnsi="宋体" w:eastAsia="宋体" w:cs="宋体"/>
          <w:color w:val="auto"/>
        </w:rP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rPr>
          <w:rFonts w:hint="eastAsia" w:ascii="宋体" w:hAnsi="宋体" w:eastAsia="宋体" w:cs="宋体"/>
          <w:color w:val="auto"/>
          <w:lang w:val="en-US" w:eastAsia="zh-CN"/>
        </w:rPr>
        <w:outlineLvl w:val="0"/>
      </w:pPr>
      <w:r>
        <w:rPr>
          <w:rFonts w:hint="eastAsia" w:ascii="宋体" w:hAnsi="宋体" w:eastAsia="宋体" w:cs="宋体"/>
          <w:b/>
          <w:bCs/>
          <w:color w:val="auto"/>
          <w:sz w:val="44"/>
          <w:szCs w:val="44"/>
        </w:rPr>
        <w:t xml:space="preserve">第一章 </w:t>
      </w:r>
      <w:r>
        <w:rPr>
          <w:rFonts w:hint="eastAsia" w:ascii="宋体" w:hAnsi="宋体" w:eastAsia="宋体" w:cs="宋体"/>
          <w:b/>
          <w:bCs/>
          <w:color w:val="auto"/>
          <w:sz w:val="44"/>
          <w:szCs w:val="44"/>
          <w:lang w:val="en-US" w:eastAsia="zh-CN"/>
        </w:rPr>
        <w:t xml:space="preserve">招标公告</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rPr>
        <w:t xml:space="preserve">盐城市亭湖生态环境局</w:t>
      </w:r>
      <w:r>
        <w:rPr>
          <w:rFonts w:hint="eastAsia" w:ascii="宋体" w:hAnsi="宋体" w:eastAsia="宋体" w:cs="宋体"/>
          <w:color w:val="auto"/>
          <w:sz w:val="24"/>
          <w:szCs w:val="24"/>
          <w:u w:val="single"/>
          <w:lang w:val="en-US" w:eastAsia="zh-CN"/>
        </w:rPr>
        <w:t xml:space="preserve">亭湖区</w:t>
      </w:r>
      <w:r>
        <w:rPr>
          <w:rFonts w:hint="eastAsia" w:ascii="宋体" w:hAnsi="宋体" w:eastAsia="宋体" w:cs="宋体"/>
          <w:color w:val="auto"/>
          <w:sz w:val="24"/>
          <w:szCs w:val="24"/>
          <w:u w:val="single"/>
        </w:rPr>
        <w:t xml:space="preserve">大气环境数字化管控服务项目</w:t>
      </w:r>
      <w:r>
        <w:rPr>
          <w:rFonts w:hint="eastAsia" w:ascii="宋体" w:hAnsi="宋体" w:eastAsia="宋体" w:cs="宋体"/>
          <w:color w:val="auto"/>
          <w:sz w:val="24"/>
          <w:szCs w:val="24"/>
        </w:rPr>
        <w:t xml:space="preserve">招标项目的潜在投标人可在</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bidi="ar-SA"/>
        </w:rPr>
        <w:t xml:space="preserve">中国政府采购网</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“江苏政府采购网</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盐城市政府采购网”</w:t>
      </w:r>
      <w:r>
        <w:rPr>
          <w:rFonts w:hint="eastAsia" w:ascii="宋体" w:hAnsi="宋体" w:eastAsia="宋体" w:cs="宋体"/>
          <w:color w:val="auto"/>
          <w:sz w:val="24"/>
          <w:szCs w:val="24"/>
          <w:lang w:val="en-US" w:eastAsia="zh-CN"/>
        </w:rPr>
        <w:t xml:space="preserve">获取</w:t>
      </w:r>
      <w:r>
        <w:rPr>
          <w:rFonts w:hint="eastAsia" w:ascii="宋体" w:hAnsi="宋体" w:eastAsia="宋体" w:cs="宋体"/>
          <w:color w:val="auto"/>
          <w:sz w:val="24"/>
          <w:szCs w:val="24"/>
        </w:rPr>
        <w:t xml:space="preserve">招标文件，并于</w:t>
      </w:r>
      <w:r>
        <w:rPr>
          <w:rFonts w:hint="eastAsia" w:ascii="宋体" w:hAnsi="宋体" w:eastAsia="宋体" w:cs="宋体"/>
          <w:color w:val="auto"/>
          <w:sz w:val="24"/>
          <w:szCs w:val="24"/>
          <w:u w:val="single"/>
          <w:lang w:val="en-US" w:eastAsia="zh-CN"/>
        </w:rPr>
        <w:t xml:space="preserve">2024</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8</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点</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分（</w:t>
      </w:r>
      <w:r>
        <w:rPr>
          <w:rFonts w:hint="eastAsia" w:ascii="宋体" w:hAnsi="宋体" w:eastAsia="宋体" w:cs="宋体"/>
          <w:color w:val="auto"/>
          <w:sz w:val="24"/>
          <w:szCs w:val="24"/>
        </w:rPr>
        <w:t xml:space="preserve">北京时间）前递交投标文件。</w:t>
      </w:r>
      <w:r/>
    </w:p>
    <w:p>
      <w:pPr>
        <w:pStyle w:val="675"/>
        <w:ind w:firstLine="482"/>
        <w:jc w:val="both"/>
        <w:keepLines/>
        <w:keepNext/>
        <w:pageBreakBefore w:val="0"/>
        <w:spacing w:beforeAutospacing="0" w:afterAutospacing="0" w:line="620" w:lineRule="exact"/>
        <w:rPr>
          <w:rFonts w:hint="eastAsia" w:ascii="宋体" w:hAnsi="宋体" w:eastAsia="宋体" w:cs="宋体"/>
          <w:color w:val="auto"/>
          <w:sz w:val="24"/>
          <w:szCs w:val="24"/>
        </w:rPr>
      </w:pPr>
      <w:r/>
      <w:bookmarkStart w:id="6" w:name="_Toc28359079"/>
      <w:r/>
      <w:bookmarkStart w:id="7" w:name="_Toc35393621"/>
      <w:r/>
      <w:bookmarkStart w:id="8" w:name="_Toc35393790"/>
      <w:r/>
      <w:bookmarkStart w:id="9" w:name="_Toc28359002"/>
      <w:r/>
      <w:bookmarkStart w:id="10" w:name="_Hlk24379207"/>
      <w:r/>
      <w:bookmarkStart w:id="11" w:name="_Toc38985263"/>
      <w:r>
        <w:rPr>
          <w:rFonts w:hint="eastAsia" w:ascii="宋体" w:hAnsi="宋体" w:eastAsia="宋体" w:cs="宋体"/>
          <w:b/>
          <w:color w:val="auto"/>
          <w:sz w:val="24"/>
          <w:szCs w:val="24"/>
        </w:rPr>
        <w:t xml:space="preserve">一、项目基本情况</w:t>
      </w:r>
      <w:bookmarkEnd w:id="6"/>
      <w:r/>
      <w:bookmarkEnd w:id="7"/>
      <w:r/>
      <w:bookmarkEnd w:id="8"/>
      <w:r/>
      <w:bookmarkEnd w:id="9"/>
      <w:r/>
      <w:bookmarkEnd w:id="10"/>
      <w:r/>
      <w:bookmarkEnd w:id="11"/>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1.项目编号：JSZC-320902-JSSW-G2024-0010</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2.项目名称：盐城市亭湖生态环境局</w:t>
      </w:r>
      <w:r>
        <w:rPr>
          <w:rFonts w:hint="eastAsia" w:ascii="宋体" w:hAnsi="宋体" w:eastAsia="宋体" w:cs="宋体"/>
          <w:color w:val="auto"/>
          <w:sz w:val="24"/>
          <w:szCs w:val="24"/>
          <w:lang w:val="en-US" w:eastAsia="zh-CN"/>
        </w:rPr>
        <w:t xml:space="preserve">亭湖区</w:t>
      </w:r>
      <w:r>
        <w:rPr>
          <w:rFonts w:hint="eastAsia" w:ascii="宋体" w:hAnsi="宋体" w:eastAsia="宋体" w:cs="宋体"/>
          <w:color w:val="auto"/>
          <w:sz w:val="24"/>
          <w:szCs w:val="24"/>
        </w:rPr>
        <w:t xml:space="preserve">大气环境数字化管控服务项目</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采购方式：</w:t>
      </w:r>
      <w:r>
        <w:rPr>
          <w:rFonts w:hint="eastAsia" w:ascii="宋体" w:hAnsi="宋体" w:eastAsia="宋体" w:cs="宋体"/>
          <w:i w:val="0"/>
          <w:iCs w:val="0"/>
          <w:caps w:val="0"/>
          <w:color w:val="auto"/>
          <w:spacing w:val="0"/>
          <w:sz w:val="24"/>
          <w:szCs w:val="24"/>
          <w:shd w:val="clear" w:color="auto" w:fill="ffffff"/>
          <w:lang w:val="en-US" w:eastAsia="zh-CN"/>
        </w:rPr>
        <w:t xml:space="preserve">公开招标</w:t>
      </w:r>
      <w:r/>
    </w:p>
    <w:p>
      <w:pPr>
        <w:pStyle w:val="675"/>
        <w:ind w:firstLine="480"/>
        <w:jc w:val="both"/>
        <w:pageBreakBefore w:val="0"/>
        <w:spacing w:beforeAutospacing="0" w:afterAutospacing="0" w:line="620" w:lineRule="exact"/>
        <w:rPr>
          <w:rFonts w:hint="default" w:ascii="宋体" w:hAnsi="宋体" w:eastAsia="宋体" w:cs="宋体"/>
          <w:color w:val="auto"/>
          <w:sz w:val="24"/>
          <w:szCs w:val="24"/>
          <w:shd w:val="clear" w:color="auto" w:fill="ffff00"/>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5.最高限价：100</w:t>
      </w:r>
      <w:r>
        <w:rPr>
          <w:rFonts w:hint="eastAsia" w:ascii="宋体" w:hAnsi="宋体" w:eastAsia="宋体" w:cs="宋体"/>
          <w:color w:val="auto"/>
          <w:sz w:val="24"/>
          <w:szCs w:val="24"/>
        </w:rPr>
        <w:t xml:space="preserve">万元。本项目投标报价不得超过最高限价，否则作无效投标处理</w:t>
      </w:r>
      <w:r>
        <w:rPr>
          <w:rFonts w:hint="eastAsia" w:ascii="宋体" w:hAnsi="宋体" w:eastAsia="宋体" w:cs="宋体"/>
          <w:color w:val="auto"/>
          <w:sz w:val="24"/>
          <w:szCs w:val="24"/>
          <w:lang w:val="en-US" w:eastAsia="zh-CN"/>
        </w:rPr>
        <w:t xml:space="preserve">。</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.采购需求：亭湖区大气环境数字化管控服务，</w:t>
      </w:r>
      <w:r>
        <w:rPr>
          <w:rFonts w:hint="eastAsia" w:ascii="宋体" w:hAnsi="宋体" w:eastAsia="宋体" w:cs="宋体"/>
          <w:color w:val="auto"/>
          <w:sz w:val="24"/>
          <w:szCs w:val="24"/>
          <w:lang w:val="en-US" w:eastAsia="zh-CN"/>
        </w:rPr>
        <w:t xml:space="preserve">包括但不限于</w:t>
      </w:r>
      <w:r>
        <w:rPr>
          <w:rFonts w:hint="eastAsia"/>
          <w:color w:val="auto"/>
        </w:rPr>
        <w:t xml:space="preserve">数据集成服务</w:t>
      </w:r>
      <w:r>
        <w:rPr>
          <w:rFonts w:hint="eastAsia"/>
          <w:color w:val="auto"/>
          <w:lang w:eastAsia="zh-CN"/>
        </w:rPr>
        <w:t xml:space="preserve">、数据展示和基础分析服务、</w:t>
      </w:r>
      <w:r>
        <w:rPr>
          <w:rFonts w:hint="eastAsia"/>
          <w:color w:val="auto"/>
          <w:lang w:val="en-US" w:eastAsia="zh-CN"/>
        </w:rPr>
        <w:t xml:space="preserve">污染溯源解析、</w:t>
      </w:r>
      <w:r>
        <w:rPr>
          <w:rFonts w:hint="eastAsia"/>
          <w:color w:val="auto"/>
        </w:rPr>
        <w:t xml:space="preserve">V</w:t>
      </w:r>
      <w:r>
        <w:rPr>
          <w:color w:val="auto"/>
        </w:rPr>
        <w:t xml:space="preserve">OC</w:t>
      </w:r>
      <w:r>
        <w:rPr>
          <w:rFonts w:hint="eastAsia"/>
          <w:color w:val="auto"/>
        </w:rPr>
        <w:t xml:space="preserve">s专项管控</w:t>
      </w:r>
      <w:r>
        <w:rPr>
          <w:rFonts w:hint="eastAsia"/>
          <w:color w:val="auto"/>
          <w:lang w:eastAsia="zh-CN"/>
        </w:rPr>
        <w:t xml:space="preserve">、</w:t>
      </w:r>
      <w:r>
        <w:rPr>
          <w:rFonts w:hint="eastAsia"/>
          <w:color w:val="auto"/>
        </w:rPr>
        <w:t xml:space="preserve">告警提醒</w:t>
      </w:r>
      <w:r>
        <w:rPr>
          <w:rFonts w:hint="eastAsia"/>
          <w:color w:val="auto"/>
          <w:lang w:eastAsia="zh-CN"/>
        </w:rPr>
        <w:t xml:space="preserve">、</w:t>
      </w:r>
      <w:r>
        <w:rPr>
          <w:rFonts w:hint="eastAsia"/>
          <w:color w:val="auto"/>
        </w:rPr>
        <w:t xml:space="preserve">问题处置</w:t>
      </w:r>
      <w:r>
        <w:rPr>
          <w:rFonts w:hint="eastAsia"/>
          <w:color w:val="auto"/>
          <w:lang w:eastAsia="zh-CN"/>
        </w:rPr>
        <w:t xml:space="preserve">、</w:t>
      </w:r>
      <w:r>
        <w:rPr>
          <w:rFonts w:hint="eastAsia"/>
          <w:color w:val="auto"/>
        </w:rPr>
        <w:t xml:space="preserve">站点信息管理</w:t>
      </w:r>
      <w:r>
        <w:rPr>
          <w:rFonts w:hint="eastAsia"/>
          <w:color w:val="auto"/>
          <w:lang w:val="en-US" w:eastAsia="zh-CN"/>
        </w:rPr>
        <w:t xml:space="preserve">等服务内容，</w:t>
      </w:r>
      <w:r>
        <w:rPr>
          <w:rFonts w:hint="eastAsia" w:ascii="宋体" w:hAnsi="宋体" w:eastAsia="宋体" w:cs="宋体"/>
          <w:color w:val="auto"/>
          <w:sz w:val="24"/>
          <w:szCs w:val="24"/>
        </w:rPr>
        <w:t xml:space="preserve">具体内容及要求详见招标文件</w:t>
      </w:r>
      <w:r>
        <w:rPr>
          <w:rFonts w:hint="eastAsia" w:ascii="宋体" w:hAnsi="宋体" w:eastAsia="宋体" w:cs="宋体"/>
          <w:color w:val="auto"/>
          <w:sz w:val="24"/>
          <w:szCs w:val="24"/>
          <w:lang w:val="en-US" w:eastAsia="zh-CN"/>
        </w:rPr>
        <w:t xml:space="preserve">采购需求</w:t>
      </w:r>
      <w:r>
        <w:rPr>
          <w:rFonts w:hint="eastAsia" w:ascii="宋体" w:hAnsi="宋体" w:eastAsia="宋体" w:cs="宋体"/>
          <w:color w:val="auto"/>
          <w:sz w:val="24"/>
          <w:szCs w:val="24"/>
        </w:rPr>
        <w:t xml:space="preserve">，采购人保留对招标内容进行适当调整的权利</w:t>
      </w:r>
      <w:r>
        <w:rPr>
          <w:rFonts w:hint="eastAsia" w:ascii="宋体" w:hAnsi="宋体" w:eastAsia="宋体" w:cs="宋体"/>
          <w:color w:val="auto"/>
          <w:sz w:val="24"/>
          <w:szCs w:val="24"/>
          <w:lang w:eastAsia="zh-CN"/>
        </w:rPr>
        <w:t xml:space="preserve">。</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年（开始时间以签定合同日期为准）</w:t>
      </w:r>
      <w:r>
        <w:rPr>
          <w:rFonts w:hint="eastAsia" w:ascii="宋体" w:hAnsi="宋体" w:eastAsia="宋体" w:cs="宋体"/>
          <w:color w:val="auto"/>
          <w:sz w:val="24"/>
          <w:szCs w:val="24"/>
          <w:lang w:eastAsia="zh-CN"/>
        </w:rPr>
        <w:t xml:space="preserve">。</w:t>
      </w:r>
      <w:r/>
    </w:p>
    <w:p>
      <w:pPr>
        <w:pStyle w:val="675"/>
        <w:ind w:firstLine="480"/>
        <w:jc w:val="both"/>
        <w:pageBreakBefore w:val="0"/>
        <w:spacing w:beforeAutospacing="0" w:afterAutospacing="0" w:line="620" w:lineRule="exact"/>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8.服务要求：合格，并满足采购人要求。</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shd w:val="clear" w:color="auto" w:fill="ffff00"/>
        </w:rPr>
      </w:pPr>
      <w:r>
        <w:rPr>
          <w:rFonts w:hint="eastAsia" w:ascii="宋体" w:hAnsi="宋体" w:eastAsia="宋体" w:cs="宋体"/>
          <w:i w:val="0"/>
          <w:iCs w:val="0"/>
          <w:caps w:val="0"/>
          <w:color w:val="auto"/>
          <w:spacing w:val="0"/>
          <w:sz w:val="24"/>
          <w:szCs w:val="24"/>
          <w:shd w:val="clear" w:color="auto" w:fill="ffffff"/>
          <w:lang w:val="en-US" w:eastAsia="zh-CN"/>
        </w:rPr>
        <w:t xml:space="preserve">9.本项目不接受联合体投标。</w:t>
      </w:r>
      <w:r/>
    </w:p>
    <w:p>
      <w:pPr>
        <w:pStyle w:val="675"/>
        <w:ind w:firstLine="482"/>
        <w:jc w:val="both"/>
        <w:keepLines/>
        <w:keepNext/>
        <w:pageBreakBefore w:val="0"/>
        <w:spacing w:beforeAutospacing="0" w:afterAutospacing="0" w:line="620" w:lineRule="exact"/>
        <w:rPr>
          <w:rFonts w:hint="eastAsia" w:ascii="宋体" w:hAnsi="宋体" w:eastAsia="宋体" w:cs="宋体"/>
          <w:color w:val="auto"/>
          <w:sz w:val="24"/>
          <w:szCs w:val="24"/>
        </w:rPr>
      </w:pPr>
      <w:r/>
      <w:bookmarkStart w:id="12" w:name="_Toc35393622"/>
      <w:r/>
      <w:bookmarkStart w:id="13" w:name="_Toc28359080"/>
      <w:r/>
      <w:bookmarkStart w:id="14" w:name="_Toc28359003"/>
      <w:r/>
      <w:bookmarkStart w:id="15" w:name="_Toc38985264"/>
      <w:r/>
      <w:bookmarkStart w:id="16" w:name="_Toc35393791"/>
      <w:r>
        <w:rPr>
          <w:rFonts w:hint="eastAsia" w:ascii="宋体" w:hAnsi="宋体" w:eastAsia="宋体" w:cs="宋体"/>
          <w:b/>
          <w:color w:val="auto"/>
          <w:sz w:val="24"/>
          <w:szCs w:val="24"/>
        </w:rPr>
        <w:t xml:space="preserve">二、申请人的资格要求：</w:t>
      </w:r>
      <w:bookmarkEnd w:id="12"/>
      <w:r/>
      <w:bookmarkEnd w:id="13"/>
      <w:r/>
      <w:bookmarkEnd w:id="14"/>
      <w:r/>
      <w:bookmarkEnd w:id="15"/>
      <w:r/>
      <w:bookmarkEnd w:id="16"/>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1.满足《中华人民共和国政府采购法》第二十二条规定，并提供下列材料：</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法人或者其他组织的营业执照等证明文件，自然人的身份证明；</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1.2上一年度的财务状况报</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至少提供资产负债表、利润表、现金流量表，</w:t>
      </w:r>
      <w:r>
        <w:rPr>
          <w:rFonts w:hint="eastAsia" w:ascii="宋体" w:hAnsi="宋体" w:eastAsia="宋体" w:cs="宋体"/>
          <w:color w:val="auto"/>
          <w:sz w:val="24"/>
          <w:szCs w:val="24"/>
        </w:rPr>
        <w:t xml:space="preserve">成立不满一年无需提供）；</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具备履行合同所必需的设备和</w:t>
      </w:r>
      <w:bookmarkStart w:id="212" w:name="_GoBack"/>
      <w:r/>
      <w:bookmarkEnd w:id="212"/>
      <w:r>
        <w:rPr>
          <w:rFonts w:hint="eastAsia" w:ascii="宋体" w:hAnsi="宋体" w:eastAsia="宋体" w:cs="宋体"/>
          <w:color w:val="auto"/>
          <w:sz w:val="24"/>
          <w:szCs w:val="24"/>
        </w:rPr>
        <w:t xml:space="preserve">专业技术能力的书面声明；</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.5参加政府采购活动前3年内在经营活动中没有重大违法记录的书面声明。</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1.6法律、行政法规规定的其他条件。</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单位负责人为同一人或者存在直接控股、管理关系的不同供应商，不得参加同一合同项下的政府采购活动。</w:t>
      </w:r>
      <w:r/>
    </w:p>
    <w:p>
      <w:pPr>
        <w:pStyle w:val="675"/>
        <w:ind w:firstLine="480"/>
        <w:jc w:val="both"/>
        <w:pageBreakBefore w:val="0"/>
        <w:spacing w:beforeAutospacing="0" w:afterAutospacing="0" w:line="6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落实政府采购政策需满足的资格要求：本项目为</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类。</w:t>
      </w:r>
      <w:r>
        <w:rPr>
          <w:rFonts w:hint="eastAsia" w:ascii="宋体" w:hAnsi="宋体" w:cs="宋体"/>
          <w:b/>
          <w:bCs/>
          <w:color w:val="auto"/>
          <w:sz w:val="24"/>
        </w:rPr>
        <w:t xml:space="preserve">本项目</w:t>
      </w:r>
      <w:r>
        <w:rPr>
          <w:rFonts w:hint="eastAsia" w:ascii="宋体" w:hAnsi="宋体" w:cs="宋体"/>
          <w:b/>
          <w:bCs/>
          <w:color w:val="auto"/>
          <w:sz w:val="24"/>
          <w:lang w:val="en-US" w:eastAsia="zh-CN"/>
        </w:rPr>
        <w:t xml:space="preserve">的服务采购</w:t>
      </w:r>
      <w:r>
        <w:rPr>
          <w:rFonts w:hint="eastAsia" w:ascii="宋体" w:hAnsi="宋体" w:cs="宋体"/>
          <w:b/>
          <w:bCs/>
          <w:color w:val="auto"/>
          <w:sz w:val="24"/>
        </w:rPr>
        <w:t xml:space="preserve">专门面向中小微企业采购，供应商须为符合《关于印发中小企业划型标准规定的通知》 (工信部联企业[2011]300号）文件的中小微企业</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供应商投标时须提供《中小企业声明函》，否则按无效处理。</w:t>
      </w:r>
      <w:r/>
    </w:p>
    <w:p>
      <w:pPr>
        <w:pStyle w:val="675"/>
        <w:ind w:left="0" w:right="0" w:firstLine="480"/>
        <w:jc w:val="both"/>
        <w:keepLines w:val="0"/>
        <w:keepNext w:val="0"/>
        <w:pageBreakBefore w:val="0"/>
        <w:spacing w:beforeAutospacing="0" w:afterAutospacing="0" w:line="620" w:lineRule="exact"/>
        <w:shd w:val="clear" w:color="auto" w:fill="ffffff"/>
        <w:widowControl/>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本项目的特定资格要求</w:t>
      </w:r>
      <w:r>
        <w:rPr>
          <w:rFonts w:hint="eastAsia" w:ascii="宋体" w:hAnsi="宋体" w:eastAsia="宋体" w:cs="宋体"/>
          <w:color w:val="auto"/>
          <w:sz w:val="24"/>
          <w:szCs w:val="24"/>
          <w:lang w:eastAsia="zh-CN"/>
        </w:rPr>
        <w:t xml:space="preserve">：</w:t>
      </w:r>
      <w:r/>
    </w:p>
    <w:p>
      <w:pPr>
        <w:pStyle w:val="675"/>
        <w:ind w:left="0" w:right="0" w:firstLine="480"/>
        <w:jc w:val="both"/>
        <w:keepLines w:val="0"/>
        <w:keepNext w:val="0"/>
        <w:pageBreakBefore w:val="0"/>
        <w:spacing w:beforeAutospacing="0" w:afterAutospacing="0" w:line="62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3.1投标人必须是在中国境内注册，且有能力按照招标文件规定的要求完成本次招标项目的独立法人企业。</w:t>
      </w:r>
      <w:r/>
    </w:p>
    <w:p>
      <w:pPr>
        <w:pStyle w:val="675"/>
        <w:ind w:firstLine="482"/>
        <w:jc w:val="both"/>
        <w:keepLines/>
        <w:keepNext/>
        <w:pageBreakBefore w:val="0"/>
        <w:spacing w:beforeAutospacing="0" w:afterAutospacing="0" w:line="6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三、获取招标文件</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7" w:name="_Toc38985266"/>
      <w:r/>
      <w:bookmarkStart w:id="18" w:name="_Toc28359082"/>
      <w:r/>
      <w:bookmarkStart w:id="19" w:name="_Toc28359005"/>
      <w:r/>
      <w:bookmarkStart w:id="20" w:name="_Toc35393793"/>
      <w:r/>
      <w:bookmarkStart w:id="21" w:name="_Toc35393624"/>
      <w:r/>
      <w:bookmarkStart w:id="22" w:name="_Toc28359018"/>
      <w:r>
        <w:rPr>
          <w:rFonts w:hint="eastAsia" w:ascii="宋体" w:hAnsi="宋体" w:eastAsia="宋体" w:cs="宋体"/>
          <w:i w:val="0"/>
          <w:iCs w:val="0"/>
          <w:caps w:val="0"/>
          <w:color w:val="auto"/>
          <w:spacing w:val="0"/>
          <w:sz w:val="24"/>
          <w:szCs w:val="24"/>
          <w:shd w:val="clear" w:color="auto" w:fill="ffffff"/>
          <w:lang w:val="en-US" w:eastAsia="zh-CN"/>
        </w:rPr>
        <w:t xml:space="preserve">1.</w:t>
      </w:r>
      <w:bookmarkEnd w:id="17"/>
      <w:r/>
      <w:bookmarkEnd w:id="18"/>
      <w:r/>
      <w:bookmarkEnd w:id="19"/>
      <w:r/>
      <w:bookmarkEnd w:id="20"/>
      <w:r/>
      <w:bookmarkEnd w:id="21"/>
      <w:r>
        <w:rPr>
          <w:rFonts w:hint="eastAsia" w:ascii="宋体" w:hAnsi="宋体" w:eastAsia="宋体" w:cs="宋体"/>
          <w:i w:val="0"/>
          <w:iCs w:val="0"/>
          <w:caps w:val="0"/>
          <w:color w:val="auto"/>
          <w:spacing w:val="0"/>
          <w:sz w:val="24"/>
          <w:szCs w:val="24"/>
          <w:shd w:val="clear" w:color="auto" w:fill="ffffff"/>
          <w:lang w:val="en-US" w:eastAsia="zh-CN"/>
        </w:rPr>
        <w:t xml:space="preserve">招标文件获取截止时间：2024年8月1日上午8:59:59。</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2.地点：网上注册登记成功后系统内免费下载。</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3.方式：本项目采用网上注册登记方式。</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4.文件售价：免费。</w:t>
      </w:r>
      <w:r/>
    </w:p>
    <w:p>
      <w:pPr>
        <w:pStyle w:val="675"/>
        <w:ind w:left="0" w:right="0" w:firstLine="482"/>
        <w:jc w:val="both"/>
        <w:keepLines w:val="0"/>
        <w:keepNext w:val="0"/>
        <w:pageBreakBefore w:val="0"/>
        <w:spacing w:beforeAutospacing="0" w:afterAutospacing="0" w:line="600" w:lineRule="exact"/>
        <w:shd w:val="clear" w:color="auto" w:fill="ffffff"/>
        <w:widowControl/>
        <w:rPr>
          <w:rFonts w:hint="eastAsia" w:ascii="宋体" w:hAnsi="宋体" w:eastAsia="宋体" w:cs="宋体"/>
          <w:b/>
          <w:bCs/>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rPr>
        <w:t xml:space="preserve">四、线上提交投标文件截止时间、线上开标时间和线上开标地点：</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1.线上提交投标文件截止时间：2024年8月1日9点00分（北京时间）</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2.线上开标时间：2024年8月1日9时00分；</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3.线上开标地点：“苏采云”系统中的“开标大厅”。</w:t>
      </w:r>
      <w:r/>
    </w:p>
    <w:p>
      <w:pPr>
        <w:pStyle w:val="675"/>
        <w:ind w:left="0" w:right="0" w:firstLine="482"/>
        <w:jc w:val="both"/>
        <w:keepLines w:val="0"/>
        <w:keepNext w:val="0"/>
        <w:pageBreakBefore w:val="0"/>
        <w:spacing w:beforeAutospacing="0" w:afterAutospacing="0" w:line="600" w:lineRule="exact"/>
        <w:shd w:val="clear" w:color="auto" w:fill="ffffff"/>
        <w:widowControl/>
        <w:rPr>
          <w:rFonts w:hint="eastAsia" w:ascii="宋体" w:hAnsi="宋体" w:eastAsia="宋体" w:cs="宋体"/>
          <w:b/>
          <w:bCs/>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28359084"/>
      <w:r/>
      <w:bookmarkStart w:id="24" w:name="_Toc35393794"/>
      <w:r/>
      <w:bookmarkStart w:id="25" w:name="_Toc28359007"/>
      <w:r/>
      <w:bookmarkStart w:id="26" w:name="_Toc38985267"/>
      <w:r/>
      <w:bookmarkStart w:id="27" w:name="_Toc35393625"/>
      <w:r>
        <w:rPr>
          <w:rFonts w:hint="eastAsia" w:ascii="宋体" w:hAnsi="宋体" w:eastAsia="宋体" w:cs="宋体"/>
          <w:b/>
          <w:bCs/>
          <w:i w:val="0"/>
          <w:iCs w:val="0"/>
          <w:caps w:val="0"/>
          <w:color w:val="auto"/>
          <w:spacing w:val="0"/>
          <w:sz w:val="24"/>
          <w:szCs w:val="24"/>
          <w:shd w:val="clear" w:color="auto" w:fill="ffffff"/>
          <w:lang w:val="en-US" w:eastAsia="zh-CN"/>
        </w:rPr>
        <w:t xml:space="preserve">五、公告期限</w:t>
      </w:r>
      <w:bookmarkEnd w:id="23"/>
      <w:r/>
      <w:bookmarkEnd w:id="24"/>
      <w:r/>
      <w:bookmarkEnd w:id="25"/>
      <w:r/>
      <w:bookmarkEnd w:id="26"/>
      <w:r/>
      <w:bookmarkEnd w:id="27"/>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auto"/>
          <w:spacing w:val="0"/>
          <w:sz w:val="24"/>
          <w:szCs w:val="24"/>
          <w:shd w:val="clear" w:color="auto" w:fill="ffffff"/>
          <w:lang w:val="en-US" w:eastAsia="zh-CN"/>
        </w:rPr>
        <w:t xml:space="preserve">自本公告发布之日起5个工作日。</w:t>
      </w:r>
      <w:bookmarkEnd w:id="28"/>
      <w:r/>
      <w:bookmarkEnd w:id="29"/>
      <w:r/>
      <w:bookmarkEnd w:id="30"/>
      <w:r/>
      <w:r/>
    </w:p>
    <w:p>
      <w:pPr>
        <w:pStyle w:val="675"/>
        <w:ind w:left="0" w:right="0" w:firstLine="482"/>
        <w:jc w:val="both"/>
        <w:keepLines w:val="0"/>
        <w:keepNext w:val="0"/>
        <w:pageBreakBefore w:val="0"/>
        <w:spacing w:beforeAutospacing="0" w:afterAutospacing="0" w:line="600" w:lineRule="exact"/>
        <w:shd w:val="clear" w:color="auto" w:fill="ffffff"/>
        <w:widowControl/>
        <w:rPr>
          <w:rFonts w:hint="eastAsia" w:ascii="宋体" w:hAnsi="宋体" w:eastAsia="宋体" w:cs="宋体"/>
          <w:b/>
          <w:bCs/>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lang w:val="en-US" w:eastAsia="zh-CN"/>
        </w:rPr>
        <w:t xml:space="preserve">六、其他补充事宜</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各供应商在提交响应文件截止时间前应当每天都上网查询，以便获取更新的澄清、修改、补充内容。凡涉及到该项目的补充说明和修改，均以中国政府采购网、江苏政府采购网、盐城市政府采购网上的更正或补充通知为准。</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2.投标人如在投标过程中存在以下行为，将被列入不良行为记录名单。</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2.1提供虚假材料谋取中标成交的或采取不正当手段诋毁、排挤其他供应商的；</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2.2投标人递交无竞争力投标文件的。</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3.投标人存在串通投标、以他人名义投标、弄虚作假等违法违规行为，或者无正当理由放弃投标、中标资格，造成项目招标失败的，不得参加该项目重新招标的投标。</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4.本次招标不收取投标保证金，不收取质量保证金。</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5.电子响应文件一份(通过系统提交)；纸质响应文件正本一份，副本二份（评审结束后由中标候选人送至代理机构，未中标单位不需要提供）。</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6.因供应商的系统环境、操作等原因导致报名、开评标过程中出现问题由供应商自行承担负责。</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7.1潜在供应商访问电子招标响应交易平台的网络地址和方法：</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7.2潜在投标人访问“苏采云”系统方法：</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江苏省政府采购网首页-“苏采云”链接。</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7.3“CA数字证书”的获取：</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供应商需办理CA锁，“苏采云”系统目前仅支持政务CA，省内各地区办理的用于“苏采云”平台的政务CA全省通用。盐城地区政务CA办理请至亭湖区政务服务中心二楼226窗口办理，联系电话：15051556883。</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7.4采购文件（后缀名为“.kedt”）、供应商操作手册及政府采购客户端工具可通过“苏采云”系统相应链接进行下载。</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7.5招标代理机构（采购代理机构）将数据电文形式的招标文件加载至“苏采云”系统，供潜在供应商下载或者查阅。</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7.6请潜在投标单位提前安装相应的控件（详见《“苏采云”系统供应商操作手册》）并使用谷歌浏览器登录“苏采云”系统参与不见面开评标。</w:t>
      </w:r>
      <w:r/>
    </w:p>
    <w:p>
      <w:pPr>
        <w:pStyle w:val="675"/>
        <w:ind w:left="0" w:right="0" w:firstLine="480"/>
        <w:jc w:val="both"/>
        <w:keepLines w:val="0"/>
        <w:keepNext w:val="0"/>
        <w:pageBreakBefore w:val="0"/>
        <w:spacing w:beforeAutospacing="0" w:afterAutospacing="0" w:line="60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如潜在投标人未按上述要求操作，将自行承担所产生的风险。</w:t>
      </w:r>
      <w:r/>
    </w:p>
    <w:p>
      <w:pPr>
        <w:ind w:left="0" w:right="0" w:firstLine="482"/>
        <w:jc w:val="both"/>
        <w:keepLines w:val="0"/>
        <w:keepNext w:val="0"/>
        <w:pageBreakBefore w:val="0"/>
        <w:spacing w:beforeAutospacing="0" w:afterAutospacing="0" w:line="540" w:lineRule="exact"/>
        <w:shd w:val="clear" w:color="auto" w:fill="ffffff"/>
        <w:widowControl/>
        <w:rPr>
          <w:rFonts w:hint="eastAsia" w:ascii="宋体" w:hAnsi="宋体" w:eastAsia="宋体" w:cs="宋体"/>
          <w:b w:val="0"/>
          <w:bCs w:val="0"/>
          <w:i w:val="0"/>
          <w:iCs w:val="0"/>
          <w:caps w:val="0"/>
          <w:color w:val="auto"/>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u w:val="none"/>
          <w:shd w:val="clear" w:color="auto" w:fill="ffffff"/>
        </w:rPr>
        <w:t xml:space="preserve">、对本次</w:t>
      </w:r>
      <w:r>
        <w:rPr>
          <w:rFonts w:hint="eastAsia" w:ascii="宋体" w:hAnsi="宋体" w:eastAsia="宋体" w:cs="宋体"/>
          <w:b/>
          <w:bCs/>
          <w:i w:val="0"/>
          <w:iCs w:val="0"/>
          <w:caps w:val="0"/>
          <w:color w:val="auto"/>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u w:val="none"/>
          <w:shd w:val="clear" w:color="auto" w:fill="ffffff"/>
        </w:rPr>
        <w:t xml:space="preserve">提出询问，请按以下方式联系</w:t>
      </w:r>
      <w:bookmarkEnd w:id="22"/>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shd w:val="clear" w:color="auto" w:fill="ffffff"/>
          <w:lang w:val="en-US" w:eastAsia="zh-CN"/>
        </w:rPr>
        <w:t xml:space="preserve">1.采购人信息</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名 称：盐城市亭湖生态环境局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地址：盐城市青年东路55号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联系人：王先生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联系方式：0515—66690554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2.采购代理机构信息</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名 称：江苏苏伟项目管理有限公司</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地 址：盐城市亭湖区绿地花漾国际公寓11-1楼410室</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联系人：王先生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shd w:val="clear" w:color="auto" w:fill="ffffff"/>
          <w:lang w:val="en-US" w:eastAsia="zh-CN"/>
        </w:rPr>
        <w:t xml:space="preserve">18014655317       </w:t>
      </w:r>
      <w:bookmarkEnd w:id="32"/>
      <w:r/>
      <w:bookmarkEnd w:id="33"/>
      <w:r>
        <w:rPr>
          <w:rFonts w:hint="eastAsia" w:ascii="宋体" w:hAnsi="宋体" w:eastAsia="宋体" w:cs="宋体"/>
          <w:i w:val="0"/>
          <w:iCs w:val="0"/>
          <w:caps w:val="0"/>
          <w:color w:val="auto"/>
          <w:spacing w:val="0"/>
          <w:sz w:val="24"/>
          <w:szCs w:val="24"/>
          <w:shd w:val="clear" w:color="auto" w:fill="ffffff"/>
          <w:lang w:val="en-US" w:eastAsia="zh-CN"/>
        </w:rPr>
        <w:t xml:space="preserve">            </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shd w:val="clear" w:color="auto" w:fill="ffffff"/>
          <w:lang w:val="en-US" w:eastAsia="zh-CN"/>
        </w:rPr>
        <w:t xml:space="preserve">项目联系方式</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项目联系人：王先生       王先生</w:t>
      </w:r>
      <w:r/>
    </w:p>
    <w:p>
      <w:pPr>
        <w:pStyle w:val="675"/>
        <w:ind w:left="0" w:right="0" w:firstLine="480"/>
        <w:jc w:val="both"/>
        <w:keepLines w:val="0"/>
        <w:keepNext w:val="0"/>
        <w:pageBreakBefore w:val="0"/>
        <w:spacing w:beforeAutospacing="0" w:afterAutospacing="0" w:line="540" w:lineRule="exact"/>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电　　 话：0515—66690554     18014655317</w:t>
      </w:r>
      <w:r>
        <w:rPr>
          <w:rFonts w:hint="eastAsia" w:ascii="宋体" w:hAnsi="宋体" w:eastAsia="宋体" w:cs="宋体"/>
          <w:i w:val="0"/>
          <w:iCs w:val="0"/>
          <w:caps w:val="0"/>
          <w:color w:val="auto"/>
          <w:spacing w:val="0"/>
          <w:sz w:val="28"/>
          <w:szCs w:val="28"/>
          <w:shd w:val="clear" w:color="auto" w:fill="ffffff"/>
          <w:lang w:val="en-US" w:eastAsia="zh-CN"/>
        </w:rPr>
        <w:t xml:space="preserve">　</w:t>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pStyle w:val="6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r>
      <w:r/>
    </w:p>
    <w:p>
      <w:pPr>
        <w:jc w:val="center"/>
        <w:rPr>
          <w:rFonts w:hint="eastAsia" w:ascii="宋体" w:hAnsi="宋体" w:eastAsia="宋体" w:cs="宋体"/>
          <w:color w:val="auto"/>
        </w:rPr>
        <w:outlineLvl w:val="0"/>
      </w:pPr>
      <w:r/>
      <w:bookmarkStart w:id="35" w:name="_Toc120614211"/>
      <w:r>
        <w:rPr>
          <w:rFonts w:hint="eastAsia" w:ascii="宋体" w:hAnsi="宋体" w:eastAsia="宋体" w:cs="宋体"/>
          <w:b/>
          <w:bCs w:val="0"/>
          <w:color w:val="auto"/>
          <w:sz w:val="44"/>
          <w:szCs w:val="44"/>
        </w:rPr>
        <w:t xml:space="preserve">第二章  </w:t>
      </w:r>
      <w:bookmarkEnd w:id="35"/>
      <w:r/>
      <w:bookmarkStart w:id="36" w:name="_Toc120614213"/>
      <w:r/>
      <w:bookmarkStart w:id="37" w:name="_Toc20823274"/>
      <w:r/>
      <w:bookmarkStart w:id="38" w:name="_Toc513029202"/>
      <w:r/>
      <w:bookmarkStart w:id="39" w:name="_Toc16938518"/>
      <w:r>
        <w:rPr>
          <w:rFonts w:hint="eastAsia" w:ascii="宋体" w:hAnsi="宋体" w:eastAsia="宋体" w:cs="宋体"/>
          <w:b/>
          <w:bCs w:val="0"/>
          <w:color w:val="auto"/>
          <w:sz w:val="44"/>
          <w:szCs w:val="44"/>
        </w:rPr>
        <w:t xml:space="preserve">投标人须知</w:t>
      </w:r>
      <w:bookmarkEnd w:id="36"/>
      <w:r/>
      <w:bookmarkEnd w:id="37"/>
      <w:r/>
      <w:bookmarkEnd w:id="38"/>
      <w:r/>
      <w:bookmarkEnd w:id="39"/>
      <w:r/>
      <w:r/>
    </w:p>
    <w:p>
      <w:pPr>
        <w:pStyle w:val="675"/>
        <w:ind w:firstLine="498"/>
        <w:jc w:val="both"/>
        <w:keepLines/>
        <w:keepNext/>
        <w:spacing w:before="145" w:beforeAutospacing="0" w:after="145" w:afterAutospacing="0" w:line="360" w:lineRule="auto"/>
        <w:rPr>
          <w:rFonts w:hint="eastAsia" w:ascii="宋体" w:hAnsi="宋体" w:eastAsia="宋体" w:cs="宋体"/>
          <w:color w:val="auto"/>
        </w:rPr>
      </w:pPr>
      <w:r/>
      <w:bookmarkStart w:id="40" w:name="_Toc120614214"/>
      <w:r/>
      <w:bookmarkStart w:id="41" w:name="_Toc513029203"/>
      <w:r/>
      <w:bookmarkStart w:id="42" w:name="_Toc20823275"/>
      <w:r/>
      <w:bookmarkStart w:id="43" w:name="_Toc16938519"/>
      <w:r>
        <w:rPr>
          <w:rFonts w:hint="eastAsia" w:ascii="宋体" w:hAnsi="宋体" w:eastAsia="宋体" w:cs="宋体"/>
          <w:b/>
          <w:color w:val="auto"/>
          <w:sz w:val="32"/>
          <w:szCs w:val="32"/>
        </w:rPr>
        <w:t xml:space="preserve">一、总则</w:t>
      </w:r>
      <w:bookmarkEnd w:id="40"/>
      <w:r/>
      <w:bookmarkEnd w:id="41"/>
      <w:r/>
      <w:bookmarkEnd w:id="42"/>
      <w:r/>
      <w:bookmarkEnd w:id="43"/>
      <w:r/>
      <w:r/>
    </w:p>
    <w:p>
      <w:pPr>
        <w:pStyle w:val="675"/>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auto"/>
          <w:sz w:val="24"/>
          <w:szCs w:val="24"/>
        </w:rPr>
        <w:t xml:space="preserve">1</w:t>
      </w:r>
      <w:bookmarkEnd w:id="44"/>
      <w:r>
        <w:rPr>
          <w:rFonts w:hint="eastAsia" w:ascii="宋体" w:hAnsi="宋体" w:eastAsia="宋体" w:cs="宋体"/>
          <w:color w:val="auto"/>
          <w:sz w:val="24"/>
          <w:szCs w:val="24"/>
        </w:rPr>
        <w:t xml:space="preserve">、招标方式</w:t>
      </w:r>
      <w:bookmarkEnd w:id="45"/>
      <w:r/>
      <w:bookmarkEnd w:id="46"/>
      <w:r/>
      <w:bookmarkEnd w:id="47"/>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1.1本次招标采取公开招标方式，本招标文件仅适用于招标公告中所述项目。</w:t>
      </w:r>
      <w:r/>
    </w:p>
    <w:p>
      <w:pPr>
        <w:pStyle w:val="675"/>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rPr>
      </w:pPr>
      <w:r/>
      <w:bookmarkStart w:id="49" w:name="_Toc16938521"/>
      <w:r/>
      <w:bookmarkStart w:id="50" w:name="_Toc513029205"/>
      <w:r/>
      <w:bookmarkStart w:id="51" w:name="_Toc20823277"/>
      <w:r>
        <w:rPr>
          <w:rFonts w:hint="eastAsia" w:ascii="宋体" w:hAnsi="宋体" w:eastAsia="宋体" w:cs="宋体"/>
          <w:color w:val="auto"/>
          <w:sz w:val="24"/>
          <w:szCs w:val="24"/>
        </w:rPr>
        <w:t xml:space="preserve">2、合格的投标人</w:t>
      </w:r>
      <w:bookmarkEnd w:id="49"/>
      <w:r/>
      <w:bookmarkEnd w:id="50"/>
      <w:r/>
      <w:bookmarkEnd w:id="51"/>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2.2满足本文件实质性要求和条件的规定。</w:t>
      </w:r>
      <w:r/>
    </w:p>
    <w:p>
      <w:pPr>
        <w:pStyle w:val="675"/>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rPr>
      </w:pPr>
      <w:r/>
      <w:bookmarkStart w:id="52" w:name="_Toc16938522"/>
      <w:r/>
      <w:bookmarkStart w:id="53" w:name="_Toc513029206"/>
      <w:r/>
      <w:bookmarkStart w:id="54" w:name="_Toc20823278"/>
      <w:r>
        <w:rPr>
          <w:rFonts w:hint="eastAsia" w:ascii="宋体" w:hAnsi="宋体" w:eastAsia="宋体" w:cs="宋体"/>
          <w:color w:val="auto"/>
          <w:sz w:val="24"/>
          <w:szCs w:val="24"/>
        </w:rPr>
        <w:t xml:space="preserve">3、适用法律</w:t>
      </w:r>
      <w:bookmarkEnd w:id="52"/>
      <w:r/>
      <w:bookmarkEnd w:id="53"/>
      <w:r/>
      <w:bookmarkEnd w:id="54"/>
      <w:r/>
      <w:r/>
    </w:p>
    <w:p>
      <w:pPr>
        <w:pStyle w:val="675"/>
        <w:ind w:firstLine="42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3.1本次招标及由此产生的合同受中华人民共和国有关的法律法规制约和保护。</w:t>
      </w:r>
      <w:r/>
    </w:p>
    <w:p>
      <w:pPr>
        <w:pStyle w:val="675"/>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rPr>
      </w:pPr>
      <w:r/>
      <w:bookmarkStart w:id="55" w:name="_Toc20823279"/>
      <w:r/>
      <w:bookmarkStart w:id="56" w:name="_Toc16938523"/>
      <w:r/>
      <w:bookmarkStart w:id="57" w:name="_Toc462564067"/>
      <w:r/>
      <w:bookmarkStart w:id="58" w:name="_Toc513029207"/>
      <w:r>
        <w:rPr>
          <w:rFonts w:hint="eastAsia" w:ascii="宋体" w:hAnsi="宋体" w:eastAsia="宋体" w:cs="宋体"/>
          <w:color w:val="auto"/>
          <w:sz w:val="24"/>
          <w:szCs w:val="24"/>
        </w:rPr>
        <w:t xml:space="preserve">4、投标费用</w:t>
      </w:r>
      <w:bookmarkEnd w:id="55"/>
      <w:r/>
      <w:bookmarkEnd w:id="56"/>
      <w:r/>
      <w:bookmarkEnd w:id="57"/>
      <w:r/>
      <w:bookmarkEnd w:id="58"/>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4.1投标人应自行承担所有与参加投标有关的费用，无论投标过程中的做法和结果如何，</w:t>
      </w:r>
      <w:r>
        <w:rPr>
          <w:rFonts w:hint="eastAsia" w:ascii="宋体" w:hAnsi="宋体" w:eastAsia="宋体" w:cs="宋体"/>
          <w:color w:val="auto"/>
          <w:sz w:val="24"/>
          <w:szCs w:val="24"/>
          <w:lang w:val="en-US" w:eastAsia="zh-CN"/>
        </w:rPr>
        <w:t xml:space="preserve">采购人或者采购代理机构</w:t>
      </w:r>
      <w:r>
        <w:rPr>
          <w:rFonts w:hint="eastAsia" w:ascii="宋体" w:hAnsi="宋体" w:eastAsia="宋体" w:cs="宋体"/>
          <w:color w:val="auto"/>
          <w:sz w:val="24"/>
          <w:szCs w:val="24"/>
        </w:rPr>
        <w:t xml:space="preserve">在任何情况下均无义务和责任承担这些费用。</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val="en-US" w:eastAsia="zh-CN"/>
        </w:rPr>
        <w:t xml:space="preserve">采购人或者采购代理机构</w:t>
      </w:r>
      <w:r>
        <w:rPr>
          <w:rFonts w:hint="eastAsia" w:ascii="宋体" w:hAnsi="宋体" w:eastAsia="宋体" w:cs="宋体"/>
          <w:color w:val="auto"/>
          <w:sz w:val="24"/>
          <w:szCs w:val="24"/>
        </w:rPr>
        <w:t xml:space="preserve">不收取标书工本费。</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4.3本项目采购代理服务费按照苏招协【2022】002号文件规定标准计取，由中标供应商在领取中标通知书前一次性支付。（本条不单独列表报价，自行综合考虑在投标报价中，中标后采购人不再另行支付）。</w:t>
      </w:r>
      <w:r/>
    </w:p>
    <w:p>
      <w:pPr>
        <w:pStyle w:val="675"/>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5、招标文件的约束力</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5.1投标人一旦参加本项目采购活动，即被认为接受了本招标文件的规定和约束。</w:t>
      </w:r>
      <w:r/>
    </w:p>
    <w:p>
      <w:pPr>
        <w:pStyle w:val="675"/>
        <w:ind w:firstLine="321"/>
        <w:jc w:val="both"/>
        <w:keepLines/>
        <w:keepNext/>
        <w:spacing w:before="145" w:beforeAutospacing="0" w:after="145" w:afterAutospacing="0" w:line="360" w:lineRule="auto"/>
        <w:rPr>
          <w:rFonts w:hint="eastAsia" w:ascii="宋体" w:hAnsi="宋体" w:eastAsia="宋体" w:cs="宋体"/>
          <w:color w:val="auto"/>
        </w:rPr>
      </w:pPr>
      <w:r/>
      <w:bookmarkStart w:id="59" w:name="_Toc16938525"/>
      <w:r/>
      <w:bookmarkStart w:id="60" w:name="_Toc20823281"/>
      <w:r/>
      <w:bookmarkStart w:id="61" w:name="_Toc513029209"/>
      <w:r/>
      <w:bookmarkStart w:id="62" w:name="_Toc120614215"/>
      <w:r>
        <w:rPr>
          <w:rFonts w:hint="eastAsia" w:ascii="宋体" w:hAnsi="宋体" w:eastAsia="宋体" w:cs="宋体"/>
          <w:b/>
          <w:color w:val="auto"/>
          <w:sz w:val="32"/>
          <w:szCs w:val="32"/>
        </w:rPr>
        <w:t xml:space="preserve">二、招标文件</w:t>
      </w:r>
      <w:bookmarkEnd w:id="59"/>
      <w:r/>
      <w:bookmarkEnd w:id="60"/>
      <w:r/>
      <w:bookmarkEnd w:id="61"/>
      <w:r/>
      <w:bookmarkEnd w:id="62"/>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63" w:name="_Toc16938526"/>
      <w:r/>
      <w:bookmarkStart w:id="64" w:name="_Toc513029210"/>
      <w:r/>
      <w:bookmarkStart w:id="65" w:name="_Toc20823282"/>
      <w:r>
        <w:rPr>
          <w:rFonts w:hint="eastAsia" w:ascii="宋体" w:hAnsi="宋体" w:eastAsia="宋体" w:cs="宋体"/>
          <w:color w:val="auto"/>
          <w:sz w:val="24"/>
          <w:szCs w:val="24"/>
          <w:lang w:val="en-US" w:eastAsia="zh-CN"/>
        </w:rPr>
        <w:t xml:space="preserve">6、招标文件构成</w:t>
      </w:r>
      <w:bookmarkEnd w:id="63"/>
      <w:r/>
      <w:bookmarkEnd w:id="64"/>
      <w:r/>
      <w:bookmarkEnd w:id="65"/>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6.1 招标文件由以下部分组成：</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（1）招标公告</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（2）投标人须知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（3）合同文本</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（4）采购需求</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（5）评标方法与评标标准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（6）投标文件格式</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请仔细检查招标文件是否齐全，如有缺漏请立即与采购人或采购代理机构联系解决。</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w:t>
      </w:r>
      <w:r>
        <w:rPr>
          <w:rFonts w:hint="eastAsia" w:ascii="宋体" w:hAnsi="宋体" w:eastAsia="宋体" w:cs="宋体"/>
          <w:i/>
          <w:iCs/>
          <w:color w:val="auto"/>
          <w:sz w:val="24"/>
          <w:szCs w:val="24"/>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bCs/>
          <w:i/>
          <w:iCs/>
          <w:color w:val="auto"/>
          <w:sz w:val="24"/>
          <w:szCs w:val="24"/>
          <w:lang w:val="en-US" w:eastAsia="zh-CN"/>
        </w:rPr>
        <w:t xml:space="preserve">（此斜体文字为实质性条款，下同）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66" w:name="_Toc462564070"/>
      <w:r/>
      <w:bookmarkStart w:id="67" w:name="_Toc20823283"/>
      <w:r/>
      <w:bookmarkStart w:id="68" w:name="_Toc16938527"/>
      <w:r/>
      <w:bookmarkStart w:id="69" w:name="_Toc513029211"/>
      <w:r>
        <w:rPr>
          <w:rFonts w:hint="eastAsia" w:ascii="宋体" w:hAnsi="宋体" w:eastAsia="宋体" w:cs="宋体"/>
          <w:color w:val="auto"/>
          <w:sz w:val="24"/>
          <w:szCs w:val="24"/>
          <w:lang w:val="en-US" w:eastAsia="zh-CN"/>
        </w:rPr>
        <w:t xml:space="preserve">7、招标文件的澄清</w:t>
      </w:r>
      <w:bookmarkEnd w:id="66"/>
      <w:r/>
      <w:bookmarkEnd w:id="67"/>
      <w:r/>
      <w:bookmarkEnd w:id="68"/>
      <w:r/>
      <w:bookmarkEnd w:id="69"/>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7.1任何要求对招标文件进行澄清的投标人，应在投标截止期十日前按招标公告中的通讯地址，以书面形式通知采购人或者采购代理机构提出。</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70" w:name="_Toc513029212"/>
      <w:r/>
      <w:bookmarkStart w:id="71" w:name="_Toc462564071"/>
      <w:r/>
      <w:bookmarkStart w:id="72" w:name="_Toc16938528"/>
      <w:r/>
      <w:bookmarkStart w:id="73" w:name="_Toc20823284"/>
      <w:r>
        <w:rPr>
          <w:rFonts w:hint="eastAsia" w:ascii="宋体" w:hAnsi="宋体" w:eastAsia="宋体" w:cs="宋体"/>
          <w:color w:val="auto"/>
          <w:sz w:val="24"/>
          <w:szCs w:val="24"/>
          <w:lang w:val="en-US" w:eastAsia="zh-CN"/>
        </w:rPr>
        <w:t xml:space="preserve">8、招标文件的修改</w:t>
      </w:r>
      <w:bookmarkEnd w:id="70"/>
      <w:r/>
      <w:bookmarkEnd w:id="71"/>
      <w:r/>
      <w:bookmarkEnd w:id="72"/>
      <w:r/>
      <w:bookmarkEnd w:id="73"/>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8.1在投标截止时间前，采购人或者采购代理机构可以对招标文件进行修改。</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8.2采购人有权按照法定的要求推迟投标截止日期和开标日期。</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rPr>
      </w:pPr>
      <w:r>
        <w:rPr>
          <w:rFonts w:hint="eastAsia" w:ascii="宋体" w:hAnsi="宋体" w:eastAsia="宋体" w:cs="宋体"/>
          <w:color w:val="auto"/>
          <w:sz w:val="24"/>
          <w:szCs w:val="24"/>
          <w:lang w:val="en-US" w:eastAsia="zh-CN"/>
        </w:rPr>
        <w:t xml:space="preserve">8.3招标文件的修改将在中国政府采购网、江苏政府采购网、盐城市政府采购网公布，补充文件将作为招标文件的组成部分，并对投标人具有约束力。</w:t>
      </w:r>
      <w:r/>
    </w:p>
    <w:p>
      <w:pPr>
        <w:pStyle w:val="675"/>
        <w:ind w:firstLine="482"/>
        <w:jc w:val="both"/>
        <w:keepLines/>
        <w:keepNext/>
        <w:spacing w:before="145" w:beforeAutospacing="0" w:after="145" w:afterAutospacing="0" w:line="360" w:lineRule="auto"/>
        <w:rPr>
          <w:rFonts w:hint="eastAsia" w:ascii="宋体" w:hAnsi="宋体" w:eastAsia="宋体" w:cs="宋体"/>
          <w:color w:val="auto"/>
        </w:rPr>
      </w:pPr>
      <w:r/>
      <w:bookmarkStart w:id="74" w:name="_Toc16938529"/>
      <w:r/>
      <w:bookmarkStart w:id="75" w:name="_Toc120614216"/>
      <w:r/>
      <w:bookmarkStart w:id="76" w:name="_Toc462564072"/>
      <w:r/>
      <w:bookmarkStart w:id="77" w:name="_Toc513029213"/>
      <w:r/>
      <w:bookmarkStart w:id="78" w:name="_Toc20823285"/>
      <w:r>
        <w:rPr>
          <w:rFonts w:hint="eastAsia" w:ascii="宋体" w:hAnsi="宋体" w:eastAsia="宋体" w:cs="宋体"/>
          <w:b/>
          <w:color w:val="auto"/>
          <w:sz w:val="32"/>
          <w:szCs w:val="32"/>
        </w:rPr>
        <w:t xml:space="preserve">三、投标文件的编制</w:t>
      </w:r>
      <w:bookmarkEnd w:id="74"/>
      <w:r/>
      <w:bookmarkEnd w:id="75"/>
      <w:r/>
      <w:bookmarkEnd w:id="76"/>
      <w:r/>
      <w:bookmarkEnd w:id="77"/>
      <w:r/>
      <w:bookmarkEnd w:id="78"/>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79" w:name="_Toc16938530"/>
      <w:r/>
      <w:bookmarkStart w:id="80" w:name="_Toc462564073"/>
      <w:r/>
      <w:bookmarkStart w:id="81" w:name="_Toc513029214"/>
      <w:r/>
      <w:bookmarkStart w:id="82" w:name="_Toc20823286"/>
      <w:r>
        <w:rPr>
          <w:rFonts w:hint="eastAsia" w:ascii="宋体" w:hAnsi="宋体" w:eastAsia="宋体" w:cs="宋体"/>
          <w:color w:val="auto"/>
          <w:sz w:val="24"/>
          <w:szCs w:val="24"/>
          <w:lang w:val="en-US" w:eastAsia="zh-CN"/>
        </w:rPr>
        <w:t xml:space="preserve">9、投标文件的语言及度量衡单位</w:t>
      </w:r>
      <w:bookmarkEnd w:id="79"/>
      <w:r/>
      <w:bookmarkEnd w:id="80"/>
      <w:r/>
      <w:bookmarkEnd w:id="81"/>
      <w:r/>
      <w:bookmarkEnd w:id="82"/>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9.1投标人提交的投标文件以及投标人与采购人就有关投标的所有来往通知、函件和文件均应使用简体中文。</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9.2除技术性能另有规定外，投标文件所使用的度量衡单位，均须采用国家法定计量单位。</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83" w:name="_Toc16938531"/>
      <w:r/>
      <w:bookmarkStart w:id="84" w:name="_Toc462564074"/>
      <w:r/>
      <w:bookmarkStart w:id="85" w:name="_Toc513029215"/>
      <w:r/>
      <w:bookmarkStart w:id="86" w:name="_Toc20823287"/>
      <w:r>
        <w:rPr>
          <w:rFonts w:hint="eastAsia" w:ascii="宋体" w:hAnsi="宋体" w:eastAsia="宋体" w:cs="宋体"/>
          <w:color w:val="auto"/>
          <w:sz w:val="24"/>
          <w:szCs w:val="24"/>
          <w:lang w:val="en-US" w:eastAsia="zh-CN"/>
        </w:rPr>
        <w:t xml:space="preserve">10、投标文件构成</w:t>
      </w:r>
      <w:bookmarkEnd w:id="83"/>
      <w:r/>
      <w:bookmarkEnd w:id="84"/>
      <w:r/>
      <w:bookmarkEnd w:id="85"/>
      <w:r/>
      <w:bookmarkEnd w:id="86"/>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87" w:name="_Toc513029216"/>
      <w:r/>
      <w:bookmarkStart w:id="88" w:name="_Toc14577354"/>
      <w:r/>
      <w:bookmarkStart w:id="89" w:name="_Toc49090507"/>
      <w:r/>
      <w:bookmarkStart w:id="90" w:name="_Toc513029219"/>
      <w:r/>
      <w:bookmarkStart w:id="91" w:name="_Toc14577357"/>
      <w:r/>
      <w:bookmarkStart w:id="92" w:name="_Toc49090509"/>
      <w:r/>
      <w:bookmarkStart w:id="93" w:name="_Hlt26668975"/>
      <w:r/>
      <w:bookmarkStart w:id="94" w:name="_Hlt26954838"/>
      <w:r/>
      <w:bookmarkStart w:id="95" w:name="_Hlt26670360"/>
      <w:r>
        <w:rPr>
          <w:rFonts w:hint="eastAsia" w:ascii="宋体" w:hAnsi="宋体" w:eastAsia="宋体" w:cs="宋体"/>
          <w:color w:val="auto"/>
          <w:sz w:val="24"/>
          <w:szCs w:val="24"/>
          <w:lang w:val="en-US" w:eastAsia="zh-CN"/>
        </w:rPr>
        <w:t xml:space="preserve">11、证明投标人及投标标的符合招标文件规定的文件</w:t>
      </w:r>
      <w:bookmarkEnd w:id="87"/>
      <w:r/>
      <w:bookmarkEnd w:id="88"/>
      <w:r/>
      <w:bookmarkEnd w:id="89"/>
      <w:r/>
      <w:bookmarkEnd w:id="90"/>
      <w:r/>
      <w:bookmarkEnd w:id="91"/>
      <w:r/>
      <w:bookmarkEnd w:id="92"/>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96" w:name="_Toc14577355"/>
      <w:r/>
      <w:bookmarkStart w:id="97" w:name="_Toc49090508"/>
      <w:r>
        <w:rPr>
          <w:rFonts w:hint="eastAsia" w:ascii="宋体" w:hAnsi="宋体" w:eastAsia="宋体" w:cs="宋体"/>
          <w:color w:val="auto"/>
          <w:sz w:val="24"/>
          <w:szCs w:val="24"/>
          <w:lang w:val="en-US" w:eastAsia="zh-CN"/>
        </w:rPr>
        <w:t xml:space="preserve">11.1投标人应按照法律、法规、规章和规范性文件以及招标文件要求提交证明文件，证明其及投标标的符合招标文件规定。</w:t>
      </w:r>
      <w:bookmarkEnd w:id="96"/>
      <w:r/>
      <w:bookmarkEnd w:id="97"/>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11.2招标文件对证明文件无明确形式要求的，证明文件可以以文字资料、图纸和数据等形式提交。</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12、投标分项报价</w:t>
      </w:r>
      <w:bookmarkStart w:id="98" w:name="_Hlt26670373"/>
      <w:r>
        <w:rPr>
          <w:rFonts w:hint="eastAsia" w:ascii="宋体" w:hAnsi="宋体" w:eastAsia="宋体" w:cs="宋体"/>
          <w:color w:val="auto"/>
          <w:sz w:val="24"/>
          <w:szCs w:val="24"/>
          <w:lang w:val="en-US" w:eastAsia="zh-CN"/>
        </w:rPr>
        <w:t xml:space="preserve">表</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12.1投</w:t>
      </w:r>
      <w:bookmarkStart w:id="99" w:name="_Hlt26954840"/>
      <w:r>
        <w:rPr>
          <w:rFonts w:hint="eastAsia" w:ascii="宋体" w:hAnsi="宋体" w:eastAsia="宋体" w:cs="宋体"/>
          <w:color w:val="auto"/>
          <w:sz w:val="24"/>
          <w:szCs w:val="24"/>
          <w:lang w:val="en-US" w:eastAsia="zh-CN"/>
        </w:rPr>
        <w:t xml:space="preserve">标人应按照招标文件规定格式填报投标分项报价表</w:t>
      </w:r>
      <w:bookmarkStart w:id="100" w:name="_Hlt26670399"/>
      <w:r>
        <w:rPr>
          <w:rFonts w:hint="eastAsia" w:ascii="宋体" w:hAnsi="宋体" w:eastAsia="宋体" w:cs="宋体"/>
          <w:color w:val="auto"/>
          <w:sz w:val="24"/>
          <w:szCs w:val="24"/>
          <w:lang w:val="en-US" w:eastAsia="zh-CN"/>
        </w:rPr>
        <w:t xml:space="preserve">。</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12.2投标货币。投标文件中的单价和总价无特殊规定的采用人民币报价，以元为单位标注。招标文件中另有规定的按规定执行。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01" w:name="_Hlt26954731"/>
      <w:r/>
      <w:bookmarkStart w:id="102" w:name="_Hlt26670482"/>
      <w:r/>
      <w:bookmarkStart w:id="103" w:name="_Hlt26954848"/>
      <w:r/>
      <w:bookmarkStart w:id="104" w:name="_Hlt26670425"/>
      <w:r/>
      <w:bookmarkStart w:id="105" w:name="_Hlt26954844"/>
      <w:r/>
      <w:bookmarkStart w:id="106" w:name="_Hlt26954842"/>
      <w:r/>
      <w:bookmarkStart w:id="107" w:name="_Hlt26668983"/>
      <w:r/>
      <w:bookmarkStart w:id="108" w:name="_Hlt26954846"/>
      <w:r/>
      <w:bookmarkStart w:id="109" w:name="_Hlt26670403"/>
      <w:r/>
      <w:bookmarkStart w:id="110" w:name="_Hlt26670486"/>
      <w:r>
        <w:rPr>
          <w:rFonts w:hint="eastAsia" w:ascii="宋体" w:hAnsi="宋体" w:eastAsia="宋体" w:cs="宋体"/>
          <w:color w:val="auto"/>
          <w:sz w:val="24"/>
          <w:szCs w:val="24"/>
          <w:lang w:val="en-US" w:eastAsia="zh-CN"/>
        </w:rPr>
        <w:t xml:space="preserve">13、技术要求响应及偏离表、商务要求响应及偏离表</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13.1投标人需对招标文件中的技术要求与商务要求逐项作出响应或偏离，并说明原因。</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13.2投标人可在投标文件中提供认为需要的其他技术文件或说明。</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11" w:name="_Toc14577359"/>
      <w:r/>
      <w:bookmarkStart w:id="112" w:name="_Toc49090510"/>
      <w:r>
        <w:rPr>
          <w:rFonts w:hint="eastAsia" w:ascii="宋体" w:hAnsi="宋体" w:eastAsia="宋体" w:cs="宋体"/>
          <w:color w:val="auto"/>
          <w:sz w:val="24"/>
          <w:szCs w:val="24"/>
          <w:lang w:val="en-US" w:eastAsia="zh-CN"/>
        </w:rPr>
        <w:t xml:space="preserve">14、投标函和开标一览表</w:t>
      </w:r>
      <w:bookmarkEnd w:id="111"/>
      <w:r/>
      <w:bookmarkEnd w:id="112"/>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14.1投标人应按照招标文件中提供的格式完整、正确填写投标函、开标一览表。</w:t>
      </w:r>
      <w:r>
        <w:rPr>
          <w:rFonts w:hint="eastAsia" w:ascii="宋体" w:hAnsi="宋体" w:eastAsia="宋体" w:cs="宋体"/>
          <w:b/>
          <w:bCs/>
          <w:color w:val="auto"/>
          <w:sz w:val="24"/>
          <w:szCs w:val="24"/>
          <w:lang w:val="en-US" w:eastAsia="zh-CN"/>
        </w:rPr>
        <w:t xml:space="preserve">本项目报价方式为“固定总价报价”，各投标人根据招标内容及技术服务规范要求在服务期限内报出总价。</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eastAsia="宋体" w:cs="宋体"/>
          <w:color w:val="auto"/>
          <w:sz w:val="24"/>
          <w:szCs w:val="24"/>
          <w:lang w:val="en-US" w:eastAsia="zh-CN"/>
        </w:rPr>
        <w:t xml:space="preserve">15、投标有效期</w:t>
      </w:r>
      <w:bookmarkEnd w:id="113"/>
      <w:r/>
      <w:bookmarkEnd w:id="114"/>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15.1投标有效期为采购文件规定的开标之日后一百二十（120）天。投标有效期比规定短的将被视为未实质性响应招标文件而予以拒绝。</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16、投标有效期的延长</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75"/>
        <w:ind w:firstLine="482"/>
        <w:jc w:val="both"/>
        <w:keepLines/>
        <w:keepNext/>
        <w:spacing w:before="145" w:beforeAutospacing="0" w:after="145" w:afterAutospacing="0" w:line="360" w:lineRule="auto"/>
        <w:rPr>
          <w:rFonts w:hint="eastAsia" w:ascii="宋体" w:hAnsi="宋体" w:eastAsia="宋体" w:cs="宋体"/>
          <w:color w:val="auto"/>
        </w:rPr>
      </w:pPr>
      <w:r/>
      <w:bookmarkStart w:id="118" w:name="_Toc16938540"/>
      <w:r/>
      <w:bookmarkStart w:id="119" w:name="_Toc120614217"/>
      <w:r/>
      <w:bookmarkStart w:id="120" w:name="_Toc513029224"/>
      <w:r/>
      <w:bookmarkStart w:id="121" w:name="_Toc20823296"/>
      <w:r/>
      <w:bookmarkStart w:id="122" w:name="_Hlt26954739"/>
      <w:r/>
      <w:bookmarkStart w:id="123" w:name="_Hlt26954852"/>
      <w:r>
        <w:rPr>
          <w:rFonts w:hint="eastAsia" w:ascii="宋体" w:hAnsi="宋体" w:eastAsia="宋体" w:cs="宋体"/>
          <w:b/>
          <w:color w:val="auto"/>
          <w:sz w:val="32"/>
          <w:szCs w:val="32"/>
        </w:rPr>
        <w:t xml:space="preserve">四、投标文件的递交</w:t>
      </w:r>
      <w:bookmarkEnd w:id="118"/>
      <w:r/>
      <w:bookmarkEnd w:id="119"/>
      <w:r/>
      <w:bookmarkEnd w:id="120"/>
      <w:r/>
      <w:bookmarkEnd w:id="121"/>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24" w:name="_Toc16938541"/>
      <w:r/>
      <w:bookmarkStart w:id="125" w:name="_Toc20823297"/>
      <w:r/>
      <w:bookmarkStart w:id="126" w:name="_Toc462564084"/>
      <w:r/>
      <w:bookmarkStart w:id="127" w:name="_Toc513029225"/>
      <w:r>
        <w:rPr>
          <w:rFonts w:hint="eastAsia" w:ascii="宋体" w:hAnsi="宋体" w:eastAsia="宋体" w:cs="宋体"/>
          <w:color w:val="auto"/>
          <w:sz w:val="24"/>
          <w:szCs w:val="24"/>
          <w:lang w:val="en-US" w:eastAsia="zh-CN"/>
        </w:rPr>
        <w:t xml:space="preserve">17、投标文件</w:t>
      </w:r>
      <w:bookmarkEnd w:id="124"/>
      <w:r/>
      <w:bookmarkEnd w:id="125"/>
      <w:r/>
      <w:bookmarkEnd w:id="126"/>
      <w:r/>
      <w:bookmarkEnd w:id="127"/>
      <w:r>
        <w:rPr>
          <w:rFonts w:hint="eastAsia" w:ascii="宋体" w:hAnsi="宋体" w:eastAsia="宋体" w:cs="宋体"/>
          <w:color w:val="auto"/>
          <w:sz w:val="24"/>
          <w:szCs w:val="24"/>
          <w:lang w:val="en-US" w:eastAsia="zh-CN"/>
        </w:rPr>
        <w:t xml:space="preserve">的递交</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17.1 电子投标文件的递交</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i/>
          <w:iCs/>
          <w:color w:val="auto"/>
          <w:sz w:val="24"/>
          <w:szCs w:val="24"/>
          <w:lang w:val="en-US" w:eastAsia="zh-CN"/>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18、投标截止时间</w:t>
      </w:r>
      <w:r/>
    </w:p>
    <w:p>
      <w:pPr>
        <w:pStyle w:val="675"/>
        <w:ind w:firstLine="480"/>
        <w:jc w:val="both"/>
        <w:pageBreakBefore w:val="0"/>
        <w:spacing w:beforeAutospacing="0" w:afterAutospacing="0" w:line="480" w:lineRule="exact"/>
        <w:widowControl w:val="off"/>
        <w:rPr>
          <w:rFonts w:hint="eastAsia" w:ascii="宋体" w:hAnsi="宋体" w:eastAsia="宋体" w:cs="宋体"/>
          <w:i/>
          <w:iCs/>
          <w:color w:val="auto"/>
          <w:sz w:val="24"/>
          <w:szCs w:val="24"/>
          <w:lang w:val="en-US" w:eastAsia="zh-CN"/>
        </w:rPr>
      </w:pPr>
      <w:r>
        <w:rPr>
          <w:rFonts w:hint="eastAsia" w:ascii="宋体" w:hAnsi="宋体" w:eastAsia="宋体" w:cs="宋体"/>
          <w:i/>
          <w:iCs/>
          <w:color w:val="auto"/>
          <w:sz w:val="24"/>
          <w:szCs w:val="24"/>
          <w:lang w:val="en-US" w:eastAsia="zh-CN"/>
        </w:rPr>
        <w:t xml:space="preserve">18.1投标人上传电子投标文件的时间不得迟于招标公告中规定的投标截止时间。</w:t>
      </w:r>
      <w:r/>
    </w:p>
    <w:p>
      <w:pPr>
        <w:pStyle w:val="675"/>
        <w:ind w:firstLine="480"/>
        <w:jc w:val="both"/>
        <w:pageBreakBefore w:val="0"/>
        <w:spacing w:beforeAutospacing="0" w:afterAutospacing="0" w:line="480" w:lineRule="exact"/>
        <w:widowControl w:val="off"/>
        <w:rPr>
          <w:rFonts w:hint="eastAsia" w:ascii="宋体" w:hAnsi="宋体" w:eastAsia="宋体" w:cs="宋体"/>
          <w:i/>
          <w:iCs/>
          <w:color w:val="auto"/>
          <w:sz w:val="24"/>
          <w:szCs w:val="24"/>
          <w:lang w:val="en-US" w:eastAsia="zh-CN"/>
        </w:rPr>
      </w:pPr>
      <w:r>
        <w:rPr>
          <w:rFonts w:hint="eastAsia" w:ascii="宋体" w:hAnsi="宋体" w:eastAsia="宋体" w:cs="宋体"/>
          <w:i/>
          <w:iCs/>
          <w:color w:val="auto"/>
          <w:sz w:val="24"/>
          <w:szCs w:val="24"/>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18.2采购人可以按照规定，通过修改招标文件酌情延长投标截止时间，在此情况下，投标人的所有权利和义务以及投标人受制的截止时间均应以延长后新的截止时间为准。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31" w:name="_Toc513029227"/>
      <w:r/>
      <w:bookmarkStart w:id="132" w:name="_Toc20823299"/>
      <w:r/>
      <w:bookmarkStart w:id="133" w:name="_Toc16938543"/>
      <w:r>
        <w:rPr>
          <w:rFonts w:hint="eastAsia" w:ascii="宋体" w:hAnsi="宋体" w:eastAsia="宋体" w:cs="宋体"/>
          <w:color w:val="auto"/>
          <w:sz w:val="24"/>
          <w:szCs w:val="24"/>
          <w:lang w:val="en-US" w:eastAsia="zh-CN"/>
        </w:rPr>
        <w:t xml:space="preserve">19、投标文件</w:t>
      </w:r>
      <w:bookmarkEnd w:id="131"/>
      <w:r/>
      <w:bookmarkEnd w:id="132"/>
      <w:r/>
      <w:bookmarkEnd w:id="133"/>
      <w:r>
        <w:rPr>
          <w:rFonts w:hint="eastAsia" w:ascii="宋体" w:hAnsi="宋体" w:eastAsia="宋体" w:cs="宋体"/>
          <w:color w:val="auto"/>
          <w:sz w:val="24"/>
          <w:szCs w:val="24"/>
          <w:lang w:val="en-US" w:eastAsia="zh-CN"/>
        </w:rPr>
        <w:t xml:space="preserve">的拒收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19.1采购人拒绝接收在其规定的投标截止时间后上传的任何投标文件。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34" w:name="_Toc513029228"/>
      <w:r/>
      <w:bookmarkStart w:id="135" w:name="_Toc20823300"/>
      <w:r/>
      <w:bookmarkStart w:id="136" w:name="_Toc16938544"/>
      <w:r>
        <w:rPr>
          <w:rFonts w:hint="eastAsia" w:ascii="宋体" w:hAnsi="宋体" w:eastAsia="宋体" w:cs="宋体"/>
          <w:color w:val="auto"/>
          <w:sz w:val="24"/>
          <w:szCs w:val="24"/>
          <w:lang w:val="en-US" w:eastAsia="zh-CN"/>
        </w:rPr>
        <w:t xml:space="preserve">20、投标文件的撤回和修改</w:t>
      </w:r>
      <w:bookmarkEnd w:id="134"/>
      <w:r/>
      <w:bookmarkEnd w:id="135"/>
      <w:r/>
      <w:bookmarkEnd w:id="136"/>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20.1投标文件的撤回</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20.1.1电子投标文件的撤回</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投标人可在投标截止时间前，撤回其电子投标文件，具体操作方法见《操作手册》。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20.1.2投标人撤回电子投标文件，则认为其不再参与本项目投标活动。</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20.2 投标文件的修改</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20.2.1投标人可在投标截止时间前，对其电子投标文件进行修改，具体操作方法见《操作手册》。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20.2.2在投标截止时间之后，投标人不得对其电子投标文件作任何修改。</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20.3在投标截止时间至招标文件中规定的投标有效期满之间的这段时间内，投标人不得撤回其投标。</w:t>
      </w:r>
      <w:r/>
    </w:p>
    <w:p>
      <w:pPr>
        <w:pStyle w:val="675"/>
        <w:ind w:firstLine="482"/>
        <w:jc w:val="both"/>
        <w:keepLines/>
        <w:keepNext/>
        <w:spacing w:before="145" w:beforeAutospacing="0" w:after="145" w:afterAutospacing="0" w:line="360" w:lineRule="auto"/>
        <w:rPr>
          <w:rFonts w:hint="eastAsia" w:ascii="宋体" w:hAnsi="宋体" w:eastAsia="宋体" w:cs="宋体"/>
          <w:color w:val="auto"/>
        </w:rPr>
      </w:pPr>
      <w:r/>
      <w:bookmarkStart w:id="137" w:name="_Toc20823301"/>
      <w:r/>
      <w:bookmarkStart w:id="138" w:name="_Toc513029229"/>
      <w:r/>
      <w:bookmarkStart w:id="139" w:name="_Toc120614218"/>
      <w:r/>
      <w:bookmarkStart w:id="140" w:name="_Toc16938545"/>
      <w:r>
        <w:rPr>
          <w:rFonts w:hint="eastAsia" w:ascii="宋体" w:hAnsi="宋体" w:eastAsia="宋体" w:cs="宋体"/>
          <w:b/>
          <w:color w:val="auto"/>
          <w:sz w:val="32"/>
          <w:szCs w:val="32"/>
        </w:rPr>
        <w:t xml:space="preserve">五、开标与评标</w:t>
      </w:r>
      <w:bookmarkEnd w:id="137"/>
      <w:r/>
      <w:bookmarkEnd w:id="138"/>
      <w:r/>
      <w:bookmarkEnd w:id="139"/>
      <w:r/>
      <w:bookmarkEnd w:id="140"/>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41" w:name="_Toc513029230"/>
      <w:r/>
      <w:bookmarkStart w:id="142" w:name="_Toc16938546"/>
      <w:r/>
      <w:bookmarkStart w:id="143" w:name="_Toc20823302"/>
      <w:r>
        <w:rPr>
          <w:rFonts w:hint="eastAsia" w:ascii="宋体" w:hAnsi="宋体" w:eastAsia="宋体" w:cs="宋体"/>
          <w:color w:val="auto"/>
          <w:sz w:val="24"/>
          <w:szCs w:val="24"/>
          <w:lang w:val="en-US" w:eastAsia="zh-CN"/>
        </w:rPr>
        <w:t xml:space="preserve">21、开标</w:t>
      </w:r>
      <w:bookmarkEnd w:id="141"/>
      <w:r/>
      <w:bookmarkEnd w:id="142"/>
      <w:r/>
      <w:bookmarkEnd w:id="143"/>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21.1</w:t>
      </w:r>
      <w:r>
        <w:rPr>
          <w:rFonts w:hint="eastAsia" w:ascii="宋体" w:hAnsi="宋体" w:eastAsia="宋体" w:cs="宋体"/>
          <w:i/>
          <w:iCs/>
          <w:color w:val="auto"/>
          <w:sz w:val="24"/>
          <w:szCs w:val="24"/>
          <w:lang w:val="en-US" w:eastAsia="zh-CN"/>
        </w:rPr>
        <w:t xml:space="preserve">采购人将在招标公告中规定的时间和地点组织公开开标。投标人应当按照《操作手册》规定，参加开标活动和在苏采云系统规定的时间内对投标文件进行解密。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21.2开标仪式由采购人组织。苏采云系统将自动对项目进行开标，并宣布各投标人名称和投标价格。</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21.3投标人在开标过程中涉及到的投标文件解密、开标结果确认等工作，应按照《操作手册》规定执行。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21.4</w:t>
      </w:r>
      <w:r>
        <w:rPr>
          <w:rFonts w:hint="eastAsia" w:ascii="宋体" w:hAnsi="宋体" w:eastAsia="宋体" w:cs="宋体"/>
          <w:i/>
          <w:iCs/>
          <w:color w:val="auto"/>
          <w:sz w:val="24"/>
          <w:szCs w:val="24"/>
          <w:lang w:val="en-US" w:eastAsia="zh-CN"/>
        </w:rPr>
        <w:t xml:space="preserve">投标人如果对开标过程和开标记录有疑义，应当根据《操作手册》规定提出，如苏采云系统中《开标记录表》宣布后5分钟内未提出的，视同认可开标结果。</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44" w:name="_Toc16938547"/>
      <w:r/>
      <w:bookmarkStart w:id="145" w:name="_Toc20823303"/>
      <w:r/>
      <w:bookmarkStart w:id="146" w:name="_Toc513029231"/>
      <w:r>
        <w:rPr>
          <w:rFonts w:hint="eastAsia" w:ascii="宋体" w:hAnsi="宋体" w:eastAsia="宋体" w:cs="宋体"/>
          <w:color w:val="auto"/>
          <w:sz w:val="24"/>
          <w:szCs w:val="24"/>
          <w:lang w:val="en-US" w:eastAsia="zh-CN"/>
        </w:rPr>
        <w:t xml:space="preserve">22、评标委员会</w:t>
      </w:r>
      <w:bookmarkEnd w:id="144"/>
      <w:r/>
      <w:bookmarkEnd w:id="145"/>
      <w:r/>
      <w:bookmarkEnd w:id="146"/>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22.1开标后，采购人将立即组织评标委员会（以下简称评委会）进行评标。</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22.2评委会由采购人代表和有关技术、经济等方面的专家组成，且人员构成符合政府采购有关规定。</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22.3评委会独立工作，负责评审所有投标文件并确定中标侯选人。</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23、评标过程的保密与公正</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23.1凡是与审查、澄清、评价和比较投标的有关资料以及授标建议等，采购人、评委、采购代理机构均不得向投标人或与评标无关的其他人员透露。</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23.2在评标过程中，投标人不得以任何行为影响评标过程，否则其投标文件将被作为无效投标文件。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23.3采购人和评标委员会不向未中标的投标人解释未中标原因，也不公布评标过程中的相关细节。</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23.4采用综合评分法的项目，未中标的投标人可于中标结果公告期限届满之日起通过苏采云系统查看自己的评审得分及排序情况。</w:t>
      </w:r>
      <w:bookmarkStart w:id="147" w:name="_Toc20823304"/>
      <w:r/>
      <w:bookmarkStart w:id="148" w:name="_Toc513029232"/>
      <w:r/>
      <w:bookmarkStart w:id="149" w:name="_Toc16938548"/>
      <w:r>
        <w:rPr>
          <w:rFonts w:hint="eastAsia" w:ascii="宋体" w:hAnsi="宋体" w:eastAsia="宋体" w:cs="宋体"/>
          <w:color w:val="auto"/>
          <w:sz w:val="24"/>
          <w:szCs w:val="24"/>
          <w:lang w:val="en-US" w:eastAsia="zh-CN"/>
        </w:rPr>
        <w:t xml:space="preserve">   </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24、投标文件的澄清</w:t>
      </w:r>
      <w:bookmarkEnd w:id="147"/>
      <w:r/>
      <w:bookmarkEnd w:id="148"/>
      <w:r/>
      <w:bookmarkEnd w:id="149"/>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24.1评标期间，评委会对投标文件中含义不明确、同类问题表述不一致或者有明显文字和计算错误的内容 ，有权要求投标人作出必要的澄清、说明或者补正。</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投标人的澄清、说明或者补正不得超出投标文件的范围或者改变投标文件的实质性内容。</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评标委员会并非对每个投标人都做澄清要求。</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24.3接到评委会澄清、说明和补正要求的投标人如未按规定做出澄清、说明和补正，其风险由投标人自行承担。</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50" w:name="_Toc16938549"/>
      <w:r/>
      <w:bookmarkStart w:id="151" w:name="_Toc20823305"/>
      <w:r/>
      <w:bookmarkStart w:id="152" w:name="_Toc513029233"/>
      <w:r>
        <w:rPr>
          <w:rFonts w:hint="eastAsia" w:ascii="宋体" w:hAnsi="宋体" w:eastAsia="宋体" w:cs="宋体"/>
          <w:color w:val="auto"/>
          <w:sz w:val="24"/>
          <w:szCs w:val="24"/>
          <w:lang w:val="en-US" w:eastAsia="zh-CN"/>
        </w:rPr>
        <w:t xml:space="preserve">25、对投标文件的初审</w:t>
      </w:r>
      <w:bookmarkEnd w:id="150"/>
      <w:r/>
      <w:bookmarkEnd w:id="151"/>
      <w:r/>
      <w:bookmarkEnd w:id="152"/>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25.1投标文件初审分为资格审查和符合性审查。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25.1.1资格审查：依据法律法规和招标文件的规定，由采购人对投标文件中的资格证明文件进行审查。资格审查的结论，采购人以书面形式向评委会进行反馈。</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采购人在进行资格性审查的同时，将在“信用中国”网站（www.creditchina.gov.cn）查询投标人的信用记录，以确定投标人是否具备投标资格,查询结果留存并归档。</w:t>
      </w:r>
      <w:r/>
    </w:p>
    <w:p>
      <w:pPr>
        <w:pStyle w:val="675"/>
        <w:ind w:firstLine="480"/>
        <w:jc w:val="both"/>
        <w:pageBreakBefore w:val="0"/>
        <w:spacing w:beforeAutospacing="0" w:afterAutospacing="0" w:line="480" w:lineRule="exact"/>
        <w:widowControl w:val="off"/>
        <w:rPr>
          <w:rFonts w:hint="eastAsia" w:ascii="宋体" w:hAnsi="宋体" w:eastAsia="宋体" w:cs="宋体"/>
          <w:i/>
          <w:iCs/>
          <w:color w:val="auto"/>
          <w:sz w:val="24"/>
          <w:szCs w:val="24"/>
          <w:lang w:val="en-US" w:eastAsia="zh-CN"/>
        </w:rPr>
      </w:pPr>
      <w:r>
        <w:rPr>
          <w:rFonts w:hint="eastAsia" w:ascii="宋体" w:hAnsi="宋体" w:eastAsia="宋体" w:cs="宋体"/>
          <w:i/>
          <w:iCs/>
          <w:color w:val="auto"/>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25.1.2符合性审查：依据招标文件的规定，由评委会从投标文件的有效性、完整性和对招标文件的响应程度进行审查，以确定是否对招标文件的实质性要求作出响应。</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25.1.3未通过资格审查或符合性审查的投标人，采购人或采购代理机构将在苏采云系统中告知未通过资格审查或符合性审查的原因，评标结束后，采购人或采购代理机构将不再告知未通过资格审查和符合性审查的原因。</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25.3如果投标文件实质上没有响应招标文件的要求，评委会将予以拒绝，投标人不得通过修改或撤销不合要求的偏离或保留而使其投标成为实质性响应的投标。</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25.4评委会将对确定为实质性响应的投标进行进一步审核，确定其是否有计算上或累加上的算术错误，修正错误的原则如下：</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（1）投标文件中开标一览表内容与投标文件中相应内容不一致的，以开标一览表为准。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（2）大写金额和小写金额不一致的，以大写金额为准。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（3）单价金额小数点或者百分比有明显错位的，以开标一览表的总价为准，并修改单价。</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（4）总价金额与按单价汇总金额不一致的，以单价金额计算结果为准。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同时出现两种以上错误的，按照前款规定的顺序修正。</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53" w:name="_Toc16938550"/>
      <w:r/>
      <w:bookmarkStart w:id="154" w:name="_Toc513029234"/>
      <w:r/>
      <w:bookmarkStart w:id="155" w:name="_Toc20823306"/>
      <w:r>
        <w:rPr>
          <w:rFonts w:hint="eastAsia" w:ascii="宋体" w:hAnsi="宋体" w:eastAsia="宋体" w:cs="宋体"/>
          <w:color w:val="auto"/>
          <w:sz w:val="24"/>
          <w:szCs w:val="24"/>
          <w:lang w:val="en-US" w:eastAsia="zh-CN"/>
        </w:rPr>
        <w:t xml:space="preserve">25.6投标人在开、评标全过程中应保持通讯畅通，及时登录苏采云系统查阅、答复相关信息，并安排专人与采购代理机构及评标委员会联系。</w:t>
      </w:r>
      <w:bookmarkEnd w:id="153"/>
      <w:r/>
      <w:bookmarkEnd w:id="154"/>
      <w:r/>
      <w:bookmarkEnd w:id="155"/>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26、无效投标条款和废标条款</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56" w:name="_Toc20823307"/>
      <w:r/>
      <w:bookmarkStart w:id="157" w:name="_Toc16938551"/>
      <w:r/>
      <w:bookmarkStart w:id="158" w:name="_Toc513029235"/>
      <w:r>
        <w:rPr>
          <w:rFonts w:hint="eastAsia" w:ascii="宋体" w:hAnsi="宋体" w:eastAsia="宋体" w:cs="宋体"/>
          <w:color w:val="auto"/>
          <w:sz w:val="24"/>
          <w:szCs w:val="24"/>
          <w:lang w:val="en-US" w:eastAsia="zh-CN"/>
        </w:rPr>
        <w:t xml:space="preserve">26.1无效投标条款</w:t>
      </w:r>
      <w:bookmarkEnd w:id="156"/>
      <w:r/>
      <w:bookmarkEnd w:id="157"/>
      <w:r/>
      <w:bookmarkEnd w:id="158"/>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26.1.1投标人在苏采云系统规定的时间内未成功解密电子投标文件的。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26.1.2投标人未按照招标文件要求上传电子投标文件的。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26.1.3同一投标人提交两个（含两个）以上不同的投标报价的。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26.1.4投标人不具备招标文件中规定资格要求的。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26.1.5投标人的报价超过了采购预算或最高限价的。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26.1.6未通过符合性审查的。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26.1.7不符合招标文件中规定的实质性要求和条件的（本招标文件中斜体部分为实质性要求和条件）。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26.1.9投标文件含有采购人不能接受的附加条件的。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26.1.11投标文件未按照招标文件要求加盖CA电子公章的。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26.1.12其他法律、法规及本招标文件规定的属无效投标的情形。</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26.2废标条款</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26.2.1符合专业条件的供应商或者对招标文件作实质响应的供应商不足三家的。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26.2.2出现影响采购公正的违法、违规行为的。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26.2.3因重大变故，采购任务取消的。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26.2.4评标委员会认定招标文件存在歧义、重大缺陷导致评审工作无法进行。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26.2.5因苏采云系统系统故障原因造成开标不成功的。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 投标截止时间结束后参加投标的供应商不足三家的处理：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4"/>
          <w:szCs w:val="24"/>
          <w:lang w:val="en-US" w:eastAsia="zh-CN"/>
        </w:rPr>
        <w:t xml:space="preserve">26.3.1如出现投标截止时间结束后参加投标的供应商或者在评标期间对招标文件做出实质响应的供应商不足三家情况，按政府采购相关规定执行。</w:t>
      </w:r>
      <w:r/>
    </w:p>
    <w:p>
      <w:pPr>
        <w:pStyle w:val="675"/>
        <w:ind w:firstLine="482"/>
        <w:jc w:val="both"/>
        <w:keepLines/>
        <w:keepNext/>
        <w:spacing w:before="145" w:beforeAutospacing="0" w:after="145" w:afterAutospacing="0" w:line="360" w:lineRule="auto"/>
        <w:rPr>
          <w:rFonts w:hint="eastAsia" w:ascii="宋体" w:hAnsi="宋体" w:eastAsia="宋体" w:cs="宋体"/>
          <w:color w:val="auto"/>
        </w:rPr>
      </w:pPr>
      <w:r/>
      <w:bookmarkStart w:id="159" w:name="_Toc120614219"/>
      <w:r>
        <w:rPr>
          <w:rFonts w:hint="eastAsia" w:ascii="宋体" w:hAnsi="宋体" w:eastAsia="宋体" w:cs="宋体"/>
          <w:b/>
          <w:color w:val="auto"/>
          <w:sz w:val="32"/>
          <w:szCs w:val="32"/>
        </w:rPr>
        <w:t xml:space="preserve">六、定标</w:t>
      </w:r>
      <w:bookmarkEnd w:id="159"/>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60" w:name="_Toc20823310"/>
      <w:r/>
      <w:bookmarkStart w:id="161" w:name="_Toc513029238"/>
      <w:r/>
      <w:bookmarkStart w:id="162" w:name="_Toc16938554"/>
      <w:r>
        <w:rPr>
          <w:rFonts w:hint="eastAsia" w:ascii="宋体" w:hAnsi="宋体" w:eastAsia="宋体" w:cs="宋体"/>
          <w:color w:val="auto"/>
          <w:sz w:val="24"/>
          <w:szCs w:val="24"/>
          <w:lang w:val="en-US" w:eastAsia="zh-CN"/>
        </w:rPr>
        <w:t xml:space="preserve">27、</w:t>
      </w:r>
      <w:bookmarkEnd w:id="160"/>
      <w:r>
        <w:rPr>
          <w:rFonts w:hint="eastAsia" w:ascii="宋体" w:hAnsi="宋体" w:eastAsia="宋体" w:cs="宋体"/>
          <w:color w:val="auto"/>
          <w:sz w:val="24"/>
          <w:szCs w:val="24"/>
          <w:lang w:val="en-US" w:eastAsia="zh-CN"/>
        </w:rPr>
        <w:t xml:space="preserve">确定</w:t>
      </w:r>
      <w:bookmarkEnd w:id="161"/>
      <w:r/>
      <w:bookmarkEnd w:id="162"/>
      <w:r>
        <w:rPr>
          <w:rFonts w:hint="eastAsia" w:ascii="宋体" w:hAnsi="宋体" w:eastAsia="宋体" w:cs="宋体"/>
          <w:color w:val="auto"/>
          <w:sz w:val="24"/>
          <w:szCs w:val="24"/>
          <w:lang w:val="en-US" w:eastAsia="zh-CN"/>
        </w:rPr>
        <w:t xml:space="preserve">中标单位</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27.1中标候选人的选取原则和数量见招标文件第五章规定。 </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27.2采购人应根据评委会推荐的中标候选人确定中标人。</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27.3采购人将在“中国政府采购网”、“江苏政府采购网”、“盐城市政府采购网”发布中标公告，公告期限为1个工作日。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27.4若有充分证据证明，中标人出现下列情况之一的，一经查实，将被取消中标资格：</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27.4.1提供虚假材料谋取中标的。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27.4.2向采购人、采购代理机构行贿或者提供其他不正当利益的。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27.4.3属于本文件规定的无效条件，但在评标过程中又未被评委会发现的。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27.4.4与采购人或者其他供应商恶意串通的。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27.4.5采取不正当手段诋毁、排挤其他供应商的。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63" w:name="_Toc200451960"/>
      <w:r>
        <w:rPr>
          <w:rFonts w:hint="eastAsia" w:ascii="宋体" w:hAnsi="宋体" w:eastAsia="宋体" w:cs="宋体"/>
          <w:color w:val="auto"/>
          <w:sz w:val="24"/>
          <w:szCs w:val="24"/>
          <w:lang w:val="en-US" w:eastAsia="zh-CN"/>
        </w:rPr>
        <w:t xml:space="preserve">27.5 有下列情形之一的，视为投标人串通投标，投标无效：</w:t>
      </w:r>
      <w:bookmarkEnd w:id="163"/>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27.5.1不同投标人的投标文件由同一单位或者个人编制。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27.5.2不同投标人委托同一单位或者个人办理投标事宜。</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27.5.3不同投标人的投标文件载明的项目管理成员或者联系人员为同一人。</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27.5.4不同投标人的投标文件异常一致或者投标报价呈规律性差异。</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28、质疑处理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28.1提出质疑的供应商应当是参与所质疑项目采购活动的供应商。潜在供应商依法获取其可质疑的采购文件的，可以对采购文件提出质疑。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28.2.1对可以质疑的采购文件提出质疑的，为收到采购文件之日或者采购文件公告期限届满之日；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28.2.2对采购过程提出质疑的，为各采购程序环节结束之日；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28.2.3对中标或者成交结果提出质疑的，为中标或者成交结果公告期限届满之日。</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供应商应当在法定质疑期内一次性提出针对同一采购程序环节的质疑。供应商如在法定期限内对同一采购程序环节提出多次质疑的，采购人及采购代理机构将只对供应商第一次质疑作出答复。</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采购人和采购代理机构只接收以纸质原件形式送达的质疑,采购人和采购代理机构不接受未填写快递运单的快件。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 以下情形的质疑不予受理</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28.5.1内容不符合《政府采购质疑和投诉办法》第十二条规定的质疑。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28.5.2超出政府采购法定期限的质疑。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28.5.3以传真、电子邮件等方式递交的非原件形式的质疑。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28.5.4未参加投标活动的供应商或在投标活动中自身权益未受到损害的供应商所提出的质疑。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28.5.5供应商组成联合体参加投标，联合体中任何一方或多方未按要求签字、盖章、加盖公章的质疑。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29、中标通知书</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29.l中标结果确定后，采购人将向中标人发出中标通知书。</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675"/>
        <w:jc w:val="both"/>
        <w:keepLines/>
        <w:keepNext/>
        <w:spacing w:before="145" w:beforeAutospacing="0" w:after="145" w:afterAutospacing="0" w:line="360" w:lineRule="auto"/>
        <w:rPr>
          <w:rFonts w:hint="eastAsia" w:ascii="宋体" w:hAnsi="宋体" w:eastAsia="宋体" w:cs="宋体"/>
          <w:color w:val="auto"/>
        </w:rPr>
      </w:pPr>
      <w:r/>
      <w:bookmarkStart w:id="164" w:name="_Toc16938552"/>
      <w:r/>
      <w:bookmarkStart w:id="165" w:name="_Toc20823308"/>
      <w:r/>
      <w:bookmarkStart w:id="166" w:name="_Toc513029236"/>
      <w:r/>
      <w:bookmarkStart w:id="167" w:name="_Toc120614220"/>
      <w:r>
        <w:rPr>
          <w:rFonts w:hint="eastAsia" w:ascii="宋体" w:hAnsi="宋体" w:eastAsia="宋体" w:cs="宋体"/>
          <w:b/>
          <w:color w:val="auto"/>
          <w:sz w:val="32"/>
          <w:szCs w:val="32"/>
        </w:rPr>
        <w:t xml:space="preserve">七、授予合同</w:t>
      </w:r>
      <w:bookmarkEnd w:id="164"/>
      <w:r/>
      <w:bookmarkEnd w:id="165"/>
      <w:r/>
      <w:bookmarkEnd w:id="166"/>
      <w:r/>
      <w:bookmarkEnd w:id="167"/>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68" w:name="_Toc513029237"/>
      <w:r/>
      <w:bookmarkStart w:id="169" w:name="_Toc16938553"/>
      <w:r/>
      <w:bookmarkStart w:id="170" w:name="_Toc20823309"/>
      <w:r>
        <w:rPr>
          <w:rFonts w:hint="eastAsia" w:ascii="宋体" w:hAnsi="宋体" w:eastAsia="宋体" w:cs="宋体"/>
          <w:color w:val="auto"/>
          <w:sz w:val="24"/>
          <w:szCs w:val="24"/>
          <w:lang w:val="en-US" w:eastAsia="zh-CN"/>
        </w:rPr>
        <w:t xml:space="preserve">30.签订合同</w:t>
      </w:r>
      <w:bookmarkEnd w:id="168"/>
      <w:r/>
      <w:bookmarkEnd w:id="169"/>
      <w:r/>
      <w:bookmarkEnd w:id="170"/>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30.l中标人应当在中标通知书发出之日起三十日内，按照招标文件确定的事项与采购人签订政府采购合同。</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30.2招标文件、中标人的投标文件及招标过程中有关澄清、承诺文件均应作为合同附件。</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31、服务（包含与服务相关的货物）的追加</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bookmarkStart w:id="171" w:name="_Toc16938558"/>
      <w:r/>
      <w:bookmarkStart w:id="172" w:name="_Toc479757207"/>
      <w:r/>
      <w:bookmarkStart w:id="173" w:name="_Toc513029242"/>
      <w:r/>
      <w:bookmarkStart w:id="174" w:name="_Toc120614221"/>
      <w:r/>
      <w:bookmarkStart w:id="175" w:name="_Toc20823314"/>
      <w:r>
        <w:rPr>
          <w:rFonts w:hint="eastAsia" w:ascii="宋体" w:hAnsi="宋体" w:eastAsia="宋体" w:cs="宋体"/>
          <w:color w:val="auto"/>
          <w:sz w:val="24"/>
          <w:szCs w:val="24"/>
          <w:lang w:val="en-US" w:eastAsia="zh-CN"/>
        </w:rPr>
        <w:t xml:space="preserve">32、政府采购履约资金扶持政策</w:t>
      </w:r>
      <w:bookmarkEnd w:id="171"/>
      <w:r/>
      <w:bookmarkEnd w:id="172"/>
      <w:r/>
      <w:bookmarkEnd w:id="173"/>
      <w:r/>
      <w:bookmarkEnd w:id="174"/>
      <w:r/>
      <w:bookmarkEnd w:id="175"/>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33、履约保证金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33.1在签订合同时，成交单位须向采购人交纳中标额10%的履约保证金,供应商自主选择以支票、汇票、本票、电子履约保函等非现金形式缴纳或提交。采购人对第三方信用服务机构依据标准规范评定为AA级及以上的政府采购供应商（需在签订采购合同前提供信用管理部门备案的第三方信用报告，且信用报告通过“信用盐城网”可查实），可免收履约保证金。依据《关于在全省政府采购领域推行电子履约保函（保险）的通知》，鼓励供应商自愿使用履约保函（保险）代替缴纳履约保证金。</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33.2履约保证金的退还：</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33.2.1方式：无息退还至投标人缴纳履约保证金的账户。如为保函，在到期时自行失效。</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33.2.2时间：验收合格后30日内。</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33.2.3条件：按合同要求全部履约完成并经采购人验收合格。</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33.2.4不予退还情形：</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除不可抗力情况外，投标人出现下列情形之一的，其履约保证金，招标人将视情节决定不予退还或部分不予退还。</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（1）中标人无正当理由拒绝签订合同的，或者在签订合同时向采购人提出附加条件或者更改合同实质性内容要求的；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（2）中标人不履行与采购人订立的合同的；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（3）中标人所供货物或服务不符合招标文件规定要求的；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（4）中标人采取欺骗、弄虚作假方式投标的或与其它投标人串通投标的；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（5）中标人将合同内容转包、违法分包的；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（6）中标人故意捏造事实或伪造证明材料，进行虚假恶意投诉或反映的。</w:t>
      </w:r>
      <w:r/>
    </w:p>
    <w:p>
      <w:pPr>
        <w:pStyle w:val="675"/>
        <w:ind w:firstLine="480"/>
        <w:jc w:val="both"/>
        <w:pageBreakBefore w:val="0"/>
        <w:spacing w:beforeAutospacing="0" w:afterAutospacing="0"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政府采购落实《关于进一步加强政府采购需求和履约验收管理的指导意见》（财库【2016】205号）、《关于印发&lt;商品包装政府采购需求标准（试行）、&lt;快递包装政府采购需求标准（试行）&gt;的通知》（财办库【2020】123号）、《关于做好政府采购支持企业发展有关事项的通知》（苏财购【2020】52号）。</w:t>
      </w:r>
      <w:r/>
      <w:r>
        <w:rPr>
          <w:rFonts w:hint="eastAsia" w:ascii="宋体" w:hAnsi="宋体" w:eastAsia="宋体" w:cs="宋体"/>
          <w:color w:val="auto"/>
          <w:sz w:val="24"/>
          <w:szCs w:val="24"/>
          <w:lang w:val="en-US" w:eastAsia="zh-CN"/>
        </w:rPr>
      </w:r>
      <w: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r/>
      <w:r>
        <w:rPr>
          <w:rFonts w:hint="eastAsia" w:ascii="宋体" w:hAnsi="宋体" w:eastAsia="宋体" w:cs="宋体"/>
          <w:color w:val="auto"/>
          <w:sz w:val="24"/>
          <w:szCs w:val="24"/>
          <w:lang w:val="en-US" w:eastAsia="zh-CN"/>
        </w:rPr>
      </w:r>
      <w:r>
        <w:rPr>
          <w:rFonts w:hint="eastAsia" w:ascii="宋体" w:hAnsi="宋体" w:eastAsia="宋体" w:cs="宋体"/>
          <w:color w:val="auto"/>
          <w:sz w:val="28"/>
          <w:szCs w:val="28"/>
          <w:lang w:val="en-US" w:eastAsia="zh-CN"/>
        </w:rPr>
        <w:t xml:space="preserve"> </w:t>
      </w:r>
      <w:r/>
      <w:r>
        <w:rPr>
          <w:rFonts w:hint="eastAsia" w:ascii="宋体" w:hAnsi="宋体" w:eastAsia="宋体" w:cs="宋体"/>
          <w:color w:val="auto"/>
          <w:sz w:val="24"/>
          <w:szCs w:val="24"/>
          <w:lang w:val="en-US" w:eastAsia="zh-CN"/>
        </w:rPr>
      </w:r>
    </w:p>
    <w:p>
      <w:pPr>
        <w:pStyle w:val="675"/>
        <w:jc w:val="center"/>
        <w:pageBreakBefore w:val="0"/>
        <w:spacing w:beforeAutospacing="0" w:afterAutospacing="0" w:line="480" w:lineRule="exact"/>
        <w:widowControl w:val="off"/>
        <w:rPr>
          <w:rFonts w:hint="eastAsia" w:ascii="宋体" w:hAnsi="宋体" w:eastAsia="宋体" w:cs="宋体"/>
          <w:color w:val="auto"/>
        </w:rPr>
        <w:outlineLvl w:val="0"/>
      </w:pPr>
      <w:r>
        <w:rPr>
          <w:rFonts w:hint="eastAsia" w:ascii="宋体" w:hAnsi="宋体" w:eastAsia="宋体" w:cs="宋体"/>
          <w:b/>
          <w:bCs/>
          <w:color w:val="auto"/>
          <w:sz w:val="44"/>
          <w:szCs w:val="44"/>
        </w:rPr>
        <w:t xml:space="preserve">第三章  合同文本</w:t>
      </w:r>
      <w:r/>
    </w:p>
    <w:p>
      <w:pPr>
        <w:pStyle w:val="675"/>
        <w:ind w:firstLine="480"/>
        <w:jc w:val="both"/>
        <w:spacing w:beforeAutospacing="0" w:afterAutospacing="0" w:line="0" w:lineRule="atLeast"/>
        <w:rPr>
          <w:rFonts w:hint="eastAsia" w:ascii="宋体" w:hAnsi="宋体" w:eastAsia="宋体" w:cs="宋体"/>
          <w:color w:val="auto"/>
        </w:rPr>
      </w:pPr>
      <w:r/>
      <w:bookmarkStart w:id="176" w:name="_Toc513029243"/>
      <w:r/>
      <w:bookmarkStart w:id="177" w:name="_Toc16938559"/>
      <w:r/>
      <w:bookmarkStart w:id="178" w:name="_Toc20823315"/>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以下为中标后签定本项目合同的通用条款，中标人不得提出实质性的修改。</w:t>
      </w:r>
      <w:bookmarkEnd w:id="176"/>
      <w:r/>
      <w:bookmarkEnd w:id="177"/>
      <w:r/>
      <w:bookmarkEnd w:id="178"/>
      <w:r/>
      <w:r/>
    </w:p>
    <w:p>
      <w:pPr>
        <w:pStyle w:val="675"/>
        <w:jc w:val="center"/>
        <w:spacing w:before="145" w:beforeAutospacing="0" w:after="145" w:afterAutospacing="0"/>
        <w:rPr>
          <w:color w:val="auto"/>
        </w:rPr>
      </w:pPr>
      <w:r/>
      <w:bookmarkStart w:id="179" w:name="_Toc479757211"/>
      <w:r/>
      <w:bookmarkStart w:id="180" w:name="_Hlt16619350"/>
      <w:r/>
      <w:bookmarkStart w:id="181" w:name="_Toc16938590"/>
      <w:r/>
      <w:bookmarkStart w:id="182" w:name="_Toc120614244"/>
      <w:r/>
      <w:bookmarkStart w:id="183" w:name="_Toc462564139"/>
      <w:r/>
      <w:bookmarkStart w:id="184" w:name="_Toc20823346"/>
      <w:r/>
      <w:bookmarkStart w:id="185" w:name="_Hlt16619369"/>
      <w:r>
        <w:rPr>
          <w:rFonts w:hint="eastAsia" w:ascii="宋体" w:hAnsi="宋体" w:eastAsia="宋体" w:cs="宋体"/>
          <w:b/>
          <w:color w:val="auto"/>
          <w:sz w:val="30"/>
          <w:szCs w:val="30"/>
        </w:rPr>
        <w:t xml:space="preserve">盐城市政府采购合同（服务）</w:t>
      </w:r>
      <w:r/>
    </w:p>
    <w:p>
      <w:pPr>
        <w:pStyle w:val="67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项目名称：</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项目编号：</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甲方：（买方）_________</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乙方：（卖方）_________</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甲、乙双方根据</w:t>
      </w:r>
      <w:r>
        <w:rPr>
          <w:rFonts w:hint="eastAsia" w:ascii="宋体" w:hAnsi="宋体" w:cs="宋体"/>
          <w:color w:val="auto"/>
          <w:sz w:val="24"/>
          <w:szCs w:val="24"/>
          <w:u w:val="none"/>
        </w:rPr>
        <w:t xml:space="preserve">盐城市亭湖生态环境局</w:t>
      </w:r>
      <w:r>
        <w:rPr>
          <w:rFonts w:hint="eastAsia" w:ascii="宋体" w:hAnsi="宋体" w:eastAsia="宋体" w:cs="宋体"/>
          <w:color w:val="auto"/>
          <w:u w:val="single"/>
        </w:rPr>
        <w:t xml:space="preserve">         </w:t>
      </w:r>
      <w:r>
        <w:rPr>
          <w:rFonts w:hint="eastAsia" w:ascii="宋体" w:hAnsi="宋体" w:eastAsia="宋体" w:cs="宋体"/>
          <w:color w:val="auto"/>
        </w:rPr>
        <w:t xml:space="preserve">项目公开招标的结果，签署本合同。</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一、合同内容</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1.1 标的名称：</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1.2标的质量：</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1.3 标的数量（规模）：</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1.4 履行时间（期限）：</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1.5 履行地点：</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1.6履行方式：</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二、合同金额</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2.1本合同金额为（大写）：_____________圆（______元）人民币或其他币种。</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三、技术资料</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3.1乙方应按招标文件规定的时间向甲方提供服务（包含与服务相关的货物）的有关技术资料。</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四、知识产权</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五、产权担保</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5.1乙方保证所交付的服务（包含与服务相关的货物）的所有权完全属于乙方且无任何抵押、查封等产权瑕疵。</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六、履约保证金</w:t>
      </w:r>
      <w:r/>
    </w:p>
    <w:p>
      <w:pPr>
        <w:pStyle w:val="675"/>
        <w:ind w:left="0" w:firstLine="480"/>
        <w:jc w:val="both"/>
        <w:keepLines w:val="0"/>
        <w:keepNext w:val="0"/>
        <w:pageBreakBefore w:val="0"/>
        <w:spacing w:beforeAutospacing="0" w:afterAutospacing="0" w:line="440" w:lineRule="exact"/>
        <w:widowControl w:val="off"/>
        <w:rPr>
          <w:rFonts w:ascii="宋体" w:hAnsi="宋体" w:eastAsia="宋体" w:cs="宋体"/>
          <w:color w:val="auto"/>
        </w:rPr>
      </w:pPr>
      <w:r>
        <w:rPr>
          <w:rFonts w:hint="eastAsia" w:ascii="宋体" w:hAnsi="宋体" w:eastAsia="宋体" w:cs="宋体"/>
          <w:color w:val="auto"/>
        </w:rPr>
        <w:t xml:space="preserve">6.1乙方交纳人民币_________元作为本合同的履约保证金。</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6.2</w:t>
      </w:r>
      <w:r>
        <w:rPr>
          <w:rFonts w:hint="eastAsia" w:ascii="宋体" w:hAnsi="宋体" w:eastAsia="宋体" w:cs="宋体"/>
          <w:color w:val="auto"/>
          <w:lang w:val="en-US" w:eastAsia="zh-CN"/>
        </w:rPr>
        <w:t xml:space="preserve">供应商自主选择以支票、汇票、本票、电子履约保函等非现金形式缴纳或提交。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6.3履约保证金的退还：</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6.3.1方式：无息退还至投标人缴纳履约保证金的账户。如为保函，在到期时自行失效。</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6.3.2时间：验收合格后30日内。</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6.3.3条件：按合同要求全部履约完成并经采购人验收合格。</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6.3.4不予退还情形：</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（2）中标人不履行与采购人订立的合同的；</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（3）中标人所供货物或服务不符合招标文件规定要求的；</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（4）中标人采取欺骗、弄虚作假方式投标的或与其它投标人串通投标的；</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（5）中标人将合同内容转包、违法分包的；</w:t>
      </w:r>
      <w:r/>
    </w:p>
    <w:p>
      <w:pPr>
        <w:ind w:left="0"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（6）中标人故意捏造事实或伪造证明材料，进行虚假恶意投诉或反映的。</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七、合同转包或分包</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7.1乙方不得将合同标的转包给他人履行。</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7.2乙方不得将合同标的分包给他人履行。</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7.3乙方如有转包或未经甲方同意的分包行为，甲方有权解除合同。</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八、合同款项支付</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8.1合同款项的支付方式及进度安排</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u w:val="single"/>
        </w:rPr>
        <w:t xml:space="preserve">8.1.1 合同签订后</w:t>
      </w:r>
      <w:r>
        <w:rPr>
          <w:rFonts w:hint="eastAsia" w:ascii="宋体" w:hAnsi="宋体" w:eastAsia="宋体" w:cs="宋体"/>
          <w:color w:val="auto"/>
          <w:u w:val="single"/>
          <w:lang w:val="en-US" w:eastAsia="zh-CN"/>
        </w:rPr>
        <w:t xml:space="preserve">30</w:t>
      </w:r>
      <w:r>
        <w:rPr>
          <w:rFonts w:hint="eastAsia" w:ascii="宋体" w:hAnsi="宋体" w:eastAsia="宋体" w:cs="宋体"/>
          <w:color w:val="auto"/>
          <w:u w:val="single"/>
        </w:rPr>
        <w:t xml:space="preserve">日内，</w:t>
      </w:r>
      <w:r>
        <w:rPr>
          <w:rFonts w:hint="eastAsia" w:ascii="宋体" w:hAnsi="宋体" w:eastAsia="宋体" w:cs="宋体"/>
          <w:color w:val="auto"/>
          <w:u w:val="single"/>
          <w:lang w:val="zh-CN"/>
        </w:rPr>
        <w:t xml:space="preserve">甲方向乙方支付合同总价</w:t>
      </w:r>
      <w:r>
        <w:rPr>
          <w:rFonts w:hint="eastAsia" w:ascii="宋体" w:hAnsi="宋体" w:eastAsia="宋体" w:cs="宋体"/>
          <w:color w:val="auto"/>
          <w:u w:val="single"/>
        </w:rPr>
        <w:t xml:space="preserve">的</w:t>
      </w:r>
      <w:r>
        <w:rPr>
          <w:rFonts w:hint="eastAsia" w:ascii="宋体" w:hAnsi="宋体" w:eastAsia="宋体" w:cs="宋体"/>
          <w:color w:val="auto"/>
          <w:u w:val="single"/>
          <w:lang w:val="en-US" w:eastAsia="zh-CN"/>
        </w:rPr>
        <w:t xml:space="preserve">30</w:t>
      </w:r>
      <w:r>
        <w:rPr>
          <w:rFonts w:hint="eastAsia" w:ascii="宋体" w:hAnsi="宋体" w:eastAsia="宋体" w:cs="宋体"/>
          <w:color w:val="auto"/>
          <w:u w:val="single"/>
        </w:rPr>
        <w:t xml:space="preserve">%。</w:t>
      </w:r>
      <w:r/>
    </w:p>
    <w:p>
      <w:pPr>
        <w:pStyle w:val="675"/>
        <w:ind w:left="0" w:firstLine="480"/>
        <w:jc w:val="both"/>
        <w:keepLines w:val="0"/>
        <w:keepNext w:val="0"/>
        <w:pageBreakBefore w:val="0"/>
        <w:spacing w:beforeAutospacing="0" w:afterAutospacing="0" w:line="440" w:lineRule="exact"/>
        <w:widowControl w:val="off"/>
        <w:rPr>
          <w:rFonts w:hint="default" w:eastAsia="宋体"/>
          <w:color w:val="auto"/>
          <w:lang w:val="en-US" w:eastAsia="zh-CN"/>
        </w:rPr>
      </w:pPr>
      <w:r>
        <w:rPr>
          <w:rFonts w:hint="eastAsia" w:ascii="宋体" w:hAnsi="宋体" w:eastAsia="宋体" w:cs="宋体"/>
          <w:color w:val="auto"/>
          <w:u w:val="single"/>
        </w:rPr>
        <w:t xml:space="preserve">8.1.2 服务结束并验收合格,采购人收到发票后10个工作日内，</w:t>
      </w:r>
      <w:r>
        <w:rPr>
          <w:rFonts w:hint="eastAsia" w:ascii="宋体" w:hAnsi="宋体" w:eastAsia="宋体" w:cs="宋体"/>
          <w:color w:val="auto"/>
          <w:u w:val="single"/>
          <w:lang w:val="zh-CN"/>
        </w:rPr>
        <w:t xml:space="preserve">甲方向乙方</w:t>
      </w:r>
      <w:r>
        <w:rPr>
          <w:rFonts w:hint="eastAsia" w:ascii="宋体" w:hAnsi="宋体" w:eastAsia="宋体" w:cs="宋体"/>
          <w:color w:val="auto"/>
          <w:u w:val="single"/>
          <w:lang w:val="en-US" w:eastAsia="zh-CN"/>
        </w:rPr>
        <w:t xml:space="preserve">一次性结清所有合同款项（均无息）。</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九、税费</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9.1本合同执行中相关的一切税费均由乙方负担。</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十、项目验收</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10.1甲方依法组织履约验收工作。</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10.3对于实际使用人和甲方分离的项目，甲方邀请实际使用人参与验收。</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10.4如有必要，甲方邀请参加本项目的其他供应商或第三方专业机构及专家参与验收，相关意见将作为验收书的参考资料。</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十一、违约责任</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11.1甲方无正当理由拒绝接受乙方提供服务的，甲方向乙方偿付拒绝接受服务合同价款总值</w:t>
      </w:r>
      <w:r>
        <w:rPr>
          <w:rFonts w:hint="eastAsia" w:ascii="宋体" w:hAnsi="宋体" w:eastAsia="宋体" w:cs="宋体"/>
          <w:color w:val="auto"/>
          <w:sz w:val="24"/>
          <w:szCs w:val="24"/>
          <w:lang w:val="zh-CN"/>
        </w:rPr>
        <w:t xml:space="preserve">百分之五</w:t>
      </w:r>
      <w:r>
        <w:rPr>
          <w:rFonts w:hint="eastAsia" w:ascii="宋体" w:hAnsi="宋体" w:eastAsia="宋体" w:cs="宋体"/>
          <w:color w:val="auto"/>
        </w:rPr>
        <w:t xml:space="preserve">的违约金。</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11.2甲方无故逾期验收和办理合同款项支付手续的,甲方应按逾期付款总额</w:t>
      </w:r>
      <w:r>
        <w:rPr>
          <w:rFonts w:hint="eastAsia" w:ascii="宋体" w:hAnsi="宋体" w:eastAsia="宋体" w:cs="宋体"/>
          <w:color w:val="auto"/>
          <w:sz w:val="24"/>
          <w:szCs w:val="24"/>
          <w:lang w:val="zh-CN"/>
        </w:rPr>
        <w:t xml:space="preserve">万分之五</w:t>
      </w:r>
      <w:r>
        <w:rPr>
          <w:rFonts w:hint="eastAsia" w:ascii="宋体" w:hAnsi="宋体" w:eastAsia="宋体" w:cs="宋体"/>
          <w:color w:val="auto"/>
        </w:rPr>
        <w:t xml:space="preserve">每日向乙方支付违约金。</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u w:val="none"/>
          <w:lang w:val="en-US" w:eastAsia="zh-CN"/>
        </w:rPr>
        <w:t xml:space="preserve">5%</w:t>
      </w:r>
      <w:r>
        <w:rPr>
          <w:rFonts w:hint="eastAsia" w:ascii="宋体" w:hAnsi="宋体" w:eastAsia="宋体" w:cs="宋体"/>
          <w:color w:val="auto"/>
        </w:rPr>
        <w:t xml:space="preserve">的违约金，如造成甲方损失超过违约金的，超出部分由乙方继续承担赔偿责任。 </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11.4乙方所提供服务的标准不符合合同规定及招标文件规定标准的，甲方有权拒绝接受服务，并可单方面解除合同。</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十二、不可抗力事件处理</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12.1在合同有效期内，任何一方因不可抗力事件导致不能履行合同，则合同履行期可延长，其延长期与不可抗力影响 期相同。</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12.2不可抗力事件发生后，应立即通知对方，并寄送有关权威机构出具的证明。</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12.3不可抗力事件延续120天以上，双方应通过友好协商，确定是否继续履行合同。</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十三、解决争议的方法</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13.1双方在签订、履行合同中所发生的一切争议，应通过友好协商解决。如协商不成，由甲方住所地人民法院管辖。</w:t>
      </w:r>
      <w:r/>
    </w:p>
    <w:p>
      <w:pPr>
        <w:pStyle w:val="675"/>
        <w:ind w:left="0" w:firstLine="482"/>
        <w:jc w:val="both"/>
        <w:keepLines w:val="0"/>
        <w:keepNext w:val="0"/>
        <w:pageBreakBefore w:val="0"/>
        <w:spacing w:beforeAutospacing="0" w:afterAutospacing="0" w:line="440" w:lineRule="exact"/>
        <w:widowControl w:val="off"/>
        <w:rPr>
          <w:color w:val="auto"/>
        </w:rPr>
      </w:pPr>
      <w:r>
        <w:rPr>
          <w:rFonts w:hint="eastAsia" w:ascii="宋体" w:hAnsi="宋体" w:eastAsia="宋体" w:cs="宋体"/>
          <w:b/>
          <w:color w:val="auto"/>
        </w:rPr>
        <w:t xml:space="preserve">十四、合同生效及其它</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14.1合同经双方法定代表人或授权委托代表人签字并加盖单位公章后生效。</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14.2本合同未尽事宜，遵照《民法典》、《政府采购法》有关条文执行。</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14.3 本合同正本一式两份，具有同等法律效力，甲方、乙方各执一份。</w:t>
      </w:r>
      <w:r/>
    </w:p>
    <w:p>
      <w:pPr>
        <w:pStyle w:val="67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67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rPr>
      </w:pPr>
      <w:r>
        <w:rPr>
          <w:rFonts w:hint="eastAsia" w:ascii="宋体" w:hAnsi="宋体" w:eastAsia="宋体" w:cs="宋体"/>
          <w:color w:val="auto"/>
        </w:rPr>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甲方：                       乙方： </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地址：                       地址： </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法定代表人或授权代表：       法定代表人或授权代表：</w:t>
      </w:r>
      <w:r/>
    </w:p>
    <w:p>
      <w:pPr>
        <w:pStyle w:val="675"/>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auto"/>
        </w:rPr>
        <w:t xml:space="preserve">联系电话：                   联系电话：          </w:t>
      </w:r>
      <w:r/>
    </w:p>
    <w:p>
      <w:pPr>
        <w:pStyle w:val="674"/>
        <w:ind w:left="0" w:firstLine="420"/>
        <w:jc w:val="right"/>
        <w:keepLines w:val="0"/>
        <w:keepNext w:val="0"/>
        <w:pageBreakBefore w:val="0"/>
        <w:spacing w:line="440" w:lineRule="exact"/>
        <w:widowControl w:val="off"/>
        <w:rPr>
          <w:rFonts w:hint="eastAsia" w:ascii="宋体" w:hAnsi="宋体" w:eastAsia="宋体" w:cs="宋体"/>
          <w:color w:val="auto"/>
          <w:sz w:val="44"/>
          <w:szCs w:val="44"/>
          <w:highlight w:val="none"/>
          <w:u w:val="single"/>
        </w:rPr>
      </w:pPr>
      <w:r>
        <w:rPr>
          <w:rFonts w:hint="eastAsia" w:ascii="宋体" w:hAnsi="宋体" w:eastAsia="宋体" w:cs="宋体"/>
          <w:color w:val="auto"/>
          <w:sz w:val="21"/>
          <w:szCs w:val="21"/>
        </w:rPr>
        <w:t xml:space="preserve">                                         </w:t>
      </w:r>
      <w:r>
        <w:rPr>
          <w:rFonts w:hint="eastAsia" w:ascii="宋体" w:hAnsi="宋体" w:eastAsia="宋体" w:cs="宋体"/>
          <w:color w:val="auto"/>
          <w:sz w:val="24"/>
          <w:szCs w:val="24"/>
          <w:lang w:val="en-US" w:eastAsia="zh-CN" w:bidi="ar-SA"/>
        </w:rPr>
        <w:t xml:space="preserve">签订日期：      年    月   日</w:t>
      </w:r>
      <w:r/>
    </w:p>
    <w:p>
      <w:pPr>
        <w:jc w:val="center"/>
        <w:rPr>
          <w:rFonts w:ascii="宋体" w:hAnsi="宋体"/>
          <w:color w:val="auto"/>
          <w:sz w:val="44"/>
          <w:szCs w:val="44"/>
          <w:highlight w:val="none"/>
        </w:rPr>
      </w:pPr>
      <w:r>
        <w:rPr>
          <w:rFonts w:ascii="宋体" w:hAnsi="宋体"/>
          <w:color w:val="auto"/>
          <w:sz w:val="44"/>
          <w:szCs w:val="44"/>
          <w:highlight w:val="none"/>
        </w:rPr>
      </w:r>
      <w:r/>
    </w:p>
    <w:p>
      <w:pPr>
        <w:pStyle w:val="675"/>
        <w:jc w:val="center"/>
        <w:spacing w:before="120" w:beforeAutospacing="0" w:after="120" w:afterAutospacing="0" w:line="0" w:lineRule="atLeast"/>
        <w:rPr>
          <w:rFonts w:hint="eastAsia" w:ascii="宋体" w:hAnsi="宋体" w:eastAsia="宋体" w:cs="宋体"/>
          <w:color w:val="auto"/>
        </w:rPr>
        <w:outlineLvl w:val="0"/>
      </w:pPr>
      <w:r>
        <w:rPr>
          <w:rFonts w:hint="eastAsia" w:ascii="宋体" w:hAnsi="宋体" w:eastAsia="宋体" w:cs="宋体"/>
          <w:color w:val="auto"/>
          <w:sz w:val="44"/>
          <w:szCs w:val="44"/>
        </w:rPr>
        <w:br w:type="page" w:clear="all"/>
      </w:r>
      <w:r>
        <w:rPr>
          <w:rFonts w:hint="eastAsia" w:ascii="宋体" w:hAnsi="宋体" w:eastAsia="宋体" w:cs="宋体"/>
          <w:b/>
          <w:bCs/>
          <w:color w:val="auto"/>
          <w:sz w:val="44"/>
          <w:szCs w:val="44"/>
        </w:rPr>
        <w:t xml:space="preserve">第</w:t>
      </w:r>
      <w:bookmarkEnd w:id="179"/>
      <w:r>
        <w:rPr>
          <w:rFonts w:hint="eastAsia" w:ascii="宋体" w:hAnsi="宋体" w:eastAsia="宋体" w:cs="宋体"/>
          <w:b/>
          <w:bCs/>
          <w:color w:val="auto"/>
          <w:sz w:val="44"/>
          <w:szCs w:val="44"/>
        </w:rPr>
        <w:t xml:space="preserve">四章</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采购需求</w:t>
      </w:r>
      <w:bookmarkEnd w:id="180"/>
      <w:r/>
      <w:bookmarkEnd w:id="181"/>
      <w:r/>
      <w:bookmarkEnd w:id="182"/>
      <w:r/>
      <w:bookmarkEnd w:id="183"/>
      <w:r/>
      <w:bookmarkEnd w:id="184"/>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bookmarkStart w:id="186" w:name="_Toc26554093"/>
      <w:r/>
      <w:bookmarkStart w:id="187" w:name="_Toc49090575"/>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项目属性:服务类项目</w:t>
      </w:r>
      <w:bookmarkEnd w:id="186"/>
      <w:r/>
      <w:bookmarkEnd w:id="187"/>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二、技术要求：</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1.亭湖区大气环境数字化管控服务</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bookmarkStart w:id="188" w:name="_Hlk140240390"/>
      <w:r>
        <w:rPr>
          <w:rFonts w:hint="eastAsia" w:ascii="宋体" w:hAnsi="宋体" w:eastAsia="宋体" w:cs="宋体"/>
          <w:color w:val="auto"/>
          <w:sz w:val="24"/>
          <w:szCs w:val="24"/>
          <w:lang w:val="en-US" w:eastAsia="zh-CN"/>
        </w:rPr>
        <w:t xml:space="preserve">1.1数据集成服务</w:t>
      </w:r>
      <w:bookmarkEnd w:id="188"/>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接入大气环境质量监测站点、重点污染源基本信息等多层面环保数据，通过标准协议，接入亭湖区如下数据：（1）大气环境质量监测站点信息和实时数据，应包含①国控、省控、市控、乡镇（街道）站及微型站数据；②VOCs监测数据，包括TVOC微站及VOC组分站；（2）重点污染源数据，应包含重点污染源数据包括亭湖区重点排污企业地理位置、名称、排污类型等基础信息；具备条件时可接入国控站点周边扬尘站和油烟监控仪数据。通过多维数据的接入与整合，形成亭湖区大气环境数字化管理能力，实现大气环境监测监控数据全面信息化。</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1.2数据展示和基础分析服务</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1.2.1区域环境质量总览</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基于GIS地图集中展现展示亭湖区企业分布情况、站点监测分布及数据情况、站点在线及离线情况、异常告警情况、亭湖区大气污染物浓度在全省及全市的逆序排名情况等信息，基于GIS一张图实现各类数据的智能交会并开展多场景的智能应用。</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1.2.2多元数据统计分析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平台应能利用接入的大气环境质量监测站点数据，将各类监测数据按照站点类型、监测因子进行管理展示，支持任意时段数据查询、下载，可自动生成各类分析图表、统计报表并支持导出。</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1.2.3纵向比对分析（达标分析）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通过配置达标计算器实现达标计算，可核算亭湖区大气环境（包括PM2.5和优良天比例等）的当前累计平均数值及剩余控制数值，可提供不同统计维度（日、月、年）数据，帮助采购人实时掌握不同时间维度的大气达标考核情况，支撑大气污染管控和防治工作的开展实施。</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1.2.4大气环境质量预测预报</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提供大气环境质量预报预测功能，提供亭湖区未来3天的空气质量AQI等级预报与指数预报、污染6参数浓度精细化预报结果；提供4~7天本区内空气质量日均值趋势预报结果，支撑污染形势的研判分析，为大气污染管控、重污染预警、重污染应急提供技术支持。</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1.3污染溯源解析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分析亭湖区主要污染物的主要传输路径，构建模型，综合利用监测数据、企业源谱信息数据、大气物理气象场信息及化学成分谱信息等，计算污染物/污染颗粒的运动轨迹，解析污染物主要传输路径和化学来源比例。</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VOCs专项管控</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1.4.1 VOCs数据分析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平台应提供VOCs分物种、分类别数据展示，排名前十组分分析、相关性分析、臭氧生成潜势、臭氧EKMA曲线等综合分析展示功能。</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1.4.2 VOCs组分站在线源解析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基于亭湖区VOCs组分站监测数据，构建HYSPLIT模型和PMF模型，利用HYSPLIT、PMF模型和空气质量模型，对颗粒物、臭氧的区域和行业贡献进行定量分析，确定主要行业及对应管控企业，结合定量区域来源分析，分析污染天气的内外因。</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1.5告警提醒</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对于实况监测超标告警进行分析提醒。平台应依据盐城市标准限值或本区空气质量目标管理需要对监测站点建立告警机制，实时监控大气环境监测站点数据波动情况，对超出阈值发出告警，告警信息包含超标污染物浓度信息、当前气象信息等。</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1.6问题处置</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1.6.1平台服务——系统支撑</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台应提供报警推送、处理处置信息上传存档、问题转办流转、告警办结或解除等问题处置功能，支持电子台账分类查询和下载。根据需要处理的预警信息，网格员可根据排查情况，填报造成站点或污染源预警原因、处理结果、现场处置前后的照片等，并提交系统，形成电子台账，解除异常告警；若异常情况无法解决，则填报提交告警信息、排查情况、处理建议等信息，转办至环保相应管理部门，相关执法人员可根据现场监察的情况，填报处理处置信息并上传相关附件，解除异常告警，形成全流程闭环管理。</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1.6.2驻点服务——环境质量保障提升（环保管家）</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派驻不少于2名驻场服务专业技术人员开展技术服务平台的日常运维，以及相关问题的协调处置和基础溯源排查工作。当国、省控大气站点出现异常高值及上级主管部门交办问题时，服务团队在线上溯源的基础上，派员至现场进行初步排查，支撑相关管理部门开展下一步工作；问题整改结束后，派员核对措施落实情况，完成闭环。</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1.7站点信息管理</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对区域内相关监测站点的基本情况、运行状态、数据接入情况进行管理与展示，并对不在线及离线情况进行统计。</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2.预期成效</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通过实施本项目：</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2.1汇聚、整合多方数据，通过区域大气环境质量、达标考核情况、数据质量等信息的实时动态更新，全面掌握本区内大气环境质量特征，系统化支撑业务应用开展。</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利用先进智能分析算法和多元化数据，对大气环境质量监测站点周边污染物排放、气象条件及大气环境质量变化趋势进行分析，对可能出现的超标进行事前预测预警，对已经发生的超标进行及时告警提醒和污染溯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2.3通过“线上发现问题并实时溯源分析-线下协调排查处置问题—线上问题处置留痕”的方式，建立高效的精准管控机制，形成大气污染防治全流程的闭环管理，推动大气环境精准管控信息化智能化水平的提升。</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商务要求</w:t>
      </w:r>
      <w:r>
        <w:rPr>
          <w:rFonts w:hint="eastAsia" w:ascii="宋体" w:hAnsi="宋体" w:eastAsia="宋体" w:cs="宋体"/>
          <w:color w:val="auto"/>
          <w:sz w:val="24"/>
          <w:szCs w:val="24"/>
          <w:lang w:eastAsia="zh-CN"/>
        </w:rPr>
        <w:t xml:space="preserve">：</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100万</w:t>
      </w:r>
      <w:r>
        <w:rPr>
          <w:rFonts w:hint="eastAsia" w:ascii="宋体" w:hAnsi="宋体" w:eastAsia="宋体" w:cs="宋体"/>
          <w:color w:val="auto"/>
          <w:sz w:val="24"/>
          <w:szCs w:val="24"/>
        </w:rPr>
        <w:t xml:space="preserve">元</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2.最高限价：100万元。本项目投标报价不得超过最高限价，否则作无效投标处理。</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购需求：亭湖区大气环境数字化管控服务，包括但不限于数据集成服务、数据展示和基础分析服务、污染溯源解析、VOCs专项管控、告警提醒、问题处置、站点信息管理等服务内容，具体内容及要求详见招标文件采购需求，采购人保留对招标内容进行适当调整的权利。</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4.合同履行期限：一年（开始时间以签定合同日期为准）。</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5.服务要求：合格，并满足采购人要求。</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6.本项目不接受联合体投标。</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采购标的需执行国家相关标准、行业标准、地方标准或者其他标准、规范</w:t>
      </w:r>
      <w:r>
        <w:rPr>
          <w:rFonts w:hint="eastAsia" w:ascii="宋体" w:hAnsi="宋体" w:eastAsia="宋体" w:cs="宋体"/>
          <w:color w:val="auto"/>
          <w:sz w:val="24"/>
          <w:szCs w:val="24"/>
          <w:lang w:eastAsia="zh-CN"/>
        </w:rPr>
        <w:t xml:space="preserve">。</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五、供应商</w:t>
      </w:r>
      <w:r>
        <w:rPr>
          <w:rFonts w:hint="eastAsia" w:ascii="宋体" w:hAnsi="宋体" w:eastAsia="宋体" w:cs="宋体"/>
          <w:color w:val="auto"/>
          <w:sz w:val="24"/>
          <w:szCs w:val="24"/>
          <w:lang w:eastAsia="zh-CN"/>
        </w:rPr>
        <w:t xml:space="preserve">须具有一定的综合实力、强大的技术力量</w:t>
      </w:r>
      <w:r>
        <w:rPr>
          <w:rFonts w:hint="eastAsia" w:ascii="宋体" w:hAnsi="宋体" w:eastAsia="宋体" w:cs="宋体"/>
          <w:color w:val="auto"/>
          <w:sz w:val="24"/>
          <w:szCs w:val="24"/>
          <w:lang w:val="en-US" w:eastAsia="zh-CN"/>
        </w:rPr>
        <w:t xml:space="preserve">、人员力量</w:t>
      </w:r>
      <w:r>
        <w:rPr>
          <w:rFonts w:hint="eastAsia" w:ascii="宋体" w:hAnsi="宋体" w:eastAsia="宋体" w:cs="宋体"/>
          <w:color w:val="auto"/>
          <w:sz w:val="24"/>
          <w:szCs w:val="24"/>
          <w:lang w:eastAsia="zh-CN"/>
        </w:rPr>
        <w:t xml:space="preserve">、丰富的项目经验、完善的服务方案，确保本项目按时按质完成。</w:t>
      </w:r>
      <w:r/>
    </w:p>
    <w:p>
      <w:pPr>
        <w:pStyle w:val="67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、采购标的对应的中小企业划分标准所属行业一览表</w:t>
      </w:r>
      <w:r/>
    </w:p>
    <w:tbl>
      <w:tblPr>
        <w:tblStyle w:val="663"/>
        <w:tblW w:w="814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4562"/>
        <w:gridCol w:w="2835"/>
      </w:tblGrid>
      <w:tr>
        <w:trPr>
          <w:jc w:val="center"/>
          <w:tblCellSpacing w:w="0" w:type="dxa"/>
        </w:trPr>
        <w:tc>
          <w:tcPr>
            <w:shd w:val="clear" w:color="auto" w:fill="auto"/>
            <w:tcW w:w="748"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auto"/>
            <w:tcW w:w="4562"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采购标的</w:t>
            </w:r>
            <w:r/>
          </w:p>
        </w:tc>
        <w:tc>
          <w:tcPr>
            <w:shd w:val="clear" w:color="auto" w:fill="auto"/>
            <w:tcW w:w="2835"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对应中小企业划分标准所属行业</w:t>
            </w:r>
            <w:r/>
          </w:p>
        </w:tc>
      </w:tr>
      <w:tr>
        <w:trPr>
          <w:jc w:val="center"/>
          <w:tblCellSpacing w:w="0" w:type="dxa"/>
          <w:trHeight w:val="1541"/>
        </w:trPr>
        <w:tc>
          <w:tcPr>
            <w:shd w:val="clear" w:color="auto" w:fill="auto"/>
            <w:tcW w:w="748"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4562"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盐城市亭湖生态环境局</w:t>
            </w:r>
            <w:r>
              <w:rPr>
                <w:rFonts w:hint="eastAsia" w:ascii="宋体" w:hAnsi="宋体" w:eastAsia="宋体" w:cs="宋体"/>
                <w:color w:val="auto"/>
                <w:sz w:val="21"/>
                <w:szCs w:val="21"/>
                <w:lang w:val="en-US" w:eastAsia="zh-CN"/>
              </w:rPr>
              <w:t xml:space="preserve">亭湖区</w:t>
            </w:r>
            <w:r>
              <w:rPr>
                <w:rFonts w:hint="eastAsia" w:ascii="宋体" w:hAnsi="宋体" w:eastAsia="宋体" w:cs="宋体"/>
                <w:color w:val="auto"/>
                <w:sz w:val="21"/>
                <w:szCs w:val="21"/>
              </w:rPr>
              <w:t xml:space="preserve">大气环境数字化管控服务项目</w:t>
            </w:r>
            <w:r/>
          </w:p>
        </w:tc>
        <w:tc>
          <w:tcPr>
            <w:shd w:val="clear" w:color="auto" w:fill="auto"/>
            <w:tcW w:w="2835" w:type="dxa"/>
            <w:vAlign w:val="center"/>
            <w:textDirection w:val="lrTb"/>
            <w:noWrap w:val="false"/>
          </w:tcPr>
          <w:p>
            <w:pPr>
              <w:pStyle w:val="675"/>
              <w:jc w:val="center"/>
              <w:keepLines w:val="0"/>
              <w:keepNext w:val="0"/>
              <w:pageBreakBefore w:val="0"/>
              <w:spacing w:beforeAutospacing="0" w:afterAutospacing="0" w:line="50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生态保护和环境治理业</w:t>
            </w:r>
            <w:r/>
          </w:p>
        </w:tc>
      </w:tr>
    </w:tbl>
    <w:p>
      <w:pPr>
        <w:pStyle w:val="675"/>
        <w:jc w:val="center"/>
        <w:spacing w:beforeAutospacing="0" w:afterAutospacing="0"/>
        <w:rPr>
          <w:rFonts w:hint="eastAsia" w:ascii="宋体" w:hAnsi="宋体" w:eastAsia="宋体" w:cs="宋体"/>
          <w:b/>
          <w:bCs/>
          <w:color w:val="auto"/>
          <w:sz w:val="44"/>
          <w:szCs w:val="44"/>
        </w:rPr>
        <w:outlineLvl w:val="9"/>
      </w:pPr>
      <w:r/>
      <w:bookmarkStart w:id="189" w:name="_Toc120614281"/>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color w:val="auto"/>
        </w:rPr>
        <w:outlineLvl w:val="0"/>
      </w:pPr>
      <w:r>
        <w:rPr>
          <w:rFonts w:hint="eastAsia" w:ascii="宋体" w:hAnsi="宋体" w:eastAsia="宋体" w:cs="宋体"/>
          <w:b/>
          <w:bCs/>
          <w:color w:val="auto"/>
          <w:sz w:val="44"/>
          <w:szCs w:val="44"/>
        </w:rPr>
        <w:t xml:space="preserve">第五章</w:t>
      </w:r>
      <w:r>
        <w:rPr>
          <w:rFonts w:hint="eastAsia" w:ascii="宋体" w:hAnsi="宋体" w:eastAsia="宋体" w:cs="宋体"/>
          <w:color w:val="auto"/>
          <w:sz w:val="44"/>
          <w:szCs w:val="44"/>
        </w:rPr>
        <w:t xml:space="preserve">  </w:t>
      </w:r>
      <w:r>
        <w:rPr>
          <w:rFonts w:hint="eastAsia" w:ascii="宋体" w:hAnsi="宋体" w:eastAsia="宋体" w:cs="宋体"/>
          <w:b/>
          <w:color w:val="auto"/>
          <w:sz w:val="44"/>
          <w:szCs w:val="44"/>
        </w:rPr>
        <w:t xml:space="preserve">评标方法与评标标准</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ind w:left="0" w:firstLine="480"/>
        <w:keepLines w:val="0"/>
        <w:keepNext w:val="0"/>
        <w:pageBreakBefore w:val="0"/>
        <w:spacing w:beforeAutospacing="0" w:afterAutospacing="0" w:line="480" w:lineRule="exact"/>
        <w:widowControl w:val="off"/>
        <w:rPr>
          <w:rFonts w:hint="eastAsia" w:ascii="宋体" w:hAnsi="宋体" w:eastAsia="宋体" w:cs="宋体"/>
          <w:color w:val="auto"/>
        </w:rPr>
      </w:pPr>
      <w:r>
        <w:rPr>
          <w:rFonts w:hint="eastAsia" w:ascii="宋体" w:hAnsi="宋体" w:eastAsia="宋体" w:cs="宋体"/>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中标候选人并列的，由招标人或者招标人委托评标委员会按照招标文件规定的方式确定中标人；招标文件未规定的，采取随机抽取的方式确定。</w:t>
      </w:r>
      <w:r/>
    </w:p>
    <w:p>
      <w:pPr>
        <w:pStyle w:val="675"/>
        <w:ind w:left="0" w:firstLine="482"/>
        <w:keepLines w:val="0"/>
        <w:keepNext w:val="0"/>
        <w:pageBreakBefore w:val="0"/>
        <w:spacing w:beforeAutospacing="0" w:afterAutospacing="0" w:line="480" w:lineRule="exact"/>
        <w:widowControl w:val="off"/>
        <w:rPr>
          <w:rFonts w:hint="eastAsia" w:ascii="宋体" w:hAnsi="宋体" w:eastAsia="宋体" w:cs="宋体"/>
          <w:b/>
          <w:color w:val="auto"/>
        </w:rPr>
      </w:pPr>
      <w:r>
        <w:rPr>
          <w:rFonts w:hint="eastAsia" w:ascii="宋体" w:hAnsi="宋体" w:eastAsia="宋体" w:cs="宋体"/>
          <w:b/>
          <w:color w:val="auto"/>
        </w:rPr>
        <w:t xml:space="preserve">政府采购政策功能落实</w:t>
      </w:r>
      <w:r/>
    </w:p>
    <w:p>
      <w:pPr>
        <w:numPr>
          <w:ilvl w:val="0"/>
          <w:numId w:val="1"/>
        </w:numPr>
        <w:ind w:firstLine="482"/>
        <w:spacing w:line="450" w:lineRule="exact"/>
        <w:rPr>
          <w:rFonts w:hint="eastAsia" w:ascii="宋体" w:hAnsi="宋体" w:cs="宋体"/>
          <w:b/>
          <w:bCs/>
          <w:color w:val="auto"/>
          <w:sz w:val="24"/>
        </w:rPr>
      </w:pPr>
      <w:r>
        <w:rPr>
          <w:rFonts w:hint="eastAsia" w:ascii="宋体" w:hAnsi="宋体" w:eastAsia="宋体" w:cs="宋体"/>
          <w:b/>
          <w:bCs/>
          <w:color w:val="auto"/>
          <w:sz w:val="24"/>
          <w:szCs w:val="24"/>
        </w:rPr>
        <w:t xml:space="preserve">本项目为</w:t>
      </w: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rPr>
        <w:t xml:space="preserve">类</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行业类别为生态保护和环境治理业。</w:t>
      </w:r>
      <w:r>
        <w:rPr>
          <w:rFonts w:hint="eastAsia" w:ascii="宋体" w:hAnsi="宋体" w:cs="宋体"/>
          <w:b/>
          <w:bCs/>
          <w:color w:val="auto"/>
          <w:sz w:val="24"/>
        </w:rPr>
        <w:t xml:space="preserve">本项目</w:t>
      </w:r>
      <w:r>
        <w:rPr>
          <w:rFonts w:hint="eastAsia" w:ascii="宋体" w:hAnsi="宋体" w:cs="宋体"/>
          <w:b/>
          <w:bCs/>
          <w:color w:val="auto"/>
          <w:sz w:val="24"/>
          <w:lang w:val="en-US" w:eastAsia="zh-CN"/>
        </w:rPr>
        <w:t xml:space="preserve">的服务采购</w:t>
      </w:r>
      <w:r>
        <w:rPr>
          <w:rFonts w:hint="eastAsia" w:ascii="宋体" w:hAnsi="宋体" w:cs="宋体"/>
          <w:b/>
          <w:bCs/>
          <w:color w:val="auto"/>
          <w:sz w:val="24"/>
        </w:rPr>
        <w:t xml:space="preserve">专门面向中小微企业采购，供应商须为符合《关于印发中小企业划型标准规定的通知》 (工信部联企业[2011]300号）文件的中小微企业</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供应商投标时须提供《中小企业声明函》，否则按无效处理。</w:t>
      </w:r>
      <w:r/>
    </w:p>
    <w:p>
      <w:pPr>
        <w:numPr>
          <w:ilvl w:val="0"/>
          <w:numId w:val="0"/>
        </w:numPr>
        <w:ind w:firstLine="480"/>
        <w:spacing w:line="450" w:lineRule="exact"/>
        <w:rPr>
          <w:rFonts w:hint="eastAsia" w:ascii="宋体" w:hAnsi="宋体" w:eastAsiaTheme="minorEastAsia"/>
          <w:color w:val="auto"/>
          <w:sz w:val="24"/>
          <w:lang w:eastAsia="zh-CN"/>
        </w:rPr>
      </w:pPr>
      <w:r>
        <w:rPr>
          <w:rFonts w:hint="eastAsia" w:ascii="宋体" w:hAnsi="宋体"/>
          <w:color w:val="auto"/>
          <w:sz w:val="24"/>
        </w:rPr>
        <w:t xml:space="preserve">2、因本项目专门面向中小企业采购，不再执行价格评审优惠的扶持政策。本项目对残疾人福利性单位</w:t>
      </w:r>
      <w:r>
        <w:rPr>
          <w:rFonts w:hint="eastAsia" w:ascii="宋体" w:hAnsi="宋体"/>
          <w:color w:val="auto"/>
          <w:sz w:val="24"/>
          <w:lang w:eastAsia="zh-CN"/>
        </w:rPr>
        <w:t xml:space="preserve">、监狱和戒毒企业（简称监狱企业）</w:t>
      </w:r>
      <w:r>
        <w:rPr>
          <w:rFonts w:hint="eastAsia" w:ascii="宋体" w:hAnsi="宋体"/>
          <w:color w:val="auto"/>
          <w:sz w:val="24"/>
        </w:rPr>
        <w:t xml:space="preserve">视同小型、微型企业</w:t>
      </w:r>
      <w:r>
        <w:rPr>
          <w:rFonts w:hint="eastAsia" w:ascii="宋体" w:hAnsi="宋体"/>
          <w:color w:val="auto"/>
          <w:sz w:val="24"/>
          <w:lang w:eastAsia="zh-CN"/>
        </w:rPr>
        <w:t xml:space="preserve">。</w:t>
      </w:r>
      <w:r>
        <w:rPr>
          <w:rFonts w:hint="eastAsia" w:ascii="宋体" w:hAnsi="宋体"/>
          <w:color w:val="auto"/>
          <w:sz w:val="24"/>
        </w:rPr>
        <w:t xml:space="preserve">残疾人福利单位需按照采购文件的要求提供《残疾人福利性单位声明函》</w:t>
      </w:r>
      <w:r>
        <w:rPr>
          <w:rFonts w:hint="eastAsia" w:ascii="宋体" w:hAnsi="宋体"/>
          <w:color w:val="auto"/>
          <w:sz w:val="24"/>
          <w:lang w:eastAsia="zh-CN"/>
        </w:rPr>
        <w:t xml:space="preserve">，残疾人福利单位标准请参照《关于促进残疾人就业政府采购政策的通知》（财库〔2017〕141号）。监狱企业参加政府采购活动时，需提供由省级以上监狱管理局、戒毒管理局(含新疆生产建设兵团)出具的属于监狱企业的证明文件，</w:t>
      </w:r>
      <w:r>
        <w:rPr>
          <w:rFonts w:hint="eastAsia" w:ascii="宋体" w:hAnsi="宋体" w:eastAsia="宋体" w:cs="宋体"/>
          <w:color w:val="auto"/>
          <w:sz w:val="24"/>
          <w:highlight w:val="none"/>
        </w:rPr>
        <w:t xml:space="preserve">监狱企业标准请参照《关于政府采购支持监狱企业发展有关问题的通知》（财库[2014]68号）</w:t>
      </w:r>
      <w:r>
        <w:rPr>
          <w:rFonts w:hint="eastAsia" w:ascii="宋体" w:hAnsi="宋体"/>
          <w:color w:val="auto"/>
          <w:sz w:val="24"/>
          <w:lang w:eastAsia="zh-CN"/>
        </w:rPr>
        <w:t xml:space="preserve">。</w:t>
      </w:r>
      <w:r/>
    </w:p>
    <w:p>
      <w:pPr>
        <w:ind w:firstLine="482"/>
        <w:spacing w:line="450" w:lineRule="exact"/>
        <w:rPr>
          <w:rFonts w:hint="eastAsia" w:ascii="宋体" w:hAnsi="宋体"/>
          <w:color w:val="auto"/>
          <w:sz w:val="24"/>
        </w:rPr>
      </w:pPr>
      <w:r>
        <w:rPr>
          <w:rFonts w:hint="eastAsia" w:ascii="宋体" w:hAnsi="宋体"/>
          <w:color w:val="auto"/>
          <w:sz w:val="24"/>
        </w:rPr>
        <w:t xml:space="preserve">3、供应商须按照采购文件要求提供相应的《企业声明函》（格式附后），不提供声明函或有弄虚作假的，将依法承担相应责任。</w:t>
      </w:r>
      <w:r/>
    </w:p>
    <w:p>
      <w:pPr>
        <w:ind w:firstLine="482"/>
        <w:spacing w:line="450" w:lineRule="exact"/>
        <w:rPr>
          <w:rFonts w:hint="eastAsia" w:ascii="宋体" w:hAnsi="宋体"/>
          <w:color w:val="auto"/>
          <w:sz w:val="24"/>
        </w:rPr>
      </w:pPr>
      <w:r>
        <w:rPr>
          <w:rFonts w:hint="eastAsia" w:ascii="宋体" w:hAnsi="宋体"/>
          <w:color w:val="auto"/>
          <w:sz w:val="24"/>
        </w:rPr>
        <w:t xml:space="preserve">4、企业标准请参照《关于印发中小企业划型标准规定的通知》（工信部联企业【2011】300号）文件规定自行填写。</w:t>
      </w:r>
      <w:r/>
    </w:p>
    <w:p>
      <w:pPr>
        <w:pStyle w:val="675"/>
        <w:ind w:left="0" w:firstLine="480"/>
        <w:keepLines w:val="0"/>
        <w:keepNext w:val="0"/>
        <w:pageBreakBefore w:val="0"/>
        <w:spacing w:beforeAutospacing="0" w:afterAutospacing="0" w:line="480" w:lineRule="exact"/>
        <w:widowControl w:val="off"/>
        <w:rPr>
          <w:rFonts w:hint="eastAsia" w:ascii="宋体" w:hAnsi="宋体" w:eastAsia="宋体" w:cs="宋体"/>
          <w:color w:val="auto"/>
        </w:rPr>
      </w:pPr>
      <w:r>
        <w:rPr>
          <w:rFonts w:hint="eastAsia" w:ascii="宋体" w:hAnsi="宋体"/>
          <w:color w:val="auto"/>
          <w:sz w:val="24"/>
        </w:rPr>
        <w:t xml:space="preserve">5、以上规定未尽事项，按《政府采购促进中小企业发展管理办法》 （财库【2020】46号）等有关制度规定执行。</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pStyle w:val="675"/>
        <w:ind w:left="0" w:firstLine="480"/>
        <w:keepLines w:val="0"/>
        <w:keepNext w:val="0"/>
        <w:pageBreakBefore w:val="0"/>
        <w:spacing w:beforeAutospacing="0" w:afterAutospacing="0" w:line="48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9</w:t>
      </w:r>
      <w:r>
        <w:rPr>
          <w:rFonts w:hint="eastAsia" w:ascii="宋体" w:hAnsi="宋体" w:eastAsia="宋体" w:cs="宋体"/>
          <w:color w:val="auto"/>
        </w:rPr>
        <w:t xml:space="preserve">、根据《江苏省政府采购信用管理暂行办法》的规定，供应商信用评价结果为三星的扣2分，评价结果为二星的扣3分，评价结果为一星的扣4分。</w:t>
      </w:r>
      <w:r/>
    </w:p>
    <w:p>
      <w:pPr>
        <w:pStyle w:val="675"/>
        <w:spacing w:before="120" w:beforeAutospacing="0" w:after="120" w:afterAutospacing="0" w:line="0" w:lineRule="atLeast"/>
        <w:rPr>
          <w:rFonts w:hint="eastAsia" w:ascii="宋体" w:hAnsi="宋体" w:eastAsia="宋体" w:cs="宋体"/>
          <w:color w:val="auto"/>
          <w:lang w:eastAsia="zh-CN"/>
        </w:rPr>
      </w:pPr>
      <w:r>
        <w:rPr>
          <w:rFonts w:hint="eastAsia" w:ascii="宋体" w:hAnsi="宋体" w:eastAsia="宋体" w:cs="宋体"/>
          <w:b/>
          <w:color w:val="auto"/>
        </w:rPr>
        <w:t xml:space="preserve">评标方法与评标标准</w:t>
      </w:r>
      <w:r>
        <w:rPr>
          <w:rFonts w:hint="eastAsia" w:ascii="宋体" w:hAnsi="宋体" w:eastAsia="宋体" w:cs="宋体"/>
          <w:b/>
          <w:color w:val="auto"/>
          <w:lang w:eastAsia="zh-CN"/>
        </w:rPr>
        <w:t xml:space="preserve">：本项目评分总分值为100分。</w:t>
      </w:r>
      <w:r/>
    </w:p>
    <w:tbl>
      <w:tblPr>
        <w:tblStyle w:val="663"/>
        <w:tblW w:w="9468" w:type="dxa"/>
        <w:jc w:val="center"/>
        <w:tblLayout w:type="fixed"/>
        <w:tblCellMar>
          <w:left w:w="108" w:type="dxa"/>
          <w:top w:w="0" w:type="dxa"/>
          <w:right w:w="108" w:type="dxa"/>
          <w:bottom w:w="0" w:type="dxa"/>
        </w:tblCellMar>
        <w:tblLook w:val="04A0" w:firstRow="1" w:lastRow="0" w:firstColumn="1" w:lastColumn="0" w:noHBand="0" w:noVBand="1"/>
      </w:tblPr>
      <w:tblGrid>
        <w:gridCol w:w="1004"/>
        <w:gridCol w:w="1608"/>
        <w:gridCol w:w="6856"/>
      </w:tblGrid>
      <w:tr>
        <w:trPr>
          <w:jc w:val="center"/>
          <w:trHeight w:val="678"/>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683"/>
              <w:ind w:right="0"/>
              <w:jc w:val="center"/>
              <w:keepLines w:val="0"/>
              <w:keepNext w:val="0"/>
              <w:pageBreakBefore w:val="0"/>
              <w:spacing w:line="500" w:lineRule="exact"/>
              <w:widowControl w:val="off"/>
              <w:rPr>
                <w:b/>
                <w:color w:val="auto"/>
                <w:sz w:val="21"/>
                <w:szCs w:val="21"/>
                <w:highlight w:val="none"/>
              </w:rPr>
            </w:pPr>
            <w:r>
              <w:rPr>
                <w:rFonts w:hint="eastAsia" w:ascii="宋体" w:hAnsi="宋体" w:eastAsia="宋体" w:cs="宋体"/>
                <w:b/>
                <w:color w:val="auto"/>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pStyle w:val="683"/>
              <w:ind w:left="57" w:right="57"/>
              <w:jc w:val="center"/>
              <w:keepLines w:val="0"/>
              <w:keepNext w:val="0"/>
              <w:pageBreakBefore w:val="0"/>
              <w:spacing w:before="40" w:line="500" w:lineRule="exact"/>
              <w:rPr>
                <w:b/>
                <w:color w:val="auto"/>
                <w:sz w:val="21"/>
                <w:szCs w:val="21"/>
                <w:highlight w:val="none"/>
              </w:rPr>
            </w:pPr>
            <w:r>
              <w:rPr>
                <w:rFonts w:hint="eastAsia" w:ascii="宋体" w:hAnsi="宋体" w:eastAsia="宋体" w:cs="宋体"/>
                <w:b/>
                <w:color w:val="auto"/>
                <w:sz w:val="24"/>
                <w:szCs w:val="24"/>
                <w:highlight w:val="none"/>
              </w:rPr>
              <w:t xml:space="preserve">条款内容</w:t>
            </w:r>
            <w:r/>
          </w:p>
        </w:tc>
        <w:tc>
          <w:tcPr>
            <w:tcBorders>
              <w:top w:val="single" w:color="auto" w:sz="4" w:space="0"/>
              <w:left w:val="single" w:color="auto" w:sz="4" w:space="0"/>
              <w:bottom w:val="single" w:color="auto" w:sz="4" w:space="0"/>
              <w:right w:val="single" w:color="auto" w:sz="4" w:space="0"/>
            </w:tcBorders>
            <w:tcW w:w="6856" w:type="dxa"/>
            <w:vAlign w:val="center"/>
            <w:textDirection w:val="lrTb"/>
            <w:noWrap w:val="false"/>
          </w:tcPr>
          <w:p>
            <w:pPr>
              <w:pStyle w:val="683"/>
              <w:ind w:right="1895"/>
              <w:jc w:val="right"/>
              <w:keepLines w:val="0"/>
              <w:keepNext w:val="0"/>
              <w:pageBreakBefore w:val="0"/>
              <w:spacing w:before="40" w:line="500" w:lineRule="exact"/>
              <w:rPr>
                <w:b/>
                <w:color w:val="auto"/>
                <w:sz w:val="21"/>
                <w:szCs w:val="21"/>
                <w:highlight w:val="none"/>
                <w:lang w:eastAsia="zh-CN"/>
              </w:rPr>
            </w:pPr>
            <w:r>
              <w:rPr>
                <w:rFonts w:hint="eastAsia" w:ascii="宋体" w:hAnsi="宋体" w:eastAsia="宋体" w:cs="宋体"/>
                <w:b/>
                <w:color w:val="auto"/>
                <w:sz w:val="24"/>
                <w:szCs w:val="24"/>
                <w:highlight w:val="none"/>
              </w:rPr>
              <w:t xml:space="preserve">编列内容</w:t>
            </w:r>
            <w:r/>
          </w:p>
        </w:tc>
      </w:tr>
      <w:tr>
        <w:trPr>
          <w:jc w:val="center"/>
          <w:trHeight w:val="90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keepLines w:val="0"/>
              <w:keepNext w:val="0"/>
              <w:pageBreakBefore w:val="0"/>
              <w:spacing w:line="500" w:lineRule="exact"/>
              <w:rPr>
                <w:rFonts w:hint="default"/>
                <w:color w:val="auto"/>
                <w:sz w:val="21"/>
                <w:szCs w:val="21"/>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pStyle w:val="683"/>
              <w:ind w:left="103" w:right="4"/>
              <w:jc w:val="center"/>
              <w:keepLines w:val="0"/>
              <w:keepNext w:val="0"/>
              <w:pageBreakBefore w:val="0"/>
              <w:spacing w:before="107"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报价分</w:t>
            </w:r>
            <w:r/>
          </w:p>
          <w:p>
            <w:pPr>
              <w:pStyle w:val="683"/>
              <w:ind w:left="103" w:right="4"/>
              <w:jc w:val="center"/>
              <w:keepLines w:val="0"/>
              <w:keepNext w:val="0"/>
              <w:pageBreakBefore w:val="0"/>
              <w:spacing w:before="107" w:line="500" w:lineRule="exact"/>
              <w:rPr>
                <w:rFonts w:hint="default" w:eastAsia="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856" w:type="dxa"/>
            <w:vAlign w:val="center"/>
            <w:textDirection w:val="lrTb"/>
            <w:noWrap w:val="false"/>
          </w:tcPr>
          <w:p>
            <w:pPr>
              <w:pStyle w:val="683"/>
              <w:ind w:right="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采用低价优先法计算，满足招标文件要求且投标价格最低的有效投标报价为评标基准价，其价格分为满分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分，其他供应商的价格分统一按照下列公式计算：</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报价得分=（</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lang w:eastAsia="zh-CN"/>
              </w:rPr>
              <w:t xml:space="preserve">基准价/</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（按四舍五入取至小数点后两位，有效投标文件是指未被评标委员会判定为无效标的投标文件）。</w:t>
            </w:r>
            <w:r/>
          </w:p>
        </w:tc>
      </w:tr>
      <w:tr>
        <w:trPr>
          <w:jc w:val="center"/>
          <w:trHeight w:val="16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pStyle w:val="683"/>
              <w:ind w:right="4"/>
              <w:jc w:val="center"/>
              <w:keepLines w:val="0"/>
              <w:keepNext w:val="0"/>
              <w:pageBreakBefore w:val="0"/>
              <w:spacing w:before="3"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技术方案</w:t>
            </w:r>
            <w:r/>
          </w:p>
          <w:p>
            <w:pPr>
              <w:pStyle w:val="683"/>
              <w:ind w:right="4"/>
              <w:jc w:val="center"/>
              <w:keepLines w:val="0"/>
              <w:keepNext w:val="0"/>
              <w:pageBreakBefore w:val="0"/>
              <w:spacing w:before="3"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856" w:type="dxa"/>
            <w:vAlign w:val="center"/>
            <w:textDirection w:val="lrTb"/>
            <w:noWrap w:val="false"/>
          </w:tcPr>
          <w:p>
            <w:pPr>
              <w:pStyle w:val="669"/>
              <w:numPr>
                <w:ilvl w:val="0"/>
                <w:numId w:val="2"/>
              </w:numPr>
              <w:ind w:left="0" w:right="0" w:firstLine="0"/>
              <w:keepLines w:val="0"/>
              <w:keepNext w:val="0"/>
              <w:pageBreakBefore w:val="0"/>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需求理解：根据投标人对本项目的建设目标、需求理解、信息化建设现状、建设必要性的理解，提出本项目建设的清晰思路，需求理解细致全面、合理。本项最高5分。</w:t>
            </w:r>
            <w:r/>
          </w:p>
          <w:p>
            <w:pPr>
              <w:pStyle w:val="669"/>
              <w:numPr>
                <w:ilvl w:val="0"/>
                <w:numId w:val="2"/>
              </w:numPr>
              <w:ind w:left="0" w:right="0" w:firstLine="0"/>
              <w:keepLines w:val="0"/>
              <w:keepNext w:val="0"/>
              <w:pageBreakBefore w:val="0"/>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项目技术方案：技术方案（包括总体设计、功能模块设计、安全设计等）的完整性、合理性、可行性、可操作性，整体设计细致全面、合理，响应需求，技术可行性强。本项最高6分。</w:t>
            </w:r>
            <w:r/>
          </w:p>
          <w:p>
            <w:pPr>
              <w:pStyle w:val="669"/>
              <w:numPr>
                <w:ilvl w:val="0"/>
                <w:numId w:val="2"/>
              </w:numPr>
              <w:ind w:left="0" w:right="0" w:firstLine="0"/>
              <w:keepLines w:val="0"/>
              <w:keepNext w:val="0"/>
              <w:pageBreakBefore w:val="0"/>
              <w:spacing w:after="0" w:line="50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运维方案</w:t>
            </w:r>
            <w:r>
              <w:rPr>
                <w:rFonts w:hint="eastAsia" w:ascii="宋体" w:hAnsi="宋体" w:eastAsia="宋体" w:cs="宋体"/>
                <w:color w:val="auto"/>
                <w:sz w:val="24"/>
                <w:szCs w:val="24"/>
                <w:lang w:val="en-US" w:eastAsia="zh-CN" w:bidi="ar-SA"/>
              </w:rPr>
              <w:t xml:space="preserve">：对系统运维方案进行综合评分，方案描述完整、全面，响应需求。本项最高5分。</w:t>
            </w:r>
            <w:r/>
          </w:p>
          <w:p>
            <w:pPr>
              <w:pStyle w:val="669"/>
              <w:numPr>
                <w:ilvl w:val="0"/>
                <w:numId w:val="2"/>
              </w:numPr>
              <w:ind w:left="0" w:right="0" w:firstLine="0"/>
              <w:keepLines w:val="0"/>
              <w:keepNext w:val="0"/>
              <w:pageBreakBefore w:val="0"/>
              <w:spacing w:after="0" w:line="500" w:lineRule="exact"/>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培训方案</w:t>
            </w:r>
            <w:r>
              <w:rPr>
                <w:rFonts w:hint="eastAsia" w:ascii="宋体" w:hAnsi="宋体" w:eastAsia="宋体" w:cs="宋体"/>
                <w:color w:val="auto"/>
                <w:sz w:val="24"/>
                <w:szCs w:val="24"/>
                <w:lang w:val="en-US" w:eastAsia="zh-CN" w:bidi="ar-SA"/>
              </w:rPr>
              <w:t xml:space="preserve">：有满足要求、完整、可行的培训方案，培训方案明确培训方式、授课人员、培训内容等，方案细致全面、合理，响应需求。本项最高4分。</w:t>
            </w:r>
            <w:r/>
          </w:p>
          <w:p>
            <w:pPr>
              <w:pStyle w:val="669"/>
              <w:numPr>
                <w:ilvl w:val="0"/>
                <w:numId w:val="0"/>
              </w:numPr>
              <w:ind w:right="0"/>
              <w:keepLines w:val="0"/>
              <w:keepNext w:val="0"/>
              <w:pageBreakBefore w:val="0"/>
              <w:spacing w:after="0" w:line="50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标委员会根据以上评审要点，对投标文件的技术方案进行评分。除方案中缺少相应内容的评审要点不得分外，投标文件的方案各项评审要点得分不应低于该评审要点满分的70%，以0.1分为一个计分单位，满分20分。</w:t>
            </w:r>
            <w:r/>
          </w:p>
        </w:tc>
      </w:tr>
      <w:tr>
        <w:trPr>
          <w:jc w:val="center"/>
          <w:trHeight w:val="98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keepLines w:val="0"/>
              <w:keepNext w:val="0"/>
              <w:pageBreakBefore w:val="0"/>
              <w:spacing w:line="500" w:lineRule="exact"/>
              <w:rPr>
                <w:rFonts w:hint="default"/>
                <w:color w:val="auto"/>
                <w:sz w:val="21"/>
                <w:szCs w:val="21"/>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pStyle w:val="683"/>
              <w:ind w:right="4"/>
              <w:jc w:val="center"/>
              <w:keepLines w:val="0"/>
              <w:keepNext w:val="0"/>
              <w:pageBreakBefore w:val="0"/>
              <w:spacing w:before="3" w:line="500" w:lineRule="exact"/>
              <w:rPr>
                <w:rFonts w:hint="eastAsia" w:eastAsia="宋体"/>
                <w:color w:val="auto"/>
                <w:sz w:val="21"/>
                <w:szCs w:val="21"/>
                <w:highlight w:val="none"/>
                <w:lang w:eastAsia="zh-CN"/>
              </w:rPr>
            </w:pPr>
            <w:r>
              <w:rPr>
                <w:rFonts w:hint="eastAsia" w:ascii="宋体" w:hAnsi="宋体" w:eastAsia="宋体" w:cs="宋体"/>
                <w:color w:val="auto"/>
                <w:sz w:val="24"/>
                <w:szCs w:val="24"/>
                <w:highlight w:val="none"/>
                <w:lang w:eastAsia="zh-CN"/>
              </w:rPr>
              <w:t xml:space="preserve">演示（</w:t>
            </w:r>
            <w:r>
              <w:rPr>
                <w:rFonts w:hint="eastAsia" w:ascii="宋体" w:hAnsi="宋体" w:eastAsia="宋体" w:cs="宋体"/>
                <w:color w:val="auto"/>
                <w:sz w:val="24"/>
                <w:szCs w:val="24"/>
                <w:highlight w:val="none"/>
                <w:lang w:val="en-US" w:eastAsia="zh-CN"/>
              </w:rPr>
              <w:t xml:space="preserve">21分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56" w:type="dxa"/>
            <w:vAlign w:val="center"/>
            <w:textDirection w:val="lrTb"/>
            <w:noWrap w:val="false"/>
          </w:tcPr>
          <w:p>
            <w:pPr>
              <w:pStyle w:val="669"/>
              <w:ind w:left="0" w:right="0" w:firstLine="0"/>
              <w:keepLines w:val="0"/>
              <w:keepNext w:val="0"/>
              <w:pageBreakBefore w:val="0"/>
              <w:spacing w:after="0" w:line="500" w:lineRule="exact"/>
              <w:widowControl w:val="off"/>
              <w:tabs>
                <w:tab w:val="left" w:pos="952" w:leader="none"/>
              </w:tabs>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演示要求： 投标人以真实系统或系统原型演示最高得分21分；以PPT、图片、静态HTML演示形式最高得10.5 分（即每个演示部分最高得分为该部分总分数的一半）；不演示或未按要求演示不得分。演示时长最多为15分钟，供应商在系统中上传演示视频，</w:t>
            </w:r>
            <w:r>
              <w:rPr>
                <w:rFonts w:hint="eastAsia"/>
                <w:color w:val="auto"/>
                <w:sz w:val="24"/>
                <w:szCs w:val="24"/>
              </w:rPr>
              <w:t xml:space="preserve">视频文件的格式为*.mp4，投标人须将视频文件分段压缩为*.zip文件上传（单个文件不得大于50M，所有文件总共不得大于300M）</w:t>
            </w:r>
            <w:r>
              <w:rPr>
                <w:rFonts w:hint="eastAsia"/>
                <w:color w:val="auto"/>
                <w:sz w:val="24"/>
                <w:szCs w:val="24"/>
                <w:lang w:eastAsia="zh-CN"/>
              </w:rPr>
              <w:t xml:space="preserve">，</w:t>
            </w:r>
            <w:r>
              <w:rPr>
                <w:rFonts w:hint="eastAsia"/>
                <w:color w:val="auto"/>
                <w:sz w:val="24"/>
                <w:szCs w:val="24"/>
              </w:rPr>
              <w:t xml:space="preserve">文件上传方式见《操作手册》规定，上传的演示视频将作为投标文件的组成部分</w:t>
            </w:r>
            <w:r>
              <w:rPr>
                <w:rFonts w:hint="eastAsia" w:ascii="宋体" w:hAnsi="宋体" w:eastAsia="宋体" w:cs="宋体"/>
                <w:color w:val="auto"/>
                <w:sz w:val="24"/>
                <w:szCs w:val="24"/>
                <w:lang w:val="en-US" w:eastAsia="zh-CN" w:bidi="ar-SA"/>
              </w:rPr>
              <w:t xml:space="preserve">。</w:t>
            </w:r>
            <w:r/>
          </w:p>
          <w:p>
            <w:pPr>
              <w:pStyle w:val="669"/>
              <w:numPr>
                <w:ilvl w:val="0"/>
                <w:numId w:val="3"/>
              </w:numPr>
              <w:ind w:left="0" w:right="0" w:firstLine="0"/>
              <w:keepLines w:val="0"/>
              <w:keepNext w:val="0"/>
              <w:pageBreakBefore w:val="0"/>
              <w:spacing w:after="0" w:line="500" w:lineRule="exact"/>
              <w:widowControl w:val="off"/>
              <w:tabs>
                <w:tab w:val="left" w:pos="952"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演示环境监测相关功能：（10分）</w:t>
            </w:r>
            <w:r/>
          </w:p>
          <w:p>
            <w:pPr>
              <w:pStyle w:val="669"/>
              <w:numPr>
                <w:ilvl w:val="1"/>
                <w:numId w:val="4"/>
              </w:numPr>
              <w:ind w:right="0"/>
              <w:keepLines w:val="0"/>
              <w:keepNext w:val="0"/>
              <w:pageBreakBefore w:val="0"/>
              <w:spacing w:after="0" w:line="500" w:lineRule="exact"/>
              <w:widowControl w:val="off"/>
              <w:tabs>
                <w:tab w:val="left" w:pos="952"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演示空气质量站点历史监测数据站点关系网，实现大气环境质量时间-空间变化规律的综合演化分析，可视化展示协同演化的站点组群；②演示利用溯源模型及监测站点数据进行PM2.5及VOCs的企业、排口污染物贡献定量分析，并对贡献量占比大的企业进行展示。演示内容满足上述2点得基本分3分；满足1点得基本分2分；不满足不得分。评标委员会根据以上评审要点综合加分（最多加1分），以0.1分为一个计分单位，本项最多得4分。</w:t>
            </w:r>
            <w:r/>
          </w:p>
          <w:p>
            <w:pPr>
              <w:pStyle w:val="669"/>
              <w:numPr>
                <w:ilvl w:val="1"/>
                <w:numId w:val="4"/>
              </w:numPr>
              <w:ind w:right="0"/>
              <w:keepLines w:val="0"/>
              <w:keepNext w:val="0"/>
              <w:pageBreakBefore w:val="0"/>
              <w:spacing w:after="0" w:line="500" w:lineRule="exact"/>
              <w:widowControl w:val="off"/>
              <w:tabs>
                <w:tab w:val="left" w:pos="952"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演示VOCs组分物种和类别监测浓度时间变化序列以及组分的臭氧生成潜势；②演示臭氧污染EKMA曲线绘制结果；③演示不同排放源类对VOCs的贡献率。演示内容全部满足3点得基本分5分，满足2点得基本分3分，满足1点得基本分1分，不满足不得分。评标委员会根据以上评审要点综合加分（最多加1分），以0.1分为一个计分单位，本项最多得6分。</w:t>
            </w:r>
            <w:r/>
          </w:p>
          <w:p>
            <w:pPr>
              <w:pStyle w:val="669"/>
              <w:numPr>
                <w:ilvl w:val="0"/>
                <w:numId w:val="4"/>
              </w:numPr>
              <w:ind w:left="0" w:right="0" w:firstLine="0"/>
              <w:keepLines w:val="0"/>
              <w:keepNext w:val="0"/>
              <w:pageBreakBefore w:val="0"/>
              <w:spacing w:after="0" w:line="500" w:lineRule="exact"/>
              <w:widowControl w:val="off"/>
              <w:tabs>
                <w:tab w:val="left" w:pos="952"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演示环境异常数据判别功能及问题处置流程：（6分）</w:t>
            </w:r>
            <w:r/>
          </w:p>
          <w:p>
            <w:pPr>
              <w:pStyle w:val="669"/>
              <w:numPr>
                <w:ilvl w:val="0"/>
                <w:numId w:val="0"/>
              </w:numPr>
              <w:ind w:right="0"/>
              <w:keepLines w:val="0"/>
              <w:keepNext w:val="0"/>
              <w:pageBreakBefore w:val="0"/>
              <w:spacing w:after="0" w:line="500" w:lineRule="exact"/>
              <w:widowControl w:val="off"/>
              <w:tabs>
                <w:tab w:val="left" w:pos="952" w:leader="none"/>
              </w:tabs>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w:t>
            </w:r>
            <w:r>
              <w:rPr>
                <w:rFonts w:hint="default" w:ascii="宋体" w:hAnsi="宋体" w:eastAsia="宋体" w:cs="宋体"/>
                <w:color w:val="auto"/>
                <w:sz w:val="24"/>
                <w:szCs w:val="24"/>
                <w:lang w:val="en-US" w:eastAsia="zh-CN" w:bidi="ar-SA"/>
              </w:rPr>
              <w:t xml:space="preserve">演示异常数据判别规则库管理，包括编辑、修改优先级、增减功能等；</w:t>
            </w:r>
            <w:r>
              <w:rPr>
                <w:rFonts w:hint="eastAsia" w:ascii="宋体" w:hAnsi="宋体" w:eastAsia="宋体" w:cs="宋体"/>
                <w:color w:val="auto"/>
                <w:sz w:val="24"/>
                <w:szCs w:val="24"/>
                <w:lang w:val="en-US" w:eastAsia="zh-CN" w:bidi="ar-SA"/>
              </w:rPr>
              <w:t xml:space="preserve">②</w:t>
            </w:r>
            <w:r>
              <w:rPr>
                <w:rFonts w:hint="default" w:ascii="宋体" w:hAnsi="宋体" w:eastAsia="宋体" w:cs="宋体"/>
                <w:color w:val="auto"/>
                <w:sz w:val="24"/>
                <w:szCs w:val="24"/>
                <w:lang w:val="en-US" w:eastAsia="zh-CN" w:bidi="ar-SA"/>
              </w:rPr>
              <w:t xml:space="preserve">演示异常数据预警功能，包括信息提醒、信息内容展示等</w:t>
            </w:r>
            <w:r>
              <w:rPr>
                <w:rFonts w:hint="eastAsia" w:ascii="宋体" w:hAnsi="宋体" w:eastAsia="宋体" w:cs="宋体"/>
                <w:color w:val="auto"/>
                <w:sz w:val="24"/>
                <w:szCs w:val="24"/>
                <w:lang w:val="en-US" w:eastAsia="zh-CN" w:bidi="ar-SA"/>
              </w:rPr>
              <w:t xml:space="preserve">；③</w:t>
            </w:r>
            <w:r>
              <w:rPr>
                <w:rFonts w:hint="default" w:ascii="宋体" w:hAnsi="宋体" w:eastAsia="宋体" w:cs="宋体"/>
                <w:color w:val="auto"/>
                <w:sz w:val="24"/>
                <w:szCs w:val="24"/>
                <w:lang w:val="en-US" w:eastAsia="zh-CN" w:bidi="ar-SA"/>
              </w:rPr>
              <w:t xml:space="preserve">演示指挥调度全过程，包括问题接收、问题下发、问题反馈等。演示内容全部满足3点得</w:t>
            </w:r>
            <w:r>
              <w:rPr>
                <w:rFonts w:hint="eastAsia" w:ascii="宋体" w:hAnsi="宋体" w:eastAsia="宋体" w:cs="宋体"/>
                <w:color w:val="auto"/>
                <w:sz w:val="24"/>
                <w:szCs w:val="24"/>
                <w:lang w:val="en-US" w:eastAsia="zh-CN" w:bidi="ar-SA"/>
              </w:rPr>
              <w:t xml:space="preserve">基本分5</w:t>
            </w:r>
            <w:r>
              <w:rPr>
                <w:rFonts w:hint="default" w:ascii="宋体" w:hAnsi="宋体" w:eastAsia="宋体" w:cs="宋体"/>
                <w:color w:val="auto"/>
                <w:sz w:val="24"/>
                <w:szCs w:val="24"/>
                <w:lang w:val="en-US" w:eastAsia="zh-CN" w:bidi="ar-SA"/>
              </w:rPr>
              <w:t xml:space="preserve">分，满足2点得</w:t>
            </w:r>
            <w:r>
              <w:rPr>
                <w:rFonts w:hint="eastAsia" w:ascii="宋体" w:hAnsi="宋体" w:eastAsia="宋体" w:cs="宋体"/>
                <w:color w:val="auto"/>
                <w:sz w:val="24"/>
                <w:szCs w:val="24"/>
                <w:lang w:val="en-US" w:eastAsia="zh-CN" w:bidi="ar-SA"/>
              </w:rPr>
              <w:t xml:space="preserve">基本分3</w:t>
            </w:r>
            <w:r>
              <w:rPr>
                <w:rFonts w:hint="default" w:ascii="宋体" w:hAnsi="宋体" w:eastAsia="宋体" w:cs="宋体"/>
                <w:color w:val="auto"/>
                <w:sz w:val="24"/>
                <w:szCs w:val="24"/>
                <w:lang w:val="en-US" w:eastAsia="zh-CN" w:bidi="ar-SA"/>
              </w:rPr>
              <w:t xml:space="preserve">分，满足1点得</w:t>
            </w:r>
            <w:r>
              <w:rPr>
                <w:rFonts w:hint="eastAsia" w:ascii="宋体" w:hAnsi="宋体" w:eastAsia="宋体" w:cs="宋体"/>
                <w:color w:val="auto"/>
                <w:sz w:val="24"/>
                <w:szCs w:val="24"/>
                <w:lang w:val="en-US" w:eastAsia="zh-CN" w:bidi="ar-SA"/>
              </w:rPr>
              <w:t xml:space="preserve">基本分1</w:t>
            </w:r>
            <w:r>
              <w:rPr>
                <w:rFonts w:hint="default" w:ascii="宋体" w:hAnsi="宋体" w:eastAsia="宋体" w:cs="宋体"/>
                <w:color w:val="auto"/>
                <w:sz w:val="24"/>
                <w:szCs w:val="24"/>
                <w:lang w:val="en-US" w:eastAsia="zh-CN" w:bidi="ar-SA"/>
              </w:rPr>
              <w:t xml:space="preserve">分，不满足不得分。</w:t>
            </w:r>
            <w:r>
              <w:rPr>
                <w:rFonts w:hint="eastAsia" w:ascii="宋体" w:hAnsi="宋体" w:eastAsia="宋体" w:cs="宋体"/>
                <w:color w:val="auto"/>
                <w:sz w:val="24"/>
                <w:szCs w:val="24"/>
                <w:lang w:val="en-US" w:eastAsia="zh-CN" w:bidi="ar-SA"/>
              </w:rPr>
              <w:t xml:space="preserve">评标委员会根据以上评审要点综合加分（最多加1分），以0.1分为一个计分单位，本项最多得6分。</w:t>
            </w:r>
            <w:r/>
          </w:p>
          <w:p>
            <w:pPr>
              <w:pStyle w:val="669"/>
              <w:numPr>
                <w:ilvl w:val="0"/>
                <w:numId w:val="4"/>
              </w:numPr>
              <w:ind w:left="0" w:right="0" w:firstLine="0"/>
              <w:keepLines w:val="0"/>
              <w:keepNext w:val="0"/>
              <w:pageBreakBefore w:val="0"/>
              <w:spacing w:after="0" w:line="500" w:lineRule="exact"/>
              <w:widowControl w:val="off"/>
              <w:tabs>
                <w:tab w:val="left" w:pos="952"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演示数据管理服务：（5分）</w:t>
            </w:r>
            <w:r/>
          </w:p>
          <w:p>
            <w:pPr>
              <w:pStyle w:val="669"/>
              <w:numPr>
                <w:ilvl w:val="0"/>
                <w:numId w:val="0"/>
              </w:numPr>
              <w:ind w:right="0"/>
              <w:keepLines w:val="0"/>
              <w:keepNext w:val="0"/>
              <w:pageBreakBefore w:val="0"/>
              <w:spacing w:after="0" w:line="500" w:lineRule="exact"/>
              <w:widowControl w:val="off"/>
              <w:tabs>
                <w:tab w:val="left" w:pos="952" w:leader="none"/>
              </w:tabs>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w:t>
            </w:r>
            <w:r>
              <w:rPr>
                <w:rFonts w:hint="default" w:ascii="宋体" w:hAnsi="宋体" w:eastAsia="宋体" w:cs="宋体"/>
                <w:color w:val="auto"/>
                <w:sz w:val="24"/>
                <w:szCs w:val="24"/>
                <w:lang w:val="en-US" w:eastAsia="zh-CN" w:bidi="ar-SA"/>
              </w:rPr>
              <w:t xml:space="preserve">支持基于注册的数据资源，以可视化向导式的方式发布数据服务的功能，具体包含服务的输入参数、服务逻辑、排序逻辑、排序字段等相关服务信息；</w:t>
            </w:r>
            <w:r>
              <w:rPr>
                <w:rFonts w:hint="eastAsia" w:ascii="宋体" w:hAnsi="宋体" w:eastAsia="宋体" w:cs="宋体"/>
                <w:color w:val="auto"/>
                <w:sz w:val="24"/>
                <w:szCs w:val="24"/>
                <w:lang w:val="en-US" w:eastAsia="zh-CN" w:bidi="ar-SA"/>
              </w:rPr>
              <w:t xml:space="preserve">②</w:t>
            </w:r>
            <w:r>
              <w:rPr>
                <w:rFonts w:hint="default" w:ascii="宋体" w:hAnsi="宋体" w:eastAsia="宋体" w:cs="宋体"/>
                <w:color w:val="auto"/>
                <w:sz w:val="24"/>
                <w:szCs w:val="24"/>
                <w:lang w:val="en-US" w:eastAsia="zh-CN" w:bidi="ar-SA"/>
              </w:rPr>
              <w:t xml:space="preserve">图表的形式展示平台开放概览，包括开发者数量、应用数、接口数、调用次数、开发者访问趋势、API调用次数统计、API调用成功失败统计、应用分类；</w:t>
            </w:r>
            <w:r>
              <w:rPr>
                <w:rFonts w:hint="eastAsia" w:ascii="宋体" w:hAnsi="宋体" w:eastAsia="宋体" w:cs="宋体"/>
                <w:color w:val="auto"/>
                <w:sz w:val="24"/>
                <w:szCs w:val="24"/>
                <w:lang w:val="en-US" w:eastAsia="zh-CN" w:bidi="ar-SA"/>
              </w:rPr>
              <w:t xml:space="preserve">③</w:t>
            </w:r>
            <w:r>
              <w:rPr>
                <w:rFonts w:hint="default" w:ascii="宋体" w:hAnsi="宋体" w:eastAsia="宋体" w:cs="宋体"/>
                <w:color w:val="auto"/>
                <w:sz w:val="24"/>
                <w:szCs w:val="24"/>
                <w:lang w:val="en-US" w:eastAsia="zh-CN" w:bidi="ar-SA"/>
              </w:rPr>
              <w:t xml:space="preserve">支持第三方服务的注册以及服务的上线审核、下线、停用、启用、删除等统一的服务管理功能；</w:t>
            </w:r>
            <w:r>
              <w:rPr>
                <w:rFonts w:hint="eastAsia" w:ascii="宋体" w:hAnsi="宋体" w:eastAsia="宋体" w:cs="宋体"/>
                <w:color w:val="auto"/>
                <w:sz w:val="24"/>
                <w:szCs w:val="24"/>
                <w:lang w:val="en-US" w:eastAsia="zh-CN" w:bidi="ar-SA"/>
              </w:rPr>
              <w:t xml:space="preserve">④</w:t>
            </w:r>
            <w:r>
              <w:rPr>
                <w:rFonts w:hint="default" w:ascii="宋体" w:hAnsi="宋体" w:eastAsia="宋体" w:cs="宋体"/>
                <w:color w:val="auto"/>
                <w:sz w:val="24"/>
                <w:szCs w:val="24"/>
                <w:lang w:val="en-US" w:eastAsia="zh-CN" w:bidi="ar-SA"/>
              </w:rPr>
              <w:t xml:space="preserve">支持对服务申请审批流程的自定义；</w:t>
            </w:r>
            <w:r>
              <w:rPr>
                <w:rFonts w:hint="eastAsia" w:ascii="宋体" w:hAnsi="宋体" w:eastAsia="宋体" w:cs="宋体"/>
                <w:color w:val="auto"/>
                <w:sz w:val="24"/>
                <w:szCs w:val="24"/>
                <w:lang w:val="en-US" w:eastAsia="zh-CN" w:bidi="ar-SA"/>
              </w:rPr>
              <w:t xml:space="preserve">⑤</w:t>
            </w:r>
            <w:r>
              <w:rPr>
                <w:rFonts w:hint="default" w:ascii="宋体" w:hAnsi="宋体" w:eastAsia="宋体" w:cs="宋体"/>
                <w:color w:val="auto"/>
                <w:sz w:val="24"/>
                <w:szCs w:val="24"/>
                <w:lang w:val="en-US" w:eastAsia="zh-CN" w:bidi="ar-SA"/>
              </w:rPr>
              <w:t xml:space="preserve">支持现有服务的模拟调用功能；</w:t>
            </w:r>
            <w:r>
              <w:rPr>
                <w:rFonts w:hint="eastAsia" w:ascii="宋体" w:hAnsi="宋体" w:eastAsia="宋体" w:cs="宋体"/>
                <w:color w:val="auto"/>
                <w:sz w:val="24"/>
                <w:szCs w:val="24"/>
                <w:lang w:val="en-US" w:eastAsia="zh-CN" w:bidi="ar-SA"/>
              </w:rPr>
              <w:t xml:space="preserve">⑥</w:t>
            </w:r>
            <w:r>
              <w:rPr>
                <w:rFonts w:hint="default" w:ascii="宋体" w:hAnsi="宋体" w:eastAsia="宋体" w:cs="宋体"/>
                <w:color w:val="auto"/>
                <w:sz w:val="24"/>
                <w:szCs w:val="24"/>
                <w:lang w:val="en-US" w:eastAsia="zh-CN" w:bidi="ar-SA"/>
              </w:rPr>
              <w:t xml:space="preserve">支持通过TCP 212协议对外开放的数据对接</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演示内容全部满足6点得</w:t>
            </w:r>
            <w:r>
              <w:rPr>
                <w:rFonts w:hint="eastAsia" w:ascii="宋体" w:hAnsi="宋体" w:eastAsia="宋体" w:cs="宋体"/>
                <w:color w:val="auto"/>
                <w:sz w:val="24"/>
                <w:szCs w:val="24"/>
                <w:lang w:val="en-US" w:eastAsia="zh-CN" w:bidi="ar-SA"/>
              </w:rPr>
              <w:t xml:space="preserve">基本分4</w:t>
            </w:r>
            <w:r>
              <w:rPr>
                <w:rFonts w:hint="default" w:ascii="宋体" w:hAnsi="宋体" w:eastAsia="宋体" w:cs="宋体"/>
                <w:color w:val="auto"/>
                <w:sz w:val="24"/>
                <w:szCs w:val="24"/>
                <w:lang w:val="en-US" w:eastAsia="zh-CN" w:bidi="ar-SA"/>
              </w:rPr>
              <w:t xml:space="preserve">分；满足3</w:t>
            </w:r>
            <w:r>
              <w:rPr>
                <w:rFonts w:hint="eastAsia" w:ascii="宋体" w:hAnsi="宋体" w:eastAsia="宋体" w:cs="宋体"/>
                <w:color w:val="auto"/>
                <w:sz w:val="24"/>
                <w:szCs w:val="24"/>
                <w:lang w:val="en-US" w:eastAsia="zh-CN" w:bidi="ar-SA"/>
              </w:rPr>
              <w:t xml:space="preserve">至</w:t>
            </w:r>
            <w:r>
              <w:rPr>
                <w:rFonts w:hint="default" w:ascii="宋体" w:hAnsi="宋体" w:eastAsia="宋体" w:cs="宋体"/>
                <w:color w:val="auto"/>
                <w:sz w:val="24"/>
                <w:szCs w:val="24"/>
                <w:lang w:val="en-US" w:eastAsia="zh-CN" w:bidi="ar-SA"/>
              </w:rPr>
              <w:t xml:space="preserve">5点得</w:t>
            </w:r>
            <w:r>
              <w:rPr>
                <w:rFonts w:hint="eastAsia" w:ascii="宋体" w:hAnsi="宋体" w:eastAsia="宋体" w:cs="宋体"/>
                <w:color w:val="auto"/>
                <w:sz w:val="24"/>
                <w:szCs w:val="24"/>
                <w:lang w:val="en-US" w:eastAsia="zh-CN" w:bidi="ar-SA"/>
              </w:rPr>
              <w:t xml:space="preserve">基本分2</w:t>
            </w:r>
            <w:r>
              <w:rPr>
                <w:rFonts w:hint="default" w:ascii="宋体" w:hAnsi="宋体" w:eastAsia="宋体" w:cs="宋体"/>
                <w:color w:val="auto"/>
                <w:sz w:val="24"/>
                <w:szCs w:val="24"/>
                <w:lang w:val="en-US" w:eastAsia="zh-CN" w:bidi="ar-SA"/>
              </w:rPr>
              <w:t xml:space="preserve">分；满足1</w:t>
            </w:r>
            <w:r>
              <w:rPr>
                <w:rFonts w:hint="eastAsia" w:ascii="宋体" w:hAnsi="宋体" w:eastAsia="宋体" w:cs="宋体"/>
                <w:color w:val="auto"/>
                <w:sz w:val="24"/>
                <w:szCs w:val="24"/>
                <w:lang w:val="en-US" w:eastAsia="zh-CN" w:bidi="ar-SA"/>
              </w:rPr>
              <w:t xml:space="preserve">至</w:t>
            </w:r>
            <w:r>
              <w:rPr>
                <w:rFonts w:hint="default" w:ascii="宋体" w:hAnsi="宋体" w:eastAsia="宋体" w:cs="宋体"/>
                <w:color w:val="auto"/>
                <w:sz w:val="24"/>
                <w:szCs w:val="24"/>
                <w:lang w:val="en-US" w:eastAsia="zh-CN" w:bidi="ar-SA"/>
              </w:rPr>
              <w:t xml:space="preserve">2点得</w:t>
            </w:r>
            <w:r>
              <w:rPr>
                <w:rFonts w:hint="eastAsia" w:ascii="宋体" w:hAnsi="宋体" w:eastAsia="宋体" w:cs="宋体"/>
                <w:color w:val="auto"/>
                <w:sz w:val="24"/>
                <w:szCs w:val="24"/>
                <w:lang w:val="en-US" w:eastAsia="zh-CN" w:bidi="ar-SA"/>
              </w:rPr>
              <w:t xml:space="preserve">基本分</w:t>
            </w:r>
            <w:r>
              <w:rPr>
                <w:rFonts w:hint="default" w:ascii="宋体" w:hAnsi="宋体" w:eastAsia="宋体" w:cs="宋体"/>
                <w:color w:val="auto"/>
                <w:sz w:val="24"/>
                <w:szCs w:val="24"/>
                <w:lang w:val="en-US" w:eastAsia="zh-CN" w:bidi="ar-SA"/>
              </w:rPr>
              <w:t xml:space="preserve">1分；满足少于1点不得分。</w:t>
            </w:r>
            <w:r>
              <w:rPr>
                <w:rFonts w:hint="eastAsia" w:ascii="宋体" w:hAnsi="宋体" w:eastAsia="宋体" w:cs="宋体"/>
                <w:color w:val="auto"/>
                <w:sz w:val="24"/>
                <w:szCs w:val="24"/>
                <w:lang w:val="en-US" w:eastAsia="zh-CN" w:bidi="ar-SA"/>
              </w:rPr>
              <w:t xml:space="preserve">评标委员会根据以上评审要点综合加分（最多加1分），以0.1分为一个计分单位，本项最多得5分。</w:t>
            </w:r>
            <w:r/>
          </w:p>
        </w:tc>
      </w:tr>
      <w:tr>
        <w:trPr>
          <w:jc w:val="center"/>
          <w:trHeight w:val="1224"/>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keepLines w:val="0"/>
              <w:keepNext w:val="0"/>
              <w:pageBreakBefore w:val="0"/>
              <w:spacing w:line="500" w:lineRule="exact"/>
              <w:rPr>
                <w:rFonts w:hint="default"/>
                <w:color w:val="auto"/>
                <w:sz w:val="21"/>
                <w:szCs w:val="21"/>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08" w:type="dxa"/>
            <w:vAlign w:val="center"/>
            <w:textDirection w:val="lrTb"/>
            <w:noWrap w:val="false"/>
          </w:tcPr>
          <w:p>
            <w:pPr>
              <w:pStyle w:val="683"/>
              <w:ind w:left="103" w:right="4"/>
              <w:jc w:val="center"/>
              <w:keepLines w:val="0"/>
              <w:keepNext w:val="0"/>
              <w:pageBreakBefore w:val="0"/>
              <w:spacing w:before="3" w:line="500" w:lineRule="exact"/>
              <w:rPr>
                <w:color w:val="auto"/>
                <w:sz w:val="21"/>
                <w:szCs w:val="21"/>
                <w:highlight w:val="none"/>
                <w:lang w:eastAsia="zh-CN"/>
              </w:rPr>
            </w:pPr>
            <w:r>
              <w:rPr>
                <w:rFonts w:hint="eastAsia" w:ascii="宋体" w:hAnsi="宋体" w:eastAsia="宋体" w:cs="宋体"/>
                <w:b w:val="0"/>
                <w:bCs/>
                <w:color w:val="auto"/>
                <w:sz w:val="24"/>
                <w:szCs w:val="24"/>
              </w:rPr>
              <w:t xml:space="preserve">服务保障要求</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16分</w:t>
            </w:r>
            <w:r>
              <w:rPr>
                <w:rFonts w:hint="eastAsia" w:ascii="宋体" w:hAnsi="宋体" w:eastAsia="宋体" w:cs="宋体"/>
                <w:b w:val="0"/>
                <w:bCs/>
                <w:color w:val="auto"/>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6856" w:type="dxa"/>
            <w:vAlign w:val="center"/>
            <w:textDirection w:val="lrTb"/>
            <w:noWrap w:val="false"/>
          </w:tcPr>
          <w:p>
            <w:pPr>
              <w:numPr>
                <w:ilvl w:val="0"/>
                <w:numId w:val="5"/>
              </w:numPr>
              <w:ind w:right="0"/>
              <w:jc w:val="both"/>
              <w:keepLines w:val="0"/>
              <w:keepNext w:val="0"/>
              <w:pageBreakBefore w:val="0"/>
              <w:spacing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项目负责人要求（3分）</w:t>
            </w:r>
            <w:r/>
          </w:p>
          <w:p>
            <w:pPr>
              <w:pStyle w:val="661"/>
              <w:numPr>
                <w:ilvl w:val="0"/>
                <w:numId w:val="0"/>
              </w:numPr>
              <w:keepLines w:val="0"/>
              <w:keepNext w:val="0"/>
              <w:pageBreakBefore w:val="0"/>
              <w:spacing w:line="50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拟派往本项目的项目负责人须具备计算机软件类研究生学历、同时具有电子信息类高级</w:t>
            </w:r>
            <w:r>
              <w:rPr>
                <w:rFonts w:hint="eastAsia" w:ascii="宋体" w:hAnsi="宋体" w:eastAsia="宋体" w:cs="宋体"/>
                <w:color w:val="auto"/>
                <w:sz w:val="24"/>
                <w:szCs w:val="24"/>
                <w:lang w:val="en-US" w:eastAsia="zh-CN" w:bidi="ar-SA"/>
              </w:rPr>
              <w:t xml:space="preserve">及以上</w:t>
            </w:r>
            <w:r>
              <w:rPr>
                <w:rFonts w:hint="default" w:ascii="宋体" w:hAnsi="宋体" w:eastAsia="宋体" w:cs="宋体"/>
                <w:color w:val="auto"/>
                <w:sz w:val="24"/>
                <w:szCs w:val="24"/>
                <w:lang w:val="en-US" w:eastAsia="zh-CN" w:bidi="ar-SA"/>
              </w:rPr>
              <w:t xml:space="preserve">工程师</w:t>
            </w:r>
            <w:r>
              <w:rPr>
                <w:rFonts w:hint="eastAsia" w:ascii="宋体" w:hAnsi="宋体" w:eastAsia="宋体" w:cs="宋体"/>
                <w:color w:val="auto"/>
                <w:sz w:val="24"/>
                <w:szCs w:val="24"/>
                <w:lang w:val="en-US" w:eastAsia="zh-CN" w:bidi="ar-SA"/>
              </w:rPr>
              <w:t xml:space="preserve">职称证书，</w:t>
            </w:r>
            <w:r>
              <w:rPr>
                <w:rFonts w:hint="default" w:ascii="宋体" w:hAnsi="宋体" w:eastAsia="宋体" w:cs="宋体"/>
                <w:color w:val="auto"/>
                <w:sz w:val="24"/>
                <w:szCs w:val="24"/>
                <w:lang w:val="en-US" w:eastAsia="zh-CN" w:bidi="ar-SA"/>
              </w:rPr>
              <w:t xml:space="preserve">全部满足得</w:t>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分，否则不得分。（项目负责人仅为</w:t>
            </w: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人，投标文件中需提供相关材料</w:t>
            </w:r>
            <w:r>
              <w:rPr>
                <w:rFonts w:hint="eastAsia" w:ascii="宋体" w:hAnsi="宋体" w:eastAsia="宋体" w:cs="宋体"/>
                <w:color w:val="auto"/>
                <w:sz w:val="24"/>
                <w:szCs w:val="24"/>
                <w:lang w:val="en-US" w:eastAsia="zh-CN" w:bidi="ar-SA"/>
              </w:rPr>
              <w:t xml:space="preserve">彩色扫描件</w:t>
            </w:r>
            <w:r>
              <w:rPr>
                <w:rFonts w:hint="default" w:ascii="宋体" w:hAnsi="宋体" w:eastAsia="宋体" w:cs="宋体"/>
                <w:color w:val="auto"/>
                <w:sz w:val="24"/>
                <w:szCs w:val="24"/>
                <w:lang w:val="en-US" w:eastAsia="zh-CN" w:bidi="ar-SA"/>
              </w:rPr>
              <w:t xml:space="preserve">并加盖投标人公章，</w:t>
            </w:r>
            <w:r>
              <w:rPr>
                <w:rFonts w:hint="eastAsia" w:ascii="宋体" w:hAnsi="宋体" w:eastAsia="宋体" w:cs="宋体"/>
                <w:color w:val="auto"/>
                <w:sz w:val="24"/>
                <w:szCs w:val="24"/>
                <w:highlight w:val="none"/>
                <w:lang w:val="en-US" w:eastAsia="zh-CN"/>
              </w:rPr>
              <w:t xml:space="preserve">并提供在社保部门出具的近3个月内任意1个月为其缴纳社保证明等扫描件</w:t>
            </w:r>
            <w:r>
              <w:rPr>
                <w:rFonts w:hint="default" w:ascii="宋体" w:hAnsi="宋体" w:eastAsia="宋体" w:cs="宋体"/>
                <w:color w:val="auto"/>
                <w:sz w:val="24"/>
                <w:szCs w:val="24"/>
                <w:lang w:val="en-US" w:eastAsia="zh-CN" w:bidi="ar-SA"/>
              </w:rPr>
              <w:t xml:space="preserve">，不提供的不得分）</w:t>
            </w:r>
            <w:r/>
          </w:p>
          <w:p>
            <w:pPr>
              <w:pStyle w:val="664"/>
              <w:numPr>
                <w:ilvl w:val="0"/>
                <w:numId w:val="5"/>
              </w:numPr>
              <w:ind w:left="0" w:firstLine="0"/>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项目成员要求（</w:t>
            </w:r>
            <w:r>
              <w:rPr>
                <w:rFonts w:hint="eastAsia" w:hAnsi="宋体" w:eastAsia="宋体" w:cs="宋体"/>
                <w:color w:val="auto"/>
                <w:sz w:val="24"/>
                <w:szCs w:val="24"/>
                <w:lang w:val="en-US" w:eastAsia="zh-CN" w:bidi="ar-SA"/>
              </w:rPr>
              <w:t xml:space="preserve">13</w:t>
            </w:r>
            <w:r>
              <w:rPr>
                <w:rFonts w:hint="eastAsia" w:ascii="宋体" w:hAnsi="宋体" w:eastAsia="宋体" w:cs="宋体"/>
                <w:color w:val="auto"/>
                <w:sz w:val="24"/>
                <w:szCs w:val="24"/>
                <w:lang w:val="en-US" w:eastAsia="zh-CN" w:bidi="ar-SA"/>
              </w:rPr>
              <w:t xml:space="preserve">分）</w:t>
            </w:r>
            <w:r/>
          </w:p>
          <w:p>
            <w:pPr>
              <w:pStyle w:val="664"/>
              <w:numPr>
                <w:ilvl w:val="0"/>
                <w:numId w:val="0"/>
              </w:numPr>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本项目建设重难点在于大气业务系统需求的理解与梳理，需对大气环境质量考核及管理等有深刻的行业理解，拟投入本项目的主要项目成员须具备较高的环保业务积累，主要项目成员（项目负责人除外）每具备1个环保类高级</w:t>
            </w:r>
            <w:r>
              <w:rPr>
                <w:rFonts w:hint="eastAsia" w:hAnsi="宋体" w:eastAsia="宋体" w:cs="宋体"/>
                <w:color w:val="auto"/>
                <w:sz w:val="24"/>
                <w:szCs w:val="24"/>
                <w:lang w:val="en-US" w:eastAsia="zh-CN" w:bidi="ar-SA"/>
              </w:rPr>
              <w:t xml:space="preserve">及以上</w:t>
            </w:r>
            <w:r>
              <w:rPr>
                <w:rFonts w:hint="eastAsia" w:ascii="宋体" w:hAnsi="宋体" w:eastAsia="宋体" w:cs="宋体"/>
                <w:color w:val="auto"/>
                <w:sz w:val="24"/>
                <w:szCs w:val="24"/>
                <w:lang w:val="en-US" w:eastAsia="zh-CN" w:bidi="ar-SA"/>
              </w:rPr>
              <w:t xml:space="preserve">工程师专业技术职称得1分，不具备不得分，本项最高得4分。（投标文件中需提供上述成员技术职称及相关等级证书彩色扫描件并加盖投标人公章，</w:t>
            </w:r>
            <w:r>
              <w:rPr>
                <w:rFonts w:hint="eastAsia" w:ascii="宋体" w:hAnsi="宋体" w:eastAsia="宋体" w:cs="宋体"/>
                <w:color w:val="auto"/>
                <w:sz w:val="24"/>
                <w:szCs w:val="24"/>
                <w:highlight w:val="none"/>
                <w:lang w:val="en-US" w:eastAsia="zh-CN"/>
              </w:rPr>
              <w:t xml:space="preserve">并提供在社保部门出具的近3个月内任意1个月为其缴纳社保证明等扫描件</w:t>
            </w:r>
            <w:r>
              <w:rPr>
                <w:rFonts w:hint="default" w:ascii="宋体" w:hAnsi="宋体" w:eastAsia="宋体" w:cs="宋体"/>
                <w:color w:val="auto"/>
                <w:sz w:val="24"/>
                <w:szCs w:val="24"/>
                <w:lang w:val="en-US" w:eastAsia="zh-CN" w:bidi="ar-SA"/>
              </w:rPr>
              <w:t xml:space="preserve">，不提供的不得分</w:t>
            </w:r>
            <w:r>
              <w:rPr>
                <w:rFonts w:hint="eastAsia" w:ascii="宋体" w:hAnsi="宋体" w:eastAsia="宋体" w:cs="宋体"/>
                <w:color w:val="auto"/>
                <w:sz w:val="24"/>
                <w:szCs w:val="24"/>
                <w:lang w:val="en-US" w:eastAsia="zh-CN" w:bidi="ar-SA"/>
              </w:rPr>
              <w:t xml:space="preserve">）</w:t>
            </w:r>
            <w:r/>
          </w:p>
          <w:p>
            <w:pPr>
              <w:pStyle w:val="664"/>
              <w:numPr>
                <w:ilvl w:val="0"/>
                <w:numId w:val="0"/>
              </w:numPr>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2.2拟投入本项目的主要成员组成需包含与本项目相关的多种专业知识，主要项目成员（项目负责人除外）专业能力要求：</w:t>
            </w:r>
            <w:r/>
          </w:p>
          <w:p>
            <w:pPr>
              <w:pStyle w:val="664"/>
              <w:numPr>
                <w:ilvl w:val="0"/>
                <w:numId w:val="0"/>
              </w:numPr>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①具有计算机相关专业研究生学历</w:t>
            </w:r>
            <w:r>
              <w:rPr>
                <w:rFonts w:hint="eastAsia" w:hAnsi="宋体" w:eastAsia="宋体" w:cs="宋体"/>
                <w:color w:val="auto"/>
                <w:sz w:val="24"/>
                <w:szCs w:val="24"/>
                <w:lang w:val="en-US" w:eastAsia="zh-CN" w:bidi="ar-SA"/>
              </w:rPr>
              <w:t xml:space="preserve">，每人得1分，最多得3分</w:t>
            </w:r>
            <w:r>
              <w:rPr>
                <w:rFonts w:hint="eastAsia" w:ascii="宋体" w:hAnsi="宋体" w:eastAsia="宋体" w:cs="宋体"/>
                <w:color w:val="auto"/>
                <w:sz w:val="24"/>
                <w:szCs w:val="24"/>
                <w:lang w:val="en-US" w:eastAsia="zh-CN" w:bidi="ar-SA"/>
              </w:rPr>
              <w:t xml:space="preserve">；</w:t>
            </w:r>
            <w:r/>
          </w:p>
          <w:p>
            <w:pPr>
              <w:pStyle w:val="664"/>
              <w:numPr>
                <w:ilvl w:val="0"/>
                <w:numId w:val="0"/>
              </w:numPr>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②具有地图学与地理信息系统类或3S集成类相关专业研究生学历</w:t>
            </w:r>
            <w:r>
              <w:rPr>
                <w:rFonts w:hint="eastAsia" w:hAnsi="宋体" w:eastAsia="宋体" w:cs="宋体"/>
                <w:color w:val="auto"/>
                <w:sz w:val="24"/>
                <w:szCs w:val="24"/>
                <w:lang w:val="en-US" w:eastAsia="zh-CN" w:bidi="ar-SA"/>
              </w:rPr>
              <w:t xml:space="preserve">，每人得1分，最多得3分</w:t>
            </w:r>
            <w:r>
              <w:rPr>
                <w:rFonts w:hint="eastAsia" w:ascii="宋体" w:hAnsi="宋体" w:eastAsia="宋体" w:cs="宋体"/>
                <w:color w:val="auto"/>
                <w:sz w:val="24"/>
                <w:szCs w:val="24"/>
                <w:lang w:val="en-US" w:eastAsia="zh-CN" w:bidi="ar-SA"/>
              </w:rPr>
              <w:t xml:space="preserve">；</w:t>
            </w:r>
            <w:r/>
          </w:p>
          <w:p>
            <w:pPr>
              <w:pStyle w:val="664"/>
              <w:numPr>
                <w:ilvl w:val="0"/>
                <w:numId w:val="0"/>
              </w:numPr>
              <w:keepLines w:val="0"/>
              <w:keepNext w:val="0"/>
              <w:pageBreakBefore w:val="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③具有环境类相关专业研究生学历</w:t>
            </w:r>
            <w:r>
              <w:rPr>
                <w:rFonts w:hint="eastAsia" w:hAnsi="宋体" w:eastAsia="宋体" w:cs="宋体"/>
                <w:color w:val="auto"/>
                <w:sz w:val="24"/>
                <w:szCs w:val="24"/>
                <w:lang w:val="en-US" w:eastAsia="zh-CN" w:bidi="ar-SA"/>
              </w:rPr>
              <w:t xml:space="preserve">，每人得1分，最多得3分</w:t>
            </w:r>
            <w:r>
              <w:rPr>
                <w:rFonts w:hint="eastAsia" w:ascii="宋体" w:hAnsi="宋体" w:eastAsia="宋体" w:cs="宋体"/>
                <w:color w:val="auto"/>
                <w:sz w:val="24"/>
                <w:szCs w:val="24"/>
                <w:lang w:val="en-US" w:eastAsia="zh-CN" w:bidi="ar-SA"/>
              </w:rPr>
              <w:t xml:space="preserve">。</w:t>
            </w:r>
            <w:r/>
          </w:p>
          <w:p>
            <w:pPr>
              <w:pStyle w:val="664"/>
              <w:numPr>
                <w:ilvl w:val="0"/>
                <w:numId w:val="0"/>
              </w:numPr>
              <w:keepLines w:val="0"/>
              <w:keepNext w:val="0"/>
              <w:pageBreakBefore w:val="0"/>
              <w:spacing w:line="50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以上得分点不重复得分，本项最高</w:t>
            </w:r>
            <w:r>
              <w:rPr>
                <w:rFonts w:hint="eastAsia" w:hAnsi="宋体" w:eastAsia="宋体" w:cs="宋体"/>
                <w:color w:val="auto"/>
                <w:sz w:val="24"/>
                <w:szCs w:val="24"/>
                <w:lang w:val="en-US" w:eastAsia="zh-CN" w:bidi="ar-SA"/>
              </w:rPr>
              <w:t xml:space="preserve">9</w:t>
            </w:r>
            <w:r>
              <w:rPr>
                <w:rFonts w:hint="eastAsia" w:ascii="宋体" w:hAnsi="宋体" w:eastAsia="宋体" w:cs="宋体"/>
                <w:color w:val="auto"/>
                <w:sz w:val="24"/>
                <w:szCs w:val="24"/>
                <w:lang w:val="en-US" w:eastAsia="zh-CN" w:bidi="ar-SA"/>
              </w:rPr>
              <w:t xml:space="preserve">分。（投标文件中需提供上述成员相关证明材料彩色扫描件并加盖投标人公章，</w:t>
            </w:r>
            <w:r>
              <w:rPr>
                <w:rFonts w:hint="eastAsia" w:ascii="宋体" w:hAnsi="宋体" w:eastAsia="宋体" w:cs="宋体"/>
                <w:color w:val="auto"/>
                <w:sz w:val="24"/>
                <w:szCs w:val="24"/>
                <w:highlight w:val="none"/>
                <w:lang w:val="en-US" w:eastAsia="zh-CN"/>
              </w:rPr>
              <w:t xml:space="preserve">并提供在社保部门出具的近3个月内任意1个月为其缴纳社保证明等扫描件</w:t>
            </w:r>
            <w:r>
              <w:rPr>
                <w:rFonts w:hint="default" w:ascii="宋体" w:hAnsi="宋体" w:eastAsia="宋体" w:cs="宋体"/>
                <w:color w:val="auto"/>
                <w:sz w:val="24"/>
                <w:szCs w:val="24"/>
                <w:lang w:val="en-US" w:eastAsia="zh-CN" w:bidi="ar-SA"/>
              </w:rPr>
              <w:t xml:space="preserve">，不提供的不得分</w:t>
            </w:r>
            <w:r>
              <w:rPr>
                <w:rFonts w:hint="eastAsia" w:ascii="宋体" w:hAnsi="宋体" w:eastAsia="宋体" w:cs="宋体"/>
                <w:color w:val="auto"/>
                <w:sz w:val="24"/>
                <w:szCs w:val="24"/>
                <w:lang w:val="en-US" w:eastAsia="zh-CN" w:bidi="ar-SA"/>
              </w:rPr>
              <w:t xml:space="preserve">）</w:t>
            </w:r>
            <w:r/>
          </w:p>
        </w:tc>
      </w:tr>
      <w:tr>
        <w:trPr>
          <w:jc w:val="center"/>
          <w:trHeight w:val="1445"/>
        </w:trPr>
        <w:tc>
          <w:tcPr>
            <w:tcBorders>
              <w:top w:val="single" w:color="000000" w:sz="4" w:space="0"/>
              <w:left w:val="single" w:color="auto" w:sz="4" w:space="0"/>
              <w:bottom w:val="single" w:color="000000" w:sz="4" w:space="0"/>
              <w:right w:val="single" w:color="auto" w:sz="4" w:space="0"/>
            </w:tcBorders>
            <w:tcW w:w="1004" w:type="dxa"/>
            <w:vAlign w:val="center"/>
            <w:textDirection w:val="lrTb"/>
            <w:noWrap w:val="false"/>
          </w:tcPr>
          <w:p>
            <w:pPr>
              <w:jc w:val="center"/>
              <w:keepLines w:val="0"/>
              <w:keepNext w:val="0"/>
              <w:pageBreakBefore w:val="0"/>
              <w:spacing w:line="500" w:lineRule="exact"/>
              <w:rPr>
                <w:color w:val="auto"/>
                <w:sz w:val="21"/>
                <w:szCs w:val="21"/>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auto" w:sz="4" w:space="0"/>
              <w:bottom w:val="single" w:color="000000" w:sz="4" w:space="0"/>
              <w:right w:val="single" w:color="auto" w:sz="4" w:space="0"/>
            </w:tcBorders>
            <w:tcW w:w="1608" w:type="dxa"/>
            <w:vAlign w:val="center"/>
            <w:textDirection w:val="lrTb"/>
            <w:noWrap w:val="false"/>
          </w:tcPr>
          <w:p>
            <w:pPr>
              <w:pStyle w:val="683"/>
              <w:ind w:right="4"/>
              <w:jc w:val="center"/>
              <w:keepLines w:val="0"/>
              <w:keepNext w:val="0"/>
              <w:pageBreakBefore w:val="0"/>
              <w:spacing w:before="3" w:line="500" w:lineRule="exact"/>
              <w:rPr>
                <w:color w:val="auto"/>
                <w:sz w:val="21"/>
                <w:szCs w:val="21"/>
                <w:highlight w:val="none"/>
                <w:lang w:eastAsia="zh-CN"/>
              </w:rPr>
            </w:pPr>
            <w:r>
              <w:rPr>
                <w:rFonts w:hint="eastAsia" w:ascii="宋体" w:hAnsi="宋体" w:eastAsia="宋体" w:cs="宋体"/>
                <w:color w:val="auto"/>
                <w:sz w:val="24"/>
                <w:szCs w:val="24"/>
                <w:highlight w:val="none"/>
                <w:lang w:val="en-US" w:eastAsia="zh-CN"/>
              </w:rPr>
              <w:t xml:space="preserve">投标人企业实力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auto" w:sz="4" w:space="0"/>
            </w:tcBorders>
            <w:tcW w:w="6856" w:type="dxa"/>
            <w:vAlign w:val="center"/>
            <w:textDirection w:val="lrTb"/>
            <w:noWrap w:val="false"/>
          </w:tcPr>
          <w:p>
            <w:pPr>
              <w:numPr>
                <w:ilvl w:val="0"/>
                <w:numId w:val="6"/>
              </w:numPr>
              <w:jc w:val="left"/>
              <w:keepLines w:val="0"/>
              <w:keepNext w:val="0"/>
              <w:pageBreakBefore w:val="0"/>
              <w:spacing w:line="500" w:lineRule="exact"/>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相关体系情况（12分）</w:t>
            </w:r>
            <w:r/>
          </w:p>
          <w:p>
            <w:pPr>
              <w:pStyle w:val="661"/>
              <w:numPr>
                <w:ilvl w:val="0"/>
                <w:numId w:val="0"/>
              </w:numPr>
              <w:keepLines w:val="0"/>
              <w:keepNext w:val="0"/>
              <w:pageBreakBefore w:val="0"/>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投标人提供有效期内ISO9001质量管理体系认证证书、ISO14001环境管理体系认证证书、ISO45001职业健康安全管理体系认证证书，每提供1个证书得1分，最高得3分，未提供不得分。（证书须在有效期内，需提供证书复印件并加盖投标人公章，不提供则相应项不得分）</w:t>
            </w:r>
            <w:r/>
          </w:p>
          <w:p>
            <w:pPr>
              <w:pStyle w:val="664"/>
              <w:ind w:left="0" w:firstLine="0"/>
              <w:keepLines w:val="0"/>
              <w:keepNext w:val="0"/>
              <w:pageBreakBefore w:val="0"/>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投标人具有有效期内信息技术体系ISO20000认证（证书范围包括环境科学类软件运行维护的服务管理体系）、信息安全管理体系的ISO27001认证（证书覆盖范围包括环境科学类软件开发、测试、运维相关的信息安全管理活动）、信息技术服务标准符合性证书（证书覆盖范围包括运行维护），每提供1个证书得1分，最高得3分，未提供不得分。注：所提供证书认证范围名称与评分要求不同时，应提供功能说明及包含的关键信息，相应系统功能应符合上述要求，否则不予认可。</w:t>
            </w:r>
            <w:r/>
          </w:p>
          <w:p>
            <w:pPr>
              <w:pStyle w:val="664"/>
              <w:ind w:left="0" w:firstLine="0"/>
              <w:keepLines w:val="0"/>
              <w:keepNext w:val="0"/>
              <w:pageBreakBefore w:val="0"/>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投标人具备自主可控的国产化生态环境数据管理工具，持有环境大数据中台省级或以上信息安全测评中心颁发的信息技术应用创新产品适配性测试相关证书的得2分，未提供不得分（须为投标人自有，并提供相关证书扫描件，未提供的不得分）。</w:t>
            </w:r>
            <w:r/>
          </w:p>
          <w:p>
            <w:pPr>
              <w:pStyle w:val="664"/>
              <w:ind w:left="0" w:firstLine="0"/>
              <w:keepLines w:val="0"/>
              <w:keepNext w:val="0"/>
              <w:pageBreakBefore w:val="0"/>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1.4投标人提供的环境大数据相关产品需能够接入大气相关各类数据；支持通过HJ212协议对接各类监测设施。提供CNAS功能测试证明材料得2分，未提供不得分（须为投标人自有，并提供相关报告扫描件，未提供的不得分）</w:t>
            </w:r>
            <w:r/>
          </w:p>
          <w:p>
            <w:pPr>
              <w:pStyle w:val="664"/>
              <w:ind w:left="0" w:firstLine="0"/>
              <w:keepLines w:val="0"/>
              <w:keepNext w:val="0"/>
              <w:pageBreakBefore w:val="0"/>
              <w:spacing w:line="500" w:lineRule="exact"/>
              <w:widowControl/>
              <w:rPr>
                <w:rFonts w:hint="default" w:ascii="宋体" w:hAnsi="宋体" w:eastAsia="宋体" w:cs="宋体"/>
                <w:color w:val="auto"/>
                <w:sz w:val="24"/>
                <w:szCs w:val="24"/>
                <w:lang w:val="en-US" w:eastAsia="zh-CN" w:bidi="ar-SA"/>
              </w:rPr>
            </w:pPr>
            <w:r>
              <w:rPr>
                <w:rFonts w:hint="eastAsia" w:hAnsi="宋体" w:eastAsia="宋体" w:cs="宋体"/>
                <w:color w:val="auto"/>
                <w:sz w:val="24"/>
                <w:szCs w:val="24"/>
                <w:lang w:val="en-US" w:eastAsia="zh-CN" w:bidi="ar-SA"/>
              </w:rPr>
              <w:t xml:space="preserve">1.5</w:t>
            </w:r>
            <w:r>
              <w:rPr>
                <w:rFonts w:hint="eastAsia" w:ascii="宋体" w:hAnsi="宋体" w:eastAsia="宋体" w:cs="宋体"/>
                <w:color w:val="auto"/>
                <w:sz w:val="24"/>
                <w:szCs w:val="24"/>
                <w:lang w:val="en-US" w:eastAsia="zh-CN" w:bidi="ar-SA"/>
              </w:rPr>
              <w:t xml:space="preserve">投标人提供与本次项目相关的计算机软件著作权证书，证书能包含相关“大数据中台”类、“环境质量”类、“污染源”类、“生态环境质量综合评价”类、“精准分析”类相关能力的，以上5个具备5个得</w:t>
            </w:r>
            <w:r>
              <w:rPr>
                <w:rFonts w:hint="eastAsia"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分，具备3至4个得</w:t>
            </w:r>
            <w:r>
              <w:rPr>
                <w:rFonts w:hint="eastAsia"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分，具备1至2个得</w:t>
            </w:r>
            <w:r>
              <w:rPr>
                <w:rFonts w:hint="eastAsia" w:hAnsi="宋体" w:eastAsia="宋体" w:cs="宋体"/>
                <w:color w:val="auto"/>
                <w:sz w:val="24"/>
                <w:szCs w:val="24"/>
                <w:lang w:val="en-US" w:eastAsia="zh-CN" w:bidi="ar-SA"/>
              </w:rPr>
              <w:t xml:space="preserve">0.5</w:t>
            </w:r>
            <w:r>
              <w:rPr>
                <w:rFonts w:hint="eastAsia" w:ascii="宋体" w:hAnsi="宋体" w:eastAsia="宋体" w:cs="宋体"/>
                <w:color w:val="auto"/>
                <w:sz w:val="24"/>
                <w:szCs w:val="24"/>
                <w:lang w:val="en-US" w:eastAsia="zh-CN" w:bidi="ar-SA"/>
              </w:rPr>
              <w:t xml:space="preserve">分，没有不得分（须为投标人自有，经授权取得的不得分，软件著作权须在招标文件挂网公示日之前取得，提供证书复印件并加盖投标人公章，若未提供则不列入得分点）。</w:t>
            </w:r>
            <w:r/>
          </w:p>
          <w:p>
            <w:pPr>
              <w:pStyle w:val="664"/>
              <w:ind w:left="0" w:firstLine="0"/>
              <w:keepLines w:val="0"/>
              <w:keepNext w:val="0"/>
              <w:pageBreakBefore w:val="0"/>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2、奖项荣誉情况（</w:t>
            </w:r>
            <w:r>
              <w:rPr>
                <w:rFonts w:hint="eastAsia"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分）</w:t>
            </w:r>
            <w:r/>
          </w:p>
          <w:p>
            <w:pPr>
              <w:pStyle w:val="664"/>
              <w:ind w:left="0" w:firstLine="0"/>
              <w:keepLines w:val="0"/>
              <w:keepNext w:val="0"/>
              <w:pageBreakBefore w:val="0"/>
              <w:spacing w:line="5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2020年1月1日以来，投标人或其拟投入本项目的项目组人员获得省级及以上相关主管部门颁发的环境类信息技术相关奖项，每提供1个得1分，最高得3分，没有不得分。（提供获奖证书复印件或相关获奖公开证据并加盖投标人公章，个人奖项需同时提供获奖人员近3个月投标人为获奖人员缴纳的社保证明材料，以上材料若不提供则相应项不得分）</w:t>
            </w:r>
            <w:r/>
          </w:p>
        </w:tc>
      </w:tr>
      <w:tr>
        <w:trPr>
          <w:jc w:val="center"/>
          <w:trHeight w:val="605"/>
        </w:trPr>
        <w:tc>
          <w:tcPr>
            <w:tcBorders>
              <w:top w:val="single" w:color="000000" w:sz="4" w:space="0"/>
              <w:left w:val="single" w:color="auto" w:sz="4" w:space="0"/>
              <w:bottom w:val="single" w:color="000000" w:sz="4" w:space="0"/>
              <w:right w:val="single" w:color="auto" w:sz="4" w:space="0"/>
            </w:tcBorders>
            <w:tcW w:w="100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auto" w:sz="4" w:space="0"/>
              <w:bottom w:val="single" w:color="000000" w:sz="4" w:space="0"/>
              <w:right w:val="single" w:color="auto" w:sz="4" w:space="0"/>
            </w:tcBorders>
            <w:tcW w:w="160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投标人项目业绩</w:t>
            </w:r>
            <w:r/>
          </w:p>
          <w:p>
            <w:pPr>
              <w:jc w:val="center"/>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tc>
        <w:tc>
          <w:tcPr>
            <w:tcBorders>
              <w:top w:val="single" w:color="000000" w:sz="4" w:space="0"/>
              <w:left w:val="single" w:color="auto" w:sz="4" w:space="0"/>
              <w:bottom w:val="single" w:color="000000" w:sz="4" w:space="0"/>
              <w:right w:val="single" w:color="auto" w:sz="4" w:space="0"/>
            </w:tcBorders>
            <w:tcW w:w="6856" w:type="dxa"/>
            <w:vAlign w:val="center"/>
            <w:textDirection w:val="lrTb"/>
            <w:noWrap w:val="false"/>
          </w:tcPr>
          <w:p>
            <w:pPr>
              <w:numPr>
                <w:ilvl w:val="0"/>
                <w:numId w:val="7"/>
              </w:numPr>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投标人2020年1月1日以来承接过类似生态环境信息化建设项目的，每提供1个案例合同得1分，最高得4分（上述内容提供相关项目合同彩色扫描件并加盖投标人公章，提供的材料未能体现上述项目信息不予认可）。</w:t>
            </w:r>
            <w:r/>
          </w:p>
          <w:p>
            <w:pPr>
              <w:numPr>
                <w:ilvl w:val="0"/>
                <w:numId w:val="7"/>
              </w:numPr>
              <w:jc w:val="left"/>
              <w:keepLines w:val="0"/>
              <w:keepNext w:val="0"/>
              <w:pageBreakBefore w:val="0"/>
              <w:spacing w:line="5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2020年1月1日以来承接过类似区域环境质量保障提升类或环保管家类项目的，每提供1个案例合同得1分，最高得4分。（上述内容提供相关项目合同彩色扫描件并加盖投标人公章，提供的材料未能体现上述项目信息不予认可）。</w:t>
            </w:r>
            <w:r/>
          </w:p>
          <w:p>
            <w:pPr>
              <w:numPr>
                <w:ilvl w:val="0"/>
                <w:numId w:val="0"/>
              </w:numPr>
              <w:jc w:val="left"/>
              <w:keepLines w:val="0"/>
              <w:keepNext w:val="0"/>
              <w:pageBreakBefore w:val="0"/>
              <w:spacing w:line="50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注：同一案例不重复得分。</w:t>
            </w:r>
            <w:r/>
          </w:p>
        </w:tc>
      </w:tr>
    </w:tbl>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rPr>
          <w:rFonts w:hint="eastAsia" w:ascii="宋体" w:hAnsi="宋体" w:eastAsia="宋体" w:cs="宋体"/>
          <w:b/>
          <w:bCs/>
          <w:color w:val="auto"/>
          <w:sz w:val="44"/>
          <w:szCs w:val="44"/>
        </w:rP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rPr>
          <w:rFonts w:hint="eastAsia" w:ascii="宋体" w:hAnsi="宋体" w:eastAsia="宋体" w:cs="宋体"/>
          <w:b/>
          <w:bCs/>
          <w:color w:val="auto"/>
          <w:sz w:val="44"/>
          <w:szCs w:val="44"/>
        </w:rP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rPr>
          <w:rFonts w:hint="eastAsia" w:ascii="宋体" w:hAnsi="宋体" w:eastAsia="宋体" w:cs="宋体"/>
          <w:b/>
          <w:bCs/>
          <w:color w:val="auto"/>
          <w:sz w:val="44"/>
          <w:szCs w:val="44"/>
        </w:rP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rPr>
          <w:rFonts w:hint="eastAsia" w:ascii="宋体" w:hAnsi="宋体" w:eastAsia="宋体" w:cs="宋体"/>
          <w:b/>
          <w:bCs/>
          <w:color w:val="auto"/>
          <w:sz w:val="44"/>
          <w:szCs w:val="44"/>
        </w:rP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rPr>
          <w:rFonts w:hint="eastAsia" w:ascii="宋体" w:hAnsi="宋体" w:eastAsia="宋体" w:cs="宋体"/>
          <w:b/>
          <w:bCs/>
          <w:color w:val="auto"/>
          <w:sz w:val="44"/>
          <w:szCs w:val="44"/>
        </w:rP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b/>
          <w:bCs/>
          <w:color w:val="auto"/>
          <w:sz w:val="44"/>
          <w:szCs w:val="44"/>
        </w:rPr>
        <w:outlineLvl w:val="9"/>
      </w:pPr>
      <w:r>
        <w:rPr>
          <w:rFonts w:hint="eastAsia" w:ascii="宋体" w:hAnsi="宋体" w:eastAsia="宋体" w:cs="宋体"/>
          <w:b/>
          <w:bCs/>
          <w:color w:val="auto"/>
          <w:sz w:val="44"/>
          <w:szCs w:val="44"/>
        </w:rPr>
      </w:r>
      <w:r/>
    </w:p>
    <w:p>
      <w:pPr>
        <w:pStyle w:val="675"/>
        <w:jc w:val="center"/>
        <w:spacing w:beforeAutospacing="0" w:afterAutospacing="0"/>
        <w:rPr>
          <w:rFonts w:hint="eastAsia" w:ascii="宋体" w:hAnsi="宋体" w:eastAsia="宋体" w:cs="宋体"/>
          <w:color w:val="auto"/>
          <w:sz w:val="44"/>
          <w:szCs w:val="44"/>
        </w:rPr>
        <w:outlineLvl w:val="0"/>
      </w:pPr>
      <w:r>
        <w:rPr>
          <w:rFonts w:hint="eastAsia" w:ascii="宋体" w:hAnsi="宋体" w:eastAsia="宋体" w:cs="宋体"/>
          <w:b/>
          <w:bCs/>
          <w:color w:val="auto"/>
          <w:sz w:val="44"/>
          <w:szCs w:val="44"/>
        </w:rPr>
        <w:t xml:space="preserve">第六章  投标文件格式</w:t>
      </w:r>
      <w:r/>
    </w:p>
    <w:p>
      <w:pPr>
        <w:pStyle w:val="675"/>
        <w:jc w:val="center"/>
        <w:keepNext/>
        <w:spacing w:beforeAutospacing="0" w:afterAutospacing="0"/>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pStyle w:val="675"/>
        <w:jc w:val="center"/>
        <w:keepNext/>
        <w:spacing w:beforeAutospacing="0" w:afterAutospacing="0"/>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pStyle w:val="675"/>
        <w:jc w:val="center"/>
        <w:spacing w:beforeAutospacing="0" w:afterAutospacing="0"/>
        <w:rPr>
          <w:rFonts w:hint="eastAsia" w:ascii="宋体" w:hAnsi="宋体" w:eastAsia="宋体" w:cs="宋体"/>
          <w:color w:val="auto"/>
        </w:rPr>
      </w:pPr>
      <w:r/>
      <w:bookmarkStart w:id="190" w:name="_Hlt26955039"/>
      <w:r/>
      <w:bookmarkEnd w:id="190"/>
      <w:r/>
      <w:bookmarkStart w:id="191" w:name="_Hlt26671244"/>
      <w:r/>
      <w:bookmarkEnd w:id="191"/>
      <w:r/>
      <w:bookmarkStart w:id="192" w:name="_Toc26554094"/>
      <w:r/>
      <w:bookmarkEnd w:id="192"/>
      <w:r/>
      <w:bookmarkStart w:id="193" w:name="_Toc120614282"/>
      <w:r/>
      <w:bookmarkStart w:id="194" w:name="_Toc49090576"/>
      <w:r>
        <w:rPr>
          <w:rFonts w:hint="eastAsia" w:ascii="宋体" w:hAnsi="宋体" w:eastAsia="宋体" w:cs="宋体"/>
          <w:b/>
          <w:color w:val="auto"/>
          <w:sz w:val="72"/>
          <w:szCs w:val="72"/>
        </w:rPr>
        <w:t xml:space="preserve">投  标  文  件</w:t>
      </w:r>
      <w:r/>
    </w:p>
    <w:p>
      <w:pPr>
        <w:pStyle w:val="67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675"/>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675"/>
        <w:ind w:firstLine="108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675"/>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67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bCs/>
          <w:color w:val="auto"/>
          <w:sz w:val="36"/>
          <w:szCs w:val="36"/>
          <w:u w:val="single"/>
        </w:rPr>
      </w:pPr>
      <w:r>
        <w:rPr>
          <w:rFonts w:hint="eastAsia" w:ascii="宋体" w:hAnsi="宋体" w:eastAsia="宋体" w:cs="宋体"/>
          <w:b/>
          <w:color w:val="auto"/>
          <w:sz w:val="36"/>
          <w:szCs w:val="36"/>
          <w:u w:val="single"/>
        </w:rPr>
      </w:r>
      <w:r>
        <w:rPr>
          <w:rFonts w:hint="eastAsia" w:ascii="宋体" w:hAnsi="宋体" w:eastAsia="宋体" w:cs="宋体"/>
          <w:b/>
          <w:color w:val="auto"/>
          <w:sz w:val="36"/>
          <w:szCs w:val="36"/>
          <w:u w:val="single"/>
        </w:rPr>
      </w:r>
    </w:p>
    <w:p>
      <w:pPr>
        <w:pStyle w:val="675"/>
        <w:jc w:val="center"/>
        <w:spacing w:beforeAutospacing="0" w:afterAutospacing="0" w:line="0" w:lineRule="atLeast"/>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u w:val="single"/>
        </w:rPr>
      </w:r>
      <w:r>
        <w:rPr>
          <w:rFonts w:hint="eastAsia" w:ascii="宋体" w:hAnsi="宋体" w:eastAsia="宋体" w:cs="宋体"/>
          <w:b/>
          <w:bCs/>
          <w:color w:val="auto"/>
          <w:sz w:val="36"/>
          <w:szCs w:val="36"/>
          <w:u w:val="single"/>
        </w:rPr>
      </w:r>
    </w:p>
    <w:p>
      <w:pPr>
        <w:pStyle w:val="675"/>
        <w:jc w:val="center"/>
        <w:spacing w:beforeAutospacing="0" w:afterAutospacing="0" w:line="0" w:lineRule="atLeast"/>
        <w:rPr>
          <w:rFonts w:hint="eastAsia" w:ascii="宋体" w:hAnsi="宋体" w:eastAsia="宋体" w:cs="宋体"/>
          <w:b/>
          <w:bCs/>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b/>
          <w:color w:val="auto"/>
          <w:sz w:val="36"/>
          <w:szCs w:val="36"/>
          <w:u w:val="single"/>
        </w:rPr>
      </w:pPr>
      <w:r>
        <w:rPr>
          <w:rFonts w:hint="eastAsia" w:ascii="宋体" w:hAnsi="宋体" w:eastAsia="宋体" w:cs="宋体"/>
          <w:b/>
          <w:color w:val="auto"/>
          <w:sz w:val="36"/>
          <w:szCs w:val="36"/>
          <w:u w:val="single"/>
        </w:rPr>
      </w:r>
      <w:r/>
    </w:p>
    <w:p>
      <w:pPr>
        <w:pStyle w:val="675"/>
        <w:jc w:val="center"/>
        <w:spacing w:beforeAutospacing="0" w:afterAutospacing="0" w:line="0" w:lineRule="atLeast"/>
        <w:rPr>
          <w:rFonts w:hint="eastAsia" w:ascii="宋体" w:hAnsi="宋体" w:eastAsia="宋体" w:cs="宋体"/>
          <w:color w:val="auto"/>
        </w:rPr>
        <w:outlineLvl w:val="1"/>
      </w:pPr>
      <w:r>
        <w:rPr>
          <w:rFonts w:hint="eastAsia" w:ascii="宋体" w:hAnsi="宋体" w:eastAsia="宋体" w:cs="宋体"/>
          <w:b/>
          <w:color w:val="auto"/>
          <w:sz w:val="32"/>
          <w:szCs w:val="32"/>
        </w:rPr>
        <w:t xml:space="preserve">投标文件目录</w:t>
      </w:r>
      <w:r/>
    </w:p>
    <w:p>
      <w:pPr>
        <w:pStyle w:val="675"/>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二、上一年度的财务状况报表（至少提供资产负债表、利润表、现金流量表，</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三、具备履行合同所必需的设备和专业技术能力的书面声明</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五、参加政府采购活动前 3 年内在经营活动中没有重大违法记录的书面声明</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六、特定资格要求的证明文件（如果本项目设置特定资格要求，则需要提供）</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七、法人授权书</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八、投标函</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九、小微企业声明函</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十、残疾人福利性单位声明函</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十一、投标分项报价表</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w:t>
      </w:r>
      <w:r>
        <w:rPr>
          <w:rFonts w:hint="eastAsia" w:ascii="宋体" w:hAnsi="宋体" w:eastAsia="宋体" w:cs="宋体"/>
          <w:color w:val="auto"/>
        </w:rPr>
        <w:t xml:space="preserve">技术要求响应及偏离表</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十三、商务要求响应及偏离表</w:t>
      </w:r>
      <w:r/>
    </w:p>
    <w:p>
      <w:pPr>
        <w:pStyle w:val="675"/>
        <w:ind w:left="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十四、开标一览表</w:t>
      </w:r>
      <w:r/>
    </w:p>
    <w:p>
      <w:pPr>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十五、评分标准要求提供的材料等</w:t>
      </w:r>
      <w:r/>
    </w:p>
    <w:p>
      <w:pPr>
        <w:pStyle w:val="675"/>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十六、盐城市政府采购事前信用承诺书</w:t>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675"/>
        <w:jc w:val="center"/>
        <w:spacing w:beforeAutospacing="0" w:afterAutospacing="0" w:line="0" w:lineRule="atLeast"/>
        <w:rPr>
          <w:rFonts w:hint="eastAsia" w:ascii="宋体" w:hAnsi="宋体" w:eastAsia="宋体" w:cs="宋体"/>
          <w:color w:val="auto"/>
        </w:rPr>
        <w:outlineLvl w:val="1"/>
      </w:pPr>
      <w:r>
        <w:rPr>
          <w:rFonts w:hint="eastAsia" w:ascii="宋体" w:hAnsi="宋体" w:eastAsia="宋体" w:cs="宋体"/>
          <w:b/>
          <w:bCs/>
          <w:color w:val="auto"/>
          <w:sz w:val="28"/>
          <w:szCs w:val="28"/>
          <w:highlight w:val="none"/>
          <w:lang w:val="en-US" w:eastAsia="zh-CN" w:bidi="ar-SA"/>
        </w:rPr>
        <w:t xml:space="preserve">一、法人或者其他组织的营业执照等证明文件，自然人的身份证明</w:t>
      </w:r>
      <w:r/>
    </w:p>
    <w:p>
      <w:pPr>
        <w:pStyle w:val="675"/>
        <w:ind w:firstLine="480"/>
        <w:jc w:val="both"/>
        <w:spacing w:beforeAutospacing="0" w:afterAutospacing="0" w:line="0" w:lineRule="atLeast"/>
        <w:rPr>
          <w:rFonts w:hint="eastAsia" w:ascii="宋体" w:hAnsi="宋体" w:eastAsia="宋体" w:cs="宋体"/>
          <w:color w:val="auto"/>
        </w:rPr>
        <w:outlineLvl w:val="9"/>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outlineLvl w:val="9"/>
      </w:pPr>
      <w:r>
        <w:rPr>
          <w:rFonts w:hint="eastAsia" w:ascii="宋体" w:hAnsi="宋体" w:eastAsia="宋体" w:cs="宋体"/>
          <w:color w:val="auto"/>
        </w:rPr>
      </w:r>
      <w:r/>
    </w:p>
    <w:p>
      <w:pPr>
        <w:pStyle w:val="675"/>
        <w:ind w:firstLine="480"/>
        <w:jc w:val="both"/>
        <w:spacing w:beforeAutospacing="0" w:afterAutospacing="0" w:line="0" w:lineRule="atLeast"/>
        <w:rPr>
          <w:rFonts w:hint="eastAsia" w:ascii="宋体" w:hAnsi="宋体" w:eastAsia="宋体" w:cs="宋体"/>
          <w:color w:val="auto"/>
        </w:rPr>
        <w:outlineLvl w:val="9"/>
      </w:pPr>
      <w:r>
        <w:rPr>
          <w:rFonts w:hint="eastAsia" w:ascii="宋体" w:hAnsi="宋体" w:eastAsia="宋体" w:cs="宋体"/>
          <w:color w:val="auto"/>
        </w:rPr>
      </w:r>
      <w:r/>
    </w:p>
    <w:p>
      <w:pPr>
        <w:pStyle w:val="675"/>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24"/>
          <w:szCs w:val="24"/>
          <w:highlight w:val="none"/>
        </w:rPr>
        <w:outlineLvl w:val="9"/>
      </w:pPr>
      <w:r/>
      <w:bookmarkStart w:id="195" w:name="_Hlt26671380"/>
      <w:r/>
      <w:bookmarkStart w:id="196" w:name="_Hlt26955070"/>
      <w:r/>
      <w:bookmarkStart w:id="197" w:name="_格式3__银行出具的资信证明"/>
      <w:r/>
      <w:r/>
    </w:p>
    <w:p>
      <w:pPr>
        <w:pStyle w:val="675"/>
        <w:ind w:firstLine="3390"/>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24"/>
          <w:szCs w:val="24"/>
          <w:highlight w:val="none"/>
        </w:rPr>
        <w:outlineLvl w:val="9"/>
      </w:pPr>
      <w:r>
        <w:rPr>
          <w:rFonts w:hint="eastAsia" w:asciiTheme="majorEastAsia" w:hAnsiTheme="majorEastAsia" w:eastAsiaTheme="majorEastAsia" w:cstheme="majorEastAsia"/>
          <w:b/>
          <w:color w:val="auto"/>
          <w:sz w:val="24"/>
          <w:szCs w:val="24"/>
          <w:highlight w:val="none"/>
        </w:rPr>
      </w:r>
      <w:r/>
    </w:p>
    <w:p>
      <w:pPr>
        <w:pStyle w:val="675"/>
        <w:numPr>
          <w:ilvl w:val="0"/>
          <w:numId w:val="8"/>
        </w:numPr>
        <w:jc w:val="center"/>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1"/>
      </w:pPr>
      <w:r>
        <w:rPr>
          <w:rFonts w:hint="eastAsia" w:asciiTheme="majorEastAsia" w:hAnsiTheme="majorEastAsia" w:eastAsiaTheme="majorEastAsia" w:cstheme="majorEastAsia"/>
          <w:b/>
          <w:color w:val="auto"/>
          <w:sz w:val="24"/>
          <w:szCs w:val="24"/>
          <w:highlight w:val="none"/>
        </w:rPr>
        <w:br w:type="page" w:clear="all"/>
      </w:r>
      <w:r>
        <w:rPr>
          <w:rFonts w:hint="eastAsia" w:ascii="宋体" w:hAnsi="宋体" w:eastAsia="宋体" w:cs="宋体"/>
          <w:b/>
          <w:bCs/>
          <w:color w:val="auto"/>
          <w:sz w:val="28"/>
          <w:szCs w:val="28"/>
          <w:highlight w:val="none"/>
          <w:lang w:val="en-US" w:eastAsia="zh-CN" w:bidi="ar-SA"/>
        </w:rPr>
        <w:t xml:space="preserve">上一年度的财务状况报表</w:t>
      </w:r>
      <w:r/>
    </w:p>
    <w:p>
      <w:pPr>
        <w:jc w:val="left"/>
        <w:keepLines w:val="0"/>
        <w:keepNext w:val="0"/>
        <w:pageBreakBefore w:val="0"/>
        <w:spacing w:line="500" w:lineRule="exac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（至少提供资产负债表、利润表、现金流量表，投标人成立不满一年无需提供）</w:t>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75"/>
        <w:numPr>
          <w:ilvl w:val="0"/>
          <w:numId w:val="8"/>
        </w:numPr>
        <w:ind w:left="0" w:firstLine="0"/>
        <w:jc w:val="center"/>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w:t>
      </w:r>
      <w:r/>
    </w:p>
    <w:p>
      <w:pPr>
        <w:ind w:firstLine="492"/>
        <w:spacing w:line="460" w:lineRule="exact"/>
        <w:rPr>
          <w:rFonts w:hint="eastAsia" w:ascii="宋体" w:hAnsi="宋体" w:cs="宋体"/>
          <w:bCs/>
          <w:color w:val="auto"/>
          <w:sz w:val="24"/>
        </w:rPr>
      </w:pPr>
      <w:r>
        <w:rPr>
          <w:rFonts w:hint="eastAsia" w:ascii="宋体" w:hAnsi="宋体" w:cs="宋体"/>
          <w:bCs/>
          <w:color w:val="auto"/>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 w:val="24"/>
        </w:rPr>
      </w:pPr>
      <w:r>
        <w:rPr>
          <w:rFonts w:hint="eastAsia" w:ascii="宋体" w:hAnsi="宋体" w:cs="宋体"/>
          <w:bCs/>
          <w:color w:val="auto"/>
          <w:sz w:val="24"/>
        </w:rPr>
        <w:t xml:space="preserve">主要设备有：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ind w:firstLine="492"/>
        <w:spacing w:line="460" w:lineRule="exact"/>
        <w:rPr>
          <w:rFonts w:hint="eastAsia" w:ascii="宋体" w:hAnsi="宋体" w:cs="宋体"/>
          <w:bCs/>
          <w:color w:val="auto"/>
          <w:sz w:val="24"/>
        </w:rPr>
      </w:pPr>
      <w:r>
        <w:rPr>
          <w:rFonts w:hint="eastAsia" w:ascii="宋体" w:hAnsi="宋体" w:cs="宋体"/>
          <w:bCs/>
          <w:color w:val="auto"/>
          <w:sz w:val="24"/>
        </w:rPr>
        <w:t xml:space="preserve">主要专业技术能力有：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460" w:lineRule="exact"/>
        <w:rPr>
          <w:rFonts w:hint="eastAsia" w:ascii="宋体" w:hAnsi="宋体" w:cs="宋体"/>
          <w:bCs/>
          <w:color w:val="auto"/>
          <w:sz w:val="24"/>
        </w:rPr>
      </w:pPr>
      <w:r>
        <w:rPr>
          <w:rFonts w:hint="eastAsia" w:ascii="宋体" w:hAnsi="宋体" w:cs="宋体"/>
          <w:bCs/>
          <w:color w:val="auto"/>
          <w:sz w:val="24"/>
        </w:rPr>
        <w:t xml:space="preserve">                                     </w:t>
      </w:r>
      <w:r/>
    </w:p>
    <w:p>
      <w:pPr>
        <w:pStyle w:val="676"/>
        <w:ind w:firstLine="210"/>
        <w:rPr>
          <w:rFonts w:hint="eastAsia" w:ascii="宋体" w:hAnsi="宋体" w:cs="宋体"/>
          <w:color w:val="auto"/>
        </w:rPr>
      </w:pPr>
      <w:r>
        <w:rPr>
          <w:rFonts w:hint="eastAsia" w:ascii="宋体" w:hAnsi="宋体" w:cs="宋体"/>
          <w:color w:val="auto"/>
        </w:rPr>
      </w:r>
      <w:r/>
    </w:p>
    <w:p>
      <w:pPr>
        <w:jc w:val="right"/>
        <w:spacing w:line="460" w:lineRule="exact"/>
        <w:rPr>
          <w:rFonts w:hint="default" w:ascii="宋体" w:hAnsi="宋体" w:cs="宋体" w:eastAsiaTheme="minorEastAsia"/>
          <w:bCs/>
          <w:color w:val="auto"/>
          <w:sz w:val="24"/>
          <w:lang w:val="en-US" w:eastAsia="zh-CN"/>
        </w:rPr>
      </w:pPr>
      <w:r>
        <w:rPr>
          <w:rFonts w:hint="eastAsia" w:ascii="宋体" w:hAnsi="宋体" w:cs="宋体"/>
          <w:bCs/>
          <w:color w:val="auto"/>
          <w:sz w:val="24"/>
        </w:rPr>
        <w:t xml:space="preserve"> 供应商名称（公章）：</w:t>
      </w:r>
      <w:r>
        <w:rPr>
          <w:rFonts w:hint="eastAsia" w:ascii="宋体" w:hAnsi="宋体" w:cs="宋体"/>
          <w:bCs/>
          <w:color w:val="auto"/>
          <w:sz w:val="24"/>
          <w:lang w:val="en-US" w:eastAsia="zh-CN"/>
        </w:rPr>
        <w:t xml:space="preserve">             </w:t>
      </w:r>
      <w:r/>
    </w:p>
    <w:p>
      <w:pPr>
        <w:spacing w:line="460" w:lineRule="exact"/>
        <w:rPr>
          <w:rFonts w:hint="eastAsia" w:ascii="宋体" w:hAnsi="宋体" w:cs="宋体"/>
          <w:bCs/>
          <w:color w:val="auto"/>
          <w:sz w:val="24"/>
        </w:rPr>
      </w:pPr>
      <w:r>
        <w:rPr>
          <w:rFonts w:hint="eastAsia" w:ascii="宋体" w:hAnsi="宋体" w:cs="宋体"/>
          <w:bCs/>
          <w:color w:val="auto"/>
          <w:sz w:val="24"/>
        </w:rPr>
        <w:t xml:space="preserve">                                    </w:t>
      </w:r>
      <w:r/>
    </w:p>
    <w:p>
      <w:pPr>
        <w:spacing w:line="460" w:lineRule="exact"/>
        <w:rPr>
          <w:rFonts w:hint="eastAsia"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lang w:val="en-US" w:eastAsia="zh-CN"/>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pStyle w:val="675"/>
        <w:numPr>
          <w:ilvl w:val="0"/>
          <w:numId w:val="8"/>
        </w:numPr>
        <w:ind w:left="0" w:firstLine="0"/>
        <w:jc w:val="center"/>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依法缴纳税收和社会保障资金的相关材料</w:t>
      </w:r>
      <w:r/>
    </w:p>
    <w:p>
      <w:pPr>
        <w:pStyle w:val="675"/>
        <w:numPr>
          <w:ilvl w:val="0"/>
          <w:numId w:val="0"/>
        </w:numPr>
        <w:ind w:firstLine="480"/>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8"/>
        </w:numPr>
        <w:ind w:left="0" w:firstLine="0"/>
        <w:jc w:val="center"/>
        <w:keepLines/>
        <w:keepNext/>
        <w:spacing w:before="260" w:beforeAutospacing="0" w:after="260" w:afterAutospacing="0" w:line="415"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参加政府采购活动前 3 年内在经营活动中没有重大违法记录的书面声明</w:t>
      </w:r>
      <w:r/>
    </w:p>
    <w:p>
      <w:pPr>
        <w:ind w:firstLine="480"/>
        <w:keepLines w:val="0"/>
        <w:keepNext w:val="0"/>
        <w:pageBreakBefore w:val="0"/>
        <w:spacing w:line="460" w:lineRule="exact"/>
        <w:widowControl w:val="off"/>
        <w:rPr>
          <w:rFonts w:hint="eastAsia" w:ascii="宋体" w:hAnsi="宋体" w:cs="宋体" w:eastAsiaTheme="minorEastAsia"/>
          <w:bCs/>
          <w:color w:val="auto"/>
          <w:sz w:val="24"/>
          <w:lang w:eastAsia="zh-CN"/>
        </w:rPr>
      </w:pPr>
      <w:r>
        <w:rPr>
          <w:rFonts w:hint="eastAsia" w:ascii="宋体" w:hAnsi="宋体" w:cs="宋体"/>
          <w:bCs/>
          <w:color w:val="auto"/>
          <w:sz w:val="24"/>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cs="宋体"/>
          <w:bCs/>
          <w:color w:val="auto"/>
          <w:sz w:val="24"/>
          <w:lang w:eastAsia="zh-CN"/>
        </w:rPr>
        <w:t xml:space="preserve">。</w:t>
      </w:r>
      <w:r/>
    </w:p>
    <w:p>
      <w:pPr>
        <w:ind w:firstLine="480"/>
        <w:keepLines w:val="0"/>
        <w:keepNext w:val="0"/>
        <w:pageBreakBefore w:val="0"/>
        <w:spacing w:line="460" w:lineRule="exact"/>
        <w:widowControl w:val="off"/>
        <w:rPr>
          <w:rFonts w:hint="eastAsia" w:ascii="宋体" w:hAnsi="宋体" w:cs="宋体" w:eastAsiaTheme="minorEastAsia"/>
          <w:bCs/>
          <w:color w:val="auto"/>
          <w:sz w:val="24"/>
          <w:lang w:eastAsia="zh-CN"/>
        </w:rPr>
      </w:pPr>
      <w:r>
        <w:rPr>
          <w:rFonts w:hint="eastAsia" w:ascii="宋体" w:hAnsi="宋体" w:cs="宋体"/>
          <w:bCs/>
          <w:color w:val="auto"/>
          <w:sz w:val="24"/>
        </w:rPr>
        <w:t xml:space="preserve">我单位负责人为同一人或存在控股、管理关系的不同单位，不同时参加本项目投标，否则相关投标均无效</w:t>
      </w:r>
      <w:r>
        <w:rPr>
          <w:rFonts w:hint="eastAsia" w:ascii="宋体" w:hAnsi="宋体" w:cs="宋体"/>
          <w:bCs/>
          <w:color w:val="auto"/>
          <w:sz w:val="24"/>
          <w:lang w:eastAsia="zh-CN"/>
        </w:rPr>
        <w:t xml:space="preserve">。</w:t>
      </w:r>
      <w:r/>
    </w:p>
    <w:p>
      <w:pPr>
        <w:ind w:firstLine="480"/>
        <w:keepLines w:val="0"/>
        <w:keepNext w:val="0"/>
        <w:pageBreakBefore w:val="0"/>
        <w:spacing w:line="460" w:lineRule="exact"/>
        <w:widowControl w:val="off"/>
        <w:rPr>
          <w:rFonts w:hint="eastAsia" w:ascii="宋体" w:hAnsi="宋体" w:cs="宋体"/>
          <w:bCs/>
          <w:color w:val="auto"/>
          <w:sz w:val="24"/>
        </w:rPr>
      </w:pPr>
      <w:r>
        <w:rPr>
          <w:rFonts w:hint="eastAsia" w:ascii="宋体" w:hAnsi="宋体" w:cs="宋体"/>
          <w:bCs/>
          <w:color w:val="auto"/>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669"/>
        <w:ind w:left="1470" w:right="1470"/>
        <w:rPr>
          <w:rFonts w:hint="eastAsia" w:ascii="宋体" w:hAnsi="宋体" w:cs="宋体"/>
          <w:bCs/>
          <w:color w:val="auto"/>
          <w:sz w:val="24"/>
        </w:rPr>
      </w:pPr>
      <w:r>
        <w:rPr>
          <w:rFonts w:hint="eastAsia" w:ascii="宋体" w:hAnsi="宋体" w:cs="宋体"/>
          <w:bCs/>
          <w:color w:val="auto"/>
          <w:sz w:val="24"/>
        </w:rPr>
      </w:r>
      <w:r/>
    </w:p>
    <w:p>
      <w:pPr>
        <w:pStyle w:val="669"/>
        <w:ind w:left="1470" w:right="1470"/>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t xml:space="preserve">                              供应商名称（公章）：</w:t>
      </w:r>
      <w:r/>
    </w:p>
    <w:p>
      <w:pPr>
        <w:spacing w:line="460" w:lineRule="exact"/>
        <w:rPr>
          <w:rFonts w:hint="eastAsia" w:ascii="宋体" w:hAnsi="宋体" w:cs="宋体"/>
          <w:bCs/>
          <w:color w:val="auto"/>
          <w:sz w:val="24"/>
        </w:rPr>
      </w:pPr>
      <w:r>
        <w:rPr>
          <w:rFonts w:hint="eastAsia" w:ascii="宋体" w:hAnsi="宋体" w:cs="宋体"/>
          <w:bCs/>
          <w:color w:val="auto"/>
          <w:sz w:val="24"/>
        </w:rPr>
        <w:t xml:space="preserve">                     法定代表人或授权委托人（签字或盖章）：</w:t>
      </w:r>
      <w:r/>
    </w:p>
    <w:p>
      <w:pPr>
        <w:spacing w:line="460" w:lineRule="exact"/>
        <w:rPr>
          <w:rFonts w:hint="eastAsia" w:ascii="宋体" w:hAnsi="宋体" w:cs="宋体"/>
          <w:bCs/>
          <w:color w:val="auto"/>
          <w:sz w:val="24"/>
        </w:rPr>
      </w:pPr>
      <w:r>
        <w:rPr>
          <w:rFonts w:hint="eastAsia" w:ascii="宋体" w:hAnsi="宋体" w:cs="宋体"/>
          <w:bCs/>
          <w:color w:val="auto"/>
          <w:sz w:val="24"/>
        </w:rPr>
        <w:t xml:space="preserve">                              日期：______年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spacing w:line="460" w:lineRule="exact"/>
        <w:rPr>
          <w:rFonts w:hint="eastAsia" w:ascii="宋体" w:hAnsi="宋体" w:cs="宋体"/>
          <w:bCs/>
          <w:color w:val="auto"/>
          <w:sz w:val="24"/>
          <w:lang w:val="en-US" w:eastAsia="zh-CN"/>
        </w:rPr>
      </w:pPr>
      <w:r>
        <w:rPr>
          <w:rFonts w:hint="eastAsia" w:ascii="宋体" w:hAnsi="宋体" w:cs="宋体"/>
          <w:bCs/>
          <w:color w:val="auto"/>
          <w:sz w:val="24"/>
          <w:lang w:val="en-US" w:eastAsia="zh-CN"/>
        </w:rPr>
      </w:r>
      <w:r/>
    </w:p>
    <w:p>
      <w:pPr>
        <w:pStyle w:val="675"/>
        <w:numPr>
          <w:ilvl w:val="0"/>
          <w:numId w:val="8"/>
        </w:numPr>
        <w:ind w:left="0" w:firstLine="0"/>
        <w:jc w:val="center"/>
        <w:keepLines/>
        <w:keepNext/>
        <w:spacing w:before="260" w:beforeAutospacing="0" w:after="260" w:afterAutospacing="0" w:line="415" w:lineRule="auto"/>
        <w:rPr>
          <w:rFonts w:hint="default" w:ascii="宋体" w:hAnsi="宋体" w:eastAsia="宋体" w:cs="宋体"/>
          <w:b/>
          <w:bCs/>
          <w:color w:val="auto"/>
          <w:sz w:val="28"/>
          <w:szCs w:val="28"/>
          <w:highlight w:val="none"/>
          <w:lang w:val="en-US" w:eastAsia="zh-CN" w:bidi="ar-SA"/>
        </w:rPr>
        <w:outlineLvl w:val="1"/>
      </w:pPr>
      <w:r>
        <w:rPr>
          <w:rFonts w:hint="default" w:ascii="宋体" w:hAnsi="宋体" w:eastAsia="宋体" w:cs="宋体"/>
          <w:b/>
          <w:bCs/>
          <w:color w:val="auto"/>
          <w:sz w:val="28"/>
          <w:szCs w:val="28"/>
          <w:highlight w:val="none"/>
          <w:lang w:val="en-US" w:eastAsia="zh-CN" w:bidi="ar-SA"/>
        </w:rPr>
        <w:t xml:space="preserve">特定资格要求的证明文件</w:t>
      </w:r>
      <w:r/>
    </w:p>
    <w:p>
      <w:pPr>
        <w:pStyle w:val="675"/>
        <w:numPr>
          <w:ilvl w:val="0"/>
          <w:numId w:val="0"/>
        </w:numPr>
        <w:jc w:val="both"/>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eastAsia" w:ascii="宋体" w:hAnsi="宋体" w:eastAsia="宋体" w:cs="宋体"/>
          <w:color w:val="auto"/>
        </w:rPr>
        <w:t xml:space="preserve"> 如果本项目申请人的特定资格要求中要求提供的，必须提供。</w:t>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0"/>
        </w:numPr>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9"/>
      </w:pPr>
      <w:r>
        <w:rPr>
          <w:rFonts w:hint="default" w:ascii="宋体" w:hAnsi="宋体" w:eastAsia="宋体" w:cs="宋体"/>
          <w:b/>
          <w:bCs/>
          <w:color w:val="auto"/>
          <w:sz w:val="28"/>
          <w:szCs w:val="28"/>
          <w:highlight w:val="none"/>
          <w:lang w:val="en-US" w:eastAsia="zh-CN" w:bidi="ar-SA"/>
        </w:rPr>
      </w:r>
      <w:r/>
    </w:p>
    <w:p>
      <w:pPr>
        <w:pStyle w:val="675"/>
        <w:numPr>
          <w:ilvl w:val="0"/>
          <w:numId w:val="8"/>
        </w:numPr>
        <w:ind w:left="0" w:firstLine="0"/>
        <w:jc w:val="center"/>
        <w:keepLines/>
        <w:keepNext/>
        <w:spacing w:before="260" w:beforeAutospacing="0" w:after="260" w:afterAutospacing="0" w:line="415" w:lineRule="auto"/>
        <w:widowControl w:val="off"/>
        <w:rPr>
          <w:rFonts w:hint="default"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法人授权书</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本授权书声明：____________（供应商名称）授权__________（被授权人的姓名）为我方就</w:t>
      </w:r>
      <w:r>
        <w:rPr>
          <w:rFonts w:hint="eastAsia" w:asciiTheme="majorEastAsia" w:hAnsiTheme="majorEastAsia" w:eastAsiaTheme="majorEastAsia" w:cstheme="majorEastAsia"/>
          <w:bCs/>
          <w:color w:val="auto"/>
          <w:sz w:val="24"/>
          <w:szCs w:val="24"/>
          <w:u w:val="single"/>
          <w:lang w:val="en-US" w:eastAsia="zh-CN" w:bidi="ar-SA"/>
        </w:rPr>
        <w:t xml:space="preserve">        </w:t>
      </w:r>
      <w:r>
        <w:rPr>
          <w:rFonts w:hint="eastAsia" w:asciiTheme="majorEastAsia" w:hAnsiTheme="majorEastAsia" w:eastAsiaTheme="majorEastAsia" w:cstheme="majorEastAsia"/>
          <w:bCs/>
          <w:color w:val="auto"/>
          <w:sz w:val="24"/>
          <w:szCs w:val="24"/>
          <w:lang w:val="en-US" w:eastAsia="zh-CN" w:bidi="ar-SA"/>
        </w:rPr>
        <w:t xml:space="preserve">号</w:t>
      </w:r>
      <w:r>
        <w:rPr>
          <w:rFonts w:hint="eastAsia" w:asciiTheme="majorEastAsia" w:hAnsiTheme="majorEastAsia" w:eastAsiaTheme="majorEastAsia" w:cstheme="majorEastAsia"/>
          <w:bCs/>
          <w:color w:val="auto"/>
          <w:sz w:val="24"/>
          <w:szCs w:val="24"/>
          <w:u w:val="single"/>
          <w:lang w:val="en-US" w:eastAsia="zh-CN" w:bidi="ar-SA"/>
        </w:rPr>
        <w:t xml:space="preserve">            </w:t>
      </w:r>
      <w:r>
        <w:rPr>
          <w:rFonts w:hint="eastAsia" w:asciiTheme="majorEastAsia" w:hAnsiTheme="majorEastAsia" w:eastAsiaTheme="majorEastAsia" w:cstheme="majorEastAsia"/>
          <w:bCs/>
          <w:color w:val="auto"/>
          <w:sz w:val="24"/>
          <w:szCs w:val="24"/>
          <w:lang w:val="en-US" w:eastAsia="zh-CN" w:bidi="ar-SA"/>
        </w:rPr>
        <w:t xml:space="preserve">项目采购活动的合法代理人，以本公司名义全权处理一切与该项目采购有关的事务。</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本授权书于______年____月____日起生效，特此声明。</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          </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法定代表人签字或盖章：_________________________</w:t>
      </w:r>
      <w:r/>
    </w:p>
    <w:p>
      <w:pPr>
        <w:pStyle w:val="685"/>
        <w:ind w:firstLine="482"/>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
          <w:bCs w:val="0"/>
          <w:color w:val="auto"/>
          <w:sz w:val="24"/>
          <w:szCs w:val="24"/>
          <w:lang w:val="en-US" w:eastAsia="zh-CN" w:bidi="ar-SA"/>
        </w:rPr>
        <w:t xml:space="preserve">代理人手机号码（必填）：_______________________</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授权单位盖章：</w:t>
      </w:r>
      <w:r>
        <w:rPr>
          <w:rFonts w:hint="eastAsia" w:ascii="宋体" w:hAnsi="宋体" w:cs="宋体"/>
          <w:color w:val="auto"/>
          <w:u w:val="single"/>
        </w:rPr>
        <w:t xml:space="preserve">                                 </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地址：</w:t>
      </w:r>
      <w:r>
        <w:rPr>
          <w:rFonts w:hint="eastAsia" w:ascii="宋体" w:hAnsi="宋体" w:cs="宋体"/>
          <w:color w:val="auto"/>
          <w:u w:val="single"/>
        </w:rPr>
        <w:t xml:space="preserve">                                         </w:t>
      </w:r>
      <w:r>
        <w:rPr>
          <w:rFonts w:hint="eastAsia" w:asciiTheme="majorEastAsia" w:hAnsiTheme="majorEastAsia" w:eastAsiaTheme="majorEastAsia" w:cstheme="majorEastAsia"/>
          <w:bCs/>
          <w:color w:val="auto"/>
          <w:sz w:val="24"/>
          <w:szCs w:val="24"/>
          <w:lang w:val="en-US" w:eastAsia="zh-CN" w:bidi="ar-SA"/>
        </w:rPr>
        <w:t xml:space="preserve">                                         </w:t>
      </w:r>
      <w:r/>
    </w:p>
    <w:p>
      <w:pPr>
        <w:pStyle w:val="685"/>
        <w:ind w:firstLine="480"/>
        <w:keepLines w:val="0"/>
        <w:keepNext w:val="0"/>
        <w:pageBreakBefore w:val="0"/>
        <w:spacing w:line="500" w:lineRule="exact"/>
        <w:widowControl w:val="off"/>
        <w:rPr>
          <w:rFonts w:hint="eastAsia" w:asciiTheme="majorEastAsia" w:hAnsiTheme="majorEastAsia" w:eastAsiaTheme="majorEastAsia" w:cstheme="maj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日期：</w:t>
      </w:r>
      <w:r>
        <w:rPr>
          <w:rFonts w:hint="eastAsia" w:ascii="宋体" w:hAnsi="宋体" w:cs="宋体"/>
          <w:color w:val="auto"/>
          <w:u w:val="single"/>
        </w:rPr>
        <w:t xml:space="preserve">                                         </w:t>
      </w:r>
      <w:r>
        <w:rPr>
          <w:rFonts w:hint="eastAsia" w:asciiTheme="majorEastAsia" w:hAnsiTheme="majorEastAsia" w:eastAsiaTheme="majorEastAsia" w:cstheme="majorEastAsia"/>
          <w:bCs/>
          <w:color w:val="auto"/>
          <w:sz w:val="24"/>
          <w:szCs w:val="24"/>
          <w:lang w:val="en-US" w:eastAsia="zh-CN" w:bidi="ar-SA"/>
        </w:rPr>
        <w:t xml:space="preserve">   </w:t>
      </w:r>
      <w:r/>
    </w:p>
    <w:p>
      <w:pPr>
        <w:pStyle w:val="685"/>
        <w:ind w:firstLine="480"/>
        <w:keepLines w:val="0"/>
        <w:keepNext w:val="0"/>
        <w:pageBreakBefore w:val="0"/>
        <w:spacing w:line="500" w:lineRule="exact"/>
        <w:widowControl w:val="off"/>
        <w:rPr>
          <w:rFonts w:hint="eastAsia" w:ascii="宋体" w:hAnsi="宋体" w:cs="宋体" w:eastAsiaTheme="minorEastAsia"/>
          <w:bCs/>
          <w:color w:val="auto"/>
          <w:sz w:val="24"/>
          <w:szCs w:val="24"/>
          <w:lang w:val="en-US" w:eastAsia="zh-CN" w:bidi="ar-SA"/>
        </w:rPr>
      </w:pPr>
      <w:r>
        <w:rPr>
          <w:rFonts w:hint="eastAsia" w:asciiTheme="majorEastAsia" w:hAnsiTheme="majorEastAsia" w:eastAsiaTheme="majorEastAsia" w:cstheme="majorEastAsia"/>
          <w:bCs/>
          <w:color w:val="auto"/>
          <w:sz w:val="24"/>
          <w:szCs w:val="24"/>
          <w:lang w:val="en-US" w:eastAsia="zh-CN" w:bidi="ar-SA"/>
        </w:rPr>
        <w:t xml:space="preserve">     </w:t>
      </w:r>
      <w:r>
        <w:rPr>
          <w:rFonts w:hint="eastAsia" w:ascii="宋体" w:hAnsi="宋体" w:cs="宋体" w:eastAsiaTheme="minorEastAsia"/>
          <w:bCs/>
          <w:color w:val="auto"/>
          <w:sz w:val="24"/>
          <w:szCs w:val="24"/>
          <w:lang w:val="en-US" w:eastAsia="zh-CN" w:bidi="ar-SA"/>
        </w:rPr>
        <w:t xml:space="preserve">                                   </w:t>
      </w:r>
      <w:r/>
    </w:p>
    <w:p>
      <w:pPr>
        <w:pStyle w:val="685"/>
        <w:ind w:firstLine="480"/>
        <w:rPr>
          <w:rFonts w:hint="eastAsia" w:ascii="宋体" w:hAnsi="宋体" w:cs="宋体" w:eastAsiaTheme="minorEastAsia"/>
          <w:bCs/>
          <w:color w:val="auto"/>
          <w:sz w:val="24"/>
          <w:szCs w:val="24"/>
          <w:lang w:val="en-US" w:eastAsia="zh-CN" w:bidi="ar-SA"/>
        </w:rPr>
      </w:pPr>
      <w:r>
        <w:rPr>
          <w:rFonts w:hint="eastAsia" w:ascii="宋体" w:hAnsi="宋体" w:cs="宋体" w:eastAsiaTheme="minorEastAsia"/>
          <w:bCs/>
          <w:color w:val="auto"/>
          <w:sz w:val="24"/>
          <w:szCs w:val="24"/>
          <w:lang w:val="en-US" w:eastAsia="zh-CN" w:bidi="ar-SA"/>
        </w:rPr>
        <w:t xml:space="preserve">                  </w:t>
      </w:r>
      <w:r/>
    </w:p>
    <w:tbl>
      <w:tblPr>
        <w:tblStyle w:val="663"/>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jc w:val="center"/>
              <w:spacing w:line="460" w:lineRule="exact"/>
              <w:rPr>
                <w:rFonts w:hint="eastAsia" w:ascii="宋体" w:hAnsi="宋体" w:cs="宋体"/>
                <w:bCs/>
                <w:color w:val="auto"/>
                <w:sz w:val="24"/>
              </w:rPr>
            </w:pPr>
            <w:r>
              <w:rPr>
                <w:rFonts w:hint="eastAsia" w:ascii="宋体" w:hAnsi="宋体" w:cs="宋体"/>
                <w:bCs/>
                <w:color w:val="auto"/>
                <w:sz w:val="24"/>
              </w:rPr>
              <w:t xml:space="preserve">法人身份证复印件</w:t>
            </w:r>
            <w:r/>
          </w:p>
          <w:p>
            <w:pPr>
              <w:pStyle w:val="685"/>
              <w:jc w:val="center"/>
              <w:rPr>
                <w:rFonts w:hint="eastAsia" w:ascii="宋体" w:hAnsi="宋体" w:cs="宋体"/>
                <w:color w:val="auto"/>
              </w:rPr>
            </w:pPr>
            <w:r>
              <w:rPr>
                <w:rFonts w:hint="eastAsia" w:ascii="宋体" w:hAnsi="宋体" w:cs="宋体"/>
                <w:bCs/>
                <w:color w:val="auto"/>
              </w:rPr>
              <w:t xml:space="preserve">粘贴区</w:t>
            </w:r>
            <w:r/>
          </w:p>
        </w:tc>
        <w:tc>
          <w:tcPr>
            <w:tcW w:w="4478" w:type="dxa"/>
            <w:vAlign w:val="top"/>
            <w:textDirection w:val="lrTb"/>
            <w:noWrap w:val="false"/>
          </w:tcPr>
          <w:p>
            <w:pPr>
              <w:jc w:val="center"/>
              <w:spacing w:line="460" w:lineRule="exact"/>
              <w:rPr>
                <w:rFonts w:hint="eastAsia" w:ascii="宋体" w:hAnsi="宋体" w:cs="宋体"/>
                <w:bCs/>
                <w:color w:val="auto"/>
                <w:sz w:val="24"/>
              </w:rPr>
            </w:pPr>
            <w:r>
              <w:rPr>
                <w:rFonts w:hint="eastAsia" w:ascii="宋体" w:hAnsi="宋体" w:cs="宋体"/>
                <w:bCs/>
                <w:color w:val="auto"/>
                <w:sz w:val="24"/>
              </w:rPr>
              <w:t xml:space="preserve">被授权人身份证复印件</w:t>
            </w:r>
            <w:r/>
          </w:p>
          <w:p>
            <w:pPr>
              <w:pStyle w:val="685"/>
              <w:jc w:val="center"/>
              <w:rPr>
                <w:rFonts w:hint="eastAsia" w:ascii="宋体" w:hAnsi="宋体" w:cs="宋体"/>
                <w:bCs/>
                <w:color w:val="auto"/>
              </w:rPr>
            </w:pPr>
            <w:r>
              <w:rPr>
                <w:rFonts w:hint="eastAsia" w:ascii="宋体" w:hAnsi="宋体" w:cs="宋体"/>
                <w:bCs/>
                <w:color w:val="auto"/>
              </w:rPr>
              <w:t xml:space="preserve">粘贴区</w:t>
            </w:r>
            <w:r/>
          </w:p>
        </w:tc>
      </w:tr>
    </w:tbl>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675"/>
        <w:numPr>
          <w:ilvl w:val="0"/>
          <w:numId w:val="0"/>
        </w:numPr>
        <w:jc w:val="center"/>
        <w:keepLines/>
        <w:keepNext/>
        <w:spacing w:before="260" w:beforeAutospacing="0" w:after="260" w:afterAutospacing="0" w:line="415" w:lineRule="auto"/>
        <w:widowControl w:val="off"/>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八、投标函</w:t>
      </w:r>
      <w:r/>
    </w:p>
    <w:p>
      <w:pPr>
        <w:pStyle w:val="675"/>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致：</w:t>
      </w:r>
      <w:r>
        <w:rPr>
          <w:rFonts w:hint="eastAsia" w:asciiTheme="majorEastAsia" w:hAnsiTheme="majorEastAsia" w:eastAsiaTheme="majorEastAsia" w:cstheme="majorEastAsia"/>
          <w:color w:val="auto"/>
          <w:sz w:val="24"/>
          <w:szCs w:val="24"/>
          <w:highlight w:val="none"/>
          <w:lang w:val="en-US" w:eastAsia="zh-CN"/>
        </w:rPr>
        <w:t xml:space="preserve">盐城市亭湖生态环境局</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根据贵方的</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 xml:space="preserve">号招标文件，正式授权下述签字人______(姓名)代表我方______________（投标人的名称），全权处理本次项目投标的有关事宜。</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据此函，__________签字人兹宣布同意如下：</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1.按招标文件规定的各项要求，向买方提供所需服务（包含与服务相关的货物）。</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2.我们完全理解贵方不一定将合同授予最低报价的投标人。</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3.我们已详细审核全部招标文件及其有效补充文件，我们知道必须放弃提出含糊不清或误解问题的权利。</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4.我们同意从规定的开标日期起遵循本投标文件，并在规定的投标有效期期满之前均具有约束力。</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5.同意向贵方提供贵方可能另外要求的与投标有关的任何证据或资料，并保证我方已提供和将要提供的文件是真实的、准确的。</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7.与本投标有关的正式通讯地址为：</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地址：</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邮编：</w:t>
      </w:r>
      <w:r/>
    </w:p>
    <w:p>
      <w:pPr>
        <w:pStyle w:val="675"/>
        <w:ind w:left="0" w:firstLine="482"/>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固定电话：（必填）</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传真：</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投标人开户行：</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账号：</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供应商（单位公章）：</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供应商法定代表人或授权委托人（签字或盖章）：</w:t>
      </w:r>
      <w:r/>
    </w:p>
    <w:p>
      <w:pPr>
        <w:pStyle w:val="675"/>
        <w:ind w:left="0" w:firstLine="480"/>
        <w:keepLines w:val="0"/>
        <w:keepNext w:val="0"/>
        <w:pageBreakBefore w:val="0"/>
        <w:spacing w:beforeAutospacing="0" w:afterAutospacing="0" w:line="48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日期：________年____月____日</w:t>
      </w:r>
      <w:r/>
    </w:p>
    <w:p>
      <w:pPr>
        <w:pStyle w:val="675"/>
        <w:ind w:firstLine="240"/>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ind w:firstLine="240"/>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numPr>
          <w:ilvl w:val="0"/>
          <w:numId w:val="0"/>
        </w:numPr>
        <w:jc w:val="center"/>
        <w:keepLines/>
        <w:keepNext/>
        <w:pageBreakBefore w:val="0"/>
        <w:spacing w:beforeAutospacing="0" w:afterAutospacing="0" w:line="800" w:lineRule="exact"/>
        <w:widowControl w:val="off"/>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九、小微企业声明函（服务）</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Theme="majorEastAsia" w:hAnsiTheme="majorEastAsia" w:eastAsiaTheme="majorEastAsia" w:cstheme="majorEastAsia"/>
          <w:color w:val="auto"/>
          <w:sz w:val="24"/>
          <w:szCs w:val="24"/>
          <w:highlight w:val="none"/>
          <w:u w:val="single"/>
        </w:rPr>
        <w:t xml:space="preserve">（单位名称）</w:t>
      </w:r>
      <w:r>
        <w:rPr>
          <w:rFonts w:hint="eastAsia" w:asciiTheme="majorEastAsia" w:hAnsiTheme="majorEastAsia" w:eastAsiaTheme="majorEastAsia" w:cstheme="majorEastAsia"/>
          <w:color w:val="auto"/>
          <w:sz w:val="24"/>
          <w:szCs w:val="24"/>
          <w:highlight w:val="none"/>
        </w:rPr>
        <w:t xml:space="preserve">采购编号为</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u w:val="single"/>
        </w:rPr>
        <w:t xml:space="preserve">（项目名称）</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 xml:space="preserve">的采购活动，</w:t>
      </w:r>
      <w:r>
        <w:rPr>
          <w:rFonts w:hint="eastAsia" w:asciiTheme="majorEastAsia" w:hAnsiTheme="majorEastAsia" w:eastAsiaTheme="majorEastAsia" w:cstheme="majorEastAsia"/>
          <w:color w:val="auto"/>
          <w:sz w:val="24"/>
          <w:szCs w:val="24"/>
          <w:highlight w:val="none"/>
          <w:lang w:val="en-US" w:eastAsia="zh-CN"/>
        </w:rPr>
        <w:t xml:space="preserve">提供的</w:t>
      </w:r>
      <w:r>
        <w:rPr>
          <w:rFonts w:hint="eastAsia" w:asciiTheme="majorEastAsia" w:hAnsiTheme="majorEastAsia" w:eastAsiaTheme="majorEastAsia" w:cstheme="majorEastAsia"/>
          <w:color w:val="auto"/>
          <w:sz w:val="24"/>
          <w:szCs w:val="24"/>
          <w:highlight w:val="none"/>
        </w:rPr>
        <w:t xml:space="preserve">服务全部由符合政策的小微企业承接。根据《工业和信息化部、国家统计局、国家发展和改革委员会、财政部关于印发中小企业划型标准规定的通知》(工信部联企业[2011]300号)的规定，相关企业（含联合体中的小微企业）的具体情况如下：</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 xml:space="preserve">1.</w:t>
      </w:r>
      <w:r>
        <w:rPr>
          <w:rFonts w:hint="eastAsia" w:asciiTheme="majorEastAsia" w:hAnsiTheme="majorEastAsia" w:eastAsiaTheme="majorEastAsia" w:cstheme="majorEastAsia"/>
          <w:color w:val="auto"/>
          <w:sz w:val="24"/>
          <w:szCs w:val="24"/>
          <w:highlight w:val="none"/>
          <w:u w:val="single"/>
        </w:rPr>
        <w:t xml:space="preserve">（标的名称）</w:t>
      </w:r>
      <w:r>
        <w:rPr>
          <w:rFonts w:hint="eastAsia" w:asciiTheme="majorEastAsia" w:hAnsiTheme="majorEastAsia" w:eastAsiaTheme="majorEastAsia" w:cstheme="majorEastAsia"/>
          <w:i/>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rPr>
        <w:t xml:space="preserve">属于</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行业；承接企业为</w:t>
      </w:r>
      <w:r>
        <w:rPr>
          <w:rFonts w:hint="eastAsia" w:asciiTheme="majorEastAsia" w:hAnsiTheme="majorEastAsia" w:eastAsiaTheme="majorEastAsia" w:cstheme="majorEastAsia"/>
          <w:color w:val="auto"/>
          <w:sz w:val="24"/>
          <w:szCs w:val="24"/>
          <w:highlight w:val="none"/>
          <w:u w:val="single"/>
        </w:rPr>
        <w:t xml:space="preserve">（企业名称）</w:t>
      </w:r>
      <w:r>
        <w:rPr>
          <w:rFonts w:hint="eastAsia" w:asciiTheme="majorEastAsia" w:hAnsiTheme="majorEastAsia" w:eastAsiaTheme="majorEastAsia" w:cstheme="majorEastAsia"/>
          <w:color w:val="auto"/>
          <w:sz w:val="24"/>
          <w:szCs w:val="24"/>
          <w:highlight w:val="none"/>
        </w:rPr>
        <w:t xml:space="preserve">，从业人员</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人，营业收入为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万元，资产总额为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万元</w:t>
      </w:r>
      <w:r>
        <w:rPr>
          <w:rFonts w:hint="eastAsia" w:asciiTheme="majorEastAsia" w:hAnsiTheme="majorEastAsia" w:eastAsiaTheme="majorEastAsia" w:cstheme="majorEastAsia"/>
          <w:color w:val="auto"/>
          <w:sz w:val="24"/>
          <w:szCs w:val="24"/>
          <w:highlight w:val="none"/>
          <w:vertAlign w:val="superscript"/>
        </w:rPr>
        <w:t xml:space="preserve">1</w:t>
      </w:r>
      <w:r>
        <w:rPr>
          <w:rFonts w:hint="eastAsia" w:asciiTheme="majorEastAsia" w:hAnsiTheme="majorEastAsia" w:eastAsiaTheme="majorEastAsia" w:cstheme="majorEastAsia"/>
          <w:color w:val="auto"/>
          <w:sz w:val="24"/>
          <w:szCs w:val="24"/>
          <w:highlight w:val="none"/>
        </w:rPr>
        <w:t xml:space="preserve">，属于</w:t>
      </w:r>
      <w:r>
        <w:rPr>
          <w:rFonts w:hint="eastAsia" w:asciiTheme="majorEastAsia" w:hAnsiTheme="majorEastAsia" w:eastAsiaTheme="majorEastAsia" w:cstheme="majorEastAsia"/>
          <w:color w:val="auto"/>
          <w:sz w:val="24"/>
          <w:szCs w:val="24"/>
          <w:highlight w:val="none"/>
          <w:u w:val="single"/>
        </w:rPr>
        <w:t xml:space="preserve">（小型企业、微型企业）</w:t>
      </w:r>
      <w:r>
        <w:rPr>
          <w:rFonts w:hint="eastAsia" w:asciiTheme="majorEastAsia" w:hAnsiTheme="majorEastAsia" w:eastAsiaTheme="majorEastAsia" w:cstheme="majorEastAsia"/>
          <w:color w:val="auto"/>
          <w:sz w:val="24"/>
          <w:szCs w:val="24"/>
          <w:highlight w:val="none"/>
          <w:u w:val="single"/>
          <w:lang w:eastAsia="zh-CN"/>
        </w:rPr>
        <w:t xml:space="preserve">。</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以上企业，不属于大企业的分支机构，不存在控股股东为大企业的情形，也不存在与大企业的负责人为同一人的情形。</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本企业对上述声明内容的真实性负责。如有虚假，将依法承担相应责任</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ind w:right="0" w:firstLine="480"/>
        <w:jc w:val="center"/>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企业名称（</w:t>
      </w:r>
      <w:r>
        <w:rPr>
          <w:rFonts w:hint="eastAsia" w:asciiTheme="majorEastAsia" w:hAnsiTheme="majorEastAsia" w:eastAsiaTheme="majorEastAsia" w:cstheme="majorEastAsia"/>
          <w:color w:val="auto"/>
          <w:sz w:val="24"/>
          <w:szCs w:val="24"/>
          <w:highlight w:val="none"/>
          <w:lang w:val="en-US" w:eastAsia="zh-CN"/>
        </w:rPr>
        <w:t xml:space="preserve">盖章</w:t>
      </w:r>
      <w:r>
        <w:rPr>
          <w:rFonts w:hint="eastAsia" w:asciiTheme="majorEastAsia" w:hAnsiTheme="majorEastAsia" w:eastAsiaTheme="majorEastAsia" w:cstheme="majorEastAsia"/>
          <w:color w:val="auto"/>
          <w:sz w:val="24"/>
          <w:szCs w:val="24"/>
          <w:highlight w:val="none"/>
        </w:rPr>
        <w:t xml:space="preserve">）：</w:t>
      </w:r>
      <w:r/>
    </w:p>
    <w:p>
      <w:pPr>
        <w:pStyle w:val="675"/>
        <w:ind w:right="0" w:firstLine="480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日  期：</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备注1：从业人员、营业收入、资产总额填报上一年度数据，无上一年度数据的新成立企业可不填报。</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备注2：供应商如不提供此声明函，按无效处理。</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outlineLvl w:val="1"/>
      </w:pPr>
      <w:r>
        <w:rPr>
          <w:rFonts w:hint="eastAsia" w:asciiTheme="majorEastAsia" w:hAnsiTheme="majorEastAsia" w:eastAsiaTheme="majorEastAsia" w:cstheme="majorEastAsia"/>
          <w:b/>
          <w:color w:val="auto"/>
          <w:sz w:val="24"/>
          <w:szCs w:val="24"/>
          <w:highlight w:val="none"/>
        </w:rPr>
        <w:br w:type="page" w:clear="all"/>
      </w:r>
      <w:r>
        <w:rPr>
          <w:rFonts w:hint="eastAsia" w:ascii="宋体" w:hAnsi="宋体" w:eastAsia="宋体" w:cs="宋体"/>
          <w:b/>
          <w:bCs/>
          <w:color w:val="auto"/>
          <w:sz w:val="28"/>
          <w:szCs w:val="28"/>
          <w:highlight w:val="none"/>
          <w:lang w:val="en-US" w:eastAsia="zh-CN" w:bidi="ar-SA"/>
        </w:rPr>
        <w:t xml:space="preserve">十、残疾人福利性单位声明函</w:t>
      </w:r>
      <w:r/>
    </w:p>
    <w:p>
      <w:pPr>
        <w:pStyle w:val="675"/>
        <w:ind w:firstLine="480"/>
        <w:jc w:val="both"/>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rPr>
        <w:t xml:space="preserve">单位的采购文件编号为______的</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项目采购活动由本单位提供服务。</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本单位对上述声明的真实性负责。如有虚假，将依法承担相应责任。</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（备注：1、供应商如不提供此声明函，价格将不做相应扣除。2、中标人为残疾人福利单位的，此声明函将随中标结果同时公告，接受社会监督）</w:t>
      </w:r>
      <w:r/>
    </w:p>
    <w:p>
      <w:pPr>
        <w:pStyle w:val="675"/>
        <w:ind w:right="0" w:firstLine="480"/>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ind w:right="0" w:firstLine="480"/>
        <w:jc w:val="center"/>
        <w:keepLines w:val="0"/>
        <w:keepNext w:val="0"/>
        <w:pageBreakBefore w:val="0"/>
        <w:spacing w:beforeAutospacing="0" w:afterAutospacing="0" w:line="500" w:lineRule="exact"/>
        <w:widowControl w:val="off"/>
        <w:tabs>
          <w:tab w:val="left" w:pos="4864" w:leader="none"/>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供应商全称（</w:t>
      </w:r>
      <w:r>
        <w:rPr>
          <w:rFonts w:hint="eastAsia" w:asciiTheme="majorEastAsia" w:hAnsiTheme="majorEastAsia" w:eastAsiaTheme="majorEastAsia" w:cstheme="majorEastAsia"/>
          <w:color w:val="auto"/>
          <w:sz w:val="24"/>
          <w:szCs w:val="24"/>
          <w:highlight w:val="none"/>
          <w:lang w:val="en-US" w:eastAsia="zh-CN"/>
        </w:rPr>
        <w:t xml:space="preserve">盖章</w:t>
      </w:r>
      <w:r>
        <w:rPr>
          <w:rFonts w:hint="eastAsia" w:asciiTheme="majorEastAsia" w:hAnsiTheme="majorEastAsia" w:eastAsiaTheme="majorEastAsia" w:cstheme="majorEastAsia"/>
          <w:color w:val="auto"/>
          <w:sz w:val="24"/>
          <w:szCs w:val="24"/>
          <w:highlight w:val="none"/>
        </w:rPr>
        <w:t xml:space="preserve">）：</w:t>
      </w:r>
      <w:r/>
    </w:p>
    <w:p>
      <w:pPr>
        <w:pStyle w:val="675"/>
        <w:ind w:right="0" w:firstLine="480"/>
        <w:jc w:val="center"/>
        <w:keepLines w:val="0"/>
        <w:keepNext w:val="0"/>
        <w:pageBreakBefore w:val="0"/>
        <w:spacing w:beforeAutospacing="0" w:afterAutospacing="0" w:line="500" w:lineRule="exact"/>
        <w:widowControl w:val="off"/>
        <w:tabs>
          <w:tab w:val="left" w:pos="4864" w:leader="none"/>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日  期：</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numPr>
          <w:ilvl w:val="0"/>
          <w:numId w:val="9"/>
        </w:numPr>
        <w:jc w:val="center"/>
        <w:spacing w:beforeAutospacing="0" w:afterAutospacing="0" w:line="0" w:lineRule="atLeast"/>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投标分项报价表</w:t>
      </w:r>
      <w:r/>
    </w:p>
    <w:p>
      <w:pPr>
        <w:pStyle w:val="675"/>
        <w:numPr>
          <w:ilvl w:val="0"/>
          <w:numId w:val="0"/>
        </w:numPr>
        <w:jc w:val="both"/>
        <w:spacing w:beforeAutospacing="0" w:afterAutospacing="0" w:line="0" w:lineRule="atLeast"/>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tbl>
      <w:tblPr>
        <w:tblStyle w:val="663"/>
        <w:tblW w:w="9591" w:type="dxa"/>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00"/>
        <w:gridCol w:w="1851"/>
        <w:gridCol w:w="4671"/>
        <w:gridCol w:w="1269"/>
      </w:tblGrid>
      <w:tr>
        <w:trPr>
          <w:trHeight w:val="113"/>
        </w:trPr>
        <w:tc>
          <w:tcPr>
            <w:shd w:val="clear" w:color="auto" w:fill="auto"/>
            <w:tcW w:w="60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W w:w="1200"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服务名称</w:t>
            </w:r>
            <w:r/>
          </w:p>
        </w:tc>
        <w:tc>
          <w:tcPr>
            <w:shd w:val="clear" w:color="auto" w:fill="auto"/>
            <w:tcW w:w="185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服务模块</w:t>
            </w:r>
            <w:r/>
          </w:p>
        </w:tc>
        <w:tc>
          <w:tcPr>
            <w:shd w:val="clear" w:color="auto" w:fill="auto"/>
            <w:tcW w:w="4671"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服务内容</w:t>
            </w:r>
            <w:r/>
          </w:p>
        </w:tc>
        <w:tc>
          <w:tcPr>
            <w:shd w:val="clear" w:color="auto" w:fill="auto"/>
            <w:tcW w:w="1269"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费用</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(万元)</w:t>
            </w:r>
            <w:r/>
          </w:p>
        </w:tc>
      </w:tr>
      <w:tr>
        <w:trPr>
          <w:trHeight w:val="340"/>
        </w:trPr>
        <w:tc>
          <w:tcPr>
            <w:shd w:val="clear" w:color="auto" w:fill="auto"/>
            <w:tcW w:w="60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20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信息集成</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智慧环保数字化支撑服务</w:t>
            </w:r>
            <w:r/>
          </w:p>
        </w:tc>
        <w:tc>
          <w:tcPr>
            <w:shd w:val="clear" w:color="auto" w:fill="auto"/>
            <w:tcW w:w="1851" w:type="dxa"/>
            <w:vAlign w:val="center"/>
            <w:vMerge w:val="restart"/>
            <w:textDirection w:val="lrTb"/>
            <w:noWrap/>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数据集成</w:t>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w:t>
            </w:r>
            <w:r>
              <w:rPr>
                <w:rFonts w:hint="eastAsia" w:ascii="宋体" w:hAnsi="宋体" w:eastAsia="宋体" w:cs="宋体"/>
                <w:color w:val="auto"/>
                <w:sz w:val="21"/>
                <w:szCs w:val="21"/>
                <w:lang w:val="en-US" w:eastAsia="zh-CN"/>
              </w:rPr>
              <w:t xml:space="preserve">大气</w:t>
            </w:r>
            <w:r>
              <w:rPr>
                <w:rFonts w:hint="eastAsia" w:ascii="宋体" w:hAnsi="宋体" w:eastAsia="宋体" w:cs="宋体"/>
                <w:color w:val="auto"/>
                <w:sz w:val="21"/>
                <w:szCs w:val="21"/>
              </w:rPr>
              <w:t xml:space="preserve">环境质量站点监测实时数据接入</w:t>
            </w:r>
            <w:r/>
          </w:p>
        </w:tc>
        <w:tc>
          <w:tcPr>
            <w:shd w:val="clear" w:color="auto" w:fill="auto"/>
            <w:tcW w:w="1269" w:type="dxa"/>
            <w:vAlign w:val="center"/>
            <w:vMerge w:val="restart"/>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数据清洗及数据质量监测（审核数据回流更新）</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shd w:val="clear" w:color="auto" w:fill="auto"/>
            <w:tcW w:w="60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20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85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数据展示和基础分析功能</w:t>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区域环境质量一图总览（地图服务+数据概览）</w:t>
            </w:r>
            <w:r/>
          </w:p>
        </w:tc>
        <w:tc>
          <w:tcPr>
            <w:shd w:val="clear" w:color="auto" w:fill="auto"/>
            <w:tcW w:w="1269" w:type="dxa"/>
            <w:vAlign w:val="center"/>
            <w:vMerge w:val="restart"/>
            <w:textDirection w:val="lrTb"/>
            <w:noWrap/>
          </w:tcPr>
          <w:p>
            <w:pPr>
              <w:jc w:val="center"/>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w:t>
            </w:r>
            <w:r>
              <w:rPr>
                <w:rFonts w:hint="eastAsia" w:ascii="宋体" w:hAnsi="宋体" w:eastAsia="宋体" w:cs="宋体"/>
                <w:color w:val="auto"/>
                <w:sz w:val="21"/>
                <w:szCs w:val="21"/>
                <w:lang w:val="en-US" w:eastAsia="zh-CN"/>
              </w:rPr>
              <w:t xml:space="preserve">大气</w:t>
            </w:r>
            <w:r>
              <w:rPr>
                <w:rFonts w:hint="eastAsia" w:ascii="宋体" w:hAnsi="宋体" w:eastAsia="宋体" w:cs="宋体"/>
                <w:color w:val="auto"/>
                <w:sz w:val="21"/>
                <w:szCs w:val="21"/>
              </w:rPr>
              <w:t xml:space="preserve">站点任意时段数据查询、下载、分析</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区域站点纵向对比分析（达标分析）</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大气环境质量预测预报</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cs="宋体"/>
                <w:color w:val="auto"/>
                <w:sz w:val="21"/>
                <w:szCs w:val="21"/>
                <w:lang w:val="en-US" w:eastAsia="zh-CN"/>
              </w:rPr>
              <w:t xml:space="preserve">污染溯源解析</w:t>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污染来源解析</w:t>
            </w:r>
            <w:r/>
          </w:p>
        </w:tc>
        <w:tc>
          <w:tcPr>
            <w:tcW w:w="1269" w:type="dxa"/>
            <w:vAlign w:val="center"/>
            <w:vMerge w:val="restart"/>
            <w:textDirection w:val="lrTb"/>
            <w:noWrap w:val="false"/>
          </w:tcPr>
          <w:p>
            <w:pPr>
              <w:jc w:val="center"/>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85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VOCs</w:t>
            </w:r>
            <w:r>
              <w:rPr>
                <w:rFonts w:hint="eastAsia" w:cs="宋体"/>
                <w:color w:val="auto"/>
                <w:sz w:val="21"/>
                <w:szCs w:val="21"/>
                <w:lang w:val="en-US" w:eastAsia="zh-CN"/>
              </w:rPr>
              <w:t xml:space="preserve">专项</w:t>
            </w:r>
            <w:r>
              <w:rPr>
                <w:rFonts w:hint="eastAsia" w:ascii="宋体" w:hAnsi="宋体" w:eastAsia="宋体" w:cs="宋体"/>
                <w:color w:val="auto"/>
                <w:sz w:val="21"/>
                <w:szCs w:val="21"/>
              </w:rPr>
              <w:t xml:space="preserve">分析</w:t>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VOCs数据分析</w:t>
            </w:r>
            <w:r/>
          </w:p>
        </w:tc>
        <w:tc>
          <w:tcPr>
            <w:shd w:val="clear" w:color="auto" w:fill="auto"/>
            <w:tcW w:w="1269"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VOCs组分站在线源解析</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shd w:val="clear" w:color="auto" w:fill="auto"/>
            <w:tcW w:w="60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20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851"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告警提醒</w:t>
            </w:r>
            <w:r/>
          </w:p>
        </w:tc>
        <w:tc>
          <w:tcPr>
            <w:shd w:val="clear" w:color="000000"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站点</w:t>
            </w:r>
            <w:r>
              <w:rPr>
                <w:rFonts w:hint="eastAsia" w:ascii="宋体" w:hAnsi="宋体" w:eastAsia="宋体" w:cs="宋体"/>
                <w:color w:val="auto"/>
                <w:sz w:val="21"/>
                <w:szCs w:val="21"/>
              </w:rPr>
              <w:t xml:space="preserve">高值告警</w:t>
            </w:r>
            <w:r/>
          </w:p>
        </w:tc>
        <w:tc>
          <w:tcPr>
            <w:shd w:val="clear" w:color="auto" w:fill="auto"/>
            <w:tcW w:w="1269"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auto"/>
            <w:tcW w:w="4671" w:type="dxa"/>
            <w:vAlign w:val="center"/>
            <w:textDirection w:val="lrTb"/>
            <w:noWrap/>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达标风险</w:t>
            </w:r>
            <w:r>
              <w:rPr>
                <w:rFonts w:hint="eastAsia" w:ascii="宋体" w:hAnsi="宋体" w:eastAsia="宋体" w:cs="宋体"/>
                <w:color w:val="auto"/>
                <w:sz w:val="21"/>
                <w:szCs w:val="21"/>
              </w:rPr>
              <w:t xml:space="preserve">告警</w:t>
            </w:r>
            <w:r/>
          </w:p>
        </w:tc>
        <w:tc>
          <w:tcPr>
            <w:tcW w:w="1269"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问题处置</w:t>
            </w:r>
            <w:r/>
          </w:p>
        </w:tc>
        <w:tc>
          <w:tcPr>
            <w:shd w:val="clear" w:color="000000" w:fill="auto"/>
            <w:tcW w:w="4671" w:type="dxa"/>
            <w:vAlign w:val="center"/>
            <w:textDirection w:val="lrTb"/>
            <w:noWrap/>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问题闭环处理处置电子信息留存</w:t>
            </w:r>
            <w:r/>
          </w:p>
        </w:tc>
        <w:tc>
          <w:tcPr>
            <w:tcW w:w="1269"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trHeight w:val="340"/>
        </w:trPr>
        <w:tc>
          <w:tcPr>
            <w:tcW w:w="6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00"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信息管理</w:t>
            </w:r>
            <w:r/>
          </w:p>
        </w:tc>
        <w:tc>
          <w:tcPr>
            <w:shd w:val="clear" w:color="000000"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站点信息管理</w:t>
            </w:r>
            <w:r/>
          </w:p>
        </w:tc>
        <w:tc>
          <w:tcPr>
            <w:tcW w:w="12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W w:w="60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30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专项驻点服务</w:t>
            </w:r>
            <w:r/>
          </w:p>
        </w:tc>
        <w:tc>
          <w:tcPr>
            <w:shd w:val="clear" w:color="000000" w:fill="auto"/>
            <w:tcW w:w="4671" w:type="dxa"/>
            <w:vAlign w:val="center"/>
            <w:textDirection w:val="lrTb"/>
            <w:noWrap w:val="false"/>
          </w:tcPr>
          <w:p>
            <w:pPr>
              <w:jc w:val="left"/>
              <w:widowControl/>
              <w:rPr>
                <w:rFonts w:hint="eastAsia" w:ascii="宋体" w:hAnsi="宋体" w:eastAsia="宋体" w:cs="宋体"/>
                <w:color w:val="auto"/>
                <w:sz w:val="21"/>
                <w:szCs w:val="21"/>
              </w:rPr>
            </w:pPr>
            <w:r>
              <w:rPr>
                <w:rFonts w:hint="eastAsia" w:cs="宋体"/>
                <w:color w:val="auto"/>
                <w:sz w:val="21"/>
                <w:szCs w:val="21"/>
                <w:lang w:val="en-US" w:eastAsia="zh-CN"/>
              </w:rPr>
              <w:t xml:space="preserve">专业技术人员驻场开展</w:t>
            </w:r>
            <w:r>
              <w:rPr>
                <w:rFonts w:hint="eastAsia" w:ascii="宋体" w:hAnsi="宋体" w:eastAsia="宋体" w:cs="宋体"/>
                <w:color w:val="auto"/>
                <w:sz w:val="21"/>
                <w:szCs w:val="21"/>
              </w:rPr>
              <w:t xml:space="preserve">技术服务平台的日常运维，以及相关问题的协调处置和初步溯源工作</w:t>
            </w:r>
            <w:r/>
          </w:p>
        </w:tc>
        <w:tc>
          <w:tcPr>
            <w:tcW w:w="12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gridSpan w:val="4"/>
            <w:shd w:val="clear" w:color="auto" w:fill="auto"/>
            <w:tcW w:w="832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总计</w:t>
            </w:r>
            <w:r/>
          </w:p>
        </w:tc>
        <w:tc>
          <w:tcPr>
            <w:shd w:val="clear" w:color="auto" w:fill="auto"/>
            <w:tcW w:w="1269"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675"/>
        <w:numPr>
          <w:ilvl w:val="0"/>
          <w:numId w:val="0"/>
        </w:numPr>
        <w:jc w:val="both"/>
        <w:spacing w:beforeAutospacing="0" w:afterAutospacing="0" w:line="0" w:lineRule="atLeast"/>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备注：</w:t>
      </w:r>
      <w:r/>
    </w:p>
    <w:p>
      <w:pPr>
        <w:pStyle w:val="675"/>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675"/>
        <w:jc w:val="both"/>
        <w:keepLines w:val="0"/>
        <w:keepNext w:val="0"/>
        <w:pageBreakBefore w:val="0"/>
        <w:spacing w:beforeAutospacing="0" w:afterAutospacing="0"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 “投标分项报价表”中“投标总报价”数额应当与“开标一览表”中“投标总报价”数额一致。</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numPr>
          <w:ilvl w:val="0"/>
          <w:numId w:val="9"/>
        </w:numPr>
        <w:ind w:left="0" w:firstLine="0"/>
        <w:jc w:val="center"/>
        <w:spacing w:beforeAutospacing="0" w:afterAutospacing="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技术要求响应及偏离表</w:t>
      </w:r>
      <w:r/>
    </w:p>
    <w:tbl>
      <w:tblPr>
        <w:tblStyle w:val="6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证明</w:t>
            </w:r>
            <w:r/>
          </w:p>
          <w:p>
            <w:pPr>
              <w:pStyle w:val="675"/>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5"/>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5"/>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5"/>
              <w:jc w:val="center"/>
              <w:spacing w:beforeAutospacing="0" w:afterAutospacing="0"/>
              <w:rPr>
                <w:color w:val="auto"/>
              </w:rPr>
            </w:pPr>
            <w:r>
              <w:rPr>
                <w:color w:val="auto"/>
              </w:rPr>
              <w:t xml:space="preserve"> </w:t>
            </w:r>
            <w:r/>
          </w:p>
        </w:tc>
      </w:tr>
    </w:tbl>
    <w:p>
      <w:pPr>
        <w:pStyle w:val="675"/>
        <w:jc w:val="both"/>
        <w:spacing w:beforeAutospacing="0" w:afterAutospacing="0"/>
        <w:rPr>
          <w:color w:val="auto"/>
        </w:rPr>
      </w:pPr>
      <w:r>
        <w:rPr>
          <w:rFonts w:hint="eastAsia" w:ascii="宋体" w:hAnsi="宋体" w:eastAsia="宋体" w:cs="宋体"/>
          <w:color w:val="auto"/>
        </w:rPr>
        <w:t xml:space="preserve">注： 行数不够，可自行添加。</w:t>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rPr>
          <w:rFonts w:hint="eastAsia" w:ascii="宋体" w:hAnsi="宋体" w:eastAsia="宋体" w:cs="宋体"/>
          <w:b/>
          <w:bCs/>
          <w:color w:val="auto"/>
          <w:sz w:val="28"/>
          <w:szCs w:val="28"/>
          <w:highlight w:val="none"/>
          <w:lang w:val="en-US" w:eastAsia="zh-CN" w:bidi="ar-SA"/>
        </w:rP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numPr>
          <w:ilvl w:val="0"/>
          <w:numId w:val="0"/>
        </w:numPr>
        <w:jc w:val="both"/>
        <w:spacing w:beforeAutospacing="0" w:afterAutospacing="0"/>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outlineLvl w:val="1"/>
      </w:pPr>
      <w:r>
        <w:rPr>
          <w:rFonts w:hint="eastAsia" w:ascii="宋体" w:hAnsi="宋体" w:eastAsia="宋体" w:cs="宋体"/>
          <w:b/>
          <w:bCs/>
          <w:color w:val="auto"/>
          <w:sz w:val="28"/>
          <w:szCs w:val="28"/>
          <w:highlight w:val="none"/>
          <w:lang w:val="en-US" w:eastAsia="zh-CN" w:bidi="ar-SA"/>
        </w:rPr>
        <w:t xml:space="preserve">十三、</w:t>
      </w:r>
      <w:bookmarkStart w:id="198" w:name="_Hlt26955054"/>
      <w:r>
        <w:rPr>
          <w:rFonts w:hint="eastAsia" w:ascii="宋体" w:hAnsi="宋体" w:eastAsia="宋体" w:cs="宋体"/>
          <w:b/>
          <w:bCs/>
          <w:color w:val="auto"/>
          <w:sz w:val="28"/>
          <w:szCs w:val="28"/>
          <w:highlight w:val="none"/>
          <w:lang w:val="en-US" w:eastAsia="zh-CN" w:bidi="ar-SA"/>
        </w:rPr>
        <w:t xml:space="preserve">商务要求响应及偏离表</w:t>
      </w:r>
      <w:r/>
    </w:p>
    <w:tbl>
      <w:tblPr>
        <w:tblStyle w:val="6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bookmarkStart w:id="199" w:name="_Hlt26609391"/>
            <w:r/>
            <w:bookmarkStart w:id="200" w:name="_Hlt26580838"/>
            <w:r/>
            <w:bookmarkStart w:id="201" w:name="_Hlt26671372"/>
            <w:r/>
            <w:bookmarkStart w:id="202" w:name="_Hlt26782999"/>
            <w:r/>
            <w:bookmarkStart w:id="203" w:name="_Hlt26671343"/>
            <w:r/>
            <w:bookmarkStart w:id="204" w:name="_Hlt24879081"/>
            <w:r/>
            <w:bookmarkStart w:id="205" w:name="_Hlt26955064"/>
            <w:r/>
            <w:bookmarkStart w:id="206" w:name="_Hlt26955056"/>
            <w:r>
              <w:rPr>
                <w:rFonts w:hint="eastAsia" w:asciiTheme="majorEastAsia" w:hAnsiTheme="majorEastAsia" w:eastAsiaTheme="majorEastAsia" w:cstheme="majorEastAsia"/>
                <w:color w:val="auto"/>
                <w:sz w:val="24"/>
                <w:szCs w:val="24"/>
                <w:highlight w:val="none"/>
              </w:rPr>
              <w:t xml:space="preserve">序号</w:t>
            </w:r>
            <w:bookmarkEnd w:id="199"/>
            <w:bookmarkEnd w:id="200"/>
            <w:bookmarkEnd w:id="201"/>
            <w:bookmarkEnd w:id="202"/>
            <w:bookmarkEnd w:id="203"/>
            <w:bookmarkEnd w:id="204"/>
            <w:bookmarkEnd w:id="205"/>
            <w:bookmarkEnd w:id="206"/>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证明</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tc>
      </w:tr>
    </w:tbl>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注： 行数不够，可自行添加。</w:t>
      </w:r>
      <w:r/>
    </w:p>
    <w:p>
      <w:pPr>
        <w:pStyle w:val="675"/>
        <w:jc w:val="both"/>
        <w:spacing w:beforeAutospacing="0" w:afterAutospacing="0" w:line="48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both"/>
        <w:spacing w:beforeAutospacing="0" w:afterAutospacing="0" w:line="48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bookmarkStart w:id="207" w:name="_Hlt26955066"/>
      <w:r/>
      <w:bookmarkStart w:id="208" w:name="_格式2__法定代表人授权书"/>
      <w:r/>
      <w:bookmarkStart w:id="209" w:name="_Hlt26609389"/>
      <w:r/>
      <w:bookmarkStart w:id="210" w:name="_Hlt26671374"/>
      <w:r/>
      <w:bookmarkStart w:id="211" w:name="_Toc462564146"/>
      <w:r>
        <w:rPr>
          <w:rFonts w:hint="eastAsia" w:asciiTheme="majorEastAsia" w:hAnsiTheme="majorEastAsia" w:eastAsiaTheme="majorEastAsia" w:cstheme="majorEastAsia"/>
          <w:color w:val="auto"/>
          <w:sz w:val="24"/>
          <w:szCs w:val="24"/>
          <w:highlight w:val="none"/>
        </w:rPr>
        <w:t xml:space="preserve"> </w:t>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十四、开标一览表</w:t>
      </w:r>
      <w:r/>
    </w:p>
    <w:tbl>
      <w:tblPr>
        <w:tblStyle w:val="663"/>
        <w:tblW w:w="9170"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8010"/>
      </w:tblGrid>
      <w:tr>
        <w:trPr>
          <w:cantSplit/>
          <w:trHeight w:val="789"/>
        </w:trPr>
        <w:tc>
          <w:tcPr>
            <w:tcW w:w="1160" w:type="dxa"/>
            <w:vAlign w:val="center"/>
            <w:textDirection w:val="lrTb"/>
            <w:noWrap w:val="false"/>
          </w:tcPr>
          <w:p>
            <w:pPr>
              <w:jc w:val="both"/>
              <w:rPr>
                <w:rFonts w:hint="eastAsia" w:ascii="宋体"/>
                <w:color w:val="auto"/>
                <w:szCs w:val="28"/>
                <w:highlight w:val="none"/>
              </w:rPr>
            </w:pPr>
            <w:r>
              <w:rPr>
                <w:rFonts w:hint="eastAsia" w:ascii="宋体"/>
                <w:color w:val="auto"/>
                <w:szCs w:val="28"/>
                <w:highlight w:val="none"/>
              </w:rPr>
              <w:t xml:space="preserve">项目编号</w:t>
            </w:r>
            <w:r/>
          </w:p>
        </w:tc>
        <w:tc>
          <w:tcPr>
            <w:tcW w:w="8010" w:type="dxa"/>
            <w:vAlign w:val="center"/>
            <w:textDirection w:val="lrTb"/>
            <w:noWrap w:val="false"/>
          </w:tcPr>
          <w:p>
            <w:pPr>
              <w:pStyle w:val="660"/>
              <w:jc w:val="both"/>
              <w:keepLines/>
              <w:keepNext/>
              <w:pageBreakBefore w:val="0"/>
              <w:spacing w:before="0" w:after="0" w:line="240" w:lineRule="auto"/>
              <w:widowControl w:val="off"/>
              <w:rPr>
                <w:rFonts w:hint="default" w:ascii="宋体" w:hAnsi="Calibri" w:eastAsia="宋体" w:cs="Times New Roman"/>
                <w:b w:val="0"/>
                <w:color w:val="auto"/>
                <w:sz w:val="28"/>
                <w:szCs w:val="28"/>
                <w:highlight w:val="none"/>
                <w:lang w:val="en-US" w:eastAsia="zh-CN" w:bidi="ar-SA"/>
              </w:rPr>
            </w:pPr>
            <w:r>
              <w:rPr>
                <w:rFonts w:hint="default" w:ascii="宋体" w:hAnsi="Calibri" w:eastAsia="宋体" w:cs="Times New Roman"/>
                <w:b w:val="0"/>
                <w:color w:val="auto"/>
                <w:sz w:val="28"/>
                <w:szCs w:val="28"/>
                <w:highlight w:val="none"/>
                <w:lang w:val="en-US" w:eastAsia="zh-CN" w:bidi="ar-SA"/>
              </w:rPr>
            </w:r>
            <w:r/>
          </w:p>
        </w:tc>
      </w:tr>
      <w:tr>
        <w:trPr>
          <w:cantSplit/>
          <w:trHeight w:val="789"/>
        </w:trPr>
        <w:tc>
          <w:tcPr>
            <w:tcW w:w="1160" w:type="dxa"/>
            <w:vAlign w:val="center"/>
            <w:textDirection w:val="lrTb"/>
            <w:noWrap w:val="false"/>
          </w:tcPr>
          <w:p>
            <w:pPr>
              <w:rPr>
                <w:rFonts w:hint="eastAsia" w:ascii="宋体"/>
                <w:color w:val="auto"/>
                <w:szCs w:val="28"/>
                <w:highlight w:val="none"/>
              </w:rPr>
            </w:pPr>
            <w:r>
              <w:rPr>
                <w:rFonts w:hint="eastAsia" w:ascii="宋体"/>
                <w:color w:val="auto"/>
                <w:szCs w:val="28"/>
                <w:highlight w:val="none"/>
              </w:rPr>
              <w:t xml:space="preserve">项目名称</w:t>
            </w:r>
            <w:r/>
          </w:p>
        </w:tc>
        <w:tc>
          <w:tcPr>
            <w:tcW w:w="8010" w:type="dxa"/>
            <w:vAlign w:val="center"/>
            <w:textDirection w:val="lrTb"/>
            <w:noWrap w:val="false"/>
          </w:tcPr>
          <w:p>
            <w:pPr>
              <w:pStyle w:val="660"/>
              <w:jc w:val="both"/>
              <w:keepLines/>
              <w:keepNext/>
              <w:pageBreakBefore w:val="0"/>
              <w:spacing w:before="0" w:after="0"/>
              <w:widowControl w:val="off"/>
              <w:rPr>
                <w:rFonts w:hint="eastAsia" w:ascii="宋体" w:hAnsi="Calibri" w:eastAsia="宋体" w:cs="Times New Roman"/>
                <w:b w:val="0"/>
                <w:color w:val="auto"/>
                <w:sz w:val="28"/>
                <w:szCs w:val="28"/>
                <w:highlight w:val="none"/>
                <w:lang w:val="en-US" w:eastAsia="zh-CN" w:bidi="ar-SA"/>
              </w:rPr>
            </w:pPr>
            <w:r>
              <w:rPr>
                <w:rFonts w:hint="eastAsia" w:ascii="宋体" w:hAnsi="Calibri" w:eastAsia="宋体" w:cs="Times New Roman"/>
                <w:b w:val="0"/>
                <w:color w:val="auto"/>
                <w:sz w:val="28"/>
                <w:szCs w:val="28"/>
                <w:highlight w:val="none"/>
                <w:lang w:val="en-US" w:eastAsia="zh-CN" w:bidi="ar-SA"/>
              </w:rPr>
            </w:r>
            <w:r/>
          </w:p>
        </w:tc>
      </w:tr>
      <w:tr>
        <w:trPr>
          <w:cantSplit/>
          <w:trHeight w:val="821"/>
        </w:trPr>
        <w:tc>
          <w:tcPr>
            <w:gridSpan w:val="2"/>
            <w:tcW w:w="9170" w:type="dxa"/>
            <w:vAlign w:val="center"/>
            <w:textDirection w:val="lrTb"/>
            <w:noWrap w:val="false"/>
          </w:tcPr>
          <w:p>
            <w:pPr>
              <w:ind w:right="439"/>
              <w:jc w:val="left"/>
              <w:rPr>
                <w:rFonts w:hint="default" w:ascii="宋体" w:eastAsia="宋体"/>
                <w:b w:val="0"/>
                <w:bCs w:val="0"/>
                <w:color w:val="auto"/>
                <w:szCs w:val="28"/>
                <w:highlight w:val="none"/>
                <w:lang w:val="en-US" w:eastAsia="zh-CN"/>
              </w:rPr>
            </w:pPr>
            <w:r>
              <w:rPr>
                <w:rFonts w:hint="eastAsia" w:ascii="宋体"/>
                <w:b/>
                <w:bCs/>
                <w:color w:val="auto"/>
                <w:szCs w:val="28"/>
                <w:highlight w:val="none"/>
              </w:rPr>
              <w:t xml:space="preserve">项目投标报价：</w:t>
            </w:r>
            <w:r>
              <w:rPr>
                <w:rFonts w:hint="eastAsia" w:ascii="宋体"/>
                <w:b/>
                <w:bCs/>
                <w:color w:val="auto"/>
                <w:szCs w:val="28"/>
                <w:highlight w:val="none"/>
                <w:lang w:val="en-US" w:eastAsia="zh-CN"/>
              </w:rPr>
              <w:t xml:space="preserve">大写</w:t>
            </w:r>
            <w:r>
              <w:rPr>
                <w:rFonts w:hint="eastAsia" w:ascii="宋体"/>
                <w:b/>
                <w:bCs/>
                <w:color w:val="auto"/>
                <w:szCs w:val="28"/>
                <w:highlight w:val="none"/>
                <w:u w:val="single"/>
                <w:lang w:val="en-US" w:eastAsia="zh-CN"/>
              </w:rPr>
              <w:t xml:space="preserve">              </w:t>
            </w:r>
            <w:r>
              <w:rPr>
                <w:rFonts w:hint="eastAsia" w:ascii="宋体"/>
                <w:b/>
                <w:bCs/>
                <w:color w:val="auto"/>
                <w:szCs w:val="28"/>
                <w:highlight w:val="none"/>
                <w:lang w:val="en-US" w:eastAsia="zh-CN"/>
              </w:rPr>
              <w:t xml:space="preserve">，小写￥</w:t>
            </w:r>
            <w:r>
              <w:rPr>
                <w:rFonts w:hint="eastAsia" w:ascii="宋体"/>
                <w:b/>
                <w:bCs/>
                <w:color w:val="auto"/>
                <w:szCs w:val="28"/>
                <w:highlight w:val="none"/>
                <w:u w:val="single"/>
                <w:lang w:val="en-US" w:eastAsia="zh-CN"/>
              </w:rPr>
              <w:t xml:space="preserve">         </w:t>
            </w:r>
            <w:r>
              <w:rPr>
                <w:rFonts w:hint="eastAsia" w:ascii="宋体"/>
                <w:b/>
                <w:bCs/>
                <w:color w:val="auto"/>
                <w:szCs w:val="28"/>
                <w:highlight w:val="none"/>
                <w:lang w:val="en-US" w:eastAsia="zh-CN"/>
              </w:rPr>
              <w:t xml:space="preserve">元。</w:t>
            </w:r>
            <w:r/>
          </w:p>
        </w:tc>
      </w:tr>
      <w:tr>
        <w:trPr>
          <w:cantSplit/>
          <w:trHeight w:val="821"/>
        </w:trPr>
        <w:tc>
          <w:tcPr>
            <w:gridSpan w:val="2"/>
            <w:tcW w:w="9170" w:type="dxa"/>
            <w:vAlign w:val="center"/>
            <w:textDirection w:val="lrTb"/>
            <w:noWrap w:val="false"/>
          </w:tcPr>
          <w:p>
            <w:pPr>
              <w:keepLines w:val="0"/>
              <w:keepNext w:val="0"/>
              <w:pageBreakBefore w:val="0"/>
              <w:spacing w:line="480" w:lineRule="exact"/>
              <w:rPr>
                <w:rFonts w:hint="eastAsia" w:ascii="宋体" w:hAnsi="宋体" w:eastAsia="宋体"/>
                <w:bCs/>
                <w:color w:val="auto"/>
                <w:sz w:val="24"/>
                <w:highlight w:val="none"/>
                <w:lang w:eastAsia="zh-CN"/>
              </w:rPr>
            </w:pPr>
            <w:r>
              <w:rPr>
                <w:rFonts w:hint="eastAsia" w:ascii="宋体" w:hAnsi="宋体" w:eastAsia="宋体" w:cs="宋体"/>
                <w:color w:val="auto"/>
                <w:sz w:val="24"/>
                <w:szCs w:val="24"/>
              </w:rPr>
              <w:t xml:space="preserve">合同履行期限</w:t>
            </w:r>
            <w:r>
              <w:rPr>
                <w:rFonts w:hint="eastAsia" w:ascii="宋体" w:hAnsi="宋体" w:eastAsia="宋体" w:cs="宋体"/>
                <w:color w:val="auto"/>
                <w:spacing w:val="10"/>
                <w:position w:val="2"/>
                <w:sz w:val="24"/>
                <w:szCs w:val="24"/>
              </w:rPr>
              <w:t xml:space="preserve">：</w:t>
            </w:r>
            <w:r/>
          </w:p>
        </w:tc>
      </w:tr>
      <w:tr>
        <w:trPr>
          <w:cantSplit/>
          <w:trHeight w:val="807"/>
        </w:trPr>
        <w:tc>
          <w:tcPr>
            <w:gridSpan w:val="2"/>
            <w:tcW w:w="9170" w:type="dxa"/>
            <w:vAlign w:val="center"/>
            <w:textDirection w:val="lrTb"/>
            <w:noWrap w:val="false"/>
          </w:tcPr>
          <w:p>
            <w:pPr>
              <w:spacing w:line="276" w:lineRule="auto"/>
              <w:rPr>
                <w:rFonts w:hint="eastAsia" w:ascii="宋体"/>
                <w:b/>
                <w:bCs/>
                <w:color w:val="auto"/>
                <w:szCs w:val="28"/>
                <w:highlight w:val="none"/>
              </w:rPr>
            </w:pP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要求：</w:t>
            </w:r>
            <w:r/>
          </w:p>
        </w:tc>
      </w:tr>
      <w:tr>
        <w:trPr>
          <w:trHeight w:val="799"/>
        </w:trPr>
        <w:tc>
          <w:tcPr>
            <w:gridSpan w:val="2"/>
            <w:tcW w:w="9170" w:type="dxa"/>
            <w:vAlign w:val="center"/>
            <w:textDirection w:val="lrTb"/>
            <w:noWrap w:val="false"/>
          </w:tcPr>
          <w:p>
            <w:pPr>
              <w:spacing w:line="276" w:lineRule="auto"/>
              <w:rPr>
                <w:rFonts w:hint="eastAsia" w:ascii="宋体" w:hAnsi="宋体"/>
                <w:color w:val="auto"/>
                <w:sz w:val="24"/>
                <w:highlight w:val="none"/>
              </w:rPr>
            </w:pPr>
            <w:r>
              <w:rPr>
                <w:rFonts w:hint="eastAsia" w:ascii="宋体" w:hAnsi="宋体"/>
                <w:color w:val="auto"/>
                <w:sz w:val="24"/>
                <w:highlight w:val="none"/>
              </w:rPr>
              <w:t xml:space="preserve">企业类型：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大型、</w:t>
            </w:r>
            <w:r>
              <w:rPr>
                <w:rFonts w:hint="eastAsia" w:ascii="宋体" w:hAnsi="宋体"/>
                <w:color w:val="auto"/>
                <w:sz w:val="24"/>
                <w:highlight w:val="none"/>
              </w:rPr>
              <w:t xml:space="preserve">中型、小型、微型）   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）页</w:t>
            </w:r>
            <w:r/>
          </w:p>
        </w:tc>
      </w:tr>
    </w:tbl>
    <w:p>
      <w:pPr>
        <w:jc w:val="center"/>
        <w:spacing w:before="50" w:after="50"/>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spacing w:line="180" w:lineRule="atLeast"/>
        <w:rPr>
          <w:rFonts w:hint="eastAsia" w:ascii="宋体" w:hAnsi="宋体"/>
          <w:color w:val="auto"/>
          <w:sz w:val="24"/>
          <w:highlight w:val="none"/>
        </w:rPr>
      </w:pPr>
      <w:r>
        <w:rPr>
          <w:rFonts w:hint="eastAsia" w:ascii="宋体" w:hAnsi="宋体"/>
          <w:color w:val="auto"/>
          <w:sz w:val="24"/>
          <w:highlight w:val="none"/>
        </w:rPr>
        <w:t xml:space="preserve">填写说明：</w:t>
      </w:r>
      <w:r/>
    </w:p>
    <w:p>
      <w:pPr>
        <w:numPr>
          <w:ilvl w:val="0"/>
          <w:numId w:val="10"/>
        </w:numPr>
        <w:rPr>
          <w:rFonts w:hint="eastAsia" w:ascii="宋体" w:hAnsi="宋体"/>
          <w:color w:val="auto"/>
          <w:sz w:val="24"/>
          <w:highlight w:val="none"/>
        </w:rPr>
      </w:pPr>
      <w:r>
        <w:rPr>
          <w:rFonts w:hint="eastAsia" w:ascii="宋体" w:hAnsi="宋体"/>
          <w:color w:val="auto"/>
          <w:sz w:val="24"/>
          <w:highlight w:val="none"/>
        </w:rPr>
        <w:t xml:space="preserve">开标一览表不得填报选择性报价，否则将作为无效投标；</w:t>
      </w:r>
      <w:r/>
    </w:p>
    <w:p>
      <w:pPr>
        <w:numPr>
          <w:ilvl w:val="0"/>
          <w:numId w:val="10"/>
        </w:numPr>
        <w:rPr>
          <w:rFonts w:hint="eastAsia" w:ascii="宋体" w:hAnsi="宋体"/>
          <w:color w:val="auto"/>
          <w:sz w:val="24"/>
          <w:highlight w:val="none"/>
        </w:rPr>
      </w:pPr>
      <w:r>
        <w:rPr>
          <w:rFonts w:hint="eastAsia" w:ascii="宋体" w:hAnsi="宋体"/>
          <w:color w:val="auto"/>
          <w:sz w:val="24"/>
          <w:highlight w:val="none"/>
        </w:rPr>
        <w:t xml:space="preserve">开标一览表中报价与采购清单报价表中不符时，以开标一览表为准；</w:t>
      </w:r>
      <w:r/>
    </w:p>
    <w:p>
      <w:pPr>
        <w:ind w:firstLine="2640"/>
        <w:rPr>
          <w:rFonts w:hint="eastAsia" w:ascii="黑体" w:hAnsi="Arial" w:eastAsia="黑体"/>
          <w:color w:val="auto"/>
          <w:sz w:val="44"/>
          <w:highlight w:val="none"/>
        </w:rPr>
      </w:pPr>
      <w:r>
        <w:rPr>
          <w:rFonts w:hint="eastAsia" w:ascii="黑体" w:hAnsi="Arial" w:eastAsia="黑体"/>
          <w:color w:val="auto"/>
          <w:sz w:val="4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686"/>
        <w:ind w:left="420" w:firstLine="564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投标人（公章）： </w:t>
      </w:r>
      <w:r/>
    </w:p>
    <w:p>
      <w:pPr>
        <w:ind w:firstLine="480"/>
        <w:jc w:val="right"/>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spacing w:before="50" w:after="50"/>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jc w:val="center"/>
        <w:spacing w:before="50" w:after="50"/>
        <w:widowControl/>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十五、评分标准要求提供的材料等</w:t>
      </w:r>
      <w:r/>
    </w:p>
    <w:p>
      <w:pPr>
        <w:pStyle w:val="675"/>
        <w:jc w:val="both"/>
        <w:spacing w:beforeAutospacing="0" w:afterAutospacing="0"/>
        <w:tabs>
          <w:tab w:val="left" w:pos="2160" w:leader="none"/>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p>
    <w:p>
      <w:pPr>
        <w:ind w:firstLine="1600"/>
        <w:spacing w:line="499" w:lineRule="atLeast"/>
        <w:widowControl/>
        <w:rPr>
          <w:rFonts w:hint="eastAsia" w:asciiTheme="majorEastAsia" w:hAnsiTheme="majorEastAsia" w:eastAsiaTheme="majorEastAsia" w:cstheme="majorEastAsia"/>
          <w:color w:val="auto"/>
          <w:sz w:val="24"/>
          <w:szCs w:val="24"/>
          <w:highlight w:val="none"/>
        </w:rPr>
        <w:outlineLvl w:val="9"/>
      </w:pPr>
      <w:r>
        <w:rPr>
          <w:rFonts w:hint="eastAsia" w:asciiTheme="majorEastAsia" w:hAnsiTheme="majorEastAsia" w:eastAsiaTheme="majorEastAsia" w:cstheme="majorEastAsia"/>
          <w:color w:val="auto"/>
          <w:sz w:val="24"/>
          <w:szCs w:val="24"/>
          <w:highlight w:val="none"/>
        </w:rPr>
      </w:r>
      <w:r/>
    </w:p>
    <w:p>
      <w:pPr>
        <w:jc w:val="center"/>
        <w:spacing w:before="50" w:after="50"/>
        <w:widowControl/>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十六、盐城市政府采购事前信用承诺书</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（八）本人已认真阅读了上述承诺，并向本单位员工作了宣传教育。</w:t>
      </w:r>
      <w:r/>
    </w:p>
    <w:p>
      <w:pPr>
        <w:jc w:val="left"/>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ind w:firstLine="4320"/>
        <w:jc w:val="left"/>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法定代表人签名：</w:t>
      </w:r>
      <w:r/>
    </w:p>
    <w:p>
      <w:pPr>
        <w:jc w:val="center"/>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单位名称（盖章）：</w:t>
      </w:r>
      <w:r/>
    </w:p>
    <w:p>
      <w:pPr>
        <w:jc w:val="center"/>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年</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月</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日</w:t>
      </w:r>
      <w:r/>
    </w:p>
    <w:p>
      <w:pPr>
        <w:jc w:val="center"/>
        <w:spacing w:line="499" w:lineRule="atLeast"/>
        <w:widowControl/>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rPr>
          <w:rFonts w:hint="eastAsia" w:asciiTheme="majorEastAsia" w:hAnsiTheme="majorEastAsia" w:eastAsiaTheme="majorEastAsia" w:cstheme="majorEastAsia"/>
          <w:color w:val="auto"/>
          <w:sz w:val="24"/>
          <w:szCs w:val="24"/>
          <w:highlight w:val="none"/>
        </w:rPr>
      </w:r>
    </w:p>
    <w:p>
      <w:pPr>
        <w:pStyle w:val="675"/>
        <w:jc w:val="center"/>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189"/>
      <w:bookmarkEnd w:id="193"/>
      <w:bookmarkEnd w:id="194"/>
      <w:bookmarkEnd w:id="195"/>
      <w:bookmarkEnd w:id="196"/>
      <w:bookmarkEnd w:id="197"/>
      <w:bookmarkEnd w:id="198"/>
      <w:bookmarkEnd w:id="207"/>
      <w:bookmarkEnd w:id="208"/>
      <w:bookmarkEnd w:id="209"/>
      <w:bookmarkEnd w:id="210"/>
      <w:bookmarkEnd w:id="211"/>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675"/>
        <w:jc w:val="center"/>
        <w:spacing w:beforeAutospacing="0" w:afterAutospacing="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质疑函范本</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一、质疑供应商基本信息</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质疑供应商：</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 xml:space="preserve">地址：</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邮编：</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 xml:space="preserve">联系人：</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联系电话：</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授权代表：</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联系电话：</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 xml:space="preserve">地址： </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邮编：</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二、质疑项目基本情况</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质疑项目的名称：</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 xml:space="preserve">质疑项目的编号：</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包号：</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ab/>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采购人名称：</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采购文件获取日期：</w:t>
      </w:r>
      <w:r>
        <w:rPr>
          <w:rFonts w:hint="eastAsia" w:asciiTheme="majorEastAsia" w:hAnsiTheme="majorEastAsia" w:eastAsiaTheme="majorEastAsia" w:cstheme="majorEastAsia"/>
          <w:color w:val="auto"/>
          <w:sz w:val="21"/>
          <w:szCs w:val="21"/>
          <w:highlight w:val="none"/>
          <w:u w:val="single"/>
        </w:rPr>
        <w:t xml:space="preserve">                           </w:t>
      </w:r>
      <w:r>
        <w:rPr>
          <w:rFonts w:hint="eastAsia" w:asciiTheme="majorEastAsia" w:hAnsiTheme="majorEastAsia" w:eastAsiaTheme="majorEastAsia" w:cstheme="majorEastAsia"/>
          <w:color w:val="auto"/>
          <w:sz w:val="21"/>
          <w:szCs w:val="21"/>
          <w:highlight w:val="none"/>
          <w:u w:val="single"/>
          <w:lang w:val="en-US" w:eastAsia="zh-CN"/>
        </w:rPr>
        <w:t xml:space="preserve"> </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三、质疑事项具体内容</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质疑事项1：</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事实依据：</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法律依据：</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质疑事项2</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四、与质疑事项相关的质疑请求</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请求：</w:t>
      </w:r>
      <w:r>
        <w:rPr>
          <w:rFonts w:hint="eastAsia" w:asciiTheme="majorEastAsia" w:hAnsiTheme="majorEastAsia" w:eastAsiaTheme="majorEastAsia" w:cstheme="majorEastAsia"/>
          <w:color w:val="auto"/>
          <w:sz w:val="21"/>
          <w:szCs w:val="21"/>
          <w:highlight w:val="none"/>
          <w:u w:val="single"/>
        </w:rPr>
        <w:t xml:space="preserve">                                                          </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签字(签章)：                 公章：               日期：    </w:t>
      </w:r>
      <w:r/>
    </w:p>
    <w:p>
      <w:pPr>
        <w:pStyle w:val="675"/>
        <w:ind w:firstLine="422"/>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质疑函制作说明：</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1.供应商提出质疑时，应提交质疑函和必要的证明材料。</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3.质疑供应商若对项目的某一分包进行质疑，质疑函中应列明具体分包号。</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4.质疑函的质疑事项应具体、明确，并有必要的事实依据和法律依据。</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5.质疑函的质疑请求应与质疑事项相关。</w:t>
      </w:r>
      <w:r/>
    </w:p>
    <w:p>
      <w:pPr>
        <w:pStyle w:val="675"/>
        <w:ind w:firstLine="420"/>
        <w:keepLines w:val="0"/>
        <w:keepNext w:val="0"/>
        <w:pageBreakBefore w:val="0"/>
        <w:spacing w:beforeAutospacing="0" w:afterAutospacing="0" w:line="360" w:lineRule="exact"/>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5"/>
        <w:ind w:firstLine="420"/>
        <w:jc w:val="both"/>
        <w:keepLines w:val="0"/>
        <w:keepNext w:val="0"/>
        <w:pageBreakBefore w:val="0"/>
        <w:spacing w:beforeAutospacing="0" w:afterAutospacing="0" w:line="360" w:lineRule="exac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 </w:t>
      </w:r>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ind w:right="360"/>
      <w:rPr>
        <w:rFonts w:ascii="宋体"/>
        <w:sz w:val="28"/>
        <w:szCs w:val="28"/>
      </w:rPr>
    </w:pPr>
    <w:r>
      <w:rPr>
        <w:rFonts w:asci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rPr>
        <w:rStyle w:val="679"/>
        <w:sz w:val="24"/>
        <w:szCs w:val="24"/>
      </w:rPr>
      <w:framePr w:wrap="around" w:vAnchor="text" w:hAnchor="margin" w:xAlign="outside" w:y="1"/>
    </w:pPr>
    <w:r>
      <w:rPr>
        <w:rStyle w:val="679"/>
        <w:rFonts w:hint="eastAsia"/>
        <w:sz w:val="24"/>
        <w:szCs w:val="24"/>
      </w:rPr>
      <w:t xml:space="preserve">— </w:t>
    </w:r>
    <w:r>
      <w:rPr>
        <w:sz w:val="24"/>
        <w:szCs w:val="24"/>
      </w:rPr>
      <w:fldChar w:fldCharType="begin"/>
    </w:r>
    <w:r>
      <w:rPr>
        <w:rStyle w:val="679"/>
        <w:sz w:val="24"/>
        <w:szCs w:val="24"/>
      </w:rPr>
      <w:instrText xml:space="preserve">PAGE  </w:instrText>
    </w:r>
    <w:r>
      <w:rPr>
        <w:sz w:val="24"/>
        <w:szCs w:val="24"/>
      </w:rPr>
      <w:fldChar w:fldCharType="separate"/>
    </w:r>
    <w:r>
      <w:rPr>
        <w:rStyle w:val="679"/>
        <w:sz w:val="24"/>
        <w:szCs w:val="24"/>
      </w:rPr>
      <w:t xml:space="preserve">2</w:t>
    </w:r>
    <w:r>
      <w:rPr>
        <w:sz w:val="24"/>
        <w:szCs w:val="24"/>
      </w:rPr>
      <w:fldChar w:fldCharType="end"/>
    </w:r>
    <w:r>
      <w:rPr>
        <w:rStyle w:val="679"/>
        <w:rFonts w:hint="eastAsia"/>
        <w:sz w:val="24"/>
        <w:szCs w:val="24"/>
      </w:rPr>
      <w:t xml:space="preserve"> —</w:t>
    </w:r>
    <w:r/>
  </w:p>
  <w:p>
    <w:pPr>
      <w:pStyle w:val="67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ind w:right="360"/>
      <w:rPr>
        <w:rFonts w:ascii="宋体"/>
        <w:sz w:val="28"/>
        <w:szCs w:val="28"/>
      </w:rPr>
    </w:pPr>
    <w:r>
      <w:rPr>
        <w:rFonts w:ascii="宋体"/>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nothing"/>
      <w:lvlText w:val="%1.%2、"/>
      <w:lvlJc w:val="left"/>
      <w:pPr>
        <w:ind w:left="0" w:firstLine="0"/>
      </w:pPr>
      <w:rPr>
        <w:rFonts w:hint="default"/>
      </w:rPr>
    </w:lvl>
    <w:lvl w:ilvl="2">
      <w:start w:val="1"/>
      <w:numFmt w:val="decimal"/>
      <w:isLgl w:val="false"/>
      <w:suff w:val="nothing"/>
      <w:lvlText w:val="%1.%2.%3、"/>
      <w:lvlJc w:val="left"/>
      <w:pPr>
        <w:ind w:left="0" w:firstLine="0"/>
      </w:pPr>
      <w:rPr>
        <w:rFonts w:hint="default"/>
      </w:rPr>
    </w:lvl>
    <w:lvl w:ilvl="3">
      <w:start w:val="1"/>
      <w:numFmt w:val="decimal"/>
      <w:isLgl w:val="false"/>
      <w:suff w:val="nothing"/>
      <w:lvlText w:val="%1.%2.%3.%4、"/>
      <w:lvlJc w:val="left"/>
      <w:pPr>
        <w:ind w:left="0" w:firstLine="0"/>
      </w:pPr>
      <w:rPr>
        <w:rFonts w:hint="default"/>
      </w:rPr>
    </w:lvl>
    <w:lvl w:ilvl="4">
      <w:start w:val="1"/>
      <w:numFmt w:val="decimal"/>
      <w:isLgl w:val="false"/>
      <w:suff w:val="nothing"/>
      <w:lvlText w:val="%1.%2.%3.%4.%5、"/>
      <w:lvlJc w:val="left"/>
      <w:pPr>
        <w:ind w:left="0" w:firstLine="0"/>
      </w:pPr>
      <w:rPr>
        <w:rFonts w:hint="default"/>
      </w:rPr>
    </w:lvl>
    <w:lvl w:ilvl="5">
      <w:start w:val="1"/>
      <w:numFmt w:val="decimal"/>
      <w:isLgl w:val="false"/>
      <w:suff w:val="nothing"/>
      <w:lvlText w:val="%1.%2.%3.%4.%5.%6、"/>
      <w:lvlJc w:val="left"/>
      <w:pPr>
        <w:ind w:left="0" w:firstLine="0"/>
      </w:pPr>
      <w:rPr>
        <w:rFonts w:hint="default"/>
      </w:rPr>
    </w:lvl>
    <w:lvl w:ilvl="6">
      <w:start w:val="1"/>
      <w:numFmt w:val="decimal"/>
      <w:isLgl w:val="false"/>
      <w:suff w:val="nothing"/>
      <w:lvlText w:val="%1.%2.%3.%4.%5.%6.%7、"/>
      <w:lvlJc w:val="left"/>
      <w:pPr>
        <w:ind w:left="0" w:firstLine="0"/>
      </w:pPr>
      <w:rPr>
        <w:rFonts w:hint="default"/>
      </w:rPr>
    </w:lvl>
    <w:lvl w:ilvl="7">
      <w:start w:val="1"/>
      <w:numFmt w:val="decimal"/>
      <w:isLgl w:val="false"/>
      <w:suff w:val="nothing"/>
      <w:lvlText w:val="%1.%2.%3.%4.%5.%6.%7.%8、"/>
      <w:lvlJc w:val="left"/>
      <w:pPr>
        <w:ind w:left="0" w:firstLine="0"/>
      </w:pPr>
      <w:rPr>
        <w:rFonts w:hint="default"/>
      </w:rPr>
    </w:lvl>
    <w:lvl w:ilvl="8">
      <w:start w:val="1"/>
      <w:numFmt w:val="decimal"/>
      <w:isLgl w:val="false"/>
      <w:suff w:val="nothing"/>
      <w:lvlText w:val="%1.%2.%3.%4.%5.%6.%7.%8.%9、"/>
      <w:lvlJc w:val="left"/>
      <w:pPr>
        <w:ind w:left="0" w:firstLine="0"/>
      </w:pPr>
      <w:rPr>
        <w:rFonts w:hint="default"/>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8"/>
  </w:num>
  <w:num w:numId="4">
    <w:abstractNumId w:val="1"/>
  </w:num>
  <w:num w:numId="5">
    <w:abstractNumId w:val="2"/>
  </w:num>
  <w:num w:numId="6">
    <w:abstractNumId w:val="0"/>
  </w:num>
  <w:num w:numId="7">
    <w:abstractNumId w:val="7"/>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9"/>
    <w:uiPriority w:val="9"/>
    <w:rPr>
      <w:rFonts w:ascii="Arial" w:hAnsi="Arial" w:eastAsia="Arial" w:cs="Arial"/>
      <w:sz w:val="40"/>
      <w:szCs w:val="40"/>
    </w:rPr>
  </w:style>
  <w:style w:type="character" w:styleId="15">
    <w:name w:val="Heading 2 Char"/>
    <w:basedOn w:val="662"/>
    <w:link w:val="660"/>
    <w:uiPriority w:val="9"/>
    <w:rPr>
      <w:rFonts w:ascii="Arial" w:hAnsi="Arial" w:eastAsia="Arial" w:cs="Arial"/>
      <w:sz w:val="34"/>
    </w:rPr>
  </w:style>
  <w:style w:type="character" w:styleId="17">
    <w:name w:val="Heading 3 Char"/>
    <w:basedOn w:val="662"/>
    <w:link w:val="661"/>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2"/>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2"/>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2"/>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2"/>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2"/>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2"/>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2"/>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2"/>
    <w:link w:val="673"/>
    <w:uiPriority w:val="99"/>
  </w:style>
  <w:style w:type="character" w:styleId="44">
    <w:name w:val="Footer Char"/>
    <w:basedOn w:val="662"/>
    <w:link w:val="672"/>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72"/>
    <w:uiPriority w:val="99"/>
  </w:style>
  <w:style w:type="table" w:styleId="48">
    <w:name w:val="Table Grid Light"/>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2"/>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2"/>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6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9">
    <w:name w:val="Heading 1"/>
    <w:basedOn w:val="665"/>
    <w:next w:val="658"/>
    <w:uiPriority w:val="0"/>
    <w:qFormat/>
    <w:pPr>
      <w:keepLines/>
      <w:keepNext/>
      <w:spacing w:before="340" w:beforeAutospacing="0" w:after="330" w:afterAutospacing="0" w:line="576" w:lineRule="auto"/>
      <w:outlineLvl w:val="0"/>
    </w:pPr>
    <w:rPr>
      <w:b/>
      <w:sz w:val="44"/>
    </w:rPr>
  </w:style>
  <w:style w:type="paragraph" w:styleId="660">
    <w:name w:val="Heading 2"/>
    <w:basedOn w:val="658"/>
    <w:next w:val="658"/>
    <w:link w:val="68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1">
    <w:name w:val="Heading 3"/>
    <w:basedOn w:val="658"/>
    <w:next w:val="664"/>
    <w:uiPriority w:val="99"/>
    <w:qFormat/>
    <w:pPr>
      <w:ind w:firstLine="137"/>
      <w:keepLines/>
      <w:keepNext/>
      <w:spacing w:line="415" w:lineRule="auto"/>
      <w:outlineLvl w:val="2"/>
    </w:pPr>
    <w:rPr>
      <w:rFonts w:hAnsi="黑体" w:eastAsia="黑体"/>
      <w:sz w:val="24"/>
      <w:szCs w:val="20"/>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Normal Indent"/>
    <w:basedOn w:val="658"/>
    <w:uiPriority w:val="99"/>
    <w:unhideWhenUsed/>
    <w:qFormat/>
    <w:pPr>
      <w:ind w:firstLine="420"/>
      <w:jc w:val="left"/>
    </w:pPr>
    <w:rPr>
      <w:rFonts w:ascii="宋体"/>
      <w:sz w:val="24"/>
    </w:rPr>
  </w:style>
  <w:style w:type="paragraph" w:styleId="665">
    <w:name w:val="List Paragraph"/>
    <w:basedOn w:val="658"/>
    <w:uiPriority w:val="1"/>
    <w:qFormat/>
    <w:pPr>
      <w:ind w:left="478" w:hanging="530"/>
    </w:pPr>
  </w:style>
  <w:style w:type="paragraph" w:styleId="666">
    <w:name w:val="Body Text"/>
    <w:basedOn w:val="658"/>
    <w:uiPriority w:val="0"/>
    <w:qFormat/>
    <w:rPr>
      <w:sz w:val="21"/>
      <w:szCs w:val="24"/>
    </w:rPr>
  </w:style>
  <w:style w:type="paragraph" w:styleId="667">
    <w:name w:val="Body Text Indent"/>
    <w:basedOn w:val="658"/>
    <w:next w:val="668"/>
    <w:uiPriority w:val="99"/>
    <w:qFormat/>
    <w:pPr>
      <w:ind w:firstLine="600"/>
      <w:spacing w:line="360" w:lineRule="auto"/>
    </w:pPr>
    <w:rPr>
      <w:rFonts w:ascii="??_GB2312" w:eastAsia="Times New Roman"/>
      <w:sz w:val="30"/>
    </w:rPr>
  </w:style>
  <w:style w:type="paragraph" w:styleId="668">
    <w:name w:val="envelope return"/>
    <w:basedOn w:val="658"/>
    <w:uiPriority w:val="0"/>
    <w:qFormat/>
    <w:rPr>
      <w:rFonts w:ascii="Arial" w:hAnsi="Arial" w:eastAsia="宋体" w:cs="Times New Roman"/>
    </w:rPr>
  </w:style>
  <w:style w:type="paragraph" w:styleId="669">
    <w:name w:val="Block Text"/>
    <w:basedOn w:val="658"/>
    <w:uiPriority w:val="99"/>
    <w:qFormat/>
    <w:pPr>
      <w:ind w:left="1440" w:right="1440"/>
      <w:spacing w:after="120"/>
    </w:pPr>
  </w:style>
  <w:style w:type="paragraph" w:styleId="670">
    <w:name w:val="Plain Text"/>
    <w:basedOn w:val="658"/>
    <w:uiPriority w:val="99"/>
    <w:qFormat/>
    <w:rPr>
      <w:rFonts w:ascii="宋体" w:hAnsi="Courier New" w:cs="Courier New"/>
      <w:sz w:val="21"/>
      <w:szCs w:val="21"/>
    </w:rPr>
  </w:style>
  <w:style w:type="paragraph" w:styleId="671">
    <w:name w:val="Body Text Indent 2"/>
    <w:basedOn w:val="658"/>
    <w:uiPriority w:val="0"/>
    <w:qFormat/>
    <w:pPr>
      <w:ind w:left="420"/>
      <w:spacing w:after="120" w:line="480" w:lineRule="auto"/>
    </w:pPr>
  </w:style>
  <w:style w:type="paragraph" w:styleId="672">
    <w:name w:val="Footer"/>
    <w:basedOn w:val="658"/>
    <w:link w:val="681"/>
    <w:uiPriority w:val="0"/>
    <w:qFormat/>
    <w:pPr>
      <w:jc w:val="left"/>
      <w:tabs>
        <w:tab w:val="center" w:pos="4153" w:leader="none"/>
        <w:tab w:val="right" w:pos="8306" w:leader="none"/>
      </w:tabs>
    </w:pPr>
    <w:rPr>
      <w:sz w:val="18"/>
      <w:szCs w:val="18"/>
    </w:rPr>
  </w:style>
  <w:style w:type="paragraph" w:styleId="673">
    <w:name w:val="Header"/>
    <w:basedOn w:val="658"/>
    <w:link w:val="680"/>
    <w:uiPriority w:val="0"/>
    <w:qFormat/>
    <w:pPr>
      <w:jc w:val="center"/>
      <w:tabs>
        <w:tab w:val="center" w:pos="4153" w:leader="none"/>
        <w:tab w:val="right" w:pos="8306" w:leader="none"/>
      </w:tabs>
      <w:pBdr>
        <w:bottom w:val="single" w:color="auto" w:sz="6" w:space="1"/>
      </w:pBdr>
    </w:pPr>
    <w:rPr>
      <w:sz w:val="18"/>
      <w:szCs w:val="18"/>
    </w:rPr>
  </w:style>
  <w:style w:type="paragraph" w:styleId="674">
    <w:name w:val="Body Text 2"/>
    <w:basedOn w:val="658"/>
    <w:uiPriority w:val="0"/>
    <w:qFormat/>
    <w:pPr>
      <w:jc w:val="both"/>
      <w:spacing w:line="540" w:lineRule="exact"/>
    </w:pPr>
    <w:rPr>
      <w:rFonts w:ascii="Times New Roman" w:hAnsi="Times New Roman" w:eastAsia="仿宋_GB2312" w:cs="Times New Roman"/>
      <w:sz w:val="32"/>
      <w:szCs w:val="24"/>
      <w:lang w:eastAsia="zh-CN"/>
    </w:rPr>
  </w:style>
  <w:style w:type="paragraph" w:styleId="675">
    <w:name w:val="Normal (Web)"/>
    <w:basedOn w:val="658"/>
    <w:uiPriority w:val="0"/>
    <w:qFormat/>
    <w:pPr>
      <w:jc w:val="left"/>
      <w:spacing w:beforeAutospacing="1" w:afterAutospacing="1"/>
    </w:pPr>
    <w:rPr>
      <w:rFonts w:cs="Times New Roman"/>
      <w:sz w:val="24"/>
    </w:rPr>
  </w:style>
  <w:style w:type="paragraph" w:styleId="676">
    <w:name w:val="Body Text First Indent"/>
    <w:basedOn w:val="658"/>
    <w:uiPriority w:val="0"/>
    <w:qFormat/>
    <w:pPr>
      <w:ind w:firstLine="420"/>
    </w:pPr>
  </w:style>
  <w:style w:type="paragraph" w:styleId="677">
    <w:name w:val="Body Text First Indent 2"/>
    <w:basedOn w:val="667"/>
    <w:uiPriority w:val="0"/>
    <w:qFormat/>
    <w:pPr>
      <w:ind w:left="420" w:firstLine="420"/>
      <w:spacing w:after="120" w:line="240" w:lineRule="auto"/>
    </w:pPr>
    <w:rPr>
      <w:rFonts w:ascii="Calibri" w:eastAsia="宋体"/>
      <w:sz w:val="28"/>
    </w:rPr>
  </w:style>
  <w:style w:type="table" w:styleId="678">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9">
    <w:name w:val="page number"/>
    <w:basedOn w:val="662"/>
    <w:uiPriority w:val="99"/>
    <w:qFormat/>
    <w:rPr>
      <w:rFonts w:cs="Times New Roman"/>
    </w:rPr>
  </w:style>
  <w:style w:type="character" w:styleId="680" w:customStyle="1">
    <w:name w:val="页眉 Char"/>
    <w:basedOn w:val="662"/>
    <w:link w:val="673"/>
    <w:uiPriority w:val="0"/>
    <w:qFormat/>
    <w:rPr>
      <w:rFonts w:asciiTheme="minorHAnsi" w:hAnsiTheme="minorHAnsi" w:eastAsiaTheme="minorEastAsia" w:cstheme="minorBidi"/>
      <w:sz w:val="18"/>
      <w:szCs w:val="18"/>
    </w:rPr>
  </w:style>
  <w:style w:type="character" w:styleId="681" w:customStyle="1">
    <w:name w:val="页脚 Char"/>
    <w:basedOn w:val="662"/>
    <w:link w:val="672"/>
    <w:uiPriority w:val="0"/>
    <w:qFormat/>
    <w:rPr>
      <w:rFonts w:asciiTheme="minorHAnsi" w:hAnsiTheme="minorHAnsi" w:eastAsiaTheme="minorEastAsia" w:cstheme="minorBidi"/>
      <w:sz w:val="18"/>
      <w:szCs w:val="18"/>
    </w:rPr>
  </w:style>
  <w:style w:type="character" w:styleId="682" w:customStyle="1">
    <w:name w:val="标题 2 Char"/>
    <w:link w:val="660"/>
    <w:uiPriority w:val="0"/>
    <w:qFormat/>
    <w:rPr>
      <w:rFonts w:hint="eastAsia" w:ascii="宋体" w:hAnsi="宋体" w:eastAsia="宋体" w:cs="宋体"/>
      <w:b/>
      <w:bCs/>
      <w:sz w:val="36"/>
      <w:szCs w:val="36"/>
      <w:lang w:val="en-US" w:eastAsia="zh-CN" w:bidi="ar"/>
    </w:rPr>
  </w:style>
  <w:style w:type="paragraph" w:styleId="683" w:customStyle="1">
    <w:name w:val="Table Paragraph"/>
    <w:basedOn w:val="658"/>
    <w:uiPriority w:val="1"/>
    <w:qFormat/>
  </w:style>
  <w:style w:type="paragraph" w:styleId="684" w:customStyle="1">
    <w:name w:val="列出段落1"/>
    <w:basedOn w:val="658"/>
    <w:uiPriority w:val="0"/>
    <w:qFormat/>
    <w:pPr>
      <w:contextualSpacing/>
      <w:ind w:left="720"/>
      <w:jc w:val="left"/>
      <w:widowControl/>
    </w:pPr>
    <w:rPr>
      <w:rFonts w:ascii="Calibri" w:hAnsi="Calibri"/>
      <w:sz w:val="24"/>
      <w:lang w:eastAsia="en-US" w:bidi="en-US"/>
    </w:rPr>
  </w:style>
  <w:style w:type="paragraph" w:styleId="685" w:customStyle="1">
    <w:name w:val="Char"/>
    <w:basedOn w:val="658"/>
    <w:uiPriority w:val="0"/>
    <w:qFormat/>
    <w:pPr>
      <w:tabs>
        <w:tab w:val="left" w:pos="360" w:leader="none"/>
      </w:tabs>
    </w:pPr>
    <w:rPr>
      <w:sz w:val="24"/>
    </w:rPr>
  </w:style>
  <w:style w:type="paragraph" w:styleId="686" w:customStyle="1">
    <w:name w:val="普通正文"/>
    <w:basedOn w:val="658"/>
    <w:uiPriority w:val="0"/>
    <w:qFormat/>
    <w:pPr>
      <w:ind w:firstLine="480"/>
      <w:jc w:val="left"/>
      <w:spacing w:before="120" w:after="120" w:line="360" w:lineRule="auto"/>
    </w:pPr>
    <w:rPr>
      <w:rFonts w:ascii="Arial" w:hAnsi="Arial"/>
      <w:sz w:val="24"/>
    </w:rPr>
  </w:style>
  <w:style w:type="numbering" w:styleId="7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谭丽丽</cp:lastModifiedBy>
  <cp:revision>273</cp:revision>
  <dcterms:created xsi:type="dcterms:W3CDTF">2014-10-29T12:08:00Z</dcterms:created>
  <dcterms:modified xsi:type="dcterms:W3CDTF">2024-07-06T02:25:32Z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70F396D3445E472BBF0487C90BC69665</vt:lpwstr>
  </property>
</Properties>
</file>