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52"/>
          <w:szCs w:val="52"/>
          <w:highlight w:val="none"/>
        </w:rPr>
      </w:pPr>
      <w:r/>
      <w:bookmarkStart w:id="0" w:name="OLE_LINK2"/>
      <w:r/>
      <w:bookmarkStart w:id="1" w:name="OLE_LINK1"/>
      <w:r>
        <w:rPr>
          <w:rFonts w:hint="eastAsia" w:ascii="宋体" w:hAnsi="宋体" w:eastAsia="宋体" w:cs="宋体"/>
          <w:color w:val="auto"/>
          <w:sz w:val="52"/>
          <w:szCs w:val="52"/>
          <w:highlight w:val="none"/>
        </w:rPr>
        <w:t xml:space="preserve">泰州市政府采购项目</w:t>
      </w:r>
      <w:bookmarkEnd w:id="0"/>
      <w:r/>
      <w:bookmarkEnd w:id="1"/>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bookmarkStart w:id="2" w:name="_Toc28993"/>
      <w:r>
        <w:rPr>
          <w:rFonts w:hint="eastAsia" w:ascii="宋体" w:hAnsi="宋体" w:eastAsia="宋体" w:cs="宋体"/>
          <w:color w:val="auto"/>
          <w:sz w:val="32"/>
          <w:szCs w:val="32"/>
          <w:highlight w:val="none"/>
        </w:rPr>
        <w:t xml:space="preserve">竞争性磋商文件</w:t>
      </w:r>
      <w:bookmarkEnd w:id="2"/>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（全流程电子化不见面开标）</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45"/>
        <w:ind w:firstLine="0"/>
        <w:jc w:val="center"/>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采购项目编号</w:t>
      </w:r>
      <w:r>
        <w:rPr>
          <w:rFonts w:hint="eastAsia" w:ascii="宋体" w:hAnsi="宋体" w:eastAsia="宋体" w:cs="宋体"/>
          <w:color w:val="auto"/>
          <w:sz w:val="32"/>
          <w:szCs w:val="32"/>
          <w:highlight w:val="none"/>
          <w:lang w:eastAsia="zh-CN"/>
        </w:rPr>
        <w:t xml:space="preserve">：</w:t>
      </w:r>
      <w:r>
        <w:rPr>
          <w:rFonts w:hint="eastAsia" w:ascii="宋体" w:hAnsi="宋体" w:cs="宋体"/>
          <w:color w:val="0000ff"/>
          <w:sz w:val="32"/>
          <w:szCs w:val="32"/>
          <w:highlight w:val="none"/>
          <w:lang w:eastAsia="zh-CN"/>
        </w:rPr>
        <w:t xml:space="preserve">JSZC-321202-JSJQ-C2025-0009</w:t>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采购项目名称：</w:t>
      </w:r>
      <w:r>
        <w:rPr>
          <w:rFonts w:hint="eastAsia" w:ascii="宋体" w:hAnsi="宋体" w:eastAsia="宋体" w:cs="宋体"/>
          <w:color w:val="auto"/>
          <w:sz w:val="32"/>
          <w:szCs w:val="32"/>
          <w:highlight w:val="none"/>
          <w:lang w:eastAsia="zh-CN"/>
        </w:rPr>
        <w:t xml:space="preserve">医院信息化设备运维综合服务</w:t>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单 位：</w:t>
      </w:r>
      <w:r>
        <w:rPr>
          <w:rFonts w:hint="eastAsia" w:ascii="宋体" w:hAnsi="宋体" w:eastAsia="宋体" w:cs="宋体"/>
          <w:color w:val="auto"/>
          <w:sz w:val="32"/>
          <w:szCs w:val="32"/>
          <w:highlight w:val="none"/>
          <w:lang w:eastAsia="zh-CN"/>
        </w:rPr>
        <w:t xml:space="preserve">泰州市第四人民医院</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w:t>
      </w:r>
      <w:r>
        <w:rPr>
          <w:rFonts w:hint="eastAsia" w:ascii="宋体" w:hAnsi="宋体" w:eastAsia="宋体" w:cs="宋体"/>
          <w:color w:val="auto"/>
          <w:sz w:val="32"/>
          <w:szCs w:val="32"/>
          <w:highlight w:val="none"/>
          <w:lang w:eastAsia="zh-CN"/>
        </w:rPr>
        <w:t xml:space="preserve">江苏金秋工程项目管理有限公司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2025年</w:t>
      </w:r>
      <w:r>
        <w:rPr>
          <w:rFonts w:hint="eastAsia" w:ascii="宋体" w:hAnsi="宋体" w:eastAsia="宋体" w:cs="宋体"/>
          <w:color w:val="auto"/>
          <w:sz w:val="32"/>
          <w:szCs w:val="32"/>
          <w:highlight w:val="none"/>
          <w:lang w:val="en-US" w:eastAsia="zh-CN"/>
        </w:rPr>
        <w:t xml:space="preserve">1</w:t>
      </w:r>
      <w:r>
        <w:rPr>
          <w:rFonts w:hint="eastAsia" w:ascii="宋体" w:hAnsi="宋体" w:cs="宋体"/>
          <w:color w:val="auto"/>
          <w:sz w:val="32"/>
          <w:szCs w:val="32"/>
          <w:highlight w:val="none"/>
          <w:lang w:val="en-US" w:eastAsia="zh-CN"/>
        </w:rPr>
        <w:t xml:space="preserve">2</w:t>
      </w:r>
      <w:r>
        <w:rPr>
          <w:rFonts w:hint="eastAsia" w:ascii="宋体" w:hAnsi="宋体" w:eastAsia="宋体" w:cs="宋体"/>
          <w:color w:val="auto"/>
          <w:sz w:val="32"/>
          <w:szCs w:val="32"/>
          <w:highlight w:val="none"/>
        </w:rPr>
        <w:t xml:space="preserve">月</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942"/>
        <w:ind w:firstLine="6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竞争性磋商采购公告</w:t>
      </w:r>
      <w:r/>
    </w:p>
    <w:p>
      <w:pPr>
        <w:pStyle w:val="942"/>
        <w:ind w:firstLine="6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第二章  参加磋商供应商须知</w:t>
      </w:r>
      <w:r/>
    </w:p>
    <w:p>
      <w:pPr>
        <w:pStyle w:val="942"/>
        <w:ind w:firstLine="6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第三章  合同条款及格式</w:t>
      </w:r>
      <w:r/>
    </w:p>
    <w:p>
      <w:pPr>
        <w:pStyle w:val="942"/>
        <w:ind w:firstLine="6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第四章  项目需求</w:t>
      </w:r>
      <w:r/>
    </w:p>
    <w:p>
      <w:pPr>
        <w:pStyle w:val="942"/>
        <w:ind w:firstLine="6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第五章  评审方法和评审标准</w:t>
      </w:r>
      <w:r/>
    </w:p>
    <w:p>
      <w:pPr>
        <w:pStyle w:val="942"/>
        <w:ind w:firstLine="64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第六章  响应文件的组成和格式</w:t>
      </w:r>
      <w:r/>
    </w:p>
    <w:p>
      <w:pPr>
        <w:pStyle w:val="925"/>
        <w:keepNext w:val="0"/>
        <w:spacing w:line="360" w:lineRule="auto"/>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6" w:h="16838" w:orient="portrait"/>
          <w:pgMar w:top="1417" w:right="1417" w:bottom="1417" w:left="1417" w:header="851" w:footer="992" w:gutter="0"/>
          <w:cols w:num="1" w:sep="0" w:space="0" w:equalWidth="1"/>
          <w:docGrid w:linePitch="360"/>
        </w:sectPr>
      </w:pPr>
      <w:r/>
      <w:bookmarkStart w:id="3" w:name="_Toc24405"/>
      <w:r/>
      <w:bookmarkStart w:id="4" w:name="_Toc32147"/>
      <w:r/>
      <w:r/>
    </w:p>
    <w:p>
      <w:pPr>
        <w:pStyle w:val="925"/>
        <w:jc w:val="center"/>
        <w:keepNext w:val="0"/>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第一章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竞争性磋商</w:t>
      </w:r>
      <w:bookmarkStart w:id="5" w:name="二．报价方须知"/>
      <w:r/>
      <w:bookmarkEnd w:id="5"/>
      <w:r>
        <w:rPr>
          <w:rFonts w:hint="eastAsia" w:ascii="宋体" w:hAnsi="宋体" w:eastAsia="宋体" w:cs="宋体"/>
          <w:b/>
          <w:bCs/>
          <w:color w:val="auto"/>
          <w:sz w:val="32"/>
          <w:szCs w:val="32"/>
          <w:highlight w:val="none"/>
        </w:rPr>
        <w:t xml:space="preserve">采购公告</w:t>
      </w:r>
      <w:bookmarkEnd w:id="3"/>
      <w:r/>
      <w:bookmarkEnd w:id="4"/>
      <w:r/>
      <w:r/>
    </w:p>
    <w:p>
      <w:pPr>
        <w:spacing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bookmarkStart w:id="6" w:name="_Toc35393798"/>
      <w:r/>
      <w:bookmarkStart w:id="7" w:name="_Toc35393629"/>
      <w:r/>
      <w:bookmarkStart w:id="8" w:name="_Toc28359012"/>
      <w:r/>
      <w:bookmarkStart w:id="9" w:name="_Toc28359089"/>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泰州市第四人民医院</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eastAsia="zh-CN"/>
        </w:rPr>
        <w:t xml:space="preserve">医院信息化设备运维综合服务</w:t>
      </w:r>
      <w:r>
        <w:rPr>
          <w:rFonts w:hint="eastAsia" w:ascii="宋体" w:hAnsi="宋体" w:cs="宋体"/>
          <w:color w:val="0000ff"/>
          <w:highlight w:val="none"/>
          <w:u w:val="single"/>
          <w:lang w:eastAsia="zh-CN"/>
        </w:rPr>
        <w:t xml:space="preserve">JSZC-321202-JSJQ-C2025-0009</w:t>
      </w:r>
      <w:r>
        <w:rPr>
          <w:rFonts w:hint="eastAsia" w:ascii="宋体" w:hAnsi="宋体" w:eastAsia="宋体" w:cs="宋体"/>
          <w:color w:val="auto"/>
          <w:highlight w:val="none"/>
        </w:rPr>
        <w:t xml:space="preserve">采购项目的潜在供应商可在</w:t>
      </w:r>
      <w:r>
        <w:rPr>
          <w:rFonts w:hint="eastAsia" w:ascii="宋体" w:hAnsi="宋体" w:eastAsia="宋体" w:cs="宋体"/>
          <w:color w:val="auto"/>
          <w:highlight w:val="none"/>
          <w:u w:val="single"/>
        </w:rPr>
        <w:t xml:space="preserve">江苏省政府采购“苏采云”系统</w:t>
      </w:r>
      <w:r>
        <w:rPr>
          <w:rFonts w:hint="eastAsia" w:ascii="宋体" w:hAnsi="宋体" w:eastAsia="宋体" w:cs="宋体"/>
          <w:color w:val="auto"/>
          <w:highlight w:val="none"/>
        </w:rPr>
        <w:t xml:space="preserve">自行免费下载磋商文件，并于</w:t>
      </w:r>
      <w:r>
        <w:rPr>
          <w:rFonts w:hint="eastAsia" w:ascii="宋体" w:hAnsi="宋体" w:eastAsia="宋体" w:cs="宋体"/>
          <w:color w:val="0000ff"/>
          <w:highlight w:val="none"/>
        </w:rPr>
        <w:t xml:space="preserve">2025</w:t>
      </w:r>
      <w:r>
        <w:rPr>
          <w:rFonts w:hint="eastAsia" w:ascii="宋体" w:hAnsi="宋体" w:eastAsia="宋体" w:cs="宋体"/>
          <w:bCs/>
          <w:color w:val="0000ff"/>
          <w:highlight w:val="none"/>
        </w:rPr>
        <w:t xml:space="preserve">年</w:t>
      </w:r>
      <w:r>
        <w:rPr>
          <w:rFonts w:hint="eastAsia" w:ascii="宋体" w:hAnsi="宋体" w:eastAsia="宋体" w:cs="宋体"/>
          <w:bCs/>
          <w:color w:val="0000ff"/>
          <w:highlight w:val="none"/>
          <w:lang w:val="en-US" w:eastAsia="zh-CN"/>
        </w:rPr>
        <w:t xml:space="preserve">1</w:t>
      </w:r>
      <w:r>
        <w:rPr>
          <w:rFonts w:hint="eastAsia" w:ascii="宋体" w:hAnsi="宋体" w:cs="宋体"/>
          <w:bCs/>
          <w:color w:val="0000ff"/>
          <w:highlight w:val="none"/>
          <w:lang w:val="en-US" w:eastAsia="zh-CN"/>
        </w:rPr>
        <w:t xml:space="preserve">2</w:t>
      </w:r>
      <w:r>
        <w:rPr>
          <w:rFonts w:hint="eastAsia" w:ascii="宋体" w:hAnsi="宋体" w:eastAsia="宋体" w:cs="宋体"/>
          <w:bCs/>
          <w:color w:val="0000ff"/>
          <w:highlight w:val="none"/>
        </w:rPr>
        <w:t xml:space="preserve">月</w:t>
      </w:r>
      <w:r>
        <w:rPr>
          <w:rFonts w:hint="eastAsia" w:ascii="宋体" w:hAnsi="宋体" w:cs="宋体"/>
          <w:bCs/>
          <w:color w:val="0000ff"/>
          <w:highlight w:val="none"/>
          <w:lang w:val="en-US" w:eastAsia="zh-CN"/>
        </w:rPr>
        <w:t xml:space="preserve">15</w:t>
      </w:r>
      <w:r>
        <w:rPr>
          <w:rFonts w:hint="eastAsia" w:ascii="宋体" w:hAnsi="宋体" w:eastAsia="宋体" w:cs="宋体"/>
          <w:bCs/>
          <w:color w:val="0000ff"/>
          <w:highlight w:val="none"/>
        </w:rPr>
        <w:t xml:space="preserve">日</w:t>
      </w:r>
      <w:r>
        <w:rPr>
          <w:rFonts w:hint="eastAsia" w:ascii="宋体" w:hAnsi="宋体" w:eastAsia="宋体" w:cs="宋体"/>
          <w:bCs/>
          <w:color w:val="0000ff"/>
          <w:highlight w:val="none"/>
          <w:lang w:val="en-US" w:eastAsia="zh-CN"/>
        </w:rPr>
        <w:t xml:space="preserve">9</w:t>
      </w:r>
      <w:r>
        <w:rPr>
          <w:rFonts w:hint="eastAsia" w:ascii="宋体" w:hAnsi="宋体" w:eastAsia="宋体" w:cs="宋体"/>
          <w:bCs/>
          <w:color w:val="0000ff"/>
          <w:highlight w:val="none"/>
        </w:rPr>
        <w:t xml:space="preserve">点</w:t>
      </w:r>
      <w:r>
        <w:rPr>
          <w:rFonts w:hint="eastAsia" w:ascii="宋体" w:hAnsi="宋体" w:eastAsia="宋体" w:cs="宋体"/>
          <w:bCs/>
          <w:color w:val="0000ff"/>
          <w:highlight w:val="none"/>
          <w:lang w:val="en-US" w:eastAsia="zh-CN"/>
        </w:rPr>
        <w:t xml:space="preserve">3</w:t>
      </w:r>
      <w:r>
        <w:rPr>
          <w:rFonts w:hint="eastAsia" w:ascii="宋体" w:hAnsi="宋体" w:eastAsia="宋体" w:cs="宋体"/>
          <w:bCs/>
          <w:color w:val="0000ff"/>
          <w:highlight w:val="none"/>
        </w:rPr>
        <w:t xml:space="preserve">0分</w:t>
      </w:r>
      <w:r>
        <w:rPr>
          <w:rFonts w:hint="eastAsia" w:ascii="宋体" w:hAnsi="宋体" w:eastAsia="宋体" w:cs="宋体"/>
          <w:bCs/>
          <w:color w:val="auto"/>
          <w:highlight w:val="none"/>
        </w:rPr>
        <w:t xml:space="preserve">（北京时间）前提交响应文件</w:t>
      </w:r>
      <w:r>
        <w:rPr>
          <w:rFonts w:hint="eastAsia" w:ascii="宋体" w:hAnsi="宋体" w:eastAsia="宋体" w:cs="宋体"/>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一、项目基本情况</w:t>
      </w:r>
      <w:bookmarkEnd w:id="6"/>
      <w:r/>
      <w:bookmarkEnd w:id="7"/>
      <w:r/>
      <w:bookmarkEnd w:id="8"/>
      <w:r/>
      <w:bookmarkEnd w:id="9"/>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项目编号：</w:t>
      </w:r>
      <w:r>
        <w:rPr>
          <w:rFonts w:hint="eastAsia" w:ascii="宋体" w:hAnsi="宋体" w:cs="宋体"/>
          <w:color w:val="0000ff"/>
          <w:highlight w:val="none"/>
          <w:lang w:eastAsia="zh-CN"/>
        </w:rPr>
        <w:t xml:space="preserve">JSZC-321202-JSJQ-C2025-0009</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医院信息化设备运维综合服务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采购方式：竞争性磋商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万元</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万元，响应报价不得超过采购项目最高限价金额，否则按无效响应处理；</w:t>
      </w:r>
      <w:r/>
    </w:p>
    <w:p>
      <w:pPr>
        <w:numPr>
          <w:ilvl w:val="0"/>
          <w:numId w:val="0"/>
        </w:numPr>
        <w:ind w:firstLine="42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auto"/>
          <w:highlight w:val="none"/>
        </w:rPr>
        <w:t xml:space="preserve">采购需求：</w:t>
      </w:r>
      <w:r>
        <w:rPr>
          <w:rFonts w:hint="eastAsia" w:ascii="宋体" w:hAnsi="宋体" w:eastAsia="宋体" w:cs="宋体"/>
          <w:color w:val="0000ff"/>
          <w:highlight w:val="none"/>
        </w:rPr>
        <w:t xml:space="preserve">覆盖全院及</w:t>
      </w:r>
      <w:r>
        <w:rPr>
          <w:rFonts w:hint="eastAsia" w:ascii="宋体" w:hAnsi="宋体" w:cs="宋体"/>
          <w:color w:val="0000ff"/>
          <w:highlight w:val="none"/>
          <w:lang w:eastAsia="zh-CN"/>
        </w:rPr>
        <w:t xml:space="preserve">管辖社区</w:t>
      </w:r>
      <w:r>
        <w:rPr>
          <w:rFonts w:hint="eastAsia" w:ascii="宋体" w:hAnsi="宋体" w:eastAsia="宋体" w:cs="宋体"/>
          <w:color w:val="0000ff"/>
          <w:highlight w:val="none"/>
        </w:rPr>
        <w:t xml:space="preserve">所有信息化设备，具体包括：1</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全院及</w:t>
      </w:r>
      <w:r>
        <w:rPr>
          <w:rFonts w:hint="eastAsia" w:ascii="宋体" w:hAnsi="宋体" w:cs="宋体"/>
          <w:color w:val="0000ff"/>
          <w:highlight w:val="none"/>
          <w:lang w:eastAsia="zh-CN"/>
        </w:rPr>
        <w:t xml:space="preserve">管辖社区</w:t>
      </w:r>
      <w:r>
        <w:rPr>
          <w:rFonts w:hint="eastAsia" w:ascii="宋体" w:hAnsi="宋体" w:eastAsia="宋体" w:cs="宋体"/>
          <w:color w:val="0000ff"/>
          <w:highlight w:val="none"/>
        </w:rPr>
        <w:t xml:space="preserve">打印复印设备（包含门诊自助机内报告打印机、一体机等各类打印复印设备等，共计约600台）的维修、新增替换、耗材的供应；2</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计算机及外设设备的维修（含主机、显示器、键盘、鼠标、扫描枪等，共计约900台）；</w:t>
      </w:r>
      <w:r>
        <w:rPr>
          <w:rFonts w:hint="eastAsia" w:ascii="宋体" w:hAnsi="宋体" w:eastAsia="宋体" w:cs="宋体"/>
          <w:color w:val="0000ff"/>
          <w:highlight w:val="none"/>
          <w:lang w:val="en-US" w:eastAsia="zh-CN"/>
        </w:rPr>
        <w:t xml:space="preserve">3、</w:t>
      </w:r>
      <w:r>
        <w:rPr>
          <w:rFonts w:hint="eastAsia" w:ascii="宋体" w:hAnsi="宋体" w:eastAsia="宋体" w:cs="宋体"/>
          <w:color w:val="0000ff"/>
          <w:highlight w:val="none"/>
        </w:rPr>
        <w:t xml:space="preserve">接入端网络维护(从接入端交换机到终端电脑连接，以及简单网络配置)；</w:t>
      </w:r>
      <w:r>
        <w:rPr>
          <w:rFonts w:hint="eastAsia" w:ascii="宋体" w:hAnsi="宋体" w:eastAsia="宋体" w:cs="宋体"/>
          <w:color w:val="0000ff"/>
          <w:highlight w:val="none"/>
          <w:lang w:val="en-US" w:eastAsia="zh-CN"/>
        </w:rPr>
        <w:t xml:space="preserve">4、</w:t>
      </w:r>
      <w:r>
        <w:rPr>
          <w:rFonts w:hint="eastAsia" w:ascii="宋体" w:hAnsi="宋体" w:eastAsia="宋体" w:cs="宋体"/>
          <w:color w:val="0000ff"/>
          <w:highlight w:val="none"/>
        </w:rPr>
        <w:t xml:space="preserve">电脑、打印机移机服务，以上均由成交供应商总负责。</w:t>
      </w:r>
      <w:r>
        <w:rPr>
          <w:rFonts w:hint="eastAsia" w:ascii="宋体" w:hAnsi="宋体" w:eastAsia="宋体" w:cs="宋体"/>
          <w:color w:val="0000ff"/>
          <w:highlight w:val="none"/>
          <w:lang w:val="en-US" w:eastAsia="zh-CN"/>
        </w:rPr>
        <w:t xml:space="preserve">详见采购需求。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0000ff"/>
          <w:highlight w:val="none"/>
        </w:rPr>
        <w:t xml:space="preserve">自合同签订之日起2年。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w:t>
      </w:r>
      <w:r>
        <w:rPr>
          <w:rFonts w:hint="eastAsia" w:ascii="宋体" w:hAnsi="宋体" w:eastAsia="宋体" w:cs="宋体"/>
          <w:color w:val="auto"/>
          <w:highlight w:val="none"/>
          <w:lang w:val="en-US" w:eastAsia="zh-CN"/>
        </w:rPr>
        <w:t xml:space="preserve">否</w:t>
      </w:r>
      <w:r>
        <w:rPr>
          <w:rFonts w:hint="eastAsia" w:ascii="宋体" w:hAnsi="宋体" w:eastAsia="宋体" w:cs="宋体"/>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bookmarkStart w:id="10" w:name="_Toc35393799"/>
      <w:r/>
      <w:bookmarkStart w:id="11" w:name="_Toc35393630"/>
      <w:r/>
      <w:bookmarkStart w:id="12" w:name="_Toc28359090"/>
      <w:r/>
      <w:bookmarkStart w:id="13" w:name="_Toc28359013"/>
      <w:r>
        <w:rPr>
          <w:rFonts w:hint="eastAsia" w:ascii="宋体" w:hAnsi="宋体" w:eastAsia="宋体" w:cs="宋体"/>
          <w:b/>
          <w:color w:val="auto"/>
          <w:highlight w:val="none"/>
        </w:rPr>
        <w:t xml:space="preserve">二、申请人的资格要求</w:t>
      </w:r>
      <w:bookmarkEnd w:id="10"/>
      <w:r/>
      <w:bookmarkEnd w:id="11"/>
      <w:r/>
      <w:bookmarkEnd w:id="12"/>
      <w:r/>
      <w:bookmarkEnd w:id="13"/>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14" w:name="_Toc28359014"/>
      <w:r/>
      <w:bookmarkStart w:id="15" w:name="_Toc28359091"/>
      <w:r/>
      <w:bookmarkStart w:id="16" w:name="_Toc35393631"/>
      <w:r/>
      <w:bookmarkStart w:id="17" w:name="_Toc35393800"/>
      <w:r>
        <w:rPr>
          <w:rFonts w:hint="eastAsia" w:ascii="宋体" w:hAnsi="宋体" w:eastAsia="宋体" w:cs="宋体"/>
          <w:color w:val="auto"/>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ind w:firstLine="480"/>
        <w:spacing w:line="360" w:lineRule="auto"/>
        <w:rPr>
          <w:rFonts w:hint="eastAsia" w:ascii="宋体" w:hAnsi="宋体" w:eastAsia="宋体" w:cs="宋体"/>
          <w:b/>
          <w:bCs/>
          <w:color w:val="0000ff"/>
          <w:sz w:val="22"/>
          <w:szCs w:val="22"/>
          <w:highlight w:val="none"/>
        </w:rPr>
      </w:pPr>
      <w:r>
        <w:rPr>
          <w:rFonts w:hint="eastAsia" w:ascii="宋体" w:hAnsi="宋体" w:eastAsia="宋体" w:cs="宋体"/>
          <w:color w:val="auto"/>
          <w:highlight w:val="none"/>
        </w:rPr>
        <w:t xml:space="preserve">（二）落实政府采购政策需满足的资格要求：</w:t>
      </w:r>
      <w:r>
        <w:rPr>
          <w:rFonts w:hint="eastAsia" w:ascii="宋体" w:hAnsi="宋体" w:eastAsia="宋体" w:cs="宋体"/>
          <w:b/>
          <w:bCs/>
          <w:color w:val="0000ff"/>
          <w:sz w:val="22"/>
          <w:szCs w:val="22"/>
          <w:highlight w:val="none"/>
        </w:rPr>
        <w:t xml:space="preserve">本项目支持和适用支持中小微企业（财库〔2020〕46号）、（苏财购〔2020〕52号）、（工信部联企业[2011]300号）；支持监狱企业（财库〔2014〕68号）；促进残疾人就业（财库〔2017〕141号）等政策。本项目专门面向中小微企业采购，只接受中小微企业投标。中小企业划分标准见《关于印发中小企业划型标准规定的通知》（工信部联企业[2011]300号）。</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（三）本项目的特定资格要求：</w:t>
      </w:r>
      <w:r>
        <w:rPr>
          <w:rFonts w:hint="eastAsia" w:ascii="宋体" w:hAnsi="宋体" w:eastAsia="宋体" w:cs="宋体"/>
          <w:color w:val="auto"/>
          <w:highlight w:val="none"/>
          <w:lang w:val="en-US" w:eastAsia="zh-CN"/>
        </w:rPr>
        <w:t xml:space="preserve">无</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（四）其他要求：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.供应商未被“信用中国”网站（www.creditchina.gov.cn）列入失信被执行人、重大税收违法案件当事人名单、政府采购严重失信行为记录名单；</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.供应商单位负责人为同一人或者存在直接控股、管理关系的不同供应商，不得参加同一合同项下的采购活动</w:t>
      </w:r>
      <w:r>
        <w:rPr>
          <w:rFonts w:hint="eastAsia" w:ascii="宋体" w:hAnsi="宋体" w:eastAsia="宋体" w:cs="宋体"/>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三、获取采购文件</w:t>
      </w:r>
      <w:bookmarkEnd w:id="14"/>
      <w:r/>
      <w:bookmarkEnd w:id="15"/>
      <w:r/>
      <w:bookmarkEnd w:id="16"/>
      <w:r/>
      <w:bookmarkEnd w:id="1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时间：</w:t>
      </w:r>
      <w:bookmarkStart w:id="18" w:name="_Toc35393632"/>
      <w:r/>
      <w:bookmarkStart w:id="19" w:name="_Toc28359092"/>
      <w:r/>
      <w:bookmarkStart w:id="20" w:name="_Toc35393801"/>
      <w:r/>
      <w:bookmarkStart w:id="21" w:name="_Toc28359015"/>
      <w:r>
        <w:rPr>
          <w:rFonts w:hint="eastAsia" w:ascii="宋体" w:hAnsi="宋体" w:eastAsia="宋体" w:cs="宋体"/>
          <w:color w:val="auto"/>
          <w:highlight w:val="none"/>
        </w:rPr>
        <w:t xml:space="preserve">自磋商文件公告发布之日起5个工作日；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地点：江苏政府采购“苏采云”系统；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方式：投标人完成注册并办理CA证书后登录“苏采云”政府采购一体化平台，选择本项目点击“我要参与”并下载本项目采购文件；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售价：0.00元。</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四、响应文件提交</w:t>
      </w:r>
      <w:bookmarkEnd w:id="18"/>
      <w:r/>
      <w:bookmarkEnd w:id="19"/>
      <w:r/>
      <w:bookmarkEnd w:id="20"/>
      <w:r/>
      <w:bookmarkEnd w:id="2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w:t>
      </w:r>
      <w:r>
        <w:rPr>
          <w:rFonts w:hint="eastAsia" w:ascii="宋体" w:hAnsi="宋体" w:eastAsia="宋体" w:cs="宋体"/>
          <w:color w:val="0000ff"/>
          <w:highlight w:val="none"/>
        </w:rPr>
        <w:t xml:space="preserve">2025年</w:t>
      </w:r>
      <w:r>
        <w:rPr>
          <w:rFonts w:hint="eastAsia" w:ascii="宋体" w:hAnsi="宋体" w:eastAsia="宋体" w:cs="宋体"/>
          <w:color w:val="0000ff"/>
          <w:highlight w:val="none"/>
          <w:lang w:val="en-US" w:eastAsia="zh-CN"/>
        </w:rPr>
        <w:t xml:space="preserve">1</w:t>
      </w:r>
      <w:r>
        <w:rPr>
          <w:rFonts w:hint="eastAsia" w:ascii="宋体" w:hAnsi="宋体" w:cs="宋体"/>
          <w:color w:val="0000ff"/>
          <w:highlight w:val="none"/>
          <w:lang w:val="en-US" w:eastAsia="zh-CN"/>
        </w:rPr>
        <w:t xml:space="preserve">2</w:t>
      </w:r>
      <w:r>
        <w:rPr>
          <w:rFonts w:hint="eastAsia" w:ascii="宋体" w:hAnsi="宋体" w:eastAsia="宋体" w:cs="宋体"/>
          <w:color w:val="0000ff"/>
          <w:highlight w:val="none"/>
        </w:rPr>
        <w:t xml:space="preserve">月</w:t>
      </w:r>
      <w:r>
        <w:rPr>
          <w:rFonts w:hint="eastAsia" w:ascii="宋体" w:hAnsi="宋体" w:cs="宋体"/>
          <w:color w:val="0000ff"/>
          <w:highlight w:val="none"/>
          <w:lang w:val="en-US" w:eastAsia="zh-CN"/>
        </w:rPr>
        <w:t xml:space="preserve">15</w:t>
      </w:r>
      <w:r>
        <w:rPr>
          <w:rFonts w:hint="eastAsia" w:ascii="宋体" w:hAnsi="宋体" w:eastAsia="宋体" w:cs="宋体"/>
          <w:color w:val="0000ff"/>
          <w:highlight w:val="none"/>
        </w:rPr>
        <w:t xml:space="preserve">日</w:t>
      </w:r>
      <w:r>
        <w:rPr>
          <w:rFonts w:hint="eastAsia" w:ascii="宋体" w:hAnsi="宋体" w:eastAsia="宋体" w:cs="宋体"/>
          <w:color w:val="0000ff"/>
          <w:highlight w:val="none"/>
          <w:lang w:val="en-US" w:eastAsia="zh-CN"/>
        </w:rPr>
        <w:t xml:space="preserve">9</w:t>
      </w:r>
      <w:r>
        <w:rPr>
          <w:rFonts w:hint="eastAsia" w:ascii="宋体" w:hAnsi="宋体" w:eastAsia="宋体" w:cs="宋体"/>
          <w:color w:val="0000ff"/>
          <w:highlight w:val="none"/>
        </w:rPr>
        <w:t xml:space="preserve">点</w:t>
      </w:r>
      <w:r>
        <w:rPr>
          <w:rFonts w:hint="eastAsia" w:ascii="宋体" w:hAnsi="宋体" w:eastAsia="宋体" w:cs="宋体"/>
          <w:color w:val="0000ff"/>
          <w:highlight w:val="none"/>
          <w:lang w:val="en-US" w:eastAsia="zh-CN"/>
        </w:rPr>
        <w:t xml:space="preserve">3</w:t>
      </w:r>
      <w:r>
        <w:rPr>
          <w:rFonts w:hint="eastAsia" w:ascii="宋体" w:hAnsi="宋体" w:eastAsia="宋体" w:cs="宋体"/>
          <w:color w:val="0000ff"/>
          <w:highlight w:val="none"/>
        </w:rPr>
        <w:t xml:space="preserve">0分</w:t>
      </w:r>
      <w:r>
        <w:rPr>
          <w:rFonts w:hint="eastAsia" w:ascii="宋体" w:hAnsi="宋体" w:eastAsia="宋体" w:cs="宋体"/>
          <w:color w:val="auto"/>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地点：“苏采云”系统（网址：</w:t>
      </w:r>
      <w:bookmarkStart w:id="22" w:name="OLE_LINK37"/>
      <w:r/>
      <w:bookmarkStart w:id="23" w:name="OLE_LINK38"/>
      <w:r>
        <w:rPr>
          <w:rFonts w:hint="eastAsia" w:ascii="宋体" w:hAnsi="宋体" w:eastAsia="宋体" w:cs="宋体"/>
          <w:color w:val="auto"/>
          <w:highlight w:val="none"/>
        </w:rPr>
        <w:t xml:space="preserve">http://jszfcg.jsczt.cn/</w:t>
      </w:r>
      <w:bookmarkEnd w:id="22"/>
      <w:r/>
      <w:bookmarkEnd w:id="23"/>
      <w:r>
        <w:rPr>
          <w:rFonts w:hint="eastAsia" w:ascii="宋体" w:hAnsi="宋体" w:eastAsia="宋体" w:cs="宋体"/>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bookmarkStart w:id="24" w:name="_Toc28359016"/>
      <w:r/>
      <w:bookmarkStart w:id="25" w:name="_Toc28359093"/>
      <w:r/>
      <w:bookmarkStart w:id="26" w:name="_Toc35393802"/>
      <w:r/>
      <w:bookmarkStart w:id="27" w:name="_Toc35393633"/>
      <w:r>
        <w:rPr>
          <w:rFonts w:hint="eastAsia" w:ascii="宋体" w:hAnsi="宋体" w:eastAsia="宋体" w:cs="宋体"/>
          <w:b/>
          <w:color w:val="auto"/>
          <w:highlight w:val="none"/>
        </w:rPr>
        <w:t xml:space="preserve">五、开启</w:t>
      </w:r>
      <w:bookmarkEnd w:id="24"/>
      <w:r/>
      <w:bookmarkEnd w:id="25"/>
      <w:r/>
      <w:bookmarkEnd w:id="26"/>
      <w:r/>
      <w:bookmarkEnd w:id="27"/>
      <w:r>
        <w:rPr>
          <w:rFonts w:hint="eastAsia" w:ascii="宋体" w:hAnsi="宋体" w:eastAsia="宋体" w:cs="宋体"/>
          <w:b/>
          <w:color w:val="auto"/>
          <w:highlight w:val="none"/>
        </w:rPr>
        <w:t xml:space="preserve">（开标时间）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时间：</w:t>
      </w:r>
      <w:r>
        <w:rPr>
          <w:rFonts w:hint="eastAsia" w:ascii="宋体" w:hAnsi="宋体" w:eastAsia="宋体" w:cs="宋体"/>
          <w:color w:val="0000ff"/>
          <w:highlight w:val="none"/>
        </w:rPr>
        <w:t xml:space="preserve">2025年</w:t>
      </w:r>
      <w:r>
        <w:rPr>
          <w:rFonts w:hint="eastAsia" w:ascii="宋体" w:hAnsi="宋体" w:eastAsia="宋体" w:cs="宋体"/>
          <w:color w:val="0000ff"/>
          <w:highlight w:val="none"/>
          <w:lang w:val="en-US" w:eastAsia="zh-CN"/>
        </w:rPr>
        <w:t xml:space="preserve">1</w:t>
      </w:r>
      <w:r>
        <w:rPr>
          <w:rFonts w:hint="eastAsia" w:ascii="宋体" w:hAnsi="宋体" w:cs="宋体"/>
          <w:color w:val="0000ff"/>
          <w:highlight w:val="none"/>
          <w:lang w:val="en-US" w:eastAsia="zh-CN"/>
        </w:rPr>
        <w:t xml:space="preserve">2</w:t>
      </w:r>
      <w:r>
        <w:rPr>
          <w:rFonts w:hint="eastAsia" w:ascii="宋体" w:hAnsi="宋体" w:eastAsia="宋体" w:cs="宋体"/>
          <w:color w:val="0000ff"/>
          <w:highlight w:val="none"/>
        </w:rPr>
        <w:t xml:space="preserve">月</w:t>
      </w:r>
      <w:r>
        <w:rPr>
          <w:rFonts w:hint="eastAsia" w:ascii="宋体" w:hAnsi="宋体" w:cs="宋体"/>
          <w:color w:val="0000ff"/>
          <w:highlight w:val="none"/>
          <w:lang w:val="en-US" w:eastAsia="zh-CN"/>
        </w:rPr>
        <w:t xml:space="preserve">15</w:t>
      </w:r>
      <w:r>
        <w:rPr>
          <w:rFonts w:hint="eastAsia" w:ascii="宋体" w:hAnsi="宋体" w:eastAsia="宋体" w:cs="宋体"/>
          <w:color w:val="0000ff"/>
          <w:highlight w:val="none"/>
        </w:rPr>
        <w:t xml:space="preserve">日</w:t>
      </w:r>
      <w:r>
        <w:rPr>
          <w:rFonts w:hint="eastAsia" w:ascii="宋体" w:hAnsi="宋体" w:eastAsia="宋体" w:cs="宋体"/>
          <w:color w:val="0000ff"/>
          <w:highlight w:val="none"/>
          <w:lang w:val="en-US" w:eastAsia="zh-CN"/>
        </w:rPr>
        <w:t xml:space="preserve">9</w:t>
      </w:r>
      <w:r>
        <w:rPr>
          <w:rFonts w:hint="eastAsia" w:ascii="宋体" w:hAnsi="宋体" w:eastAsia="宋体" w:cs="宋体"/>
          <w:color w:val="0000ff"/>
          <w:highlight w:val="none"/>
        </w:rPr>
        <w:t xml:space="preserve">点</w:t>
      </w:r>
      <w:r>
        <w:rPr>
          <w:rFonts w:hint="eastAsia" w:ascii="宋体" w:hAnsi="宋体" w:eastAsia="宋体" w:cs="宋体"/>
          <w:color w:val="0000ff"/>
          <w:highlight w:val="none"/>
          <w:lang w:val="en-US" w:eastAsia="zh-CN"/>
        </w:rPr>
        <w:t xml:space="preserve">3</w:t>
      </w:r>
      <w:r>
        <w:rPr>
          <w:rFonts w:hint="eastAsia" w:ascii="宋体" w:hAnsi="宋体" w:eastAsia="宋体" w:cs="宋体"/>
          <w:color w:val="0000ff"/>
          <w:highlight w:val="none"/>
        </w:rPr>
        <w:t xml:space="preserve">0分</w:t>
      </w:r>
      <w:r>
        <w:rPr>
          <w:rFonts w:hint="eastAsia" w:ascii="宋体" w:hAnsi="宋体" w:eastAsia="宋体" w:cs="宋体"/>
          <w:color w:val="auto"/>
          <w:highlight w:val="none"/>
        </w:rPr>
        <w:t xml:space="preserve">（北京时间）；</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地点：“苏采云”系统（网址：http://jszfcg.jsczt.cn/）“开标大厅”。</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bookmarkStart w:id="28" w:name="_Toc28359094"/>
      <w:r/>
      <w:bookmarkStart w:id="29" w:name="_Toc35393803"/>
      <w:r/>
      <w:bookmarkStart w:id="30" w:name="_Toc35393634"/>
      <w:r/>
      <w:bookmarkStart w:id="31" w:name="_Toc28359017"/>
      <w:r>
        <w:rPr>
          <w:rFonts w:hint="eastAsia" w:ascii="宋体" w:hAnsi="宋体" w:eastAsia="宋体" w:cs="宋体"/>
          <w:b/>
          <w:color w:val="auto"/>
          <w:highlight w:val="none"/>
        </w:rPr>
        <w:t xml:space="preserve">六、公告期限</w:t>
      </w:r>
      <w:bookmarkEnd w:id="28"/>
      <w:r/>
      <w:bookmarkEnd w:id="29"/>
      <w:r/>
      <w:bookmarkEnd w:id="30"/>
      <w:r/>
      <w:bookmarkEnd w:id="3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bookmarkStart w:id="32" w:name="_Toc35393804"/>
      <w:r/>
      <w:bookmarkStart w:id="33" w:name="_Toc35393635"/>
      <w:r>
        <w:rPr>
          <w:rFonts w:hint="eastAsia" w:ascii="宋体" w:hAnsi="宋体" w:eastAsia="宋体" w:cs="宋体"/>
          <w:b/>
          <w:color w:val="auto"/>
          <w:highlight w:val="none"/>
        </w:rPr>
        <w:t xml:space="preserve">七、其他补充事宜</w:t>
      </w:r>
      <w:bookmarkEnd w:id="32"/>
      <w:r/>
      <w:bookmarkEnd w:id="3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2.有关本次招标的事项若存在变动或修改，敬请及时关注“江苏政府采购网”发布的更正公告。</w:t>
      </w:r>
      <w:r/>
    </w:p>
    <w:p>
      <w:pPr>
        <w:ind w:firstLine="422"/>
        <w:keepLines w:val="0"/>
        <w:keepNext w:val="0"/>
        <w:pageBreakBefore w:val="0"/>
        <w:spacing w:line="360" w:lineRule="auto"/>
        <w:widowControl w:val="off"/>
        <w:rPr>
          <w:rFonts w:hint="eastAsia" w:ascii="宋体" w:hAnsi="宋体" w:eastAsia="宋体" w:cs="宋体"/>
          <w:b/>
          <w:color w:val="auto"/>
          <w:highlight w:val="none"/>
        </w:rPr>
      </w:pPr>
      <w:r/>
      <w:bookmarkStart w:id="34" w:name="_Toc35393636"/>
      <w:r/>
      <w:bookmarkStart w:id="35" w:name="_Toc28359095"/>
      <w:r/>
      <w:bookmarkStart w:id="36" w:name="_Toc28359018"/>
      <w:r/>
      <w:bookmarkStart w:id="37" w:name="_Toc35393805"/>
      <w:r>
        <w:rPr>
          <w:rFonts w:hint="eastAsia" w:ascii="宋体" w:hAnsi="宋体" w:eastAsia="宋体" w:cs="宋体"/>
          <w:b/>
          <w:color w:val="auto"/>
          <w:highlight w:val="none"/>
        </w:rPr>
        <w:t xml:space="preserve">八、凡对本次采购提出询问，请按以下方式联系</w:t>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1.采购人：泰州市第四人民医院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地址：泰州市鼓楼北路99号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陈主任</w:t>
      </w:r>
      <w:r>
        <w:rPr>
          <w:rFonts w:hint="eastAsia" w:ascii="宋体" w:hAnsi="宋体" w:eastAsia="宋体" w:cs="宋体"/>
          <w:color w:val="auto"/>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0523-80185098</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名称：江苏金秋工程项目管理有限公司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地址：江苏省泰州市创美科技产业园6幢103室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联系人：钱巍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联系方式：18652618087</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邮箱：644760611@qq.com</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项目联系人：钱巍</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话：18652618087        邮  箱：644760611@qq.com </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p>
    <w:p>
      <w:pPr>
        <w:numPr>
          <w:ilvl w:val="0"/>
          <w:numId w:val="0"/>
        </w:numPr>
        <w:jc w:val="center"/>
        <w:spacing w:line="360" w:lineRule="auto"/>
        <w:rPr>
          <w:rFonts w:hint="eastAsia" w:ascii="宋体" w:hAnsi="宋体" w:eastAsia="宋体" w:cs="宋体"/>
          <w:b/>
          <w:bCs/>
          <w:color w:val="auto"/>
          <w:sz w:val="32"/>
          <w:szCs w:val="40"/>
          <w:highlight w:val="none"/>
        </w:rPr>
        <w:outlineLvl w:val="0"/>
      </w:pPr>
      <w:r>
        <w:rPr>
          <w:rFonts w:hint="eastAsia" w:ascii="宋体" w:hAnsi="宋体" w:eastAsia="宋体" w:cs="宋体"/>
          <w:b/>
          <w:bCs/>
          <w:color w:val="auto"/>
          <w:sz w:val="32"/>
          <w:szCs w:val="40"/>
          <w:highlight w:val="none"/>
          <w:lang w:val="en-US" w:eastAsia="zh-CN" w:bidi="ar-SA"/>
        </w:rPr>
        <w:t xml:space="preserve">第二章  </w:t>
      </w:r>
      <w:r>
        <w:rPr>
          <w:rFonts w:hint="eastAsia" w:ascii="宋体" w:hAnsi="宋体" w:eastAsia="宋体" w:cs="宋体"/>
          <w:b/>
          <w:bCs/>
          <w:color w:val="auto"/>
          <w:sz w:val="32"/>
          <w:szCs w:val="40"/>
          <w:highlight w:val="none"/>
        </w:rPr>
        <w:t xml:space="preserve">参加磋商供应商须知</w:t>
      </w:r>
      <w:r/>
    </w:p>
    <w:p>
      <w:pPr>
        <w:numPr>
          <w:ilvl w:val="0"/>
          <w:numId w:val="0"/>
        </w:numPr>
        <w:jc w:val="center"/>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（参加竞争性磋商的供应商以下简称“磋商供应商”）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1.适用范围</w:t>
      </w:r>
      <w:r>
        <w:rPr>
          <w:rFonts w:hint="eastAsia" w:ascii="宋体" w:hAnsi="宋体" w:eastAsia="宋体" w:cs="宋体"/>
          <w:color w:val="auto"/>
          <w:highlight w:val="none"/>
        </w:rPr>
        <w:tab/>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本磋商文件仅适用于</w:t>
      </w:r>
      <w:r>
        <w:rPr>
          <w:rFonts w:hint="eastAsia" w:ascii="宋体" w:hAnsi="宋体" w:eastAsia="宋体" w:cs="宋体"/>
          <w:color w:val="auto"/>
          <w:highlight w:val="none"/>
          <w:lang w:val="zh-CN"/>
        </w:rPr>
        <w:t xml:space="preserve">医院信息化设备运维综合服务</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本次采购采取竞争性磋商的方式。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3.合格的磋商供应商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3.1满足本磋商文件“竞争性磋商采购公告”中申请人的资格要求的规定。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3.2满足本磋商文件实质性要求和条件的规定。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4.参加磋商费用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4.1参加磋商供应商应自行承担所有与参加磋商有关的费用。不论最终的成交结果如何，</w:t>
      </w:r>
      <w:r>
        <w:rPr>
          <w:rFonts w:hint="eastAsia" w:ascii="宋体" w:hAnsi="宋体" w:eastAsia="宋体" w:cs="宋体"/>
          <w:color w:val="auto"/>
          <w:highlight w:val="none"/>
          <w:lang w:eastAsia="zh-CN"/>
        </w:rPr>
        <w:t xml:space="preserve">江苏金秋工程项目管理有限公司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5.磋商文件的约束力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bookmarkStart w:id="38" w:name="_Toc16938527"/>
      <w:r/>
      <w:bookmarkStart w:id="39" w:name="_Toc513029211"/>
      <w:r/>
      <w:bookmarkStart w:id="40" w:name="_Toc20823283"/>
      <w:r/>
      <w:bookmarkStart w:id="41" w:name="_Toc462564070"/>
      <w:r>
        <w:rPr>
          <w:rFonts w:hint="eastAsia" w:ascii="宋体" w:hAnsi="宋体" w:eastAsia="宋体" w:cs="宋体"/>
          <w:color w:val="auto"/>
          <w:highlight w:val="none"/>
        </w:rPr>
        <w:t xml:space="preserve">.磋商文件的澄清</w:t>
      </w:r>
      <w:bookmarkEnd w:id="38"/>
      <w:r/>
      <w:bookmarkEnd w:id="39"/>
      <w:r/>
      <w:bookmarkEnd w:id="40"/>
      <w:r/>
      <w:bookmarkEnd w:id="41"/>
      <w:r>
        <w:rPr>
          <w:rFonts w:hint="eastAsia" w:ascii="宋体" w:hAnsi="宋体" w:eastAsia="宋体" w:cs="宋体"/>
          <w:color w:val="auto"/>
          <w:highlight w:val="none"/>
        </w:rPr>
        <w:t xml:space="preserve">及修改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6.2代理机构不组织供应商进行现场考察或召开磋商前答疑会。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7.合同形式：固定总价合同</w:t>
      </w:r>
      <w:r/>
    </w:p>
    <w:p>
      <w:pPr>
        <w:ind w:firstLine="420"/>
        <w:spacing w:line="360" w:lineRule="auto"/>
        <w:rPr>
          <w:rFonts w:hint="eastAsia" w:ascii="宋体" w:hAnsi="宋体" w:eastAsia="宋体" w:cs="宋体"/>
          <w:color w:val="auto"/>
          <w:highlight w:val="none"/>
        </w:rPr>
      </w:pPr>
      <w:r/>
      <w:bookmarkStart w:id="42" w:name="_Toc462564072"/>
      <w:r/>
      <w:bookmarkStart w:id="43" w:name="_Toc61149553"/>
      <w:r/>
      <w:bookmarkStart w:id="44" w:name="_Toc14577351"/>
      <w:r/>
      <w:bookmarkStart w:id="45" w:name="_Toc513029213"/>
      <w:r>
        <w:rPr>
          <w:rFonts w:hint="eastAsia" w:ascii="宋体" w:hAnsi="宋体" w:eastAsia="宋体" w:cs="宋体"/>
          <w:color w:val="auto"/>
          <w:highlight w:val="none"/>
        </w:rPr>
        <w:t xml:space="preserve">二、磋商响应文件的编制</w:t>
      </w:r>
      <w:bookmarkEnd w:id="42"/>
      <w:r/>
      <w:bookmarkEnd w:id="43"/>
      <w:r/>
      <w:bookmarkEnd w:id="44"/>
      <w:r/>
      <w:bookmarkEnd w:id="45"/>
      <w:r>
        <w:rPr>
          <w:rFonts w:hint="eastAsia" w:ascii="宋体" w:hAnsi="宋体" w:eastAsia="宋体" w:cs="宋体"/>
          <w:color w:val="auto"/>
          <w:highlight w:val="none"/>
        </w:rPr>
        <w:t xml:space="preserve">及保证金收取</w:t>
      </w:r>
      <w:r/>
    </w:p>
    <w:p>
      <w:pPr>
        <w:ind w:firstLine="420"/>
        <w:spacing w:line="360" w:lineRule="auto"/>
        <w:rPr>
          <w:rFonts w:hint="eastAsia" w:ascii="宋体" w:hAnsi="宋体" w:eastAsia="宋体" w:cs="宋体"/>
          <w:color w:val="auto"/>
          <w:highlight w:val="none"/>
        </w:rPr>
      </w:pPr>
      <w:r/>
      <w:bookmarkStart w:id="46" w:name="_Hlt26954834"/>
      <w:r/>
      <w:bookmarkEnd w:id="46"/>
      <w:r/>
      <w:bookmarkStart w:id="47" w:name="_Toc462564074"/>
      <w:r/>
      <w:bookmarkStart w:id="48" w:name="_Toc14577353"/>
      <w:r/>
      <w:bookmarkStart w:id="49" w:name="_Toc513029215"/>
      <w:r/>
      <w:bookmarkStart w:id="50" w:name="_Toc61149555"/>
      <w:r/>
      <w:bookmarkStart w:id="51" w:name="_Toc462564073"/>
      <w:r/>
      <w:bookmarkStart w:id="52" w:name="_Toc14577352"/>
      <w:r/>
      <w:bookmarkStart w:id="53" w:name="_Toc61149554"/>
      <w:r/>
      <w:bookmarkStart w:id="54" w:name="_Toc513029214"/>
      <w:r>
        <w:rPr>
          <w:rFonts w:hint="eastAsia" w:ascii="宋体" w:hAnsi="宋体" w:eastAsia="宋体" w:cs="宋体"/>
          <w:color w:val="auto"/>
          <w:highlight w:val="none"/>
        </w:rPr>
        <w:t xml:space="preserve">1.响应文件</w:t>
      </w:r>
      <w:bookmarkEnd w:id="47"/>
      <w:r/>
      <w:bookmarkEnd w:id="48"/>
      <w:r/>
      <w:bookmarkEnd w:id="49"/>
      <w:r/>
      <w:bookmarkEnd w:id="50"/>
      <w:r>
        <w:rPr>
          <w:rFonts w:hint="eastAsia" w:ascii="宋体" w:hAnsi="宋体" w:eastAsia="宋体" w:cs="宋体"/>
          <w:color w:val="auto"/>
          <w:highlight w:val="none"/>
        </w:rPr>
        <w:t xml:space="preserve">编制要求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1.1磋商供应商提交的响应文件以及其与代理机构及采购人就有关磋商的所有来往函电均应使用简体中文。磋商文件中既有中文也有外文的，以中文意义为准。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1.2除技术性能另有规定外，响应文件所使用的度量衡单位，均须采用国家法定计量单位。</w:t>
      </w:r>
      <w:bookmarkEnd w:id="51"/>
      <w:r/>
      <w:bookmarkEnd w:id="52"/>
      <w:r/>
      <w:bookmarkEnd w:id="53"/>
      <w:r/>
      <w:bookmarkEnd w:id="54"/>
      <w:r/>
      <w:r/>
    </w:p>
    <w:p>
      <w:pPr>
        <w:ind w:firstLine="420"/>
        <w:spacing w:line="360" w:lineRule="auto"/>
        <w:rPr>
          <w:rFonts w:hint="eastAsia" w:ascii="宋体" w:hAnsi="宋体" w:eastAsia="宋体" w:cs="宋体"/>
          <w:color w:val="auto"/>
          <w:highlight w:val="none"/>
        </w:rPr>
      </w:pPr>
      <w:r/>
      <w:bookmarkStart w:id="55" w:name="_Hlt26954836"/>
      <w:r/>
      <w:bookmarkEnd w:id="55"/>
      <w:r/>
      <w:bookmarkStart w:id="56" w:name="_Hlt26670357"/>
      <w:r/>
      <w:bookmarkEnd w:id="56"/>
      <w:r/>
      <w:bookmarkStart w:id="57" w:name="_Toc513029219"/>
      <w:r/>
      <w:bookmarkStart w:id="58" w:name="_Toc61149558"/>
      <w:r/>
      <w:bookmarkStart w:id="59" w:name="_Toc14577357"/>
      <w:r/>
      <w:bookmarkStart w:id="60" w:name="_Toc513029217"/>
      <w:r/>
      <w:bookmarkStart w:id="61" w:name="_Toc14577355"/>
      <w:r/>
      <w:bookmarkStart w:id="62" w:name="_Toc61149557"/>
      <w:r>
        <w:rPr>
          <w:rFonts w:hint="eastAsia" w:ascii="宋体" w:hAnsi="宋体" w:eastAsia="宋体" w:cs="宋体"/>
          <w:color w:val="auto"/>
          <w:highlight w:val="none"/>
        </w:rPr>
        <w:t xml:space="preserve">1.3响应文件构成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加★项目若有缺失或无效，将导致该响应文件作无效响应文件评定，且不允许在磋商截止时间后补正。</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1.3.1 资格证明文件</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（1）★具有独立承担民事责任能力的企事业法人营业执照；</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（2）★磋商供应商法定代表人资格证明书</w:t>
      </w:r>
      <w:bookmarkStart w:id="63" w:name="OLE_LINK56"/>
      <w:r/>
      <w:bookmarkStart w:id="64" w:name="OLE_LINK57"/>
      <w:r>
        <w:rPr>
          <w:rFonts w:hint="eastAsia" w:ascii="宋体" w:hAnsi="宋体" w:eastAsia="宋体" w:cs="宋体"/>
          <w:b/>
          <w:color w:val="0000ff"/>
          <w:highlight w:val="none"/>
        </w:rPr>
        <w:t xml:space="preserve">（格式见附件）</w:t>
      </w:r>
      <w:bookmarkEnd w:id="63"/>
      <w:r/>
      <w:bookmarkEnd w:id="64"/>
      <w:r>
        <w:rPr>
          <w:rFonts w:hint="eastAsia" w:ascii="宋体" w:hAnsi="宋体" w:eastAsia="宋体" w:cs="宋体"/>
          <w:color w:val="0000ff"/>
          <w:highlight w:val="none"/>
        </w:rPr>
        <w:t xml:space="preserve">；</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（3）★磋商供应商法定代表人授权委托书</w:t>
      </w:r>
      <w:r>
        <w:rPr>
          <w:rFonts w:hint="eastAsia" w:ascii="宋体" w:hAnsi="宋体" w:eastAsia="宋体" w:cs="宋体"/>
          <w:b/>
          <w:color w:val="0000ff"/>
          <w:highlight w:val="none"/>
        </w:rPr>
        <w:t xml:space="preserve">（格式见附件，法定代表人亲自参加磋商的除外。）</w:t>
      </w:r>
      <w:r>
        <w:rPr>
          <w:rFonts w:hint="eastAsia" w:ascii="宋体" w:hAnsi="宋体" w:eastAsia="宋体" w:cs="宋体"/>
          <w:color w:val="0000ff"/>
          <w:highlight w:val="none"/>
        </w:rPr>
        <w:t xml:space="preserve">；</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（4）★按照本文件第一章第二条之</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lang w:val="en-US" w:eastAsia="zh-CN"/>
        </w:rPr>
        <w:t xml:space="preserve">三</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中“本项目的特定资格要求”应当提供的证书或材料等</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lang w:val="en-US" w:eastAsia="zh-CN"/>
        </w:rPr>
        <w:t xml:space="preserve">如有</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（7）★供应商近六个月中任意一个月份（不含磋商当月）的依法缴纳社会保障资金的相关材料（提供相关主管部门证明或银行代扣证明）；</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（8）★参加政府采购活动前 3 年内在经营活动中没有重大违法记录的书面声明</w:t>
      </w:r>
      <w:r>
        <w:rPr>
          <w:rFonts w:hint="eastAsia" w:ascii="宋体" w:hAnsi="宋体" w:eastAsia="宋体" w:cs="宋体"/>
          <w:b/>
          <w:color w:val="0000ff"/>
          <w:highlight w:val="none"/>
        </w:rPr>
        <w:t xml:space="preserve">（格式见附件）</w:t>
      </w:r>
      <w:r>
        <w:rPr>
          <w:rFonts w:hint="eastAsia" w:ascii="宋体" w:hAnsi="宋体" w:eastAsia="宋体" w:cs="宋体"/>
          <w:color w:val="0000ff"/>
          <w:highlight w:val="none"/>
        </w:rPr>
        <w:t xml:space="preserve">；</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（9）★具备履行合同所必需的设备和专业技术能力的书面声明</w:t>
      </w:r>
      <w:r>
        <w:rPr>
          <w:rFonts w:hint="eastAsia" w:ascii="宋体" w:hAnsi="宋体" w:eastAsia="宋体" w:cs="宋体"/>
          <w:b/>
          <w:color w:val="0000ff"/>
          <w:highlight w:val="none"/>
        </w:rPr>
        <w:t xml:space="preserve">（格式见附件）</w:t>
      </w:r>
      <w:r>
        <w:rPr>
          <w:rFonts w:hint="eastAsia" w:ascii="宋体" w:hAnsi="宋体" w:eastAsia="宋体" w:cs="宋体"/>
          <w:color w:val="0000ff"/>
          <w:highlight w:val="none"/>
        </w:rPr>
        <w:t xml:space="preserve">；</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（10）磋商供应商应提供《中小企业声明函》或《残疾人福利性单位声明函》或省级以上监狱管理局、戒毒管理局（含新疆生产建设兵团）出具的属于监狱企业的证明文件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lang w:val="en-US" w:eastAsia="zh-CN"/>
        </w:rPr>
        <w:t xml:space="preserve">如有</w:t>
      </w:r>
      <w:r>
        <w:rPr>
          <w:rFonts w:hint="eastAsia" w:ascii="宋体" w:hAnsi="宋体" w:eastAsia="宋体" w:cs="宋体"/>
          <w:color w:val="0000ff"/>
          <w:highlight w:val="none"/>
          <w:lang w:eastAsia="zh-CN"/>
        </w:rPr>
        <w:t xml:space="preserve">）</w:t>
      </w:r>
      <w:r>
        <w:rPr>
          <w:rFonts w:hint="eastAsia" w:ascii="宋体" w:hAnsi="宋体" w:eastAsia="宋体" w:cs="宋体"/>
          <w:color w:val="0000ff"/>
          <w:highlight w:val="none"/>
        </w:rPr>
        <w:t xml:space="preserve">；</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（11）“信用中国”网站查询截图。</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如上述资格证明文件第（5）（6）（7）三项遇有国家相关政策规定可不具备的，必须提供相关政策规定或相关单位出具的有效证明。</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1.3.2商务技术文件（按照本文件第六章统一提供的规范表式填写）</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（1）★磋商响应函；</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（2）★磋商报价表（参考格式，以苏采云系统格式为准）；</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（3）★服务及商务响应偏离表；</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（4）拟投入项目组人员表；</w:t>
      </w:r>
      <w:r/>
    </w:p>
    <w:p>
      <w:pPr>
        <w:ind w:firstLine="420"/>
        <w:spacing w:line="360" w:lineRule="auto"/>
        <w:rPr>
          <w:rFonts w:hint="eastAsia" w:ascii="宋体" w:hAnsi="宋体" w:eastAsia="宋体" w:cs="宋体"/>
          <w:color w:val="0000ff"/>
          <w:highlight w:val="none"/>
        </w:rPr>
      </w:pPr>
      <w:r>
        <w:rPr>
          <w:rFonts w:hint="eastAsia" w:ascii="宋体" w:hAnsi="宋体" w:eastAsia="宋体" w:cs="宋体"/>
          <w:color w:val="0000ff"/>
          <w:highlight w:val="none"/>
        </w:rPr>
        <w:t xml:space="preserve">（5）根据项目需求和评审方法以及评审标准，供应商为使自身处于有利评审地位，应当提交的其他文件和证明资料；</w:t>
      </w:r>
      <w:bookmarkEnd w:id="57"/>
      <w:r/>
      <w:bookmarkEnd w:id="58"/>
      <w:r/>
      <w:bookmarkEnd w:id="59"/>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1.3.3如标书制作工具中的格式和内容与“江苏政府采购网”发布的磋商文件不一致，请以“江苏政府采购网”发布的磋商文件为准。</w:t>
      </w:r>
      <w:r/>
    </w:p>
    <w:p>
      <w:pPr>
        <w:ind w:firstLine="420"/>
        <w:spacing w:line="360" w:lineRule="auto"/>
        <w:rPr>
          <w:rFonts w:hint="eastAsia" w:ascii="宋体" w:hAnsi="宋体" w:eastAsia="宋体" w:cs="宋体"/>
          <w:color w:val="auto"/>
          <w:highlight w:val="none"/>
        </w:rPr>
      </w:pPr>
      <w:r/>
      <w:bookmarkStart w:id="65" w:name="_Hlt26668999"/>
      <w:r/>
      <w:bookmarkEnd w:id="65"/>
      <w:r>
        <w:rPr>
          <w:rFonts w:hint="eastAsia" w:ascii="宋体" w:hAnsi="宋体" w:eastAsia="宋体" w:cs="宋体"/>
          <w:color w:val="auto"/>
          <w:highlight w:val="none"/>
        </w:rPr>
        <w:t xml:space="preserve">2.磋商响应报价</w:t>
      </w:r>
      <w:bookmarkEnd w:id="60"/>
      <w:r/>
      <w:bookmarkEnd w:id="61"/>
      <w:r/>
      <w:bookmarkStart w:id="66" w:name="_Hlt26670373"/>
      <w:r/>
      <w:bookmarkEnd w:id="66"/>
      <w:r>
        <w:rPr>
          <w:rFonts w:hint="eastAsia" w:ascii="宋体" w:hAnsi="宋体" w:eastAsia="宋体" w:cs="宋体"/>
          <w:color w:val="auto"/>
          <w:highlight w:val="none"/>
        </w:rPr>
        <w:t xml:space="preserve">表</w:t>
      </w:r>
      <w:bookmarkEnd w:id="6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2.1磋商供应商应按照磋商文件规定格式填报磋商响应报价表。每项产品或服务只允许有一个报价，任何有选择的报价将不予接受，磋商文件中另有规定的按规定执行。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2.3有关费用的处理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本次采购磋商供应商的总报价应包括为完成本项目发生的所有费用，本磋商文件中另有规定的除外。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磋商文件未列明，而磋商供应商认为必需的费用也须列入报价。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 报价采用的货币及方式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响应文件中的单价和总价，无特殊规定的采用人民币报价，以元为单位标注。磋商文件中另有规定的按规定执行。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 磋商响应报价表上的价格应按磋商文件规定填写。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2.6最高限价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磋商供应商报价超过最高限价的，作为无效标处理。</w:t>
      </w:r>
      <w:r/>
    </w:p>
    <w:p>
      <w:pPr>
        <w:ind w:firstLine="420"/>
        <w:spacing w:line="360" w:lineRule="auto"/>
        <w:rPr>
          <w:rFonts w:hint="eastAsia" w:ascii="宋体" w:hAnsi="宋体" w:eastAsia="宋体" w:cs="宋体"/>
          <w:color w:val="auto"/>
          <w:highlight w:val="none"/>
        </w:rPr>
      </w:pPr>
      <w:r/>
      <w:bookmarkStart w:id="67" w:name="_Hlt26954731"/>
      <w:r/>
      <w:bookmarkEnd w:id="67"/>
      <w:r/>
      <w:bookmarkStart w:id="68" w:name="_Hlt26954854"/>
      <w:r/>
      <w:bookmarkEnd w:id="68"/>
      <w:r/>
      <w:bookmarkStart w:id="69" w:name="_Hlt26954739"/>
      <w:r/>
      <w:bookmarkEnd w:id="69"/>
      <w:r/>
      <w:bookmarkStart w:id="70" w:name="_Hlt26670482"/>
      <w:r/>
      <w:bookmarkEnd w:id="70"/>
      <w:r/>
      <w:bookmarkStart w:id="71" w:name="_Hlt26954842"/>
      <w:r/>
      <w:bookmarkEnd w:id="71"/>
      <w:r/>
      <w:bookmarkStart w:id="72" w:name="_Hlt26670425"/>
      <w:r/>
      <w:bookmarkEnd w:id="72"/>
      <w:r/>
      <w:bookmarkStart w:id="73" w:name="_Hlt26670489"/>
      <w:r/>
      <w:bookmarkEnd w:id="73"/>
      <w:r/>
      <w:bookmarkStart w:id="74" w:name="_Hlt26668983"/>
      <w:r/>
      <w:bookmarkEnd w:id="74"/>
      <w:r/>
      <w:bookmarkStart w:id="75" w:name="_Hlt26954848"/>
      <w:r/>
      <w:bookmarkEnd w:id="75"/>
      <w:r/>
      <w:bookmarkStart w:id="76" w:name="_Hlt26954846"/>
      <w:r/>
      <w:bookmarkEnd w:id="76"/>
      <w:r/>
      <w:bookmarkStart w:id="77" w:name="_Hlt26670403"/>
      <w:r/>
      <w:bookmarkEnd w:id="77"/>
      <w:r/>
      <w:bookmarkStart w:id="78" w:name="_Hlt26954749"/>
      <w:r/>
      <w:bookmarkEnd w:id="78"/>
      <w:r/>
      <w:bookmarkStart w:id="79" w:name="_Hlt26954844"/>
      <w:r/>
      <w:bookmarkEnd w:id="79"/>
      <w:r/>
      <w:bookmarkStart w:id="80" w:name="_Hlt26954850"/>
      <w:r/>
      <w:bookmarkEnd w:id="80"/>
      <w:r/>
      <w:bookmarkStart w:id="81" w:name="_Hlt26670486"/>
      <w:r/>
      <w:bookmarkEnd w:id="81"/>
      <w:r/>
      <w:bookmarkStart w:id="82" w:name="_Hlt26954852"/>
      <w:r/>
      <w:bookmarkEnd w:id="82"/>
      <w:r/>
      <w:bookmarkStart w:id="83" w:name="_Hlt26670493"/>
      <w:r/>
      <w:bookmarkEnd w:id="83"/>
      <w:r/>
      <w:bookmarkStart w:id="84" w:name="_Hlt26954734"/>
      <w:r/>
      <w:bookmarkEnd w:id="84"/>
      <w:r/>
      <w:bookmarkStart w:id="85" w:name="_Toc513029224"/>
      <w:r/>
      <w:bookmarkStart w:id="86" w:name="_Toc14577362"/>
      <w:r/>
      <w:bookmarkStart w:id="87" w:name="_Toc61149562"/>
      <w:r>
        <w:rPr>
          <w:rFonts w:hint="eastAsia" w:ascii="宋体" w:hAnsi="宋体" w:eastAsia="宋体" w:cs="宋体"/>
          <w:color w:val="auto"/>
          <w:highlight w:val="none"/>
        </w:rPr>
        <w:t xml:space="preserve">3.磋商保证金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依据《关于做好政府采购支持企业发展有关事项的通知》（苏财购〔2020〕52号）文件规定精神，本项目免收磋商保证金。磋商文件中有关磋商保证金的条款均取消。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三、响应文件的递交</w:t>
      </w:r>
      <w:bookmarkEnd w:id="85"/>
      <w:r/>
      <w:bookmarkEnd w:id="86"/>
      <w:r/>
      <w:bookmarkEnd w:id="87"/>
      <w:r/>
      <w:r/>
    </w:p>
    <w:p>
      <w:pPr>
        <w:ind w:firstLine="420"/>
        <w:spacing w:line="360" w:lineRule="auto"/>
        <w:rPr>
          <w:rFonts w:hint="eastAsia" w:ascii="宋体" w:hAnsi="宋体" w:eastAsia="宋体" w:cs="宋体"/>
          <w:color w:val="auto"/>
          <w:highlight w:val="none"/>
        </w:rPr>
      </w:pPr>
      <w:r/>
      <w:bookmarkStart w:id="88" w:name="_Hlt26954856"/>
      <w:r/>
      <w:bookmarkEnd w:id="88"/>
      <w:r/>
      <w:bookmarkStart w:id="89" w:name="_Toc462564084"/>
      <w:r/>
      <w:bookmarkStart w:id="90" w:name="_Toc513029225"/>
      <w:r/>
      <w:bookmarkStart w:id="91" w:name="_Toc14577363"/>
      <w:r/>
      <w:bookmarkStart w:id="92" w:name="_Toc61149563"/>
      <w:r>
        <w:rPr>
          <w:rFonts w:hint="eastAsia" w:ascii="宋体" w:hAnsi="宋体" w:eastAsia="宋体" w:cs="宋体"/>
          <w:color w:val="auto"/>
          <w:highlight w:val="none"/>
        </w:rPr>
        <w:t xml:space="preserve">1.</w:t>
      </w:r>
      <w:bookmarkEnd w:id="89"/>
      <w:r/>
      <w:bookmarkEnd w:id="90"/>
      <w:r/>
      <w:bookmarkEnd w:id="91"/>
      <w:r/>
      <w:bookmarkEnd w:id="92"/>
      <w:r>
        <w:rPr>
          <w:rFonts w:hint="eastAsia" w:ascii="宋体" w:hAnsi="宋体" w:eastAsia="宋体" w:cs="宋体"/>
          <w:color w:val="auto"/>
          <w:highlight w:val="none"/>
        </w:rPr>
        <w:t xml:space="preserve">电子磋商响应文件的递交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1.1供应商应当按照《操作手册》规定，在提交响应文件截止时间前制作并上传电子响应文件。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2提交响应文件的截止时间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2.1供应商上传电子响应文件的时间不得迟于磋商公告中规定的提交响应文件截止时间。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供应商应充分考虑到网络环境、网络带宽等风险因素，如因供应商自身原因造成的电子响应文件上传不成功的按照本磋商文件第二章第5.3.2条规定作无效响应处理。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color w:val="auto"/>
          <w:highlight w:val="none"/>
        </w:rPr>
      </w:pPr>
      <w:r/>
      <w:bookmarkStart w:id="93" w:name="_Hlt26954752"/>
      <w:r/>
      <w:bookmarkEnd w:id="93"/>
      <w:r/>
      <w:bookmarkStart w:id="94" w:name="_Hlt26670496"/>
      <w:r/>
      <w:bookmarkEnd w:id="94"/>
      <w:r/>
      <w:bookmarkStart w:id="95" w:name="_Hlt26954858"/>
      <w:r/>
      <w:bookmarkEnd w:id="95"/>
      <w:r/>
      <w:bookmarkStart w:id="96" w:name="_Toc14577364"/>
      <w:r/>
      <w:bookmarkStart w:id="97" w:name="_Toc513029226"/>
      <w:r/>
      <w:bookmarkStart w:id="98" w:name="_Toc61149564"/>
      <w:r>
        <w:rPr>
          <w:rFonts w:hint="eastAsia" w:ascii="宋体" w:hAnsi="宋体" w:eastAsia="宋体" w:cs="宋体"/>
          <w:color w:val="auto"/>
          <w:highlight w:val="none"/>
        </w:rPr>
        <w:t xml:space="preserve">3.响应文件的拒收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3.1采购人拒绝接收在其规定的提交响应文件截止时间后上传的任何电子响应文件。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4.响应文件的撤回和修改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4.1.1电子响应文件的撤回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4.1.2供应商撤回电子响应文件，则视为其不再参与本项目磋商活动。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4.3在提交响应文件截止时间之后，供应商不得对其电子响应文件作任何修改。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4.4在提交响应文件截止时间至磋商文件中规定的磋商有效期满之间的这段时间内，供应商不得撤回其响应文件。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四、响应文件的解密与评审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1.响应文件解密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1.1供应商应当按照《操作手册》规定，在苏采云系统规定的时间内对磋商响应文件进行解密。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2.1采购代理机构将组织磋商小组对响应文件进行评审。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2.2磋商小组独立工作，负责评审所有响应文件并确定成交候选人。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3.评审过程的保密与公正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3.3在项目评审期间，采购代理机构将设专门人员与供应商联系。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3.4采购人、代理机构和磋商小组不向未成交的供应商解释未成交原因，也不公布评审过程中的相关细节。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4.评审过程中的澄清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4.3接到磋商小组澄清、说明和更正要求的供应商如未按规定作出澄清、说明和更正，其风险由供应商自行承担。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5.对响应文件的审查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5.1响应文件审查分为资格审查和符合性审查。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5.1.1资格审查：由磋商小组依据法律法规和磋商文件的规定，对响应文件中的资格证明文件进行审查，以确定供应商是否具备参加磋商的资格。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5.3未实质性响应磋商文件的情形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5.3.1供应商在苏采云系统规定的时间内未成功解密电子响应文件的；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5.3.2供应商未按照磋商文件要求上传电子响应文件的；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5.3.3同一供应商提交两个（含两个）以上不同的响应文件或者最后报价的；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5.3.4供应商不具备磋商文件中规定的资格要求的；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5.3.5供应商的最后报价超过了采购预算或最高限价的；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5.3.6不符合磋商文件中规定的实质性要求和条件的；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5.3.7供应商被“信用中国”网站（www.creditchina.gov.cn）列入失信被执行人、重大税收违法失信主体名单、政府采购严重违法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5.3.8响应文件中含有采购人不能接受的附加条件的；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5.3.10响应文件未按照磋商文件要求加盖CA电子公章的；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5.3.11标注“★”号，不能满足采购文件要求的；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5.4未实质性响应磋商文件的响应文件按无效响应处理。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5.5如果响应文件实质上没有响应磋商文件的要求，磋商小组将予以拒绝，供应商不得通过修改或撤销不符合要求的偏离或保留而使其成为实质性响应的文件。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5.6供应商在项目评审全过程中应保持通讯畅通，并安排专人与采购代理机构及磋商小组联系。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6.磋商程序及评审方法和评审标准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6.1磋商程序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6.1.1对于通过资格审查和符合性审查的供应商，磋商小组将集中与单一供应商分别进行磋商。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6.1.2磋商文件能够详细列明采购标的的技术、服务要求的，磋商结束后，磋商小组将在苏采云系统要求所有实质性响应的供应商在规定时间内提交最后报价。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6.2评审方法和评审标准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6.2.2评审标准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详见本磋商文件第五章规定。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6.3.1因情况变化，不再符合规定的竞争性磋商采购方式适用情形的。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6.3.2出现影响采购公正性的违法、违规行为的。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6.3.3除本磋商文件第二章第6.1.2条第三款规定的情形外，在采购过程中符合要求的供应商或者最后报价未超过采购预算的供应商不足3家的。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6.3.4在苏采云系统规定时间内成功解密电子响应文件的供应商不足3家的。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五、成交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1.3.1提供虚假材料牟取成交的。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1.3.2与评审专家、采购人、其他供应商或者采购代理机构工作人员恶意串通的。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1.3.3向评审专家、采购人或采购代理机构工作人员行贿或者提供其他不正当利益的。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1.3.5不满足本磋商文件规定的实质性要求，但在评审过程中又未被磋商小组发现的。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2.质疑处理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2.2.2对采购过程提出质疑的，为各采购程序环节结束之日。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2.2.3对成交结果提出质疑的，为成交结果公告期限届满之日。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2.3质疑函必须按照本磋商文件中《质疑函范本》要求的格式和内容进行填写。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采购人质疑接收人及联系方式见本磋商文件第一章。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2.5以下情形的质疑不予受理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2.5.1内容不符合《政府采购质疑和投诉办法》第十二条规定的质疑。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2.5.2超出政府采购法定期限的质疑。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2.5.3以传真、电子邮件等方式递交的非原件形式的质疑。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2.5.4未参加磋商活动的供应商或在磋商活动中自身权益未受到损害的供应商所提出的质疑。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96"/>
      <w:r/>
      <w:bookmarkEnd w:id="97"/>
      <w:r/>
      <w:bookmarkEnd w:id="98"/>
      <w:r/>
      <w:r/>
    </w:p>
    <w:p>
      <w:pPr>
        <w:ind w:firstLine="420"/>
        <w:spacing w:line="360" w:lineRule="auto"/>
        <w:rPr>
          <w:rFonts w:hint="eastAsia" w:ascii="宋体" w:hAnsi="宋体" w:eastAsia="宋体" w:cs="宋体"/>
          <w:color w:val="auto"/>
          <w:highlight w:val="none"/>
        </w:rPr>
      </w:pPr>
      <w:r/>
      <w:bookmarkStart w:id="99" w:name="_Toc16938553"/>
      <w:r/>
      <w:bookmarkStart w:id="100" w:name="_Toc513029237"/>
      <w:r/>
      <w:bookmarkStart w:id="101" w:name="_Toc20823309"/>
      <w:r>
        <w:rPr>
          <w:rFonts w:hint="eastAsia" w:ascii="宋体" w:hAnsi="宋体" w:eastAsia="宋体" w:cs="宋体"/>
          <w:color w:val="auto"/>
          <w:highlight w:val="none"/>
        </w:rPr>
        <w:t xml:space="preserve">六、签订、履行合同</w:t>
      </w:r>
      <w:r/>
    </w:p>
    <w:p>
      <w:pPr>
        <w:ind w:firstLine="420"/>
        <w:spacing w:line="360" w:lineRule="auto"/>
        <w:rPr>
          <w:rFonts w:hint="eastAsia" w:ascii="宋体" w:hAnsi="宋体" w:eastAsia="宋体" w:cs="宋体"/>
          <w:color w:val="auto"/>
          <w:sz w:val="18"/>
          <w:szCs w:val="20"/>
          <w:highlight w:val="yellow"/>
        </w:rPr>
      </w:pPr>
      <w:r>
        <w:rPr>
          <w:rFonts w:hint="eastAsia" w:ascii="宋体" w:hAnsi="宋体" w:eastAsia="宋体" w:cs="宋体"/>
          <w:color w:val="auto"/>
          <w:highlight w:val="yellow"/>
        </w:rPr>
        <w:t xml:space="preserve">1.履约保证金：</w:t>
      </w:r>
      <w:r>
        <w:rPr>
          <w:rFonts w:hint="eastAsia" w:ascii="宋体" w:hAnsi="宋体" w:cs="宋体"/>
          <w:sz w:val="20"/>
          <w:szCs w:val="20"/>
        </w:rPr>
        <w:t xml:space="preserve">中标价的5%，</w:t>
      </w:r>
      <w:r>
        <w:rPr>
          <w:rFonts w:hint="eastAsia" w:ascii="宋体" w:hAnsi="宋体" w:cs="宋体"/>
          <w:sz w:val="20"/>
          <w:szCs w:val="20"/>
          <w:lang w:eastAsia="zh-CN"/>
        </w:rPr>
        <w:t xml:space="preserve">甲方</w:t>
      </w:r>
      <w:r>
        <w:rPr>
          <w:rFonts w:hint="eastAsia" w:ascii="宋体" w:hAnsi="宋体" w:cs="宋体"/>
          <w:sz w:val="20"/>
          <w:szCs w:val="20"/>
        </w:rPr>
        <w:t xml:space="preserve">须在签订合同之前缴纳给</w:t>
      </w:r>
      <w:r>
        <w:rPr>
          <w:rFonts w:hint="eastAsia" w:ascii="宋体" w:hAnsi="宋体" w:cs="宋体"/>
          <w:sz w:val="20"/>
          <w:szCs w:val="20"/>
          <w:lang w:eastAsia="zh-CN"/>
        </w:rPr>
        <w:t xml:space="preserve">乙方</w:t>
      </w:r>
      <w:r>
        <w:rPr>
          <w:rFonts w:hint="eastAsia" w:ascii="宋体" w:hAnsi="宋体" w:cs="宋体"/>
          <w:sz w:val="20"/>
          <w:szCs w:val="20"/>
        </w:rPr>
        <w:t xml:space="preserve">（逾期未交，视同放弃此次中标），服务期每满一年且按合同要求履约完成予以返还履约保证金（无息）的50%。</w:t>
      </w:r>
      <w:r>
        <w:rPr>
          <w:rFonts w:hint="eastAsia" w:ascii="宋体" w:hAnsi="宋体" w:eastAsia="宋体" w:cs="宋体"/>
          <w:color w:val="auto"/>
          <w:sz w:val="18"/>
          <w:szCs w:val="20"/>
          <w:highlight w:val="yellow"/>
        </w:rPr>
      </w:r>
      <w:r>
        <w:rPr>
          <w:sz w:val="18"/>
          <w:szCs w:val="20"/>
        </w:rPr>
      </w:r>
    </w:p>
    <w:p>
      <w:pPr>
        <w:ind w:firstLine="420"/>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t xml:space="preserve">履约保证金提交形式：银行转账、支票、汇票、本票、金融机构出具的保函或者保证保险等非现金形式。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2.l成交供应商应当在成交通知书发出之日起30日内，按照磋商文件确定的事项与采购人签订政府采购合同。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2.2磋商文件、成交供应商的响应文件及磋商过程中有关澄清、承诺文件均应作为合同附件。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3.标的物的追加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七、其他事项说明：（落实的相关政策）</w:t>
      </w:r>
      <w:bookmarkEnd w:id="99"/>
      <w:r/>
      <w:bookmarkEnd w:id="100"/>
      <w:r/>
      <w:bookmarkEnd w:id="101"/>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（1）《政府采购促进中小企业发展管理办法》--财库〔2020〕46号。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（3）国务院办公厅关于建立政府强制采购节能产品制度的通知－-国办发〔2007〕51号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（4）节能产品政府采购实施意见－－财库〔2004〕185号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（5）环境标志产品政府采购实施的意见－－财库〔2006〕90号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20"/>
        <w:spacing w:line="360" w:lineRule="auto"/>
        <w:rPr>
          <w:rFonts w:hint="eastAsia" w:ascii="宋体" w:hAnsi="宋体" w:eastAsia="宋体" w:cs="宋体"/>
          <w:color w:val="auto"/>
          <w:highlight w:val="none"/>
        </w:rPr>
      </w:pPr>
      <w:r/>
      <w:bookmarkStart w:id="105" w:name="OLE_LINK64"/>
      <w:r/>
      <w:bookmarkStart w:id="106" w:name="OLE_LINK65"/>
      <w:r>
        <w:rPr>
          <w:rFonts w:hint="eastAsia" w:ascii="宋体" w:hAnsi="宋体" w:eastAsia="宋体" w:cs="宋体"/>
          <w:color w:val="auto"/>
          <w:highlight w:val="none"/>
        </w:rPr>
        <w:t xml:space="preserve">（6）</w:t>
      </w:r>
      <w:bookmarkEnd w:id="105"/>
      <w:r/>
      <w:bookmarkEnd w:id="106"/>
      <w:r>
        <w:rPr>
          <w:rFonts w:hint="eastAsia" w:ascii="宋体" w:hAnsi="宋体" w:eastAsia="宋体" w:cs="宋体"/>
          <w:color w:val="auto"/>
          <w:highlight w:val="none"/>
        </w:rPr>
        <w:t xml:space="preserve">《关于促进残疾人就业政府采购政策的通知》财库〔2017〕141号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（7）《电子履约保函（保险）关于在全省政府采购领域推行电子履约保函（保险）的通知（苏财购〔2023〕150 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（8）参照《关于印发中小企业划型标准规定的通知》（工信部联合企业﹝2011﹞300号）文件，本项目采购标的所属行业为</w:t>
      </w:r>
      <w:r>
        <w:rPr>
          <w:rFonts w:hint="eastAsia" w:ascii="宋体" w:hAnsi="宋体" w:eastAsia="宋体" w:cs="宋体"/>
          <w:b/>
          <w:bCs/>
          <w:color w:val="auto"/>
          <w:highlight w:val="none"/>
          <w:u w:val="single"/>
        </w:rPr>
        <w:t xml:space="preserve">其他未列明行业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八、关于异常低价的审查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1、评审过程中出现下列情形之一的，评审委员会将启动异常低价投标（响应）审查程序：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（1）投标（响应）报价低于采购项目预算</w:t>
      </w: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90</w:t>
      </w:r>
      <w:r>
        <w:rPr>
          <w:rFonts w:hint="eastAsia" w:ascii="宋体" w:hAnsi="宋体" w:eastAsia="宋体" w:cs="宋体"/>
          <w:color w:val="0000ff"/>
          <w:highlight w:val="none"/>
        </w:rPr>
        <w:t xml:space="preserve">万元）</w:t>
      </w:r>
      <w:r>
        <w:rPr>
          <w:rFonts w:hint="eastAsia" w:ascii="宋体" w:hAnsi="宋体" w:eastAsia="宋体" w:cs="宋体"/>
          <w:color w:val="auto"/>
          <w:highlight w:val="none"/>
        </w:rPr>
        <w:t xml:space="preserve">50%的，即投标（响应）报价&lt;采购项目预算×50%；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（2）投标（响应）报价低于采购项目最高限价</w:t>
      </w:r>
      <w:r>
        <w:rPr>
          <w:rFonts w:hint="eastAsia" w:ascii="宋体" w:hAnsi="宋体" w:eastAsia="宋体" w:cs="宋体"/>
          <w:color w:val="0000ff"/>
          <w:highlight w:val="none"/>
        </w:rPr>
        <w:t xml:space="preserve">（</w:t>
      </w:r>
      <w:r>
        <w:rPr>
          <w:rFonts w:hint="eastAsia" w:ascii="宋体" w:hAnsi="宋体" w:cs="宋体"/>
          <w:color w:val="0000ff"/>
          <w:highlight w:val="none"/>
          <w:lang w:val="en-US" w:eastAsia="zh-CN"/>
        </w:rPr>
        <w:t xml:space="preserve">90</w:t>
      </w:r>
      <w:r>
        <w:rPr>
          <w:rFonts w:hint="eastAsia" w:ascii="宋体" w:hAnsi="宋体" w:eastAsia="宋体" w:cs="宋体"/>
          <w:color w:val="0000ff"/>
          <w:highlight w:val="none"/>
        </w:rPr>
        <w:t xml:space="preserve">万元）</w:t>
      </w:r>
      <w:r>
        <w:rPr>
          <w:rFonts w:hint="eastAsia" w:ascii="宋体" w:hAnsi="宋体" w:eastAsia="宋体" w:cs="宋体"/>
          <w:color w:val="auto"/>
          <w:highlight w:val="none"/>
        </w:rPr>
        <w:t xml:space="preserve">45%的，即投标（响应）报价&lt;采购项目最高限价×45%；</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九、代理服务费由成交供应商在领取成交通知书前支付，以成交金额作为收费基数标准，按收费比例差额定率分档累进法计算，收费标准按照《江苏省政府采购代理服务收费指导意见》苏政采协[2024]20号文收费标准</w:t>
      </w:r>
      <w:bookmarkStart w:id="195" w:name="_GoBack"/>
      <w:r/>
      <w:bookmarkEnd w:id="195"/>
      <w:r>
        <w:rPr>
          <w:rFonts w:hint="eastAsia" w:ascii="宋体" w:hAnsi="宋体" w:eastAsia="宋体" w:cs="宋体"/>
          <w:color w:val="auto"/>
          <w:highlight w:val="none"/>
          <w:lang w:val="en-US" w:eastAsia="zh-CN"/>
        </w:rPr>
        <w:t xml:space="preserve">收取。</w:t>
      </w:r>
      <w:r/>
    </w:p>
    <w:p>
      <w:pPr>
        <w:jc w:val="center"/>
        <w:spacing w:line="360" w:lineRule="auto"/>
        <w:rPr>
          <w:rFonts w:hint="eastAsia" w:ascii="宋体" w:hAnsi="宋体" w:eastAsia="宋体" w:cs="宋体"/>
          <w:b/>
          <w:bCs/>
          <w:color w:val="auto"/>
          <w:highlight w:val="none"/>
        </w:rPr>
        <w:outlineLvl w:val="0"/>
      </w:pPr>
      <w:r>
        <w:rPr>
          <w:rFonts w:hint="eastAsia" w:ascii="宋体" w:hAnsi="宋体" w:eastAsia="宋体" w:cs="宋体"/>
          <w:b/>
          <w:bCs/>
          <w:color w:val="auto"/>
          <w:highlight w:val="none"/>
        </w:rPr>
        <w:br w:type="page" w:clear="all"/>
      </w:r>
      <w:r>
        <w:rPr>
          <w:rFonts w:hint="eastAsia" w:ascii="宋体" w:hAnsi="宋体" w:eastAsia="宋体" w:cs="宋体"/>
          <w:b/>
          <w:bCs/>
          <w:color w:val="auto"/>
          <w:sz w:val="32"/>
          <w:szCs w:val="32"/>
          <w:highlight w:val="none"/>
        </w:rPr>
        <w:t xml:space="preserve">第三章  合同条款及格式（参考）</w:t>
      </w:r>
      <w:r/>
    </w:p>
    <w:p>
      <w:pPr>
        <w:jc w:val="center"/>
        <w:keepNext/>
        <w:spacing w:line="360" w:lineRule="auto"/>
        <w:rPr>
          <w:rFonts w:hint="eastAsia" w:ascii="宋体" w:hAnsi="宋体" w:eastAsia="宋体" w:cs="宋体"/>
          <w:bCs/>
          <w:color w:val="auto"/>
          <w:sz w:val="36"/>
          <w:szCs w:val="22"/>
          <w:highlight w:val="none"/>
        </w:rPr>
        <w:outlineLvl w:val="9"/>
      </w:pPr>
      <w:r>
        <w:rPr>
          <w:rFonts w:hint="eastAsia" w:ascii="宋体" w:hAnsi="宋体" w:eastAsia="宋体" w:cs="宋体"/>
          <w:bCs/>
          <w:color w:val="auto"/>
          <w:sz w:val="36"/>
          <w:szCs w:val="22"/>
          <w:highlight w:val="none"/>
        </w:rPr>
        <w:t xml:space="preserve">泰州市第四人民医院</w:t>
      </w:r>
      <w:r/>
    </w:p>
    <w:p>
      <w:pPr>
        <w:jc w:val="center"/>
        <w:keepNext/>
        <w:spacing w:line="360" w:lineRule="auto"/>
        <w:rPr>
          <w:rFonts w:hint="eastAsia" w:ascii="宋体" w:hAnsi="宋体" w:eastAsia="宋体" w:cs="宋体"/>
          <w:bCs/>
          <w:color w:val="auto"/>
          <w:sz w:val="36"/>
          <w:szCs w:val="22"/>
          <w:highlight w:val="none"/>
        </w:rPr>
        <w:outlineLvl w:val="9"/>
      </w:pPr>
      <w:r>
        <w:rPr>
          <w:rFonts w:hint="eastAsia" w:ascii="宋体" w:hAnsi="宋体" w:cs="宋体"/>
          <w:bCs/>
          <w:color w:val="auto"/>
          <w:sz w:val="36"/>
          <w:szCs w:val="22"/>
          <w:highlight w:val="none"/>
          <w:lang w:val="en-US" w:eastAsia="zh-CN"/>
        </w:rPr>
        <w:t xml:space="preserve"> </w:t>
      </w:r>
      <w:r>
        <w:rPr>
          <w:rFonts w:hint="eastAsia" w:ascii="宋体" w:hAnsi="宋体" w:eastAsia="宋体" w:cs="宋体"/>
          <w:bCs/>
          <w:color w:val="auto"/>
          <w:sz w:val="36"/>
          <w:szCs w:val="22"/>
          <w:highlight w:val="none"/>
        </w:rPr>
        <w:t xml:space="preserve">采购合同</w:t>
      </w:r>
      <w:r/>
    </w:p>
    <w:p>
      <w:pPr>
        <w:keepLines w:val="0"/>
        <w:keepNext w:val="0"/>
        <w:pageBreakBefore w:val="0"/>
        <w:spacing w:line="560" w:lineRule="exact"/>
        <w:widowControl w:val="off"/>
        <w:rPr>
          <w:rFonts w:hint="eastAsia" w:ascii="宋体" w:hAnsi="宋体" w:eastAsia="宋体" w:cs="宋体"/>
          <w:sz w:val="24"/>
          <w:szCs w:val="24"/>
          <w:u w:val="single"/>
          <w:lang w:eastAsia="zh-CN"/>
        </w:rPr>
      </w:pPr>
      <w:r/>
      <w:bookmarkStart w:id="107" w:name="_Toc22763"/>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泰州市第四人民医院</w:t>
      </w:r>
      <w:r/>
    </w:p>
    <w:p>
      <w:pPr>
        <w:keepLines w:val="0"/>
        <w:keepNext w:val="0"/>
        <w:pageBreakBefore w:val="0"/>
        <w:spacing w:line="56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乙方（供应商）：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依据《中华人民共和国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》《中华人民共和国政府采购法》与项目行业有关的法律法规，以及医院信息化设备运维综合服务项目（项目编号：</w:t>
      </w:r>
      <w:r>
        <w:rPr>
          <w:rFonts w:hint="eastAsia" w:ascii="宋体" w:hAnsi="宋体" w:cs="宋体"/>
          <w:sz w:val="24"/>
          <w:szCs w:val="24"/>
          <w:lang w:eastAsia="zh-CN"/>
        </w:rPr>
        <w:t xml:space="preserve">JSZC-321202-JSJQ-C2025-0009</w:t>
      </w:r>
      <w:r>
        <w:rPr>
          <w:rFonts w:hint="eastAsia" w:ascii="宋体" w:hAnsi="宋体" w:eastAsia="宋体" w:cs="宋体"/>
          <w:sz w:val="24"/>
          <w:szCs w:val="24"/>
        </w:rPr>
        <w:t xml:space="preserve">）的《竞争性磋商文件》，乙方的《磋商响应文件》及《中标（成交）通知书》，甲、乙双方同意签订本合同。详细技术说明及其他有关合同项目的特定信息由合同附件予以说明，合同附件及本项目的《竞争性磋商文件》《磋商响应文件》《中标（成交）通知书》等均为本合同的组成部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签订地点：</w:t>
      </w:r>
      <w:r>
        <w:rPr>
          <w:rFonts w:hint="eastAsia" w:ascii="宋体" w:hAnsi="宋体" w:eastAsia="宋体" w:cs="宋体"/>
          <w:sz w:val="24"/>
          <w:szCs w:val="24"/>
          <w:lang w:eastAsia="zh-CN"/>
        </w:rPr>
        <w:t xml:space="preserve">泰州市第四人民医院</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签订时间：</w:t>
      </w:r>
      <w:r>
        <w:rPr>
          <w:rFonts w:hint="eastAsia" w:ascii="宋体" w:hAnsi="宋体" w:eastAsia="宋体" w:cs="宋体"/>
          <w:sz w:val="24"/>
          <w:szCs w:val="24"/>
          <w:lang w:val="en-US" w:eastAsia="zh-CN"/>
        </w:rPr>
        <w:t xml:space="preserve">2025</w:t>
      </w:r>
      <w:r>
        <w:rPr>
          <w:rFonts w:hint="eastAsia" w:ascii="宋体" w:hAnsi="宋体" w:eastAsia="宋体" w:cs="宋体"/>
          <w:sz w:val="24"/>
          <w:szCs w:val="24"/>
        </w:rPr>
        <w:t xml:space="preserve">年XX月XX日。</w:t>
      </w:r>
      <w:r/>
    </w:p>
    <w:p>
      <w:pPr>
        <w:numPr>
          <w:ilvl w:val="0"/>
          <w:numId w:val="0"/>
        </w:numPr>
        <w:ind w:left="1519" w:hanging="1094"/>
        <w:keepLines w:val="0"/>
        <w:keepNext w:val="0"/>
        <w:pageBreakBefore w:val="0"/>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第一条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项目基本情况</w:t>
      </w:r>
      <w:r/>
    </w:p>
    <w:tbl>
      <w:tblPr>
        <w:tblStyle w:val="772"/>
        <w:tblW w:w="48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4828"/>
        <w:gridCol w:w="2874"/>
      </w:tblGrid>
      <w:tr>
        <w:trPr>
          <w:jc w:val="center"/>
          <w:trHeight w:val="516"/>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ind w:left="0" w:right="0"/>
              <w:jc w:val="center"/>
              <w:keepLines w:val="0"/>
              <w:keepNext w:val="0"/>
              <w:pageBreakBefore w:val="0"/>
              <w:spacing w:before="0" w:beforeAutospacing="0" w:after="120" w:afterAutospacing="0" w:line="52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683" w:type="pct"/>
            <w:vAlign w:val="center"/>
            <w:textDirection w:val="lrTb"/>
            <w:noWrap w:val="false"/>
          </w:tcPr>
          <w:p>
            <w:pPr>
              <w:ind w:left="0" w:right="0"/>
              <w:jc w:val="center"/>
              <w:keepLines w:val="0"/>
              <w:keepNext w:val="0"/>
              <w:pageBreakBefore w:val="0"/>
              <w:spacing w:before="0" w:beforeAutospacing="0" w:after="120" w:afterAutospacing="0" w:line="52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服务项目名称</w:t>
            </w:r>
            <w:r/>
          </w:p>
        </w:tc>
        <w:tc>
          <w:tcPr>
            <w:tcBorders>
              <w:top w:val="single" w:color="auto" w:sz="4" w:space="0"/>
              <w:left w:val="single" w:color="auto" w:sz="4" w:space="0"/>
              <w:bottom w:val="single" w:color="auto" w:sz="4" w:space="0"/>
              <w:right w:val="single" w:color="auto" w:sz="4" w:space="0"/>
            </w:tcBorders>
            <w:tcW w:w="1597" w:type="pct"/>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合同价（元）</w:t>
            </w:r>
            <w:r/>
          </w:p>
        </w:tc>
      </w:tr>
      <w:tr>
        <w:trPr>
          <w:jc w:val="center"/>
          <w:trHeight w:val="580"/>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ind w:left="0" w:right="0"/>
              <w:jc w:val="center"/>
              <w:keepLines w:val="0"/>
              <w:keepNext w:val="0"/>
              <w:pageBreakBefore w:val="0"/>
              <w:spacing w:before="0" w:beforeAutospacing="0" w:after="120" w:afterAutospacing="0" w:line="52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683" w:type="pct"/>
            <w:vAlign w:val="center"/>
            <w:textDirection w:val="lrTb"/>
            <w:noWrap w:val="false"/>
          </w:tcPr>
          <w:p>
            <w:pPr>
              <w:ind w:left="0" w:right="0"/>
              <w:jc w:val="center"/>
              <w:keepLines w:val="0"/>
              <w:keepNext w:val="0"/>
              <w:pageBreakBefore w:val="0"/>
              <w:spacing w:before="0" w:beforeAutospacing="0" w:after="120" w:afterAutospacing="0" w:line="36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医院信息化设备运维综合服务</w:t>
            </w:r>
            <w:r/>
          </w:p>
        </w:tc>
        <w:tc>
          <w:tcPr>
            <w:tcBorders>
              <w:top w:val="single" w:color="auto" w:sz="4" w:space="0"/>
              <w:left w:val="single" w:color="auto" w:sz="4" w:space="0"/>
              <w:bottom w:val="single" w:color="auto" w:sz="4" w:space="0"/>
              <w:right w:val="single" w:color="auto" w:sz="4" w:space="0"/>
            </w:tcBorders>
            <w:tcW w:w="1597" w:type="pct"/>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000000"/>
                <w:sz w:val="24"/>
                <w:szCs w:val="24"/>
                <w:u w:val="none"/>
                <w:lang w:val="en-US" w:eastAsia="zh-CN" w:bidi="ar"/>
              </w:rPr>
            </w:pPr>
            <w:r>
              <w:rPr>
                <w:rFonts w:hint="eastAsia" w:ascii="宋体" w:hAnsi="宋体" w:eastAsia="宋体" w:cs="宋体"/>
                <w:color w:val="000000"/>
                <w:sz w:val="24"/>
                <w:szCs w:val="24"/>
                <w:u w:val="none"/>
                <w:lang w:val="en-US" w:eastAsia="zh-CN" w:bidi="ar"/>
              </w:rPr>
            </w:r>
            <w:r/>
          </w:p>
        </w:tc>
      </w:tr>
    </w:tbl>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1、</w:t>
      </w:r>
      <w:r>
        <w:rPr>
          <w:rFonts w:hint="eastAsia" w:ascii="宋体" w:hAnsi="宋体" w:eastAsia="宋体" w:cs="宋体"/>
          <w:sz w:val="24"/>
          <w:szCs w:val="24"/>
          <w:lang w:eastAsia="zh-CN"/>
        </w:rPr>
        <w:t xml:space="preserve">合同总价款：本合同项总价款为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元（大写）人民币</w:t>
      </w:r>
      <w:r>
        <w:rPr>
          <w:rFonts w:hint="eastAsia" w:ascii="宋体" w:hAnsi="宋体" w:eastAsia="宋体" w:cs="宋体"/>
          <w:sz w:val="24"/>
          <w:szCs w:val="24"/>
        </w:rPr>
        <w:t xml:space="preserve">。</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第二条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合同期限</w:t>
      </w:r>
      <w:r/>
    </w:p>
    <w:p>
      <w:pPr>
        <w:ind w:firstLine="480"/>
        <w:keepLines w:val="0"/>
        <w:keepNext w:val="0"/>
        <w:pageBreakBefore w:val="0"/>
        <w:spacing w:line="440" w:lineRule="exact"/>
        <w:widowControl w:val="off"/>
        <w:tabs>
          <w:tab w:val="left" w:pos="1440" w:leader="none"/>
        </w:tabs>
        <w:rPr>
          <w:rFonts w:hint="eastAsia" w:ascii="宋体" w:hAnsi="宋体" w:eastAsia="宋体" w:cs="宋体"/>
          <w:sz w:val="24"/>
          <w:szCs w:val="24"/>
        </w:rPr>
      </w:pPr>
      <w:r>
        <w:rPr>
          <w:rFonts w:hint="eastAsia" w:ascii="宋体" w:hAnsi="宋体" w:eastAsia="宋体" w:cs="宋体"/>
          <w:sz w:val="24"/>
          <w:szCs w:val="24"/>
        </w:rPr>
        <w:t xml:space="preserve">合同签订生效之日起</w:t>
      </w:r>
      <w:r>
        <w:rPr>
          <w:rFonts w:hint="eastAsia" w:ascii="宋体" w:hAnsi="宋体" w:eastAsia="宋体" w:cs="宋体"/>
          <w:sz w:val="24"/>
          <w:szCs w:val="24"/>
          <w:lang w:val="en-US" w:eastAsia="zh-CN"/>
        </w:rPr>
        <w:t xml:space="preserve">2年</w:t>
      </w:r>
      <w:r>
        <w:rPr>
          <w:rFonts w:hint="eastAsia" w:ascii="宋体" w:hAnsi="宋体" w:eastAsia="宋体" w:cs="宋体"/>
          <w:sz w:val="24"/>
          <w:szCs w:val="24"/>
        </w:rPr>
        <w:t xml:space="preserve">。</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bookmarkStart w:id="108" w:name="_Toc212019594"/>
      <w:r/>
      <w:bookmarkStart w:id="109" w:name="_Toc225244852"/>
      <w:r/>
      <w:bookmarkStart w:id="110" w:name="_Toc286993786"/>
      <w:r/>
      <w:bookmarkStart w:id="111" w:name="_Toc282696226"/>
      <w:r/>
      <w:bookmarkStart w:id="112" w:name="_Toc211854449"/>
      <w:r/>
      <w:bookmarkStart w:id="113" w:name="_Toc239233914"/>
      <w:r/>
      <w:bookmarkStart w:id="114" w:name="_Toc239568418"/>
      <w:r/>
      <w:bookmarkStart w:id="115" w:name="_Toc225670751"/>
      <w:r/>
      <w:bookmarkStart w:id="116" w:name="_Toc232492928"/>
      <w:r/>
      <w:bookmarkStart w:id="117" w:name="_Toc237145406"/>
      <w:r/>
      <w:bookmarkStart w:id="118" w:name="_Toc247334841"/>
      <w:r/>
      <w:bookmarkStart w:id="119" w:name="_Toc225654644"/>
      <w:r/>
      <w:bookmarkStart w:id="120" w:name="_Toc211911348"/>
      <w:r/>
      <w:bookmarkStart w:id="121" w:name="_Toc238984975"/>
      <w:r/>
      <w:bookmarkStart w:id="122" w:name="_Toc185395249"/>
      <w:r/>
      <w:bookmarkStart w:id="123" w:name="_Toc251768862"/>
      <w:r/>
      <w:bookmarkStart w:id="124" w:name="_Toc283019214"/>
      <w:r/>
      <w:bookmarkStart w:id="125" w:name="_Toc241833903"/>
      <w:r>
        <w:rPr>
          <w:rFonts w:hint="eastAsia" w:ascii="宋体" w:hAnsi="宋体" w:eastAsia="宋体" w:cs="宋体"/>
          <w:b/>
          <w:sz w:val="24"/>
          <w:szCs w:val="24"/>
          <w:lang w:val="en-US" w:eastAsia="zh-CN" w:bidi="ar-SA"/>
        </w:rPr>
        <w:t xml:space="preserve">第三条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服务费用及支付方式</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1、合同生效后</w:t>
      </w:r>
      <w:r>
        <w:rPr>
          <w:rFonts w:hint="eastAsia" w:ascii="宋体" w:hAnsi="宋体" w:cs="宋体"/>
          <w:sz w:val="24"/>
          <w:szCs w:val="24"/>
          <w:lang w:eastAsia="zh-CN"/>
        </w:rPr>
        <w:t xml:space="preserve">甲方</w:t>
      </w:r>
      <w:r>
        <w:rPr>
          <w:rFonts w:hint="eastAsia" w:ascii="宋体" w:hAnsi="宋体" w:eastAsia="宋体" w:cs="宋体"/>
          <w:sz w:val="24"/>
          <w:szCs w:val="24"/>
          <w:highlight w:val="none"/>
        </w:rPr>
        <w:t xml:space="preserve">根据</w:t>
      </w:r>
      <w:r>
        <w:rPr>
          <w:rFonts w:hint="eastAsia" w:ascii="宋体" w:hAnsi="宋体" w:cs="宋体"/>
          <w:sz w:val="24"/>
          <w:highlight w:val="none"/>
        </w:rPr>
        <w:t xml:space="preserve">信息化设备运维综合服务考核方案</w:t>
      </w:r>
      <w:r>
        <w:rPr>
          <w:rFonts w:hint="eastAsia" w:ascii="宋体" w:hAnsi="宋体" w:cs="宋体"/>
          <w:sz w:val="24"/>
          <w:highlight w:val="none"/>
          <w:lang w:eastAsia="zh-CN"/>
        </w:rPr>
        <w:t xml:space="preserve">的</w:t>
      </w:r>
      <w:r>
        <w:rPr>
          <w:rFonts w:hint="eastAsia" w:ascii="宋体" w:hAnsi="宋体" w:eastAsia="宋体" w:cs="宋体"/>
          <w:sz w:val="24"/>
          <w:szCs w:val="24"/>
          <w:highlight w:val="none"/>
        </w:rPr>
        <w:t xml:space="preserve">考核结果</w:t>
      </w:r>
      <w:r>
        <w:rPr>
          <w:rFonts w:hint="eastAsia" w:ascii="宋体" w:hAnsi="宋体" w:eastAsia="宋体" w:cs="宋体"/>
          <w:sz w:val="24"/>
          <w:szCs w:val="24"/>
        </w:rPr>
        <w:t xml:space="preserve">，每半年支付维保金额的25%。</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价格</w:t>
      </w:r>
      <w:r>
        <w:rPr>
          <w:rFonts w:hint="eastAsia" w:ascii="宋体" w:hAnsi="宋体" w:eastAsia="宋体" w:cs="宋体"/>
          <w:sz w:val="24"/>
          <w:szCs w:val="24"/>
        </w:rPr>
        <w:t xml:space="preserve">为含税全包价，包括人员费用、设备设施使用费、运输费、耗材费用、管理费、税费、利润和其他所有相关费用等。</w:t>
      </w:r>
      <w:r/>
    </w:p>
    <w:p>
      <w:pPr>
        <w:ind w:firstLine="480"/>
        <w:keepLines w:val="0"/>
        <w:keepNext w:val="0"/>
        <w:spacing w:line="4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ascii="宋体" w:hAnsi="宋体" w:cs="宋体"/>
          <w:sz w:val="24"/>
        </w:rPr>
        <w:t xml:space="preserve">履约保证金：中标价的5%，</w:t>
      </w:r>
      <w:r>
        <w:rPr>
          <w:rFonts w:hint="eastAsia" w:ascii="宋体" w:hAnsi="宋体" w:cs="宋体"/>
          <w:sz w:val="24"/>
          <w:lang w:eastAsia="zh-CN"/>
        </w:rPr>
        <w:t xml:space="preserve">甲方</w:t>
      </w:r>
      <w:r>
        <w:rPr>
          <w:rFonts w:hint="eastAsia" w:ascii="宋体" w:hAnsi="宋体" w:cs="宋体"/>
          <w:sz w:val="24"/>
        </w:rPr>
        <w:t xml:space="preserve">须在签订合同之前缴纳给</w:t>
      </w:r>
      <w:r>
        <w:rPr>
          <w:rFonts w:hint="eastAsia" w:ascii="宋体" w:hAnsi="宋体" w:cs="宋体"/>
          <w:sz w:val="24"/>
          <w:lang w:eastAsia="zh-CN"/>
        </w:rPr>
        <w:t xml:space="preserve">乙方</w:t>
      </w:r>
      <w:r>
        <w:rPr>
          <w:rFonts w:hint="eastAsia" w:ascii="宋体" w:hAnsi="宋体" w:cs="宋体"/>
          <w:sz w:val="24"/>
        </w:rPr>
        <w:t xml:space="preserve">（逾期未交，视同放弃此次中标），服务期每满一年且按合同要求履约完成予以返还履约保证金（无息）的50%。</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第四条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无产权瑕疵条款</w:t>
      </w:r>
      <w:r/>
    </w:p>
    <w:p>
      <w:pPr>
        <w:ind w:firstLine="472"/>
        <w:jc w:val="left"/>
        <w:keepLines w:val="0"/>
        <w:keepNext w:val="0"/>
        <w:pageBreakBefore w:val="0"/>
        <w:spacing w:line="440" w:lineRule="exact"/>
        <w:widowControl w:val="off"/>
        <w:tabs>
          <w:tab w:val="left" w:pos="1440" w:leader="none"/>
        </w:tabs>
        <w:rPr>
          <w:rFonts w:hint="eastAsia" w:ascii="宋体" w:hAnsi="宋体" w:eastAsia="宋体" w:cs="宋体"/>
          <w:bCs/>
          <w:sz w:val="24"/>
          <w:szCs w:val="24"/>
        </w:rPr>
      </w:pPr>
      <w:r>
        <w:rPr>
          <w:rFonts w:ascii="Segoe UI" w:hAnsi="Segoe UI" w:eastAsia="Segoe UI" w:cs="Segoe UI"/>
          <w:i w:val="0"/>
          <w:iCs w:val="0"/>
          <w:caps w:val="0"/>
          <w:spacing w:val="-2"/>
          <w:sz w:val="24"/>
          <w:szCs w:val="24"/>
          <w:shd w:val="clear" w:color="auto" w:fill="ffffff"/>
        </w:rPr>
        <w:t xml:space="preserve">乙方保证其</w:t>
      </w:r>
      <w:r>
        <w:rPr>
          <w:rFonts w:hint="eastAsia" w:ascii="宋体" w:hAnsi="宋体" w:eastAsia="宋体" w:cs="宋体"/>
          <w:sz w:val="24"/>
          <w:szCs w:val="24"/>
        </w:rPr>
        <w:t xml:space="preserve">所提供的服务或其任何一部分均不会侵犯任何第三方的</w:t>
      </w:r>
      <w:r>
        <w:rPr>
          <w:rFonts w:ascii="Segoe UI" w:hAnsi="Segoe UI" w:eastAsia="Segoe UI" w:cs="Segoe UI"/>
          <w:i w:val="0"/>
          <w:iCs w:val="0"/>
          <w:caps w:val="0"/>
          <w:spacing w:val="-2"/>
          <w:sz w:val="24"/>
          <w:szCs w:val="24"/>
          <w:shd w:val="clear" w:color="auto" w:fill="ffffff"/>
        </w:rPr>
        <w:t xml:space="preserve">合法权益（包括但不限于知识产权、商业秘密等）。如因乙方提供的服务或服务成果引发任何第三方对甲方提出权利主张或导致甲方遭受任何损失的，乙方应承担全部赔偿责任，包括甲方的直接损失及为应对争议所支出的合理费用（如律师费、诉讼费等）。</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w:t>
      </w:r>
      <w:r>
        <w:rPr>
          <w:rFonts w:hint="eastAsia" w:ascii="宋体" w:hAnsi="宋体" w:cs="宋体"/>
          <w:b/>
          <w:sz w:val="24"/>
          <w:szCs w:val="24"/>
          <w:lang w:val="en-US" w:eastAsia="zh-CN" w:bidi="ar-SA"/>
        </w:rPr>
        <w:t xml:space="preserve">五</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甲方的权利和义务</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2、负责检查监督乙方管理工作的实施及制度的执行情况。</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、根据本合同规定，按时向乙方支付应付服务费用。</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w:t>
      </w:r>
      <w:r>
        <w:rPr>
          <w:rFonts w:hint="eastAsia" w:ascii="宋体" w:hAnsi="宋体" w:cs="宋体"/>
          <w:b/>
          <w:sz w:val="24"/>
          <w:szCs w:val="24"/>
          <w:lang w:val="en-US" w:eastAsia="zh-CN" w:bidi="ar-SA"/>
        </w:rPr>
        <w:t xml:space="preserve">六</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乙方的权利和义务</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1、对本合同规定的委托服务范围内的项目</w:t>
      </w:r>
      <w:r>
        <w:rPr>
          <w:rFonts w:hint="eastAsia" w:ascii="宋体" w:hAnsi="宋体" w:eastAsia="宋体" w:cs="宋体"/>
          <w:bCs/>
          <w:sz w:val="24"/>
          <w:szCs w:val="24"/>
          <w:lang w:eastAsia="zh-CN"/>
        </w:rPr>
        <w:t xml:space="preserve">提供相应</w:t>
      </w:r>
      <w:r>
        <w:rPr>
          <w:rFonts w:hint="eastAsia" w:ascii="宋体" w:hAnsi="宋体" w:eastAsia="宋体" w:cs="宋体"/>
          <w:bCs/>
          <w:sz w:val="24"/>
          <w:szCs w:val="24"/>
        </w:rPr>
        <w:t xml:space="preserve">服务义务。</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及时向甲方通告本项目服务范围内有关服务的重大事项，及时配合处理投诉</w:t>
      </w:r>
      <w:r>
        <w:rPr>
          <w:rFonts w:hint="eastAsia" w:ascii="宋体" w:hAnsi="宋体" w:eastAsia="宋体" w:cs="宋体"/>
          <w:bCs/>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所提供的服务必须遵守国家颁布标准和有关规定。本项目实施人员必须是投标文件中提供的人员，不得以任何原因和方式将合同转包或</w:t>
      </w:r>
      <w:r>
        <w:rPr>
          <w:rFonts w:hint="eastAsia" w:ascii="宋体" w:hAnsi="宋体" w:eastAsia="宋体" w:cs="宋体"/>
          <w:sz w:val="24"/>
          <w:szCs w:val="24"/>
          <w:u w:val="none"/>
        </w:rPr>
        <w:t xml:space="preserve">雇用</w:t>
      </w:r>
      <w:r>
        <w:rPr>
          <w:rFonts w:hint="eastAsia" w:ascii="宋体" w:hAnsi="宋体" w:eastAsia="宋体" w:cs="宋体"/>
          <w:sz w:val="24"/>
          <w:szCs w:val="24"/>
        </w:rPr>
        <w:t xml:space="preserve">其他作业单位人员进行实施。</w:t>
      </w:r>
      <w:r/>
    </w:p>
    <w:p>
      <w:pPr>
        <w:pStyle w:val="947"/>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4、乙方履行合同过程中的安全责任自负。</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w:t>
      </w:r>
      <w:r>
        <w:rPr>
          <w:rFonts w:hint="eastAsia" w:ascii="宋体" w:hAnsi="宋体" w:cs="宋体"/>
          <w:b/>
          <w:sz w:val="24"/>
          <w:szCs w:val="24"/>
          <w:lang w:val="en-US" w:eastAsia="zh-CN" w:bidi="ar-SA"/>
        </w:rPr>
        <w:t xml:space="preserve">七</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保密义务</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rPr>
        <w:t xml:space="preserve">未经双方书面同意，不得泄露、使用或向第三方提供保密信息。未经双方授权，任何一方不得公开或私自复制、修改或对外发布保密信息。双方应采取合理的安全措施对保密信息进行保护，防止信息泄露或被非法获取。若保密信息处于不安全环境或被泄露，应及时通知对方并采取必要措施防止损失扩大。</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提供服务的过程中，乙方可能需要从设备上存取、查看和/或下载包含个人数据的计算机文档。个人数据包括可用来直接或间接地识别出个人的个人相关信息。乙方对个人数据的使用仅限于履行本合同规定的义务所必需的限度内，不得擅自使用、公开或泄露从设备上存取、查看和/或下载包含个人数据的任何信息给第三方。前款保密规定在本合同因任何原因终止之后仍然有效。</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本协议规定的保密义务不因本协议的终止、中止而失效，除非相关资料依法成为公开信息。</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w:t>
      </w:r>
      <w:r>
        <w:rPr>
          <w:rFonts w:hint="eastAsia" w:ascii="宋体" w:hAnsi="宋体" w:cs="宋体"/>
          <w:b/>
          <w:sz w:val="24"/>
          <w:szCs w:val="24"/>
          <w:lang w:val="en-US" w:eastAsia="zh-CN" w:bidi="ar-SA"/>
        </w:rPr>
        <w:t xml:space="preserve">八</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通讯与联络</w:t>
      </w:r>
      <w:r/>
    </w:p>
    <w:p>
      <w:pPr>
        <w:ind w:firstLine="480"/>
        <w:keepLines w:val="0"/>
        <w:keepNext w:val="0"/>
        <w:pageBreakBefore w:val="0"/>
        <w:spacing w:line="44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乙方指定以下联系人负责本合同约定事项的联络、沟通，并按以下通讯方式接收或提交相关通知、文件及资料：</w:t>
      </w:r>
      <w:r/>
    </w:p>
    <w:p>
      <w:pPr>
        <w:ind w:firstLine="480"/>
        <w:keepLines w:val="0"/>
        <w:keepNext w:val="0"/>
        <w:pageBreakBefore w:val="0"/>
        <w:spacing w:line="44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乙方联系人：</w:t>
      </w:r>
      <w:r/>
    </w:p>
    <w:p>
      <w:pPr>
        <w:ind w:firstLine="480"/>
        <w:keepLines w:val="0"/>
        <w:keepNext w:val="0"/>
        <w:pageBreakBefore w:val="0"/>
        <w:spacing w:line="44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电话： </w:t>
      </w:r>
      <w:r/>
    </w:p>
    <w:p>
      <w:pPr>
        <w:ind w:firstLine="48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邮箱：</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cs="宋体"/>
          <w:b/>
          <w:sz w:val="24"/>
          <w:szCs w:val="24"/>
          <w:lang w:val="en-US" w:eastAsia="zh-CN" w:bidi="ar-SA"/>
        </w:rPr>
        <w:t xml:space="preserve">第九</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lang w:eastAsia="zh-CN"/>
        </w:rPr>
        <w:t xml:space="preserve">合同追加</w:t>
      </w:r>
      <w:r/>
    </w:p>
    <w:p>
      <w:pPr>
        <w:pStyle w:val="967"/>
        <w:ind w:firstLine="480"/>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乙方根据项目需要追加合同中的货物或服务或工程的，须经甲方同意，追加的货物或服务或工程总金额不得超过合同总金额的10%，如追加的货物或服务或工程超出合同总金额的10%，则超出部分须另行组织采购签订合同。</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第十条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违约责任</w:t>
      </w:r>
      <w:r/>
    </w:p>
    <w:p>
      <w:pPr>
        <w:pStyle w:val="967"/>
        <w:ind w:firstLine="480"/>
        <w:keepLines w:val="0"/>
        <w:keepNext w:val="0"/>
        <w:pageBreakBefore w:val="0"/>
        <w:spacing w:line="44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(一)</w:t>
      </w:r>
      <w:r>
        <w:rPr>
          <w:rFonts w:hint="eastAsia" w:ascii="宋体" w:hAnsi="宋体" w:eastAsia="宋体" w:cs="宋体"/>
          <w:bCs/>
          <w:sz w:val="24"/>
          <w:szCs w:val="24"/>
          <w:highlight w:val="none"/>
          <w:lang w:val="en-US" w:eastAsia="zh-CN"/>
        </w:rPr>
        <w:t xml:space="preserve">服务</w:t>
      </w:r>
      <w:r>
        <w:rPr>
          <w:rFonts w:hint="eastAsia" w:ascii="宋体" w:hAnsi="宋体" w:eastAsia="宋体" w:cs="宋体"/>
          <w:bCs/>
          <w:sz w:val="24"/>
          <w:szCs w:val="24"/>
          <w:highlight w:val="none"/>
          <w:lang w:val="en-US"/>
        </w:rPr>
        <w:t xml:space="preserve">责任</w:t>
      </w:r>
      <w:r/>
    </w:p>
    <w:p>
      <w:pPr>
        <w:pStyle w:val="967"/>
        <w:ind w:firstLine="480"/>
        <w:keepLines w:val="0"/>
        <w:keepNext w:val="0"/>
        <w:pageBreakBefore w:val="0"/>
        <w:spacing w:line="44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rPr>
        <w:t xml:space="preserve">乙方交付的服务项目未达到招标文件或验收未通过。甲方有权要求乙方立即改正，乙方在接到甲方反馈后，必须及时作出反应并予以解决，完成整改并重新提交验收。每次重新验收仍不合格，乙方支付相当于合同总价款3%的违约金，同一问题经2次整改仍不合格，或累计3次验收不合格，甲方有权解除合同并要求乙方承担合同总额30%的违约金。</w:t>
      </w:r>
      <w:r/>
    </w:p>
    <w:p>
      <w:pPr>
        <w:pStyle w:val="967"/>
        <w:ind w:firstLine="480"/>
        <w:keepLines w:val="0"/>
        <w:keepNext w:val="0"/>
        <w:pageBreakBefore w:val="0"/>
        <w:spacing w:line="440" w:lineRule="exact"/>
        <w:widowControl w:val="off"/>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rPr>
        <w:t xml:space="preserve">乙方</w:t>
      </w:r>
      <w:r>
        <w:rPr>
          <w:rFonts w:hint="eastAsia" w:ascii="宋体" w:hAnsi="宋体" w:eastAsia="宋体" w:cs="宋体"/>
          <w:bCs/>
          <w:sz w:val="24"/>
          <w:szCs w:val="24"/>
          <w:highlight w:val="none"/>
          <w:lang w:val="en-US" w:eastAsia="zh-CN"/>
        </w:rPr>
        <w:t xml:space="preserve">在服务期间</w:t>
      </w:r>
      <w:r>
        <w:rPr>
          <w:rFonts w:hint="eastAsia" w:ascii="宋体" w:hAnsi="宋体" w:eastAsia="宋体" w:cs="宋体"/>
          <w:bCs/>
          <w:sz w:val="24"/>
          <w:szCs w:val="24"/>
          <w:highlight w:val="none"/>
          <w:lang w:val="en-US"/>
        </w:rPr>
        <w:t xml:space="preserve">未按合同约定的时间和质量标准提供服务，每逾期1天向甲方偿付合同总额5‰违约金，逾期超过7天，甲方有权单方解除本合同并要求乙方承担合同总额的30%作为违约金，如上述违约金无法弥补乙方因此给甲方造成的损失，甲方可要求乙方按实赔偿；所供服务质量问题造成甲方损失的，乙方须无条件承担相应责任；因乙方所供服务质量问题导致甲方无法实现合同目的，甲方有权解除合同并要求乙方承担合同总额30%的违约金。</w:t>
      </w:r>
      <w:r/>
    </w:p>
    <w:p>
      <w:pPr>
        <w:pStyle w:val="967"/>
        <w:ind w:firstLine="480"/>
        <w:keepLines w:val="0"/>
        <w:keepNext w:val="0"/>
        <w:pageBreakBefore w:val="0"/>
        <w:spacing w:line="440" w:lineRule="exact"/>
        <w:widowControl w:val="off"/>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w:t>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lang w:val="en-US"/>
        </w:rPr>
        <w:t xml:space="preserve">)违反数据安全与保密义务</w:t>
      </w:r>
      <w:r/>
    </w:p>
    <w:p>
      <w:pPr>
        <w:pStyle w:val="967"/>
        <w:ind w:firstLine="480"/>
        <w:keepLines w:val="0"/>
        <w:keepNext w:val="0"/>
        <w:pageBreakBefore w:val="0"/>
        <w:spacing w:line="440" w:lineRule="exact"/>
        <w:widowControl w:val="off"/>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发生医院相关数据泄露、丢失、未授权访问；未履行数据备份、加密、访问控制等合同约定的安全义务；系统存在高危漏洞未及时修复。</w:t>
      </w:r>
      <w:r/>
    </w:p>
    <w:p>
      <w:pPr>
        <w:pStyle w:val="967"/>
        <w:ind w:firstLine="480"/>
        <w:keepLines w:val="0"/>
        <w:keepNext w:val="0"/>
        <w:pageBreakBefore w:val="0"/>
        <w:spacing w:line="440" w:lineRule="exact"/>
        <w:widowControl w:val="off"/>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发生数据安全事件，乙方立即支付合同总价款10%的违约金。且乙方承担甲方因此产生的全部损失（包括但不限于调查费、通知费、监管罚款、诉讼/和解费、业务中断损失、声誉损失等）。同时乙方须在24小时内书面报告事件详情及补救方案。发生大规模泄露或故意泄露，甲方有权立即解除合同。</w:t>
      </w:r>
      <w:r/>
    </w:p>
    <w:p>
      <w:pPr>
        <w:pStyle w:val="967"/>
        <w:ind w:firstLine="480"/>
        <w:keepLines w:val="0"/>
        <w:keepNext w:val="0"/>
        <w:pageBreakBefore w:val="0"/>
        <w:spacing w:line="440" w:lineRule="exact"/>
        <w:widowControl w:val="off"/>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lang w:val="en-US"/>
        </w:rPr>
        <w:t xml:space="preserve">)禁止关键人员变更/违规分包</w:t>
      </w:r>
      <w:r/>
    </w:p>
    <w:p>
      <w:pPr>
        <w:pStyle w:val="967"/>
        <w:ind w:firstLine="480"/>
        <w:keepLines w:val="0"/>
        <w:keepNext w:val="0"/>
        <w:pageBreakBefore w:val="0"/>
        <w:spacing w:line="440" w:lineRule="exact"/>
        <w:widowControl w:val="off"/>
        <w:rPr>
          <w:rFonts w:hint="eastAsia" w:ascii="宋体" w:hAnsi="宋体" w:eastAsia="宋体" w:cs="宋体"/>
          <w:bCs/>
          <w:sz w:val="24"/>
          <w:szCs w:val="24"/>
          <w:lang w:val="en-US"/>
        </w:rPr>
      </w:pPr>
      <w:r>
        <w:rPr>
          <w:rFonts w:hint="eastAsia" w:ascii="宋体" w:hAnsi="宋体" w:eastAsia="宋体" w:cs="宋体"/>
          <w:bCs/>
          <w:sz w:val="24"/>
          <w:szCs w:val="24"/>
          <w:lang w:val="en-US"/>
        </w:rPr>
        <w:t xml:space="preserve">未经甲方书面同意，擅自更换投标承诺的项目经理、技术负责人；将核心开发或运维工作分包。乙方须在7日内恢复符合要求人员或终止分包。每次违约支付合同总价款2%的违约金。关键人员变更频繁（≥2次/年）或分包严重影响项目，甲方有权解除合同。</w:t>
      </w:r>
      <w:r/>
    </w:p>
    <w:p>
      <w:pPr>
        <w:pStyle w:val="967"/>
        <w:numPr>
          <w:ilvl w:val="0"/>
          <w:numId w:val="1"/>
        </w:numPr>
        <w:ind w:firstLine="480"/>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乙方因违反本合同约定致使甲方解除合同的，乙方应缴纳合同金额总价30%的违约金，并承担对甲方造成的全部损失（包括但不限于直接经济损失，因主张权利而产生的律师费、诉讼费、鉴定费、差旅费等维权费用）。</w:t>
      </w:r>
      <w:r/>
    </w:p>
    <w:p>
      <w:pPr>
        <w:pStyle w:val="967"/>
        <w:numPr>
          <w:ilvl w:val="0"/>
          <w:numId w:val="1"/>
        </w:numPr>
        <w:ind w:firstLine="480"/>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本合同项下产生的所有违约金，甲方有权在应付款项中直接予以扣除。如应付款项不足以抵扣，乙方应予以补足。</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第十</w:t>
      </w:r>
      <w:r>
        <w:rPr>
          <w:rFonts w:hint="eastAsia" w:ascii="宋体" w:hAnsi="宋体" w:cs="宋体"/>
          <w:b/>
          <w:sz w:val="24"/>
          <w:szCs w:val="24"/>
          <w:lang w:val="en-US" w:eastAsia="zh-CN" w:bidi="ar-SA"/>
        </w:rPr>
        <w:t xml:space="preserve">一</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不可抗力事件处理</w:t>
      </w:r>
      <w:r/>
    </w:p>
    <w:p>
      <w:pPr>
        <w:ind w:firstLine="480"/>
        <w:keepLines w:val="0"/>
        <w:keepNext w:val="0"/>
        <w:pageBreakBefore w:val="0"/>
        <w:spacing w:line="44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2、不可抗力事件发生后，应立即通知对方，并寄送有关权威机构出具的证明。</w:t>
      </w:r>
      <w:r/>
    </w:p>
    <w:p>
      <w:pPr>
        <w:ind w:firstLine="480"/>
        <w:keepLines w:val="0"/>
        <w:keepNext w:val="0"/>
        <w:pageBreakBefore w:val="0"/>
        <w:spacing w:line="44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3、不可抗力事件延续</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天以上，双方应通过友好协商，确定是否继续履行合同。</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bookmarkStart w:id="126" w:name="_Toc225670756"/>
      <w:r/>
      <w:bookmarkStart w:id="127" w:name="_Toc286993792"/>
      <w:r/>
      <w:bookmarkStart w:id="128" w:name="_Toc211854454"/>
      <w:r/>
      <w:bookmarkStart w:id="129" w:name="_Toc239233919"/>
      <w:r/>
      <w:bookmarkStart w:id="130" w:name="_Toc212019599"/>
      <w:r/>
      <w:bookmarkStart w:id="131" w:name="_Toc225654649"/>
      <w:r/>
      <w:bookmarkStart w:id="132" w:name="_Toc239568423"/>
      <w:r/>
      <w:bookmarkStart w:id="133" w:name="_Toc211911353"/>
      <w:r/>
      <w:bookmarkStart w:id="134" w:name="_Toc238984980"/>
      <w:r/>
      <w:bookmarkStart w:id="135" w:name="_Toc241833908"/>
      <w:r/>
      <w:bookmarkStart w:id="136" w:name="_Toc251768867"/>
      <w:r/>
      <w:bookmarkStart w:id="137" w:name="_Toc247334846"/>
      <w:r/>
      <w:bookmarkStart w:id="138" w:name="_Toc237145411"/>
      <w:r/>
      <w:bookmarkStart w:id="139" w:name="_Toc185395254"/>
      <w:r/>
      <w:bookmarkStart w:id="140" w:name="_Toc232492933"/>
      <w:r/>
      <w:bookmarkStart w:id="141" w:name="_Toc225244857"/>
      <w:r>
        <w:rPr>
          <w:rFonts w:hint="eastAsia" w:ascii="宋体" w:hAnsi="宋体" w:eastAsia="宋体" w:cs="宋体"/>
          <w:b/>
          <w:sz w:val="24"/>
          <w:szCs w:val="24"/>
          <w:lang w:val="en-US" w:eastAsia="zh-CN" w:bidi="ar-SA"/>
        </w:rPr>
        <w:t xml:space="preserve">第十</w:t>
      </w:r>
      <w:r>
        <w:rPr>
          <w:rFonts w:hint="eastAsia" w:ascii="宋体" w:hAnsi="宋体" w:cs="宋体"/>
          <w:b/>
          <w:sz w:val="24"/>
          <w:szCs w:val="24"/>
          <w:lang w:val="en-US" w:eastAsia="zh-CN" w:bidi="ar-SA"/>
        </w:rPr>
        <w:t xml:space="preserve">二</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解决合同纠纷的方式</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ind w:firstLine="480"/>
        <w:keepLines w:val="0"/>
        <w:keepNext w:val="0"/>
        <w:pageBreakBefore w:val="0"/>
        <w:spacing w:line="44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1、在执行本合同中发生的或与本合同有关的争端，双方应通过友好协商解决，经协商不能达成协议时，应提交</w:t>
      </w:r>
      <w:r>
        <w:rPr>
          <w:rFonts w:hint="eastAsia" w:ascii="宋体" w:hAnsi="宋体" w:eastAsia="宋体" w:cs="宋体"/>
          <w:sz w:val="24"/>
          <w:szCs w:val="24"/>
          <w:lang w:val="en-US" w:eastAsia="zh-CN"/>
        </w:rPr>
        <w:t xml:space="preserve">甲方所在地人民法院诉讼解决</w:t>
      </w:r>
      <w:r>
        <w:rPr>
          <w:rFonts w:hint="eastAsia" w:ascii="宋体" w:hAnsi="宋体" w:eastAsia="宋体" w:cs="宋体"/>
          <w:sz w:val="24"/>
          <w:szCs w:val="24"/>
        </w:rPr>
        <w:t xml:space="preserve">。</w:t>
      </w:r>
      <w:r/>
    </w:p>
    <w:p>
      <w:pPr>
        <w:ind w:firstLine="0"/>
        <w:keepLines w:val="0"/>
        <w:keepNext w:val="0"/>
        <w:pageBreakBefore w:val="0"/>
        <w:spacing w:line="44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诉讼</w:t>
      </w:r>
      <w:r>
        <w:rPr>
          <w:rFonts w:hint="eastAsia" w:ascii="宋体" w:hAnsi="宋体" w:eastAsia="宋体" w:cs="宋体"/>
          <w:sz w:val="24"/>
          <w:szCs w:val="24"/>
        </w:rPr>
        <w:t xml:space="preserve">期间，除正在进行</w:t>
      </w:r>
      <w:r>
        <w:rPr>
          <w:rFonts w:hint="eastAsia" w:ascii="宋体" w:hAnsi="宋体" w:eastAsia="宋体" w:cs="宋体"/>
          <w:sz w:val="24"/>
          <w:szCs w:val="24"/>
          <w:lang w:val="en-US" w:eastAsia="zh-CN"/>
        </w:rPr>
        <w:t xml:space="preserve">诉讼的</w:t>
      </w:r>
      <w:r>
        <w:rPr>
          <w:rFonts w:hint="eastAsia" w:ascii="宋体" w:hAnsi="宋体" w:eastAsia="宋体" w:cs="宋体"/>
          <w:sz w:val="24"/>
          <w:szCs w:val="24"/>
        </w:rPr>
        <w:t xml:space="preserve">部分外，合同其他部分继续执行。  </w:t>
      </w:r>
      <w:r/>
    </w:p>
    <w:p>
      <w:pPr>
        <w:numPr>
          <w:ilvl w:val="0"/>
          <w:numId w:val="0"/>
        </w:numPr>
        <w:ind w:left="1519" w:hanging="1094"/>
        <w:keepLines w:val="0"/>
        <w:keepNext w:val="0"/>
        <w:pageBreakBefore w:val="0"/>
        <w:spacing w:line="440" w:lineRule="exact"/>
        <w:widowControl w:val="off"/>
        <w:rPr>
          <w:rFonts w:hint="eastAsia" w:ascii="宋体" w:hAnsi="宋体" w:eastAsia="宋体" w:cs="宋体"/>
          <w:b/>
          <w:sz w:val="24"/>
          <w:szCs w:val="24"/>
        </w:rPr>
      </w:pPr>
      <w:r/>
      <w:bookmarkStart w:id="142" w:name="_Toc232492934"/>
      <w:r/>
      <w:bookmarkStart w:id="143" w:name="_Toc282696231"/>
      <w:r/>
      <w:bookmarkStart w:id="144" w:name="_Toc225670757"/>
      <w:r/>
      <w:bookmarkStart w:id="145" w:name="_Toc238984981"/>
      <w:r/>
      <w:bookmarkStart w:id="146" w:name="_Toc237145412"/>
      <w:r/>
      <w:bookmarkStart w:id="147" w:name="_Toc283019219"/>
      <w:r/>
      <w:bookmarkStart w:id="148" w:name="_Toc225244858"/>
      <w:r/>
      <w:bookmarkStart w:id="149" w:name="_Toc239568424"/>
      <w:r/>
      <w:bookmarkStart w:id="150" w:name="_Toc185395255"/>
      <w:r/>
      <w:bookmarkStart w:id="151" w:name="_Toc225654650"/>
      <w:r/>
      <w:bookmarkStart w:id="152" w:name="_Toc211911354"/>
      <w:r/>
      <w:bookmarkStart w:id="153" w:name="_Toc251768868"/>
      <w:r/>
      <w:bookmarkStart w:id="154" w:name="_Toc211854455"/>
      <w:r/>
      <w:bookmarkStart w:id="155" w:name="_Toc247334847"/>
      <w:r/>
      <w:bookmarkStart w:id="156" w:name="_Toc212019600"/>
      <w:r/>
      <w:bookmarkStart w:id="157" w:name="_Toc241833909"/>
      <w:r/>
      <w:bookmarkStart w:id="158" w:name="_Toc286993793"/>
      <w:r/>
      <w:bookmarkStart w:id="159" w:name="_Toc239233920"/>
      <w:r>
        <w:rPr>
          <w:rFonts w:hint="eastAsia" w:ascii="宋体" w:hAnsi="宋体" w:eastAsia="宋体" w:cs="宋体"/>
          <w:b/>
          <w:sz w:val="24"/>
          <w:szCs w:val="24"/>
          <w:lang w:val="en-US" w:eastAsia="zh-CN" w:bidi="ar-SA"/>
        </w:rPr>
        <w:t xml:space="preserve">第十</w:t>
      </w:r>
      <w:r>
        <w:rPr>
          <w:rFonts w:hint="eastAsia" w:ascii="宋体" w:hAnsi="宋体" w:cs="宋体"/>
          <w:b/>
          <w:sz w:val="24"/>
          <w:szCs w:val="24"/>
          <w:lang w:val="en-US" w:eastAsia="zh-CN" w:bidi="ar-SA"/>
        </w:rPr>
        <w:t xml:space="preserve">三</w:t>
      </w:r>
      <w:r>
        <w:rPr>
          <w:rFonts w:hint="eastAsia" w:ascii="宋体" w:hAnsi="宋体" w:eastAsia="宋体" w:cs="宋体"/>
          <w:b/>
          <w:sz w:val="24"/>
          <w:szCs w:val="24"/>
          <w:lang w:val="en-US" w:eastAsia="zh-CN" w:bidi="ar-SA"/>
        </w:rPr>
        <w:t xml:space="preserve">条</w:t>
      </w:r>
      <w:r>
        <w:rPr>
          <w:rFonts w:hint="eastAsia" w:ascii="宋体" w:hAnsi="宋体" w:cs="宋体"/>
          <w:b/>
          <w:sz w:val="24"/>
          <w:szCs w:val="24"/>
          <w:lang w:val="en-US" w:eastAsia="zh-CN" w:bidi="ar-SA"/>
        </w:rPr>
        <w:t xml:space="preserve"> </w:t>
      </w:r>
      <w:r>
        <w:rPr>
          <w:rFonts w:hint="eastAsia" w:ascii="宋体" w:hAnsi="宋体" w:eastAsia="宋体" w:cs="宋体"/>
          <w:b/>
          <w:sz w:val="24"/>
          <w:szCs w:val="24"/>
        </w:rPr>
        <w:t xml:space="preserve">合同</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b/>
          <w:sz w:val="24"/>
          <w:szCs w:val="24"/>
        </w:rPr>
        <w:t xml:space="preserve">生效及其他</w:t>
      </w:r>
      <w:r/>
    </w:p>
    <w:p>
      <w:pPr>
        <w:contextualSpacing/>
        <w:ind w:left="0" w:firstLine="480"/>
        <w:jc w:val="left"/>
        <w:keepLines w:val="0"/>
        <w:keepNext w:val="0"/>
        <w:pageBreakBefore w:val="0"/>
        <w:spacing w:line="440" w:lineRule="exac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1、合同经双方法定代表人或授权委托代理人签字并加盖单位公章后生效。</w:t>
      </w:r>
      <w:r/>
    </w:p>
    <w:p>
      <w:pPr>
        <w:contextualSpacing/>
        <w:ind w:left="0" w:firstLine="480"/>
        <w:jc w:val="left"/>
        <w:keepLines w:val="0"/>
        <w:keepNext w:val="0"/>
        <w:pageBreakBefore w:val="0"/>
        <w:spacing w:line="440" w:lineRule="exac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2、合同执行中涉及采购资金和采购内容修改或补充的，</w:t>
      </w:r>
      <w:r>
        <w:rPr>
          <w:rFonts w:hint="eastAsia" w:ascii="宋体" w:hAnsi="宋体" w:eastAsia="宋体" w:cs="宋体"/>
          <w:sz w:val="24"/>
          <w:szCs w:val="24"/>
          <w:lang w:val="en-US" w:eastAsia="zh-CN" w:bidi="en-US"/>
        </w:rPr>
        <w:t xml:space="preserve">应签订</w:t>
      </w:r>
      <w:r>
        <w:rPr>
          <w:rFonts w:hint="eastAsia" w:ascii="宋体" w:hAnsi="宋体" w:eastAsia="宋体" w:cs="宋体"/>
          <w:sz w:val="24"/>
          <w:szCs w:val="24"/>
          <w:lang w:bidi="en-US"/>
        </w:rPr>
        <w:t xml:space="preserve">书面补充协议，</w:t>
      </w:r>
      <w:r>
        <w:rPr>
          <w:rFonts w:hint="eastAsia" w:ascii="宋体" w:hAnsi="宋体" w:eastAsia="宋体" w:cs="宋体"/>
          <w:sz w:val="24"/>
          <w:szCs w:val="24"/>
          <w:lang w:val="en-US" w:eastAsia="zh-CN" w:bidi="en-US"/>
        </w:rPr>
        <w:t xml:space="preserve">并</w:t>
      </w:r>
      <w:r>
        <w:rPr>
          <w:rFonts w:hint="eastAsia" w:ascii="宋体" w:hAnsi="宋体" w:eastAsia="宋体" w:cs="宋体"/>
          <w:sz w:val="24"/>
          <w:szCs w:val="24"/>
          <w:lang w:bidi="en-US"/>
        </w:rPr>
        <w:t xml:space="preserve">作为主合同不可分割的一部分。</w:t>
      </w:r>
      <w:r/>
    </w:p>
    <w:p>
      <w:pPr>
        <w:contextualSpacing/>
        <w:ind w:left="0" w:firstLine="480"/>
        <w:jc w:val="left"/>
        <w:keepLines w:val="0"/>
        <w:keepNext w:val="0"/>
        <w:pageBreakBefore w:val="0"/>
        <w:spacing w:line="440" w:lineRule="exac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3、本合同一式</w:t>
      </w:r>
      <w:r>
        <w:rPr>
          <w:rFonts w:hint="eastAsia" w:ascii="宋体" w:hAnsi="宋体" w:eastAsia="宋体" w:cs="宋体"/>
          <w:sz w:val="24"/>
          <w:szCs w:val="24"/>
          <w:lang w:val="en-US" w:eastAsia="zh-CN" w:bidi="en-US"/>
        </w:rPr>
        <w:t xml:space="preserve">4</w:t>
      </w:r>
      <w:r>
        <w:rPr>
          <w:rFonts w:hint="eastAsia" w:ascii="宋体" w:hAnsi="宋体" w:eastAsia="宋体" w:cs="宋体"/>
          <w:sz w:val="24"/>
          <w:szCs w:val="24"/>
          <w:lang w:bidi="en-US"/>
        </w:rPr>
        <w:t xml:space="preserve">份，自双方签章之日起</w:t>
      </w:r>
      <w:r>
        <w:rPr>
          <w:rFonts w:hint="eastAsia" w:ascii="宋体" w:hAnsi="宋体" w:eastAsia="宋体" w:cs="宋体"/>
          <w:sz w:val="24"/>
          <w:szCs w:val="24"/>
          <w:lang w:eastAsia="zh-CN" w:bidi="en-US"/>
        </w:rPr>
        <w:t xml:space="preserve">生效</w:t>
      </w:r>
      <w:r>
        <w:rPr>
          <w:rFonts w:hint="eastAsia" w:ascii="宋体" w:hAnsi="宋体" w:eastAsia="宋体" w:cs="宋体"/>
          <w:sz w:val="24"/>
          <w:szCs w:val="24"/>
          <w:lang w:bidi="en-US"/>
        </w:rPr>
        <w:t xml:space="preserve">。甲方</w:t>
      </w:r>
      <w:r>
        <w:rPr>
          <w:rFonts w:hint="eastAsia" w:ascii="宋体" w:hAnsi="宋体" w:eastAsia="宋体" w:cs="宋体"/>
          <w:sz w:val="24"/>
          <w:szCs w:val="24"/>
          <w:lang w:val="en-US" w:eastAsia="zh-CN" w:bidi="en-US"/>
        </w:rPr>
        <w:t xml:space="preserve">3</w:t>
      </w:r>
      <w:r>
        <w:rPr>
          <w:rFonts w:hint="eastAsia" w:ascii="宋体" w:hAnsi="宋体" w:eastAsia="宋体" w:cs="宋体"/>
          <w:sz w:val="24"/>
          <w:szCs w:val="24"/>
          <w:lang w:bidi="en-US"/>
        </w:rPr>
        <w:t xml:space="preserve">份，乙方1份，</w:t>
      </w:r>
      <w:r>
        <w:rPr>
          <w:rFonts w:hint="eastAsia" w:ascii="宋体" w:hAnsi="宋体" w:eastAsia="宋体" w:cs="宋体"/>
          <w:sz w:val="24"/>
          <w:szCs w:val="24"/>
          <w:lang w:eastAsia="zh-CN" w:bidi="en-US"/>
        </w:rPr>
        <w:t xml:space="preserve">每份</w:t>
      </w:r>
      <w:r>
        <w:rPr>
          <w:rFonts w:hint="eastAsia" w:ascii="宋体" w:hAnsi="宋体" w:eastAsia="宋体" w:cs="宋体"/>
          <w:sz w:val="24"/>
          <w:szCs w:val="24"/>
          <w:lang w:bidi="en-US"/>
        </w:rPr>
        <w:t xml:space="preserve">具有同等法律效力。</w:t>
      </w:r>
      <w:r/>
    </w:p>
    <w:p>
      <w:pPr>
        <w:pStyle w:val="947"/>
        <w:ind w:firstLine="480"/>
        <w:spacing w:line="440" w:lineRule="exact"/>
        <w:rPr>
          <w:rFonts w:hint="eastAsia" w:ascii="宋体" w:hAnsi="宋体" w:eastAsia="宋体"/>
        </w:rPr>
      </w:pPr>
      <w:r>
        <w:rPr>
          <w:rFonts w:hint="eastAsia" w:ascii="宋体" w:hAnsi="宋体" w:eastAsia="宋体"/>
        </w:rPr>
        <w:t xml:space="preserve">4.合同附件：是合同的不可分割的组成部分，与合同具有同等法律效力。</w:t>
      </w:r>
      <w:r/>
    </w:p>
    <w:p>
      <w:pPr>
        <w:pStyle w:val="947"/>
        <w:spacing w:line="440" w:lineRule="exact"/>
        <w:rPr>
          <w:rFonts w:hint="eastAsia" w:ascii="宋体" w:hAnsi="宋体" w:eastAsia="宋体" w:cs="宋体"/>
          <w:sz w:val="24"/>
          <w:szCs w:val="24"/>
        </w:rPr>
      </w:pP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4.1附件清单   </w:t>
      </w:r>
      <w:r>
        <w:rPr>
          <w:rFonts w:hint="eastAsia" w:ascii="宋体" w:hAnsi="宋体" w:eastAsia="宋体"/>
          <w:lang w:eastAsia="zh-CN"/>
        </w:rPr>
        <w:t xml:space="preserve">□</w:t>
      </w:r>
      <w:r>
        <w:rPr>
          <w:rFonts w:hint="eastAsia" w:ascii="宋体" w:hAnsi="宋体" w:eastAsia="宋体"/>
        </w:rPr>
        <w:t xml:space="preserve">附件1：信息化设备运维综合服务考核方案</w:t>
      </w:r>
      <w:r/>
    </w:p>
    <w:p>
      <w:pPr>
        <w:pStyle w:val="947"/>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  （盖章）</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（盖章）</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法定代表人（授权代表）：</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法定代表人（授权代表）：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ind w:firstLine="1680"/>
        <w:spacing w:line="400" w:lineRule="exact"/>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w:t>
      </w:r>
      <w:r/>
    </w:p>
    <w:p>
      <w:pPr>
        <w:ind w:firstLine="480"/>
        <w:jc w:val="left"/>
        <w:spacing w:line="400" w:lineRule="exact"/>
        <w:rPr>
          <w:rFonts w:hint="eastAsia" w:ascii="宋体" w:hAnsi="宋体" w:eastAsia="宋体" w:cs="宋体"/>
          <w:b/>
          <w:bCs/>
          <w:color w:val="auto"/>
          <w:sz w:val="32"/>
          <w:szCs w:val="32"/>
          <w:highlight w:val="none"/>
        </w:rPr>
        <w:outlineLvl w:val="9"/>
      </w:pPr>
      <w:r>
        <w:rPr>
          <w:rFonts w:hint="eastAsia" w:ascii="宋体" w:hAnsi="宋体" w:eastAsia="宋体" w:cs="宋体"/>
          <w:sz w:val="24"/>
          <w:szCs w:val="24"/>
        </w:rPr>
        <w:t xml:space="preserve">签约日期：</w:t>
      </w:r>
      <w:r>
        <w:rPr>
          <w:rFonts w:hint="eastAsia" w:ascii="宋体" w:hAnsi="宋体" w:eastAsia="宋体" w:cs="宋体"/>
          <w:sz w:val="24"/>
          <w:szCs w:val="24"/>
          <w:lang w:val="en-US" w:eastAsia="zh-CN"/>
        </w:rPr>
        <w:t xml:space="preserve">2025</w:t>
      </w:r>
      <w:r>
        <w:rPr>
          <w:rFonts w:hint="eastAsia" w:ascii="宋体" w:hAnsi="宋体" w:eastAsia="宋体" w:cs="宋体"/>
          <w:sz w:val="24"/>
          <w:szCs w:val="24"/>
        </w:rPr>
        <w:t xml:space="preserve">年XX月XX日</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签约日期：</w:t>
      </w:r>
      <w:r>
        <w:rPr>
          <w:rFonts w:hint="eastAsia" w:ascii="宋体" w:hAnsi="宋体" w:eastAsia="宋体" w:cs="宋体"/>
          <w:sz w:val="24"/>
          <w:szCs w:val="24"/>
          <w:lang w:val="en-US" w:eastAsia="zh-CN"/>
        </w:rPr>
        <w:t xml:space="preserve">2025</w:t>
      </w:r>
      <w:r>
        <w:rPr>
          <w:rFonts w:hint="eastAsia" w:ascii="宋体" w:hAnsi="宋体" w:eastAsia="宋体" w:cs="宋体"/>
          <w:sz w:val="24"/>
          <w:szCs w:val="24"/>
        </w:rPr>
        <w:t xml:space="preserve">年XX月XX日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第四章  项目需求</w:t>
      </w:r>
      <w:bookmarkEnd w:id="107"/>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一、项目总则</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1.项目目标：保障全院及下属卫生院信息化设备稳定运行，实现设备可使用率≥99%，故障响应及时率100%，满足医疗业务连续性需求。</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2.预算金额：90万元</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3.服务周期：自合同签订之日起2年。</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4.服务范围：覆盖全院及下属卫生院所有信息化设备，具体包括：</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4.1全院及下属卫生院打印复印设备（包含门诊自助机内报告打印机、一体机等各类打印复印设备等，共计约600台）的维修、新增替换、耗材的供应；</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4.2计算机及外设设备的维修（含主机、显示器、键盘、鼠标、扫描枪等，共计约900台）；</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4.3接入端网络维护(从接入端交换机到终端电脑连接，以及简单网络配置)；</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4.4电脑、打印机移机服务，以上均由成交供应商总负责。</w:t>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二、项目内容与技术要求</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1.打印复印设备运维服务</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1.1设备维修与替换</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1.1.1服务期内，计算机及打印机维护维修所有费用（含配件、人工费用等）、其他信息化设备配件费用（单价200元以下），均由供应商承担。</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1.1.2替换标准：设备达使用极限或出现无法修复的故障需报废更换时，须免费提供与院方现用设备同品牌同型号或品牌、性能更优的全新设备（需提供设备参数对比表），经采购人书面确认后方可更换，原设备须交还采购人并登记造册。免费提供的设备录入医院固定资产，在成交供应商合同期结束后所有权归属于医院。</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1.1.3新增要求：合同签订后 30 日内，一次性提供30台全新原装黑白激光打印机（技术参数：打印速度≥20页/分钟</w:t>
      </w:r>
      <w:r>
        <w:rPr>
          <w:rFonts w:hint="eastAsia" w:ascii="宋体" w:hAnsi="宋体" w:cs="宋体"/>
          <w:color w:val="auto"/>
          <w:sz w:val="24"/>
          <w:szCs w:val="24"/>
          <w:lang w:val="en-US" w:eastAsia="zh-CN"/>
        </w:rPr>
        <w:t xml:space="preserve">，分辨率≥600x600dpi</w:t>
      </w:r>
      <w:r>
        <w:rPr>
          <w:rFonts w:hint="eastAsia" w:ascii="宋体" w:hAnsi="宋体" w:eastAsia="宋体" w:cs="宋体"/>
          <w:color w:val="auto"/>
          <w:sz w:val="24"/>
          <w:szCs w:val="24"/>
          <w:lang w:val="en-US" w:eastAsia="zh-CN"/>
        </w:rPr>
        <w:t xml:space="preserve">），用于替换老旧设备。该批设备应纳入整体运维服务范围，其耗材供应与维修服务同样适用本合同条款。</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1.2设备报废规则：</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1.2.1使用年限≥6 年的计算机：故障无法修复时，供应商须提交书面报废申请，经采购人确认后再行报损，设备由采购人收回。</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1.2.2使用年限＜6 年的计算机：故障无法修复或运行速度影响科室工作的，免费提供同配置或更高配置的备用设备。</w:t>
      </w:r>
      <w:r/>
    </w:p>
    <w:p>
      <w:pPr>
        <w:numPr>
          <w:ilvl w:val="0"/>
          <w:numId w:val="0"/>
        </w:numPr>
        <w:ind w:left="0" w:firstLine="720"/>
        <w:jc w:val="left"/>
        <w:keepLines w:val="0"/>
        <w:keepNext w:val="0"/>
        <w:pageBreakBefore w:val="0"/>
        <w:spacing w:before="0" w:beforeAutospacing="0" w:after="0" w:afterAutospacing="0" w:line="420" w:lineRule="exact"/>
        <w:widowControl/>
        <w:rPr>
          <w:rFonts w:hint="default" w:ascii="宋体" w:hAnsi="宋体" w:eastAsia="宋体" w:cs="宋体"/>
          <w:color w:val="auto"/>
          <w:sz w:val="24"/>
          <w:szCs w:val="24"/>
          <w:lang w:val="en-US" w:eastAsia="zh-CN"/>
        </w:rPr>
        <w:pBdr>
          <w:left w:val="none" w:color="auto" w:sz="0" w:space="0"/>
        </w:pBdr>
        <w:suppressLineNumbers w:val="0"/>
      </w:pPr>
      <w:r>
        <w:rPr>
          <w:rFonts w:hint="eastAsia" w:ascii="宋体" w:hAnsi="宋体" w:cs="宋体"/>
          <w:color w:val="auto"/>
          <w:sz w:val="24"/>
          <w:szCs w:val="24"/>
          <w:lang w:val="en-US" w:eastAsia="zh-CN"/>
        </w:rPr>
        <w:t xml:space="preserve">1.2.3打印复印设备的报废规则参照计算机执行，使用年限≥6年且无法修复的设备，经采购人确认后报废并收回。</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1.3耗材供应标准</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1.3.1供应范围：提供硒鼓、墨盒、色带架、碳粉盒等一次性耗材（不含纸张、标签、订书钉），品牌不得低于现有品牌。</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其中：彩色打印复印机须配套原装硒鼓进行替换。</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全院打印复印设备经统计约600台，其中多数设备型号为惠普P1108及TSC244PRO，彩色打印机复印机多为佳能LBP623，具体型号数量需潜在供应商自行勘察现场，原装硒鼓数量约90个（型号多为202A、416A、510A、511A、512A）。</w:t>
      </w:r>
      <w:r/>
    </w:p>
    <w:p>
      <w:pPr>
        <w:numPr>
          <w:ilvl w:val="0"/>
          <w:numId w:val="0"/>
        </w:numPr>
        <w:ind w:left="0" w:firstLine="720"/>
        <w:jc w:val="left"/>
        <w:keepLines w:val="0"/>
        <w:keepNext w:val="0"/>
        <w:spacing w:before="0" w:after="0" w:line="420" w:lineRule="exact"/>
        <w:widowControl/>
        <w:rPr>
          <w:rFonts w:hint="eastAsia" w:ascii="宋体" w:hAnsi="宋体" w:cs="宋体"/>
          <w:color w:val="auto"/>
          <w:sz w:val="24"/>
          <w:lang w:val="en-US" w:eastAsia="zh-CN"/>
        </w:rPr>
        <w:pBdr>
          <w:left w:val="none" w:color="auto" w:sz="0" w:space="0"/>
        </w:pBdr>
      </w:pPr>
      <w:r>
        <w:rPr>
          <w:rFonts w:hint="eastAsia" w:ascii="宋体" w:hAnsi="宋体" w:cs="宋体"/>
          <w:color w:val="auto"/>
          <w:sz w:val="24"/>
          <w:lang w:val="en-US" w:eastAsia="zh-CN"/>
        </w:rPr>
        <w:t xml:space="preserve">供应商应建立耗材库存，确保常用耗材（特别是上述型号）的供应，接到科室耗材更换需求后，应在30分钟内送达并更换完毕。</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1.3.2技术要求：硒鼓、墨盒打印张数≥2500页/个（A4 纸，5%覆盖率），且为一次性使用，严禁重复加粉、加墨；</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1.3.3打印/复印质量：黑白打印/复印输出结果应为实心黑线，清晰，无断墨、模糊现象，打印整齐并校对正确，单张品质一致。彩色打印校色准确，色彩偏差≤5%。</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2.计算机及外设设备运维服务</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2.1硬件维修与配件标准</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2.1.1维修范围：全院各类计算机及附属设备，包括主板、硬盘、内存、CPU、电源等所有计算机零配件，及显示器、键盘、鼠标、扫描枪等外设设备的安装调试。具体计算机型号数量潜在供应商可自行勘察现场。</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2.1.2配件要求：更换配件须为原厂正品或同等品质的知名品牌产品（如硬盘需为希捷、西数等品牌，内存需为金士顿、三星等品牌）。所有更换的配件需提供至少</w:t>
      </w:r>
      <w:r>
        <w:rPr>
          <w:rFonts w:hint="eastAsia" w:ascii="宋体" w:hAnsi="宋体" w:cs="宋体"/>
          <w:color w:val="auto"/>
          <w:sz w:val="24"/>
          <w:szCs w:val="24"/>
          <w:lang w:val="en-US" w:eastAsia="zh-CN"/>
        </w:rPr>
        <w:t xml:space="preserve">3年</w:t>
      </w:r>
      <w:r>
        <w:rPr>
          <w:rFonts w:hint="eastAsia" w:ascii="宋体" w:hAnsi="宋体" w:eastAsia="宋体" w:cs="宋体"/>
          <w:color w:val="auto"/>
          <w:sz w:val="24"/>
          <w:szCs w:val="24"/>
          <w:lang w:val="en-US" w:eastAsia="zh-CN"/>
        </w:rPr>
        <w:t xml:space="preserve">的质保期。</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2.2软件与驱动维护</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2.2.1负责打印机、复印机、扫描仪等外围设备驱动程序的安装、更新与维护，确保与医院现有操作系统完全兼容。</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2.2.2协助解决计算机系统故障（如系统崩溃、病毒查杀等），但不包含医院专用业务软件的深度维护（如 HIS、LIS 系统的功能故障）</w:t>
      </w:r>
      <w:r>
        <w:rPr>
          <w:rFonts w:hint="eastAsia" w:ascii="宋体" w:hAnsi="宋体" w:cs="宋体"/>
          <w:color w:val="auto"/>
          <w:sz w:val="24"/>
          <w:szCs w:val="24"/>
          <w:lang w:val="en-US" w:eastAsia="zh-CN"/>
        </w:rPr>
        <w:t xml:space="preserve">。供应商进行系统重装等操作前，必须告知用户进行数据备份，如因未告知导致数据丢失，供应商应承担相应责任。</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3.接入端网络维护服务</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3.1网络链路维护：负责从接入端交换机到终端电脑的网络链路检测与修复。</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3.2网络配置服务：提供终端电脑 IP 地址配置、网关设置、DNS 配置等基础网络服务，配合医院网络管理部门完成网络安全策略部署。</w:t>
      </w:r>
      <w:r/>
    </w:p>
    <w:p>
      <w:pPr>
        <w:numPr>
          <w:ilvl w:val="0"/>
          <w:numId w:val="0"/>
        </w:numPr>
        <w:ind w:left="0" w:firstLine="480"/>
        <w:jc w:val="left"/>
        <w:keepLines w:val="0"/>
        <w:keepNext w:val="0"/>
        <w:spacing w:before="0" w:after="0" w:line="420" w:lineRule="exact"/>
        <w:widowControl/>
        <w:rPr>
          <w:rFonts w:hint="eastAsia" w:ascii="宋体" w:hAnsi="宋体" w:cs="宋体"/>
          <w:color w:val="auto"/>
          <w:sz w:val="24"/>
          <w:lang w:val="en-US" w:eastAsia="zh-CN"/>
        </w:rPr>
        <w:pBdr>
          <w:left w:val="none" w:color="auto" w:sz="0" w:space="0"/>
        </w:pBdr>
      </w:pPr>
      <w:r>
        <w:rPr>
          <w:rFonts w:hint="eastAsia" w:ascii="宋体" w:hAnsi="宋体" w:cs="宋体"/>
          <w:color w:val="auto"/>
          <w:sz w:val="24"/>
          <w:lang w:val="en-US" w:eastAsia="zh-CN"/>
        </w:rPr>
        <w:t xml:space="preserve">3.3 网络故障排查：对于网络故障，供应商应能使用专业工具进行排查，并区分是院内网络问题还是运营商线路问题，如属后者，应协助医院信息处与运营商沟通。</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4.移机服务</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4.1服务范围：包括电脑、打印机、复印机等设备的科室间移机，移机前须与科室确认设备位置及网络接口需求，移机后2小时内完成设备调试并确保正常使用。</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4.2安全要求：移机过程中须采取防碰撞、防摔落保护措施，因操作不当导致设备损坏的，由供应商承担维修或更换费用。</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lang w:val="en-US" w:eastAsia="zh-CN"/>
        </w:rPr>
        <w:t xml:space="preserve">其他服务</w:t>
      </w:r>
      <w:r/>
    </w:p>
    <w:p>
      <w:pPr>
        <w:numPr>
          <w:ilvl w:val="0"/>
          <w:numId w:val="0"/>
        </w:numPr>
        <w:ind w:left="0" w:firstLine="480"/>
        <w:jc w:val="left"/>
        <w:spacing w:line="420" w:lineRule="exact"/>
        <w:widowControl/>
        <w:rPr>
          <w:rFonts w:hint="eastAsia" w:ascii="宋体" w:hAnsi="宋体" w:cs="宋体"/>
          <w:color w:val="auto"/>
          <w:sz w:val="24"/>
          <w:szCs w:val="24"/>
          <w:lang w:val="en-US" w:eastAsia="zh-CN"/>
        </w:rPr>
        <w:pBdr>
          <w:left w:val="none" w:color="auto" w:sz="0" w:space="0"/>
        </w:pBdr>
      </w:pPr>
      <w:r>
        <w:rPr>
          <w:rFonts w:hint="eastAsia" w:ascii="宋体" w:hAnsi="宋体" w:cs="宋体"/>
          <w:color w:val="auto"/>
          <w:sz w:val="24"/>
          <w:szCs w:val="24"/>
          <w:lang w:val="en-US" w:eastAsia="zh-CN"/>
        </w:rPr>
        <w:t xml:space="preserve">5.1 配合完成医院临时安排的各项指令性服务任务。</w:t>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三、服务要求</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1.服务团队配置</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1.1驻场要求：供应商需至少提供3名专职驻场服务工程师。驻场工程师应具备1年以上IT运维服务经验，熟悉医院常见硬件及网络问题处理。</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1.2值班制度：提供7*24小时电话值班响应服务。工作时间参照医院职工工作时间，节假日每天至少1名驻场工程师值班</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确保全院的报修能及时得到处理。</w:t>
      </w:r>
      <w:r/>
    </w:p>
    <w:p>
      <w:pPr>
        <w:numPr>
          <w:ilvl w:val="0"/>
          <w:numId w:val="0"/>
        </w:numPr>
        <w:ind w:left="0" w:firstLine="480"/>
        <w:jc w:val="left"/>
        <w:keepLines w:val="0"/>
        <w:keepNext w:val="0"/>
        <w:spacing w:before="0" w:after="0" w:line="420" w:lineRule="exact"/>
        <w:widowControl/>
        <w:rPr>
          <w:rFonts w:hint="eastAsia" w:ascii="宋体" w:hAnsi="宋体" w:cs="宋体"/>
          <w:color w:val="auto"/>
          <w:sz w:val="24"/>
          <w:lang w:val="en-US" w:eastAsia="zh-CN"/>
        </w:rPr>
        <w:pBdr>
          <w:left w:val="none" w:color="auto" w:sz="0" w:space="0"/>
        </w:pBdr>
      </w:pPr>
      <w:r>
        <w:rPr>
          <w:rFonts w:hint="eastAsia" w:ascii="宋体" w:hAnsi="宋体" w:cs="宋体"/>
          <w:color w:val="auto"/>
          <w:sz w:val="24"/>
          <w:lang w:val="en-US" w:eastAsia="zh-CN"/>
        </w:rPr>
        <w:t xml:space="preserve">1.3 人员变更：未经采购人书面同意，供应商不得随意更换驻场工程师。如确需更换，接替人员资质不得低于原人员。</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2.故障响应与处理流程</w:t>
      </w:r>
      <w:r/>
    </w:p>
    <w:tbl>
      <w:tblPr>
        <w:tblStyle w:val="745"/>
        <w:tblW w:w="9330"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540"/>
        <w:gridCol w:w="1400"/>
        <w:gridCol w:w="1380"/>
        <w:gridCol w:w="1455"/>
        <w:gridCol w:w="3555"/>
      </w:tblGrid>
      <w:tr>
        <w:trPr>
          <w:trHeight w:val="857"/>
        </w:trPr>
        <w:tc>
          <w:tcPr>
            <w:tcMar>
              <w:left w:w="120" w:type="dxa"/>
              <w:top w:w="135" w:type="dxa"/>
              <w:right w:w="120" w:type="dxa"/>
              <w:bottom w:w="135" w:type="dxa"/>
            </w:tcMar>
            <w:tcW w:w="154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故障类型</w:t>
            </w:r>
            <w:r/>
          </w:p>
        </w:tc>
        <w:tc>
          <w:tcPr>
            <w:tcMar>
              <w:left w:w="120" w:type="dxa"/>
              <w:top w:w="135" w:type="dxa"/>
              <w:right w:w="120" w:type="dxa"/>
              <w:bottom w:w="135" w:type="dxa"/>
            </w:tcMar>
            <w:tcW w:w="140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响应时间</w:t>
            </w:r>
            <w:r/>
          </w:p>
        </w:tc>
        <w:tc>
          <w:tcPr>
            <w:tcMar>
              <w:left w:w="120" w:type="dxa"/>
              <w:top w:w="135" w:type="dxa"/>
              <w:right w:w="120" w:type="dxa"/>
              <w:bottom w:w="135" w:type="dxa"/>
            </w:tcMar>
            <w:tcW w:w="138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到场时间</w:t>
            </w:r>
            <w:r/>
          </w:p>
        </w:tc>
        <w:tc>
          <w:tcPr>
            <w:tcMar>
              <w:left w:w="120" w:type="dxa"/>
              <w:top w:w="135" w:type="dxa"/>
              <w:right w:w="120" w:type="dxa"/>
              <w:bottom w:w="135" w:type="dxa"/>
            </w:tcMar>
            <w:tcW w:w="14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修复时间</w:t>
            </w:r>
            <w:r/>
          </w:p>
        </w:tc>
        <w:tc>
          <w:tcPr>
            <w:tcMar>
              <w:left w:w="120" w:type="dxa"/>
              <w:top w:w="135" w:type="dxa"/>
              <w:right w:w="120" w:type="dxa"/>
              <w:bottom w:w="135" w:type="dxa"/>
            </w:tcMar>
            <w:tcW w:w="35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特殊处理要求</w:t>
            </w:r>
            <w:r/>
          </w:p>
        </w:tc>
      </w:tr>
      <w:tr>
        <w:trPr>
          <w:trHeight w:val="703"/>
        </w:trPr>
        <w:tc>
          <w:tcPr>
            <w:tcMar>
              <w:left w:w="120" w:type="dxa"/>
              <w:top w:w="135" w:type="dxa"/>
              <w:right w:w="120" w:type="dxa"/>
              <w:bottom w:w="135" w:type="dxa"/>
            </w:tcMar>
            <w:tcW w:w="154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电脑故障</w:t>
            </w:r>
            <w:r/>
          </w:p>
        </w:tc>
        <w:tc>
          <w:tcPr>
            <w:tcMar>
              <w:left w:w="120" w:type="dxa"/>
              <w:top w:w="135" w:type="dxa"/>
              <w:right w:w="120" w:type="dxa"/>
              <w:bottom w:w="135" w:type="dxa"/>
            </w:tcMar>
            <w:tcW w:w="140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10分钟内</w:t>
            </w:r>
            <w:r/>
          </w:p>
        </w:tc>
        <w:tc>
          <w:tcPr>
            <w:tcMar>
              <w:left w:w="120" w:type="dxa"/>
              <w:top w:w="135" w:type="dxa"/>
              <w:right w:w="120" w:type="dxa"/>
              <w:bottom w:w="135" w:type="dxa"/>
            </w:tcMar>
            <w:tcW w:w="138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分钟内</w:t>
            </w:r>
            <w:r/>
          </w:p>
        </w:tc>
        <w:tc>
          <w:tcPr>
            <w:tcMar>
              <w:left w:w="120" w:type="dxa"/>
              <w:top w:w="135" w:type="dxa"/>
              <w:right w:w="120" w:type="dxa"/>
              <w:bottom w:w="135" w:type="dxa"/>
            </w:tcMar>
            <w:tcW w:w="14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60分钟内</w:t>
            </w:r>
            <w:r/>
          </w:p>
        </w:tc>
        <w:tc>
          <w:tcPr>
            <w:tcMar>
              <w:left w:w="120" w:type="dxa"/>
              <w:top w:w="135" w:type="dxa"/>
              <w:right w:w="120" w:type="dxa"/>
              <w:bottom w:w="135" w:type="dxa"/>
            </w:tcMar>
            <w:tcW w:w="35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无法按时修复时，2 小时内提供备用电脑</w:t>
            </w:r>
            <w:r/>
          </w:p>
        </w:tc>
      </w:tr>
      <w:tr>
        <w:trPr>
          <w:trHeight w:val="840"/>
        </w:trPr>
        <w:tc>
          <w:tcPr>
            <w:tcMar>
              <w:left w:w="120" w:type="dxa"/>
              <w:top w:w="135" w:type="dxa"/>
              <w:right w:w="120" w:type="dxa"/>
              <w:bottom w:w="135" w:type="dxa"/>
            </w:tcMar>
            <w:tcW w:w="154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打印复印设备故障</w:t>
            </w:r>
            <w:r/>
          </w:p>
        </w:tc>
        <w:tc>
          <w:tcPr>
            <w:tcMar>
              <w:left w:w="120" w:type="dxa"/>
              <w:top w:w="135" w:type="dxa"/>
              <w:right w:w="120" w:type="dxa"/>
              <w:bottom w:w="135" w:type="dxa"/>
            </w:tcMar>
            <w:tcW w:w="140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10分钟内</w:t>
            </w:r>
            <w:r/>
          </w:p>
        </w:tc>
        <w:tc>
          <w:tcPr>
            <w:tcMar>
              <w:left w:w="120" w:type="dxa"/>
              <w:top w:w="135" w:type="dxa"/>
              <w:right w:w="120" w:type="dxa"/>
              <w:bottom w:w="135" w:type="dxa"/>
            </w:tcMar>
            <w:tcW w:w="138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30分钟内</w:t>
            </w:r>
            <w:r/>
          </w:p>
        </w:tc>
        <w:tc>
          <w:tcPr>
            <w:tcMar>
              <w:left w:w="120" w:type="dxa"/>
              <w:top w:w="135" w:type="dxa"/>
              <w:right w:w="120" w:type="dxa"/>
              <w:bottom w:w="135" w:type="dxa"/>
            </w:tcMar>
            <w:tcW w:w="14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60分钟内</w:t>
            </w:r>
            <w:r/>
          </w:p>
        </w:tc>
        <w:tc>
          <w:tcPr>
            <w:tcMar>
              <w:left w:w="120" w:type="dxa"/>
              <w:top w:w="135" w:type="dxa"/>
              <w:right w:w="120" w:type="dxa"/>
              <w:bottom w:w="135" w:type="dxa"/>
            </w:tcMar>
            <w:tcW w:w="35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无法按时修复时，30 分钟内安装备用机，24小时内修复原设备并换回</w:t>
            </w:r>
            <w:r/>
          </w:p>
        </w:tc>
      </w:tr>
      <w:tr>
        <w:trPr>
          <w:trHeight w:val="695"/>
        </w:trPr>
        <w:tc>
          <w:tcPr>
            <w:tcMar>
              <w:left w:w="120" w:type="dxa"/>
              <w:top w:w="135" w:type="dxa"/>
              <w:right w:w="120" w:type="dxa"/>
              <w:bottom w:w="135" w:type="dxa"/>
            </w:tcMar>
            <w:tcW w:w="154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网络故障</w:t>
            </w:r>
            <w:r/>
          </w:p>
        </w:tc>
        <w:tc>
          <w:tcPr>
            <w:tcMar>
              <w:left w:w="120" w:type="dxa"/>
              <w:top w:w="135" w:type="dxa"/>
              <w:right w:w="120" w:type="dxa"/>
              <w:bottom w:w="135" w:type="dxa"/>
            </w:tcMar>
            <w:tcW w:w="140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10分钟内</w:t>
            </w:r>
            <w:r/>
          </w:p>
        </w:tc>
        <w:tc>
          <w:tcPr>
            <w:tcMar>
              <w:left w:w="120" w:type="dxa"/>
              <w:top w:w="135" w:type="dxa"/>
              <w:right w:w="120" w:type="dxa"/>
              <w:bottom w:w="135" w:type="dxa"/>
            </w:tcMar>
            <w:tcW w:w="1380"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30分钟内</w:t>
            </w:r>
            <w:r/>
          </w:p>
        </w:tc>
        <w:tc>
          <w:tcPr>
            <w:tcMar>
              <w:left w:w="120" w:type="dxa"/>
              <w:top w:w="135" w:type="dxa"/>
              <w:right w:w="120" w:type="dxa"/>
              <w:bottom w:w="135" w:type="dxa"/>
            </w:tcMar>
            <w:tcW w:w="14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60分钟内</w:t>
            </w:r>
            <w:r/>
          </w:p>
        </w:tc>
        <w:tc>
          <w:tcPr>
            <w:tcMar>
              <w:left w:w="120" w:type="dxa"/>
              <w:top w:w="135" w:type="dxa"/>
              <w:right w:w="120" w:type="dxa"/>
              <w:bottom w:w="135" w:type="dxa"/>
            </w:tcMar>
            <w:tcW w:w="3555" w:type="dxa"/>
            <w:vAlign w:val="center"/>
            <w:textDirection w:val="lrTb"/>
            <w:noWrap w:val="false"/>
          </w:tcPr>
          <w:p>
            <w:pPr>
              <w:numPr>
                <w:ilvl w:val="0"/>
                <w:numId w:val="0"/>
              </w:numPr>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影响重要科室（如急诊科、手术室）时，优先处理</w:t>
            </w:r>
            <w:r/>
          </w:p>
        </w:tc>
      </w:tr>
    </w:tbl>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注：响应时间指从接到报修电话到主动联系报修人确认故障详情的时间；到场时间指从接到报修到工程师到达故障现场的时间；修复时间指从到达现场到故障排除、设备恢复正常使用的时间。</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2.1如因特殊无法在指定处置时间内修复故障的，需在2小时内将故障情况及处理方案向采购人汇报</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并在此期间积极配合相关釆购人实施过渡方案，全力保证应用的不间断。</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2.2责任界定：因供应商响应不及时、维修不当导致设备无法正常使用超过24小时的，每逾期1天扣减当月服务费的5%；因设备本身老化（使用年限≥8年）导致故障的，供应商仅负责维修，不承担更换费用。</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3.定期维护与报告提交</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3.1设备盘点与保养</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3.1.1每年对打印、复印设备进行1次全面盘点和保养，并统计设备数量及维修量，记录造册登记备查，形成《设备保养盘点管理报告》（报告内容含设备编号、使用年限、维修记录、各类问题处理、状态评估、改善建议等）。</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3.1.2每年对计算机进行1次清洁和巡查。需根据采购人的要求提供巡查清单，记录造册登记备查。每次巡查后向管理部门提供《设备维护巡查管理报告》（报告内容包括设备清单，各类问题处理，维修保养记录、改善建议等）</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3.1.3保养内容包括：设备清洁（去除灰尘、污渍）及基础性能检测</w:t>
      </w:r>
      <w:r>
        <w:rPr>
          <w:rFonts w:hint="eastAsia" w:ascii="宋体" w:hAnsi="宋体" w:cs="宋体"/>
          <w:color w:val="auto"/>
          <w:sz w:val="24"/>
          <w:szCs w:val="24"/>
          <w:lang w:val="en-US" w:eastAsia="zh-CN"/>
        </w:rPr>
        <w:t xml:space="preserve">。</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3.2管理报告提交</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3.2.1每季度向医院管理部门提交《季度服务报告》，内容包括：故障处理统计（故障类型、处理时长、修复率）、耗材使用情况、设备状态分析；报告应在季度结束后5个工作日内提交。</w:t>
      </w:r>
      <w:r/>
    </w:p>
    <w:p>
      <w:pPr>
        <w:numPr>
          <w:ilvl w:val="0"/>
          <w:numId w:val="0"/>
        </w:numPr>
        <w:ind w:left="0" w:firstLine="72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3.2.2每年提交《年度服务报告》，额外增加设备更新建议（含需更换设备清单及预算）、服务优化方案。报告应在季度结束后</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个工作日内提交。</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4.其他服务要求</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4.1配合医院完成信息化设备相关的检查、验收工作，提供必要的技术支持和文档资料。</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4.2响应医院指令性服务要求（如临时设备部署、大型活动技术保障），需在接到通知后2小时内安排人员到场。</w:t>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四、服务承诺</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1.维保服务覆盖全院所有信息化设备，不分质保内外、不分采购渠道，供应商负责与设备生产厂方的联络、协调检修事宜。</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2.免费提供所有设备的故障部件更换、耗材供应、人工服务，不额外收取劳务、交通、配件等费用。供应商应在医院内设立常用配件及耗材库，以满足快速维修和更换需求。</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3.建立服务投诉处理机制，接到医院投诉后24小时内回复处理方案，48小时内解决问题。</w:t>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五、网络信息安全要求</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1.供应商在项目</w:t>
      </w:r>
      <w:r>
        <w:rPr>
          <w:rFonts w:hint="eastAsia" w:ascii="宋体" w:hAnsi="宋体" w:cs="宋体"/>
          <w:color w:val="auto"/>
          <w:sz w:val="24"/>
          <w:szCs w:val="24"/>
          <w:lang w:val="en-US" w:eastAsia="zh-CN"/>
        </w:rPr>
        <w:t xml:space="preserve">运维</w:t>
      </w:r>
      <w:r>
        <w:rPr>
          <w:rFonts w:hint="eastAsia" w:ascii="宋体" w:hAnsi="宋体" w:eastAsia="宋体" w:cs="宋体"/>
          <w:color w:val="auto"/>
          <w:sz w:val="24"/>
          <w:szCs w:val="24"/>
          <w:lang w:val="en-US" w:eastAsia="zh-CN"/>
        </w:rPr>
        <w:t xml:space="preserve">期间，应针对项目实施人员进行上岗及不定期的安全保密培训。供应商需对项目实施人员进行上岗前及每季度1次的安全保密培训，培训内容包括医院信息安全管理制度、数据保密规定，培训记录需提交医院信息处备案。</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2.所有驻场工程师上岗前须与采购人签署《安全保密协议》，明确保密责任（如不得泄露患者信息、医院业务数据），违反协议的，承担相应法律责任并赔偿损失。</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3.服务期间，严禁将涉及医院数据的磁盘、磁带、U盘等介质带离现场，维修过程中需访问医院数据时，须经医院信息科批准，并在指定电脑上操作，操作记录留存3个月。</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4.协助医院处理网络信息安全整改工作（如漏洞修复、病毒查杀），每月进行1次弱电井巡查。巡查报告需提交医院信息</w:t>
      </w:r>
      <w:r>
        <w:rPr>
          <w:rFonts w:hint="eastAsia" w:ascii="宋体" w:hAnsi="宋体" w:cs="宋体"/>
          <w:color w:val="auto"/>
          <w:sz w:val="24"/>
          <w:szCs w:val="24"/>
          <w:lang w:val="en-US" w:eastAsia="zh-CN"/>
        </w:rPr>
        <w:t xml:space="preserve">处</w:t>
      </w:r>
      <w:r>
        <w:rPr>
          <w:rFonts w:hint="eastAsia" w:ascii="宋体" w:hAnsi="宋体" w:eastAsia="宋体" w:cs="宋体"/>
          <w:color w:val="auto"/>
          <w:sz w:val="24"/>
          <w:szCs w:val="24"/>
          <w:lang w:val="en-US" w:eastAsia="zh-CN"/>
        </w:rPr>
        <w:t xml:space="preserve">备案。</w:t>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六、应急措施</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1.根据设备维修所需要的备件，提供备件库存（满足至少1个月的使用需求）。备件库清单及位置需经医院信息</w:t>
      </w:r>
      <w:r>
        <w:rPr>
          <w:rFonts w:hint="eastAsia" w:ascii="宋体" w:hAnsi="宋体" w:cs="宋体"/>
          <w:color w:val="auto"/>
          <w:sz w:val="24"/>
          <w:szCs w:val="24"/>
          <w:lang w:val="en-US" w:eastAsia="zh-CN"/>
        </w:rPr>
        <w:t xml:space="preserve">处</w:t>
      </w:r>
      <w:r>
        <w:rPr>
          <w:rFonts w:hint="eastAsia" w:ascii="宋体" w:hAnsi="宋体" w:eastAsia="宋体" w:cs="宋体"/>
          <w:color w:val="auto"/>
          <w:sz w:val="24"/>
          <w:szCs w:val="24"/>
          <w:lang w:val="en-US" w:eastAsia="zh-CN"/>
        </w:rPr>
        <w:t xml:space="preserve">确认。</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2.打印备用机：暂时无法修复的故障，30分钟内安装备用机，24小时内修复故障并换回。</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3.重大故障：</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3.1成立重大故障应急小组（由供应商技术负责人、医院信息科负责人组成），制定《重大故障应急预案》（含应急响应流程、责任分工、联系方式）；该预案需在合同签订后15日内提交采购人审核。</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3.2重要科室零配件和设备必须保证备用，杜绝重大故障发生。</w:t>
      </w:r>
      <w:r/>
    </w:p>
    <w:p>
      <w:pPr>
        <w:numPr>
          <w:ilvl w:val="0"/>
          <w:numId w:val="0"/>
        </w:numPr>
        <w:ind w:lef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eastAsia="宋体" w:cs="宋体"/>
          <w:color w:val="auto"/>
          <w:sz w:val="24"/>
          <w:szCs w:val="24"/>
          <w:lang w:val="en-US" w:eastAsia="zh-CN"/>
        </w:rPr>
        <w:t xml:space="preserve">3.3发生重大故障（如多台设备同时故障、网络大面积中断）时，供应商须在1小时内增派技术人员（至少2人）到场支援，2小时内控制故障范围，4小时内恢复正常使用</w:t>
      </w:r>
      <w:r>
        <w:rPr>
          <w:rFonts w:hint="eastAsia" w:ascii="宋体" w:hAnsi="宋体" w:cs="宋体"/>
          <w:color w:val="auto"/>
          <w:sz w:val="24"/>
          <w:szCs w:val="24"/>
          <w:lang w:val="en-US" w:eastAsia="zh-CN"/>
        </w:rPr>
        <w:t xml:space="preserve">，并每2小时向医院主管领导汇报故障处理进展，直至故障完全排除。</w:t>
      </w:r>
      <w:r/>
    </w:p>
    <w:p>
      <w:pPr>
        <w:numPr>
          <w:ilvl w:val="0"/>
          <w:numId w:val="0"/>
        </w:numPr>
        <w:ind w:left="0" w:firstLine="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lang w:val="en-US" w:eastAsia="zh-CN"/>
        </w:rPr>
        <w:pBdr>
          <w:left w:val="none" w:color="auto" w:sz="0" w:space="0"/>
        </w:pBdr>
        <w:suppressLineNumbers w:val="0"/>
      </w:pPr>
      <w:r>
        <w:rPr>
          <w:rFonts w:hint="eastAsia" w:ascii="宋体" w:hAnsi="宋体" w:cs="宋体"/>
          <w:color w:val="auto"/>
          <w:sz w:val="24"/>
          <w:szCs w:val="24"/>
          <w:lang w:val="en-US" w:eastAsia="zh-CN"/>
        </w:rPr>
        <w:t xml:space="preserve">七、付款方式：</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cs="宋体"/>
          <w:color w:val="auto"/>
          <w:sz w:val="24"/>
          <w:szCs w:val="24"/>
          <w:lang w:val="en-US" w:eastAsia="zh-CN"/>
        </w:rPr>
        <w:pBdr>
          <w:left w:val="none" w:color="auto" w:sz="0" w:space="0"/>
        </w:pBdr>
        <w:suppressLineNumbers w:val="0"/>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合同生效</w:t>
      </w:r>
      <w:r>
        <w:rPr>
          <w:rFonts w:hint="eastAsia" w:ascii="宋体" w:hAnsi="宋体" w:cs="宋体"/>
          <w:color w:val="auto"/>
          <w:sz w:val="24"/>
          <w:szCs w:val="24"/>
          <w:lang w:val="en-US" w:eastAsia="zh-CN"/>
        </w:rPr>
        <w:t xml:space="preserve">后</w:t>
      </w:r>
      <w:r>
        <w:rPr>
          <w:rFonts w:hint="eastAsia" w:ascii="宋体" w:hAnsi="宋体" w:cs="宋体"/>
          <w:color w:val="auto"/>
          <w:sz w:val="24"/>
        </w:rPr>
        <w:t xml:space="preserve">采购人根据运维综合服务考核结果，</w:t>
      </w:r>
      <w:r>
        <w:rPr>
          <w:rFonts w:hint="eastAsia" w:ascii="宋体" w:hAnsi="宋体" w:cs="宋体"/>
          <w:color w:val="auto"/>
          <w:sz w:val="24"/>
          <w:szCs w:val="24"/>
          <w:lang w:val="en-US" w:eastAsia="zh-CN"/>
        </w:rPr>
        <w:t xml:space="preserve">每半年</w:t>
      </w:r>
      <w:r>
        <w:rPr>
          <w:rFonts w:hint="eastAsia" w:ascii="宋体" w:hAnsi="宋体" w:eastAsia="宋体" w:cs="宋体"/>
          <w:color w:val="auto"/>
          <w:sz w:val="24"/>
          <w:szCs w:val="24"/>
          <w:lang w:val="en-US" w:eastAsia="zh-CN"/>
        </w:rPr>
        <w:t xml:space="preserve">支付维保金额的</w:t>
      </w:r>
      <w:r>
        <w:rPr>
          <w:rFonts w:hint="eastAsia" w:ascii="宋体" w:hAnsi="宋体" w:cs="宋体"/>
          <w:color w:val="auto"/>
          <w:sz w:val="24"/>
          <w:szCs w:val="24"/>
          <w:lang w:val="en-US" w:eastAsia="zh-CN"/>
        </w:rPr>
        <w:t xml:space="preserve">25%。</w:t>
      </w:r>
      <w:r/>
    </w:p>
    <w:p>
      <w:pPr>
        <w:numPr>
          <w:ilvl w:val="0"/>
          <w:numId w:val="0"/>
        </w:numPr>
        <w:ind w:left="0" w:firstLine="240"/>
        <w:jc w:val="left"/>
        <w:keepLines w:val="0"/>
        <w:keepNext w:val="0"/>
        <w:pageBreakBefore w:val="0"/>
        <w:spacing w:before="0" w:beforeAutospacing="0" w:after="0" w:afterAutospacing="0" w:line="420" w:lineRule="exact"/>
        <w:widowControl/>
        <w:rPr>
          <w:rFonts w:hint="eastAsia" w:ascii="宋体" w:hAnsi="宋体" w:cs="宋体"/>
          <w:color w:val="auto"/>
          <w:sz w:val="24"/>
        </w:rPr>
        <w:pBdr>
          <w:left w:val="none" w:color="auto" w:sz="0" w:space="0"/>
        </w:pBdr>
        <w:suppressLineNumbers w:val="0"/>
      </w:pPr>
      <w:r>
        <w:rPr>
          <w:rFonts w:hint="eastAsia" w:ascii="宋体" w:hAnsi="宋体" w:cs="宋体"/>
          <w:color w:val="auto"/>
          <w:sz w:val="24"/>
          <w:szCs w:val="24"/>
          <w:lang w:val="en-US" w:eastAsia="zh-CN"/>
        </w:rPr>
        <w:t xml:space="preserve">2、</w:t>
      </w:r>
      <w:r>
        <w:rPr>
          <w:rFonts w:hint="eastAsia" w:ascii="宋体" w:hAnsi="宋体" w:cs="宋体"/>
          <w:color w:val="auto"/>
          <w:sz w:val="24"/>
        </w:rPr>
        <w:t xml:space="preserve">履约保证金：中标价的5%，中标人须在签订合同之前缴纳给采购人（逾期未交，视同放弃此次中标），服务期</w:t>
      </w:r>
      <w:r>
        <w:rPr>
          <w:rFonts w:hint="eastAsia" w:ascii="宋体" w:hAnsi="宋体" w:cs="宋体"/>
          <w:color w:val="auto"/>
          <w:sz w:val="24"/>
          <w:lang w:eastAsia="zh-CN"/>
        </w:rPr>
        <w:t xml:space="preserve">每</w:t>
      </w:r>
      <w:r>
        <w:rPr>
          <w:rFonts w:hint="eastAsia" w:ascii="宋体" w:hAnsi="宋体" w:cs="宋体"/>
          <w:color w:val="auto"/>
          <w:sz w:val="24"/>
        </w:rPr>
        <w:t xml:space="preserve">满</w:t>
      </w:r>
      <w:r>
        <w:rPr>
          <w:rFonts w:hint="eastAsia" w:ascii="宋体" w:hAnsi="宋体" w:cs="宋体"/>
          <w:color w:val="auto"/>
          <w:sz w:val="24"/>
          <w:lang w:eastAsia="zh-CN"/>
        </w:rPr>
        <w:t xml:space="preserve">一年且</w:t>
      </w:r>
      <w:r>
        <w:rPr>
          <w:rFonts w:hint="eastAsia" w:ascii="宋体" w:hAnsi="宋体" w:cs="宋体"/>
          <w:color w:val="auto"/>
          <w:sz w:val="24"/>
        </w:rPr>
        <w:t xml:space="preserve">按合同要求履约完成予以返还</w:t>
      </w:r>
      <w:r>
        <w:rPr>
          <w:rFonts w:hint="eastAsia" w:ascii="宋体" w:hAnsi="宋体" w:cs="宋体"/>
          <w:color w:val="auto"/>
          <w:sz w:val="24"/>
          <w:lang w:eastAsia="zh-CN"/>
        </w:rPr>
        <w:t xml:space="preserve">履约保证金</w:t>
      </w:r>
      <w:r>
        <w:rPr>
          <w:rFonts w:hint="eastAsia" w:ascii="宋体" w:hAnsi="宋体" w:cs="宋体"/>
          <w:color w:val="auto"/>
          <w:sz w:val="24"/>
        </w:rPr>
        <w:t xml:space="preserve">（无息）</w:t>
      </w:r>
      <w:r>
        <w:rPr>
          <w:rFonts w:hint="eastAsia" w:ascii="宋体" w:hAnsi="宋体" w:cs="宋体"/>
          <w:color w:val="auto"/>
          <w:sz w:val="24"/>
          <w:lang w:eastAsia="zh-CN"/>
        </w:rPr>
        <w:t xml:space="preserve">的</w:t>
      </w:r>
      <w:r>
        <w:rPr>
          <w:rFonts w:hint="eastAsia" w:ascii="宋体" w:hAnsi="宋体" w:cs="宋体"/>
          <w:color w:val="auto"/>
          <w:sz w:val="24"/>
          <w:lang w:val="en-US" w:eastAsia="zh-CN"/>
        </w:rPr>
        <w:t xml:space="preserve">50%</w:t>
      </w:r>
      <w:r>
        <w:rPr>
          <w:rFonts w:hint="eastAsia" w:ascii="宋体" w:hAnsi="宋体" w:cs="宋体"/>
          <w:color w:val="auto"/>
          <w:sz w:val="24"/>
        </w:rPr>
        <w:t xml:space="preserve">。</w:t>
      </w:r>
      <w:r/>
    </w:p>
    <w:p>
      <w:pPr>
        <w:numPr>
          <w:ilvl w:val="0"/>
          <w:numId w:val="0"/>
        </w:numPr>
        <w:jc w:val="left"/>
        <w:keepLines w:val="0"/>
        <w:keepNext w:val="0"/>
        <w:spacing w:before="0" w:after="0" w:line="420" w:lineRule="exact"/>
        <w:widowControl/>
        <w:rPr>
          <w:rFonts w:hint="eastAsia" w:ascii="宋体" w:hAnsi="宋体" w:eastAsia="宋体" w:cs="宋体"/>
          <w:color w:val="auto"/>
          <w:sz w:val="24"/>
        </w:rPr>
        <w:pBdr>
          <w:left w:val="none" w:color="auto" w:sz="0" w:space="0"/>
        </w:pBdr>
      </w:pPr>
      <w:r>
        <w:rPr>
          <w:rFonts w:hint="eastAsia" w:ascii="宋体" w:hAnsi="宋体" w:eastAsia="宋体" w:cs="宋体"/>
          <w:color w:val="auto"/>
          <w:sz w:val="24"/>
          <w:lang w:eastAsia="zh-CN"/>
        </w:rPr>
        <w:t xml:space="preserve">八、</w:t>
      </w:r>
      <w:r>
        <w:rPr>
          <w:rFonts w:hint="eastAsia" w:ascii="宋体" w:hAnsi="宋体" w:eastAsia="宋体" w:cs="宋体"/>
          <w:color w:val="auto"/>
          <w:sz w:val="24"/>
        </w:rPr>
        <w:t xml:space="preserve">信息化设备运维综合服务考核方案</w:t>
      </w:r>
      <w:r/>
    </w:p>
    <w:p>
      <w:pPr>
        <w:numPr>
          <w:ilvl w:val="0"/>
          <w:numId w:val="0"/>
        </w:numPr>
        <w:jc w:val="left"/>
        <w:keepLines w:val="0"/>
        <w:keepNext w:val="0"/>
        <w:spacing w:before="0" w:after="0" w:line="420" w:lineRule="exact"/>
        <w:widowControl/>
        <w:rPr>
          <w:rFonts w:hint="eastAsia" w:ascii="宋体" w:hAnsi="宋体" w:eastAsia="宋体" w:cs="宋体"/>
          <w:color w:val="auto"/>
          <w:sz w:val="24"/>
        </w:rPr>
        <w:pBdr>
          <w:left w:val="none" w:color="auto" w:sz="0" w:space="0"/>
        </w:pBdr>
      </w:pPr>
      <w:r>
        <w:rPr>
          <w:rFonts w:hint="eastAsia" w:ascii="宋体" w:hAnsi="宋体" w:eastAsia="宋体" w:cs="宋体"/>
          <w:color w:val="auto"/>
          <w:sz w:val="24"/>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信息化设备运维综合服务考核方案</w:t>
      </w:r>
      <w:r/>
    </w:p>
    <w:p>
      <w:pPr>
        <w:ind w:firstLine="42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每半年服务期结束后，根据考核结果支付：考核结果一般扣 1%合同款，支付 24%合同款；考核结果不满意扣 2%合同款，支付23%合同款；考核结果满意或非常满意付25%合同款。</w:t>
      </w:r>
      <w:r/>
    </w:p>
    <w:p>
      <w:pP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考核方式：</w:t>
      </w:r>
      <w:r/>
    </w:p>
    <w:p>
      <w:pPr>
        <w:ind w:firstLine="42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派驻人员组成维护团队，实行百分制考核，以100分为基准。按考核细则要求进行扣分和加分。考核结果作为服务质量及满意度评判依据。</w:t>
      </w:r>
      <w:r/>
    </w:p>
    <w:p>
      <w:pP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考核等级划分：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非常满意：100—90 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满意：89—80 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一般：79—60 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不满意：60 分以下；</w:t>
      </w:r>
      <w:r/>
    </w:p>
    <w:p>
      <w:pPr>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考核细则</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考勤问题：迟到：每人/次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扣1分；早退：每人/次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扣1分；无故旷工：每人/次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扣3分；不服从工作安排：每人/次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扣3分；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维修响应超时：超过5分钟未响应（接到派单后需马上响应，可电话联系或到现场）：每人/次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扣1分；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3.故障处理延迟：不需更换配件的故障，24小时内未处理好扣1分，每超24 小时多扣1分；维修好的设备24小时内未送回科室安装调试好扣1分；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周末及节假日保障不足：未按规定提供保障，科室维修需求未安排人员处理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扣5分；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通讯不畅：工作时间电话无人接听：每次扣3分（0.5小时内回复不扣分），特殊情况及时汇报可免扣；</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用户投诉：经核实属派驻人员责任：视情节扣2分；造成用户损失或数据丢失：扣6分；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清洁巡查保养不足：未按规定每半年进行一次清洁巡查保养：每次扣5分。全勤与表现优秀：全勤、工作积极认真、无投诉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每季度加5分；</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主动发现并防止事故：主动发现系统运行错误并有效防止事故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视情况加3 分；</w:t>
      </w:r>
      <w:r/>
    </w:p>
    <w:p>
      <w:pPr>
        <w:ind w:firstLine="480"/>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提出合理建议：提出较好工作建议且被采纳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每次加2分，计入季度评分</w:t>
      </w:r>
      <w:r>
        <w:rPr>
          <w:rFonts w:hint="eastAsia" w:ascii="宋体" w:hAnsi="宋体" w:eastAsia="宋体" w:cs="宋体"/>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技术支持与难题解决：对甲方技术难题给予支持且成功解决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每次加3分，计入季度评分。</w:t>
      </w:r>
      <w:r/>
    </w:p>
    <w:p>
      <w:pPr>
        <w:numPr>
          <w:ilvl w:val="0"/>
          <w:numId w:val="0"/>
        </w:numPr>
        <w:ind w:left="0" w:firstLine="0"/>
        <w:jc w:val="left"/>
        <w:keepLines w:val="0"/>
        <w:keepNext w:val="0"/>
        <w:pageBreakBefore w:val="0"/>
        <w:spacing w:before="0" w:beforeAutospacing="0" w:after="0" w:afterAutospacing="0" w:line="420" w:lineRule="exact"/>
        <w:widowControl/>
        <w:rPr>
          <w:rFonts w:hint="default" w:ascii="宋体" w:hAnsi="宋体" w:cs="宋体"/>
          <w:color w:val="auto"/>
          <w:sz w:val="24"/>
          <w:szCs w:val="24"/>
          <w:lang w:val="en-US" w:eastAsia="zh-CN"/>
        </w:rPr>
        <w:pBdr>
          <w:left w:val="none" w:color="auto" w:sz="0" w:space="0"/>
        </w:pBdr>
        <w:suppressLineNumbers w:val="0"/>
      </w:pPr>
      <w:r>
        <w:rPr>
          <w:rFonts w:hint="default" w:ascii="宋体" w:hAnsi="宋体" w:cs="宋体"/>
          <w:color w:val="auto"/>
          <w:sz w:val="24"/>
          <w:szCs w:val="24"/>
          <w:lang w:val="en-US" w:eastAsia="zh-CN"/>
        </w:rPr>
      </w:r>
      <w:r/>
    </w:p>
    <w:p>
      <w:pPr>
        <w:numPr>
          <w:ilvl w:val="0"/>
          <w:numId w:val="0"/>
        </w:numPr>
        <w:ind w:left="0" w:firstLine="0"/>
        <w:jc w:val="left"/>
        <w:keepLines w:val="0"/>
        <w:keepNext w:val="0"/>
        <w:pageBreakBefore w:val="0"/>
        <w:spacing w:before="0" w:beforeAutospacing="0" w:after="0" w:afterAutospacing="0" w:line="420" w:lineRule="exact"/>
        <w:widowControl/>
        <w:rPr>
          <w:rFonts w:hint="default" w:ascii="宋体" w:hAnsi="宋体" w:cs="宋体"/>
          <w:color w:val="auto"/>
          <w:sz w:val="24"/>
          <w:szCs w:val="24"/>
          <w:lang w:val="en-US" w:eastAsia="zh-CN"/>
        </w:rPr>
        <w:pBdr>
          <w:left w:val="none" w:color="auto" w:sz="0" w:space="0"/>
        </w:pBdr>
        <w:suppressLineNumbers w:val="0"/>
      </w:pPr>
      <w:r>
        <w:rPr>
          <w:rFonts w:hint="default" w:ascii="宋体" w:hAnsi="宋体" w:cs="宋体"/>
          <w:color w:val="auto"/>
          <w:sz w:val="24"/>
          <w:szCs w:val="24"/>
          <w:lang w:val="en-US" w:eastAsia="zh-CN"/>
        </w:rPr>
      </w:r>
      <w:r/>
    </w:p>
    <w:p>
      <w:pPr>
        <w:pStyle w:val="956"/>
        <w:ind w:firstLine="640"/>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第五章  评审方法和评审标准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采用百分制综合评分法，即磋商供应商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eastAsia="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eastAsia="宋体" w:cs="宋体"/>
          <w:color w:val="auto"/>
          <w:highlight w:val="none"/>
        </w:rPr>
        <w:t xml:space="preserve">因磋商供应商自身原因，在磋商期间，不能及时、完整、有效提供相关原件以供磋商小组查询，由此导致不利于响应文件的磋商后果由磋商供应商承担。</w:t>
      </w:r>
      <w:r/>
    </w:p>
    <w:p>
      <w:pPr>
        <w:ind w:firstLine="420"/>
        <w:rPr>
          <w:rFonts w:hint="eastAsia"/>
        </w:rPr>
      </w:pPr>
      <w:r>
        <w:rPr>
          <w:rFonts w:hint="eastAsia" w:ascii="宋体" w:hAnsi="宋体" w:eastAsia="宋体" w:cs="宋体"/>
          <w:color w:val="auto"/>
          <w:highlight w:val="none"/>
        </w:rPr>
        <w:t xml:space="preserve">评分细则详见下表：</w:t>
      </w:r>
      <w:r/>
    </w:p>
    <w:tbl>
      <w:tblPr>
        <w:tblStyle w:val="745"/>
        <w:tblW w:w="8788"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45" w:type="dxa"/>
          <w:right w:w="96" w:type="dxa"/>
          <w:bottom w:w="45" w:type="dxa"/>
        </w:tblCellMar>
        <w:tblLook w:val="04A0" w:firstRow="1" w:lastRow="0" w:firstColumn="1" w:lastColumn="0" w:noHBand="0" w:noVBand="1"/>
      </w:tblPr>
      <w:tblGrid>
        <w:gridCol w:w="792"/>
        <w:gridCol w:w="1536"/>
        <w:gridCol w:w="5668"/>
        <w:gridCol w:w="792"/>
      </w:tblGrid>
      <w:tr>
        <w:trPr>
          <w:trHeight w:val="630"/>
          <w:tblHeader/>
        </w:trPr>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tcW w:w="1536"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评审因素</w:t>
            </w:r>
            <w:r/>
          </w:p>
        </w:tc>
        <w:tc>
          <w:tcPr>
            <w:tcW w:w="5668"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评分标准说明</w:t>
            </w:r>
            <w:r/>
          </w:p>
        </w:tc>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分值</w:t>
            </w:r>
            <w:r/>
          </w:p>
        </w:tc>
      </w:tr>
      <w:tr>
        <w:trPr>
          <w:trHeight w:val="57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lang w:val="en-US" w:eastAsia="zh-CN"/>
              </w:rPr>
              <w:t xml:space="preserve">一</w:t>
            </w:r>
            <w:r/>
          </w:p>
        </w:tc>
        <w:tc>
          <w:tcPr>
            <w:gridSpan w:val="2"/>
            <w:tcBorders>
              <w:top w:val="single" w:color="auto" w:sz="4" w:space="0"/>
              <w:left w:val="single" w:color="auto" w:sz="4" w:space="0"/>
              <w:bottom w:val="single" w:color="auto" w:sz="4" w:space="0"/>
              <w:right w:val="single" w:color="auto" w:sz="4" w:space="0"/>
            </w:tcBorders>
            <w:tcW w:w="7204"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color w:val="auto"/>
                <w:sz w:val="21"/>
                <w:szCs w:val="24"/>
                <w:highlight w:val="none"/>
                <w:lang w:val="en-US" w:eastAsia="zh-CN"/>
              </w:rPr>
            </w:pPr>
            <w:r>
              <w:rPr>
                <w:rFonts w:hint="eastAsia" w:ascii="宋体" w:hAnsi="宋体" w:cs="宋体"/>
                <w:b/>
                <w:color w:val="auto"/>
                <w:sz w:val="21"/>
                <w:szCs w:val="24"/>
                <w:highlight w:val="none"/>
                <w:lang w:val="en-US" w:eastAsia="zh-CN"/>
              </w:rPr>
              <w:t xml:space="preserve">3</w:t>
            </w:r>
            <w:r>
              <w:rPr>
                <w:rFonts w:hint="eastAsia" w:ascii="宋体" w:hAnsi="宋体" w:eastAsia="宋体" w:cs="宋体"/>
                <w:b/>
                <w:color w:val="auto"/>
                <w:sz w:val="21"/>
                <w:szCs w:val="24"/>
                <w:highlight w:val="none"/>
                <w:lang w:val="en-US" w:eastAsia="zh-CN"/>
              </w:rPr>
              <w:t xml:space="preserve">0</w:t>
            </w:r>
            <w:r/>
          </w:p>
        </w:tc>
      </w:tr>
      <w:tr>
        <w:trPr>
          <w:trHeight w:val="1827"/>
        </w:trPr>
        <w:tc>
          <w:tcPr>
            <w:tcBorders>
              <w:left w:val="single" w:color="auto" w:sz="4" w:space="0"/>
            </w:tcBorders>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 xml:space="preserve">1</w:t>
            </w:r>
            <w:r/>
          </w:p>
        </w:tc>
        <w:tc>
          <w:tcPr>
            <w:tcBorders>
              <w:left w:val="single" w:color="auto" w:sz="4" w:space="0"/>
            </w:tcBorders>
            <w:tcW w:w="1536"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价格评分</w:t>
            </w:r>
            <w:r/>
          </w:p>
          <w:p>
            <w:pPr>
              <w:jc w:val="center"/>
              <w:keepLines w:val="0"/>
              <w:keepNext/>
              <w:pageBreakBefore w:val="0"/>
              <w:spacing w:line="400" w:lineRule="exact"/>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tc>
        <w:tc>
          <w:tcPr>
            <w:shd w:val="clear" w:color="auto" w:fill="auto"/>
            <w:tcBorders>
              <w:left w:val="single" w:color="auto" w:sz="4" w:space="0"/>
            </w:tcBorders>
            <w:tcW w:w="5668" w:type="dxa"/>
            <w:vAlign w:val="center"/>
            <w:textDirection w:val="lrTb"/>
            <w:noWrap w:val="false"/>
          </w:tcPr>
          <w:p>
            <w:pPr>
              <w:jc w:val="left"/>
              <w:keepLines w:val="0"/>
              <w:keepNext/>
              <w:pageBreakBefore w:val="0"/>
              <w:spacing w:line="400" w:lineRule="exact"/>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按满足竞争性磋商文件要求且最终有效投标价格最低的投标报价作为评审基准价，其价格分为满分；其他供应商的价格分按以下公式计算：投标报价得分＝（评审基准价/最终投标报价）×</w:t>
            </w:r>
            <w:r>
              <w:rPr>
                <w:rFonts w:hint="eastAsia" w:ascii="宋体" w:hAnsi="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lang w:val="en-US" w:eastAsia="zh-CN"/>
              </w:rPr>
              <w:t xml:space="preserve">0</w:t>
            </w:r>
            <w:r>
              <w:rPr>
                <w:rFonts w:hint="eastAsia" w:ascii="宋体" w:hAnsi="宋体" w:eastAsia="宋体" w:cs="宋体"/>
                <w:color w:val="auto"/>
                <w:sz w:val="21"/>
                <w:szCs w:val="24"/>
                <w:highlight w:val="none"/>
              </w:rPr>
              <w:t xml:space="preserve">（分值保留两位小数）。</w:t>
            </w:r>
            <w:r/>
          </w:p>
        </w:tc>
        <w:tc>
          <w:tcPr>
            <w:tcBorders>
              <w:left w:val="single" w:color="auto" w:sz="4" w:space="0"/>
            </w:tcBorders>
            <w:tcW w:w="792" w:type="dxa"/>
            <w:vAlign w:val="center"/>
            <w:textDirection w:val="lrTb"/>
            <w:noWrap w:val="false"/>
          </w:tcPr>
          <w:p>
            <w:pPr>
              <w:jc w:val="right"/>
              <w:keepLines w:val="0"/>
              <w:keepNext/>
              <w:pageBreakBefore w:val="0"/>
              <w:spacing w:line="400" w:lineRule="exact"/>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0分</w:t>
            </w:r>
            <w:r/>
          </w:p>
        </w:tc>
      </w:tr>
      <w:tr>
        <w:trPr>
          <w:trHeight w:val="572"/>
        </w:trPr>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4"/>
                <w:highlight w:val="none"/>
              </w:rPr>
            </w:pPr>
            <w:r>
              <w:rPr>
                <w:rFonts w:hint="eastAsia" w:ascii="宋体" w:hAnsi="宋体" w:eastAsia="宋体" w:cs="宋体"/>
                <w:b/>
                <w:bCs w:val="0"/>
                <w:color w:val="auto"/>
                <w:sz w:val="21"/>
                <w:szCs w:val="24"/>
                <w:highlight w:val="none"/>
              </w:rPr>
              <w:t xml:space="preserve">二</w:t>
            </w:r>
            <w:r/>
          </w:p>
        </w:tc>
        <w:tc>
          <w:tcPr>
            <w:gridSpan w:val="2"/>
            <w:tcW w:w="7204"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4"/>
                <w:highlight w:val="none"/>
              </w:rPr>
            </w:pPr>
            <w:r>
              <w:rPr>
                <w:rFonts w:hint="eastAsia" w:ascii="宋体" w:hAnsi="宋体" w:eastAsia="宋体" w:cs="宋体"/>
                <w:b/>
                <w:bCs w:val="0"/>
                <w:color w:val="auto"/>
                <w:sz w:val="21"/>
                <w:szCs w:val="24"/>
                <w:highlight w:val="none"/>
              </w:rPr>
              <w:t xml:space="preserve">商务部分</w:t>
            </w:r>
            <w:r/>
          </w:p>
        </w:tc>
        <w:tc>
          <w:tcPr>
            <w:tcW w:w="792" w:type="dxa"/>
            <w:vAlign w:val="center"/>
            <w:textDirection w:val="lrTb"/>
            <w:noWrap w:val="false"/>
          </w:tcPr>
          <w:p>
            <w:pPr>
              <w:jc w:val="center"/>
              <w:keepLines w:val="0"/>
              <w:keepNext/>
              <w:pageBreakBefore w:val="0"/>
              <w:spacing w:line="400" w:lineRule="exact"/>
              <w:widowControl w:val="off"/>
              <w:rPr>
                <w:rFonts w:hint="default" w:ascii="宋体" w:hAnsi="宋体" w:eastAsia="宋体" w:cs="宋体"/>
                <w:b/>
                <w:bCs w:val="0"/>
                <w:color w:val="auto"/>
                <w:sz w:val="21"/>
                <w:szCs w:val="24"/>
                <w:highlight w:val="none"/>
                <w:lang w:val="en-US" w:eastAsia="zh-CN"/>
              </w:rPr>
            </w:pPr>
            <w:r>
              <w:rPr>
                <w:rFonts w:hint="eastAsia" w:ascii="宋体" w:hAnsi="宋体" w:cs="宋体"/>
                <w:b/>
                <w:bCs w:val="0"/>
                <w:color w:val="auto"/>
                <w:sz w:val="21"/>
                <w:szCs w:val="24"/>
                <w:highlight w:val="none"/>
                <w:lang w:val="en-US" w:eastAsia="zh-CN"/>
              </w:rPr>
              <w:t xml:space="preserve">30</w:t>
            </w:r>
            <w:r/>
          </w:p>
        </w:tc>
      </w:tr>
      <w:tr>
        <w:trPr>
          <w:trHeight w:val="1394"/>
        </w:trPr>
        <w:tc>
          <w:tcPr>
            <w:tcBorders>
              <w:left w:val="single" w:color="auto" w:sz="4" w:space="0"/>
            </w:tcBorders>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left w:val="single" w:color="auto" w:sz="4" w:space="0"/>
            </w:tcBorders>
            <w:tcW w:w="1536" w:type="dxa"/>
            <w:vAlign w:val="center"/>
            <w:textDirection w:val="lrTb"/>
            <w:noWrap w:val="false"/>
          </w:tcPr>
          <w:p>
            <w:pPr>
              <w:jc w:val="center"/>
              <w:keepLines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b/>
                <w:sz w:val="21"/>
                <w:szCs w:val="21"/>
              </w:rPr>
              <w:t xml:space="preserve">类似业绩</w:t>
            </w:r>
            <w:r/>
          </w:p>
        </w:tc>
        <w:tc>
          <w:tcPr>
            <w:shd w:val="clear" w:color="auto" w:fill="auto"/>
            <w:tcBorders>
              <w:left w:val="single" w:color="auto" w:sz="4" w:space="0"/>
            </w:tcBorders>
            <w:tcW w:w="5668" w:type="dxa"/>
            <w:vAlign w:val="center"/>
            <w:textDirection w:val="lrTb"/>
            <w:noWrap w:val="false"/>
          </w:tcPr>
          <w:p>
            <w:pPr>
              <w:jc w:val="left"/>
              <w:keepLines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b w:val="0"/>
                <w:bCs w:val="0"/>
                <w:sz w:val="21"/>
                <w:szCs w:val="21"/>
                <w:highlight w:val="none"/>
              </w:rPr>
              <w:t xml:space="preserve">2022年1月1日以来承担过类似信息化设备维护项目，</w:t>
            </w:r>
            <w:r>
              <w:rPr>
                <w:rFonts w:hint="eastAsia" w:ascii="宋体" w:hAnsi="宋体" w:cs="宋体"/>
                <w:sz w:val="21"/>
                <w:szCs w:val="21"/>
              </w:rPr>
              <w:t xml:space="preserve">每提供一份合同得</w:t>
            </w:r>
            <w:r>
              <w:rPr>
                <w:rFonts w:hint="eastAsia" w:ascii="宋体" w:hAnsi="宋体" w:cs="宋体"/>
                <w:sz w:val="21"/>
                <w:szCs w:val="21"/>
                <w:lang w:val="en-US" w:eastAsia="zh-CN"/>
              </w:rPr>
              <w:t xml:space="preserve">2</w:t>
            </w:r>
            <w:r>
              <w:rPr>
                <w:rFonts w:hint="eastAsia" w:ascii="宋体" w:hAnsi="宋体" w:cs="宋体"/>
                <w:sz w:val="21"/>
                <w:szCs w:val="21"/>
              </w:rPr>
              <w:t xml:space="preserve">分，最高得</w:t>
            </w:r>
            <w:r>
              <w:rPr>
                <w:rFonts w:hint="eastAsia" w:ascii="宋体" w:hAnsi="宋体" w:cs="宋体"/>
                <w:sz w:val="21"/>
                <w:szCs w:val="21"/>
                <w:lang w:val="en-US" w:eastAsia="zh-CN"/>
              </w:rPr>
              <w:t xml:space="preserve">10</w:t>
            </w:r>
            <w:r>
              <w:rPr>
                <w:rFonts w:hint="eastAsia" w:ascii="宋体" w:hAnsi="宋体" w:cs="宋体"/>
                <w:sz w:val="21"/>
                <w:szCs w:val="21"/>
              </w:rPr>
              <w:t xml:space="preserve">分。提供项目合同</w:t>
            </w:r>
            <w:r>
              <w:rPr>
                <w:rFonts w:hint="eastAsia" w:ascii="宋体" w:hAnsi="宋体" w:cs="宋体"/>
                <w:sz w:val="21"/>
                <w:szCs w:val="21"/>
                <w:lang w:val="en-US" w:eastAsia="zh-CN"/>
              </w:rPr>
              <w:t xml:space="preserve">扫描件</w:t>
            </w:r>
            <w:r>
              <w:rPr>
                <w:rFonts w:hint="eastAsia" w:ascii="宋体" w:hAnsi="宋体" w:cs="宋体"/>
                <w:sz w:val="21"/>
                <w:szCs w:val="21"/>
              </w:rPr>
              <w:t xml:space="preserve">作为得分依据</w:t>
            </w:r>
            <w:r>
              <w:rPr>
                <w:rFonts w:hint="eastAsia" w:ascii="宋体" w:hAnsi="宋体" w:cs="宋体"/>
                <w:sz w:val="21"/>
                <w:szCs w:val="21"/>
                <w:lang w:eastAsia="zh-CN"/>
              </w:rPr>
              <w:t xml:space="preserve">，合同扫描件须包含合同金额、服务内容、签字盖章页等关键信息</w:t>
            </w:r>
            <w:r>
              <w:rPr>
                <w:rFonts w:hint="eastAsia" w:ascii="宋体" w:hAnsi="宋体" w:cs="宋体"/>
                <w:sz w:val="21"/>
                <w:szCs w:val="21"/>
              </w:rPr>
              <w:t xml:space="preserve">。</w:t>
            </w:r>
            <w:r/>
          </w:p>
        </w:tc>
        <w:tc>
          <w:tcPr>
            <w:tcBorders>
              <w:left w:val="single" w:color="auto" w:sz="4" w:space="0"/>
            </w:tcBorders>
            <w:tcW w:w="792" w:type="dxa"/>
            <w:vAlign w:val="center"/>
            <w:textDirection w:val="lrTb"/>
            <w:noWrap w:val="false"/>
          </w:tcPr>
          <w:p>
            <w:pPr>
              <w:jc w:val="right"/>
              <w:keepLines w:val="0"/>
              <w:keepNext/>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分</w:t>
            </w:r>
            <w:r/>
          </w:p>
        </w:tc>
      </w:tr>
      <w:tr>
        <w:trPr>
          <w:trHeight w:val="4996"/>
        </w:trPr>
        <w:tc>
          <w:tcPr>
            <w:tcBorders>
              <w:left w:val="single" w:color="auto" w:sz="4" w:space="0"/>
            </w:tcBorders>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left w:val="single" w:color="auto" w:sz="4" w:space="0"/>
            </w:tcBorders>
            <w:tcW w:w="1536" w:type="dxa"/>
            <w:vAlign w:val="center"/>
            <w:textDirection w:val="lrTb"/>
            <w:noWrap w:val="false"/>
          </w:tcPr>
          <w:p>
            <w:pPr>
              <w:jc w:val="center"/>
              <w:keepLines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cs="宋体"/>
                <w:b/>
                <w:sz w:val="21"/>
                <w:szCs w:val="21"/>
              </w:rPr>
              <w:t xml:space="preserve">人员</w:t>
            </w:r>
            <w:r>
              <w:rPr>
                <w:rFonts w:hint="eastAsia" w:ascii="宋体" w:hAnsi="宋体" w:cs="宋体"/>
                <w:b/>
                <w:sz w:val="21"/>
                <w:szCs w:val="21"/>
                <w:lang w:val="en-US" w:eastAsia="zh-CN"/>
              </w:rPr>
              <w:t xml:space="preserve">实力</w:t>
            </w:r>
            <w:r/>
          </w:p>
        </w:tc>
        <w:tc>
          <w:tcPr>
            <w:shd w:val="clear" w:color="auto" w:fill="auto"/>
            <w:tcBorders>
              <w:left w:val="single" w:color="auto" w:sz="4" w:space="0"/>
            </w:tcBorders>
            <w:tcW w:w="5668" w:type="dxa"/>
            <w:vAlign w:val="center"/>
            <w:textDirection w:val="lrTb"/>
            <w:noWrap w:val="false"/>
          </w:tcPr>
          <w:p>
            <w:pPr>
              <w:jc w:val="left"/>
              <w:rPr>
                <w:rFonts w:hint="eastAsia" w:ascii="宋体" w:hAnsi="宋体" w:cs="宋体"/>
                <w:color w:val="000000" w:themeColor="text1"/>
                <w:sz w:val="21"/>
                <w:szCs w:val="21"/>
              </w:rPr>
            </w:pP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w:t>
            </w:r>
            <w:r>
              <w:rPr>
                <w:rFonts w:hint="eastAsia" w:ascii="宋体" w:hAnsi="宋体" w:cs="宋体"/>
                <w:color w:val="auto"/>
                <w:sz w:val="21"/>
                <w:szCs w:val="21"/>
              </w:rPr>
              <w:t xml:space="preserve">若承诺额外增加驻场</w:t>
            </w:r>
            <w:r>
              <w:rPr>
                <w:rFonts w:hint="eastAsia" w:ascii="宋体" w:hAnsi="宋体" w:cs="宋体"/>
                <w:color w:val="auto"/>
                <w:sz w:val="21"/>
                <w:szCs w:val="21"/>
                <w:lang w:val="en-US" w:eastAsia="zh-CN"/>
              </w:rPr>
              <w:t xml:space="preserve">人员</w:t>
            </w:r>
            <w:r>
              <w:rPr>
                <w:rFonts w:hint="eastAsia" w:ascii="宋体" w:hAnsi="宋体" w:cs="宋体"/>
                <w:color w:val="auto"/>
                <w:sz w:val="21"/>
                <w:szCs w:val="21"/>
              </w:rPr>
              <w:t xml:space="preserve">，每增</w:t>
            </w:r>
            <w:r>
              <w:rPr>
                <w:rFonts w:hint="eastAsia" w:ascii="宋体" w:hAnsi="宋体" w:cs="宋体"/>
                <w:color w:val="000000" w:themeColor="text1"/>
                <w:sz w:val="21"/>
                <w:szCs w:val="21"/>
              </w:rPr>
              <w:t xml:space="preserve">加1人得</w:t>
            </w:r>
            <w:r>
              <w:rPr>
                <w:rFonts w:hint="eastAsia" w:ascii="宋体" w:hAnsi="宋体" w:cs="宋体"/>
                <w:color w:val="000000" w:themeColor="text1"/>
                <w:sz w:val="21"/>
                <w:szCs w:val="21"/>
                <w:lang w:val="en-US" w:eastAsia="zh-CN"/>
              </w:rPr>
              <w:t xml:space="preserve">4</w:t>
            </w:r>
            <w:r>
              <w:rPr>
                <w:rFonts w:hint="eastAsia" w:ascii="宋体" w:hAnsi="宋体" w:cs="宋体"/>
                <w:color w:val="000000" w:themeColor="text1"/>
                <w:sz w:val="21"/>
                <w:szCs w:val="21"/>
              </w:rPr>
              <w:t xml:space="preserve">分</w:t>
            </w:r>
            <w:r>
              <w:rPr>
                <w:rFonts w:hint="eastAsia" w:ascii="宋体" w:hAnsi="宋体" w:cs="宋体"/>
                <w:color w:val="000000" w:themeColor="text1"/>
                <w:sz w:val="21"/>
                <w:szCs w:val="21"/>
              </w:rPr>
              <w:t xml:space="preserve">，最高得</w:t>
            </w:r>
            <w:r>
              <w:rPr>
                <w:rFonts w:hint="eastAsia" w:ascii="宋体" w:hAnsi="宋体" w:cs="宋体"/>
                <w:color w:val="000000" w:themeColor="text1"/>
                <w:sz w:val="21"/>
                <w:szCs w:val="21"/>
                <w:lang w:val="en-US" w:eastAsia="zh-CN"/>
              </w:rPr>
              <w:t xml:space="preserve">8</w:t>
            </w:r>
            <w:r>
              <w:rPr>
                <w:rFonts w:hint="eastAsia" w:ascii="宋体" w:hAnsi="宋体" w:cs="宋体"/>
                <w:color w:val="000000" w:themeColor="text1"/>
                <w:sz w:val="21"/>
                <w:szCs w:val="21"/>
              </w:rPr>
              <w:t xml:space="preserve">分。需提供人员简历及社保缴纳承诺。</w:t>
            </w:r>
            <w:r>
              <w:rPr>
                <w:color w:val="000000" w:themeColor="text1"/>
              </w:rPr>
            </w:r>
          </w:p>
          <w:p>
            <w:pPr>
              <w:jc w:val="left"/>
              <w:keepLines w:val="0"/>
              <w:pageBreakBefore w:val="0"/>
              <w:spacing w:line="400" w:lineRule="exact"/>
              <w:widowControl w:val="off"/>
              <w:rPr>
                <w:rFonts w:hint="eastAsia" w:ascii="宋体" w:hAnsi="宋体" w:cs="宋体"/>
                <w:b w:val="0"/>
                <w:bCs w:val="0"/>
                <w:color w:val="000000" w:themeColor="text1"/>
                <w:sz w:val="21"/>
                <w:szCs w:val="21"/>
                <w:highlight w:val="none"/>
              </w:rPr>
            </w:pPr>
            <w:r>
              <w:rPr>
                <w:rFonts w:hint="eastAsia" w:ascii="宋体" w:hAnsi="宋体" w:cs="宋体"/>
                <w:b w:val="0"/>
                <w:bCs w:val="0"/>
                <w:sz w:val="21"/>
                <w:szCs w:val="21"/>
                <w:highlight w:val="none"/>
                <w:lang w:val="en-US" w:eastAsia="zh-CN"/>
              </w:rPr>
              <w:t xml:space="preserve">2、</w:t>
            </w:r>
            <w:r>
              <w:rPr>
                <w:rFonts w:hint="eastAsia" w:ascii="宋体" w:hAnsi="宋体" w:cs="宋体"/>
                <w:b w:val="0"/>
                <w:bCs w:val="0"/>
                <w:color w:val="000000" w:themeColor="text1"/>
                <w:sz w:val="21"/>
                <w:szCs w:val="21"/>
                <w:highlight w:val="none"/>
              </w:rPr>
              <w:t xml:space="preserve">投标人拟投入本项目的项目</w:t>
            </w:r>
            <w:r>
              <w:rPr>
                <w:rFonts w:hint="eastAsia" w:ascii="宋体" w:hAnsi="宋体" w:cs="宋体"/>
                <w:b w:val="0"/>
                <w:bCs w:val="0"/>
                <w:color w:val="000000" w:themeColor="text1"/>
                <w:sz w:val="21"/>
                <w:szCs w:val="21"/>
                <w:highlight w:val="none"/>
                <w:lang w:val="en-US" w:eastAsia="zh-CN"/>
              </w:rPr>
              <w:t xml:space="preserve">经理</w:t>
            </w:r>
            <w:r>
              <w:rPr>
                <w:rFonts w:hint="eastAsia" w:ascii="宋体" w:hAnsi="宋体" w:cs="宋体"/>
                <w:b w:val="0"/>
                <w:bCs w:val="0"/>
                <w:color w:val="000000" w:themeColor="text1"/>
                <w:sz w:val="21"/>
                <w:szCs w:val="21"/>
                <w:highlight w:val="none"/>
              </w:rPr>
              <w:t xml:space="preserve">（1人）具备系统集成项目管理工程师、网络工程师，</w:t>
            </w:r>
            <w:r>
              <w:rPr>
                <w:rFonts w:hint="eastAsia" w:ascii="宋体" w:hAnsi="宋体" w:cs="宋体"/>
                <w:b w:val="0"/>
                <w:bCs w:val="0"/>
                <w:color w:val="000000" w:themeColor="text1"/>
                <w:sz w:val="21"/>
                <w:szCs w:val="21"/>
                <w:highlight w:val="none"/>
                <w:lang w:val="en-US" w:eastAsia="zh-CN"/>
              </w:rPr>
              <w:t xml:space="preserve">有一个证书</w:t>
            </w:r>
            <w:r>
              <w:rPr>
                <w:rFonts w:hint="eastAsia" w:ascii="宋体" w:hAnsi="宋体" w:cs="宋体"/>
                <w:b w:val="0"/>
                <w:bCs w:val="0"/>
                <w:color w:val="000000" w:themeColor="text1"/>
                <w:sz w:val="21"/>
                <w:szCs w:val="21"/>
                <w:highlight w:val="none"/>
              </w:rPr>
              <w:t xml:space="preserve">得</w:t>
            </w:r>
            <w:r>
              <w:rPr>
                <w:rFonts w:hint="eastAsia" w:ascii="宋体" w:hAnsi="宋体" w:cs="宋体"/>
                <w:b w:val="0"/>
                <w:bCs w:val="0"/>
                <w:color w:val="000000" w:themeColor="text1"/>
                <w:sz w:val="21"/>
                <w:szCs w:val="21"/>
                <w:highlight w:val="none"/>
                <w:lang w:val="en-US" w:eastAsia="zh-CN"/>
              </w:rPr>
              <w:t xml:space="preserve">2分，</w:t>
            </w:r>
            <w:r>
              <w:rPr>
                <w:rFonts w:hint="eastAsia" w:ascii="宋体" w:hAnsi="宋体" w:cs="宋体"/>
                <w:b w:val="0"/>
                <w:bCs w:val="0"/>
                <w:color w:val="000000" w:themeColor="text1"/>
                <w:sz w:val="21"/>
                <w:szCs w:val="21"/>
                <w:highlight w:val="none"/>
              </w:rPr>
              <w:t xml:space="preserve">最多得</w:t>
            </w: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cs="宋体"/>
                <w:b w:val="0"/>
                <w:bCs w:val="0"/>
                <w:color w:val="000000" w:themeColor="text1"/>
                <w:sz w:val="21"/>
                <w:szCs w:val="21"/>
                <w:highlight w:val="none"/>
              </w:rPr>
              <w:t xml:space="preserve">分。</w:t>
            </w:r>
            <w:r>
              <w:rPr>
                <w:color w:val="000000" w:themeColor="text1"/>
              </w:rPr>
            </w:r>
          </w:p>
          <w:p>
            <w:pPr>
              <w:jc w:val="left"/>
              <w:keepLines w:val="0"/>
              <w:pageBreakBefore w:val="0"/>
              <w:spacing w:line="400" w:lineRule="exact"/>
              <w:widowControl w:val="off"/>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3</w:t>
            </w:r>
            <w:r>
              <w:rPr>
                <w:rFonts w:hint="eastAsia" w:ascii="宋体" w:hAnsi="宋体" w:cs="宋体"/>
                <w:b w:val="0"/>
                <w:bCs w:val="0"/>
                <w:color w:val="000000" w:themeColor="text1"/>
                <w:sz w:val="21"/>
                <w:szCs w:val="21"/>
                <w:highlight w:val="none"/>
              </w:rPr>
              <w:t xml:space="preserve">、投标人拟投入本项目技术服务人员</w:t>
            </w: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lang w:val="en-US" w:eastAsia="zh-CN"/>
              </w:rPr>
              <w:t xml:space="preserve">除</w:t>
            </w:r>
            <w:r>
              <w:rPr>
                <w:rFonts w:hint="eastAsia" w:ascii="宋体" w:hAnsi="宋体" w:cs="宋体"/>
                <w:b w:val="0"/>
                <w:bCs w:val="0"/>
                <w:color w:val="000000" w:themeColor="text1"/>
                <w:sz w:val="21"/>
                <w:szCs w:val="21"/>
                <w:highlight w:val="none"/>
              </w:rPr>
              <w:t xml:space="preserve">项目</w:t>
            </w:r>
            <w:r>
              <w:rPr>
                <w:rFonts w:hint="eastAsia" w:ascii="宋体" w:hAnsi="宋体" w:cs="宋体"/>
                <w:b w:val="0"/>
                <w:bCs w:val="0"/>
                <w:color w:val="000000" w:themeColor="text1"/>
                <w:sz w:val="21"/>
                <w:szCs w:val="21"/>
                <w:highlight w:val="none"/>
                <w:lang w:val="en-US" w:eastAsia="zh-CN"/>
              </w:rPr>
              <w:t xml:space="preserve">经理外</w:t>
            </w: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rPr>
              <w:t xml:space="preserve">具</w:t>
            </w:r>
            <w:r>
              <w:rPr>
                <w:rFonts w:hint="eastAsia" w:ascii="宋体" w:hAnsi="宋体" w:cs="宋体"/>
                <w:b w:val="0"/>
                <w:bCs w:val="0"/>
                <w:color w:val="000000" w:themeColor="text1"/>
                <w:sz w:val="21"/>
                <w:szCs w:val="21"/>
                <w:highlight w:val="none"/>
                <w:lang w:val="en-US" w:eastAsia="zh-CN"/>
              </w:rPr>
              <w:t xml:space="preserve">有</w:t>
            </w:r>
            <w:r>
              <w:rPr>
                <w:rFonts w:hint="eastAsia" w:ascii="宋体" w:hAnsi="宋体" w:cs="宋体"/>
                <w:b w:val="0"/>
                <w:bCs w:val="0"/>
                <w:color w:val="000000" w:themeColor="text1"/>
                <w:sz w:val="21"/>
                <w:szCs w:val="21"/>
                <w:highlight w:val="none"/>
              </w:rPr>
              <w:t xml:space="preserve">中级及以上职称证书的</w:t>
            </w:r>
            <w:r>
              <w:rPr>
                <w:rFonts w:hint="eastAsia" w:ascii="宋体" w:hAnsi="宋体" w:cs="宋体"/>
                <w:b w:val="0"/>
                <w:bCs w:val="0"/>
                <w:color w:val="000000" w:themeColor="text1"/>
                <w:sz w:val="21"/>
                <w:szCs w:val="21"/>
                <w:highlight w:val="none"/>
                <w:lang w:eastAsia="zh-CN"/>
              </w:rPr>
              <w:t xml:space="preserve">，</w:t>
            </w:r>
            <w:r>
              <w:rPr>
                <w:rFonts w:hint="eastAsia" w:ascii="宋体" w:hAnsi="宋体" w:cs="宋体"/>
                <w:b w:val="0"/>
                <w:bCs w:val="0"/>
                <w:color w:val="000000" w:themeColor="text1"/>
                <w:sz w:val="21"/>
                <w:szCs w:val="21"/>
                <w:highlight w:val="none"/>
                <w:lang w:val="en-US" w:eastAsia="zh-CN"/>
              </w:rPr>
              <w:t xml:space="preserve">有</w:t>
            </w:r>
            <w:r>
              <w:rPr>
                <w:rFonts w:hint="eastAsia" w:ascii="宋体" w:hAnsi="宋体" w:cs="宋体"/>
                <w:b w:val="0"/>
                <w:bCs w:val="0"/>
                <w:color w:val="000000" w:themeColor="text1"/>
                <w:sz w:val="21"/>
                <w:szCs w:val="21"/>
                <w:highlight w:val="none"/>
              </w:rPr>
              <w:t xml:space="preserve">一个得</w:t>
            </w:r>
            <w:r>
              <w:rPr>
                <w:rFonts w:hint="eastAsia" w:ascii="宋体" w:hAnsi="宋体" w:cs="宋体"/>
                <w:b w:val="0"/>
                <w:bCs w:val="0"/>
                <w:color w:val="000000" w:themeColor="text1"/>
                <w:sz w:val="21"/>
                <w:szCs w:val="21"/>
                <w:highlight w:val="none"/>
                <w:lang w:val="en-US" w:eastAsia="zh-CN"/>
              </w:rPr>
              <w:t xml:space="preserve">2</w:t>
            </w:r>
            <w:r>
              <w:rPr>
                <w:rFonts w:hint="eastAsia" w:ascii="宋体" w:hAnsi="宋体" w:cs="宋体"/>
                <w:b w:val="0"/>
                <w:bCs w:val="0"/>
                <w:color w:val="000000" w:themeColor="text1"/>
                <w:sz w:val="21"/>
                <w:szCs w:val="21"/>
                <w:highlight w:val="none"/>
              </w:rPr>
              <w:t xml:space="preserve">分，最多得</w:t>
            </w: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cs="宋体"/>
                <w:b w:val="0"/>
                <w:bCs w:val="0"/>
                <w:color w:val="000000" w:themeColor="text1"/>
                <w:sz w:val="21"/>
                <w:szCs w:val="21"/>
                <w:highlight w:val="none"/>
              </w:rPr>
              <w:t xml:space="preserve">分</w:t>
            </w:r>
            <w:r>
              <w:rPr>
                <w:rFonts w:hint="eastAsia" w:ascii="宋体" w:hAnsi="宋体" w:cs="宋体"/>
                <w:b w:val="0"/>
                <w:bCs w:val="0"/>
                <w:color w:val="000000" w:themeColor="text1"/>
                <w:sz w:val="21"/>
                <w:szCs w:val="21"/>
                <w:highlight w:val="none"/>
              </w:rPr>
              <w:t xml:space="preserve">。</w:t>
            </w:r>
            <w:r>
              <w:rPr>
                <w:color w:val="000000" w:themeColor="text1"/>
              </w:rPr>
            </w:r>
          </w:p>
          <w:p>
            <w:pPr>
              <w:jc w:val="left"/>
              <w:keepLines w:val="0"/>
              <w:pageBreakBefore w:val="0"/>
              <w:spacing w:line="400" w:lineRule="exact"/>
              <w:widowControl w:val="off"/>
              <w:rPr>
                <w:rFonts w:hint="eastAsia" w:ascii="宋体" w:hAnsi="宋体" w:cs="宋体"/>
                <w:b w:val="0"/>
                <w:bCs w:val="0"/>
                <w:sz w:val="21"/>
                <w:szCs w:val="21"/>
                <w:highlight w:val="none"/>
              </w:rPr>
            </w:pP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cs="宋体"/>
                <w:b w:val="0"/>
                <w:bCs w:val="0"/>
                <w:color w:val="000000" w:themeColor="text1"/>
                <w:sz w:val="21"/>
                <w:szCs w:val="21"/>
                <w:highlight w:val="none"/>
              </w:rPr>
              <w:t xml:space="preserve">耗材承诺</w:t>
            </w:r>
            <w:r>
              <w:rPr>
                <w:rFonts w:hint="eastAsia" w:ascii="宋体" w:hAnsi="宋体" w:cs="宋体"/>
                <w:b w:val="0"/>
                <w:bCs w:val="0"/>
                <w:color w:val="000000" w:themeColor="text1"/>
                <w:sz w:val="21"/>
                <w:szCs w:val="21"/>
                <w:highlight w:val="none"/>
                <w:lang w:val="en-US" w:eastAsia="zh-CN"/>
              </w:rPr>
              <w:t xml:space="preserve">--</w:t>
            </w:r>
            <w:r>
              <w:rPr>
                <w:rFonts w:hint="eastAsia" w:ascii="宋体" w:hAnsi="宋体" w:cs="宋体"/>
                <w:b w:val="0"/>
                <w:bCs w:val="0"/>
                <w:color w:val="000000" w:themeColor="text1"/>
                <w:sz w:val="21"/>
                <w:szCs w:val="21"/>
                <w:highlight w:val="none"/>
              </w:rPr>
              <w:t xml:space="preserve">承诺彩色打印机耗材均使用原装产品，不得重复使用，普通黑白打印机使用优质一次性耗材（不使用劣质或充粉硒鼓）的得</w:t>
            </w:r>
            <w:r>
              <w:rPr>
                <w:rFonts w:hint="eastAsia" w:ascii="宋体" w:hAnsi="宋体" w:cs="宋体"/>
                <w:b w:val="0"/>
                <w:bCs w:val="0"/>
                <w:color w:val="000000" w:themeColor="text1"/>
                <w:sz w:val="21"/>
                <w:szCs w:val="21"/>
                <w:highlight w:val="none"/>
                <w:lang w:val="en-US" w:eastAsia="zh-CN"/>
              </w:rPr>
              <w:t xml:space="preserve">4</w:t>
            </w:r>
            <w:r>
              <w:rPr>
                <w:rFonts w:hint="eastAsia" w:ascii="宋体" w:hAnsi="宋体" w:cs="宋体"/>
                <w:b w:val="0"/>
                <w:bCs w:val="0"/>
                <w:color w:val="000000" w:themeColor="text1"/>
                <w:sz w:val="21"/>
                <w:szCs w:val="21"/>
                <w:highlight w:val="none"/>
              </w:rPr>
              <w:t xml:space="preserve">分</w:t>
            </w:r>
            <w:r>
              <w:rPr>
                <w:rFonts w:hint="eastAsia" w:ascii="宋体" w:hAnsi="宋体" w:cs="宋体"/>
                <w:b w:val="0"/>
                <w:bCs w:val="0"/>
                <w:color w:val="000000" w:themeColor="text1"/>
                <w:sz w:val="21"/>
                <w:szCs w:val="21"/>
                <w:highlight w:val="none"/>
              </w:rPr>
              <w:t xml:space="preserve">。提</w:t>
            </w:r>
            <w:r>
              <w:rPr>
                <w:rFonts w:hint="eastAsia" w:ascii="宋体" w:hAnsi="宋体" w:cs="宋体"/>
                <w:b w:val="0"/>
                <w:bCs w:val="0"/>
                <w:sz w:val="21"/>
                <w:szCs w:val="21"/>
                <w:highlight w:val="none"/>
              </w:rPr>
              <w:t xml:space="preserve">供承诺书加盖公章</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格式自拟）</w:t>
            </w:r>
            <w:r>
              <w:rPr>
                <w:rFonts w:hint="eastAsia" w:ascii="宋体" w:hAnsi="宋体" w:cs="宋体"/>
                <w:b w:val="0"/>
                <w:bCs w:val="0"/>
                <w:sz w:val="21"/>
                <w:szCs w:val="21"/>
                <w:highlight w:val="none"/>
              </w:rPr>
              <w:t xml:space="preserve">。</w:t>
            </w:r>
            <w:r/>
          </w:p>
          <w:p>
            <w:pPr>
              <w:jc w:val="left"/>
              <w:keepLines w:val="0"/>
              <w:pageBreakBefore w:val="0"/>
              <w:spacing w:line="400" w:lineRule="exact"/>
              <w:widowControl w:val="off"/>
              <w:rPr>
                <w:rFonts w:hint="eastAsia" w:ascii="宋体" w:hAnsi="宋体" w:eastAsia="宋体" w:cs="宋体"/>
                <w:b/>
                <w:bCs/>
                <w:sz w:val="21"/>
                <w:szCs w:val="21"/>
                <w:highlight w:val="yellow"/>
                <w:lang w:eastAsia="zh-CN"/>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注：提供相关证书扫描件及供应商为其缴纳</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社保机构出具的近</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个月</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不含磋商当月</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的任一个月</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缴费清单缴费证明复印件并加盖</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响应人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公章</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p>
        </w:tc>
        <w:tc>
          <w:tcPr>
            <w:tcBorders>
              <w:left w:val="single" w:color="auto" w:sz="4" w:space="0"/>
            </w:tcBorders>
            <w:tcW w:w="792" w:type="dxa"/>
            <w:vAlign w:val="center"/>
            <w:textDirection w:val="lrTb"/>
            <w:noWrap w:val="false"/>
          </w:tcPr>
          <w:p>
            <w:pPr>
              <w:jc w:val="right"/>
              <w:keepLines w:val="0"/>
              <w:keepNext/>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分</w:t>
            </w:r>
            <w:r/>
          </w:p>
        </w:tc>
      </w:tr>
      <w:tr>
        <w:trPr>
          <w:trHeight w:val="572"/>
        </w:trPr>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三</w:t>
            </w:r>
            <w:r/>
          </w:p>
        </w:tc>
        <w:tc>
          <w:tcPr>
            <w:gridSpan w:val="2"/>
            <w:tcW w:w="7204"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技术</w:t>
            </w:r>
            <w:r>
              <w:rPr>
                <w:rFonts w:hint="eastAsia" w:ascii="宋体" w:hAnsi="宋体" w:eastAsia="宋体" w:cs="宋体"/>
                <w:b/>
                <w:bCs w:val="0"/>
                <w:color w:val="auto"/>
                <w:sz w:val="21"/>
                <w:szCs w:val="21"/>
                <w:highlight w:val="none"/>
              </w:rPr>
              <w:t xml:space="preserve">部分</w:t>
            </w:r>
            <w:r/>
          </w:p>
        </w:tc>
        <w:tc>
          <w:tcPr>
            <w:tcW w:w="792" w:type="dxa"/>
            <w:vAlign w:val="center"/>
            <w:textDirection w:val="lrTb"/>
            <w:noWrap w:val="false"/>
          </w:tcPr>
          <w:p>
            <w:pPr>
              <w:jc w:val="center"/>
              <w:keepLines w:val="0"/>
              <w:keepNext/>
              <w:pageBreakBefore w:val="0"/>
              <w:spacing w:line="400" w:lineRule="exact"/>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40</w:t>
            </w:r>
            <w:r/>
          </w:p>
        </w:tc>
      </w:tr>
      <w:tr>
        <w:trPr>
          <w:trHeight w:val="2618"/>
        </w:trPr>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w:t>
            </w:r>
            <w:r/>
          </w:p>
        </w:tc>
        <w:tc>
          <w:tcPr>
            <w:tcW w:w="1536"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rPr>
            </w:pPr>
            <w:r>
              <w:rPr>
                <w:rFonts w:hint="eastAsia" w:ascii="宋体" w:hAnsi="宋体" w:cs="宋体"/>
                <w:b/>
                <w:sz w:val="21"/>
                <w:szCs w:val="21"/>
                <w:lang w:val="en-US" w:eastAsia="zh-CN"/>
              </w:rPr>
              <w:t xml:space="preserve">服务方案</w:t>
            </w:r>
            <w:r/>
          </w:p>
        </w:tc>
        <w:tc>
          <w:tcPr>
            <w:tcW w:w="5668" w:type="dxa"/>
            <w:vAlign w:val="center"/>
            <w:textDirection w:val="lrTb"/>
            <w:noWrap w:val="false"/>
          </w:tcPr>
          <w:p>
            <w:pPr>
              <w:jc w:val="left"/>
              <w:keepLines w:val="0"/>
              <w:pageBreakBefore w:val="0"/>
              <w:spacing w:line="400" w:lineRule="exact"/>
              <w:widowControl w:val="off"/>
              <w:tabs>
                <w:tab w:val="left" w:pos="2850" w:leader="none"/>
                <w:tab w:val="center" w:pos="4153" w:leader="none"/>
              </w:tabs>
              <w:rPr>
                <w:rFonts w:hint="eastAsia" w:ascii="宋体" w:hAnsi="宋体" w:cs="宋体"/>
                <w:bCs/>
                <w:sz w:val="21"/>
                <w:szCs w:val="21"/>
                <w:lang w:val="en-US" w:eastAsia="zh-CN"/>
              </w:rPr>
            </w:pPr>
            <w:r>
              <w:rPr>
                <w:rFonts w:hint="eastAsia" w:ascii="宋体" w:hAnsi="宋体" w:cs="宋体"/>
                <w:bCs/>
                <w:sz w:val="21"/>
                <w:szCs w:val="21"/>
                <w:lang w:val="en-US" w:eastAsia="zh-CN"/>
              </w:rPr>
              <w:t xml:space="preserve">根据供应商提供的维保服务方案进行打分，包括但不限于：人员配备、技术支撑、备品备库供应支撑、服务响应时间等；</w:t>
            </w:r>
            <w:r/>
          </w:p>
          <w:p>
            <w:pPr>
              <w:jc w:val="left"/>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rPr>
            </w:pPr>
            <w:r>
              <w:rPr>
                <w:rFonts w:hint="eastAsia" w:ascii="宋体" w:hAnsi="宋体" w:cs="宋体"/>
                <w:bCs/>
                <w:sz w:val="21"/>
                <w:szCs w:val="21"/>
                <w:lang w:val="en-US" w:eastAsia="zh-CN"/>
              </w:rPr>
              <w:t xml:space="preserve">方案全面具体、可操作性强，贴合采购人实际、优于磋商文件要求的得8分；方案稍有欠缺但基本满足采购人需求、符合磋商文件要求的得5分；方案有明显缺陷，操作性不强的得3分；不符合磋商文件要求或不提供方案的不得分。</w:t>
            </w:r>
            <w:r/>
          </w:p>
        </w:tc>
        <w:tc>
          <w:tcPr>
            <w:tcW w:w="792"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rPr>
            </w:pPr>
            <w:r>
              <w:rPr>
                <w:rFonts w:hint="eastAsia" w:ascii="宋体" w:hAnsi="宋体" w:cs="宋体"/>
                <w:b/>
                <w:sz w:val="21"/>
                <w:szCs w:val="21"/>
                <w:lang w:val="en-US" w:eastAsia="zh-CN"/>
              </w:rPr>
              <w:t xml:space="preserve">8</w:t>
            </w:r>
            <w:r>
              <w:rPr>
                <w:rFonts w:hint="eastAsia" w:ascii="宋体" w:hAnsi="宋体" w:cs="宋体"/>
                <w:b/>
                <w:sz w:val="21"/>
                <w:szCs w:val="21"/>
              </w:rPr>
              <w:t xml:space="preserve">分</w:t>
            </w:r>
            <w:r/>
          </w:p>
        </w:tc>
      </w:tr>
      <w:tr>
        <w:trPr>
          <w:trHeight w:val="0"/>
        </w:trPr>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536"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rPr>
            </w:pPr>
            <w:r>
              <w:rPr>
                <w:rFonts w:hint="eastAsia" w:ascii="宋体" w:hAnsi="宋体" w:cs="宋体"/>
                <w:b/>
                <w:sz w:val="21"/>
                <w:szCs w:val="21"/>
              </w:rPr>
              <w:t xml:space="preserve">项目质量管理</w:t>
            </w:r>
            <w:r/>
          </w:p>
        </w:tc>
        <w:tc>
          <w:tcPr>
            <w:tcW w:w="5668" w:type="dxa"/>
            <w:vAlign w:val="center"/>
            <w:textDirection w:val="lrTb"/>
            <w:noWrap w:val="false"/>
          </w:tcPr>
          <w:p>
            <w:pPr>
              <w:jc w:val="left"/>
              <w:keepLines w:val="0"/>
              <w:pageBreakBefore w:val="0"/>
              <w:spacing w:line="400" w:lineRule="exact"/>
              <w:widowControl w:val="off"/>
              <w:tabs>
                <w:tab w:val="left" w:pos="2850" w:leader="none"/>
                <w:tab w:val="center" w:pos="4153" w:leader="none"/>
              </w:tabs>
              <w:rPr>
                <w:rStyle w:val="966"/>
                <w:rFonts w:hint="eastAsia" w:ascii="宋体" w:hAnsi="宋体" w:cs="宋体"/>
                <w:sz w:val="21"/>
                <w:szCs w:val="21"/>
              </w:rPr>
            </w:pPr>
            <w:r>
              <w:rPr>
                <w:rStyle w:val="966"/>
                <w:rFonts w:hint="eastAsia" w:ascii="宋体" w:hAnsi="宋体" w:cs="宋体"/>
                <w:sz w:val="21"/>
                <w:szCs w:val="21"/>
              </w:rPr>
              <w:t xml:space="preserve">对</w:t>
            </w:r>
            <w:r>
              <w:rPr>
                <w:rStyle w:val="966"/>
                <w:rFonts w:hint="eastAsia" w:ascii="宋体" w:hAnsi="宋体" w:cs="宋体"/>
                <w:sz w:val="21"/>
                <w:szCs w:val="21"/>
                <w:lang w:eastAsia="zh-CN"/>
              </w:rPr>
              <w:t xml:space="preserve">供应商</w:t>
            </w:r>
            <w:r>
              <w:rPr>
                <w:rStyle w:val="966"/>
                <w:rFonts w:hint="eastAsia" w:ascii="宋体" w:hAnsi="宋体" w:cs="宋体"/>
                <w:sz w:val="21"/>
                <w:szCs w:val="21"/>
              </w:rPr>
              <w:t xml:space="preserve">的管理措施和服务流程设计的合理性、科学性，以及工作流程管理的完备性进行综合评定。包括但不限于：出入库管理、设备维修、保养的质量控制流程，工程师行为规范及相关管理制度，配件库的相关管理制度。</w:t>
            </w:r>
            <w:r/>
          </w:p>
          <w:p>
            <w:pPr>
              <w:jc w:val="left"/>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rPr>
            </w:pPr>
            <w:r>
              <w:rPr>
                <w:rStyle w:val="966"/>
                <w:rFonts w:hint="eastAsia" w:ascii="宋体" w:hAnsi="宋体" w:cs="宋体"/>
                <w:sz w:val="21"/>
                <w:szCs w:val="21"/>
              </w:rPr>
              <w:t xml:space="preserve">方案全面具体、可操作性强、贴合采购人实际、优于</w:t>
            </w:r>
            <w:r>
              <w:rPr>
                <w:rStyle w:val="966"/>
                <w:rFonts w:hint="eastAsia" w:ascii="宋体" w:hAnsi="宋体" w:cs="宋体"/>
                <w:sz w:val="21"/>
                <w:szCs w:val="21"/>
                <w:lang w:eastAsia="zh-CN"/>
              </w:rPr>
              <w:t xml:space="preserve">磋商文件</w:t>
            </w:r>
            <w:r>
              <w:rPr>
                <w:rStyle w:val="966"/>
                <w:rFonts w:hint="eastAsia" w:ascii="宋体" w:hAnsi="宋体" w:cs="宋体"/>
                <w:sz w:val="21"/>
                <w:szCs w:val="21"/>
              </w:rPr>
              <w:t xml:space="preserve">要求的得</w:t>
            </w:r>
            <w:r>
              <w:rPr>
                <w:rStyle w:val="966"/>
                <w:rFonts w:hint="eastAsia" w:ascii="宋体" w:hAnsi="宋体" w:cs="宋体"/>
                <w:sz w:val="21"/>
                <w:szCs w:val="21"/>
                <w:lang w:val="en-US" w:eastAsia="zh-CN"/>
              </w:rPr>
              <w:t xml:space="preserve">8</w:t>
            </w:r>
            <w:r>
              <w:rPr>
                <w:rStyle w:val="966"/>
                <w:rFonts w:hint="eastAsia" w:ascii="宋体" w:hAnsi="宋体" w:cs="宋体"/>
                <w:sz w:val="21"/>
                <w:szCs w:val="21"/>
              </w:rPr>
              <w:t xml:space="preserve">分；方案稍有欠缺但基本满足</w:t>
            </w:r>
            <w:r>
              <w:rPr>
                <w:rStyle w:val="966"/>
                <w:rFonts w:hint="eastAsia" w:ascii="宋体" w:hAnsi="宋体" w:cs="宋体"/>
                <w:sz w:val="21"/>
                <w:szCs w:val="21"/>
                <w:lang w:eastAsia="zh-CN"/>
              </w:rPr>
              <w:t xml:space="preserve">采购人</w:t>
            </w:r>
            <w:r>
              <w:rPr>
                <w:rStyle w:val="966"/>
                <w:rFonts w:hint="eastAsia" w:ascii="宋体" w:hAnsi="宋体" w:cs="宋体"/>
                <w:sz w:val="21"/>
                <w:szCs w:val="21"/>
              </w:rPr>
              <w:t xml:space="preserve">需求、符合</w:t>
            </w:r>
            <w:r>
              <w:rPr>
                <w:rStyle w:val="966"/>
                <w:rFonts w:hint="eastAsia" w:ascii="宋体" w:hAnsi="宋体" w:cs="宋体"/>
                <w:sz w:val="21"/>
                <w:szCs w:val="21"/>
                <w:lang w:eastAsia="zh-CN"/>
              </w:rPr>
              <w:t xml:space="preserve">磋商文件</w:t>
            </w:r>
            <w:r>
              <w:rPr>
                <w:rStyle w:val="966"/>
                <w:rFonts w:hint="eastAsia" w:ascii="宋体" w:hAnsi="宋体" w:cs="宋体"/>
                <w:sz w:val="21"/>
                <w:szCs w:val="21"/>
              </w:rPr>
              <w:t xml:space="preserve">要求的得5分；方案有明显缺陷，操作性不强的得</w:t>
            </w:r>
            <w:r>
              <w:rPr>
                <w:rStyle w:val="966"/>
                <w:rFonts w:hint="eastAsia" w:ascii="宋体" w:hAnsi="宋体" w:cs="宋体"/>
                <w:sz w:val="21"/>
                <w:szCs w:val="21"/>
                <w:lang w:val="en-US" w:eastAsia="zh-CN"/>
              </w:rPr>
              <w:t xml:space="preserve">3</w:t>
            </w:r>
            <w:r>
              <w:rPr>
                <w:rStyle w:val="966"/>
                <w:rFonts w:hint="eastAsia" w:ascii="宋体" w:hAnsi="宋体" w:cs="宋体"/>
                <w:sz w:val="21"/>
                <w:szCs w:val="21"/>
              </w:rPr>
              <w:t xml:space="preserve">分；不符合</w:t>
            </w:r>
            <w:r>
              <w:rPr>
                <w:rStyle w:val="966"/>
                <w:rFonts w:hint="eastAsia" w:ascii="宋体" w:hAnsi="宋体" w:cs="宋体"/>
                <w:sz w:val="21"/>
                <w:szCs w:val="21"/>
                <w:lang w:eastAsia="zh-CN"/>
              </w:rPr>
              <w:t xml:space="preserve">磋商文件</w:t>
            </w:r>
            <w:r>
              <w:rPr>
                <w:rStyle w:val="966"/>
                <w:rFonts w:hint="eastAsia" w:ascii="宋体" w:hAnsi="宋体" w:cs="宋体"/>
                <w:sz w:val="21"/>
                <w:szCs w:val="21"/>
              </w:rPr>
              <w:t xml:space="preserve">要求或不提供方案的不得分。</w:t>
            </w:r>
            <w:r/>
          </w:p>
        </w:tc>
        <w:tc>
          <w:tcPr>
            <w:tcW w:w="792"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rPr>
            </w:pPr>
            <w:r>
              <w:rPr>
                <w:rFonts w:hint="eastAsia" w:ascii="宋体" w:hAnsi="宋体" w:cs="宋体"/>
                <w:b/>
                <w:sz w:val="21"/>
                <w:szCs w:val="21"/>
                <w:lang w:val="en-US" w:eastAsia="zh-CN"/>
              </w:rPr>
              <w:t xml:space="preserve">8</w:t>
            </w:r>
            <w:r>
              <w:rPr>
                <w:rFonts w:hint="eastAsia" w:ascii="宋体" w:hAnsi="宋体" w:cs="宋体"/>
                <w:b/>
                <w:sz w:val="21"/>
                <w:szCs w:val="21"/>
              </w:rPr>
              <w:t xml:space="preserve">分</w:t>
            </w:r>
            <w:r/>
          </w:p>
        </w:tc>
      </w:tr>
      <w:tr>
        <w:trPr>
          <w:trHeight w:val="0"/>
        </w:trPr>
        <w:tc>
          <w:tcPr>
            <w:tcW w:w="792" w:type="dxa"/>
            <w:vAlign w:val="center"/>
            <w:textDirection w:val="lrTb"/>
            <w:noWrap w:val="false"/>
          </w:tcPr>
          <w:p>
            <w:pPr>
              <w:jc w:val="center"/>
              <w:keepLines w:val="0"/>
              <w:keepNext/>
              <w:pageBreakBefore w:val="0"/>
              <w:spacing w:line="40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w:t>
            </w:r>
            <w:r/>
          </w:p>
        </w:tc>
        <w:tc>
          <w:tcPr>
            <w:tcW w:w="1536"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eastAsia="宋体" w:cs="宋体"/>
                <w:bCs/>
                <w:color w:val="auto"/>
                <w:sz w:val="21"/>
                <w:szCs w:val="21"/>
                <w:highlight w:val="none"/>
              </w:rPr>
            </w:pPr>
            <w:r>
              <w:rPr>
                <w:rFonts w:hint="eastAsia" w:ascii="宋体" w:hAnsi="宋体" w:cs="宋体"/>
                <w:b/>
                <w:color w:val="auto"/>
                <w:sz w:val="21"/>
                <w:szCs w:val="21"/>
              </w:rPr>
              <w:t xml:space="preserve">网络管理方案</w:t>
            </w:r>
            <w:r/>
          </w:p>
        </w:tc>
        <w:tc>
          <w:tcPr>
            <w:tcW w:w="5668" w:type="dxa"/>
            <w:vAlign w:val="center"/>
            <w:textDirection w:val="lrTb"/>
            <w:noWrap w:val="false"/>
          </w:tcPr>
          <w:p>
            <w:pPr>
              <w:jc w:val="left"/>
              <w:keepLines w:val="0"/>
              <w:pageBreakBefore w:val="0"/>
              <w:spacing w:line="400" w:lineRule="exact"/>
              <w:widowControl w:val="off"/>
              <w:tabs>
                <w:tab w:val="left" w:pos="2850" w:leader="none"/>
                <w:tab w:val="center" w:pos="4153" w:leader="none"/>
              </w:tabs>
              <w:rPr>
                <w:rFonts w:hint="eastAsia" w:ascii="宋体" w:hAnsi="宋体" w:eastAsia="宋体" w:cs="宋体"/>
                <w:b/>
                <w:bCs w:val="0"/>
                <w:color w:val="auto"/>
                <w:sz w:val="21"/>
                <w:szCs w:val="21"/>
                <w:highlight w:val="none"/>
                <w:lang w:val="en-US" w:eastAsia="zh-CN" w:bidi="ar"/>
              </w:rPr>
            </w:pPr>
            <w:r>
              <w:rPr>
                <w:rStyle w:val="966"/>
                <w:rFonts w:hint="eastAsia" w:ascii="宋体" w:hAnsi="宋体" w:cs="宋体"/>
                <w:color w:val="auto"/>
                <w:sz w:val="21"/>
                <w:szCs w:val="21"/>
              </w:rPr>
              <w:t xml:space="preserve">根据</w:t>
            </w:r>
            <w:r>
              <w:rPr>
                <w:rStyle w:val="966"/>
                <w:rFonts w:hint="eastAsia" w:ascii="宋体" w:hAnsi="宋体" w:cs="宋体"/>
                <w:color w:val="auto"/>
                <w:sz w:val="21"/>
                <w:szCs w:val="21"/>
                <w:lang w:eastAsia="zh-CN"/>
              </w:rPr>
              <w:t xml:space="preserve">供应商</w:t>
            </w:r>
            <w:r>
              <w:rPr>
                <w:rStyle w:val="966"/>
                <w:rFonts w:hint="eastAsia" w:ascii="宋体" w:hAnsi="宋体" w:cs="宋体"/>
                <w:color w:val="auto"/>
                <w:sz w:val="21"/>
                <w:szCs w:val="21"/>
              </w:rPr>
              <w:t xml:space="preserve">网络</w:t>
            </w:r>
            <w:r>
              <w:rPr>
                <w:rStyle w:val="966"/>
                <w:rFonts w:hint="eastAsia" w:ascii="宋体" w:hAnsi="宋体" w:cs="宋体"/>
                <w:color w:val="auto"/>
                <w:sz w:val="21"/>
                <w:szCs w:val="21"/>
                <w:lang w:val="en-US" w:eastAsia="zh-CN"/>
              </w:rPr>
              <w:t xml:space="preserve">管理</w:t>
            </w:r>
            <w:r>
              <w:rPr>
                <w:rStyle w:val="966"/>
                <w:rFonts w:hint="eastAsia" w:ascii="宋体" w:hAnsi="宋体" w:cs="宋体"/>
                <w:color w:val="auto"/>
                <w:sz w:val="21"/>
                <w:szCs w:val="21"/>
              </w:rPr>
              <w:t xml:space="preserve">保障方案综合打分，包括但不限于：网络</w:t>
            </w:r>
            <w:r>
              <w:rPr>
                <w:rStyle w:val="966"/>
                <w:rFonts w:hint="eastAsia" w:ascii="宋体" w:hAnsi="宋体" w:cs="宋体"/>
                <w:color w:val="auto"/>
                <w:sz w:val="21"/>
                <w:szCs w:val="21"/>
                <w:lang w:val="en-US" w:eastAsia="zh-CN"/>
              </w:rPr>
              <w:t xml:space="preserve">管理</w:t>
            </w:r>
            <w:r>
              <w:rPr>
                <w:rStyle w:val="966"/>
                <w:rFonts w:hint="eastAsia" w:ascii="宋体" w:hAnsi="宋体" w:cs="宋体"/>
                <w:color w:val="auto"/>
                <w:sz w:val="21"/>
                <w:szCs w:val="21"/>
              </w:rPr>
              <w:t xml:space="preserve">方案、保密制度等；方案全面具体、可操作性强、贴合采购人实际、优于</w:t>
            </w:r>
            <w:r>
              <w:rPr>
                <w:rStyle w:val="966"/>
                <w:rFonts w:hint="eastAsia" w:ascii="宋体" w:hAnsi="宋体" w:cs="宋体"/>
                <w:color w:val="auto"/>
                <w:sz w:val="21"/>
                <w:szCs w:val="21"/>
                <w:lang w:eastAsia="zh-CN"/>
              </w:rPr>
              <w:t xml:space="preserve">磋商文件</w:t>
            </w:r>
            <w:r>
              <w:rPr>
                <w:rStyle w:val="966"/>
                <w:rFonts w:hint="eastAsia" w:ascii="宋体" w:hAnsi="宋体" w:cs="宋体"/>
                <w:color w:val="auto"/>
                <w:sz w:val="21"/>
                <w:szCs w:val="21"/>
              </w:rPr>
              <w:t xml:space="preserve">要求的得</w:t>
            </w:r>
            <w:r>
              <w:rPr>
                <w:rStyle w:val="966"/>
                <w:rFonts w:hint="eastAsia" w:ascii="宋体" w:hAnsi="宋体" w:cs="宋体"/>
                <w:color w:val="auto"/>
                <w:sz w:val="21"/>
                <w:szCs w:val="21"/>
                <w:lang w:val="en-US" w:eastAsia="zh-CN"/>
              </w:rPr>
              <w:t xml:space="preserve">8</w:t>
            </w:r>
            <w:r>
              <w:rPr>
                <w:rStyle w:val="966"/>
                <w:rFonts w:hint="eastAsia" w:ascii="宋体" w:hAnsi="宋体" w:cs="宋体"/>
                <w:color w:val="auto"/>
                <w:sz w:val="21"/>
                <w:szCs w:val="21"/>
              </w:rPr>
              <w:t xml:space="preserve">分；方案稍有欠缺但基本满足</w:t>
            </w:r>
            <w:r>
              <w:rPr>
                <w:rStyle w:val="966"/>
                <w:rFonts w:hint="eastAsia" w:ascii="宋体" w:hAnsi="宋体" w:cs="宋体"/>
                <w:color w:val="auto"/>
                <w:sz w:val="21"/>
                <w:szCs w:val="21"/>
                <w:lang w:eastAsia="zh-CN"/>
              </w:rPr>
              <w:t xml:space="preserve">采购人</w:t>
            </w:r>
            <w:r>
              <w:rPr>
                <w:rStyle w:val="966"/>
                <w:rFonts w:hint="eastAsia" w:ascii="宋体" w:hAnsi="宋体" w:cs="宋体"/>
                <w:color w:val="auto"/>
                <w:sz w:val="21"/>
                <w:szCs w:val="21"/>
              </w:rPr>
              <w:t xml:space="preserve">需求、符合</w:t>
            </w:r>
            <w:r>
              <w:rPr>
                <w:rStyle w:val="966"/>
                <w:rFonts w:hint="eastAsia" w:ascii="宋体" w:hAnsi="宋体" w:cs="宋体"/>
                <w:color w:val="auto"/>
                <w:sz w:val="21"/>
                <w:szCs w:val="21"/>
                <w:lang w:eastAsia="zh-CN"/>
              </w:rPr>
              <w:t xml:space="preserve">磋商文件</w:t>
            </w:r>
            <w:r>
              <w:rPr>
                <w:rStyle w:val="966"/>
                <w:rFonts w:hint="eastAsia" w:ascii="宋体" w:hAnsi="宋体" w:cs="宋体"/>
                <w:color w:val="auto"/>
                <w:sz w:val="21"/>
                <w:szCs w:val="21"/>
              </w:rPr>
              <w:t xml:space="preserve">要求的得</w:t>
            </w:r>
            <w:r>
              <w:rPr>
                <w:rStyle w:val="966"/>
                <w:rFonts w:hint="eastAsia" w:ascii="宋体" w:hAnsi="宋体" w:cs="宋体"/>
                <w:color w:val="auto"/>
                <w:sz w:val="21"/>
                <w:szCs w:val="21"/>
                <w:lang w:val="en-US" w:eastAsia="zh-CN"/>
              </w:rPr>
              <w:t xml:space="preserve">5</w:t>
            </w:r>
            <w:r>
              <w:rPr>
                <w:rStyle w:val="966"/>
                <w:rFonts w:hint="eastAsia" w:ascii="宋体" w:hAnsi="宋体" w:cs="宋体"/>
                <w:color w:val="auto"/>
                <w:sz w:val="21"/>
                <w:szCs w:val="21"/>
              </w:rPr>
              <w:t xml:space="preserve">分；方案有明显缺陷，操作性不强的得</w:t>
            </w:r>
            <w:r>
              <w:rPr>
                <w:rStyle w:val="966"/>
                <w:rFonts w:hint="eastAsia" w:ascii="宋体" w:hAnsi="宋体" w:cs="宋体"/>
                <w:color w:val="auto"/>
                <w:sz w:val="21"/>
                <w:szCs w:val="21"/>
                <w:lang w:val="en-US" w:eastAsia="zh-CN"/>
              </w:rPr>
              <w:t xml:space="preserve">3</w:t>
            </w:r>
            <w:r>
              <w:rPr>
                <w:rStyle w:val="966"/>
                <w:rFonts w:hint="eastAsia" w:ascii="宋体" w:hAnsi="宋体" w:cs="宋体"/>
                <w:color w:val="auto"/>
                <w:sz w:val="21"/>
                <w:szCs w:val="21"/>
              </w:rPr>
              <w:t xml:space="preserve">分；不符合</w:t>
            </w:r>
            <w:r>
              <w:rPr>
                <w:rStyle w:val="966"/>
                <w:rFonts w:hint="eastAsia" w:ascii="宋体" w:hAnsi="宋体" w:cs="宋体"/>
                <w:color w:val="auto"/>
                <w:sz w:val="21"/>
                <w:szCs w:val="21"/>
                <w:lang w:eastAsia="zh-CN"/>
              </w:rPr>
              <w:t xml:space="preserve">磋商文件</w:t>
            </w:r>
            <w:r>
              <w:rPr>
                <w:rStyle w:val="966"/>
                <w:rFonts w:hint="eastAsia" w:ascii="宋体" w:hAnsi="宋体" w:cs="宋体"/>
                <w:color w:val="auto"/>
                <w:sz w:val="21"/>
                <w:szCs w:val="21"/>
              </w:rPr>
              <w:t xml:space="preserve">要求或不提供方案的不得分。</w:t>
            </w:r>
            <w:r/>
          </w:p>
        </w:tc>
        <w:tc>
          <w:tcPr>
            <w:tcW w:w="792"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eastAsia="宋体" w:cs="宋体"/>
                <w:color w:val="auto"/>
                <w:sz w:val="21"/>
                <w:szCs w:val="21"/>
                <w:highlight w:val="none"/>
                <w:lang w:val="en-US" w:eastAsia="zh-CN"/>
              </w:rPr>
            </w:pPr>
            <w:r>
              <w:rPr>
                <w:rFonts w:hint="eastAsia" w:ascii="宋体" w:hAnsi="宋体" w:cs="宋体"/>
                <w:b/>
                <w:color w:val="auto"/>
                <w:sz w:val="21"/>
                <w:szCs w:val="21"/>
                <w:lang w:val="en-US" w:eastAsia="zh-CN"/>
              </w:rPr>
              <w:t xml:space="preserve">8</w:t>
            </w:r>
            <w:r>
              <w:rPr>
                <w:rFonts w:hint="eastAsia" w:ascii="宋体" w:hAnsi="宋体" w:cs="宋体"/>
                <w:b/>
                <w:color w:val="auto"/>
                <w:sz w:val="21"/>
                <w:szCs w:val="21"/>
              </w:rPr>
              <w:t xml:space="preserve">分</w:t>
            </w:r>
            <w:r/>
          </w:p>
        </w:tc>
      </w:tr>
      <w:tr>
        <w:trPr>
          <w:trHeight w:val="0"/>
        </w:trPr>
        <w:tc>
          <w:tcPr>
            <w:tcW w:w="792" w:type="dxa"/>
            <w:vAlign w:val="center"/>
            <w:textDirection w:val="lrTb"/>
            <w:noWrap w:val="false"/>
          </w:tcPr>
          <w:p>
            <w:pPr>
              <w:jc w:val="center"/>
              <w:keepLines w:val="0"/>
              <w:keepNext/>
              <w:pageBreakBefore w:val="0"/>
              <w:spacing w:line="400" w:lineRule="exact"/>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4</w:t>
            </w:r>
            <w:r/>
          </w:p>
        </w:tc>
        <w:tc>
          <w:tcPr>
            <w:tcW w:w="1536"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cs="宋体"/>
                <w:b/>
                <w:color w:val="auto"/>
                <w:sz w:val="21"/>
                <w:szCs w:val="21"/>
              </w:rPr>
            </w:pPr>
            <w:r>
              <w:rPr>
                <w:rFonts w:hint="eastAsia" w:ascii="宋体" w:hAnsi="宋体" w:cs="宋体"/>
                <w:b/>
                <w:sz w:val="21"/>
                <w:szCs w:val="21"/>
              </w:rPr>
              <w:t xml:space="preserve">巡检服务方案</w:t>
            </w:r>
            <w:r/>
          </w:p>
        </w:tc>
        <w:tc>
          <w:tcPr>
            <w:tcW w:w="5668" w:type="dxa"/>
            <w:vAlign w:val="center"/>
            <w:textDirection w:val="lrTb"/>
            <w:noWrap w:val="false"/>
          </w:tcPr>
          <w:p>
            <w:pPr>
              <w:jc w:val="left"/>
              <w:keepLines w:val="0"/>
              <w:pageBreakBefore w:val="0"/>
              <w:spacing w:line="400" w:lineRule="exact"/>
              <w:widowControl w:val="off"/>
              <w:tabs>
                <w:tab w:val="left" w:pos="2850" w:leader="none"/>
                <w:tab w:val="center" w:pos="4153" w:leader="none"/>
              </w:tabs>
              <w:rPr>
                <w:rFonts w:hint="eastAsia" w:ascii="宋体" w:hAnsi="宋体"/>
                <w:sz w:val="21"/>
                <w:szCs w:val="21"/>
              </w:rPr>
            </w:pPr>
            <w:r>
              <w:rPr>
                <w:rFonts w:hint="eastAsia" w:ascii="宋体" w:hAnsi="宋体"/>
                <w:sz w:val="21"/>
                <w:szCs w:val="21"/>
                <w:lang w:eastAsia="zh-CN"/>
              </w:rPr>
              <w:t xml:space="preserve">供应商</w:t>
            </w:r>
            <w:r>
              <w:rPr>
                <w:rFonts w:hint="eastAsia" w:ascii="宋体" w:hAnsi="宋体"/>
                <w:sz w:val="21"/>
                <w:szCs w:val="21"/>
              </w:rPr>
              <w:t xml:space="preserve">提供巡检服务方案。方案至少包含完善的巡检制度（定期巡检、非定期巡检等）、巡检日志、归档管理制度等内容：</w:t>
            </w:r>
            <w:r/>
          </w:p>
          <w:p>
            <w:pPr>
              <w:jc w:val="left"/>
              <w:keepLines w:val="0"/>
              <w:pageBreakBefore w:val="0"/>
              <w:spacing w:line="400" w:lineRule="exact"/>
              <w:widowControl w:val="off"/>
              <w:tabs>
                <w:tab w:val="left" w:pos="2850" w:leader="none"/>
                <w:tab w:val="center" w:pos="4153" w:leader="none"/>
              </w:tabs>
              <w:rPr>
                <w:rFonts w:hint="eastAsia" w:ascii="宋体" w:hAnsi="宋体"/>
                <w:sz w:val="21"/>
                <w:szCs w:val="21"/>
              </w:rPr>
            </w:pPr>
            <w:r>
              <w:rPr>
                <w:rFonts w:hint="eastAsia" w:ascii="宋体" w:hAnsi="宋体"/>
                <w:sz w:val="21"/>
                <w:szCs w:val="21"/>
              </w:rPr>
              <w:t xml:space="preserve">方案详细完整，合理可行，针对性强的得</w:t>
            </w:r>
            <w:r>
              <w:rPr>
                <w:rFonts w:hint="eastAsia" w:ascii="宋体" w:hAnsi="宋体"/>
                <w:sz w:val="21"/>
                <w:szCs w:val="21"/>
                <w:lang w:val="en-US" w:eastAsia="zh-CN"/>
              </w:rPr>
              <w:t xml:space="preserve">8</w:t>
            </w:r>
            <w:r>
              <w:rPr>
                <w:rFonts w:hint="eastAsia" w:ascii="宋体" w:hAnsi="宋体"/>
                <w:sz w:val="21"/>
                <w:szCs w:val="21"/>
              </w:rPr>
              <w:t xml:space="preserve">分；</w:t>
            </w:r>
            <w:r/>
          </w:p>
          <w:p>
            <w:pPr>
              <w:jc w:val="left"/>
              <w:keepLines w:val="0"/>
              <w:pageBreakBefore w:val="0"/>
              <w:spacing w:line="400" w:lineRule="exact"/>
              <w:widowControl w:val="off"/>
              <w:tabs>
                <w:tab w:val="left" w:pos="2850" w:leader="none"/>
                <w:tab w:val="center" w:pos="4153" w:leader="none"/>
              </w:tabs>
              <w:rPr>
                <w:rFonts w:hint="eastAsia" w:ascii="宋体" w:hAnsi="宋体"/>
                <w:sz w:val="21"/>
                <w:szCs w:val="21"/>
              </w:rPr>
            </w:pPr>
            <w:r>
              <w:rPr>
                <w:rFonts w:hint="eastAsia" w:ascii="宋体" w:hAnsi="宋体"/>
                <w:sz w:val="21"/>
                <w:szCs w:val="21"/>
              </w:rPr>
              <w:t xml:space="preserve">方案较详细完整，较合理可行，针对性较强的得</w:t>
            </w:r>
            <w:r>
              <w:rPr>
                <w:rFonts w:hint="eastAsia" w:ascii="宋体" w:hAnsi="宋体"/>
                <w:sz w:val="21"/>
                <w:szCs w:val="21"/>
                <w:lang w:val="en-US" w:eastAsia="zh-CN"/>
              </w:rPr>
              <w:t xml:space="preserve">5</w:t>
            </w:r>
            <w:r>
              <w:rPr>
                <w:rFonts w:hint="eastAsia" w:ascii="宋体" w:hAnsi="宋体"/>
                <w:sz w:val="21"/>
                <w:szCs w:val="21"/>
              </w:rPr>
              <w:t xml:space="preserve">分；</w:t>
            </w:r>
            <w:r/>
          </w:p>
          <w:p>
            <w:pPr>
              <w:jc w:val="left"/>
              <w:keepLines w:val="0"/>
              <w:pageBreakBefore w:val="0"/>
              <w:spacing w:line="400" w:lineRule="exact"/>
              <w:widowControl w:val="off"/>
              <w:tabs>
                <w:tab w:val="left" w:pos="2850" w:leader="none"/>
                <w:tab w:val="center" w:pos="4153" w:leader="none"/>
              </w:tabs>
              <w:rPr>
                <w:rFonts w:hint="eastAsia" w:ascii="宋体" w:hAnsi="宋体"/>
                <w:sz w:val="21"/>
                <w:szCs w:val="21"/>
              </w:rPr>
            </w:pPr>
            <w:r>
              <w:rPr>
                <w:rFonts w:hint="eastAsia" w:ascii="宋体" w:hAnsi="宋体"/>
                <w:sz w:val="21"/>
                <w:szCs w:val="21"/>
              </w:rPr>
              <w:t xml:space="preserve">方案内容粗糙，针对性不强的得</w:t>
            </w:r>
            <w:r>
              <w:rPr>
                <w:rFonts w:hint="eastAsia" w:ascii="宋体" w:hAnsi="宋体"/>
                <w:sz w:val="21"/>
                <w:szCs w:val="21"/>
                <w:lang w:val="en-US" w:eastAsia="zh-CN"/>
              </w:rPr>
              <w:t xml:space="preserve">3</w:t>
            </w:r>
            <w:r>
              <w:rPr>
                <w:rFonts w:hint="eastAsia" w:ascii="宋体" w:hAnsi="宋体"/>
                <w:sz w:val="21"/>
                <w:szCs w:val="21"/>
              </w:rPr>
              <w:t xml:space="preserve">分；</w:t>
            </w:r>
            <w:r/>
          </w:p>
          <w:p>
            <w:pPr>
              <w:jc w:val="left"/>
              <w:keepLines w:val="0"/>
              <w:pageBreakBefore w:val="0"/>
              <w:spacing w:line="400" w:lineRule="exact"/>
              <w:widowControl w:val="off"/>
              <w:tabs>
                <w:tab w:val="left" w:pos="2850" w:leader="none"/>
                <w:tab w:val="center" w:pos="4153" w:leader="none"/>
              </w:tabs>
              <w:rPr>
                <w:rStyle w:val="966"/>
                <w:rFonts w:hint="eastAsia" w:ascii="宋体" w:hAnsi="宋体" w:cs="宋体"/>
                <w:color w:val="auto"/>
                <w:sz w:val="21"/>
                <w:szCs w:val="21"/>
              </w:rPr>
            </w:pPr>
            <w:r>
              <w:rPr>
                <w:rFonts w:hint="eastAsia" w:ascii="宋体" w:hAnsi="宋体"/>
                <w:sz w:val="21"/>
                <w:szCs w:val="21"/>
              </w:rPr>
              <w:t xml:space="preserve">该项未见阐述不得分。</w:t>
            </w:r>
            <w:r/>
          </w:p>
        </w:tc>
        <w:tc>
          <w:tcPr>
            <w:tcW w:w="792"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cs="宋体"/>
                <w:b/>
                <w:color w:val="auto"/>
                <w:sz w:val="21"/>
                <w:szCs w:val="21"/>
                <w:lang w:val="en-US" w:eastAsia="zh-CN"/>
              </w:rPr>
            </w:pPr>
            <w:r>
              <w:rPr>
                <w:rFonts w:hint="eastAsia" w:ascii="宋体" w:hAnsi="宋体" w:cs="宋体"/>
                <w:b/>
                <w:sz w:val="21"/>
                <w:szCs w:val="21"/>
                <w:lang w:val="en-US" w:eastAsia="zh-CN"/>
              </w:rPr>
              <w:t xml:space="preserve">8分</w:t>
            </w:r>
            <w:r/>
          </w:p>
        </w:tc>
      </w:tr>
      <w:tr>
        <w:trPr>
          <w:trHeight w:val="0"/>
        </w:trPr>
        <w:tc>
          <w:tcPr>
            <w:tcW w:w="792" w:type="dxa"/>
            <w:vAlign w:val="center"/>
            <w:textDirection w:val="lrTb"/>
            <w:noWrap w:val="false"/>
          </w:tcPr>
          <w:p>
            <w:pPr>
              <w:jc w:val="center"/>
              <w:keepLines w:val="0"/>
              <w:keepNext/>
              <w:pageBreakBefore w:val="0"/>
              <w:spacing w:line="400" w:lineRule="exact"/>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5</w:t>
            </w:r>
            <w:r/>
          </w:p>
        </w:tc>
        <w:tc>
          <w:tcPr>
            <w:tcW w:w="1536"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cs="宋体"/>
                <w:b/>
                <w:color w:val="auto"/>
                <w:sz w:val="21"/>
                <w:szCs w:val="21"/>
              </w:rPr>
            </w:pPr>
            <w:r>
              <w:rPr>
                <w:rFonts w:hint="eastAsia" w:ascii="宋体" w:hAnsi="宋体" w:cs="宋体"/>
                <w:b/>
                <w:sz w:val="21"/>
                <w:szCs w:val="21"/>
              </w:rPr>
              <w:t xml:space="preserve">应急措施方案</w:t>
            </w:r>
            <w:r/>
          </w:p>
        </w:tc>
        <w:tc>
          <w:tcPr>
            <w:tcW w:w="5668" w:type="dxa"/>
            <w:vAlign w:val="center"/>
            <w:textDirection w:val="lrTb"/>
            <w:noWrap w:val="false"/>
          </w:tcPr>
          <w:p>
            <w:pPr>
              <w:jc w:val="left"/>
              <w:keepLines w:val="0"/>
              <w:pageBreakBefore w:val="0"/>
              <w:spacing w:line="400" w:lineRule="exact"/>
              <w:widowControl w:val="off"/>
              <w:tabs>
                <w:tab w:val="left" w:pos="2850" w:leader="none"/>
                <w:tab w:val="center" w:pos="4153" w:leader="none"/>
              </w:tabs>
              <w:rPr>
                <w:rStyle w:val="966"/>
                <w:rFonts w:hint="eastAsia" w:ascii="宋体" w:hAnsi="宋体" w:cs="宋体"/>
                <w:sz w:val="21"/>
                <w:szCs w:val="21"/>
              </w:rPr>
            </w:pPr>
            <w:r>
              <w:rPr>
                <w:rStyle w:val="966"/>
                <w:rFonts w:hint="eastAsia" w:ascii="宋体" w:hAnsi="宋体" w:cs="宋体"/>
                <w:sz w:val="21"/>
                <w:szCs w:val="21"/>
              </w:rPr>
              <w:t xml:space="preserve">根据</w:t>
            </w:r>
            <w:r>
              <w:rPr>
                <w:rStyle w:val="966"/>
                <w:rFonts w:hint="eastAsia" w:ascii="宋体" w:hAnsi="宋体" w:cs="宋体"/>
                <w:sz w:val="21"/>
                <w:szCs w:val="21"/>
                <w:lang w:eastAsia="zh-CN"/>
              </w:rPr>
              <w:t xml:space="preserve">供应商</w:t>
            </w:r>
            <w:r>
              <w:rPr>
                <w:rStyle w:val="966"/>
                <w:rFonts w:hint="eastAsia" w:ascii="宋体" w:hAnsi="宋体" w:cs="宋体"/>
                <w:sz w:val="21"/>
                <w:szCs w:val="21"/>
              </w:rPr>
              <w:t xml:space="preserve">提供的应急响应方案进行打分，包括但不限于：故障响应时间、应急处置、系统重大故障的应急预案以及措施安排等；</w:t>
            </w:r>
            <w:r/>
          </w:p>
          <w:p>
            <w:pPr>
              <w:jc w:val="left"/>
              <w:keepLines w:val="0"/>
              <w:pageBreakBefore w:val="0"/>
              <w:spacing w:line="400" w:lineRule="exact"/>
              <w:widowControl w:val="off"/>
              <w:tabs>
                <w:tab w:val="left" w:pos="2850" w:leader="none"/>
                <w:tab w:val="center" w:pos="4153" w:leader="none"/>
              </w:tabs>
              <w:rPr>
                <w:rStyle w:val="966"/>
                <w:rFonts w:hint="eastAsia" w:ascii="宋体" w:hAnsi="宋体" w:cs="宋体"/>
                <w:color w:val="auto"/>
                <w:sz w:val="21"/>
                <w:szCs w:val="21"/>
              </w:rPr>
            </w:pPr>
            <w:r>
              <w:rPr>
                <w:rStyle w:val="966"/>
                <w:rFonts w:hint="eastAsia" w:ascii="宋体" w:hAnsi="宋体" w:cs="宋体"/>
                <w:sz w:val="21"/>
                <w:szCs w:val="21"/>
              </w:rPr>
              <w:t xml:space="preserve">方案全面具体、可操作性强，贴合</w:t>
            </w:r>
            <w:r>
              <w:rPr>
                <w:rStyle w:val="966"/>
                <w:rFonts w:hint="eastAsia" w:ascii="宋体" w:hAnsi="宋体" w:cs="宋体"/>
                <w:sz w:val="21"/>
                <w:szCs w:val="21"/>
                <w:lang w:eastAsia="zh-CN"/>
              </w:rPr>
              <w:t xml:space="preserve">采购人</w:t>
            </w:r>
            <w:r>
              <w:rPr>
                <w:rStyle w:val="966"/>
                <w:rFonts w:hint="eastAsia" w:ascii="宋体" w:hAnsi="宋体" w:cs="宋体"/>
                <w:sz w:val="21"/>
                <w:szCs w:val="21"/>
              </w:rPr>
              <w:t xml:space="preserve">实际、优于</w:t>
            </w:r>
            <w:r>
              <w:rPr>
                <w:rStyle w:val="966"/>
                <w:rFonts w:hint="eastAsia" w:ascii="宋体" w:hAnsi="宋体" w:cs="宋体"/>
                <w:sz w:val="21"/>
                <w:szCs w:val="21"/>
                <w:lang w:eastAsia="zh-CN"/>
              </w:rPr>
              <w:t xml:space="preserve">磋商文件</w:t>
            </w:r>
            <w:r>
              <w:rPr>
                <w:rStyle w:val="966"/>
                <w:rFonts w:hint="eastAsia" w:ascii="宋体" w:hAnsi="宋体" w:cs="宋体"/>
                <w:sz w:val="21"/>
                <w:szCs w:val="21"/>
              </w:rPr>
              <w:t xml:space="preserve">要求的得</w:t>
            </w:r>
            <w:r>
              <w:rPr>
                <w:rStyle w:val="966"/>
                <w:rFonts w:hint="eastAsia" w:ascii="宋体" w:hAnsi="宋体" w:cs="宋体"/>
                <w:sz w:val="21"/>
                <w:szCs w:val="21"/>
                <w:lang w:val="en-US" w:eastAsia="zh-CN"/>
              </w:rPr>
              <w:t xml:space="preserve">8</w:t>
            </w:r>
            <w:r>
              <w:rPr>
                <w:rStyle w:val="966"/>
                <w:rFonts w:hint="eastAsia" w:ascii="宋体" w:hAnsi="宋体" w:cs="宋体"/>
                <w:sz w:val="21"/>
                <w:szCs w:val="21"/>
              </w:rPr>
              <w:t xml:space="preserve">分；方案稍有欠缺但基本满足</w:t>
            </w:r>
            <w:r>
              <w:rPr>
                <w:rStyle w:val="966"/>
                <w:rFonts w:hint="eastAsia" w:ascii="宋体" w:hAnsi="宋体" w:cs="宋体"/>
                <w:sz w:val="21"/>
                <w:szCs w:val="21"/>
                <w:lang w:eastAsia="zh-CN"/>
              </w:rPr>
              <w:t xml:space="preserve">采购人</w:t>
            </w:r>
            <w:r>
              <w:rPr>
                <w:rStyle w:val="966"/>
                <w:rFonts w:hint="eastAsia" w:ascii="宋体" w:hAnsi="宋体" w:cs="宋体"/>
                <w:sz w:val="21"/>
                <w:szCs w:val="21"/>
              </w:rPr>
              <w:t xml:space="preserve">需求、符合</w:t>
            </w:r>
            <w:r>
              <w:rPr>
                <w:rStyle w:val="966"/>
                <w:rFonts w:hint="eastAsia" w:ascii="宋体" w:hAnsi="宋体" w:cs="宋体"/>
                <w:sz w:val="21"/>
                <w:szCs w:val="21"/>
                <w:lang w:eastAsia="zh-CN"/>
              </w:rPr>
              <w:t xml:space="preserve">磋商文件</w:t>
            </w:r>
            <w:r>
              <w:rPr>
                <w:rStyle w:val="966"/>
                <w:rFonts w:hint="eastAsia" w:ascii="宋体" w:hAnsi="宋体" w:cs="宋体"/>
                <w:sz w:val="21"/>
                <w:szCs w:val="21"/>
              </w:rPr>
              <w:t xml:space="preserve">要求的得5分；方案有明显缺陷，操作性不强的得2分；不符合</w:t>
            </w:r>
            <w:r>
              <w:rPr>
                <w:rStyle w:val="966"/>
                <w:rFonts w:hint="eastAsia" w:ascii="宋体" w:hAnsi="宋体" w:cs="宋体"/>
                <w:sz w:val="21"/>
                <w:szCs w:val="21"/>
                <w:lang w:eastAsia="zh-CN"/>
              </w:rPr>
              <w:t xml:space="preserve">磋商文件</w:t>
            </w:r>
            <w:r>
              <w:rPr>
                <w:rStyle w:val="966"/>
                <w:rFonts w:hint="eastAsia" w:ascii="宋体" w:hAnsi="宋体" w:cs="宋体"/>
                <w:sz w:val="21"/>
                <w:szCs w:val="21"/>
              </w:rPr>
              <w:t xml:space="preserve">要求或不提供方案的不得分。</w:t>
            </w:r>
            <w:r/>
          </w:p>
        </w:tc>
        <w:tc>
          <w:tcPr>
            <w:tcW w:w="792" w:type="dxa"/>
            <w:vAlign w:val="center"/>
            <w:textDirection w:val="lrTb"/>
            <w:noWrap w:val="false"/>
          </w:tcPr>
          <w:p>
            <w:pPr>
              <w:jc w:val="center"/>
              <w:keepLines w:val="0"/>
              <w:pageBreakBefore w:val="0"/>
              <w:spacing w:line="400" w:lineRule="exact"/>
              <w:widowControl w:val="off"/>
              <w:tabs>
                <w:tab w:val="left" w:pos="2850" w:leader="none"/>
                <w:tab w:val="center" w:pos="4153" w:leader="none"/>
              </w:tabs>
              <w:rPr>
                <w:rFonts w:hint="eastAsia" w:ascii="宋体" w:hAnsi="宋体" w:cs="宋体"/>
                <w:b/>
                <w:color w:val="auto"/>
                <w:sz w:val="21"/>
                <w:szCs w:val="21"/>
                <w:lang w:val="en-US" w:eastAsia="zh-CN"/>
              </w:rPr>
            </w:pPr>
            <w:r>
              <w:rPr>
                <w:rFonts w:hint="eastAsia" w:ascii="宋体" w:hAnsi="宋体" w:cs="宋体"/>
                <w:b/>
                <w:sz w:val="21"/>
                <w:szCs w:val="21"/>
                <w:lang w:val="en-US" w:eastAsia="zh-CN"/>
              </w:rPr>
              <w:t xml:space="preserve">8分</w:t>
            </w:r>
            <w:r/>
          </w:p>
        </w:tc>
      </w:tr>
    </w:tbl>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1.以上评分标准中每一条，各供应商均应提供相关的资料并作出相应的对比供评分评判。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2.响应文件中如出现前后不一致时，磋商小组有权请磋商供应商澄清说明，澄清说明事项涉及评分时，该项不得分。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3.磋商供应商承诺所提供的商务、技术、业绩资料全部真实，如有伪造，视作磋商供应商自动放弃投标及成交资格，并视作磋商供应商自愿接受相关处罚。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4.磋商报价超过财政审批预算金额的，不得进入评标程序。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6.供应商应根据国家政策调整规律进行报价，充分考虑服务期内的市场因素和成本变化状况的风险。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8．本办法未尽事宜，由磋商小组依据有关法规研究解决。</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25"/>
        <w:jc w:val="center"/>
        <w:keepNext w:val="0"/>
        <w:spacing w:line="360" w:lineRule="auto"/>
        <w:rPr>
          <w:rFonts w:hint="eastAsia" w:ascii="宋体" w:hAnsi="宋体" w:eastAsia="宋体" w:cs="宋体"/>
          <w:b/>
          <w:bCs/>
          <w:color w:val="auto"/>
          <w:sz w:val="32"/>
          <w:szCs w:val="32"/>
          <w:highlight w:val="none"/>
        </w:rPr>
        <w:outlineLvl w:val="0"/>
      </w:pPr>
      <w:r/>
      <w:bookmarkStart w:id="160" w:name="_Toc29253"/>
      <w:r>
        <w:rPr>
          <w:rFonts w:hint="eastAsia" w:ascii="宋体" w:hAnsi="宋体" w:eastAsia="宋体" w:cs="宋体"/>
          <w:b/>
          <w:bCs/>
          <w:color w:val="auto"/>
          <w:sz w:val="32"/>
          <w:szCs w:val="32"/>
          <w:highlight w:val="none"/>
        </w:rPr>
        <w:t xml:space="preserve">第六章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响应文件的组成和格式</w:t>
      </w:r>
      <w:bookmarkEnd w:id="160"/>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响 应 文 件</w:t>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：（加盖CA电子公章）</w:t>
      </w:r>
      <w:r/>
    </w:p>
    <w:p>
      <w:pPr>
        <w:pStyle w:val="949"/>
        <w:spacing w:line="360" w:lineRule="auto"/>
        <w:rPr>
          <w:rFonts w:hint="eastAsia" w:ascii="宋体" w:hAnsi="宋体" w:eastAsia="宋体" w:cs="宋体"/>
          <w:color w:val="auto"/>
          <w:sz w:val="21"/>
          <w:highlight w:val="none"/>
        </w:rPr>
      </w:pPr>
      <w:r>
        <w:rPr>
          <w:rFonts w:hint="eastAsia" w:ascii="宋体" w:hAnsi="宋体" w:eastAsia="宋体" w:cs="宋体"/>
          <w:color w:val="auto"/>
          <w:highlight w:val="none"/>
        </w:rPr>
        <w:t xml:space="preserve">日期 ：</w:t>
      </w:r>
      <w:r/>
    </w:p>
    <w:p>
      <w:pPr>
        <w:pStyle w:val="9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szCs w:val="32"/>
          <w:highlight w:val="none"/>
        </w:rPr>
        <w:t xml:space="preserve">磋商报价表</w:t>
      </w:r>
      <w:r/>
    </w:p>
    <w:p>
      <w:pPr>
        <w:pStyle w:val="958"/>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8"/>
        <w:ind w:firstLine="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本次为首次报价                          货币单位：人民币元</w:t>
      </w:r>
      <w:r/>
    </w:p>
    <w:p>
      <w:pPr>
        <w:pStyle w:val="958"/>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74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tcBorders>
            <w:tcW w:w="3293"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6" w:space="0"/>
            </w:tcBorders>
            <w:tcW w:w="2509"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Borders>
              <w:top w:val="single" w:color="000000" w:sz="6" w:space="0"/>
              <w:right w:val="single" w:color="000000" w:sz="2" w:space="0"/>
            </w:tcBorders>
            <w:tcW w:w="3056"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总价（小写）</w:t>
            </w:r>
            <w:r/>
          </w:p>
        </w:tc>
      </w:tr>
      <w:tr>
        <w:trPr>
          <w:cantSplit/>
          <w:jc w:val="center"/>
          <w:trHeight w:val="1012"/>
        </w:trPr>
        <w:tc>
          <w:tcPr>
            <w:tcW w:w="3293"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9"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详见响应文件</w:t>
            </w:r>
            <w:r/>
          </w:p>
        </w:tc>
        <w:tc>
          <w:tcPr>
            <w:tcBorders>
              <w:right w:val="single" w:color="000000" w:sz="2" w:space="0"/>
            </w:tcBorders>
            <w:tcW w:w="3056"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35"/>
        </w:trPr>
        <w:tc>
          <w:tcPr>
            <w:tcW w:w="3293"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Borders>
              <w:right w:val="single" w:color="000000" w:sz="2" w:space="0"/>
            </w:tcBorders>
            <w:tcW w:w="5565" w:type="dxa"/>
            <w:vAlign w:val="center"/>
            <w:textDirection w:val="lrTb"/>
            <w:noWrap w:val="false"/>
          </w:tcPr>
          <w:p>
            <w:pPr>
              <w:pStyle w:val="94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58"/>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8"/>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附件1 ：</w:t>
      </w:r>
      <w:r/>
    </w:p>
    <w:p>
      <w:pPr>
        <w:jc w:val="center"/>
        <w:spacing w:line="360" w:lineRule="auto"/>
        <w:rPr>
          <w:rFonts w:hint="eastAsia" w:ascii="宋体" w:hAnsi="宋体" w:eastAsia="宋体" w:cs="宋体"/>
          <w:color w:val="auto"/>
          <w:sz w:val="32"/>
          <w:szCs w:val="32"/>
          <w:highlight w:val="none"/>
        </w:rPr>
      </w:pPr>
      <w:r/>
      <w:bookmarkStart w:id="161" w:name="_Toc541"/>
      <w:r>
        <w:rPr>
          <w:rFonts w:hint="eastAsia" w:ascii="宋体" w:hAnsi="宋体" w:eastAsia="宋体" w:cs="宋体"/>
          <w:color w:val="auto"/>
          <w:sz w:val="32"/>
          <w:szCs w:val="32"/>
          <w:highlight w:val="none"/>
        </w:rPr>
        <w:t xml:space="preserve">法定代表人资格证明书</w:t>
      </w:r>
      <w:bookmarkEnd w:id="161"/>
      <w:r/>
      <w:r/>
    </w:p>
    <w:p>
      <w:pPr>
        <w:pStyle w:val="9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（法定代表人姓名）在（供应商名称）处任（职务名称）职务，是（供应商名称）的法定代表人。</w:t>
      </w:r>
      <w:r/>
    </w:p>
    <w:p>
      <w:pPr>
        <w:pStyle w:val="94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特此证明。</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供应商（加盖CA电子章）：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法定代表人或法定代表人授权代表签字或盖章：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法定代表人身份证复印件（正反两面均需复印，加盖公章）：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5"/>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vAlign w:val="top"/>
            <w:textDirection w:val="lrTb"/>
            <w:noWrap w:val="false"/>
          </w:tcPr>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法定代表人身份证正面复印件</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bottom w:val="none" w:color="000000" w:sz="4" w:space="0"/>
            </w:tcBorders>
            <w:tcW w:w="720" w:type="dxa"/>
            <w:vAlign w:val="top"/>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207" w:type="dxa"/>
            <w:vAlign w:val="top"/>
            <w:textDirection w:val="lrTb"/>
            <w:noWrap w:val="false"/>
          </w:tcPr>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法定代表人身份证反面复印件</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3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62" w:name="_Toc3508"/>
      <w:r/>
      <w:bookmarkStart w:id="163" w:name="_Toc7422"/>
      <w:r/>
      <w:bookmarkStart w:id="164" w:name="_Toc27742"/>
      <w:r/>
      <w:bookmarkStart w:id="165" w:name="_Toc10173"/>
      <w:r>
        <w:rPr>
          <w:rFonts w:hint="eastAsia" w:ascii="宋体" w:hAnsi="宋体" w:eastAsia="宋体" w:cs="宋体"/>
          <w:color w:val="auto"/>
          <w:sz w:val="24"/>
          <w:highlight w:val="none"/>
        </w:rPr>
        <w:t xml:space="preserve">附件2：</w:t>
      </w:r>
      <w:bookmarkEnd w:id="162"/>
      <w:r/>
      <w:bookmarkEnd w:id="163"/>
      <w:r/>
      <w:bookmarkEnd w:id="164"/>
      <w:r/>
      <w:bookmarkEnd w:id="165"/>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bookmarkStart w:id="166" w:name="_Toc24313"/>
      <w:r/>
      <w:bookmarkStart w:id="167" w:name="_Toc17493"/>
      <w:r/>
      <w:bookmarkStart w:id="168" w:name="_Toc32139"/>
      <w:r/>
      <w:bookmarkStart w:id="169" w:name="_Toc30840"/>
      <w:r>
        <w:rPr>
          <w:rFonts w:hint="eastAsia" w:ascii="宋体" w:hAnsi="宋体" w:eastAsia="宋体" w:cs="宋体"/>
          <w:color w:val="auto"/>
          <w:sz w:val="32"/>
          <w:szCs w:val="32"/>
          <w:highlight w:val="none"/>
        </w:rPr>
        <w:t xml:space="preserve">法定代表人授权委托书</w:t>
      </w:r>
      <w:bookmarkEnd w:id="166"/>
      <w:r/>
      <w:bookmarkEnd w:id="167"/>
      <w:r/>
      <w:bookmarkEnd w:id="168"/>
      <w:r/>
      <w:bookmarkEnd w:id="169"/>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江苏金秋工程项目管理有限公司</w:t>
      </w:r>
      <w:r>
        <w:rPr>
          <w:rFonts w:hint="eastAsia" w:ascii="宋体" w:hAnsi="宋体" w:eastAsia="宋体" w:cs="宋体"/>
          <w:color w:val="auto"/>
          <w:szCs w:val="21"/>
          <w:highlight w:val="none"/>
        </w:rPr>
        <w:t xml:space="preserve">：</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（法定代表人姓名）授权________（被授权人的姓名）为我方就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我公司（单位）对被授权代表的签名负全部责任。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被授权代表情况：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                       性别：                    电话：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授权代表身份证复印件（正反两面均需复印）（骑缝处加盖公章）：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5"/>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vAlign w:val="top"/>
            <w:textDirection w:val="lrTb"/>
            <w:noWrap w:val="false"/>
          </w:tcPr>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bottom w:val="none" w:color="000000" w:sz="4" w:space="0"/>
            </w:tcBorders>
            <w:tcW w:w="709" w:type="dxa"/>
            <w:vAlign w:val="top"/>
            <w:textDirection w:val="lrTb"/>
            <w:noWrap w:val="false"/>
          </w:tcPr>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vAlign w:val="top"/>
            <w:textDirection w:val="lrTb"/>
            <w:noWrap w:val="false"/>
          </w:tcPr>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说明：上述证明文件在响应文件中附有授权代表身份证复印件（身份证两面均应复印，身份证复印件加盖公章）时才能生效。</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供应商（加盖CA电子章）：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法定代表人或法定代表人授权代表签字或盖章：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0" w:name="_Toc22640"/>
      <w:r>
        <w:rPr>
          <w:rFonts w:hint="eastAsia" w:ascii="宋体" w:hAnsi="宋体" w:eastAsia="宋体" w:cs="宋体"/>
          <w:color w:val="auto"/>
          <w:highlight w:val="none"/>
        </w:rPr>
        <w:t xml:space="preserve">附件3 ：</w:t>
      </w:r>
      <w:bookmarkEnd w:id="170"/>
      <w:r/>
      <w:r/>
    </w:p>
    <w:p>
      <w:pPr>
        <w:pStyle w:val="9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参加政府采购活动前 3 年内在经营活动中没有重大违法</w:t>
      </w:r>
      <w:r/>
    </w:p>
    <w:p>
      <w:pPr>
        <w:pStyle w:val="96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供应商（加盖CA电子章）：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法定代表人或法定代表人授权代表签字或盖章：</w:t>
      </w:r>
      <w:r/>
    </w:p>
    <w:p>
      <w:pPr>
        <w:pStyle w:val="9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1" w:name="_Toc28534"/>
      <w:r/>
      <w:bookmarkStart w:id="172" w:name="_Toc14753"/>
      <w:r/>
      <w:bookmarkStart w:id="173" w:name="_Toc3595"/>
      <w:r/>
      <w:bookmarkStart w:id="174" w:name="_Toc20864"/>
      <w:r>
        <w:rPr>
          <w:rFonts w:hint="eastAsia" w:ascii="宋体" w:hAnsi="宋体" w:eastAsia="宋体" w:cs="宋体"/>
          <w:color w:val="auto"/>
          <w:highlight w:val="none"/>
        </w:rPr>
        <w:t xml:space="preserve">附件4：</w:t>
      </w:r>
      <w:bookmarkEnd w:id="171"/>
      <w:r/>
      <w:bookmarkEnd w:id="172"/>
      <w:r/>
      <w:bookmarkEnd w:id="173"/>
      <w:r/>
      <w:bookmarkEnd w:id="174"/>
      <w:r>
        <w:rPr>
          <w:rFonts w:hint="eastAsia" w:ascii="宋体" w:hAnsi="宋体" w:eastAsia="宋体" w:cs="宋体"/>
          <w:color w:val="auto"/>
          <w:highlight w:val="none"/>
        </w:rPr>
        <w:t xml:space="preserve"> </w:t>
      </w:r>
      <w:r/>
    </w:p>
    <w:p>
      <w:pPr>
        <w:pStyle w:val="940"/>
        <w:jc w:val="center"/>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中小企业声明函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
        </w:num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（标的名称） ，属于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（中型企业、 小型企业、微型企业）； </w:t>
      </w:r>
      <w:r/>
    </w:p>
    <w:p>
      <w:pPr>
        <w:numPr>
          <w:ilvl w:val="0"/>
          <w:numId w:val="2"/>
        </w:num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（标的名称） ，属于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；承建（承接）企业为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（中型企业、 小型企业、微型企业）；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                  （加盖CA电子章）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2.中小微企业划型标准请对照《关于印发中小企业划型标准规定的通知》（工信部联企业〔2011〕300号，文件网址如下：</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本项目采购标的所属行业为</w:t>
      </w:r>
      <w:r>
        <w:rPr>
          <w:rFonts w:hint="eastAsia" w:ascii="宋体" w:hAnsi="宋体" w:eastAsia="宋体" w:cs="宋体"/>
          <w:color w:val="auto"/>
          <w:highlight w:val="none"/>
          <w:u w:val="single"/>
        </w:rPr>
        <w:t xml:space="preserve">其他未列明行业 </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4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br w:type="page" w:clear="all"/>
      </w:r>
      <w:r>
        <w:rPr>
          <w:rFonts w:hint="eastAsia" w:ascii="宋体" w:hAnsi="宋体" w:eastAsia="宋体" w:cs="宋体"/>
          <w:color w:val="auto"/>
          <w:highlight w:val="none"/>
        </w:rPr>
        <w:t xml:space="preserve">附件5：</w:t>
      </w:r>
      <w:r/>
    </w:p>
    <w:p>
      <w:pPr>
        <w:pStyle w:val="940"/>
        <w:jc w:val="center"/>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934"/>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项目采购活动提供服务。</w:t>
      </w:r>
      <w:r/>
    </w:p>
    <w:p>
      <w:pPr>
        <w:pStyle w:val="934"/>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                  （加盖CA电子章）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1.非残疾人福利性单位不需提供此声明函。</w:t>
      </w:r>
      <w:r/>
    </w:p>
    <w:p>
      <w:pPr>
        <w:pStyle w:val="9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附件6：</w:t>
      </w:r>
      <w:r/>
    </w:p>
    <w:p>
      <w:pPr>
        <w:pStyle w:val="934"/>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监狱企业声明函</w:t>
      </w:r>
      <w:r/>
    </w:p>
    <w:p>
      <w:pPr>
        <w:pStyle w:val="9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根据上述标准，我单位属于监狱企业的理由为：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34"/>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本单位参加</w:t>
      </w:r>
      <w:r>
        <w:rPr>
          <w:rFonts w:hint="eastAsia" w:ascii="宋体" w:hAnsi="宋体" w:eastAsia="宋体" w:cs="宋体"/>
          <w:color w:val="auto"/>
          <w:highlight w:val="none"/>
          <w:u w:val="single"/>
        </w:rPr>
        <w:t xml:space="preserve">（采购人名称）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（项目名称）         </w:t>
      </w:r>
      <w:r>
        <w:rPr>
          <w:rFonts w:hint="eastAsia" w:ascii="宋体" w:hAnsi="宋体" w:eastAsia="宋体" w:cs="宋体"/>
          <w:color w:val="auto"/>
          <w:highlight w:val="none"/>
        </w:rPr>
        <w:t xml:space="preserve">项目的采购活动，并由本单位为本项目提供服务。</w:t>
      </w:r>
      <w:r/>
    </w:p>
    <w:p>
      <w:pPr>
        <w:pStyle w:val="934"/>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                  （加盖CA电子章）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9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3.非监狱企业不需提供此声明函。</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75" w:name="_Toc55639393"/>
      <w:r/>
      <w:bookmarkStart w:id="176" w:name="_Toc55707673"/>
      <w:r/>
      <w:bookmarkStart w:id="177" w:name="_Toc440442375"/>
      <w:r/>
      <w:bookmarkStart w:id="178" w:name="_Toc56139088"/>
      <w:r/>
      <w:bookmarkStart w:id="179" w:name="_Toc439777159"/>
      <w:r/>
      <w:bookmarkStart w:id="180" w:name="_Toc54372655"/>
      <w:r/>
      <w:bookmarkStart w:id="181" w:name="_Toc59896715"/>
      <w:r/>
      <w:bookmarkStart w:id="182" w:name="_Toc434481560"/>
      <w:r/>
      <w:bookmarkStart w:id="183" w:name="_Toc55705168"/>
      <w:r/>
      <w:bookmarkStart w:id="184" w:name="_Toc56153862"/>
      <w:r/>
      <w:bookmarkStart w:id="185" w:name="_Toc54372071"/>
      <w:r/>
      <w:bookmarkStart w:id="186" w:name="_Toc59900983"/>
      <w:r/>
      <w:bookmarkStart w:id="187" w:name="_Toc54372237"/>
      <w:r/>
      <w:bookmarkStart w:id="188" w:name="_Toc55654540"/>
      <w:r/>
      <w:bookmarkStart w:id="189" w:name="_Toc56409114"/>
      <w:r/>
      <w:bookmarkStart w:id="190" w:name="_Toc56141898"/>
      <w:r/>
      <w:bookmarkStart w:id="191" w:name="_Toc439777351"/>
      <w:r>
        <w:rPr>
          <w:rFonts w:hint="eastAsia" w:ascii="宋体" w:hAnsi="宋体" w:eastAsia="宋体" w:cs="宋体"/>
          <w:color w:val="auto"/>
          <w:highlight w:val="none"/>
        </w:rPr>
        <w:t xml:space="preserve">附件7：</w:t>
      </w:r>
      <w:r/>
    </w:p>
    <w:p>
      <w:pPr>
        <w:pStyle w:val="934"/>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具备履行合同所必需的设备和专业技术能力的书面声明</w:t>
      </w:r>
      <w:r/>
    </w:p>
    <w:p>
      <w:pPr>
        <w:pStyle w:val="934"/>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在此承诺：</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 </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供应商</w:t>
      </w:r>
      <w:r>
        <w:rPr>
          <w:rFonts w:hint="eastAsia" w:ascii="宋体" w:hAnsi="宋体" w:eastAsia="宋体" w:cs="宋体"/>
          <w:color w:val="auto"/>
          <w:highlight w:val="none"/>
        </w:rPr>
        <w:t xml:space="preserve">（加盖CA电子章）：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法定代表人或授权代表（签字或盖章）：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附件8：</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磋商响应函</w:t>
      </w:r>
      <w:r/>
    </w:p>
    <w:p>
      <w:pPr>
        <w:pStyle w:val="949"/>
        <w:ind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（采购人）</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号磋商文件，正式授权下述签字人_________ （姓名和职务）代表我方______________（供应商的名称），全权处理本项目磋商采购的有关事宜。</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1.按磋商文件规定的各项要求，向采购人提供所需服务。</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7.遵守磋商文件中要求的收费项目和标准。</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8.与本磋商采购有关的正式通讯地址为：</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邮编：</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传真：</w:t>
      </w:r>
      <w:r/>
    </w:p>
    <w:p>
      <w:pPr>
        <w:pStyle w:val="9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账户： </w:t>
      </w:r>
      <w:r/>
    </w:p>
    <w:p>
      <w:pPr>
        <w:pStyle w:val="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（加盖CA电子章）：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color w:val="auto"/>
          <w:highlight w:val="none"/>
        </w:rPr>
      </w:pPr>
      <w:r/>
      <w:bookmarkStart w:id="192" w:name="_Toc7712"/>
      <w:r/>
      <w:bookmarkStart w:id="193" w:name="_Toc12269"/>
      <w:r/>
      <w:bookmarkStart w:id="194" w:name="_Toc26371"/>
      <w:r>
        <w:rPr>
          <w:rFonts w:hint="eastAsia" w:ascii="宋体" w:hAnsi="宋体" w:eastAsia="宋体" w:cs="宋体"/>
          <w:color w:val="auto"/>
          <w:highlight w:val="none"/>
        </w:rPr>
        <w:t xml:space="preserve">附件9：</w:t>
      </w:r>
      <w:bookmarkEnd w:id="192"/>
      <w:r/>
      <w:bookmarkEnd w:id="193"/>
      <w:r/>
      <w:bookmarkEnd w:id="194"/>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服务及商务响应偏离表</w:t>
      </w:r>
      <w:r/>
    </w:p>
    <w:tbl>
      <w:tblPr>
        <w:tblStyle w:val="745"/>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65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项目需求</w:t>
            </w:r>
            <w:r/>
          </w:p>
        </w:tc>
        <w:tc>
          <w:tcPr>
            <w:tcW w:w="27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tcW w:w="206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偏离说明</w:t>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2.该表必须按照竞争性磋商要求逐条如实填写，根据响应情况在“偏离说明”项填写正偏离或负偏离及原因，完全符合的填写“无偏离”。</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3.该表可扩展，并逐页签字或盖章。</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4.可附相关技术支撑材料。（格式自定）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供应商</w:t>
      </w:r>
      <w:r>
        <w:rPr>
          <w:rFonts w:hint="eastAsia" w:ascii="宋体" w:hAnsi="宋体" w:eastAsia="宋体" w:cs="宋体"/>
          <w:color w:val="auto"/>
          <w:highlight w:val="none"/>
        </w:rPr>
        <w:t xml:space="preserve">（加盖CA电子章）：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法定代表人或授权代表（签字或盖章）：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附件11：</w:t>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拟投入项目组人员表</w:t>
      </w:r>
      <w:r/>
    </w:p>
    <w:tbl>
      <w:tblPr>
        <w:tblStyle w:val="745"/>
        <w:tblW w:w="913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4"/>
        <w:gridCol w:w="1338"/>
        <w:gridCol w:w="1029"/>
        <w:gridCol w:w="639"/>
        <w:gridCol w:w="509"/>
        <w:gridCol w:w="1189"/>
        <w:gridCol w:w="749"/>
        <w:gridCol w:w="1586"/>
        <w:gridCol w:w="1246"/>
      </w:tblGrid>
      <w:tr>
        <w:trPr>
          <w:cantSplit/>
          <w:trHeight w:val="494"/>
        </w:trPr>
        <w:tc>
          <w:tcPr>
            <w:tcBorders>
              <w:bottom w:val="none" w:color="000000" w:sz="4" w:space="0"/>
            </w:tcBorders>
            <w:tcW w:w="854" w:type="dxa"/>
            <w:vAlign w:val="center"/>
            <w:vMerge w:val="restart"/>
            <w:textDirection w:val="lrTb"/>
            <w:noWrap w:val="false"/>
          </w:tcPr>
          <w:p>
            <w:pPr>
              <w:ind w:left="174"/>
              <w:jc w:val="center"/>
              <w:spacing w:before="68" w:line="360"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序号</w:t>
            </w:r>
            <w:r/>
          </w:p>
        </w:tc>
        <w:tc>
          <w:tcPr>
            <w:tcBorders>
              <w:bottom w:val="none" w:color="000000" w:sz="4" w:space="0"/>
            </w:tcBorders>
            <w:tcW w:w="1338" w:type="dxa"/>
            <w:vAlign w:val="center"/>
            <w:vMerge w:val="restart"/>
            <w:textDirection w:val="lrTb"/>
            <w:noWrap w:val="false"/>
          </w:tcPr>
          <w:p>
            <w:pPr>
              <w:ind w:left="130"/>
              <w:jc w:val="center"/>
              <w:spacing w:before="68" w:line="360" w:lineRule="auto"/>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本项目任职</w:t>
            </w:r>
            <w:r/>
          </w:p>
        </w:tc>
        <w:tc>
          <w:tcPr>
            <w:tcBorders>
              <w:bottom w:val="none" w:color="000000" w:sz="4" w:space="0"/>
            </w:tcBorders>
            <w:tcW w:w="1029" w:type="dxa"/>
            <w:vAlign w:val="center"/>
            <w:vMerge w:val="restart"/>
            <w:textDirection w:val="lrTb"/>
            <w:noWrap w:val="false"/>
          </w:tcPr>
          <w:p>
            <w:pPr>
              <w:ind w:left="283"/>
              <w:spacing w:before="68" w:line="360" w:lineRule="auto"/>
              <w:rPr>
                <w:rFonts w:hint="eastAsia" w:ascii="宋体" w:hAnsi="宋体" w:eastAsia="宋体" w:cs="宋体"/>
                <w:color w:val="auto"/>
                <w:szCs w:val="21"/>
                <w:highlight w:val="none"/>
              </w:rPr>
            </w:pPr>
            <w:r>
              <w:rPr>
                <w:rFonts w:hint="eastAsia" w:ascii="宋体" w:hAnsi="宋体" w:eastAsia="宋体" w:cs="宋体"/>
                <w:color w:val="auto"/>
                <w:spacing w:val="13"/>
                <w:szCs w:val="21"/>
                <w:highlight w:val="none"/>
              </w:rPr>
              <w:t xml:space="preserve">姓名</w:t>
            </w:r>
            <w:r/>
          </w:p>
        </w:tc>
        <w:tc>
          <w:tcPr>
            <w:tcBorders>
              <w:bottom w:val="none" w:color="000000" w:sz="4" w:space="0"/>
            </w:tcBorders>
            <w:tcW w:w="639" w:type="dxa"/>
            <w:vAlign w:val="center"/>
            <w:vMerge w:val="restart"/>
            <w:textDirection w:val="lrTb"/>
            <w:noWrap w:val="false"/>
          </w:tcPr>
          <w:p>
            <w:pPr>
              <w:ind w:left="104"/>
              <w:jc w:val="center"/>
              <w:spacing w:before="68" w:line="360" w:lineRule="auto"/>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职称</w:t>
            </w:r>
            <w:r/>
          </w:p>
        </w:tc>
        <w:tc>
          <w:tcPr>
            <w:tcBorders>
              <w:bottom w:val="none" w:color="000000" w:sz="4" w:space="0"/>
            </w:tcBorders>
            <w:tcW w:w="509" w:type="dxa"/>
            <w:vAlign w:val="center"/>
            <w:vMerge w:val="restart"/>
            <w:textDirection w:val="tbRlV"/>
            <w:noWrap w:val="false"/>
          </w:tcPr>
          <w:p>
            <w:pPr>
              <w:jc w:val="center"/>
              <w:spacing w:before="121" w:line="360" w:lineRule="auto"/>
              <w:rPr>
                <w:rFonts w:hint="eastAsia" w:ascii="宋体" w:hAnsi="宋体" w:eastAsia="宋体" w:cs="宋体"/>
                <w:color w:val="auto"/>
                <w:szCs w:val="21"/>
                <w:highlight w:val="none"/>
              </w:rPr>
            </w:pPr>
            <w:r>
              <w:rPr>
                <w:rFonts w:hint="eastAsia" w:ascii="宋体" w:hAnsi="宋体" w:eastAsia="宋体" w:cs="宋体"/>
                <w:color w:val="auto"/>
                <w:spacing w:val="14"/>
                <w:szCs w:val="21"/>
                <w:highlight w:val="none"/>
              </w:rPr>
              <w:t xml:space="preserve">专业</w:t>
            </w:r>
            <w:r/>
          </w:p>
        </w:tc>
        <w:tc>
          <w:tcPr>
            <w:gridSpan w:val="3"/>
            <w:tcW w:w="3524" w:type="dxa"/>
            <w:vAlign w:val="center"/>
            <w:textDirection w:val="lrTb"/>
            <w:noWrap w:val="false"/>
          </w:tcPr>
          <w:p>
            <w:pPr>
              <w:ind w:left="475"/>
              <w:jc w:val="center"/>
              <w:spacing w:before="233" w:line="360" w:lineRule="auto"/>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执业或职业资格证明</w:t>
            </w:r>
            <w:r/>
          </w:p>
        </w:tc>
        <w:tc>
          <w:tcPr>
            <w:tcW w:w="1246" w:type="dxa"/>
            <w:vAlign w:val="center"/>
            <w:vMerge w:val="restart"/>
            <w:textDirection w:val="lrTb"/>
            <w:noWrap w:val="false"/>
          </w:tcPr>
          <w:p>
            <w:pPr>
              <w:jc w:val="center"/>
              <w:spacing w:before="224" w:line="360" w:lineRule="auto"/>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备注</w:t>
            </w:r>
            <w:r/>
          </w:p>
        </w:tc>
      </w:tr>
      <w:tr>
        <w:trPr>
          <w:cantSplit/>
          <w:trHeight w:val="489"/>
        </w:trPr>
        <w:tc>
          <w:tcPr>
            <w:tcBorders>
              <w:top w:val="none" w:color="000000" w:sz="4" w:space="0"/>
            </w:tcBorders>
            <w:tcW w:w="854" w:type="dxa"/>
            <w:vAlign w:val="center"/>
            <w:vMerge w:val="continue"/>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tcBorders>
            <w:tcW w:w="1338" w:type="dxa"/>
            <w:vAlign w:val="center"/>
            <w:vMerge w:val="continue"/>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tcBorders>
            <w:tcW w:w="1029" w:type="dxa"/>
            <w:vAlign w:val="center"/>
            <w:vMerge w:val="continue"/>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tcBorders>
            <w:tcW w:w="639" w:type="dxa"/>
            <w:vAlign w:val="center"/>
            <w:vMerge w:val="continue"/>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tcBorders>
            <w:tcW w:w="509" w:type="dxa"/>
            <w:vAlign w:val="center"/>
            <w:vMerge w:val="continue"/>
            <w:textDirection w:val="tbRlV"/>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ind w:left="145"/>
              <w:jc w:val="center"/>
              <w:spacing w:before="218" w:line="360" w:lineRule="auto"/>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证书名称</w:t>
            </w:r>
            <w:r/>
          </w:p>
        </w:tc>
        <w:tc>
          <w:tcPr>
            <w:tcW w:w="749" w:type="dxa"/>
            <w:vAlign w:val="center"/>
            <w:textDirection w:val="lrTb"/>
            <w:noWrap w:val="false"/>
          </w:tcPr>
          <w:p>
            <w:pPr>
              <w:ind w:left="127"/>
              <w:jc w:val="center"/>
              <w:spacing w:before="210" w:line="360" w:lineRule="auto"/>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rPr>
              <w:t xml:space="preserve">级别</w:t>
            </w:r>
            <w:r/>
          </w:p>
        </w:tc>
        <w:tc>
          <w:tcPr>
            <w:tcW w:w="1586" w:type="dxa"/>
            <w:vAlign w:val="center"/>
            <w:textDirection w:val="lrTb"/>
            <w:noWrap w:val="false"/>
          </w:tcPr>
          <w:p>
            <w:pPr>
              <w:ind w:left="208"/>
              <w:jc w:val="center"/>
              <w:spacing w:before="210" w:line="360"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证号</w:t>
            </w:r>
            <w:r/>
          </w:p>
        </w:tc>
        <w:tc>
          <w:tcPr>
            <w:tcW w:w="1246" w:type="dxa"/>
            <w:vAlign w:val="center"/>
            <w:vMerge w:val="continue"/>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2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1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0"/>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9"/>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94"/>
        </w:trPr>
        <w:tc>
          <w:tcPr>
            <w:tcW w:w="854"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8"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3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0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8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9"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8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46" w:type="dxa"/>
            <w:vAlign w:val="center"/>
            <w:textDirection w:val="lrTb"/>
            <w:noWrap w:val="false"/>
          </w:tcPr>
          <w:p>
            <w:pPr>
              <w:pStyle w:val="964"/>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even" r:id="rId10"/>
      <w:footerReference w:type="default" r:id="rId12"/>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Gill Sans">
    <w:panose1 w:val="020B0506020104020203"/>
  </w:font>
  <w:font w:name="Calibri">
    <w:panose1 w:val="020F0502020204030204"/>
  </w:font>
  <w:font w:name="仿宋">
    <w:panose1 w:val="02010609060101010101"/>
  </w:font>
  <w:font w:name="Adobe 仿宋 Std R">
    <w:panose1 w:val="020B0503020202020204"/>
  </w:font>
  <w:font w:name="Cambria">
    <w:panose1 w:val="02040503050406030204"/>
  </w:font>
  <w:font w:name="Courier New">
    <w:panose1 w:val="02070309020205020404"/>
  </w:font>
  <w:font w:name="楷体_GB2312">
    <w:panose1 w:val="02010609060101010101"/>
  </w:font>
  <w:font w:name="幼圆">
    <w:panose1 w:val="02010509060101010101"/>
  </w:font>
  <w:font w:name="黑体">
    <w:panose1 w:val="020106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29293" cy="172938"/>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1329293"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4.7pt;height:13.6pt;mso-wrap-distance-left:9.0pt;mso-wrap-distance-top:0.0pt;mso-wrap-distance-right:9.0pt;mso-wrap-distance-bottom:0.0pt;v-text-anchor:top;visibility:visible;" filled="f" stroked="f" strokeweight="0.50pt">
              <v:textbox inset="0,0,0,0">
                <w:txbxContent>
                  <w:p>
                    <w:pPr>
                      <w:pStyle w:val="7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lear" w:pos="4153" w:leader="none"/>
        <w:tab w:val="left" w:pos="5500"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961"/>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777"/>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8"/>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9"/>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80"/>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81"/>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82"/>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8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85"/>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Normal Indent"/>
    <w:basedOn w:val="734"/>
    <w:next w:val="748"/>
    <w:uiPriority w:val="0"/>
    <w:qFormat/>
    <w:pPr>
      <w:ind w:firstLine="420"/>
    </w:pPr>
    <w:rPr>
      <w:rFonts w:ascii="Times New Roman" w:hAnsi="Times New Roman"/>
      <w:szCs w:val="21"/>
    </w:rPr>
  </w:style>
  <w:style w:type="paragraph" w:styleId="748" w:customStyle="1">
    <w:name w:val="xl31"/>
    <w:basedOn w:val="734"/>
    <w:next w:val="749"/>
    <w:uiPriority w:val="0"/>
    <w:qFormat/>
    <w:pPr>
      <w:ind w:firstLine="3584"/>
      <w:spacing w:before="280" w:after="280"/>
      <w:widowControl/>
    </w:pPr>
  </w:style>
  <w:style w:type="paragraph" w:styleId="749">
    <w:name w:val="Body Text First Indent"/>
    <w:basedOn w:val="750"/>
    <w:next w:val="751"/>
    <w:uiPriority w:val="0"/>
    <w:qFormat/>
    <w:pPr>
      <w:ind w:firstLine="420"/>
    </w:pPr>
    <w:rPr>
      <w:rFonts w:ascii="Verdana" w:hAnsi="Verdana"/>
      <w:szCs w:val="28"/>
      <w:lang w:eastAsia="en-US"/>
    </w:rPr>
  </w:style>
  <w:style w:type="paragraph" w:styleId="750">
    <w:name w:val="Body Text"/>
    <w:basedOn w:val="734"/>
    <w:next w:val="734"/>
    <w:uiPriority w:val="99"/>
    <w:qFormat/>
    <w:rPr>
      <w:rFonts w:ascii="华文中宋" w:eastAsia="华文中宋"/>
      <w:bCs/>
      <w:sz w:val="28"/>
      <w:szCs w:val="20"/>
    </w:rPr>
  </w:style>
  <w:style w:type="paragraph" w:styleId="751">
    <w:name w:val="annotation subject"/>
    <w:basedOn w:val="752"/>
    <w:next w:val="753"/>
    <w:uiPriority w:val="0"/>
    <w:qFormat/>
    <w:rPr>
      <w:b/>
      <w:bCs/>
    </w:rPr>
  </w:style>
  <w:style w:type="paragraph" w:styleId="752">
    <w:name w:val="annotation text"/>
    <w:basedOn w:val="734"/>
    <w:uiPriority w:val="0"/>
    <w:qFormat/>
    <w:pPr>
      <w:jc w:val="left"/>
    </w:pPr>
  </w:style>
  <w:style w:type="paragraph" w:styleId="753" w:customStyle="1">
    <w:name w:val="Plain Text1"/>
    <w:basedOn w:val="734"/>
    <w:next w:val="746"/>
    <w:uiPriority w:val="0"/>
    <w:qFormat/>
    <w:pPr>
      <w:ind w:firstLine="3584"/>
      <w:spacing w:line="360" w:lineRule="auto"/>
    </w:pPr>
  </w:style>
  <w:style w:type="paragraph" w:styleId="754">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Body Text Indent"/>
    <w:basedOn w:val="734"/>
    <w:uiPriority w:val="0"/>
    <w:qFormat/>
    <w:pPr>
      <w:ind w:left="1050"/>
      <w:spacing w:line="500" w:lineRule="exact"/>
    </w:pPr>
    <w:rPr>
      <w:rFonts w:ascii="仿宋_GB2312" w:eastAsia="仿宋_GB2312"/>
      <w:sz w:val="28"/>
    </w:rPr>
  </w:style>
  <w:style w:type="paragraph" w:styleId="756">
    <w:name w:val="toc 5"/>
    <w:basedOn w:val="734"/>
    <w:next w:val="734"/>
    <w:uiPriority w:val="39"/>
    <w:unhideWhenUsed/>
    <w:qFormat/>
    <w:pPr>
      <w:ind w:left="1134" w:right="0" w:firstLine="0"/>
      <w:spacing w:after="57"/>
    </w:pPr>
  </w:style>
  <w:style w:type="paragraph" w:styleId="757">
    <w:name w:val="toc 3"/>
    <w:basedOn w:val="734"/>
    <w:next w:val="734"/>
    <w:uiPriority w:val="39"/>
    <w:unhideWhenUsed/>
    <w:qFormat/>
    <w:pPr>
      <w:ind w:left="567" w:right="0" w:firstLine="0"/>
      <w:spacing w:after="57"/>
    </w:pPr>
  </w:style>
  <w:style w:type="paragraph" w:styleId="758">
    <w:name w:val="toc 8"/>
    <w:basedOn w:val="734"/>
    <w:next w:val="734"/>
    <w:uiPriority w:val="39"/>
    <w:unhideWhenUsed/>
    <w:qFormat/>
    <w:pPr>
      <w:ind w:left="1984" w:right="0" w:firstLine="0"/>
      <w:spacing w:after="57"/>
    </w:pPr>
  </w:style>
  <w:style w:type="paragraph" w:styleId="759">
    <w:name w:val="Body Text Indent 2"/>
    <w:basedOn w:val="734"/>
    <w:uiPriority w:val="0"/>
    <w:qFormat/>
    <w:pPr>
      <w:ind w:left="630" w:firstLine="645"/>
    </w:pPr>
    <w:rPr>
      <w:rFonts w:ascii="Arial" w:hAnsi="Arial" w:eastAsia="仿宋_GB2312"/>
      <w:sz w:val="32"/>
      <w:szCs w:val="32"/>
    </w:rPr>
  </w:style>
  <w:style w:type="paragraph" w:styleId="760">
    <w:name w:val="endnote text"/>
    <w:basedOn w:val="734"/>
    <w:link w:val="923"/>
    <w:uiPriority w:val="99"/>
    <w:semiHidden/>
    <w:unhideWhenUsed/>
    <w:qFormat/>
    <w:pPr>
      <w:spacing w:after="0" w:line="240" w:lineRule="auto"/>
    </w:pPr>
    <w:rPr>
      <w:sz w:val="20"/>
    </w:rPr>
  </w:style>
  <w:style w:type="paragraph" w:styleId="761">
    <w:name w:val="Footer"/>
    <w:basedOn w:val="734"/>
    <w:link w:val="796"/>
    <w:uiPriority w:val="99"/>
    <w:unhideWhenUsed/>
    <w:qFormat/>
    <w:pPr>
      <w:spacing w:after="0" w:line="240" w:lineRule="auto"/>
      <w:tabs>
        <w:tab w:val="center" w:pos="7143" w:leader="none"/>
        <w:tab w:val="right" w:pos="14287" w:leader="none"/>
      </w:tabs>
    </w:pPr>
  </w:style>
  <w:style w:type="paragraph" w:styleId="762">
    <w:name w:val="Header"/>
    <w:basedOn w:val="734"/>
    <w:link w:val="794"/>
    <w:uiPriority w:val="99"/>
    <w:unhideWhenUsed/>
    <w:qFormat/>
    <w:pPr>
      <w:spacing w:after="0" w:line="240" w:lineRule="auto"/>
      <w:tabs>
        <w:tab w:val="center" w:pos="7143" w:leader="none"/>
        <w:tab w:val="right" w:pos="14287" w:leader="none"/>
      </w:tabs>
    </w:pPr>
  </w:style>
  <w:style w:type="paragraph" w:styleId="763">
    <w:name w:val="toc 1"/>
    <w:basedOn w:val="734"/>
    <w:next w:val="734"/>
    <w:uiPriority w:val="39"/>
    <w:unhideWhenUsed/>
    <w:qFormat/>
    <w:pPr>
      <w:ind w:left="0" w:right="0" w:firstLine="0"/>
      <w:spacing w:after="57"/>
    </w:pPr>
  </w:style>
  <w:style w:type="paragraph" w:styleId="764">
    <w:name w:val="toc 4"/>
    <w:basedOn w:val="734"/>
    <w:next w:val="734"/>
    <w:uiPriority w:val="39"/>
    <w:unhideWhenUsed/>
    <w:qFormat/>
    <w:pPr>
      <w:ind w:left="850" w:right="0" w:firstLine="0"/>
      <w:spacing w:after="57"/>
    </w:pPr>
  </w:style>
  <w:style w:type="paragraph" w:styleId="765">
    <w:name w:val="Subtitle"/>
    <w:basedOn w:val="734"/>
    <w:next w:val="734"/>
    <w:link w:val="789"/>
    <w:uiPriority w:val="11"/>
    <w:qFormat/>
    <w:pPr>
      <w:spacing w:before="200" w:after="200"/>
    </w:pPr>
    <w:rPr>
      <w:sz w:val="24"/>
      <w:szCs w:val="24"/>
    </w:rPr>
  </w:style>
  <w:style w:type="paragraph" w:styleId="766">
    <w:name w:val="footnote text"/>
    <w:basedOn w:val="734"/>
    <w:link w:val="922"/>
    <w:uiPriority w:val="99"/>
    <w:semiHidden/>
    <w:unhideWhenUsed/>
    <w:qFormat/>
    <w:pPr>
      <w:spacing w:after="40" w:line="240" w:lineRule="auto"/>
    </w:pPr>
    <w:rPr>
      <w:sz w:val="18"/>
    </w:rPr>
  </w:style>
  <w:style w:type="paragraph" w:styleId="767">
    <w:name w:val="toc 6"/>
    <w:basedOn w:val="734"/>
    <w:next w:val="734"/>
    <w:uiPriority w:val="39"/>
    <w:unhideWhenUsed/>
    <w:qFormat/>
    <w:pPr>
      <w:ind w:left="1417" w:right="0" w:firstLine="0"/>
      <w:spacing w:after="57"/>
    </w:pPr>
  </w:style>
  <w:style w:type="paragraph" w:styleId="768">
    <w:name w:val="table of figures"/>
    <w:basedOn w:val="734"/>
    <w:next w:val="734"/>
    <w:uiPriority w:val="99"/>
    <w:unhideWhenUsed/>
    <w:qFormat/>
    <w:pPr>
      <w:spacing w:after="0" w:afterAutospacing="0"/>
    </w:pPr>
  </w:style>
  <w:style w:type="paragraph" w:styleId="769">
    <w:name w:val="toc 2"/>
    <w:basedOn w:val="734"/>
    <w:next w:val="734"/>
    <w:uiPriority w:val="39"/>
    <w:unhideWhenUsed/>
    <w:qFormat/>
    <w:pPr>
      <w:ind w:left="283" w:right="0" w:firstLine="0"/>
      <w:spacing w:after="57"/>
    </w:pPr>
  </w:style>
  <w:style w:type="paragraph" w:styleId="770">
    <w:name w:val="toc 9"/>
    <w:basedOn w:val="734"/>
    <w:next w:val="734"/>
    <w:uiPriority w:val="39"/>
    <w:unhideWhenUsed/>
    <w:qFormat/>
    <w:pPr>
      <w:ind w:left="2268" w:right="0" w:firstLine="0"/>
      <w:spacing w:after="57"/>
    </w:pPr>
  </w:style>
  <w:style w:type="paragraph" w:styleId="771">
    <w:name w:val="Title"/>
    <w:basedOn w:val="734"/>
    <w:next w:val="734"/>
    <w:link w:val="788"/>
    <w:uiPriority w:val="10"/>
    <w:qFormat/>
    <w:pPr>
      <w:contextualSpacing/>
      <w:spacing w:before="300" w:after="200"/>
    </w:pPr>
    <w:rPr>
      <w:sz w:val="48"/>
      <w:szCs w:val="48"/>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page number"/>
    <w:basedOn w:val="744"/>
    <w:uiPriority w:val="0"/>
    <w:qFormat/>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character" w:styleId="777" w:customStyle="1">
    <w:name w:val="Heading 1 Char"/>
    <w:link w:val="735"/>
    <w:uiPriority w:val="9"/>
    <w:qFormat/>
    <w:rPr>
      <w:rFonts w:ascii="Arial" w:hAnsi="Arial" w:eastAsia="Arial" w:cs="Arial"/>
      <w:sz w:val="40"/>
      <w:szCs w:val="40"/>
    </w:rPr>
  </w:style>
  <w:style w:type="character" w:styleId="778" w:customStyle="1">
    <w:name w:val="Heading 2 Char"/>
    <w:link w:val="736"/>
    <w:uiPriority w:val="9"/>
    <w:qFormat/>
    <w:rPr>
      <w:rFonts w:ascii="Arial" w:hAnsi="Arial" w:eastAsia="Arial" w:cs="Arial"/>
      <w:sz w:val="34"/>
    </w:rPr>
  </w:style>
  <w:style w:type="character" w:styleId="779" w:customStyle="1">
    <w:name w:val="Heading 3 Char"/>
    <w:link w:val="737"/>
    <w:uiPriority w:val="9"/>
    <w:qFormat/>
    <w:rPr>
      <w:rFonts w:ascii="Arial" w:hAnsi="Arial" w:eastAsia="Arial" w:cs="Arial"/>
      <w:sz w:val="30"/>
      <w:szCs w:val="30"/>
    </w:rPr>
  </w:style>
  <w:style w:type="character" w:styleId="780" w:customStyle="1">
    <w:name w:val="Heading 4 Char"/>
    <w:link w:val="738"/>
    <w:uiPriority w:val="9"/>
    <w:qFormat/>
    <w:rPr>
      <w:rFonts w:ascii="Arial" w:hAnsi="Arial" w:eastAsia="Arial" w:cs="Arial"/>
      <w:b/>
      <w:bCs/>
      <w:sz w:val="26"/>
      <w:szCs w:val="26"/>
    </w:rPr>
  </w:style>
  <w:style w:type="character" w:styleId="781" w:customStyle="1">
    <w:name w:val="Heading 5 Char"/>
    <w:link w:val="739"/>
    <w:uiPriority w:val="9"/>
    <w:qFormat/>
    <w:rPr>
      <w:rFonts w:ascii="Arial" w:hAnsi="Arial" w:eastAsia="Arial" w:cs="Arial"/>
      <w:b/>
      <w:bCs/>
      <w:sz w:val="24"/>
      <w:szCs w:val="24"/>
    </w:rPr>
  </w:style>
  <w:style w:type="character" w:styleId="782" w:customStyle="1">
    <w:name w:val="Heading 6 Char"/>
    <w:link w:val="740"/>
    <w:uiPriority w:val="9"/>
    <w:qFormat/>
    <w:rPr>
      <w:rFonts w:ascii="Arial" w:hAnsi="Arial" w:eastAsia="Arial" w:cs="Arial"/>
      <w:b/>
      <w:bCs/>
      <w:sz w:val="22"/>
      <w:szCs w:val="22"/>
    </w:rPr>
  </w:style>
  <w:style w:type="character" w:styleId="783" w:customStyle="1">
    <w:name w:val="Heading 7 Char"/>
    <w:link w:val="741"/>
    <w:uiPriority w:val="9"/>
    <w:qFormat/>
    <w:rPr>
      <w:rFonts w:ascii="Arial" w:hAnsi="Arial" w:eastAsia="Arial" w:cs="Arial"/>
      <w:b/>
      <w:bCs/>
      <w:i/>
      <w:iCs/>
      <w:sz w:val="22"/>
      <w:szCs w:val="22"/>
    </w:rPr>
  </w:style>
  <w:style w:type="character" w:styleId="784" w:customStyle="1">
    <w:name w:val="Heading 8 Char"/>
    <w:link w:val="742"/>
    <w:uiPriority w:val="9"/>
    <w:qFormat/>
    <w:rPr>
      <w:rFonts w:ascii="Arial" w:hAnsi="Arial" w:eastAsia="Arial" w:cs="Arial"/>
      <w:i/>
      <w:iCs/>
      <w:sz w:val="22"/>
      <w:szCs w:val="22"/>
    </w:rPr>
  </w:style>
  <w:style w:type="character" w:styleId="785" w:customStyle="1">
    <w:name w:val="Heading 9 Char"/>
    <w:link w:val="743"/>
    <w:uiPriority w:val="9"/>
    <w:qFormat/>
    <w:rPr>
      <w:rFonts w:ascii="Arial" w:hAnsi="Arial" w:eastAsia="Arial" w:cs="Arial"/>
      <w:i/>
      <w:iCs/>
      <w:sz w:val="21"/>
      <w:szCs w:val="21"/>
    </w:rPr>
  </w:style>
  <w:style w:type="paragraph" w:styleId="786">
    <w:name w:val="List Paragraph"/>
    <w:basedOn w:val="734"/>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71"/>
    <w:uiPriority w:val="10"/>
    <w:qFormat/>
    <w:rPr>
      <w:sz w:val="48"/>
      <w:szCs w:val="48"/>
    </w:rPr>
  </w:style>
  <w:style w:type="character" w:styleId="789" w:customStyle="1">
    <w:name w:val="Subtitle Char"/>
    <w:link w:val="765"/>
    <w:uiPriority w:val="11"/>
    <w:qFormat/>
    <w:rPr>
      <w:sz w:val="24"/>
      <w:szCs w:val="24"/>
    </w:rPr>
  </w:style>
  <w:style w:type="paragraph" w:styleId="790">
    <w:name w:val="Quote"/>
    <w:basedOn w:val="734"/>
    <w:next w:val="734"/>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34"/>
    <w:next w:val="73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62"/>
    <w:uiPriority w:val="99"/>
    <w:qFormat/>
  </w:style>
  <w:style w:type="character" w:styleId="795" w:customStyle="1">
    <w:name w:val="Footer Char"/>
    <w:link w:val="761"/>
    <w:uiPriority w:val="99"/>
    <w:qFormat/>
  </w:style>
  <w:style w:type="character" w:styleId="796" w:customStyle="1">
    <w:name w:val="Caption Char"/>
    <w:link w:val="761"/>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66"/>
    <w:uiPriority w:val="99"/>
    <w:qFormat/>
    <w:rPr>
      <w:sz w:val="18"/>
    </w:rPr>
  </w:style>
  <w:style w:type="character" w:styleId="923" w:customStyle="1">
    <w:name w:val="Endnote Text Char"/>
    <w:link w:val="760"/>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
    <w:basedOn w:val="734"/>
    <w:next w:val="734"/>
    <w:uiPriority w:val="0"/>
    <w:qFormat/>
    <w:pPr>
      <w:keepNext/>
      <w:outlineLvl w:val="0"/>
    </w:pPr>
    <w:rPr>
      <w:rFonts w:ascii="楷体_GB2312" w:eastAsia="楷体_GB2312"/>
      <w:sz w:val="28"/>
      <w:szCs w:val="20"/>
    </w:rPr>
  </w:style>
  <w:style w:type="paragraph" w:styleId="926" w:customStyle="1">
    <w:name w:val="标题 21"/>
    <w:basedOn w:val="734"/>
    <w:next w:val="927"/>
    <w:uiPriority w:val="0"/>
    <w:qFormat/>
    <w:pPr>
      <w:jc w:val="center"/>
      <w:keepLines/>
      <w:keepNext/>
      <w:spacing w:before="260" w:after="260" w:line="416" w:lineRule="auto"/>
      <w:outlineLvl w:val="1"/>
    </w:pPr>
    <w:rPr>
      <w:rFonts w:ascii="Arial" w:hAnsi="Arial" w:eastAsia="幼圆"/>
      <w:b/>
      <w:sz w:val="44"/>
      <w:szCs w:val="20"/>
    </w:rPr>
  </w:style>
  <w:style w:type="paragraph" w:styleId="927" w:customStyle="1">
    <w:name w:val="正文缩进1"/>
    <w:basedOn w:val="734"/>
    <w:next w:val="734"/>
    <w:uiPriority w:val="0"/>
    <w:qFormat/>
    <w:pPr>
      <w:ind w:firstLine="420"/>
    </w:pPr>
    <w:rPr>
      <w:szCs w:val="21"/>
    </w:rPr>
  </w:style>
  <w:style w:type="paragraph" w:styleId="928" w:customStyle="1">
    <w:name w:val="标题 41"/>
    <w:basedOn w:val="734"/>
    <w:next w:val="734"/>
    <w:uiPriority w:val="0"/>
    <w:qFormat/>
    <w:pPr>
      <w:keepLines/>
      <w:keepNext/>
      <w:spacing w:before="120" w:after="120"/>
      <w:outlineLvl w:val="3"/>
    </w:pPr>
    <w:rPr>
      <w:rFonts w:ascii="Arial" w:hAnsi="Arial" w:eastAsia="黑体"/>
      <w:b/>
      <w:sz w:val="28"/>
    </w:rPr>
  </w:style>
  <w:style w:type="character" w:styleId="929" w:customStyle="1">
    <w:name w:val="默认段落字体1"/>
    <w:link w:val="734"/>
    <w:uiPriority w:val="0"/>
    <w:semiHidden/>
    <w:qFormat/>
  </w:style>
  <w:style w:type="table" w:styleId="930" w:customStyle="1">
    <w:name w:val="普通表格1"/>
    <w:uiPriority w:val="0"/>
    <w:semiHidden/>
    <w:qFormat/>
    <w:tblPr/>
  </w:style>
  <w:style w:type="paragraph" w:styleId="931" w:customStyle="1">
    <w:name w:val="批注文字1"/>
    <w:basedOn w:val="734"/>
    <w:uiPriority w:val="0"/>
    <w:qFormat/>
    <w:pPr>
      <w:jc w:val="left"/>
    </w:pPr>
  </w:style>
  <w:style w:type="paragraph" w:styleId="932" w:customStyle="1">
    <w:name w:val="正文文本1"/>
    <w:basedOn w:val="734"/>
    <w:uiPriority w:val="0"/>
    <w:qFormat/>
    <w:rPr>
      <w:rFonts w:ascii="楷体_GB2312" w:hAnsi="Arial" w:eastAsia="楷体_GB2312"/>
      <w:sz w:val="28"/>
      <w:szCs w:val="20"/>
    </w:rPr>
  </w:style>
  <w:style w:type="paragraph" w:styleId="933" w:customStyle="1">
    <w:name w:val="正文文本缩进1"/>
    <w:basedOn w:val="734"/>
    <w:uiPriority w:val="0"/>
    <w:qFormat/>
    <w:pPr>
      <w:ind w:firstLine="645"/>
    </w:pPr>
    <w:rPr>
      <w:rFonts w:ascii="楷体_GB2312" w:eastAsia="楷体_GB2312"/>
      <w:sz w:val="32"/>
      <w:szCs w:val="20"/>
    </w:rPr>
  </w:style>
  <w:style w:type="paragraph" w:styleId="934" w:customStyle="1">
    <w:name w:val="纯文本11"/>
    <w:basedOn w:val="734"/>
    <w:uiPriority w:val="0"/>
    <w:qFormat/>
    <w:rPr>
      <w:rFonts w:ascii="宋体" w:hAnsi="Courier New"/>
      <w:szCs w:val="21"/>
      <w:lang w:val="zh-CN"/>
    </w:rPr>
  </w:style>
  <w:style w:type="paragraph" w:styleId="935" w:customStyle="1">
    <w:name w:val="批注框文本1"/>
    <w:basedOn w:val="734"/>
    <w:link w:val="936"/>
    <w:uiPriority w:val="0"/>
    <w:qFormat/>
    <w:pPr>
      <w:spacing w:line="240" w:lineRule="auto"/>
    </w:pPr>
    <w:rPr>
      <w:sz w:val="18"/>
      <w:szCs w:val="18"/>
    </w:rPr>
  </w:style>
  <w:style w:type="character" w:styleId="936" w:customStyle="1">
    <w:name w:val="批注框文本 Char"/>
    <w:link w:val="935"/>
    <w:uiPriority w:val="0"/>
    <w:qFormat/>
    <w:rPr>
      <w:sz w:val="18"/>
      <w:szCs w:val="18"/>
    </w:rPr>
  </w:style>
  <w:style w:type="paragraph" w:styleId="937" w:customStyle="1">
    <w:name w:val="页脚1"/>
    <w:basedOn w:val="734"/>
    <w:uiPriority w:val="0"/>
    <w:qFormat/>
    <w:pPr>
      <w:jc w:val="left"/>
      <w:tabs>
        <w:tab w:val="center" w:pos="4153" w:leader="none"/>
        <w:tab w:val="right" w:pos="8306" w:leader="none"/>
      </w:tabs>
    </w:pPr>
    <w:rPr>
      <w:sz w:val="18"/>
      <w:szCs w:val="20"/>
    </w:rPr>
  </w:style>
  <w:style w:type="paragraph" w:styleId="938"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副标题1"/>
    <w:basedOn w:val="734"/>
    <w:next w:val="734"/>
    <w:uiPriority w:val="0"/>
    <w:qFormat/>
    <w:pPr>
      <w:jc w:val="center"/>
      <w:spacing w:before="240" w:after="60" w:line="312" w:lineRule="auto"/>
      <w:outlineLvl w:val="1"/>
    </w:pPr>
    <w:rPr>
      <w:rFonts w:ascii="Cambria" w:hAnsi="Cambria"/>
      <w:b/>
      <w:sz w:val="32"/>
    </w:rPr>
  </w:style>
  <w:style w:type="paragraph" w:styleId="940" w:customStyle="1">
    <w:name w:val="普通(网站)1"/>
    <w:basedOn w:val="734"/>
    <w:uiPriority w:val="0"/>
    <w:qFormat/>
    <w:pPr>
      <w:jc w:val="left"/>
      <w:spacing w:before="100" w:beforeAutospacing="1" w:after="100" w:afterAutospacing="1"/>
      <w:widowControl/>
    </w:pPr>
    <w:rPr>
      <w:rFonts w:ascii="宋体" w:hAnsi="宋体" w:cs="宋体"/>
      <w:sz w:val="24"/>
    </w:rPr>
  </w:style>
  <w:style w:type="paragraph" w:styleId="941" w:customStyle="1">
    <w:name w:val="正文首行缩进1"/>
    <w:basedOn w:val="932"/>
    <w:uiPriority w:val="0"/>
    <w:qFormat/>
    <w:pPr>
      <w:ind w:firstLine="420"/>
      <w:spacing w:after="120"/>
    </w:pPr>
    <w:rPr>
      <w:szCs w:val="24"/>
    </w:rPr>
  </w:style>
  <w:style w:type="paragraph" w:styleId="942" w:customStyle="1">
    <w:name w:val="正文首行缩进 21"/>
    <w:basedOn w:val="933"/>
    <w:uiPriority w:val="0"/>
    <w:semiHidden/>
    <w:qFormat/>
    <w:pPr>
      <w:ind w:firstLine="420"/>
    </w:pPr>
  </w:style>
  <w:style w:type="table" w:styleId="943" w:customStyle="1">
    <w:name w:val="网格型1"/>
    <w:basedOn w:val="930"/>
    <w:uiPriority w:val="0"/>
    <w:qFormat/>
    <w:pPr>
      <w:jc w:val="both"/>
      <w:widowControl w:val="off"/>
    </w:pPr>
    <w:rPr>
      <w:lang w:val="en-US" w:eastAsia="zh-CN" w:bidi="ar-SA"/>
    </w:rPr>
    <w:tblPr/>
  </w:style>
  <w:style w:type="character" w:styleId="944" w:customStyle="1">
    <w:name w:val="页码1"/>
    <w:link w:val="734"/>
    <w:uiPriority w:val="0"/>
    <w:qFormat/>
    <w:rPr>
      <w:rFonts w:ascii="Times New Roman" w:hAnsi="Times New Roman" w:eastAsia="宋体"/>
    </w:rPr>
  </w:style>
  <w:style w:type="paragraph" w:styleId="945" w:customStyle="1">
    <w:name w:val="段"/>
    <w:next w:val="946"/>
    <w:uiPriority w:val="0"/>
    <w:qFormat/>
    <w:pPr>
      <w:ind w:firstLine="200"/>
      <w:jc w:val="both"/>
    </w:pPr>
    <w:rPr>
      <w:rFonts w:hint="default" w:ascii="宋体" w:hAnsi="Times New Roman" w:eastAsia="宋体" w:cs="Times New Roman"/>
      <w:sz w:val="21"/>
      <w:lang w:val="en-US" w:eastAsia="zh-CN" w:bidi="ar-SA"/>
    </w:rPr>
  </w:style>
  <w:style w:type="paragraph" w:styleId="946" w:customStyle="1">
    <w:name w:val="正文11"/>
    <w:next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Default"/>
    <w:basedOn w:val="734"/>
    <w:uiPriority w:val="0"/>
    <w:qFormat/>
    <w:pPr>
      <w:jc w:val="left"/>
    </w:pPr>
    <w:rPr>
      <w:rFonts w:ascii="仿宋" w:hAnsi="仿宋" w:eastAsia="仿宋" w:cs="宋体"/>
      <w:color w:val="000000"/>
      <w:sz w:val="24"/>
    </w:rPr>
  </w:style>
  <w:style w:type="paragraph" w:styleId="948" w:customStyle="1">
    <w:name w:val="TOC 71"/>
    <w:basedOn w:val="734"/>
    <w:next w:val="734"/>
    <w:uiPriority w:val="0"/>
    <w:qFormat/>
    <w:pPr>
      <w:ind w:left="2550"/>
      <w:spacing w:before="100" w:beforeAutospacing="1" w:after="100" w:afterAutospacing="1"/>
      <w:widowControl/>
    </w:pPr>
    <w:rPr>
      <w:szCs w:val="21"/>
    </w:rPr>
  </w:style>
  <w:style w:type="paragraph" w:styleId="949" w:customStyle="1">
    <w:name w:val="普通正文"/>
    <w:basedOn w:val="734"/>
    <w:uiPriority w:val="0"/>
    <w:qFormat/>
    <w:pPr>
      <w:ind w:firstLine="480"/>
      <w:jc w:val="left"/>
      <w:spacing w:before="120" w:after="120" w:line="360" w:lineRule="auto"/>
    </w:pPr>
    <w:rPr>
      <w:rFonts w:ascii="Arial" w:hAnsi="Arial"/>
      <w:sz w:val="24"/>
    </w:rPr>
  </w:style>
  <w:style w:type="paragraph" w:styleId="950" w:customStyle="1">
    <w:name w:val="WPSOffice手动目录 1"/>
    <w:uiPriority w:val="0"/>
    <w:qFormat/>
    <w:rPr>
      <w:rFonts w:hint="default" w:ascii="Times New Roman" w:hAnsi="Times New Roman" w:eastAsia="宋体" w:cs="Times New Roman"/>
      <w:lang w:val="en-US" w:eastAsia="zh-CN" w:bidi="ar-SA"/>
    </w:rPr>
  </w:style>
  <w:style w:type="paragraph" w:styleId="951" w:customStyle="1">
    <w:name w:val="List Paragraph1"/>
    <w:basedOn w:val="734"/>
    <w:uiPriority w:val="0"/>
    <w:qFormat/>
    <w:pPr>
      <w:ind w:firstLine="420"/>
    </w:pPr>
    <w:rPr>
      <w:szCs w:val="22"/>
    </w:rPr>
  </w:style>
  <w:style w:type="paragraph" w:styleId="952" w:customStyle="1">
    <w:name w:val="_Style 21"/>
    <w:basedOn w:val="734"/>
    <w:next w:val="951"/>
    <w:uiPriority w:val="0"/>
    <w:qFormat/>
    <w:pPr>
      <w:ind w:left="890" w:firstLine="420"/>
      <w:jc w:val="left"/>
    </w:pPr>
    <w:rPr>
      <w:rFonts w:ascii="Calibri" w:hAnsi="Calibri"/>
      <w:szCs w:val="22"/>
    </w:rPr>
  </w:style>
  <w:style w:type="paragraph" w:styleId="953" w:customStyle="1">
    <w:name w:val="列出段落1"/>
    <w:basedOn w:val="734"/>
    <w:uiPriority w:val="0"/>
    <w:qFormat/>
    <w:pPr>
      <w:ind w:firstLine="420"/>
    </w:pPr>
    <w:rPr>
      <w:rFonts w:ascii="Calibri" w:hAnsi="Calibri"/>
      <w:szCs w:val="22"/>
    </w:rPr>
  </w:style>
  <w:style w:type="paragraph" w:styleId="954" w:customStyle="1">
    <w:name w:val="正文空2格  1."/>
    <w:basedOn w:val="734"/>
    <w:uiPriority w:val="0"/>
    <w:qFormat/>
    <w:pPr>
      <w:ind w:firstLine="480"/>
    </w:pPr>
    <w:rPr>
      <w:rFonts w:cs="宋体"/>
      <w:sz w:val="28"/>
      <w:szCs w:val="20"/>
    </w:rPr>
  </w:style>
  <w:style w:type="paragraph" w:styleId="955" w:customStyle="1">
    <w:name w:val="_Style 1"/>
    <w:uiPriority w:val="0"/>
    <w:qFormat/>
    <w:rPr>
      <w:rFonts w:hint="default" w:ascii="Tahoma" w:hAnsi="Tahoma" w:eastAsia="宋体" w:cs="Times New Roman"/>
      <w:sz w:val="22"/>
      <w:szCs w:val="22"/>
      <w:lang w:val="en-US" w:eastAsia="zh-CN" w:bidi="ar-SA"/>
    </w:rPr>
  </w:style>
  <w:style w:type="paragraph" w:styleId="956" w:customStyle="1">
    <w:name w:val="注释标题1"/>
    <w:basedOn w:val="734"/>
    <w:next w:val="734"/>
    <w:uiPriority w:val="0"/>
    <w:qFormat/>
    <w:rPr>
      <w:rFonts w:ascii="Verdana" w:hAnsi="Verdana"/>
      <w:szCs w:val="20"/>
    </w:rPr>
  </w:style>
  <w:style w:type="paragraph" w:styleId="957" w:customStyle="1">
    <w:name w:val="纯文本1"/>
    <w:basedOn w:val="734"/>
    <w:uiPriority w:val="0"/>
    <w:qFormat/>
    <w:rPr>
      <w:rFonts w:ascii="宋体" w:hAnsi="Courier New" w:eastAsia="楷体_GB2312" w:cs="宋体"/>
      <w:sz w:val="28"/>
      <w:szCs w:val="21"/>
    </w:rPr>
  </w:style>
  <w:style w:type="paragraph" w:styleId="95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59" w:customStyle="1">
    <w:name w:val="目录 11"/>
    <w:basedOn w:val="946"/>
    <w:next w:val="946"/>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60" w:customStyle="1">
    <w:name w:val="Char"/>
    <w:basedOn w:val="734"/>
    <w:uiPriority w:val="0"/>
    <w:qFormat/>
    <w:pPr>
      <w:tabs>
        <w:tab w:val="left" w:pos="360" w:leader="none"/>
      </w:tabs>
    </w:pPr>
    <w:rPr>
      <w:sz w:val="24"/>
    </w:rPr>
  </w:style>
  <w:style w:type="character" w:styleId="961" w:customStyle="1">
    <w:name w:val="font21"/>
    <w:link w:val="734"/>
    <w:uiPriority w:val="0"/>
    <w:qFormat/>
    <w:rPr>
      <w:rFonts w:hint="eastAsia" w:ascii="宋体" w:hAnsi="宋体" w:eastAsia="宋体" w:cs="宋体"/>
      <w:color w:val="ff0000"/>
      <w:sz w:val="22"/>
      <w:szCs w:val="22"/>
      <w:u w:val="none"/>
    </w:rPr>
  </w:style>
  <w:style w:type="paragraph" w:styleId="962" w:customStyle="1">
    <w:name w:val="列出段落"/>
    <w:basedOn w:val="734"/>
    <w:uiPriority w:val="34"/>
    <w:qFormat/>
    <w:pPr>
      <w:ind w:firstLine="420"/>
    </w:pPr>
    <w:rPr>
      <w:szCs w:val="24"/>
    </w:rPr>
  </w:style>
  <w:style w:type="table" w:styleId="963" w:customStyle="1">
    <w:name w:val="Table Normal"/>
    <w:uiPriority w:val="0"/>
    <w:unhideWhenUsed/>
    <w:qFormat/>
    <w:rPr>
      <w:lang w:val="en-US" w:eastAsia="zh-CN" w:bidi="ar-SA"/>
    </w:rPr>
    <w:tblPr/>
  </w:style>
  <w:style w:type="paragraph" w:styleId="964" w:customStyle="1">
    <w:name w:val="Table Text"/>
    <w:basedOn w:val="734"/>
    <w:uiPriority w:val="0"/>
    <w:semiHidden/>
    <w:qFormat/>
    <w:rPr>
      <w:rFonts w:ascii="Arial" w:hAnsi="Arial" w:eastAsia="Arial" w:cs="Arial"/>
      <w:sz w:val="21"/>
      <w:szCs w:val="21"/>
      <w:lang w:val="en-US" w:eastAsia="en-US" w:bidi="ar-SA"/>
    </w:rPr>
  </w:style>
  <w:style w:type="character" w:styleId="965" w:customStyle="1">
    <w:name w:val="Body Text Char"/>
    <w:uiPriority w:val="0"/>
    <w:qFormat/>
    <w:rPr>
      <w:rFonts w:ascii="Gill Sans" w:hAnsi="Gill Sans" w:eastAsia="宋体" w:cs="Times New Roman"/>
      <w:lang w:val="en-US" w:eastAsia="en-US" w:bidi="ar-SA"/>
    </w:rPr>
  </w:style>
  <w:style w:type="character" w:styleId="966" w:customStyle="1">
    <w:name w:val="apple-style-span"/>
    <w:basedOn w:val="744"/>
    <w:uiPriority w:val="99"/>
    <w:qFormat/>
    <w:rPr>
      <w:rFonts w:cs="Times New Roman"/>
    </w:rPr>
  </w:style>
  <w:style w:type="paragraph" w:styleId="967" w:customStyle="1">
    <w:name w:val="首行缩进"/>
    <w:basedOn w:val="734"/>
    <w:uiPriority w:val="0"/>
    <w:qFormat/>
    <w:pPr>
      <w:ind w:firstLine="480"/>
    </w:pPr>
    <w:rPr>
      <w:szCs w:val="20"/>
      <w:lang w:val="zh-CN"/>
    </w:rPr>
  </w:style>
  <w:style w:type="numbering" w:styleId="8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沈津津</cp:lastModifiedBy>
  <cp:revision>12</cp:revision>
  <dcterms:created xsi:type="dcterms:W3CDTF">2025-04-24T15:07:00Z</dcterms:created>
  <dcterms:modified xsi:type="dcterms:W3CDTF">2025-12-01T04:25:28Z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360256CAAB844E94B6024001C0022B4F_13</vt:lpwstr>
  </property>
  <property fmtid="{D5CDD505-2E9C-101B-9397-08002B2CF9AE}" pid="4" name="KSOTemplateDocerSaveRecord">
    <vt:lpwstr>eyJoZGlkIjoiMzEwNTM5NzYwMDRjMzkwZTVkZjY2ODkwMGIxNGU0OTUiLCJ1c2VySWQiOiIxMTQyNTk4MDg3In0=</vt:lpwstr>
  </property>
</Properties>
</file>