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left="3196" w:hanging="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项目名称：</w:t>
      </w:r>
      <w:r>
        <w:rPr>
          <w:rFonts w:hint="eastAsia"/>
          <w:color w:val="auto"/>
          <w:sz w:val="32"/>
          <w:szCs w:val="32"/>
          <w:highlight w:val="none"/>
          <w:lang w:eastAsia="zh-CN"/>
        </w:rPr>
        <w:t xml:space="preserve">丰县华山镇镇区保洁及绿化养护项目</w:t>
      </w:r>
      <w:r/>
    </w:p>
    <w:p>
      <w:pPr>
        <w:ind w:firstLine="1600"/>
        <w:spacing w:line="360" w:lineRule="auto"/>
        <w:rPr>
          <w:rFonts w:hint="eastAsia"/>
          <w:color w:val="auto"/>
          <w:sz w:val="32"/>
          <w:szCs w:val="32"/>
          <w:highlight w:val="none"/>
          <w:lang w:eastAsia="zh-CN"/>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JSZC-320321-XZZX-G2024-0025</w:t>
      </w:r>
      <w:r/>
    </w:p>
    <w:p>
      <w:pPr>
        <w:ind w:firstLine="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招 标 人：</w:t>
      </w:r>
      <w:r>
        <w:rPr>
          <w:rFonts w:hint="eastAsia"/>
          <w:color w:val="auto"/>
          <w:sz w:val="32"/>
          <w:szCs w:val="32"/>
          <w:highlight w:val="none"/>
          <w:lang w:eastAsia="zh-CN"/>
        </w:rPr>
        <w:t xml:space="preserve">丰县华山镇人民政府</w:t>
      </w:r>
      <w:r/>
    </w:p>
    <w:p>
      <w:pPr>
        <w:rPr>
          <w:color w:val="auto"/>
          <w:sz w:val="32"/>
          <w:szCs w:val="32"/>
          <w:highlight w:val="none"/>
        </w:rPr>
      </w:pPr>
      <w:r>
        <w:rPr>
          <w:color w:val="auto"/>
          <w:sz w:val="32"/>
          <w:szCs w:val="32"/>
          <w:highlight w:val="none"/>
        </w:rPr>
      </w:r>
      <w:r/>
    </w:p>
    <w:p>
      <w:pPr>
        <w:pStyle w:val="845"/>
        <w:jc w:val="center"/>
        <w:rPr>
          <w:color w:val="auto"/>
          <w:highlight w:val="none"/>
        </w:rPr>
      </w:pPr>
      <w:r>
        <w:rPr>
          <w:color w:val="auto"/>
          <w:highlight w:val="none"/>
        </w:rPr>
      </w:r>
      <w:r/>
    </w:p>
    <w:p>
      <w:pPr>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pStyle w:val="798"/>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jc w:val="center"/>
        <w:rPr>
          <w:rFonts w:hint="eastAsia" w:eastAsia="宋体"/>
          <w:color w:val="auto"/>
          <w:sz w:val="32"/>
          <w:szCs w:val="32"/>
          <w:highlight w:val="none"/>
          <w:lang w:eastAsia="zh-CN"/>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徐州众信项目管理咨询有限公司</w:t>
      </w:r>
      <w:r/>
    </w:p>
    <w:p>
      <w:pPr>
        <w:pStyle w:val="800"/>
        <w:rPr>
          <w:color w:val="auto"/>
          <w:highlight w:val="none"/>
        </w:rPr>
      </w:pPr>
      <w:r>
        <w:rPr>
          <w:color w:val="auto"/>
          <w:highlight w:val="none"/>
        </w:rPr>
      </w:r>
      <w:r/>
    </w:p>
    <w:p>
      <w:pPr>
        <w:jc w:val="center"/>
        <w:rPr>
          <w:color w:val="auto"/>
          <w:sz w:val="32"/>
          <w:szCs w:val="32"/>
          <w:highlight w:val="none"/>
        </w:rPr>
      </w:pPr>
      <w:r>
        <w:rPr>
          <w:rFonts w:hint="eastAsia"/>
          <w:color w:val="auto"/>
          <w:sz w:val="32"/>
          <w:szCs w:val="32"/>
          <w:highlight w:val="none"/>
        </w:rPr>
        <w:t xml:space="preserve">二〇二四年</w:t>
      </w:r>
      <w:r>
        <w:rPr>
          <w:rFonts w:hint="eastAsia"/>
          <w:color w:val="auto"/>
          <w:sz w:val="32"/>
          <w:szCs w:val="32"/>
          <w:highlight w:val="none"/>
          <w:lang w:val="en-US" w:eastAsia="zh-CN"/>
        </w:rPr>
        <w:t xml:space="preserve">十二</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815"/>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_Toc996 \h </w:instrText>
      </w:r>
      <w:r>
        <w:rPr>
          <w:color w:val="auto"/>
          <w:sz w:val="28"/>
          <w:szCs w:val="21"/>
          <w:highlight w:val="none"/>
        </w:rPr>
        <w:fldChar w:fldCharType="separate"/>
      </w:r>
      <w:r>
        <w:rPr>
          <w:color w:val="auto"/>
          <w:sz w:val="28"/>
          <w:szCs w:val="21"/>
          <w:highlight w:val="none"/>
        </w:rPr>
        <w:t xml:space="preserve">3</w:t>
      </w:r>
      <w:r>
        <w:rPr>
          <w:color w:val="auto"/>
          <w:sz w:val="28"/>
          <w:szCs w:val="21"/>
          <w:highlight w:val="none"/>
        </w:rPr>
        <w:fldChar w:fldCharType="end"/>
      </w:r>
      <w:r>
        <w:rPr>
          <w:color w:val="auto"/>
          <w:sz w:val="28"/>
          <w:szCs w:val="21"/>
          <w:highlight w:val="none"/>
        </w:rPr>
        <w:fldChar w:fldCharType="end"/>
      </w:r>
      <w:r/>
    </w:p>
    <w:p>
      <w:pPr>
        <w:pStyle w:val="815"/>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lang w:val="en-US" w:eastAsia="zh-CN"/>
        </w:rPr>
        <w:t xml:space="preserve">5</w:t>
      </w:r>
      <w:r>
        <w:rPr>
          <w:color w:val="auto"/>
          <w:sz w:val="28"/>
          <w:szCs w:val="21"/>
          <w:highlight w:val="none"/>
        </w:rPr>
        <w:fldChar w:fldCharType="end"/>
      </w:r>
      <w:r/>
    </w:p>
    <w:p>
      <w:pPr>
        <w:pStyle w:val="815"/>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3</w:t>
      </w:r>
      <w:r/>
    </w:p>
    <w:p>
      <w:pPr>
        <w:pStyle w:val="815"/>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0</w:t>
      </w:r>
      <w:r/>
    </w:p>
    <w:p>
      <w:pPr>
        <w:pStyle w:val="815"/>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2</w:t>
      </w:r>
      <w:r/>
    </w:p>
    <w:p>
      <w:pPr>
        <w:pStyle w:val="815"/>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815"/>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rPr>
          <w:rFonts w:hint="eastAsia"/>
          <w:color w:val="auto"/>
          <w:sz w:val="28"/>
          <w:szCs w:val="21"/>
          <w:highlight w:val="none"/>
          <w:lang w:val="en-US" w:eastAsia="zh-CN"/>
        </w:rPr>
        <w:t xml:space="preserve">0</w:t>
      </w:r>
      <w:r/>
    </w:p>
    <w:p>
      <w:pPr>
        <w:spacing w:line="480" w:lineRule="auto"/>
        <w:rPr>
          <w:color w:val="auto"/>
          <w:highlight w:val="none"/>
        </w:rPr>
      </w:pPr>
      <w:r>
        <w:rPr>
          <w:rFonts w:hint="eastAsia"/>
          <w:color w:val="auto"/>
          <w:sz w:val="28"/>
          <w:szCs w:val="21"/>
          <w:highlight w:val="none"/>
        </w:rPr>
        <w:fldChar w:fldCharType="end"/>
      </w:r>
      <w:r/>
    </w:p>
    <w:p>
      <w:pPr>
        <w:pStyle w:val="835"/>
        <w:jc w:val="center"/>
        <w:spacing w:line="520" w:lineRule="exact"/>
        <w:rPr>
          <w:rFonts w:ascii="宋体" w:hAnsi="宋体"/>
          <w:b/>
          <w:color w:val="auto"/>
          <w:sz w:val="44"/>
          <w:szCs w:val="44"/>
          <w:highlight w:val="none"/>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835"/>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丰县华山镇人民政府</w:t>
      </w:r>
      <w:r/>
    </w:p>
    <w:p>
      <w:pPr>
        <w:pStyle w:val="835"/>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丰县华山镇镇区保洁及绿化养护项目</w:t>
      </w:r>
      <w:r>
        <w:rPr>
          <w:rFonts w:ascii="宋体" w:hAnsi="宋体"/>
          <w:b/>
          <w:color w:val="auto"/>
          <w:sz w:val="44"/>
          <w:szCs w:val="44"/>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87"/>
        <w:ind w:firstLine="1446"/>
        <w:jc w:val="both"/>
        <w:rPr>
          <w:color w:val="auto"/>
          <w:highlight w:val="none"/>
        </w:rPr>
      </w:pPr>
      <w:r/>
      <w:bookmarkStart w:id="0" w:name="_Toc523404695"/>
      <w:r/>
      <w:bookmarkStart w:id="1" w:name="_Toc996"/>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徐州众信项目管理咨询有限公司</w:t>
      </w:r>
      <w:r>
        <w:rPr>
          <w:color w:val="auto"/>
          <w:highlight w:val="none"/>
        </w:rPr>
        <w:t xml:space="preserve">对</w:t>
      </w:r>
      <w:r>
        <w:rPr>
          <w:rFonts w:hint="eastAsia"/>
          <w:color w:val="auto"/>
          <w:highlight w:val="none"/>
          <w:lang w:eastAsia="zh-CN"/>
        </w:rPr>
        <w:t xml:space="preserve">丰县华山镇人民政府</w:t>
      </w:r>
      <w:r>
        <w:rPr>
          <w:rFonts w:hint="eastAsia"/>
          <w:color w:val="auto"/>
          <w:highlight w:val="none"/>
        </w:rPr>
        <w:t xml:space="preserve">“</w:t>
      </w:r>
      <w:r>
        <w:rPr>
          <w:rFonts w:hint="eastAsia"/>
          <w:color w:val="auto"/>
          <w:highlight w:val="none"/>
          <w:lang w:eastAsia="zh-CN"/>
        </w:rPr>
        <w:t xml:space="preserve">丰县华山镇镇区保洁及绿化养护项目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丰县华山镇镇区保洁及绿化养护项目</w:t>
      </w:r>
      <w:r/>
    </w:p>
    <w:p>
      <w:pPr>
        <w:ind w:firstLine="480"/>
        <w:rPr>
          <w:rFonts w:hint="eastAsia"/>
          <w:color w:val="auto"/>
          <w:highlight w:val="none"/>
          <w:lang w:eastAsia="zh-CN"/>
        </w:rPr>
      </w:pPr>
      <w:r>
        <w:rPr>
          <w:color w:val="auto"/>
          <w:highlight w:val="none"/>
        </w:rPr>
        <w:t xml:space="preserve">(二)项目编号</w:t>
      </w:r>
      <w:r>
        <w:rPr>
          <w:rFonts w:hint="eastAsia"/>
          <w:color w:val="auto"/>
          <w:highlight w:val="none"/>
          <w:lang w:eastAsia="zh-CN"/>
        </w:rPr>
        <w:t xml:space="preserve">JSZC-320321-XZZX-G2024-0025</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rFonts w:hint="eastAsia"/>
          <w:color w:val="auto"/>
          <w:highlight w:val="none"/>
        </w:rPr>
      </w:pPr>
      <w:r>
        <w:rPr>
          <w:rFonts w:hint="eastAsia"/>
          <w:color w:val="auto"/>
          <w:highlight w:val="none"/>
        </w:rPr>
        <w:t xml:space="preserve">（1）潜在供应商访问电子招标投标交易平台的网络地址和方法：</w:t>
      </w:r>
      <w:r/>
    </w:p>
    <w:p>
      <w:pPr>
        <w:ind w:firstLine="480"/>
        <w:rPr>
          <w:rFonts w:hint="eastAsia"/>
          <w:color w:val="auto"/>
          <w:highlight w:val="none"/>
        </w:rPr>
      </w:pPr>
      <w:r>
        <w:rPr>
          <w:rFonts w:hint="eastAsia"/>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rPr>
          <w:rFonts w:hint="eastAsia"/>
          <w:color w:val="auto"/>
          <w:highlight w:val="none"/>
        </w:rPr>
      </w:pPr>
      <w:r>
        <w:rPr>
          <w:rFonts w:hint="eastAsia"/>
          <w:color w:val="auto"/>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rPr>
          <w:rFonts w:hint="eastAsia"/>
          <w:color w:val="auto"/>
          <w:highlight w:val="none"/>
        </w:rPr>
      </w:pPr>
      <w:r>
        <w:rPr>
          <w:rFonts w:hint="eastAsia"/>
          <w:color w:val="auto"/>
          <w:highlight w:val="none"/>
        </w:rPr>
        <w:t xml:space="preserve">③“CA数字证书”的获取：</w:t>
      </w:r>
      <w:r/>
    </w:p>
    <w:p>
      <w:pPr>
        <w:ind w:firstLine="480"/>
        <w:rPr>
          <w:rFonts w:hint="eastAsia"/>
          <w:color w:val="auto"/>
          <w:highlight w:val="none"/>
        </w:rPr>
      </w:pP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rPr>
          <w:rFonts w:hint="eastAsia"/>
          <w:color w:val="auto"/>
          <w:highlight w:val="none"/>
        </w:rPr>
      </w:pPr>
      <w:r>
        <w:rPr>
          <w:rFonts w:hint="eastAsia"/>
          <w:color w:val="auto"/>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color w:val="auto"/>
          <w:highlight w:val="none"/>
        </w:rPr>
      </w:pPr>
      <w:r>
        <w:rPr>
          <w:rFonts w:hint="eastAsia"/>
          <w:color w:val="auto"/>
          <w:highlight w:val="none"/>
        </w:rPr>
        <w:t xml:space="preserve">（2）采购代理机构将数据电文形式的招标文件加载至电子招标投标交易平台，供潜在供应商下载或者查阅。</w:t>
      </w:r>
      <w:r/>
    </w:p>
    <w:p>
      <w:pPr>
        <w:ind w:firstLine="480"/>
        <w:rPr>
          <w:rFonts w:hint="eastAsia"/>
          <w:color w:val="auto"/>
          <w:highlight w:val="none"/>
        </w:rPr>
      </w:pPr>
      <w:r>
        <w:rPr>
          <w:rFonts w:hint="eastAsia"/>
          <w:color w:val="auto"/>
          <w:highlight w:val="none"/>
        </w:rPr>
        <w:t xml:space="preserve">（3）苏采云系统使用谷歌浏览器参与不见面开标。</w:t>
      </w:r>
      <w:r/>
    </w:p>
    <w:p>
      <w:pPr>
        <w:ind w:firstLine="480"/>
        <w:rPr>
          <w:color w:val="auto"/>
          <w:highlight w:val="none"/>
        </w:rPr>
      </w:pPr>
      <w:r>
        <w:rPr>
          <w:rFonts w:hint="eastAsia"/>
          <w:color w:val="auto"/>
          <w:highlight w:val="none"/>
        </w:rPr>
        <w:t xml:space="preserve">（4）售价：免费。  </w:t>
      </w:r>
      <w:r>
        <w:rPr>
          <w:color w:val="auto"/>
          <w:highlight w:val="none"/>
        </w:rPr>
        <w:t xml:space="preserve"> </w:t>
      </w:r>
      <w:r/>
    </w:p>
    <w:p>
      <w:pPr>
        <w:rPr>
          <w:b/>
          <w:bCs/>
          <w:color w:val="auto"/>
          <w:highlight w:val="none"/>
        </w:rPr>
      </w:pPr>
      <w:r>
        <w:rPr>
          <w:b/>
          <w:bCs/>
          <w:color w:val="auto"/>
          <w:highlight w:val="none"/>
        </w:rPr>
        <w:t xml:space="preserve">四、投标有关信息</w:t>
      </w:r>
      <w:r/>
    </w:p>
    <w:p>
      <w:pPr>
        <w:ind w:firstLine="480"/>
        <w:rPr>
          <w:b/>
          <w:bCs/>
          <w:color w:val="auto"/>
          <w:highlight w:val="white"/>
        </w:rPr>
      </w:pPr>
      <w:r>
        <w:rPr>
          <w:b/>
          <w:bCs/>
          <w:color w:val="auto"/>
          <w:highlight w:val="white"/>
        </w:rPr>
        <w:t xml:space="preserve">（一）投标截止时间：</w:t>
      </w:r>
      <w:r>
        <w:rPr>
          <w:rFonts w:hint="eastAsia"/>
          <w:b/>
          <w:bCs/>
          <w:color w:val="auto"/>
          <w:highlight w:val="white"/>
        </w:rPr>
        <w:t xml:space="preserve">2024</w:t>
      </w:r>
      <w:r>
        <w:rPr>
          <w:b/>
          <w:bCs/>
          <w:color w:val="auto"/>
          <w:highlight w:val="white"/>
        </w:rPr>
        <w:t xml:space="preserve">年</w:t>
      </w:r>
      <w:r>
        <w:rPr>
          <w:rFonts w:hint="eastAsia"/>
          <w:b/>
          <w:bCs/>
          <w:color w:val="auto"/>
          <w:highlight w:val="white"/>
          <w:lang w:val="en-US" w:eastAsia="zh-CN"/>
        </w:rPr>
        <w:t xml:space="preserve">12</w:t>
      </w:r>
      <w:r>
        <w:rPr>
          <w:rFonts w:hint="eastAsia"/>
          <w:b/>
          <w:bCs/>
          <w:color w:val="auto"/>
          <w:highlight w:val="white"/>
        </w:rPr>
        <w:t xml:space="preserve">月</w:t>
      </w:r>
      <w:r>
        <w:rPr>
          <w:rFonts w:hint="eastAsia"/>
          <w:b/>
          <w:bCs/>
          <w:color w:val="auto"/>
          <w:highlight w:val="white"/>
          <w:lang w:val="en-US" w:eastAsia="zh-CN"/>
        </w:rPr>
        <w:t xml:space="preserve">25</w:t>
      </w:r>
      <w:r>
        <w:rPr>
          <w:rFonts w:hint="eastAsia"/>
          <w:b/>
          <w:bCs/>
          <w:color w:val="auto"/>
          <w:highlight w:val="white"/>
        </w:rPr>
        <w:t xml:space="preserve">日</w:t>
      </w:r>
      <w:r>
        <w:rPr>
          <w:b/>
          <w:bCs/>
          <w:color w:val="auto"/>
          <w:highlight w:val="white"/>
        </w:rPr>
        <w:t xml:space="preserve">北京时间</w:t>
      </w:r>
      <w:r>
        <w:rPr>
          <w:rFonts w:hint="eastAsia"/>
          <w:b/>
          <w:bCs/>
          <w:color w:val="auto"/>
          <w:highlight w:val="white"/>
        </w:rPr>
        <w:t xml:space="preserve">14</w:t>
      </w:r>
      <w:r>
        <w:rPr>
          <w:b/>
          <w:bCs/>
          <w:color w:val="auto"/>
          <w:highlight w:val="white"/>
        </w:rPr>
        <w:t xml:space="preserve">：</w:t>
      </w:r>
      <w:r>
        <w:rPr>
          <w:rFonts w:hint="eastAsia"/>
          <w:b/>
          <w:bCs/>
          <w:color w:val="auto"/>
          <w:highlight w:val="white"/>
        </w:rPr>
        <w:t xml:space="preserve">30</w:t>
      </w:r>
      <w:r>
        <w:rPr>
          <w:b/>
          <w:bCs/>
          <w:color w:val="auto"/>
          <w:highlight w:val="white"/>
        </w:rPr>
        <w:t xml:space="preserve">。</w:t>
      </w:r>
      <w:r>
        <w:rPr>
          <w:highlight w:val="white"/>
        </w:rPr>
      </w:r>
      <w:r/>
    </w:p>
    <w:p>
      <w:pPr>
        <w:ind w:firstLine="480"/>
        <w:rPr>
          <w:b/>
          <w:bCs/>
          <w:color w:val="auto"/>
          <w:highlight w:val="white"/>
        </w:rPr>
      </w:pPr>
      <w:r>
        <w:rPr>
          <w:b/>
          <w:bCs/>
          <w:color w:val="auto"/>
          <w:highlight w:val="white"/>
        </w:rPr>
        <w:t xml:space="preserve">（二）开标时间：</w:t>
      </w:r>
      <w:r>
        <w:rPr>
          <w:rFonts w:hint="eastAsia"/>
          <w:b/>
          <w:bCs/>
          <w:color w:val="auto"/>
          <w:highlight w:val="white"/>
        </w:rPr>
        <w:t xml:space="preserve">2024</w:t>
      </w:r>
      <w:r>
        <w:rPr>
          <w:b/>
          <w:bCs/>
          <w:color w:val="auto"/>
          <w:highlight w:val="white"/>
        </w:rPr>
        <w:t xml:space="preserve">年12</w:t>
      </w:r>
      <w:r>
        <w:rPr>
          <w:rFonts w:hint="eastAsia"/>
          <w:b/>
          <w:bCs/>
          <w:color w:val="auto"/>
          <w:highlight w:val="white"/>
        </w:rPr>
        <w:t xml:space="preserve">月</w:t>
      </w:r>
      <w:r>
        <w:rPr>
          <w:rFonts w:hint="eastAsia"/>
          <w:b/>
          <w:bCs/>
          <w:color w:val="auto"/>
          <w:highlight w:val="white"/>
        </w:rPr>
        <w:t xml:space="preserve">25日</w:t>
      </w:r>
      <w:r>
        <w:rPr>
          <w:b/>
          <w:bCs/>
          <w:color w:val="auto"/>
          <w:highlight w:val="white"/>
        </w:rPr>
        <w:t xml:space="preserve">北京时间</w:t>
      </w:r>
      <w:r>
        <w:rPr>
          <w:rFonts w:hint="eastAsia"/>
          <w:b/>
          <w:bCs/>
          <w:color w:val="auto"/>
          <w:highlight w:val="white"/>
        </w:rPr>
        <w:t xml:space="preserve">14</w:t>
      </w:r>
      <w:r>
        <w:rPr>
          <w:b/>
          <w:bCs/>
          <w:color w:val="auto"/>
          <w:highlight w:val="white"/>
        </w:rPr>
        <w:t xml:space="preserve">：</w:t>
      </w:r>
      <w:r>
        <w:rPr>
          <w:rFonts w:hint="eastAsia"/>
          <w:b/>
          <w:bCs/>
          <w:color w:val="auto"/>
          <w:highlight w:val="white"/>
        </w:rPr>
        <w:t xml:space="preserve">30</w:t>
      </w:r>
      <w:r>
        <w:rPr>
          <w:b/>
          <w:bCs/>
          <w:color w:val="auto"/>
          <w:highlight w:val="white"/>
        </w:rPr>
        <w:t xml:space="preserve">。</w:t>
      </w:r>
      <w:r>
        <w:rPr>
          <w:highlight w:val="white"/>
        </w:rPr>
      </w: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系统（网址：http://jszfcg</w:t>
      </w:r>
      <w:r>
        <w:rPr>
          <w:rFonts w:hint="eastAsia"/>
          <w:color w:val="auto"/>
          <w:highlight w:val="none"/>
        </w:rPr>
        <w:t xml:space="preserve">. </w:t>
      </w:r>
      <w:r>
        <w:rPr>
          <w:color w:val="auto"/>
          <w:highlight w:val="none"/>
        </w:rPr>
        <w:t xml:space="preserve">jsczt</w:t>
      </w:r>
      <w:r>
        <w:rPr>
          <w:rFonts w:hint="eastAsia"/>
          <w:color w:val="auto"/>
          <w:highlight w:val="none"/>
        </w:rPr>
        <w:t xml:space="preserve">. </w:t>
      </w:r>
      <w:r>
        <w:rPr>
          <w:color w:val="auto"/>
          <w:highlight w:val="none"/>
        </w:rPr>
        <w:t xml:space="preserve">cn/）</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或进入徐州政府采购网（网址：http://czj</w:t>
      </w:r>
      <w:r>
        <w:rPr>
          <w:rFonts w:hint="eastAsia"/>
          <w:color w:val="auto"/>
          <w:highlight w:val="none"/>
        </w:rPr>
        <w:t xml:space="preserve">. </w:t>
      </w:r>
      <w:r>
        <w:rPr>
          <w:color w:val="auto"/>
          <w:highlight w:val="none"/>
        </w:rPr>
        <w:t xml:space="preserve">xz</w:t>
      </w:r>
      <w:r>
        <w:rPr>
          <w:rFonts w:hint="eastAsia"/>
          <w:color w:val="auto"/>
          <w:highlight w:val="none"/>
        </w:rPr>
        <w:t xml:space="preserve">. </w:t>
      </w:r>
      <w:r>
        <w:rPr>
          <w:color w:val="auto"/>
          <w:highlight w:val="none"/>
        </w:rPr>
        <w:t xml:space="preserve">gov</w:t>
      </w:r>
      <w:r>
        <w:rPr>
          <w:rFonts w:hint="eastAsia"/>
          <w:color w:val="auto"/>
          <w:highlight w:val="none"/>
        </w:rPr>
        <w:t xml:space="preserve">. </w:t>
      </w:r>
      <w:r>
        <w:rPr>
          <w:color w:val="auto"/>
          <w:highlight w:val="none"/>
        </w:rPr>
        <w:t xml:space="preserve">cn/Home/HomeIndex）-业务工作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lang w:eastAsia="zh-CN"/>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丰县华山镇人民政府</w:t>
      </w:r>
      <w:r/>
    </w:p>
    <w:p>
      <w:pPr>
        <w:ind w:firstLine="480"/>
        <w:rPr>
          <w:rFonts w:hint="eastAsia" w:eastAsia="宋体"/>
          <w:color w:val="auto"/>
          <w:highlight w:val="none"/>
          <w:lang w:eastAsia="zh-CN"/>
        </w:rPr>
      </w:pPr>
      <w:r>
        <w:rPr>
          <w:color w:val="auto"/>
          <w:highlight w:val="none"/>
        </w:rPr>
        <w:t xml:space="preserve">（二）</w:t>
      </w:r>
      <w:r>
        <w:rPr>
          <w:rFonts w:hint="eastAsia"/>
          <w:color w:val="auto"/>
          <w:highlight w:val="none"/>
        </w:rPr>
        <w:t xml:space="preserve">地址：</w:t>
      </w:r>
      <w:r>
        <w:rPr>
          <w:rFonts w:hint="eastAsia"/>
          <w:color w:val="auto"/>
          <w:highlight w:val="none"/>
          <w:lang w:eastAsia="zh-CN"/>
        </w:rPr>
        <w:t xml:space="preserve">华山镇人民政府驻地</w:t>
      </w:r>
      <w:r/>
    </w:p>
    <w:p>
      <w:pPr>
        <w:ind w:firstLine="480"/>
        <w:rPr>
          <w:rFonts w:hint="eastAsia" w:eastAsia="宋体"/>
          <w:color w:val="auto"/>
          <w:highlight w:val="none"/>
          <w:lang w:eastAsia="zh-CN"/>
        </w:rPr>
      </w:pPr>
      <w:r>
        <w:rPr>
          <w:color w:val="auto"/>
          <w:highlight w:val="none"/>
        </w:rPr>
        <w:t xml:space="preserve">（三）</w:t>
      </w:r>
      <w:r>
        <w:rPr>
          <w:rFonts w:hint="eastAsia"/>
          <w:color w:val="auto"/>
          <w:highlight w:val="none"/>
        </w:rPr>
        <w:t xml:space="preserve">联系方式：</w:t>
      </w:r>
      <w:r>
        <w:rPr>
          <w:rFonts w:hint="eastAsia"/>
          <w:color w:val="auto"/>
          <w:highlight w:val="none"/>
          <w:lang w:eastAsia="zh-CN"/>
        </w:rPr>
        <w:t xml:space="preserve">15162132267</w:t>
      </w:r>
      <w:r/>
    </w:p>
    <w:p>
      <w:pPr>
        <w:ind w:firstLine="480"/>
        <w:rPr>
          <w:color w:val="auto"/>
          <w:highlight w:val="none"/>
        </w:rPr>
      </w:pPr>
      <w:r>
        <w:rPr>
          <w:color w:val="auto"/>
          <w:highlight w:val="none"/>
        </w:rPr>
        <w:t xml:space="preserve">（四）采购项目联系人：</w:t>
      </w:r>
      <w:r>
        <w:rPr>
          <w:rFonts w:hint="eastAsia"/>
          <w:color w:val="auto"/>
          <w:highlight w:val="none"/>
          <w:lang w:eastAsia="zh-CN"/>
        </w:rPr>
        <w:t xml:space="preserve">朱琦</w:t>
      </w:r>
      <w:r>
        <w:rPr>
          <w:rFonts w:hint="eastAsia"/>
          <w:color w:val="auto"/>
          <w:highlight w:val="none"/>
        </w:rPr>
        <w:t xml:space="preserve"> </w:t>
      </w:r>
      <w:r/>
    </w:p>
    <w:p>
      <w:pPr>
        <w:rPr>
          <w:b/>
          <w:bCs/>
          <w:color w:val="auto"/>
          <w:highlight w:val="none"/>
        </w:rPr>
      </w:pPr>
      <w:r>
        <w:rPr>
          <w:b/>
          <w:bCs/>
          <w:color w:val="auto"/>
          <w:highlight w:val="none"/>
        </w:rPr>
        <w:t xml:space="preserve">六、采购代理机构</w:t>
      </w:r>
      <w:r/>
    </w:p>
    <w:p>
      <w:pPr>
        <w:ind w:firstLine="480"/>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徐州众信项目管理咨询有限公司</w:t>
      </w:r>
      <w:r/>
    </w:p>
    <w:p>
      <w:pPr>
        <w:ind w:firstLine="480"/>
        <w:rPr>
          <w:rFonts w:hint="eastAsia"/>
          <w:color w:val="auto"/>
          <w:highlight w:val="none"/>
          <w:lang w:eastAsia="zh-CN"/>
        </w:rPr>
      </w:pPr>
      <w:r>
        <w:rPr>
          <w:color w:val="auto"/>
          <w:highlight w:val="none"/>
        </w:rPr>
        <w:t xml:space="preserve">（二）地址：</w:t>
      </w:r>
      <w:r>
        <w:rPr>
          <w:rFonts w:hint="eastAsia"/>
          <w:color w:val="auto"/>
          <w:highlight w:val="none"/>
          <w:lang w:eastAsia="zh-CN"/>
        </w:rPr>
        <w:t xml:space="preserve">丰县东城路1号（原森宝门窗办公楼三楼）</w:t>
      </w:r>
      <w:r/>
    </w:p>
    <w:p>
      <w:pPr>
        <w:ind w:firstLine="480"/>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18168451205</w:t>
      </w:r>
      <w:r/>
    </w:p>
    <w:p>
      <w:pPr>
        <w:ind w:firstLine="480"/>
        <w:rPr>
          <w:rFonts w:hint="eastAsia" w:eastAsia="宋体"/>
          <w:color w:val="auto"/>
          <w:highlight w:val="none"/>
          <w:lang w:eastAsia="zh-CN"/>
        </w:rPr>
      </w:pPr>
      <w:r>
        <w:rPr>
          <w:color w:val="auto"/>
          <w:highlight w:val="none"/>
        </w:rPr>
        <w:t xml:space="preserve">（四）采购项目联系人：</w:t>
      </w:r>
      <w:r>
        <w:rPr>
          <w:rFonts w:hint="eastAsia"/>
          <w:color w:val="auto"/>
          <w:highlight w:val="none"/>
          <w:lang w:eastAsia="zh-CN"/>
        </w:rPr>
        <w:t xml:space="preserve">郭志云</w:t>
      </w:r>
      <w:r/>
    </w:p>
    <w:p>
      <w:pPr>
        <w:rPr>
          <w:color w:val="auto"/>
          <w:highlight w:val="none"/>
        </w:rPr>
      </w:pPr>
      <w:r>
        <w:rPr>
          <w:color w:val="auto"/>
          <w:highlight w:val="none"/>
        </w:rPr>
        <w:br w:type="page" w:clear="all"/>
      </w:r>
      <w:r/>
    </w:p>
    <w:p>
      <w:pPr>
        <w:pStyle w:val="787"/>
        <w:rPr>
          <w:color w:val="auto"/>
          <w:highlight w:val="none"/>
        </w:rPr>
      </w:pPr>
      <w:r/>
      <w:bookmarkStart w:id="2" w:name="_Toc396"/>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800"/>
        <w:rPr>
          <w:color w:val="auto"/>
          <w:highlight w:val="none"/>
        </w:rPr>
      </w:pPr>
      <w:r>
        <w:rPr>
          <w:rFonts w:hint="eastAsia"/>
          <w:color w:val="auto"/>
          <w:highlight w:val="none"/>
        </w:rPr>
        <w:t xml:space="preserve">（5）编写评审报告（评标报告）。</w:t>
      </w:r>
      <w:r/>
    </w:p>
    <w:p>
      <w:pPr>
        <w:pStyle w:val="800"/>
        <w:rPr>
          <w:color w:val="auto"/>
          <w:highlight w:val="none"/>
        </w:rPr>
      </w:pPr>
      <w:r>
        <w:rPr>
          <w:rFonts w:hint="eastAsia"/>
          <w:color w:val="auto"/>
          <w:highlight w:val="none"/>
        </w:rPr>
        <w:t xml:space="preserve">2. 在评标中，不得改变招标文件中规定的评标标准、方法和中标条件。评标委员会对</w:t>
      </w:r>
      <w:r/>
    </w:p>
    <w:p>
      <w:pPr>
        <w:rPr>
          <w:color w:val="auto"/>
          <w:highlight w:val="none"/>
        </w:rPr>
      </w:pPr>
      <w:r>
        <w:rPr>
          <w:rFonts w:hint="eastAsia"/>
          <w:color w:val="auto"/>
          <w:highlight w:val="none"/>
        </w:rPr>
        <w:t xml:space="preserve">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color w:val="auto"/>
          <w:highlight w:val="none"/>
        </w:rPr>
      </w:pPr>
      <w:r>
        <w:rPr>
          <w:rFonts w:hint="eastAsia"/>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pStyle w:val="800"/>
        <w:rPr>
          <w:color w:val="auto"/>
          <w:highlight w:val="none"/>
        </w:rPr>
      </w:pPr>
      <w:r>
        <w:rPr>
          <w:rFonts w:hint="eastAsia"/>
          <w:color w:val="auto"/>
          <w:highlight w:val="none"/>
        </w:rPr>
        <w:t xml:space="preserve">供应商对政府采购活动事项有疑问的，向采购代理机构提出询问；供应商认为采购文</w:t>
      </w:r>
      <w:r/>
    </w:p>
    <w:p>
      <w:pPr>
        <w:rPr>
          <w:rFonts w:hint="eastAsia"/>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ind w:firstLine="480"/>
        <w:rPr>
          <w:highlight w:val="none"/>
        </w:rPr>
      </w:pPr>
      <w:r>
        <w:rPr>
          <w:rFonts w:hint="eastAsia"/>
          <w:color w:val="auto"/>
          <w:highlight w:val="none"/>
        </w:rPr>
        <w:t xml:space="preserve">（四十一）质疑和投诉按《政府采购质疑和投诉办法》执行。</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w:t>
      </w:r>
      <w:r>
        <w:rPr>
          <w:rFonts w:hint="eastAsia"/>
          <w:color w:val="auto"/>
          <w:highlight w:val="none"/>
          <w:lang w:val="en-US" w:eastAsia="zh-CN"/>
        </w:rPr>
        <w:t xml:space="preserve">二</w:t>
      </w:r>
      <w:r>
        <w:rPr>
          <w:rFonts w:hint="eastAsia"/>
          <w:color w:val="auto"/>
          <w:highlight w:val="none"/>
        </w:rPr>
        <w:t xml:space="preserve">）电子招标投标交易平台（即“苏采云”系统，网址：http://jszfcg.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87"/>
        <w:rPr>
          <w:color w:val="auto"/>
          <w:highlight w:val="none"/>
        </w:rPr>
      </w:pPr>
      <w:r/>
      <w:bookmarkStart w:id="3" w:name="_Toc16411"/>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7"/>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丰县华山镇人民政府</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徐州众信项目管理咨询有限公司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835"/>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835"/>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二、此项目属于专门面向中小微企业采购的项目，</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应为中小微企业、监狱企业、残疾人福利性单位。</w:t>
            </w:r>
            <w:r/>
          </w:p>
          <w:p>
            <w:pPr>
              <w:pStyle w:val="835"/>
              <w:spacing w:line="400" w:lineRule="exact"/>
              <w:rPr>
                <w:color w:val="auto"/>
                <w:highlight w:val="none"/>
              </w:rPr>
            </w:pPr>
            <w:r>
              <w:rPr>
                <w:rFonts w:hint="eastAsia" w:ascii="宋体" w:hAnsi="宋体" w:cs="宋体"/>
                <w:b/>
                <w:bCs/>
                <w:color w:val="auto"/>
                <w:sz w:val="24"/>
                <w:highlight w:val="none"/>
              </w:rPr>
              <w:t xml:space="preserve">三、本项目特定资格条件：无</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35"/>
              <w:spacing w:line="400" w:lineRule="exact"/>
              <w:rPr>
                <w:rFonts w:ascii="宋体" w:hAnsi="宋体" w:cs="宋体"/>
                <w:color w:val="auto"/>
                <w:sz w:val="24"/>
                <w:highlight w:val="none"/>
              </w:rPr>
            </w:pPr>
            <w:r>
              <w:rPr>
                <w:rFonts w:ascii="宋体" w:hAnsi="宋体" w:cs="宋体"/>
                <w:color w:val="auto"/>
                <w:sz w:val="24"/>
                <w:highlight w:val="none"/>
              </w:rPr>
              <w:t xml:space="preserve">3.“信用江苏”网（http://credit.jiangsu.gov.cn/）；</w:t>
            </w:r>
            <w:r/>
          </w:p>
          <w:p>
            <w:pPr>
              <w:pStyle w:val="835"/>
              <w:spacing w:line="400" w:lineRule="exact"/>
              <w:rPr>
                <w:rFonts w:hint="eastAsia"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信用中国（江苏徐州）（http://www.xuzhoucredit.gov.cn）；</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83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1.《开标一览表》（加盖电子签章，政府采购客户端工具输入报价自动生成）。</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2.所投产品的环境标志产品认证证书原件的扫描件（如有）。</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（2）环境标志产品认证证书是否符合要求，采购人评标时查询中国政府采购网（www.ccgp.gov.cn）相关内容后确定。</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3.所投产品的节能产品认证证书原件的扫描件（如有）。</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（2）节能产品认证证书是否符合要求，采购人评标时查询中国政府采购网（www.ccgp.gov.cn）相关内容后确定。</w:t>
            </w:r>
            <w:r/>
          </w:p>
          <w:p>
            <w:pPr>
              <w:pStyle w:val="835"/>
              <w:spacing w:line="400" w:lineRule="exact"/>
              <w:widowControl/>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4.</w:t>
            </w:r>
            <w:r>
              <w:rPr>
                <w:rFonts w:hint="eastAsia" w:ascii="宋体" w:hAnsi="宋体" w:cs="宋体"/>
                <w:bCs/>
                <w:color w:val="auto"/>
                <w:sz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cs="宋体"/>
                <w:color w:val="auto"/>
                <w:sz w:val="24"/>
                <w:szCs w:val="18"/>
                <w:highlight w:val="none"/>
              </w:rPr>
              <w:t xml:space="preserve">）</w:t>
            </w:r>
            <w:r/>
          </w:p>
          <w:p>
            <w:pPr>
              <w:pStyle w:val="835"/>
              <w:spacing w:line="400" w:lineRule="exact"/>
              <w:widowControl/>
              <w:rPr>
                <w:rFonts w:hint="default" w:eastAsia="宋体"/>
                <w:color w:val="auto"/>
                <w:highlight w:val="none"/>
                <w:lang w:val="en-US" w:eastAsia="zh-CN"/>
              </w:rPr>
            </w:pPr>
            <w:r>
              <w:rPr>
                <w:rFonts w:hint="eastAsia" w:ascii="宋体" w:hAnsi="宋体" w:cs="宋体"/>
                <w:color w:val="auto"/>
                <w:sz w:val="24"/>
                <w:szCs w:val="18"/>
                <w:highlight w:val="none"/>
                <w:lang w:val="en-US" w:eastAsia="zh-CN"/>
              </w:rPr>
              <w:t xml:space="preserve">5.投标人认为制作投标文件需要提供的其他材料(如有）。</w:t>
            </w:r>
            <w:r/>
          </w:p>
          <w:p>
            <w:pPr>
              <w:pStyle w:val="83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二、资格条件（1-6必须提供；否则投标无效）</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1.具有独立承担民事责任的能力，提供投标人合法有效的法人的营业执照或事业法人证或其他组织应提供合法证明文件，（以上证明文件的原件扫描件）</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任何时间的资产负债表、利润表各一份或提供合法有效的经第三方机构审计的</w:t>
            </w:r>
            <w:r>
              <w:rPr>
                <w:rFonts w:hint="eastAsia" w:ascii="宋体" w:hAnsi="宋体" w:cs="宋体"/>
                <w:b/>
                <w:bCs/>
                <w:color w:val="auto"/>
                <w:sz w:val="24"/>
                <w:szCs w:val="18"/>
                <w:highlight w:val="none"/>
                <w:lang w:val="en-US" w:eastAsia="zh-CN"/>
              </w:rPr>
              <w:t xml:space="preserve">投标人</w:t>
            </w:r>
            <w:r>
              <w:rPr>
                <w:rFonts w:hint="eastAsia" w:ascii="宋体" w:hAnsi="宋体" w:cs="宋体"/>
                <w:b/>
                <w:bCs/>
                <w:color w:val="auto"/>
                <w:sz w:val="24"/>
                <w:szCs w:val="18"/>
                <w:highlight w:val="none"/>
              </w:rPr>
              <w:t xml:space="preserve">上年度财务审计报告或投标人的本项目开标时间前6个月内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银行出具的资信证明扫描件；（以上证明文件的原件扫描件）</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以上证明文件的原件扫描件）</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5.投标人参加政府采购活动前3年内在经营活动中没有重大违法记录的书面声明（加盖电子签章，格式见招标文件第七章《投标文件相关格式》）。</w:t>
            </w:r>
            <w:r/>
          </w:p>
          <w:p>
            <w:pPr>
              <w:pStyle w:val="835"/>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6.本项目属于专门面向中小微企业采购的项目，</w:t>
            </w:r>
            <w:r>
              <w:rPr>
                <w:rFonts w:hint="eastAsia" w:ascii="宋体" w:hAnsi="宋体" w:cs="宋体"/>
                <w:b/>
                <w:bCs/>
                <w:color w:val="auto"/>
                <w:sz w:val="24"/>
                <w:szCs w:val="18"/>
                <w:highlight w:val="none"/>
                <w:lang w:val="en-US" w:eastAsia="zh-CN"/>
              </w:rPr>
              <w:t xml:space="preserve">投标人</w:t>
            </w:r>
            <w:r>
              <w:rPr>
                <w:rFonts w:hint="eastAsia" w:ascii="宋体" w:hAnsi="宋体" w:cs="宋体"/>
                <w:b/>
                <w:bCs/>
                <w:color w:val="auto"/>
                <w:sz w:val="24"/>
                <w:szCs w:val="18"/>
                <w:highlight w:val="none"/>
              </w:rPr>
              <w:t xml:space="preserve">应为中小微企业、监狱企业、残疾人福利性单位，提供《中小企业声明函》（加盖电子签章，填写完整。格式见招标文件第七章《投标文件相关格式》）。《中小企业声明函》查询渠道参考工业和信息化部发布的中小企业规模自测小程序。</w:t>
            </w:r>
            <w:r/>
          </w:p>
          <w:p>
            <w:pPr>
              <w:pStyle w:val="83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三、符合条件（必须提供，否则投标无效）</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51"/>
              <w:rPr>
                <w:rFonts w:hAnsi="宋体" w:eastAsia="宋体" w:cs="宋体"/>
                <w:color w:val="auto"/>
                <w:sz w:val="24"/>
                <w:highlight w:val="none"/>
              </w:rPr>
            </w:pPr>
            <w:r>
              <w:rPr>
                <w:rFonts w:hint="eastAsia" w:hAnsi="宋体" w:eastAsia="宋体" w:cs="宋体"/>
                <w:color w:val="auto"/>
                <w:sz w:val="24"/>
                <w:highlight w:val="none"/>
              </w:rPr>
              <w:t xml:space="preserve">1.《开标一览表》（加盖电子签章，格式见招标文件第七章《投标文件相关格式》。）</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2.《分项价格表》（加盖电子签章，格式见招标文件第七章《投标文件相关格式》。）</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51"/>
              <w:rPr>
                <w:rFonts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835"/>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835"/>
              <w:numPr>
                <w:ilvl w:val="0"/>
                <w:numId w:val="1"/>
              </w:numPr>
              <w:spacing w:line="400" w:lineRule="exact"/>
              <w:rPr>
                <w:rFonts w:ascii="宋体" w:hAnsi="宋体" w:cs="宋体"/>
                <w:b/>
                <w:bCs/>
                <w:color w:val="auto"/>
                <w:sz w:val="24"/>
                <w:szCs w:val="24"/>
                <w:highlight w:val="none"/>
              </w:rPr>
            </w:pP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rPr>
                <w:rFonts w:hint="eastAsia" w:ascii="宋体" w:hAnsi="宋体" w:cs="宋体"/>
                <w:b/>
                <w:bCs/>
                <w:color w:val="auto"/>
                <w:sz w:val="24"/>
                <w:szCs w:val="24"/>
                <w:highlight w:val="none"/>
              </w:rPr>
              <w:t xml:space="preserve">无</w:t>
            </w:r>
            <w:r/>
          </w:p>
          <w:p>
            <w:pPr>
              <w:pStyle w:val="1054"/>
              <w:ind w:firstLine="480"/>
              <w:spacing w:line="360" w:lineRule="auto"/>
              <w:rPr>
                <w:rFonts w:hint="eastAsia" w:ascii="宋体" w:hAnsi="宋体" w:cs="宋体"/>
                <w:b/>
                <w:bCs/>
                <w:color w:val="auto"/>
                <w:sz w:val="24"/>
                <w:szCs w:val="18"/>
                <w:highlight w:val="none"/>
              </w:rPr>
            </w:pPr>
            <w:r>
              <w:rPr>
                <w:rFonts w:ascii="宋体" w:hAnsi="宋体"/>
                <w:b/>
                <w:bCs/>
                <w:color w:val="auto"/>
                <w:sz w:val="24"/>
                <w:highlight w:val="none"/>
              </w:rPr>
              <w:t xml:space="preserve">本项目属于专门面向中小企业采购的项目，评审时不再执行价格评审优惠政策。</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（五）提供本单位制造的货物、承担的工程或者服务（以下简称产品），或者提供其他残疾人福利性单位制造的货物（不包括使用非残疾人福利性单位注册商标的货物）。</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5"/>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835"/>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83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83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ind w:firstLine="482"/>
              <w:spacing w:line="240" w:lineRule="auto"/>
              <w:rPr>
                <w:b/>
                <w:bCs/>
                <w:color w:val="auto"/>
                <w:highlight w:val="none"/>
              </w:rPr>
            </w:pPr>
            <w:r>
              <w:rPr>
                <w:rFonts w:hint="eastAsia" w:ascii="宋体" w:hAnsi="宋体" w:cs="宋体"/>
                <w:b/>
                <w:bCs/>
                <w:color w:val="auto"/>
                <w:highlight w:val="none"/>
              </w:rPr>
              <w:t xml:space="preserve">本项目总预算金额：</w:t>
            </w:r>
            <w:r>
              <w:rPr>
                <w:rFonts w:hint="eastAsia" w:ascii="宋体" w:hAnsi="宋体" w:cs="宋体"/>
                <w:b/>
                <w:bCs/>
                <w:color w:val="auto"/>
                <w:highlight w:val="none"/>
                <w:lang w:val="en-US" w:eastAsia="zh-CN"/>
              </w:rPr>
              <w:t xml:space="preserve">578</w:t>
            </w:r>
            <w:r>
              <w:rPr>
                <w:rFonts w:hint="eastAsia" w:ascii="宋体" w:hAnsi="宋体" w:cs="宋体"/>
                <w:b/>
                <w:bCs/>
                <w:color w:val="auto"/>
                <w:highlight w:val="none"/>
              </w:rPr>
              <w:t xml:space="preserve">万元人民币，</w:t>
            </w:r>
            <w:r/>
          </w:p>
          <w:p>
            <w:pPr>
              <w:pStyle w:val="851"/>
              <w:rPr>
                <w:color w:val="auto"/>
                <w:highlight w:val="none"/>
              </w:rPr>
            </w:pPr>
            <w:r>
              <w:rPr>
                <w:rFonts w:hint="eastAsia" w:hAnsi="宋体" w:cs="宋体"/>
                <w:color w:val="auto"/>
                <w:sz w:val="24"/>
                <w:highlight w:val="none"/>
              </w:rPr>
              <w:t xml:space="preserve">投标人应当根据采购项目的要求进行报价，“报价”如无特别说明，均指含税价格，包含增值税税款及其他所有税费，发票为增值税发票。投标人报价应包括</w:t>
            </w:r>
            <w:r>
              <w:rPr>
                <w:rFonts w:hint="eastAsia" w:hAnsi="宋体" w:eastAsia="宋体" w:cs="宋体"/>
                <w:color w:val="auto"/>
                <w:sz w:val="24"/>
                <w:highlight w:val="none"/>
              </w:rPr>
              <w:t xml:space="preserve">为完成本项目的标的所产生的一切</w:t>
            </w:r>
            <w:r>
              <w:rPr>
                <w:rFonts w:hint="eastAsia" w:hAnsi="宋体" w:cs="宋体"/>
                <w:color w:val="auto"/>
                <w:sz w:val="24"/>
                <w:highlight w:val="none"/>
              </w:rPr>
              <w:t xml:space="preserve">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835"/>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835"/>
              <w:spacing w:line="400" w:lineRule="exact"/>
              <w:rPr>
                <w:rFonts w:ascii="宋体" w:hAnsi="宋体" w:cs="宋体"/>
                <w:b/>
                <w:bCs/>
                <w:color w:val="auto"/>
                <w:sz w:val="24"/>
                <w:highlight w:val="whit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white"/>
              </w:rPr>
              <w:t xml:space="preserve">提交投标文件截止时间（</w:t>
            </w:r>
            <w:r>
              <w:rPr>
                <w:rFonts w:hint="eastAsia"/>
                <w:b/>
                <w:bCs/>
                <w:color w:val="auto"/>
                <w:highlight w:val="white"/>
                <w:lang w:eastAsia="zh-CN"/>
              </w:rPr>
              <w:t xml:space="preserve">2024年12月2</w:t>
            </w:r>
            <w:r>
              <w:rPr>
                <w:rFonts w:hint="eastAsia"/>
                <w:b/>
                <w:bCs/>
                <w:color w:val="auto"/>
                <w:highlight w:val="white"/>
                <w:lang w:eastAsia="zh-CN"/>
              </w:rPr>
              <w:t xml:space="preserve">5日14:30</w:t>
            </w:r>
            <w:r>
              <w:rPr>
                <w:rFonts w:hint="eastAsia" w:ascii="宋体" w:hAnsi="宋体" w:cs="宋体"/>
                <w:b/>
                <w:bCs/>
                <w:color w:val="auto"/>
                <w:sz w:val="24"/>
                <w:highlight w:val="white"/>
              </w:rPr>
              <w:t xml:space="preserve">）前。</w:t>
            </w:r>
            <w:r>
              <w:rPr>
                <w:highlight w:val="white"/>
              </w:rPr>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35"/>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835"/>
              <w:spacing w:line="400" w:lineRule="exact"/>
              <w:rPr>
                <w:rFonts w:ascii="宋体" w:hAnsi="宋体" w:cs="宋体"/>
                <w:b/>
                <w:bCs/>
                <w:color w:val="auto"/>
                <w:sz w:val="24"/>
                <w:highlight w:val="white"/>
              </w:rPr>
            </w:pPr>
            <w:r>
              <w:rPr>
                <w:rFonts w:hint="eastAsia" w:ascii="宋体" w:hAnsi="宋体" w:cs="宋体"/>
                <w:b/>
                <w:bCs/>
                <w:color w:val="auto"/>
                <w:sz w:val="24"/>
                <w:highlight w:val="white"/>
              </w:rPr>
              <w:t xml:space="preserve">1. 开标时间：</w:t>
            </w:r>
            <w:r>
              <w:rPr>
                <w:rFonts w:hint="eastAsia"/>
                <w:b/>
                <w:bCs/>
                <w:color w:val="auto"/>
                <w:highlight w:val="white"/>
                <w:lang w:eastAsia="zh-CN"/>
              </w:rPr>
              <w:t xml:space="preserve">2024年12月2</w:t>
            </w:r>
            <w:r>
              <w:rPr>
                <w:rFonts w:hint="eastAsia"/>
                <w:b/>
                <w:bCs/>
                <w:color w:val="auto"/>
                <w:highlight w:val="white"/>
                <w:lang w:eastAsia="zh-CN"/>
              </w:rPr>
              <w:t xml:space="preserve">5日14:30</w:t>
            </w:r>
            <w:r>
              <w:rPr>
                <w:rFonts w:hint="eastAsia" w:ascii="宋体" w:hAnsi="宋体" w:cs="宋体"/>
                <w:b/>
                <w:bCs/>
                <w:color w:val="auto"/>
                <w:sz w:val="24"/>
                <w:highlight w:val="white"/>
              </w:rPr>
              <w:t xml:space="preserve">（北京时间）</w:t>
            </w:r>
            <w:r>
              <w:rPr>
                <w:highlight w:val="white"/>
              </w:rPr>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835"/>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rPr>
              <w:t xml:space="preserve">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835"/>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35"/>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835"/>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835"/>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郭志云</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18168451205</w:t>
            </w:r>
            <w:r>
              <w:rPr>
                <w:rFonts w:hint="eastAsia" w:ascii="宋体" w:hAnsi="宋体" w:cs="宋体"/>
                <w:color w:val="auto"/>
                <w:sz w:val="24"/>
                <w:highlight w:val="none"/>
              </w:rPr>
              <w:t xml:space="preserve">；</w:t>
            </w:r>
            <w:r/>
          </w:p>
          <w:p>
            <w:pPr>
              <w:pStyle w:val="835"/>
              <w:spacing w:line="400" w:lineRule="exact"/>
              <w:rPr>
                <w:rFonts w:ascii="宋体" w:hAnsi="宋体" w:cs="宋体"/>
                <w:color w:val="auto"/>
                <w:sz w:val="24"/>
                <w:highlight w:val="none"/>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丰县东城路1号（原森宝门窗办公楼三楼）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35"/>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35"/>
              <w:numPr>
                <w:ilvl w:val="0"/>
                <w:numId w:val="2"/>
              </w:num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51"/>
              <w:numPr>
                <w:ilvl w:val="0"/>
                <w:numId w:val="2"/>
              </w:numPr>
              <w:rPr>
                <w:color w:val="auto"/>
                <w:highlight w:val="none"/>
              </w:rPr>
            </w:pPr>
            <w:r>
              <w:rPr>
                <w:rFonts w:hint="eastAsia" w:hAnsi="宋体" w:cs="宋体"/>
                <w:color w:val="auto"/>
                <w:sz w:val="24"/>
                <w:highlight w:val="none"/>
              </w:rPr>
              <w:t xml:space="preserve">中标人在领取中标通知书前，一次性向代理机构缴纳代理服务费。</w:t>
            </w:r>
            <w:r/>
          </w:p>
        </w:tc>
      </w:tr>
    </w:tbl>
    <w:p>
      <w:pPr>
        <w:rPr>
          <w:color w:val="auto"/>
          <w:highlight w:val="none"/>
        </w:rPr>
      </w:pPr>
      <w:r>
        <w:rPr>
          <w:rFonts w:hint="eastAsia"/>
          <w:color w:val="auto"/>
          <w:highlight w:val="none"/>
        </w:rPr>
        <w:br w:type="page" w:clear="all"/>
      </w:r>
      <w:r/>
    </w:p>
    <w:p>
      <w:pPr>
        <w:pStyle w:val="787"/>
        <w:numPr>
          <w:ilvl w:val="0"/>
          <w:numId w:val="3"/>
        </w:numPr>
        <w:rPr>
          <w:color w:val="auto"/>
          <w:highlight w:val="none"/>
        </w:rPr>
      </w:pPr>
      <w:r/>
      <w:bookmarkStart w:id="4" w:name="_Toc4749"/>
      <w:r>
        <w:rPr>
          <w:rFonts w:hint="eastAsia"/>
          <w:color w:val="auto"/>
          <w:highlight w:val="none"/>
        </w:rPr>
        <w:t xml:space="preserve"> </w:t>
      </w:r>
      <w:r>
        <w:rPr>
          <w:color w:val="auto"/>
          <w:highlight w:val="none"/>
        </w:rPr>
        <w:t xml:space="preserve">评</w:t>
      </w:r>
      <w:r>
        <w:rPr>
          <w:rFonts w:hint="eastAsia"/>
          <w:color w:val="auto"/>
          <w:highlight w:val="none"/>
          <w:lang w:eastAsia="zh-CN"/>
        </w:rPr>
        <w:t xml:space="preserve">分</w:t>
      </w:r>
      <w:r>
        <w:rPr>
          <w:color w:val="auto"/>
          <w:highlight w:val="none"/>
        </w:rPr>
        <w:t xml:space="preserve">标准</w:t>
      </w:r>
      <w:bookmarkEnd w:id="4"/>
      <w:r/>
      <w:r/>
    </w:p>
    <w:tbl>
      <w:tblPr>
        <w:tblStyle w:val="797"/>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7"/>
        <w:gridCol w:w="1517"/>
        <w:gridCol w:w="7055"/>
      </w:tblGrid>
      <w:tr>
        <w:trPr>
          <w:jc w:val="center"/>
          <w:trHeight w:val="422"/>
        </w:trPr>
        <w:tc>
          <w:tcPr>
            <w:gridSpan w:val="2"/>
            <w:tcMar>
              <w:left w:w="108" w:type="dxa"/>
              <w:top w:w="0" w:type="dxa"/>
              <w:right w:w="108" w:type="dxa"/>
              <w:bottom w:w="0" w:type="dxa"/>
            </w:tcMar>
            <w:tcW w:w="2984"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评分</w:t>
            </w:r>
            <w:r>
              <w:rPr>
                <w:rFonts w:hint="eastAsia" w:ascii="宋体" w:hAnsi="宋体" w:eastAsia="宋体" w:cs="宋体"/>
                <w:color w:val="auto"/>
                <w:sz w:val="24"/>
                <w:szCs w:val="24"/>
                <w:highlight w:val="none"/>
                <w:lang w:val="en-US" w:eastAsia="zh-CN"/>
              </w:rPr>
              <w:t xml:space="preserve">因素</w:t>
            </w:r>
            <w:r/>
          </w:p>
        </w:tc>
        <w:tc>
          <w:tcPr>
            <w:tcMar>
              <w:left w:w="108" w:type="dxa"/>
              <w:top w:w="0" w:type="dxa"/>
              <w:right w:w="108" w:type="dxa"/>
              <w:bottom w:w="0" w:type="dxa"/>
            </w:tcMar>
            <w:tcW w:w="70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评分</w:t>
            </w:r>
            <w:r>
              <w:rPr>
                <w:rFonts w:hint="eastAsia" w:ascii="宋体" w:hAnsi="宋体" w:eastAsia="宋体" w:cs="宋体"/>
                <w:color w:val="auto"/>
                <w:sz w:val="24"/>
                <w:szCs w:val="24"/>
                <w:highlight w:val="none"/>
                <w:lang w:val="en-US" w:eastAsia="zh-CN"/>
              </w:rPr>
              <w:t xml:space="preserve">标准</w:t>
            </w:r>
            <w:r/>
          </w:p>
        </w:tc>
      </w:tr>
      <w:tr>
        <w:trPr>
          <w:jc w:val="center"/>
          <w:trHeight w:val="90"/>
        </w:trPr>
        <w:tc>
          <w:tcPr>
            <w:tcMar>
              <w:left w:w="108" w:type="dxa"/>
              <w:top w:w="0" w:type="dxa"/>
              <w:right w:w="108" w:type="dxa"/>
              <w:bottom w:w="0" w:type="dxa"/>
            </w:tcMar>
            <w:tcW w:w="1467" w:type="dxa"/>
            <w:vAlign w:val="center"/>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517" w:type="dxa"/>
            <w:vAlign w:val="center"/>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055" w:type="dxa"/>
            <w:vAlign w:val="center"/>
            <w:textDirection w:val="lrTb"/>
            <w:noWrap w:val="false"/>
          </w:tcPr>
          <w:p>
            <w:pPr>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采用低价优先法计算，即满足招标文件要求且供应商评审价格最低的投标报价为评标基准价，其价格得分为满分。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各供应商价格得分=最低报价（供应商的最低评审价格）÷各供应商评审价格×</w:t>
            </w:r>
            <w:r>
              <w:rPr>
                <w:rFonts w:hint="eastAsia" w:ascii="宋体" w:hAnsi="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lang w:val="en-US" w:eastAsia="zh-CN" w:bidi="ar-SA"/>
              </w:rPr>
              <w:t xml:space="preserve">。</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超出采购预算价的报价其投标将被拒绝，得分按四舍五入取至小数点后两位。</w:t>
            </w:r>
            <w:r/>
          </w:p>
        </w:tc>
      </w:tr>
      <w:tr>
        <w:trPr>
          <w:jc w:val="center"/>
          <w:trHeight w:val="1254"/>
        </w:trPr>
        <w:tc>
          <w:tcPr>
            <w:tcMar>
              <w:left w:w="108" w:type="dxa"/>
              <w:top w:w="0" w:type="dxa"/>
              <w:right w:w="108" w:type="dxa"/>
              <w:bottom w:w="0" w:type="dxa"/>
            </w:tcMar>
            <w:tcW w:w="1467" w:type="dxa"/>
            <w:vAlign w:val="center"/>
            <w:textDirection w:val="lrTb"/>
            <w:noWrap w:val="false"/>
          </w:tcPr>
          <w:p>
            <w:pPr>
              <w:ind w:left="4" w:right="-15"/>
              <w:jc w:val="center"/>
              <w:spacing w:before="178"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商务部分</w:t>
            </w:r>
            <w:r/>
          </w:p>
          <w:p>
            <w:pPr>
              <w:ind w:left="4" w:right="-15"/>
              <w:jc w:val="center"/>
              <w:spacing w:before="178" w:line="24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tc>
        <w:tc>
          <w:tcPr>
            <w:tcMar>
              <w:left w:w="108" w:type="dxa"/>
              <w:top w:w="0" w:type="dxa"/>
              <w:right w:w="108" w:type="dxa"/>
              <w:bottom w:w="0" w:type="dxa"/>
            </w:tcMar>
            <w:tcW w:w="15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供应商项目团队</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w:t>
            </w: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拟投入管理人员中具备道路清扫保洁师证书或城市环卫工程师证书的，每有一个得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分，同一人不重复计分。本项最高得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加盖电子签章的证书原件扫描件和供应商为该员工缴纳社保的证明文件截图上传至本得分项内。</w:t>
            </w:r>
            <w:r/>
          </w:p>
        </w:tc>
      </w:tr>
      <w:tr>
        <w:trPr>
          <w:jc w:val="center"/>
          <w:trHeight w:val="90"/>
        </w:trPr>
        <w:tc>
          <w:tcPr>
            <w:tcMar>
              <w:left w:w="108" w:type="dxa"/>
              <w:top w:w="0" w:type="dxa"/>
              <w:right w:w="108" w:type="dxa"/>
              <w:bottom w:w="0" w:type="dxa"/>
            </w:tcMar>
            <w:tcW w:w="1467" w:type="dxa"/>
            <w:vAlign w:val="center"/>
            <w:vMerge w:val="restart"/>
            <w:textDirection w:val="lrTb"/>
            <w:noWrap w:val="false"/>
          </w:tcPr>
          <w:p>
            <w:r>
              <w:rPr>
                <w:rFonts w:hint="eastAsia" w:ascii="宋体" w:hAnsi="宋体" w:eastAsia="宋体" w:cs="宋体"/>
                <w:color w:val="auto"/>
                <w:sz w:val="24"/>
                <w:szCs w:val="24"/>
                <w:highlight w:val="none"/>
                <w:lang w:eastAsia="zh-CN"/>
              </w:rPr>
              <w:t xml:space="preserve">技术部分（</w:t>
            </w:r>
            <w:r>
              <w:rPr>
                <w:rFonts w:hint="eastAsia" w:ascii="宋体" w:hAnsi="宋体" w:eastAsia="宋体" w:cs="宋体"/>
                <w:color w:val="auto"/>
                <w:sz w:val="24"/>
                <w:szCs w:val="24"/>
                <w:highlight w:val="none"/>
                <w:lang w:val="en-US" w:eastAsia="zh-CN"/>
              </w:rPr>
              <w:t xml:space="preserve">76</w:t>
            </w:r>
            <w:r>
              <w:rPr>
                <w:rFonts w:hint="eastAsia" w:ascii="宋体" w:hAnsi="宋体" w:eastAsia="宋体" w:cs="宋体"/>
                <w:color w:val="auto"/>
                <w:sz w:val="24"/>
                <w:szCs w:val="24"/>
                <w:highlight w:val="none"/>
                <w:lang w:eastAsia="zh-CN"/>
              </w:rPr>
              <w:t xml:space="preserve">分）</w:t>
            </w:r>
            <w:r/>
          </w:p>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道路保洁管理方案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针对投标人提供的道路保洁管理方案从以下打分点进行打分：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1.排班科学、合理，组织严谨、有执行力；</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2.岗位设置科学、合理；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3.人工作业规范，严谨；</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4.内部人员管理制度完整、齐全；</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5.保洁人员培训计划完善，可行；</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6.提高劳动生产率方法合理，可行；</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7.野广告清理方案合理、可行、达到的效果好。</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以上7项描述具体、可行，有助于采购标的的实现的得21分；每缺少一项扣3分；每有一项方案存在一定缺陷的扣0-3分，扣完为止。(注:内容存在缺陷是指:① 描述的内容混乱，重点不突出;② 或内容缺失不完善，可操作性较差;③或凭空编造，内容矛盾，前后逻辑错误。)</w:t>
            </w:r>
            <w:r/>
          </w:p>
        </w:tc>
      </w:tr>
      <w:tr>
        <w:trPr>
          <w:jc w:val="center"/>
          <w:trHeight w:val="90"/>
        </w:trPr>
        <w:tc>
          <w:tcPr>
            <w:tcMar>
              <w:left w:w="108" w:type="dxa"/>
              <w:top w:w="0" w:type="dxa"/>
              <w:right w:w="108" w:type="dxa"/>
              <w:bottom w:w="0" w:type="dxa"/>
            </w:tcMar>
            <w:tcW w:w="1467"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17"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公厕保洁方案（12分）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针对供应商提供的卫生间保洁方案从以下打分点进行打分：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1.日常保洁方案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2.定期保洁方案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3.特殊区域保洁方案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4.防溢水方案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以上4项描述具体、可行，有助于采购标的的实现的得12分；每缺少一项扣3分；每有一项方案存在一定缺陷的扣0-3分，扣完为止。(注:内容存在缺陷是指:① 描述的内容混乱，重点不突出;② 或内容缺失不完善，可操作性较差;③或凭空编造，内容矛盾，前后逻辑错误。)</w:t>
            </w:r>
            <w:r/>
          </w:p>
        </w:tc>
      </w:tr>
      <w:tr>
        <w:trPr>
          <w:jc w:val="center"/>
          <w:trHeight w:val="467"/>
        </w:trPr>
        <w:tc>
          <w:tcPr>
            <w:tcMar>
              <w:left w:w="108" w:type="dxa"/>
              <w:top w:w="0" w:type="dxa"/>
              <w:right w:w="108" w:type="dxa"/>
              <w:bottom w:w="0" w:type="dxa"/>
            </w:tcMar>
            <w:tcW w:w="1467"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绿化养护方案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针对投标提供的绿化养护方案进行打分：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1.花卉养护方案；</w:t>
            </w:r>
            <w:r/>
          </w:p>
          <w:p>
            <w:pPr>
              <w:jc w:val="left"/>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2.落叶乔木养护方案；</w:t>
            </w:r>
            <w:r/>
          </w:p>
          <w:p>
            <w:pPr>
              <w:jc w:val="left"/>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3.常绿植物养护方案；</w:t>
            </w:r>
            <w:r/>
          </w:p>
          <w:p>
            <w:pPr>
              <w:jc w:val="left"/>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4.草坪养护方案；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以上方案细致，完整，人员安排合理，四季养护内容有针对性的得12分；每缺少一项扣3分；每有一项方案存在一定缺陷的扣0-3分，扣完为止。(注:内容存在缺陷是指:① 描述的内容混乱，重点不突出;② 或内容缺失不完善，可操作性较差;③或凭空编造，内容矛盾，前后逻辑错误。)</w:t>
            </w:r>
            <w:r/>
          </w:p>
        </w:tc>
      </w:tr>
      <w:tr>
        <w:trPr>
          <w:jc w:val="center"/>
          <w:trHeight w:val="1677"/>
        </w:trPr>
        <w:tc>
          <w:tcPr>
            <w:tcMar>
              <w:left w:w="108" w:type="dxa"/>
              <w:top w:w="0" w:type="dxa"/>
              <w:right w:w="108" w:type="dxa"/>
              <w:bottom w:w="0" w:type="dxa"/>
            </w:tcMar>
            <w:tcW w:w="1467"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垃圾前端分类收集运输、宣传方案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针对投标人提供的垃圾前端分类收集运输、宣传方案从以下打分点进行打分：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1.人员配备合理，能满足项目要求；</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2.时间规划科学，合理、降低对外界的干扰；</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3.设备安排（车辆）和工具配备合理，能满足项目需求；</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4.垃圾量台账记录完整，详细；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5.垃圾分类宣传切实、可行，频率符合项目要求。</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以上5项描述具体、可行，有助于采购标的的实现的得10分；每缺少一项扣2分；每有一项方案存在一定缺陷的扣0-2分，扣完为止。(注:内容存在缺陷是指:① 描述的内容混乱，重点不突出;② 或内容缺失不完善，可操作性较差;③或凭空编造，内容矛盾，前后逻辑错误。)</w:t>
            </w:r>
            <w:r/>
          </w:p>
        </w:tc>
      </w:tr>
      <w:tr>
        <w:trPr>
          <w:jc w:val="center"/>
          <w:trHeight w:val="1677"/>
        </w:trPr>
        <w:tc>
          <w:tcPr>
            <w:tcMar>
              <w:left w:w="108" w:type="dxa"/>
              <w:top w:w="0" w:type="dxa"/>
              <w:right w:w="108" w:type="dxa"/>
              <w:bottom w:w="0" w:type="dxa"/>
            </w:tcMar>
            <w:tcW w:w="1467"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shd w:val="clear" w:color="auto" w:fill="auto"/>
            <w:tcW w:w="1517"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安全作业方案（10分）</w:t>
            </w:r>
            <w:r/>
          </w:p>
        </w:tc>
        <w:tc>
          <w:tcPr>
            <w:shd w:val="clear" w:color="auto" w:fill="auto"/>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针对供应商提供的安全作业方案从以下打分点进行打分：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1.安全生产原则规定与贯彻执行方法</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2.保持作业环境的安全方法</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3.保洁设施的安全管理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4.安全警示管理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以上4项描述具体、可行，能充分体现供应商安全作业规范的得10分，每缺少一项扣2.5分，每有一项方案存在一定缺陷的，扣0-2.5分，扣完为止。(注:内容存在缺陷是指:① 描述的内容混乱，重点不突出;② 或内容缺失不完善，可操作性较差;③或凭空编造，内容矛盾，前后逻辑错误。)</w:t>
            </w:r>
            <w:r/>
          </w:p>
        </w:tc>
      </w:tr>
      <w:tr>
        <w:trPr>
          <w:jc w:val="center"/>
          <w:trHeight w:val="1677"/>
        </w:trPr>
        <w:tc>
          <w:tcPr>
            <w:tcMar>
              <w:left w:w="108" w:type="dxa"/>
              <w:top w:w="0" w:type="dxa"/>
              <w:right w:w="108" w:type="dxa"/>
              <w:bottom w:w="0" w:type="dxa"/>
            </w:tcMar>
            <w:tcW w:w="1467"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应急预案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针对投标人提供的应急预案从以下打分点进行打分：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1.重大活动保障应急预案；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2.特殊季节性保洁应急预案；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3.道路大面积污染应急预案；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4.除雪应急预案；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5.台风暴雨等恶劣天气应急预案。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以上5项组织机构完整、流程健全、保障措施合理、有效的得10分；每缺少一项扣2分；每有一项方案存在一定缺陷的扣0-2分，扣完为止。(注:内容存在缺陷是指:① 描述的内容混乱，重点不突出;② 或内容缺失不完善，可操作性较差;③或凭空编造，内容矛盾，前后逻辑错误。)</w:t>
            </w:r>
            <w:r/>
          </w:p>
        </w:tc>
      </w:tr>
    </w:tbl>
    <w:p>
      <w:pPr>
        <w:spacing w:line="240" w:lineRule="auto"/>
        <w:rPr>
          <w:rFonts w:ascii="宋体" w:hAnsi="宋体" w:eastAsia="宋体" w:cs="Times New Roman"/>
          <w:b/>
          <w:bCs/>
          <w:sz w:val="22"/>
          <w:szCs w:val="22"/>
          <w:highlight w:val="none"/>
        </w:rPr>
      </w:pPr>
      <w:r>
        <w:rPr>
          <w:rFonts w:ascii="宋体" w:hAnsi="宋体" w:eastAsia="宋体" w:cs="Times New Roman"/>
          <w:b/>
          <w:bCs/>
          <w:sz w:val="22"/>
          <w:szCs w:val="22"/>
          <w:highlight w:val="none"/>
        </w:rPr>
      </w:r>
      <w:r/>
    </w:p>
    <w:p>
      <w:pPr>
        <w:spacing w:line="240" w:lineRule="auto"/>
        <w:rPr>
          <w:rFonts w:ascii="Times New Roman" w:hAnsi="Times New Roman" w:eastAsia="宋体" w:cs="Times New Roman"/>
          <w:sz w:val="20"/>
          <w:highlight w:val="none"/>
        </w:rPr>
      </w:pPr>
      <w:r>
        <w:rPr>
          <w:rFonts w:ascii="宋体" w:hAnsi="宋体" w:eastAsia="宋体" w:cs="Times New Roman"/>
          <w:b/>
          <w:bCs/>
          <w:sz w:val="22"/>
          <w:szCs w:val="22"/>
          <w:highlight w:val="none"/>
        </w:rPr>
        <w:t xml:space="preserve">说</w:t>
      </w:r>
      <w:r>
        <w:rPr>
          <w:rFonts w:ascii="Times New Roman" w:hAnsi="Times New Roman" w:eastAsia="宋体" w:cs="Times New Roman"/>
          <w:b/>
          <w:bCs/>
          <w:sz w:val="22"/>
          <w:szCs w:val="22"/>
          <w:highlight w:val="none"/>
        </w:rPr>
        <w:t xml:space="preserve">明：本项目采用综合评分法。</w:t>
      </w:r>
      <w:r/>
    </w:p>
    <w:p>
      <w:pPr>
        <w:rPr>
          <w:color w:val="auto"/>
          <w:highlight w:val="none"/>
        </w:rPr>
      </w:pPr>
      <w:r>
        <w:rPr>
          <w:color w:val="auto"/>
          <w:highlight w:val="none"/>
        </w:rPr>
      </w:r>
      <w:r/>
    </w:p>
    <w:p>
      <w:pPr>
        <w:pStyle w:val="800"/>
        <w:rPr>
          <w:color w:val="auto"/>
          <w:highlight w:val="none"/>
        </w:rPr>
      </w:pPr>
      <w:r>
        <w:rPr>
          <w:color w:val="auto"/>
          <w:highlight w:val="none"/>
        </w:rPr>
      </w:r>
      <w:r/>
    </w:p>
    <w:p>
      <w:pPr>
        <w:pStyle w:val="800"/>
        <w:rPr>
          <w:color w:val="auto"/>
          <w:highlight w:val="none"/>
        </w:rPr>
      </w:pPr>
      <w:r>
        <w:rPr>
          <w:color w:val="auto"/>
          <w:highlight w:val="none"/>
        </w:rPr>
      </w:r>
      <w:r/>
    </w:p>
    <w:p>
      <w:pPr>
        <w:pStyle w:val="800"/>
        <w:rPr>
          <w:color w:val="auto"/>
          <w:highlight w:val="none"/>
        </w:rPr>
      </w:pPr>
      <w:r>
        <w:rPr>
          <w:color w:val="auto"/>
          <w:highlight w:val="none"/>
        </w:rPr>
      </w:r>
      <w:r/>
    </w:p>
    <w:p>
      <w:pPr>
        <w:pStyle w:val="800"/>
        <w:rPr>
          <w:color w:val="auto"/>
          <w:highlight w:val="none"/>
        </w:rPr>
      </w:pPr>
      <w:r>
        <w:rPr>
          <w:color w:val="auto"/>
          <w:highlight w:val="none"/>
        </w:rPr>
      </w:r>
      <w:r/>
    </w:p>
    <w:p>
      <w:pPr>
        <w:pStyle w:val="800"/>
        <w:rPr>
          <w:color w:val="auto"/>
          <w:highlight w:val="none"/>
        </w:rPr>
      </w:pPr>
      <w:r>
        <w:rPr>
          <w:color w:val="auto"/>
          <w:highlight w:val="none"/>
        </w:rPr>
      </w:r>
      <w:r/>
    </w:p>
    <w:p>
      <w:pPr>
        <w:rPr>
          <w:color w:val="auto"/>
          <w:highlight w:val="none"/>
        </w:rPr>
      </w:pPr>
      <w:r>
        <w:rPr>
          <w:color w:val="auto"/>
          <w:highlight w:val="none"/>
        </w:rPr>
      </w:r>
      <w:r/>
    </w:p>
    <w:p>
      <w:pPr>
        <w:pStyle w:val="787"/>
        <w:rPr>
          <w:color w:val="auto"/>
          <w:highlight w:val="none"/>
        </w:rPr>
      </w:pPr>
      <w:r/>
      <w:bookmarkStart w:id="5" w:name="_Toc4807"/>
      <w:r>
        <w:rPr>
          <w:rFonts w:hint="eastAsia"/>
          <w:color w:val="auto"/>
          <w:highlight w:val="none"/>
        </w:rPr>
        <w:t xml:space="preserve">第五章 拟签订的合同文本</w:t>
      </w:r>
      <w:bookmarkEnd w:id="5"/>
      <w:r/>
      <w:r/>
    </w:p>
    <w:p>
      <w:pPr>
        <w:pStyle w:val="845"/>
        <w:rPr>
          <w:rFonts w:hint="eastAsia" w:ascii="宋体" w:hAnsi="宋体" w:eastAsia="宋体"/>
          <w:color w:val="auto"/>
          <w:sz w:val="28"/>
          <w:szCs w:val="28"/>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丰县华山镇镇区保洁及绿化养护项目</w:t>
      </w:r>
      <w:r/>
    </w:p>
    <w:p>
      <w:pPr>
        <w:pStyle w:val="845"/>
        <w:jc w:val="center"/>
        <w:rPr>
          <w:rFonts w:hint="eastAsia" w:ascii="宋体" w:hAnsi="宋体" w:eastAsia="宋体"/>
          <w:b/>
          <w:bCs/>
          <w:color w:val="auto"/>
          <w:sz w:val="52"/>
          <w:szCs w:val="52"/>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JSZC-320321-XZZX-G2024-0025</w:t>
      </w:r>
      <w:r/>
    </w:p>
    <w:p>
      <w:pPr>
        <w:pStyle w:val="845"/>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845"/>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845"/>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845"/>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845"/>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845"/>
        <w:jc w:val="center"/>
        <w:rPr>
          <w:rFonts w:ascii="宋体" w:hAnsi="宋体"/>
          <w:color w:val="auto"/>
          <w:sz w:val="40"/>
          <w:szCs w:val="40"/>
          <w:highlight w:val="none"/>
        </w:rPr>
      </w:pPr>
      <w:r>
        <w:rPr>
          <w:rFonts w:ascii="宋体" w:hAnsi="宋体"/>
          <w:b/>
          <w:bCs/>
          <w:color w:val="auto"/>
          <w:sz w:val="52"/>
          <w:szCs w:val="52"/>
          <w:highlight w:val="none"/>
        </w:rPr>
        <w:t xml:space="preserve">同</w:t>
      </w:r>
      <w:r/>
    </w:p>
    <w:p>
      <w:pPr>
        <w:pStyle w:val="845"/>
        <w:rPr>
          <w:rFonts w:ascii="宋体" w:hAnsi="宋体"/>
          <w:color w:val="auto"/>
          <w:sz w:val="24"/>
          <w:highlight w:val="none"/>
        </w:rPr>
      </w:pPr>
      <w:r>
        <w:rPr>
          <w:rFonts w:ascii="宋体" w:hAnsi="宋体"/>
          <w:color w:val="auto"/>
          <w:sz w:val="24"/>
          <w:highlight w:val="none"/>
        </w:rPr>
      </w:r>
      <w:r/>
    </w:p>
    <w:p>
      <w:pPr>
        <w:pStyle w:val="845"/>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45"/>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45"/>
        <w:rPr>
          <w:rFonts w:ascii="宋体" w:hAnsi="宋体"/>
          <w:color w:val="auto"/>
          <w:sz w:val="24"/>
          <w:highlight w:val="none"/>
        </w:rPr>
      </w:pPr>
      <w:r>
        <w:rPr>
          <w:rFonts w:ascii="宋体" w:hAnsi="宋体"/>
          <w:color w:val="auto"/>
          <w:sz w:val="24"/>
          <w:highlight w:val="none"/>
        </w:rPr>
        <w:t xml:space="preserve">合同签订日期： 年 月 日</w:t>
      </w:r>
      <w:r/>
    </w:p>
    <w:p>
      <w:pPr>
        <w:pStyle w:val="845"/>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845"/>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36"/>
        <w:ind w:firstLine="480"/>
        <w:jc w:val="center"/>
        <w:spacing w:line="520" w:lineRule="exact"/>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br w:type="page" w:clear="all"/>
      </w:r>
      <w:r/>
    </w:p>
    <w:p>
      <w:pPr>
        <w:jc w:val="center"/>
        <w:spacing w:line="360" w:lineRule="auto"/>
        <w:rPr>
          <w:rFonts w:hint="eastAsia" w:ascii="宋体" w:hAnsi="宋体" w:eastAsia="宋体" w:cs="宋体"/>
          <w:b/>
          <w:bCs/>
          <w:sz w:val="24"/>
          <w:szCs w:val="24"/>
          <w:highlight w:val="none"/>
        </w:rPr>
      </w:pPr>
      <w:r/>
      <w:bookmarkStart w:id="6" w:name="_Toc1430"/>
      <w:r>
        <w:rPr>
          <w:rFonts w:hint="eastAsia" w:ascii="宋体" w:hAnsi="宋体" w:eastAsia="宋体" w:cs="宋体"/>
          <w:b/>
          <w:bCs/>
          <w:sz w:val="24"/>
          <w:szCs w:val="24"/>
          <w:highlight w:val="none"/>
        </w:rPr>
        <w:t xml:space="preserve">第一节 总 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本合同当事人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   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合同服务期限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none"/>
          <w:lang w:val="en-US" w:eastAsia="zh-CN"/>
        </w:rPr>
        <w:t xml:space="preserve">   三  </w:t>
      </w:r>
      <w:r>
        <w:rPr>
          <w:rFonts w:hint="eastAsia" w:ascii="宋体" w:hAnsi="宋体" w:eastAsia="宋体" w:cs="宋体"/>
          <w:sz w:val="24"/>
          <w:szCs w:val="24"/>
          <w:highlight w:val="none"/>
          <w:u w:val="none"/>
        </w:rPr>
        <w:t xml:space="preserve">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日 ，合同期满，依据相关政策文件执行。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合同编号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合同签订依据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为推行环卫市场化保洁运作，甲乙双方根据</w:t>
      </w:r>
      <w:r>
        <w:rPr>
          <w:rFonts w:hint="eastAsia" w:ascii="宋体" w:hAnsi="宋体" w:eastAsia="宋体" w:cs="宋体"/>
          <w:sz w:val="24"/>
          <w:szCs w:val="24"/>
          <w:highlight w:val="none"/>
          <w:lang w:eastAsia="zh-CN"/>
        </w:rPr>
        <w:t xml:space="preserve">丰县华山镇镇区保洁及绿化养护项目</w:t>
      </w:r>
      <w:r>
        <w:rPr>
          <w:rFonts w:hint="eastAsia" w:ascii="宋体" w:hAnsi="宋体" w:eastAsia="宋体" w:cs="宋体"/>
          <w:sz w:val="24"/>
          <w:szCs w:val="24"/>
          <w:highlight w:val="none"/>
        </w:rPr>
        <w:t xml:space="preserve">(项目编号：    )招标结果，依据《中华人民共和国</w:t>
      </w:r>
      <w:r>
        <w:rPr>
          <w:rFonts w:hint="eastAsia" w:ascii="宋体" w:hAnsi="宋体" w:cs="宋体"/>
          <w:sz w:val="24"/>
          <w:szCs w:val="24"/>
          <w:highlight w:val="none"/>
          <w:lang w:val="en-US" w:eastAsia="zh-CN"/>
        </w:rPr>
        <w:t xml:space="preserve">民法典</w:t>
      </w:r>
      <w:r>
        <w:rPr>
          <w:rFonts w:hint="eastAsia" w:ascii="宋体" w:hAnsi="宋体" w:eastAsia="宋体" w:cs="宋体"/>
          <w:sz w:val="24"/>
          <w:szCs w:val="24"/>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合同文件的组成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本合同所附下列文件是构成本合同不可分割的部分：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(项目编号：    )以及相关的澄清、补充文件等；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2.乙方的投标文件及其澄清、补充说明文件等；</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.中标通知书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承包范围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具体内容见附件。</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第二节 项目内容</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第六条 项目名称：</w:t>
      </w:r>
      <w:r>
        <w:rPr>
          <w:rFonts w:hint="eastAsia" w:ascii="宋体" w:hAnsi="宋体" w:eastAsia="宋体" w:cs="宋体"/>
          <w:sz w:val="24"/>
          <w:szCs w:val="24"/>
          <w:highlight w:val="none"/>
          <w:lang w:eastAsia="zh-CN"/>
        </w:rPr>
        <w:t xml:space="preserve">丰县华山镇镇区保洁及绿化养护项目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作业范围及内容</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作业范围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华山</w:t>
      </w:r>
      <w:r>
        <w:rPr>
          <w:rFonts w:hint="eastAsia" w:ascii="宋体" w:hAnsi="宋体" w:cs="宋体"/>
          <w:sz w:val="24"/>
          <w:szCs w:val="24"/>
          <w:highlight w:val="none"/>
          <w:lang w:val="en-US" w:eastAsia="zh-CN"/>
        </w:rPr>
        <w:t xml:space="preserve">镇地</w:t>
      </w:r>
      <w:r>
        <w:rPr>
          <w:rFonts w:hint="eastAsia" w:ascii="宋体" w:hAnsi="宋体" w:eastAsia="宋体" w:cs="宋体"/>
          <w:sz w:val="24"/>
          <w:szCs w:val="24"/>
          <w:highlight w:val="none"/>
          <w:lang w:val="en-US" w:eastAsia="zh-CN"/>
        </w:rPr>
        <w:t xml:space="preserve">区保洁、绿化养护；套楼街区保洁；钢城保洁、绿化养护；产业园保洁、绿化养护；宕口保洁、绿化养护；老街保洁等内容</w:t>
      </w:r>
      <w:r>
        <w:rPr>
          <w:rFonts w:hint="eastAsia" w:ascii="宋体" w:hAnsi="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作业内容：</w:t>
      </w:r>
      <w:r>
        <w:rPr>
          <w:rFonts w:hint="eastAsia" w:ascii="宋体" w:hAnsi="宋体" w:eastAsia="宋体" w:cs="宋体"/>
          <w:sz w:val="24"/>
          <w:szCs w:val="24"/>
          <w:highlight w:val="none"/>
        </w:rPr>
        <w:t xml:space="preserve">主次干道、人行道（横向为建筑物门面或围墙至指定位置）；垃圾分类收集清运；隔离栏（交通护栏）清洗；卫生死角清除；果壳箱、垃圾桶清洗（维护）、更换、补缺；沿街建筑物，人行道，地面、市政、交通（公交站台）、环卫设施等立面乱涂写乱张贴清除保洁、公厕的管理；道路快慢车道、人行道路面的人工清扫和巡回保洁；绿化养护等</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交办的其他任务等。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作业规范、标准及要求：作业规范符合但不限于《 江苏省城市环境卫生作业服务质量标准》等现行有关法律法规、规章和规范性文件。服务质量和要求详见《</w:t>
      </w:r>
      <w:r>
        <w:rPr>
          <w:rFonts w:hint="eastAsia" w:ascii="宋体" w:hAnsi="宋体" w:eastAsia="宋体" w:cs="宋体"/>
          <w:sz w:val="24"/>
          <w:szCs w:val="24"/>
          <w:highlight w:val="none"/>
          <w:lang w:eastAsia="zh-CN"/>
        </w:rPr>
        <w:t xml:space="preserve">丰县华山镇区</w:t>
      </w:r>
      <w:r>
        <w:rPr>
          <w:rFonts w:hint="eastAsia" w:ascii="宋体" w:hAnsi="宋体" w:eastAsia="宋体" w:cs="宋体"/>
          <w:sz w:val="24"/>
          <w:szCs w:val="24"/>
          <w:highlight w:val="none"/>
        </w:rPr>
        <w:t xml:space="preserve">环境卫生检查考核实施细则》。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（二）作业要求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1.环卫作业应做到文明、安全和有序，最大限度地减少对环境的污染和对公众生活的影响。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2.环卫作业人员应穿着统一制式的作业服装，做到着装整齐。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3.乙方应编制突发事件应急预案，成立应急突击队，做好各类重大活动、应急处置等保障，服从甲方调配。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（三）作业时间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1.道路人工保洁时间</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主次干道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背街小巷道路</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：00至</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：00至</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。街巷的巡回保洁时间和相连的道路的保洁时间同步。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2.道路机械化保洁时间和要求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当气温≤5℃时，暂停桥面、坡道的带水作业；当气温≤5℃时，道路洗扫、机扫全部采用干扫（不喷水）作业方式。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冲洗、冼扫、吸尘作业时应来回各一趟，在早上5：00至7：00，中午下午15：30至18：00。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（1）机械普扫和保洁。每日对道路快慢车道机械普扫和保洁不低于2次，时间为：早上5：00至7：00，下午15：30至18：00。速度不得高于8公里/小时，要求按道路单边进行作业，来回各一次。</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（2）道路冲刷和洒水。最低气温高于5摄氏度的天气，每天洒水降尘不低于</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sz w:val="24"/>
          <w:szCs w:val="24"/>
          <w:highlight w:val="none"/>
        </w:rPr>
        <w:t xml:space="preserve">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p>
    <w:p>
      <w:pPr>
        <w:ind w:firstLine="48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（四）</w:t>
      </w:r>
      <w:r>
        <w:rPr>
          <w:rFonts w:hint="eastAsia" w:ascii="宋体" w:hAnsi="宋体" w:eastAsia="宋体" w:cs="宋体"/>
          <w:b w:val="0"/>
          <w:bCs w:val="0"/>
          <w:sz w:val="24"/>
          <w:szCs w:val="24"/>
          <w:highlight w:val="none"/>
        </w:rPr>
        <w:t xml:space="preserve">作业模式和要求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1.人工保洁</w:t>
      </w:r>
      <w:r/>
    </w:p>
    <w:p>
      <w:pPr>
        <w:ind w:firstLine="7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人工普扫。道路及街巷人工普扫时间早</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：00至</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：00。在普扫结束时间之前必须完成首次路面普扫和垃圾清运工作，并及时分类清运垃圾。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（2）巡回保洁。沿街门面、主次干道、背街小巷无漂浮物、积存垃圾、烟头、纸片、宠物粪便等。时间与道路人工保洁时间同步。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道路作业模式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（1）机械作业：冲洗作业（清洗车），清洗作业（</w:t>
      </w:r>
      <w:r>
        <w:rPr>
          <w:rFonts w:hint="eastAsia" w:ascii="宋体" w:hAnsi="宋体" w:eastAsia="宋体" w:cs="宋体"/>
          <w:sz w:val="24"/>
          <w:szCs w:val="24"/>
          <w:highlight w:val="none"/>
          <w:lang w:eastAsia="zh-CN"/>
        </w:rPr>
        <w:t xml:space="preserve">洒水车、清扫</w:t>
      </w:r>
      <w:r>
        <w:rPr>
          <w:rFonts w:hint="eastAsia" w:ascii="宋体" w:hAnsi="宋体" w:eastAsia="宋体" w:cs="宋体"/>
          <w:sz w:val="24"/>
          <w:szCs w:val="24"/>
          <w:highlight w:val="none"/>
        </w:rPr>
        <w:t xml:space="preserve">车），吸尘保洁，精细化作业（人工配合小型清洗车）。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（2）人工作业：普扫，捡拾，快速巡回保洁。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3.果壳箱、垃圾收集容器保洁和垃圾清运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果壳箱和垃圾收集容器每日进行保洁、擦洗（套袋），做到箱体（收集容器）外表无污迹、无野广告，清洗光亮，管理期间缺失照价赔偿。内部垃圾不得超过容积的1/2,周围地面洁净，地面无油污。主次干道不设置垃圾桶，背街小巷可合理设置。</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.杂物清理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对快慢车道、人行道、树穴、墙根、地面空调外机周围等处的砖头、石块等杂物要及时进行清理，保证道路路面及两侧干净整齐。</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.野广告清理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．护栏清洗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.公厕管理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（1）卫生保洁标准</w:t>
      </w:r>
      <w:r/>
    </w:p>
    <w:p>
      <w:pPr>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①公厕全天候24小时免费开放公厕，及时保洁、清理污物；水电正常。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定时喷洒灭蚊蝇药物，做到随有随灭，确保无蚊蝇；每日喷洒消毒药水不少于2次，并保持通风良好，除臭。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公厕内暴露管道外部及时擦拭，保持清洁卫生；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6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⑥</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清扫保洁时应设置提示标志，冬季保洁时地面不结冰；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7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⑦</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室内地面及室外周围10米内环境整洁，无杂物杂草、无乱搭乱建；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8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⑧</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管理间物品摆放有序，干净整洁，保洁工具不得随意摆放。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9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⑨</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公厕管理制度健全，信息上墙公开，消杀记录齐全，专人保洁、配备足够的保洁工具。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（2）设施及维护标准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屋顶、墙壁、门、窗、油漆涂饰位置、地面蹲台、便器、盖板、隔断板、门、管理间、镜子、水嘴、洗手(盆)池、墩布池、挂衣钩、标识灯具、通风除臭设备等各种设施、设备齐全完好，保证正常使用。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公厕内不得擅自设置广告；乱贴乱画清理修复后，要与整体色泽协调一致。公厕内外墙面保持整洁，随脏随除，并按</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要求进行墙面粉刷；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公厕因主体结构损坏、管道堵塞、设施损坏等原因停止使用时，应公示停用期限，并采取设置活动厕所或指明就近厕所位置的临时性措施解决群众用厕。对破坏、损坏设施的行为，有劝阻、报告的义务；并协助公安部门做好维护社会秩序等工作；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确保节假日、公休日公厕正常开放使用，配合环卫管理部门做好检查考核工作；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各项重大活动（包括国家、省、市、县各级部门的检查、交流、学习、会议等相关活动）及节假日，需新配置相应洗手液分配器、干手器、手纸架、挂钩、除臭等设施，要按</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要求配置保证正常使用，并及时添加洗手液、手纸等用品；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6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⑥</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每座公厕必须设1名专职看管人员负责清扫保洁，看管人员统一着企业标志服装，负责公厕保洁服务、设施完好、安全等管理工作。公厕看管人员工作期间无断岗、脱岗现象，不得从事与保洁服务工作无关的工作。</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7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⑦</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eastAsia="zh-CN"/>
        </w:rPr>
        <w:t xml:space="preserve">甲方应保证公厕水通、电通、公厕维修。乙方负责保洁工具及保洁工作。</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绿化养护管理规范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养护范围内的树木、花 卉、草坪、地被植物、水生植物、竹类等养护与管理。</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、日常固定保洁及养护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项目要求人员标准组成养护队伍，对范围内绿化进行日常养护管理，包括对植物进行修剪、施肥、浇水、除草、抹芽、病虫害防治等，做到花草繁茂、树木旺盛，花卉、苗木要无死枝、枯枝，并保证绿化区域无树枝、树叶、草屑、纸屑、塑料袋等垃圾。</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、季节性突击养护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做好季节性突击养护临时用工计划，做好旱季防旱、雨季防涝、冬季防冻工作，保证花草树木成活。</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、病虫害控制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绿地的病虫害控制和分类见表1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表1绿地的病虫害控制和分类</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940"/>
        <w:gridCol w:w="900"/>
        <w:gridCol w:w="1426"/>
        <w:gridCol w:w="1304"/>
        <w:gridCol w:w="1290"/>
        <w:gridCol w:w="1260"/>
      </w:tblGrid>
      <w:tr>
        <w:trPr>
          <w:cantSplit/>
          <w:jc w:val="center"/>
          <w:trHeight w:val="292"/>
        </w:trPr>
        <w:tc>
          <w:tcPr>
            <w:tcW w:w="985" w:type="dxa"/>
            <w:vAlign w:val="center"/>
            <w:vMerge w:val="restart"/>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绿地级别</w:t>
            </w:r>
            <w:r/>
          </w:p>
        </w:tc>
        <w:tc>
          <w:tcPr>
            <w:tcW w:w="2940" w:type="dxa"/>
            <w:vAlign w:val="center"/>
            <w:vMerge w:val="restart"/>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总体要求</w:t>
            </w:r>
            <w:r/>
          </w:p>
        </w:tc>
        <w:tc>
          <w:tcPr>
            <w:gridSpan w:val="5"/>
            <w:tcW w:w="618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类别</w:t>
            </w:r>
            <w:r/>
          </w:p>
        </w:tc>
      </w:tr>
      <w:tr>
        <w:trPr>
          <w:cantSplit/>
          <w:jc w:val="center"/>
          <w:trHeight w:val="933"/>
        </w:trPr>
        <w:tc>
          <w:tcPr>
            <w:tcW w:w="985" w:type="dxa"/>
            <w:vAlign w:val="center"/>
            <w:vMerge w:val="continue"/>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940" w:type="dxa"/>
            <w:vAlign w:val="center"/>
            <w:vMerge w:val="continue"/>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9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蛀干</w:t>
            </w:r>
            <w:r/>
          </w:p>
        </w:tc>
        <w:tc>
          <w:tcPr>
            <w:tcW w:w="1426"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刺吸类(平均每10cm枝条上)</w:t>
            </w:r>
            <w:r/>
          </w:p>
        </w:tc>
        <w:tc>
          <w:tcPr>
            <w:tcW w:w="1304"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地下害虫</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（平均每1m2绿地内）</w:t>
            </w:r>
            <w:r/>
          </w:p>
        </w:tc>
        <w:tc>
          <w:tcPr>
            <w:tcW w:w="129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食叶类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（平均每50cm枝条上）</w:t>
            </w:r>
            <w:r/>
          </w:p>
        </w:tc>
        <w:tc>
          <w:tcPr>
            <w:tcW w:w="126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病害（所有植株）</w:t>
            </w:r>
            <w:r/>
          </w:p>
        </w:tc>
      </w:tr>
      <w:tr>
        <w:trPr>
          <w:jc w:val="center"/>
        </w:trPr>
        <w:tc>
          <w:tcPr>
            <w:tcW w:w="985"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三级</w:t>
            </w:r>
            <w:r/>
          </w:p>
        </w:tc>
        <w:tc>
          <w:tcPr>
            <w:tcW w:w="294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病虫害控制比较及时，平均每100株树木病虫危害不超过10株，100m2绿篱、草坪病虫危害不超过10%</w:t>
            </w:r>
            <w:r/>
          </w:p>
        </w:tc>
        <w:tc>
          <w:tcPr>
            <w:tcW w:w="9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无活卵、活虫</w:t>
            </w:r>
            <w:r/>
          </w:p>
        </w:tc>
        <w:tc>
          <w:tcPr>
            <w:tcW w:w="1426"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不得超过15头</w:t>
            </w:r>
            <w:r/>
          </w:p>
        </w:tc>
        <w:tc>
          <w:tcPr>
            <w:tcW w:w="1304"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不超过10头</w:t>
            </w:r>
            <w:r/>
          </w:p>
        </w:tc>
        <w:tc>
          <w:tcPr>
            <w:tcW w:w="129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不超过5头</w:t>
            </w:r>
            <w:r/>
          </w:p>
        </w:tc>
        <w:tc>
          <w:tcPr>
            <w:tcW w:w="126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10%以下</w:t>
            </w:r>
            <w:r/>
          </w:p>
        </w:tc>
      </w:tr>
    </w:tbl>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、修剪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绿地内枯死枝、株应及时修剪、清理；修剪清理后的枝、叶应及时清除干净。</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灌水、排涝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应根据当地气候特点、土壤状况、植物特性等适时适量浇水，促其正常生长。浇水前应先检查土壤含水量。</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、除草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在植物生长季节，要不间断地进行中耕除草，应除小、除早、除了。杂草要集中处理，并及时清运。</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、施肥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应根据园林树木生长需要和土壤肥力情况，合理施肥。</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第三节 作业人员、服装、防护用品及设备（车辆）配置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人员及服装要求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1.人员数量配备</w:t>
      </w:r>
      <w:r>
        <w:rPr>
          <w:rFonts w:hint="eastAsia" w:ascii="宋体" w:hAnsi="宋体" w:eastAsia="宋体" w:cs="宋体"/>
          <w:sz w:val="24"/>
          <w:szCs w:val="24"/>
          <w:highlight w:val="none"/>
          <w:u w:val="single"/>
        </w:rPr>
        <w:t xml:space="preserve">：    人（其中保洁人员      人，驾驶员</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人，管理人员       人）</w:t>
      </w:r>
      <w:r>
        <w:rPr>
          <w:rFonts w:hint="eastAsia" w:ascii="宋体" w:hAnsi="宋体" w:eastAsia="宋体" w:cs="宋体"/>
          <w:sz w:val="24"/>
          <w:szCs w:val="24"/>
          <w:highlight w:val="none"/>
        </w:rPr>
        <w:t xml:space="preserve">。上岗前必须进行身份证登记，将身份证复印件报甲方备案。保洁人员年龄男不得超过60周岁，女不得超过55周岁。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管理人员包括班长、车队长，不包括办公室文员、会计等人员，保洁人员包括一线道路清扫、捡拾、快速保洁。</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本项目配备项目经理1名，不得同时兼任其他项目部经理或其他职务，以上人员的配备需向</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备案，需调整或调动必须听取</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意见方可实施。管理团队要求道德品质好，行为端正，责任心强、能吃苦，有开拓创新精神，有3-5年以上环卫保洁工作经验，平均年龄不超过45周岁</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设备配置要求</w:t>
      </w:r>
      <w:r/>
    </w:p>
    <w:tbl>
      <w:tblPr>
        <w:tblStyle w:val="797"/>
        <w:tblW w:w="937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trHeight w:val="619"/>
        </w:trPr>
        <w:tc>
          <w:tcPr>
            <w:gridSpan w:val="5"/>
            <w:tcW w:w="9370" w:type="dxa"/>
            <w:vAlign w:val="center"/>
            <w:textDirection w:val="lrTb"/>
            <w:noWrap/>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车辆配备明细表</w:t>
            </w:r>
            <w:r/>
          </w:p>
        </w:tc>
      </w:tr>
      <w:tr>
        <w:trPr>
          <w:trHeight w:val="626"/>
        </w:trPr>
        <w:tc>
          <w:tcPr>
            <w:tcW w:w="782" w:type="dxa"/>
            <w:vAlign w:val="center"/>
            <w:textDirection w:val="lrTb"/>
            <w:noWrap/>
          </w:tcPr>
          <w:p>
            <w:pPr>
              <w:ind w:left="0" w:firstLine="0"/>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6"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项目分类</w:t>
            </w:r>
            <w:r/>
          </w:p>
        </w:tc>
        <w:tc>
          <w:tcPr>
            <w:tcW w:w="3868"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980"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w:t>
            </w:r>
            <w:r/>
          </w:p>
        </w:tc>
      </w:tr>
      <w:tr>
        <w:trPr>
          <w:trHeight w:val="499"/>
        </w:trPr>
        <w:tc>
          <w:tcPr>
            <w:tcW w:w="782" w:type="dxa"/>
            <w:vAlign w:val="center"/>
            <w:vMerge w:val="restart"/>
            <w:textDirection w:val="lrTb"/>
            <w:noWrap w:val="false"/>
          </w:tcPr>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516" w:type="dxa"/>
            <w:vAlign w:val="center"/>
            <w:vMerge w:val="restart"/>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w:t>
            </w:r>
            <w:r/>
          </w:p>
        </w:tc>
        <w:tc>
          <w:tcPr>
            <w:tcW w:w="386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垃圾清运车</w:t>
            </w:r>
            <w:r>
              <w:rPr>
                <w:rFonts w:hint="eastAsia" w:ascii="宋体" w:hAnsi="宋体" w:eastAsia="宋体" w:cs="宋体"/>
                <w:color w:val="auto"/>
                <w:sz w:val="24"/>
                <w:szCs w:val="24"/>
                <w:highlight w:val="none"/>
                <w:lang w:val="en-US" w:eastAsia="zh-CN"/>
              </w:rPr>
              <w:t xml:space="preserve">8m3</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99"/>
        </w:trPr>
        <w:tc>
          <w:tcPr>
            <w:tcW w:w="782"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电动清扫车</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（其中至少一辆新能源车辆）</w:t>
            </w:r>
            <w:r/>
          </w:p>
        </w:tc>
      </w:tr>
      <w:tr>
        <w:trPr>
          <w:trHeight w:val="499"/>
        </w:trPr>
        <w:tc>
          <w:tcPr>
            <w:tcW w:w="782"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清洗车</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W w:w="7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W w:w="782"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第四节 合同价款与支付</w:t>
      </w:r>
      <w:r/>
    </w:p>
    <w:p>
      <w:pPr>
        <w:ind w:left="0" w:firstLine="56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第十一条  本合同总价款为￥：</w:t>
      </w:r>
      <w:r>
        <w:rPr>
          <w:rFonts w:hint="eastAsia" w:ascii="宋体" w:hAnsi="宋体" w:eastAsia="宋体" w:cs="宋体"/>
          <w:sz w:val="24"/>
          <w:szCs w:val="24"/>
          <w:highlight w:val="none"/>
          <w:u w:val="single"/>
          <w:lang w:val="en-US" w:eastAsia="zh-CN" w:bidi="ar-SA"/>
        </w:rPr>
        <w:tab/>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，本价款为含税价。由甲方按月支付，</w:t>
      </w:r>
      <w:r>
        <w:rPr>
          <w:rFonts w:hint="eastAsia" w:ascii="宋体" w:hAnsi="宋体" w:cs="宋体"/>
          <w:sz w:val="24"/>
          <w:szCs w:val="24"/>
          <w:highlight w:val="none"/>
          <w:lang w:val="en-US" w:eastAsia="zh-CN" w:bidi="ar-SA"/>
        </w:rPr>
        <w:t xml:space="preserve">平均每月经费 </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u w:val="single"/>
          <w:lang w:val="en-US" w:eastAsia="zh-CN" w:bidi="ar-SA"/>
        </w:rPr>
        <w:t xml:space="preserve">    </w:t>
      </w:r>
      <w:r>
        <w:rPr>
          <w:rFonts w:hint="eastAsia" w:ascii="宋体" w:hAnsi="宋体" w:cs="宋体"/>
          <w:sz w:val="24"/>
          <w:szCs w:val="24"/>
          <w:highlight w:val="none"/>
          <w:lang w:val="en-US" w:eastAsia="zh-CN" w:bidi="ar-SA"/>
        </w:rPr>
        <w:t xml:space="preserve">元，</w:t>
      </w:r>
      <w:r>
        <w:rPr>
          <w:rFonts w:hint="eastAsia" w:ascii="宋体" w:hAnsi="宋体" w:eastAsia="宋体" w:cs="宋体"/>
          <w:sz w:val="24"/>
          <w:szCs w:val="24"/>
          <w:highlight w:val="none"/>
          <w:lang w:val="en-US" w:eastAsia="zh-CN" w:bidi="ar-SA"/>
        </w:rPr>
        <w:t xml:space="preserve">大写：人民币</w:t>
      </w:r>
      <w:r>
        <w:rPr>
          <w:rFonts w:hint="eastAsia" w:ascii="宋体" w:hAnsi="宋体" w:eastAsia="宋体" w:cs="宋体"/>
          <w:sz w:val="24"/>
          <w:szCs w:val="24"/>
          <w:highlight w:val="none"/>
          <w:u w:val="single"/>
          <w:lang w:val="en-US" w:eastAsia="zh-CN" w:bidi="ar-SA"/>
        </w:rPr>
        <w:t xml:space="preserve">         </w:t>
      </w:r>
      <w:r>
        <w:rPr>
          <w:rFonts w:hint="eastAsia" w:ascii="宋体" w:hAnsi="宋体" w:cs="宋体"/>
          <w:sz w:val="24"/>
          <w:szCs w:val="24"/>
          <w:highlight w:val="none"/>
          <w:lang w:val="en-US" w:eastAsia="zh-CN" w:bidi="ar-SA"/>
        </w:rPr>
        <w:t xml:space="preserve">甲方应在</w:t>
      </w:r>
      <w:r>
        <w:rPr>
          <w:rFonts w:hint="eastAsia" w:ascii="宋体" w:hAnsi="宋体" w:eastAsia="宋体" w:cs="宋体"/>
          <w:sz w:val="24"/>
          <w:szCs w:val="24"/>
          <w:highlight w:val="none"/>
          <w:lang w:val="en-US" w:eastAsia="zh-CN" w:bidi="ar-SA"/>
        </w:rPr>
        <w:t xml:space="preserve">次月 10 日前</w:t>
      </w:r>
      <w:r>
        <w:rPr>
          <w:rFonts w:hint="eastAsia" w:ascii="宋体" w:hAnsi="宋体" w:cs="宋体"/>
          <w:sz w:val="24"/>
          <w:szCs w:val="24"/>
          <w:highlight w:val="none"/>
          <w:lang w:val="en-US" w:eastAsia="zh-CN" w:bidi="ar-SA"/>
        </w:rPr>
        <w:t xml:space="preserve">支付上月保洁经费。付款前</w:t>
      </w:r>
      <w:r>
        <w:rPr>
          <w:rFonts w:hint="eastAsia" w:ascii="宋体" w:hAnsi="宋体" w:eastAsia="宋体" w:cs="宋体"/>
          <w:sz w:val="24"/>
          <w:szCs w:val="24"/>
          <w:highlight w:val="none"/>
          <w:lang w:val="en-US" w:eastAsia="zh-CN" w:bidi="ar-SA"/>
        </w:rPr>
        <w:t xml:space="preserve">乙方</w:t>
      </w:r>
      <w:r>
        <w:rPr>
          <w:rFonts w:hint="eastAsia" w:ascii="宋体" w:hAnsi="宋体" w:cs="宋体"/>
          <w:sz w:val="24"/>
          <w:szCs w:val="24"/>
          <w:highlight w:val="none"/>
          <w:lang w:val="en-US" w:eastAsia="zh-CN" w:bidi="ar-SA"/>
        </w:rPr>
        <w:t xml:space="preserve">应</w:t>
      </w:r>
      <w:r>
        <w:rPr>
          <w:rFonts w:hint="eastAsia" w:ascii="宋体" w:hAnsi="宋体" w:eastAsia="宋体" w:cs="宋体"/>
          <w:sz w:val="24"/>
          <w:szCs w:val="24"/>
          <w:highlight w:val="none"/>
          <w:lang w:val="en-US" w:eastAsia="zh-CN" w:bidi="ar-SA"/>
        </w:rPr>
        <w:t xml:space="preserve">出具</w:t>
      </w:r>
      <w:r>
        <w:rPr>
          <w:rFonts w:hint="eastAsia" w:ascii="宋体" w:hAnsi="宋体" w:cs="宋体"/>
          <w:sz w:val="24"/>
          <w:szCs w:val="24"/>
          <w:highlight w:val="none"/>
          <w:lang w:val="en-US" w:eastAsia="zh-CN" w:bidi="ar-SA"/>
        </w:rPr>
        <w:t xml:space="preserve">等额</w:t>
      </w:r>
      <w:r>
        <w:rPr>
          <w:rFonts w:hint="eastAsia" w:ascii="宋体" w:hAnsi="宋体" w:eastAsia="宋体" w:cs="宋体"/>
          <w:sz w:val="24"/>
          <w:szCs w:val="24"/>
          <w:highlight w:val="none"/>
          <w:lang w:val="en-US" w:eastAsia="zh-CN" w:bidi="ar-SA"/>
        </w:rPr>
        <w:t xml:space="preserve">的增值税发票。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合同价款实行包干制。在合同约定的作业量范围内，甲方不再额外支付本合同约定以外的任何费用。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1.合同期内，如新增保洁范围，无条件接管，费用按合同有关条款由</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签订补充协议给予增补。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2.合同期内如道路改造维修，暂停保洁或使用按照</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分项报价核减费用。</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3.乙方收款信息：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收款人：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号：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第五节 双方的权利和义务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甲方的权利和义务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2.各类重大活动，甲方有权要求乙方无条件保质保量按活动要求完成工作任务，如未能完成，甲方应纳入考核。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3.监督检查乙方对法律、法规、规章和相关作业标准、行业规范的履行情况。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4.根据服务项目实际情况对环卫作业优化调整。</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.对乙方的项目部标准化建设检查验收。</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.对乙方环卫工人工资、津贴、加班工资发放情况进行检查。</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.有权要求乙方更换项目负责人及其他服务人员。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第十</w:t>
      </w:r>
      <w:r>
        <w:rPr>
          <w:rFonts w:hint="eastAsia" w:ascii="宋体" w:hAnsi="宋体" w:cs="宋体"/>
          <w:sz w:val="24"/>
          <w:szCs w:val="24"/>
          <w:highlight w:val="none"/>
          <w:lang w:eastAsia="zh-CN"/>
        </w:rPr>
        <w:t xml:space="preserve">四</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乙方权利和义务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1.遵守法律、法规、规章和相关作业标准、行业规范。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3.接受甲方、环卫管理机构及第三方监理的指导、监督、检查和考核。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4.根据合同约定组建专业保洁队伍、配备作业设备（车辆） 及工具，健全各类管理制度，车辆设备定期维修保养，建立车辆定期维修保养制度， 完善日常运营台账。本项目实行单独核算，按甲方要求将从业人员资料、作业计划、保洁方案、车辆维修保养方案等报甲方备案并接受甲方的检查。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6.做好环卫各项应急保障工作。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7.按照相关要求和标准建立每日自查制度，完善各项台账资料。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8.对丰县政府 12345 服务热线、媒体曝光、信访来电等有责投诉必须按规定进行整改，并将整改结果书面报送甲方。</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.负责项目内环卫设施管理和维护，如有遗失、损坏由乙方承担赔偿责任。未经甲方书面同意不得迁移垃圾收集设施。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.积极按甲方要求参加相关会议和各类培训。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.必须对企业员工进行安全生产、职业技能等培训，教育职工严格遵守国家法律法规、环卫作业及安全操作规程。作业人员应经专业培训后方可上岗作业。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.接受政府相关部门的财务审核，提供真实有效资料。接受</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会同财政部门对环卫保洁运行经费进行绩效评价。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.按照法律、法规和国家、省、市的规定，按月足额发放人员工资：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.按法律、法规的规定为环卫工人提供必要的劳动保护用品，标准按环卫管理机构规定执行。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.不断提高企业管理水平和作业能力，提高企业运营管理实力。</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rPr>
        <w:t xml:space="preserve">.不得自行调整作业范围、作业模式、作业量。</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第六节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 xml:space="preserve">不间断服务约定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五</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乙方不得因法定代表人变更或其他管理缺失而影响服务质量；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w:t>
      </w:r>
      <w:r>
        <w:rPr>
          <w:rFonts w:hint="eastAsia" w:ascii="宋体" w:hAnsi="宋体" w:cs="宋体"/>
          <w:sz w:val="24"/>
          <w:szCs w:val="24"/>
          <w:highlight w:val="none"/>
          <w:lang w:eastAsia="zh-CN"/>
        </w:rPr>
        <w:t xml:space="preserve">六</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乙方在任何情况下都必须保证其所服务项目的人员总数符合合同约定；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十七</w:t>
      </w:r>
      <w:r>
        <w:rPr>
          <w:rFonts w:hint="eastAsia" w:ascii="宋体" w:hAnsi="宋体" w:eastAsia="宋体" w:cs="宋体"/>
          <w:sz w:val="24"/>
          <w:szCs w:val="24"/>
          <w:highlight w:val="none"/>
        </w:rPr>
        <w:t xml:space="preserve">条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乙方在任何情况下都必须保证其所服务项目的设备数量及运行状态符合合同约定。</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 xml:space="preserve">项目接管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十八</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甲方有权在下列情形下接管乙方项目：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（一）因乙方经营管理不善，发生重大质量、生产安全事故；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（二）乙方擅自停业、歇业；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（三）乙方作业过程造成重大环境污染；</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节 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十九</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甲方未按约定支付合同价款，乙方可追究甲方违约责任。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第二十条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乙方将承包的合同转包或肢解分包给他人，甲方有权没收履约保证金，并解除合同，乙方应赔偿甲方由此产生的经济损失。</w:t>
      </w:r>
      <w:r/>
    </w:p>
    <w:p>
      <w:pPr>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第二十</w:t>
      </w:r>
      <w:r>
        <w:rPr>
          <w:rFonts w:hint="eastAsia" w:ascii="宋体" w:hAnsi="宋体" w:cs="宋体"/>
          <w:sz w:val="24"/>
          <w:szCs w:val="24"/>
          <w:highlight w:val="none"/>
          <w:lang w:eastAsia="zh-CN"/>
        </w:rPr>
        <w:t xml:space="preserve">一</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甲乙双方恪守合同每一项条款，如有违约，违约方向守约方赔偿合同价款的10%作为违约金。</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 xml:space="preserve">不可抗力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第二十</w:t>
      </w:r>
      <w:r>
        <w:rPr>
          <w:rFonts w:hint="eastAsia" w:ascii="宋体" w:hAnsi="宋体" w:cs="宋体"/>
          <w:sz w:val="24"/>
          <w:szCs w:val="24"/>
          <w:highlight w:val="none"/>
          <w:lang w:eastAsia="zh-CN"/>
        </w:rPr>
        <w:t xml:space="preserve">二</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不可抗力或甲、乙双方不能控制的原因不能履行合同的，根据不可抗力的影响，部分或者全部免除责任，但合同一方迟延履行后发生不可抗力的， 不能免除责任。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第二十</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合同一方因不可抗力不能履行合同的，应当及时通知对方，以减轻可能给对方造成损失，并应当在合理期限内提供证明。</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第十一节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 xml:space="preserve">合同的解除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二十四</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甲方和乙方经协商一致并达成书面协议，可以解除合同。如履行合同期间乙方中途退场需提前 2 个月以书面形式通知甲方，扣除乙方履约保证金并按合同金额的 2%支付违约金。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二十五</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有下列情形之一，甲方有权解除合同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1.保洁工作不符合项目要求，新闻媒体曝光及群众投诉造成重大影响的或受到上级部门书面通报的，经查属实且有责3次以上（含3次）；</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.突发事件（如灾害性天气）或重大活动期间，不执行指令性任务或未按相关要求、标准完成任务，达三次以上（含三次）；</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.未经甲方同意，将合同转让或进行分包的；</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.乙方与其职工发生劳资、工伤等纠纷，未按规定妥善解决，导致职工越级上访或引发群体性事件的；</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.擅自停业、歇业，影响社会公共利益和安全的；</w:t>
      </w:r>
      <w:r/>
    </w:p>
    <w:p>
      <w:pPr>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.乙方未按规定发放环卫工人工资、津贴、加班工资等的，被甲方或环卫管理机构通报三次以上的；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二十六</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合同解除时应书面通知乙方，书面通知到达乙方时解除。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二十七</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合同解除后，甲方有权临时接管或指定第三方负责该</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保洁工作。</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t xml:space="preserve">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二十八</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双方约定自本合同生效之日起，根据甲方委托承包事项，办理接管验收手续。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cs="宋体"/>
          <w:sz w:val="24"/>
          <w:szCs w:val="24"/>
          <w:highlight w:val="none"/>
          <w:lang w:eastAsia="zh-CN"/>
        </w:rPr>
        <w:t xml:space="preserve">二十九</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本合同之附件均为合同有效组成部分。本合同及其附件和补充协议未规定的事宜，均遵照中华人民共和国有关法律、法规和规章执行。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第三十条</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本合同连同附件页，一式</w:t>
      </w:r>
      <w:r>
        <w:rPr>
          <w:rFonts w:hint="eastAsia" w:ascii="宋体" w:hAnsi="宋体" w:eastAsia="宋体" w:cs="宋体"/>
          <w:sz w:val="24"/>
          <w:szCs w:val="24"/>
          <w:highlight w:val="none"/>
          <w:lang w:val="en-US" w:eastAsia="zh-CN"/>
        </w:rPr>
        <w:t xml:space="preserve">肆</w:t>
      </w:r>
      <w:r>
        <w:rPr>
          <w:rFonts w:hint="eastAsia" w:ascii="宋体" w:hAnsi="宋体" w:eastAsia="宋体" w:cs="宋体"/>
          <w:sz w:val="24"/>
          <w:szCs w:val="24"/>
          <w:highlight w:val="none"/>
        </w:rPr>
        <w:t xml:space="preserve">份，具有同等法律效力，甲方</w:t>
      </w:r>
      <w:r>
        <w:rPr>
          <w:rFonts w:hint="eastAsia" w:ascii="宋体" w:hAnsi="宋体" w:eastAsia="宋体" w:cs="宋体"/>
          <w:sz w:val="24"/>
          <w:szCs w:val="24"/>
          <w:highlight w:val="none"/>
          <w:lang w:val="en-US" w:eastAsia="zh-CN"/>
        </w:rPr>
        <w:t xml:space="preserve">贰</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lang w:val="en-US" w:eastAsia="zh-CN"/>
        </w:rPr>
        <w:t xml:space="preserve">贰</w:t>
      </w:r>
      <w:r>
        <w:rPr>
          <w:rFonts w:hint="eastAsia" w:ascii="宋体" w:hAnsi="宋体" w:eastAsia="宋体" w:cs="宋体"/>
          <w:sz w:val="24"/>
          <w:szCs w:val="24"/>
          <w:highlight w:val="none"/>
        </w:rPr>
        <w:t xml:space="preserve">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第三十</w:t>
      </w:r>
      <w:r>
        <w:rPr>
          <w:rFonts w:hint="eastAsia" w:ascii="宋体" w:hAnsi="宋体" w:cs="宋体"/>
          <w:sz w:val="24"/>
          <w:szCs w:val="24"/>
          <w:highlight w:val="none"/>
          <w:lang w:eastAsia="zh-CN"/>
        </w:rPr>
        <w:t xml:space="preserve">一</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第三十</w:t>
      </w:r>
      <w:r>
        <w:rPr>
          <w:rFonts w:hint="eastAsia" w:ascii="宋体" w:hAnsi="宋体" w:cs="宋体"/>
          <w:sz w:val="24"/>
          <w:szCs w:val="24"/>
          <w:highlight w:val="none"/>
          <w:lang w:eastAsia="zh-CN"/>
        </w:rPr>
        <w:t xml:space="preserve">二</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本合同未尽事宜，由甲乙双方协商解决。如果不能协商一致， 合同任何一方有权向甲方所在地人民法院提起诉讼。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第三十</w:t>
      </w: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合同的变更：甲方在履行完政府采购计划变更手续并完成相关采购程序后，签订政府采购补充（变更）协议后予以变更。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方（签章）：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乙方（签章）：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地 址：</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邮 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传 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电 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                法定代表人或授权代表(签名)：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                                  银行帐号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00" w:lineRule="exact"/>
        <w:rPr>
          <w:rFonts w:hint="eastAsia" w:ascii="宋体" w:hAnsi="宋体" w:eastAsia="仿宋_GB2312" w:cs="宋体"/>
          <w:sz w:val="24"/>
          <w:szCs w:val="24"/>
          <w:highlight w:val="none"/>
          <w:lang w:val="en-US" w:eastAsia="zh-CN" w:bidi="ar-SA"/>
        </w:rPr>
      </w:pPr>
      <w:r>
        <w:rPr>
          <w:rFonts w:hint="eastAsia" w:ascii="宋体" w:hAnsi="宋体" w:eastAsia="仿宋_GB2312" w:cs="宋体"/>
          <w:sz w:val="24"/>
          <w:szCs w:val="24"/>
          <w:highlight w:val="none"/>
          <w:lang w:val="en-US" w:eastAsia="zh-CN" w:bidi="ar-SA"/>
        </w:rPr>
      </w:r>
      <w:r/>
    </w:p>
    <w:p>
      <w:pPr>
        <w:jc w:val="left"/>
        <w:spacing w:line="288" w:lineRule="auto"/>
        <w:rPr>
          <w:rFonts w:hint="eastAsia" w:ascii="宋体" w:hAnsi="宋体" w:eastAsia="宋体" w:cs="宋体"/>
          <w:sz w:val="24"/>
          <w:szCs w:val="24"/>
          <w:highlight w:val="none"/>
          <w:lang w:val="en-US" w:eastAsia="zh-CN" w:bidi="ar-SA"/>
        </w:rPr>
        <w:suppressLineNumbers/>
      </w:pPr>
      <w:r>
        <w:rPr>
          <w:rFonts w:hint="eastAsia" w:ascii="宋体" w:hAnsi="宋体" w:eastAsia="宋体" w:cs="宋体"/>
          <w:sz w:val="24"/>
          <w:szCs w:val="24"/>
          <w:highlight w:val="none"/>
          <w:lang w:val="en-US" w:eastAsia="zh-CN" w:bidi="ar-SA"/>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eastAsia="zh-CN"/>
        </w:rPr>
        <w:t xml:space="preserve">丰县华山镇区</w:t>
      </w:r>
      <w:r>
        <w:rPr>
          <w:rFonts w:hint="eastAsia" w:ascii="宋体" w:hAnsi="宋体" w:eastAsia="宋体" w:cs="宋体"/>
          <w:sz w:val="24"/>
          <w:szCs w:val="24"/>
          <w:highlight w:val="none"/>
        </w:rPr>
        <w:t xml:space="preserve">环境卫生考核实施</w:t>
      </w:r>
      <w:r>
        <w:rPr>
          <w:rFonts w:hint="eastAsia" w:ascii="宋体" w:hAnsi="宋体" w:eastAsia="宋体" w:cs="宋体"/>
          <w:sz w:val="24"/>
          <w:szCs w:val="24"/>
          <w:highlight w:val="none"/>
          <w:lang w:eastAsia="zh-CN"/>
        </w:rPr>
        <w:t xml:space="preserve">细则</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丰县华山镇区道路保洁区域</w:t>
      </w:r>
      <w:r>
        <w:rPr>
          <w:rFonts w:hint="eastAsia" w:ascii="宋体" w:hAnsi="宋体" w:cs="宋体"/>
          <w:sz w:val="24"/>
          <w:szCs w:val="24"/>
          <w:highlight w:val="none"/>
          <w:lang w:val="en-US" w:eastAsia="zh-CN"/>
        </w:rPr>
        <w:t xml:space="preserve">面积</w:t>
      </w:r>
      <w:r>
        <w:rPr>
          <w:rFonts w:hint="eastAsia" w:ascii="宋体" w:hAnsi="宋体" w:eastAsia="宋体" w:cs="宋体"/>
          <w:sz w:val="24"/>
          <w:szCs w:val="24"/>
          <w:highlight w:val="none"/>
          <w:lang w:val="en-US" w:eastAsia="zh-CN"/>
        </w:rPr>
        <w:t xml:space="preserve">表</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丰县华山镇</w:t>
      </w:r>
      <w:r>
        <w:rPr>
          <w:rFonts w:hint="eastAsia" w:ascii="宋体" w:hAnsi="宋体" w:cs="宋体"/>
          <w:sz w:val="24"/>
          <w:szCs w:val="24"/>
          <w:highlight w:val="none"/>
          <w:lang w:val="en-US" w:eastAsia="zh-CN"/>
        </w:rPr>
        <w:t xml:space="preserve">道路保洁、绿化养护路段明细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丰县华山镇区</w:t>
      </w:r>
      <w:r>
        <w:rPr>
          <w:rFonts w:hint="eastAsia" w:ascii="宋体" w:hAnsi="宋体" w:eastAsia="宋体" w:cs="宋体"/>
          <w:sz w:val="24"/>
          <w:szCs w:val="24"/>
          <w:highlight w:val="none"/>
        </w:rPr>
        <w:t xml:space="preserve">环卫作业服务范围考核细则及评分标准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500" w:lineRule="exact"/>
        <w:rPr>
          <w:rFonts w:hint="eastAsia" w:ascii="宋体" w:hAnsi="宋体" w:eastAsia="仿宋_GB2312" w:cs="宋体"/>
          <w:b/>
          <w:bCs/>
          <w:sz w:val="36"/>
          <w:szCs w:val="36"/>
          <w:highlight w:val="none"/>
          <w:lang w:val="en-US" w:eastAsia="zh-CN" w:bidi="ar-SA"/>
        </w:rPr>
      </w:pPr>
      <w:r>
        <w:rPr>
          <w:rFonts w:hint="eastAsia" w:ascii="宋体" w:hAnsi="宋体" w:eastAsia="仿宋_GB2312" w:cs="宋体"/>
          <w:b/>
          <w:bCs/>
          <w:sz w:val="36"/>
          <w:szCs w:val="36"/>
          <w:highlight w:val="none"/>
          <w:lang w:val="en-US" w:eastAsia="zh-CN" w:bidi="ar-SA"/>
        </w:rPr>
      </w:r>
      <w:r/>
    </w:p>
    <w:p>
      <w:pPr>
        <w:jc w:val="left"/>
        <w:spacing w:line="288" w:lineRule="auto"/>
        <w:rPr>
          <w:rFonts w:hint="eastAsia" w:ascii="宋体" w:hAnsi="宋体" w:eastAsia="宋体" w:cs="宋体"/>
          <w:b/>
          <w:bCs/>
          <w:sz w:val="36"/>
          <w:szCs w:val="36"/>
          <w:highlight w:val="none"/>
          <w:lang w:val="en-US" w:eastAsia="zh-CN" w:bidi="ar-SA"/>
        </w:rPr>
        <w:suppressLineNumbers/>
      </w:pPr>
      <w:r>
        <w:rPr>
          <w:rFonts w:hint="eastAsia" w:ascii="宋体" w:hAnsi="宋体" w:eastAsia="宋体" w:cs="宋体"/>
          <w:b/>
          <w:bCs/>
          <w:sz w:val="36"/>
          <w:szCs w:val="36"/>
          <w:highlight w:val="none"/>
          <w:lang w:val="en-US" w:eastAsia="zh-CN" w:bidi="ar-SA"/>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500" w:lineRule="exact"/>
        <w:rPr>
          <w:rFonts w:hint="eastAsia" w:ascii="宋体" w:hAnsi="宋体" w:eastAsia="仿宋_GB2312" w:cs="宋体"/>
          <w:b/>
          <w:bCs/>
          <w:sz w:val="36"/>
          <w:szCs w:val="36"/>
          <w:highlight w:val="none"/>
          <w:lang w:val="en-US" w:eastAsia="zh-CN" w:bidi="ar-SA"/>
        </w:rPr>
      </w:pPr>
      <w:r>
        <w:rPr>
          <w:rFonts w:hint="eastAsia" w:ascii="宋体" w:hAnsi="宋体" w:eastAsia="仿宋_GB2312" w:cs="宋体"/>
          <w:b/>
          <w:bCs/>
          <w:sz w:val="36"/>
          <w:szCs w:val="36"/>
          <w:highlight w:val="none"/>
          <w:lang w:val="en-US" w:eastAsia="zh-CN" w:bidi="ar-SA"/>
        </w:rPr>
      </w:r>
      <w:r/>
    </w:p>
    <w:p>
      <w:pPr>
        <w:jc w:val="left"/>
        <w:spacing w:line="288" w:lineRule="auto"/>
        <w:rPr>
          <w:rFonts w:hint="eastAsia" w:ascii="Times New Roman" w:hAnsi="Times New Roman" w:eastAsia="宋体" w:cs="Times New Roman"/>
          <w:sz w:val="24"/>
          <w:szCs w:val="20"/>
          <w:highlight w:val="none"/>
          <w:lang w:val="en-US" w:eastAsia="zh-CN" w:bidi="ar-SA"/>
        </w:rPr>
        <w:suppressLineNumbers/>
      </w:pPr>
      <w:r>
        <w:rPr>
          <w:rFonts w:hint="eastAsia" w:ascii="Times New Roman" w:hAnsi="Times New Roman" w:eastAsia="宋体" w:cs="Times New Roman"/>
          <w:sz w:val="24"/>
          <w:szCs w:val="20"/>
          <w:highlight w:val="none"/>
          <w:lang w:val="en-US" w:eastAsia="zh-CN" w:bidi="ar-SA"/>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after="120"/>
        <w:widowControl w:val="off"/>
        <w:rPr>
          <w:rFonts w:hint="eastAsia" w:ascii="宋体" w:hAnsi="宋体" w:eastAsia="宋体" w:cs="宋体"/>
          <w:b/>
          <w:bCs/>
          <w:sz w:val="36"/>
          <w:szCs w:val="36"/>
          <w:highlight w:val="none"/>
          <w:lang w:val="en-US" w:eastAsia="zh-CN" w:bidi="ar-SA"/>
        </w:rPr>
      </w:pPr>
      <w:r>
        <w:rPr>
          <w:rFonts w:hint="eastAsia" w:ascii="宋体" w:hAnsi="宋体" w:eastAsia="宋体" w:cs="宋体"/>
          <w:b/>
          <w:bCs/>
          <w:sz w:val="36"/>
          <w:szCs w:val="36"/>
          <w:highlight w:val="none"/>
          <w:lang w:val="en-US" w:eastAsia="zh-CN" w:bidi="ar-SA"/>
        </w:rPr>
      </w:r>
      <w:r/>
    </w:p>
    <w:p>
      <w:pPr>
        <w:spacing w:after="120"/>
        <w:widowControl w:val="off"/>
        <w:rPr>
          <w:rFonts w:hint="eastAsia" w:ascii="宋体" w:hAnsi="宋体" w:eastAsia="宋体" w:cs="宋体"/>
          <w:b/>
          <w:bCs/>
          <w:sz w:val="36"/>
          <w:szCs w:val="36"/>
          <w:highlight w:val="none"/>
          <w:lang w:val="en-US" w:eastAsia="zh-CN" w:bidi="ar-SA"/>
        </w:rPr>
      </w:pPr>
      <w:r>
        <w:rPr>
          <w:rFonts w:hint="eastAsia" w:ascii="宋体" w:hAnsi="宋体" w:eastAsia="宋体" w:cs="宋体"/>
          <w:b/>
          <w:bCs/>
          <w:sz w:val="36"/>
          <w:szCs w:val="36"/>
          <w:highlight w:val="none"/>
          <w:lang w:val="en-US" w:eastAsia="zh-CN" w:bidi="ar-SA"/>
        </w:rPr>
      </w:r>
      <w:r/>
    </w:p>
    <w:p>
      <w:pPr>
        <w:ind w:left="0" w:firstLine="0"/>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附件1：</w:t>
      </w:r>
      <w:r/>
    </w:p>
    <w:p>
      <w:pPr>
        <w:jc w:val="cente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丰县华山镇区</w:t>
      </w:r>
      <w:r>
        <w:rPr>
          <w:rFonts w:hint="eastAsia" w:ascii="宋体" w:hAnsi="宋体" w:eastAsia="宋体" w:cs="宋体"/>
          <w:b/>
          <w:bCs/>
          <w:sz w:val="24"/>
          <w:szCs w:val="24"/>
          <w:highlight w:val="none"/>
        </w:rPr>
        <w:t xml:space="preserve">环境卫生检查考核实施</w:t>
      </w:r>
      <w:r>
        <w:rPr>
          <w:rFonts w:hint="eastAsia" w:ascii="宋体" w:hAnsi="宋体" w:eastAsia="宋体" w:cs="宋体"/>
          <w:b/>
          <w:bCs/>
          <w:sz w:val="24"/>
          <w:szCs w:val="24"/>
          <w:highlight w:val="none"/>
          <w:lang w:eastAsia="zh-CN"/>
        </w:rPr>
        <w:t xml:space="preserve">细则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为规范环卫作业过程的质量监管，落实环境卫生全覆盖、精细化和长效管理机制，全面提升环境卫生质量，创造优美、整洁的工作和生活环境，制定本细则，在运行过程中进行完善补充。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一、考核内容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主次干道、人行道（横向为建筑物门面或围墙至指定位置）；垃圾分类收集清运；隔离栏（交通护栏）清洗；卫生死角清除；果壳箱、垃圾桶清洗（维护）、更换、补缺；沿街建筑物，人行道，地面、市政、交通（公交站台）、环卫设施等立面乱涂写乱张贴清除保洁、公厕的管理；道路快慢车道、人行道路面的人工清扫和巡回保洁；绿化养护等</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交办的其他任务等。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对作业单位（企业）在工资、津贴、加班工资发放情况、应急处置、重大活动保障及行业基础数据申报、规章制度落实执行情况等合同履行方面进行不定期考核。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二、考核主体及方式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每月对环境卫生情况进行</w:t>
      </w:r>
      <w:r>
        <w:rPr>
          <w:rFonts w:hint="eastAsia" w:ascii="宋体" w:hAnsi="宋体" w:eastAsia="宋体" w:cs="宋体"/>
          <w:sz w:val="24"/>
          <w:szCs w:val="24"/>
          <w:highlight w:val="none"/>
          <w:lang w:val="en-US" w:eastAsia="zh-CN"/>
        </w:rPr>
        <w:t xml:space="preserve">百分制</w:t>
      </w:r>
      <w:r>
        <w:rPr>
          <w:rFonts w:hint="eastAsia" w:ascii="宋体" w:hAnsi="宋体" w:eastAsia="宋体" w:cs="宋体"/>
          <w:sz w:val="24"/>
          <w:szCs w:val="24"/>
          <w:highlight w:val="none"/>
        </w:rPr>
        <w:t xml:space="preserve">考核。检查方式采取日常巡查和专项检查相结合的方式。并将当月检查考核得分作为兑现费用的依据。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三、考核扣款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1.作业量扣款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由于施工等原因造成道路或公厕无法正常保洁，施工封闭期间保洁费用按合同量进行核减。道路机械化未作业、公厕未开放等。</w:t>
      </w:r>
      <w:r/>
    </w:p>
    <w:p>
      <w:pPr>
        <w:ind w:firstLine="480"/>
        <w:spacing w:line="360" w:lineRule="auto"/>
        <w:rPr>
          <w:rFonts w:hint="eastAsia" w:ascii="宋体" w:hAnsi="宋体" w:cs="宋体"/>
          <w:sz w:val="24"/>
          <w:szCs w:val="24"/>
          <w:highlight w:val="none"/>
        </w:rPr>
        <w:sectPr>
          <w:footerReference w:type="default" r:id="rId10"/>
          <w:footnotePr/>
          <w:endnotePr/>
          <w:type w:val="nextPage"/>
          <w:pgSz w:w="11910" w:h="16840" w:orient="portrait"/>
          <w:pgMar w:top="1321" w:right="1134" w:bottom="1134" w:left="1134" w:header="720" w:footer="720" w:gutter="0"/>
          <w:pgNumType w:start="1"/>
          <w:cols w:num="1" w:sep="0" w:space="720" w:equalWidth="1"/>
          <w:docGrid w:linePitch="360"/>
        </w:sectPr>
      </w:pPr>
      <w:r>
        <w:rPr>
          <w:rFonts w:hint="eastAsia" w:ascii="宋体" w:hAnsi="宋体" w:eastAsia="宋体" w:cs="宋体"/>
          <w:sz w:val="24"/>
          <w:szCs w:val="24"/>
          <w:highlight w:val="none"/>
        </w:rPr>
        <w:t xml:space="preserve"> 2.日常考核扣款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当月</w:t>
      </w:r>
      <w:r>
        <w:rPr>
          <w:rFonts w:hint="eastAsia" w:ascii="宋体" w:hAnsi="宋体" w:eastAsia="宋体" w:cs="宋体"/>
          <w:sz w:val="24"/>
          <w:szCs w:val="24"/>
          <w:highlight w:val="none"/>
          <w:lang w:val="en-US" w:eastAsia="zh-CN"/>
        </w:rPr>
        <w:t xml:space="preserve">考核结果在90-100分的拨付100%，考核结果低于90分，每少一分对应扣减该月承包经费1000元。乙方连续3个月考核低于80分或一年内累计4次考核得分低于80分的，甲方有权终止合同，乙方须无条件按甲方要求办理移交、退场手续，所有损失由乙方负责。</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36"/>
          <w:szCs w:val="36"/>
          <w:highlight w:val="none"/>
        </w:rPr>
        <w:t xml:space="preserve">附件2：</w:t>
      </w:r>
      <w:r>
        <w:rPr>
          <w:rFonts w:hint="eastAsia" w:ascii="宋体" w:hAnsi="宋体" w:eastAsia="宋体" w:cs="宋体"/>
          <w:b/>
          <w:bCs/>
          <w:sz w:val="24"/>
          <w:szCs w:val="24"/>
          <w:highlight w:val="none"/>
          <w:lang w:val="en-US" w:eastAsia="zh-CN"/>
        </w:rPr>
        <w:t xml:space="preserve">丰县华山镇区道路保洁区域</w:t>
      </w:r>
      <w:r>
        <w:rPr>
          <w:rFonts w:hint="eastAsia" w:ascii="宋体" w:hAnsi="宋体" w:cs="宋体"/>
          <w:b/>
          <w:bCs/>
          <w:sz w:val="24"/>
          <w:szCs w:val="24"/>
          <w:highlight w:val="none"/>
          <w:lang w:val="en-US" w:eastAsia="zh-CN"/>
        </w:rPr>
        <w:t xml:space="preserve">面积</w:t>
      </w:r>
      <w:r>
        <w:rPr>
          <w:rFonts w:hint="eastAsia" w:ascii="宋体" w:hAnsi="宋体" w:eastAsia="宋体" w:cs="宋体"/>
          <w:b/>
          <w:bCs/>
          <w:sz w:val="24"/>
          <w:szCs w:val="24"/>
          <w:highlight w:val="none"/>
          <w:lang w:val="en-US" w:eastAsia="zh-CN"/>
        </w:rPr>
        <w:t xml:space="preserve">表</w:t>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797"/>
        <w:tblW w:w="100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858"/>
        <w:gridCol w:w="1050"/>
        <w:gridCol w:w="2666"/>
        <w:gridCol w:w="2718"/>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华山镇区保洁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350145.4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华山镇区绿化养护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83333.3</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套楼街区保洁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111160</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73522</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钢城绿化养护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9581.25</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产业园保洁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25819</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产业园绿化养护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30174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宕口保洁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29873.4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含绿化养护、公厕保洁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5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老街保洁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33318.3</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4622" w:type="dxa"/>
            <w:vAlign w:val="center"/>
            <w:textDirection w:val="lrTb"/>
            <w:noWrap/>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746926.65</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827"/>
        <w:rPr>
          <w:color w:val="auto"/>
          <w:highlight w:val="none"/>
        </w:rPr>
      </w:pPr>
      <w:r>
        <w:rPr>
          <w:color w:val="auto"/>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36"/>
          <w:szCs w:val="36"/>
          <w:highlight w:val="none"/>
        </w:rPr>
        <w:t xml:space="preserve">附件</w:t>
      </w:r>
      <w:r>
        <w:rPr>
          <w:rFonts w:hint="eastAsia" w:ascii="宋体" w:hAnsi="宋体" w:cs="宋体"/>
          <w:b/>
          <w:bCs/>
          <w:sz w:val="36"/>
          <w:szCs w:val="36"/>
          <w:highlight w:val="none"/>
          <w:lang w:val="en-US" w:eastAsia="zh-CN"/>
        </w:rPr>
        <w:t xml:space="preserve">3</w:t>
      </w:r>
      <w:r>
        <w:rPr>
          <w:rFonts w:hint="eastAsia" w:ascii="宋体" w:hAnsi="宋体" w:eastAsia="宋体" w:cs="宋体"/>
          <w:b/>
          <w:bCs/>
          <w:sz w:val="36"/>
          <w:szCs w:val="36"/>
          <w:highlight w:val="none"/>
        </w:rPr>
        <w:t xml:space="preserve">：</w:t>
      </w:r>
      <w:r>
        <w:rPr>
          <w:rFonts w:hint="eastAsia" w:ascii="宋体" w:hAnsi="宋体" w:eastAsia="宋体" w:cs="宋体"/>
          <w:b/>
          <w:bCs/>
          <w:sz w:val="24"/>
          <w:szCs w:val="24"/>
          <w:highlight w:val="none"/>
          <w:lang w:eastAsia="zh-CN"/>
        </w:rPr>
        <w:t xml:space="preserve">丰县华山镇</w:t>
      </w:r>
      <w:r>
        <w:rPr>
          <w:rFonts w:hint="eastAsia" w:ascii="宋体" w:hAnsi="宋体" w:cs="宋体"/>
          <w:b/>
          <w:bCs/>
          <w:sz w:val="24"/>
          <w:szCs w:val="24"/>
          <w:highlight w:val="none"/>
          <w:lang w:val="en-US" w:eastAsia="zh-CN"/>
        </w:rPr>
        <w:t xml:space="preserve">道路保洁、绿化养护路段明细</w:t>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797"/>
        <w:tblW w:w="100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442"/>
        <w:gridCol w:w="3083"/>
        <w:gridCol w:w="2183"/>
        <w:gridCol w:w="1584"/>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项目地点</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保洁等级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华山镇区</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东起华山法庭至华山水上乐园北门</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default" w:ascii="宋体" w:hAnsi="宋体" w:eastAsia="宋体" w:cs="宋体"/>
                <w:i w:val="0"/>
                <w:iCs w:val="0"/>
                <w:color w:val="000000"/>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南起小白羊美食城至烈士纪念碑</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left"/>
              <w:keepLines w:val="0"/>
              <w:keepNext w:val="0"/>
              <w:spacing w:line="240" w:lineRule="auto"/>
              <w:widowControl/>
              <w:tabs>
                <w:tab w:val="left" w:pos="600" w:leader="none"/>
              </w:tabs>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ab/>
            </w:r>
            <w:r>
              <w:rPr>
                <w:rFonts w:hint="eastAsia" w:ascii="宋体" w:hAnsi="宋体" w:eastAsia="宋体" w:cs="宋体"/>
                <w:i w:val="0"/>
                <w:iCs w:val="0"/>
                <w:color w:val="000000"/>
                <w:sz w:val="24"/>
                <w:szCs w:val="24"/>
                <w:highlight w:val="none"/>
                <w:u w:val="none"/>
                <w:lang w:val="en-US" w:eastAsia="zh-CN" w:bidi="ar"/>
              </w:rPr>
              <w:t xml:space="preserve">套楼街</w:t>
            </w:r>
            <w:r>
              <w:rPr>
                <w:rFonts w:hint="eastAsia" w:ascii="宋体" w:hAnsi="宋体" w:cs="宋体"/>
                <w:i w:val="0"/>
                <w:iCs w:val="0"/>
                <w:color w:val="000000"/>
                <w:sz w:val="24"/>
                <w:szCs w:val="24"/>
                <w:highlight w:val="none"/>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南起金梦园家具城至北套楼面粉厂</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default" w:ascii="宋体" w:hAnsi="宋体" w:eastAsia="宋体" w:cs="宋体"/>
                <w:i w:val="0"/>
                <w:iCs w:val="0"/>
                <w:color w:val="000000"/>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东起广场至农贸市场西</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钢城内所有道路、公厕及绿化</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产业园</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丰华包装印刷产业园内所有道路、公厕及绿化</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建邺商混东区块道路保洁、绿化（两条南北路、一条东西路）</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73"/>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宕口</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南起宕口大门至北老丰徐路</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东起围墙至西围墙内（含水面保洁）</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pPr>
      <w:r>
        <w:rPr>
          <w:highlight w:val="none"/>
        </w:rPr>
      </w:r>
      <w:r/>
    </w:p>
    <w:p>
      <w:pPr>
        <w:spacing w:line="24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附件</w:t>
      </w:r>
      <w:r>
        <w:rPr>
          <w:rFonts w:hint="eastAsia" w:ascii="宋体" w:hAnsi="宋体" w:cs="宋体"/>
          <w:b/>
          <w:bCs/>
          <w:sz w:val="36"/>
          <w:szCs w:val="36"/>
          <w:highlight w:val="none"/>
          <w:lang w:val="en-US" w:eastAsia="zh-CN"/>
        </w:rPr>
        <w:t xml:space="preserve">4</w:t>
      </w:r>
      <w:r>
        <w:rPr>
          <w:rFonts w:hint="eastAsia" w:ascii="宋体" w:hAnsi="宋体" w:eastAsia="宋体" w:cs="宋体"/>
          <w:b/>
          <w:bCs/>
          <w:sz w:val="36"/>
          <w:szCs w:val="36"/>
          <w:highlight w:val="none"/>
        </w:rPr>
        <w:t xml:space="preserve">：</w:t>
      </w:r>
      <w:r/>
    </w:p>
    <w:p>
      <w:pPr>
        <w:jc w:val="center"/>
        <w:spacing w:line="240" w:lineRule="auto"/>
        <w:rPr>
          <w:rFonts w:hint="eastAsia" w:ascii="Times New Roman" w:hAnsi="Times New Roman" w:eastAsia="宋体" w:cs="Times New Roman"/>
          <w:sz w:val="20"/>
          <w:highlight w:val="none"/>
        </w:rPr>
      </w:pPr>
      <w:r>
        <w:rPr>
          <w:rFonts w:hint="eastAsia" w:ascii="宋体" w:hAnsi="宋体" w:eastAsia="宋体" w:cs="Times New Roman"/>
          <w:b/>
          <w:bCs/>
          <w:sz w:val="36"/>
          <w:szCs w:val="36"/>
          <w:highlight w:val="none"/>
          <w:lang w:eastAsia="zh-CN"/>
        </w:rPr>
        <w:t xml:space="preserve">丰县华山镇区</w:t>
      </w:r>
      <w:r>
        <w:rPr>
          <w:rFonts w:hint="eastAsia" w:ascii="宋体" w:hAnsi="宋体" w:eastAsia="宋体" w:cs="Times New Roman"/>
          <w:b/>
          <w:bCs/>
          <w:sz w:val="36"/>
          <w:szCs w:val="36"/>
          <w:highlight w:val="none"/>
        </w:rPr>
        <w:t xml:space="preserve">环卫作业服务范围考核细则及评分标准</w:t>
      </w:r>
      <w:r/>
    </w:p>
    <w:tbl>
      <w:tblPr>
        <w:tblStyle w:val="797"/>
        <w:tblpPr w:horzAnchor="page" w:tblpXSpec="center" w:vertAnchor="text" w:tblpY="752" w:leftFromText="180" w:topFromText="0" w:rightFromText="180" w:bottomFromText="0"/>
        <w:tblW w:w="14357" w:type="dxa"/>
        <w:jc w:val="center"/>
        <w:tblLayout w:type="fixed"/>
        <w:tblCellMar>
          <w:left w:w="108" w:type="dxa"/>
          <w:top w:w="0" w:type="dxa"/>
          <w:right w:w="108" w:type="dxa"/>
          <w:bottom w:w="0" w:type="dxa"/>
        </w:tblCellMar>
        <w:tblLook w:val="04A0" w:firstRow="1" w:lastRow="0" w:firstColumn="1" w:lastColumn="0" w:noHBand="0" w:noVBand="1"/>
      </w:tblPr>
      <w:tblGrid>
        <w:gridCol w:w="712"/>
        <w:gridCol w:w="954"/>
        <w:gridCol w:w="3988"/>
        <w:gridCol w:w="6084"/>
        <w:gridCol w:w="1083"/>
        <w:gridCol w:w="1536"/>
      </w:tblGrid>
      <w:tr>
        <w:trPr>
          <w:cantSplit/>
          <w:jc w:val="center"/>
          <w:trHeight w:val="81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ind w:left="0" w:firstLine="0"/>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3988"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评价依据</w:t>
            </w:r>
            <w:r/>
          </w:p>
        </w:tc>
        <w:tc>
          <w:tcPr>
            <w:tcBorders>
              <w:top w:val="single" w:color="auto" w:sz="4" w:space="0"/>
              <w:left w:val="none" w:color="000000" w:sz="4" w:space="0"/>
              <w:bottom w:val="single" w:color="auto" w:sz="4" w:space="0"/>
              <w:right w:val="single" w:color="auto" w:sz="4" w:space="0"/>
            </w:tcBorders>
            <w:tcW w:w="6084"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w:t>
            </w:r>
            <w:r>
              <w:rPr>
                <w:rFonts w:hint="eastAsia" w:ascii="宋体" w:hAnsi="宋体" w:eastAsia="宋体" w:cs="宋体"/>
                <w:sz w:val="24"/>
                <w:szCs w:val="24"/>
                <w:highlight w:val="none"/>
                <w:lang w:val="en-US" w:eastAsia="zh-CN"/>
              </w:rPr>
              <w:t xml:space="preserve">规定</w:t>
            </w:r>
            <w:r/>
          </w:p>
        </w:tc>
        <w:tc>
          <w:tcPr>
            <w:tcBorders>
              <w:top w:val="single" w:color="auto" w:sz="4" w:space="0"/>
              <w:left w:val="none" w:color="000000" w:sz="4" w:space="0"/>
              <w:bottom w:val="single" w:color="auto" w:sz="4" w:space="0"/>
              <w:right w:val="single" w:color="auto" w:sz="4" w:space="0"/>
            </w:tcBorders>
            <w:tcW w:w="108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扣分</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存在问题</w:t>
            </w:r>
            <w:r/>
          </w:p>
        </w:tc>
      </w:tr>
      <w:tr>
        <w:trPr>
          <w:cantSplit/>
          <w:jc w:val="center"/>
          <w:trHeight w:val="739"/>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作业时间</w:t>
            </w:r>
            <w:r/>
          </w:p>
        </w:tc>
        <w:tc>
          <w:tcPr>
            <w:tcBorders>
              <w:top w:val="none" w:color="000000" w:sz="4" w:space="0"/>
              <w:left w:val="none" w:color="000000"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合同主要条款</w:t>
            </w:r>
            <w:r/>
          </w:p>
        </w:tc>
        <w:tc>
          <w:tcPr>
            <w:tcBorders>
              <w:top w:val="none" w:color="000000" w:sz="4" w:space="0"/>
              <w:left w:val="none" w:color="000000"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未进行普扫，每例扣2分；未按规定时间完成普扫，每例扣2分，检查时发现问题，首先告知乙方，告知后2小时内未解决，每例扣1分。</w:t>
            </w:r>
            <w:r/>
          </w:p>
        </w:tc>
        <w:tc>
          <w:tcPr>
            <w:tcBorders>
              <w:top w:val="none" w:color="000000" w:sz="4" w:space="0"/>
              <w:left w:val="none" w:color="000000"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90"/>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人员规定</w:t>
            </w:r>
            <w:r/>
          </w:p>
        </w:tc>
        <w:tc>
          <w:tcPr>
            <w:tcBorders>
              <w:top w:val="none" w:color="000000" w:sz="4" w:space="0"/>
              <w:left w:val="none" w:color="000000"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按照规定的作业人数、作业路段进行清扫保洁；保洁时不串岗、离岗、干私活，统一着装、佩戴上岗证。</w:t>
            </w:r>
            <w:r/>
          </w:p>
        </w:tc>
        <w:tc>
          <w:tcPr>
            <w:tcBorders>
              <w:top w:val="none" w:color="000000" w:sz="4" w:space="0"/>
              <w:left w:val="none" w:color="000000"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保洁员未按合同定额配备的每发现少一人次扣3分，每月发现两次同类情况，扣除一人当月工资；保洁员串岗、离岗、干私活，未统一着装、佩戴上岗证每例扣1分。管理人员未统一着装、佩戴上岗证每例扣1分。</w:t>
            </w:r>
            <w:r/>
          </w:p>
        </w:tc>
        <w:tc>
          <w:tcPr>
            <w:tcBorders>
              <w:top w:val="none" w:color="000000" w:sz="4" w:space="0"/>
              <w:left w:val="none" w:color="000000"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821"/>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工具材料配备</w:t>
            </w:r>
            <w:r/>
          </w:p>
        </w:tc>
        <w:tc>
          <w:tcPr>
            <w:tcBorders>
              <w:top w:val="none" w:color="000000" w:sz="4" w:space="0"/>
              <w:left w:val="none" w:color="000000"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作业工具使用规范，普扫顺序规范。</w:t>
            </w:r>
            <w:r/>
          </w:p>
        </w:tc>
        <w:tc>
          <w:tcPr>
            <w:tcBorders>
              <w:top w:val="none" w:color="000000" w:sz="4" w:space="0"/>
              <w:left w:val="none" w:color="000000"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作业工具使用不规范（落叶季节等特殊情况除外）每例扣1分；普扫顺序不规范每例扣1分。</w:t>
            </w:r>
            <w:r/>
          </w:p>
        </w:tc>
        <w:tc>
          <w:tcPr>
            <w:tcBorders>
              <w:top w:val="none" w:color="000000" w:sz="4" w:space="0"/>
              <w:left w:val="none" w:color="000000"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884"/>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垃圾收运</w:t>
            </w:r>
            <w:r/>
          </w:p>
        </w:tc>
        <w:tc>
          <w:tcPr>
            <w:tcBorders>
              <w:top w:val="none" w:color="000000" w:sz="4" w:space="0"/>
              <w:left w:val="none" w:color="000000"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垃圾收运及时，及时组织扫雪及清理渣土工作。</w:t>
            </w:r>
            <w:r/>
          </w:p>
        </w:tc>
        <w:tc>
          <w:tcPr>
            <w:tcBorders>
              <w:top w:val="none" w:color="000000" w:sz="4" w:space="0"/>
              <w:left w:val="none" w:color="000000"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保洁工及时收集、装箱、装桶，不及时的每例扣1分。垃圾运输由垃圾中转站负责。</w:t>
            </w:r>
            <w:r/>
          </w:p>
        </w:tc>
        <w:tc>
          <w:tcPr>
            <w:tcBorders>
              <w:top w:val="none" w:color="000000" w:sz="4" w:space="0"/>
              <w:left w:val="none" w:color="000000" w:sz="4" w:space="0"/>
              <w:bottom w:val="single" w:color="auto" w:sz="4" w:space="0"/>
              <w:right w:val="single" w:color="auto" w:sz="4" w:space="0"/>
            </w:tcBorders>
            <w:tcW w:w="1083" w:type="dxa"/>
            <w:vAlign w:val="center"/>
            <w:textDirection w:val="lrTb"/>
            <w:noWrap w:val="false"/>
          </w:tcPr>
          <w:p>
            <w:pPr>
              <w:jc w:val="center"/>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339"/>
        </w:trPr>
        <w:tc>
          <w:tcPr>
            <w:tcBorders>
              <w:top w:val="none" w:color="000000"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0" w:firstLine="0"/>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文明作业</w:t>
            </w:r>
            <w:r/>
          </w:p>
        </w:tc>
        <w:tc>
          <w:tcPr>
            <w:tcBorders>
              <w:top w:val="none" w:color="000000" w:sz="4" w:space="0"/>
              <w:left w:val="none" w:color="000000"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严禁向窨井内扫垃圾，严禁将清扫的垃圾倒入果皮箱及绿化带内，严禁焚烧垃圾。</w:t>
            </w:r>
            <w:r/>
          </w:p>
        </w:tc>
        <w:tc>
          <w:tcPr>
            <w:tcBorders>
              <w:top w:val="none" w:color="000000" w:sz="4" w:space="0"/>
              <w:left w:val="none" w:color="000000"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在作业时向窨井内扫垃圾，将清扫的垃圾倒入果皮箱及绿化带内，焚烧垃圾，每例扣2分。</w:t>
            </w:r>
            <w:r/>
          </w:p>
        </w:tc>
        <w:tc>
          <w:tcPr>
            <w:tcBorders>
              <w:top w:val="none" w:color="000000" w:sz="4" w:space="0"/>
              <w:left w:val="none" w:color="000000"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359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保洁质量标准</w:t>
            </w:r>
            <w:r/>
          </w:p>
        </w:tc>
        <w:tc>
          <w:tcPr>
            <w:tcBorders>
              <w:top w:val="single" w:color="auto" w:sz="4" w:space="0"/>
              <w:left w:val="single" w:color="auto"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区域无杂物、纸屑、烟头、飘浮物等。保洁质量标准达到“六净六无”；路面无泥水污迹、雪雨后路面无残雪积水、路面及人行道无砖瓦玻璃、无瓜果核和纸屑、塑料袋及垃圾物、无垃圾浮土、无粪便和腐烂物；路面净，下水口净，花池边沿及路牙石边沿净，果皮箱、垃圾箱、环卫三轮车、垃圾点周围净，人行便道净，电杆树下周围净。</w:t>
            </w:r>
            <w:r/>
          </w:p>
        </w:tc>
        <w:tc>
          <w:tcPr>
            <w:tcBorders>
              <w:top w:val="single" w:color="auto" w:sz="4" w:space="0"/>
              <w:left w:val="single" w:color="auto" w:sz="4" w:space="0"/>
              <w:bottom w:val="single" w:color="auto" w:sz="4" w:space="0"/>
              <w:right w:val="single" w:color="auto" w:sz="4" w:space="0"/>
            </w:tcBorders>
            <w:tcW w:w="6084" w:type="dxa"/>
            <w:vAlign w:val="top"/>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区域有杂物、纸屑、烟头,每1000m范围内发现1-3片(个)扣1分，每多3片(个)加扣1分;路面有积水(雨天除外)，每平方米扣1分。道路清扫作业后，如有陈旧积灰扣1分;有其他杂物1-3片(个)扣1分，每多3片(个)加扣1分。作业范围内有积存垃圾，成堆扣2分，小堆垃圾(一防风簸箕以下)扣1分。有杂草视具体情况扣分;因媒体曝光造成重大影响的，每次扣3分。</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2227"/>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果皮箱和垃圾收集容器保洁</w:t>
            </w:r>
            <w:r/>
          </w:p>
        </w:tc>
        <w:tc>
          <w:tcPr>
            <w:tcBorders>
              <w:top w:val="single" w:color="auto" w:sz="4" w:space="0"/>
              <w:left w:val="single" w:color="auto"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果皮箱和垃圾收集容器垃圾的日产日清。果皮箱和垃圾收集容器每日进行保洁，做到箱体(收集容器)无污迹、无野广告，外表面清洁光亮，周围地面洁净。果皮箱和垃圾收集容器完好无损。</w:t>
            </w:r>
            <w:r/>
          </w:p>
        </w:tc>
        <w:tc>
          <w:tcPr>
            <w:tcBorders>
              <w:top w:val="single" w:color="auto" w:sz="4" w:space="0"/>
              <w:left w:val="single" w:color="auto"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未定期擦洗果皮箱和垃圾收集容器或箱体及周围不洁，扣1分/个:果皮箱和垃圾收集容器损坏未及时报告(门未关、盖未盖)，扣1分/个;果皮箱及箱体周围有散落垃圾未及时清理的，发现一处扣1分。</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50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野广告</w:t>
            </w:r>
            <w:r/>
          </w:p>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所承包路段两侧的墙面、外立面及地面无野广告和张贴物，保证及时清理干净。主干道向里延伸 30 米无野广告。 </w:t>
            </w:r>
            <w:r/>
          </w:p>
        </w:tc>
        <w:tc>
          <w:tcPr>
            <w:tcBorders>
              <w:top w:val="single" w:color="auto" w:sz="4" w:space="0"/>
              <w:left w:val="single" w:color="auto"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发现未清理的一处扣1分，未清理干净发现一处扣1分。</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val="false"/>
          </w:tcPr>
          <w:p>
            <w:pP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13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管理秩序</w:t>
            </w:r>
            <w:r/>
          </w:p>
        </w:tc>
        <w:tc>
          <w:tcPr>
            <w:tcBorders>
              <w:top w:val="single" w:color="auto" w:sz="4" w:space="0"/>
              <w:left w:val="single" w:color="auto"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严格内部管理，服从监管，合理表达要求，无上访、信访等事件。</w:t>
            </w:r>
            <w:r/>
          </w:p>
        </w:tc>
        <w:tc>
          <w:tcPr>
            <w:tcBorders>
              <w:top w:val="single" w:color="auto" w:sz="4" w:space="0"/>
              <w:left w:val="single" w:color="auto"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不服从甲方管理，出现顶撞、辱骂、殴打及上访、信访等事件,视情节影响扣1-20分，触犯法律者由司法机关处理。</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94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both"/>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监督考核</w:t>
            </w:r>
            <w:r/>
          </w:p>
        </w:tc>
        <w:tc>
          <w:tcPr>
            <w:tcBorders>
              <w:top w:val="single" w:color="auto" w:sz="4" w:space="0"/>
              <w:left w:val="single" w:color="auto" w:sz="4" w:space="0"/>
              <w:bottom w:val="single" w:color="auto" w:sz="4" w:space="0"/>
              <w:right w:val="single" w:color="auto" w:sz="4" w:space="0"/>
            </w:tcBorders>
            <w:tcW w:w="3988"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乙方要加强内部管理，无被动管理现象，不得将甲方的考核结果转嫁给保洁人员。</w:t>
            </w:r>
            <w:r/>
          </w:p>
        </w:tc>
        <w:tc>
          <w:tcPr>
            <w:tcBorders>
              <w:top w:val="single" w:color="auto" w:sz="4" w:space="0"/>
              <w:left w:val="single" w:color="auto" w:sz="4" w:space="0"/>
              <w:bottom w:val="single" w:color="auto" w:sz="4" w:space="0"/>
              <w:right w:val="single" w:color="auto" w:sz="4" w:space="0"/>
            </w:tcBorders>
            <w:tcW w:w="6084"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存在被动管理现象，将甲方考核结果转嫁给保洁人员的，发现1人次扣5分。</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highlight w:val="none"/>
        </w:rPr>
        <w:sectPr>
          <w:footnotePr/>
          <w:endnotePr/>
          <w:type w:val="nextPage"/>
          <w:pgSz w:w="16838" w:h="11906" w:orient="landscape"/>
          <w:pgMar w:top="1134" w:right="1134" w:bottom="1134" w:left="1134" w:header="851" w:footer="992" w:gutter="283"/>
          <w:cols w:num="1" w:sep="0" w:space="0" w:equalWidth="1"/>
          <w:docGrid w:linePitch="360"/>
        </w:sectPr>
      </w:pPr>
      <w:r>
        <w:rPr>
          <w:highlight w:val="none"/>
        </w:rPr>
      </w:r>
      <w:r/>
    </w:p>
    <w:p>
      <w:pPr>
        <w:rPr>
          <w:highlight w:val="none"/>
        </w:rPr>
      </w:pPr>
      <w:r>
        <w:rPr>
          <w:highlight w:val="none"/>
        </w:rPr>
      </w:r>
      <w:r/>
    </w:p>
    <w:p>
      <w:pPr>
        <w:rPr>
          <w:highlight w:val="none"/>
        </w:rPr>
      </w:pPr>
      <w:r>
        <w:rPr>
          <w:highlight w:val="none"/>
        </w:rPr>
      </w:r>
      <w:r/>
    </w:p>
    <w:p>
      <w:pPr>
        <w:pStyle w:val="787"/>
        <w:ind w:left="0" w:firstLine="0"/>
        <w:jc w:val="center"/>
        <w:rPr>
          <w:color w:val="auto"/>
          <w:highlight w:val="none"/>
        </w:rPr>
      </w:pPr>
      <w:r>
        <w:rPr>
          <w:color w:val="auto"/>
          <w:highlight w:val="none"/>
        </w:rPr>
        <w:t xml:space="preserve">第六章 采购需求</w:t>
      </w:r>
      <w:bookmarkEnd w:id="6"/>
      <w:r/>
      <w:r/>
    </w:p>
    <w:p>
      <w:pPr>
        <w:numPr>
          <w:ilvl w:val="0"/>
          <w:numId w:val="4"/>
        </w:numPr>
        <w:ind w:firstLine="482"/>
        <w:pageBreakBefore w:val="0"/>
        <w:spacing w:line="360" w:lineRule="auto"/>
        <w:rPr>
          <w:rFonts w:hint="default" w:ascii="宋体" w:hAnsi="宋体" w:eastAsia="宋体" w:cs="宋体"/>
          <w:b/>
          <w:color w:val="000000"/>
          <w:sz w:val="24"/>
          <w:highlight w:val="none"/>
        </w:rPr>
      </w:pPr>
      <w:r>
        <w:rPr>
          <w:rFonts w:hint="eastAsia" w:ascii="宋体" w:hAnsi="宋体" w:eastAsia="宋体" w:cs="宋体"/>
          <w:b/>
          <w:color w:val="000000"/>
          <w:sz w:val="24"/>
          <w:highlight w:val="none"/>
        </w:rPr>
        <w:t xml:space="preserve">项目概述</w:t>
      </w:r>
      <w:r/>
    </w:p>
    <w:p>
      <w:pPr>
        <w:ind w:firstLine="480"/>
        <w:pageBreakBefore w:val="0"/>
        <w:spacing w:line="360" w:lineRule="auto"/>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丰县华山镇地区保洁及绿化养护项目，主要包括道路保洁，垃圾上门分类收集、分类垃圾桶配置、交通护栏清洗、野广告清理、公厕管理、绿化养护等服务，本项目采购预算为</w:t>
      </w:r>
      <w:r>
        <w:rPr>
          <w:rFonts w:hint="eastAsia" w:ascii="宋体" w:hAnsi="宋体" w:cs="宋体"/>
          <w:sz w:val="24"/>
          <w:highlight w:val="none"/>
          <w:lang w:val="en-US" w:eastAsia="zh-CN"/>
        </w:rPr>
        <w:t xml:space="preserve">578</w:t>
      </w:r>
      <w:r>
        <w:rPr>
          <w:rFonts w:hint="eastAsia" w:ascii="宋体" w:hAnsi="宋体" w:cs="宋体"/>
          <w:sz w:val="24"/>
          <w:highlight w:val="none"/>
          <w:lang w:eastAsia="zh-CN"/>
        </w:rPr>
        <w:t xml:space="preserve">万元，不接受超过采购预算的报价。</w:t>
      </w:r>
      <w:r>
        <w:rPr>
          <w:rFonts w:hint="eastAsia" w:ascii="宋体" w:hAnsi="宋体" w:eastAsia="宋体" w:cs="宋体"/>
          <w:b/>
          <w:sz w:val="24"/>
          <w:highlight w:val="none"/>
        </w:rPr>
        <w:t xml:space="preserve">本项目投标报价包含一切相关费用，采购人不再支付报价以外的任何费用。</w:t>
      </w:r>
      <w:r/>
    </w:p>
    <w:p>
      <w:pPr>
        <w:numPr>
          <w:ilvl w:val="0"/>
          <w:numId w:val="4"/>
        </w:numPr>
        <w:ind w:firstLine="482"/>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w:t>
      </w:r>
      <w:r>
        <w:rPr>
          <w:rFonts w:hint="eastAsia" w:ascii="宋体" w:hAnsi="宋体" w:eastAsia="宋体" w:cs="宋体"/>
          <w:b/>
          <w:color w:val="000000"/>
          <w:sz w:val="24"/>
          <w:highlight w:val="none"/>
          <w:lang w:eastAsia="zh-CN"/>
        </w:rPr>
        <w:t xml:space="preserve">概况</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1、项目名称：</w:t>
      </w:r>
      <w:r>
        <w:rPr>
          <w:rFonts w:hint="eastAsia" w:ascii="宋体" w:hAnsi="宋体" w:eastAsia="宋体" w:cs="Times New Roman"/>
          <w:sz w:val="24"/>
          <w:highlight w:val="none"/>
          <w:lang w:eastAsia="zh-CN"/>
        </w:rPr>
        <w:t xml:space="preserve">丰县华山镇镇区保洁及绿化养护项目</w:t>
      </w:r>
      <w:r>
        <w:rPr>
          <w:rFonts w:hint="eastAsia" w:ascii="宋体" w:hAnsi="宋体" w:eastAsia="宋体" w:cs="Times New Roman"/>
          <w:sz w:val="24"/>
          <w:highlight w:val="none"/>
        </w:rPr>
        <w:t xml:space="preserve"> </w:t>
      </w:r>
      <w:r/>
    </w:p>
    <w:p>
      <w:pPr>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2、项目地址：</w:t>
      </w:r>
      <w:r>
        <w:rPr>
          <w:rFonts w:hint="eastAsia" w:ascii="宋体" w:hAnsi="宋体" w:eastAsia="宋体" w:cs="Times New Roman"/>
          <w:sz w:val="24"/>
          <w:highlight w:val="none"/>
          <w:lang w:eastAsia="zh-CN"/>
        </w:rPr>
        <w:t xml:space="preserve">丰县华山镇镇区</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eastAsia="zh-CN"/>
        </w:rPr>
        <w:t xml:space="preserve">服务</w:t>
      </w:r>
      <w:r>
        <w:rPr>
          <w:rFonts w:hint="eastAsia" w:ascii="宋体" w:hAnsi="宋体" w:eastAsia="宋体" w:cs="Times New Roman"/>
          <w:sz w:val="24"/>
          <w:highlight w:val="none"/>
        </w:rPr>
        <w:t xml:space="preserve">期限：</w:t>
      </w:r>
      <w:r>
        <w:rPr>
          <w:rFonts w:hint="eastAsia" w:ascii="宋体" w:hAnsi="宋体" w:eastAsia="宋体" w:cs="Times New Roman"/>
          <w:b/>
          <w:bCs/>
          <w:sz w:val="24"/>
          <w:highlight w:val="none"/>
          <w:lang w:eastAsia="zh-CN"/>
        </w:rPr>
        <w:t xml:space="preserve">三</w:t>
      </w:r>
      <w:r>
        <w:rPr>
          <w:rFonts w:hint="eastAsia" w:ascii="宋体" w:hAnsi="宋体" w:eastAsia="宋体" w:cs="Times New Roman"/>
          <w:b/>
          <w:bCs/>
          <w:sz w:val="24"/>
          <w:highlight w:val="none"/>
        </w:rPr>
        <w:t xml:space="preserve">年</w:t>
      </w:r>
      <w:r>
        <w:rPr>
          <w:rFonts w:hint="eastAsia" w:ascii="宋体" w:hAnsi="宋体" w:eastAsia="宋体" w:cs="Times New Roman"/>
          <w:sz w:val="24"/>
          <w:highlight w:val="none"/>
        </w:rPr>
        <w:t xml:space="preserve">。</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4、项目质量要求：合格</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、验收标准：满足采购需求要求。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eastAsia="zh-CN"/>
        </w:rPr>
        <w:t xml:space="preserve">保洁</w:t>
      </w:r>
      <w:r>
        <w:rPr>
          <w:rFonts w:hint="eastAsia" w:ascii="宋体" w:hAnsi="宋体" w:cs="Times New Roman"/>
          <w:sz w:val="24"/>
          <w:highlight w:val="none"/>
          <w:lang w:val="en-US" w:eastAsia="zh-CN"/>
        </w:rPr>
        <w:t xml:space="preserve">区域</w:t>
      </w:r>
      <w:r>
        <w:rPr>
          <w:rFonts w:hint="eastAsia" w:ascii="宋体" w:hAnsi="宋体" w:eastAsia="宋体" w:cs="Times New Roman"/>
          <w:sz w:val="24"/>
          <w:highlight w:val="none"/>
        </w:rPr>
        <w:t xml:space="preserve">见下表</w:t>
      </w:r>
      <w:r/>
    </w:p>
    <w:p>
      <w:pPr>
        <w:rPr>
          <w:rFonts w:hint="eastAsia" w:ascii="Times New Roman" w:hAnsi="Times New Roman" w:eastAsia="宋体" w:cs="Times New Roman"/>
          <w:b/>
          <w:bCs/>
          <w:highlight w:val="none"/>
          <w:lang w:val="en-US" w:eastAsia="zh-CN" w:bidi="ar-SA"/>
        </w:rPr>
      </w:pPr>
      <w:r>
        <w:rPr>
          <w:rFonts w:hint="eastAsia" w:ascii="宋体" w:hAnsi="宋体" w:eastAsia="宋体" w:cs="Times New Roman"/>
          <w:b/>
          <w:bCs/>
          <w:sz w:val="24"/>
          <w:highlight w:val="none"/>
          <w:lang w:val="en-US" w:eastAsia="zh-CN" w:bidi="ar-SA"/>
        </w:rPr>
        <w:t xml:space="preserve">表1</w:t>
      </w:r>
      <w:r>
        <w:rPr>
          <w:rFonts w:hint="eastAsia" w:ascii="宋体" w:hAnsi="宋体" w:eastAsia="宋体" w:cs="宋体"/>
          <w:b/>
          <w:bCs/>
          <w:sz w:val="24"/>
          <w:szCs w:val="24"/>
          <w:highlight w:val="none"/>
          <w:lang w:val="en-US" w:eastAsia="zh-CN"/>
        </w:rPr>
        <w:t xml:space="preserve">丰县华山镇区道路保洁区域</w:t>
      </w:r>
      <w:r>
        <w:rPr>
          <w:rFonts w:hint="eastAsia" w:ascii="宋体" w:hAnsi="宋体" w:cs="宋体"/>
          <w:b/>
          <w:bCs/>
          <w:sz w:val="24"/>
          <w:szCs w:val="24"/>
          <w:highlight w:val="none"/>
          <w:lang w:val="en-US" w:eastAsia="zh-CN"/>
        </w:rPr>
        <w:t xml:space="preserve">面积</w:t>
      </w:r>
      <w:r>
        <w:rPr>
          <w:rFonts w:hint="eastAsia" w:ascii="宋体" w:hAnsi="宋体" w:eastAsia="宋体" w:cs="宋体"/>
          <w:b/>
          <w:bCs/>
          <w:sz w:val="24"/>
          <w:szCs w:val="24"/>
          <w:highlight w:val="none"/>
          <w:lang w:val="en-US" w:eastAsia="zh-CN"/>
        </w:rPr>
        <w:t xml:space="preserve">表</w:t>
      </w:r>
      <w:r/>
    </w:p>
    <w:tbl>
      <w:tblPr>
        <w:tblStyle w:val="797"/>
        <w:tblW w:w="100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183"/>
        <w:gridCol w:w="1725"/>
        <w:gridCol w:w="2666"/>
        <w:gridCol w:w="2718"/>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bookmarkStart w:id="7" w:name="_Toc26030"/>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w:t>
            </w:r>
            <w:r>
              <w:rPr>
                <w:rFonts w:hint="eastAsia" w:ascii="宋体" w:hAnsi="宋体" w:cs="宋体"/>
                <w:b/>
                <w:bCs/>
                <w:i w:val="0"/>
                <w:iCs w:val="0"/>
                <w:color w:val="000000"/>
                <w:sz w:val="24"/>
                <w:szCs w:val="24"/>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保洁面积</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华山镇区保洁</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350145.4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华山镇区绿化养护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83333.3</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套楼街区</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111160</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钢城保洁</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73522</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钢城绿化养护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9581.25</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产业园保洁</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25819</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产业园绿化养护</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30174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宕口保洁</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29873.4</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含绿化养护、公厕保洁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老街保洁</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33318.3</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4622" w:type="dxa"/>
            <w:vAlign w:val="center"/>
            <w:textDirection w:val="lrTb"/>
            <w:noWrap/>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746926.65</w:t>
            </w:r>
            <w:r/>
          </w:p>
        </w:tc>
        <w:tc>
          <w:tcPr>
            <w:shd w:val="clear" w:color="auto" w:fill="auto"/>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bookmarkEnd w:id="7"/>
            <w:r/>
            <w:r/>
          </w:p>
        </w:tc>
      </w:tr>
    </w:tbl>
    <w:p>
      <w:pPr>
        <w:ind w:firstLine="48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rPr>
          <w:rFonts w:hint="eastAsia" w:ascii="宋体" w:hAnsi="宋体" w:eastAsia="宋体" w:cs="宋体"/>
          <w:b/>
          <w:bCs/>
          <w:sz w:val="36"/>
          <w:szCs w:val="36"/>
          <w:highlight w:val="none"/>
        </w:rPr>
      </w:pPr>
      <w:r>
        <w:rPr>
          <w:rFonts w:hint="eastAsia" w:ascii="宋体" w:hAnsi="宋体" w:eastAsia="宋体" w:cs="Times New Roman"/>
          <w:b/>
          <w:bCs/>
          <w:sz w:val="24"/>
          <w:highlight w:val="none"/>
          <w:lang w:val="en-US" w:eastAsia="zh-CN" w:bidi="ar-SA"/>
        </w:rPr>
        <w:t xml:space="preserve">表</w:t>
      </w:r>
      <w:r>
        <w:rPr>
          <w:rFonts w:hint="eastAsia" w:ascii="宋体" w:hAnsi="宋体" w:cs="Times New Roman"/>
          <w:b/>
          <w:bCs/>
          <w:sz w:val="24"/>
          <w:highlight w:val="none"/>
          <w:lang w:val="en-US" w:eastAsia="zh-CN" w:bidi="ar-SA"/>
        </w:rPr>
        <w:t xml:space="preserve">2</w:t>
      </w:r>
      <w:r>
        <w:rPr>
          <w:rFonts w:hint="eastAsia" w:ascii="宋体" w:hAnsi="宋体" w:eastAsia="宋体" w:cs="宋体"/>
          <w:b/>
          <w:bCs/>
          <w:sz w:val="24"/>
          <w:szCs w:val="24"/>
          <w:highlight w:val="none"/>
          <w:lang w:eastAsia="zh-CN"/>
        </w:rPr>
        <w:t xml:space="preserve">丰县华山镇</w:t>
      </w:r>
      <w:r>
        <w:rPr>
          <w:rFonts w:hint="eastAsia" w:ascii="宋体" w:hAnsi="宋体" w:cs="宋体"/>
          <w:b/>
          <w:bCs/>
          <w:sz w:val="24"/>
          <w:szCs w:val="24"/>
          <w:highlight w:val="none"/>
          <w:lang w:val="en-US" w:eastAsia="zh-CN"/>
        </w:rPr>
        <w:t xml:space="preserve">道路保洁、绿化养护路段明细</w:t>
      </w:r>
      <w:r/>
    </w:p>
    <w:tbl>
      <w:tblPr>
        <w:tblStyle w:val="797"/>
        <w:tblW w:w="100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4"/>
        <w:gridCol w:w="2442"/>
        <w:gridCol w:w="3083"/>
        <w:gridCol w:w="2183"/>
        <w:gridCol w:w="1584"/>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项目地点</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保洁区域</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保洁等级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华山镇区</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东起华山法庭至华山水上乐园北门</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default" w:ascii="宋体" w:hAnsi="宋体" w:eastAsia="宋体" w:cs="宋体"/>
                <w:i w:val="0"/>
                <w:iCs w:val="0"/>
                <w:color w:val="000000"/>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南起小白羊美食城至烈士纪念碑</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left"/>
              <w:keepLines w:val="0"/>
              <w:keepNext w:val="0"/>
              <w:spacing w:line="240" w:lineRule="auto"/>
              <w:widowControl/>
              <w:tabs>
                <w:tab w:val="left" w:pos="600" w:leader="none"/>
              </w:tabs>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ab/>
            </w:r>
            <w:r>
              <w:rPr>
                <w:rFonts w:hint="eastAsia" w:ascii="宋体" w:hAnsi="宋体" w:eastAsia="宋体" w:cs="宋体"/>
                <w:i w:val="0"/>
                <w:iCs w:val="0"/>
                <w:color w:val="000000"/>
                <w:sz w:val="24"/>
                <w:szCs w:val="24"/>
                <w:highlight w:val="none"/>
                <w:u w:val="none"/>
                <w:lang w:val="en-US" w:eastAsia="zh-CN" w:bidi="ar"/>
              </w:rPr>
              <w:t xml:space="preserve">套楼街</w:t>
            </w:r>
            <w:r>
              <w:rPr>
                <w:rFonts w:hint="eastAsia" w:ascii="宋体" w:hAnsi="宋体" w:cs="宋体"/>
                <w:i w:val="0"/>
                <w:iCs w:val="0"/>
                <w:color w:val="000000"/>
                <w:sz w:val="24"/>
                <w:szCs w:val="24"/>
                <w:highlight w:val="none"/>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南起金梦园家具城至北套楼面粉厂</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default" w:ascii="宋体" w:hAnsi="宋体" w:eastAsia="宋体" w:cs="宋体"/>
                <w:i w:val="0"/>
                <w:iCs w:val="0"/>
                <w:color w:val="000000"/>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东起广场至农贸市场西</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钢城</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钢城内所有道路、公厕及绿化</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产业园</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丰华包装印刷产业园内所有道路、公厕及绿化</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建邺商混东区块道路保洁、绿化（两条南北路、一条东西路）</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373"/>
        </w:trPr>
        <w:tc>
          <w:tcPr>
            <w:shd w:val="clear" w:color="auto" w:fill="auto"/>
            <w:tcBorders>
              <w:top w:val="single" w:color="000000" w:sz="4" w:space="0"/>
              <w:left w:val="single" w:color="000000" w:sz="4" w:space="0"/>
              <w:right w:val="single" w:color="000000" w:sz="4" w:space="0"/>
            </w:tcBorders>
            <w:tcW w:w="714" w:type="dxa"/>
            <w:vAlign w:val="center"/>
            <w:vMerge w:val="restart"/>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2442" w:type="dxa"/>
            <w:vAlign w:val="center"/>
            <w:vMerge w:val="restart"/>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宕口</w:t>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南起宕口大门至北老丰徐路</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left w:val="single" w:color="000000" w:sz="4" w:space="0"/>
              <w:bottom w:val="single" w:color="000000" w:sz="4" w:space="0"/>
              <w:right w:val="single" w:color="000000" w:sz="4" w:space="0"/>
            </w:tcBorders>
            <w:tcW w:w="714" w:type="dxa"/>
            <w:vAlign w:val="center"/>
            <w:vMerge w:val="continue"/>
            <w:textDirection w:val="lrTb"/>
            <w:noWrap/>
          </w:tcPr>
          <w:p>
            <w:pPr>
              <w:ind w:left="0" w:firstLine="0"/>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2442" w:type="dxa"/>
            <w:vAlign w:val="center"/>
            <w:vMerge w:val="continue"/>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default" w:ascii="宋体" w:hAnsi="宋体" w:eastAsia="宋体" w:cs="宋体"/>
                <w:i w:val="0"/>
                <w:iCs w:val="0"/>
                <w:color w:val="000000"/>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083"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b w:val="0"/>
                <w:bCs w:val="0"/>
                <w:i w:val="0"/>
                <w:iCs w:val="0"/>
                <w:color w:val="000000"/>
                <w:sz w:val="24"/>
                <w:szCs w:val="24"/>
                <w:highlight w:val="none"/>
                <w:u w:val="none"/>
                <w:lang w:val="en-US" w:eastAsia="zh-CN" w:bidi="ar"/>
              </w:rPr>
              <w:t xml:space="preserve">东起围墙至西围墙内（含水面保洁）</w:t>
            </w:r>
            <w:r/>
          </w:p>
        </w:tc>
        <w:tc>
          <w:tcPr>
            <w:shd w:val="clear" w:color="auto" w:fill="auto"/>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numPr>
          <w:ilvl w:val="0"/>
          <w:numId w:val="5"/>
        </w:numPr>
        <w:ind w:firstLine="482"/>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项目要求</w:t>
      </w:r>
      <w:r/>
    </w:p>
    <w:p>
      <w:pPr>
        <w:ind w:firstLine="482"/>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（一）招标范围和内容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1.作业范围：</w:t>
      </w:r>
      <w:r>
        <w:rPr>
          <w:rFonts w:hint="eastAsia" w:ascii="宋体" w:hAnsi="宋体" w:eastAsia="宋体" w:cs="宋体"/>
          <w:sz w:val="24"/>
          <w:szCs w:val="24"/>
          <w:highlight w:val="none"/>
          <w:lang w:eastAsia="zh-CN"/>
        </w:rPr>
        <w:t xml:space="preserve">丰县华山镇</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lang w:eastAsia="zh-CN"/>
        </w:rPr>
        <w:t xml:space="preserve">区</w:t>
      </w:r>
      <w:r>
        <w:rPr>
          <w:rFonts w:hint="eastAsia" w:ascii="宋体" w:hAnsi="宋体" w:eastAsia="宋体" w:cs="宋体"/>
          <w:sz w:val="24"/>
          <w:szCs w:val="24"/>
          <w:highlight w:val="none"/>
        </w:rPr>
        <w:t xml:space="preserve">，保洁范围和面积以中标后双方实际交接为准。</w:t>
      </w:r>
      <w:r/>
    </w:p>
    <w:p>
      <w:pPr>
        <w:ind w:firstLine="482"/>
        <w:spacing w:after="12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作业内容：</w:t>
      </w:r>
      <w:r>
        <w:rPr>
          <w:rFonts w:hint="eastAsia" w:ascii="宋体" w:hAnsi="宋体" w:eastAsia="宋体" w:cs="宋体"/>
          <w:sz w:val="24"/>
          <w:szCs w:val="24"/>
          <w:highlight w:val="none"/>
        </w:rPr>
        <w:t xml:space="preserve">主次干道、人行道（横向为建筑物门面或围墙至指定位置）；垃圾分类收集清运；隔离栏（交通护栏）清洗；卫生死角清除；果壳箱、垃圾桶清洗（维护）、更换、补缺；沿街建筑物，人行道，地面、市政、交通（公交站台）、环卫设施等立面乱涂写乱张贴清除保洁、公厕的管理；道路快慢车道、人行道路面的人工清扫和巡回保洁；绿化养护等</w:t>
      </w:r>
      <w:r>
        <w:rPr>
          <w:rFonts w:hint="eastAsia" w:ascii="宋体" w:hAnsi="宋体" w:eastAsia="宋体" w:cs="宋体"/>
          <w:sz w:val="24"/>
          <w:szCs w:val="24"/>
          <w:highlight w:val="none"/>
          <w:lang w:eastAsia="zh-CN"/>
        </w:rPr>
        <w:t xml:space="preserve">及丰县华山镇人民政府</w:t>
      </w:r>
      <w:r>
        <w:rPr>
          <w:rFonts w:hint="eastAsia" w:ascii="宋体" w:hAnsi="宋体" w:eastAsia="宋体" w:cs="宋体"/>
          <w:sz w:val="24"/>
          <w:szCs w:val="24"/>
          <w:highlight w:val="none"/>
        </w:rPr>
        <w:t xml:space="preserve">交办的其他任务等。</w:t>
      </w:r>
      <w:r/>
    </w:p>
    <w:p>
      <w:pPr>
        <w:ind w:firstLine="482"/>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（二）规范要求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1.作业规范符合但不限于《 江苏省城市环境卫生作业服务质量标准》等现行有关法律法规、规章和规范性文件。服务质量和要求详见《</w:t>
      </w:r>
      <w:r>
        <w:rPr>
          <w:rFonts w:hint="eastAsia" w:ascii="宋体" w:hAnsi="宋体" w:eastAsia="宋体" w:cs="宋体"/>
          <w:sz w:val="24"/>
          <w:szCs w:val="24"/>
          <w:highlight w:val="none"/>
          <w:lang w:eastAsia="zh-CN"/>
        </w:rPr>
        <w:t xml:space="preserve">丰县华山镇区</w:t>
      </w:r>
      <w:r>
        <w:rPr>
          <w:rFonts w:hint="eastAsia" w:ascii="宋体" w:hAnsi="宋体" w:eastAsia="宋体" w:cs="宋体"/>
          <w:sz w:val="24"/>
          <w:szCs w:val="24"/>
          <w:highlight w:val="none"/>
        </w:rPr>
        <w:t xml:space="preserve">环境卫生检查考核实施细则》。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2.规范管理组织机构健全。乙方应当按照环卫企业规范管理要求设立各相关内部管理机构，管理人员规范着装、挂牌上岗；必须配备足够的通讯设备并保持畅通。</w:t>
      </w:r>
      <w:r/>
    </w:p>
    <w:p>
      <w:pPr>
        <w:ind w:firstLine="480"/>
        <w:spacing w:line="360" w:lineRule="auto"/>
        <w:rPr>
          <w:rFonts w:hint="eastAsia" w:ascii="宋体" w:hAnsi="宋体" w:eastAsia="宋体" w:cs="宋体"/>
          <w:sz w:val="20"/>
          <w:szCs w:val="24"/>
          <w:highlight w:val="none"/>
        </w:rPr>
      </w:pPr>
      <w:r>
        <w:rPr>
          <w:rFonts w:hint="eastAsia" w:ascii="宋体" w:hAnsi="宋体" w:eastAsia="宋体" w:cs="宋体"/>
          <w:sz w:val="24"/>
          <w:szCs w:val="24"/>
          <w:highlight w:val="none"/>
        </w:rPr>
        <w:t xml:space="preserve">3.各项管理制度健全，制定各岗位操作规范，定期组织安全生产教育，具有完善的突发事件应急预案。</w:t>
      </w:r>
      <w:r/>
    </w:p>
    <w:p>
      <w:pPr>
        <w:ind w:firstLine="482"/>
        <w:spacing w:after="12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（三）按照法律、法规和国家、省、市的规定，按月足额发放人员工资：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1.按不低于当地最低工资标准发放基础工资（不含延长工作时间的工资）。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2.按标准发放高温津贴。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3.延长工作时间的工资应按相关法律规定执行。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4.人员工资发放采用银行代发方式。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5.合同履行期内遇政策调整，要求提高环卫工人待遇的，乙方必须于政策调整执行日期起执行，甲方不予补贴。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6.保证环卫工人每周至少休息一天。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按照法律、法规规定为环卫工人缴纳相应的社会保险（养老、医疗、工伤、失业、生育保险）、商业保险（每人投保的保险金额不得低于60万元）。该项目的环卫作业人员社会保险费用必须按规定交纳至人力资源和社会保障部门， 缴费清单按甲方规定的时间提交甲方审查。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8．按法律、法规的规定为环卫工人提供必要的劳动保护用品，标准按环卫管理机构规定执行。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10.不断提高企业管理水平和作业能力，提高企业运营管理实力。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11.不得自行调整作业范围、作业模式、作业量。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12.乙方按照县级环卫管理机构要求支付社会监督扣款。</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b/>
          <w:bCs/>
          <w:sz w:val="24"/>
          <w:szCs w:val="24"/>
          <w:highlight w:val="none"/>
        </w:rPr>
        <w:t xml:space="preserve">人员、车辆及设备配备要求：（本项不允许负偏离，否则按废标处理）</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（一）人员最低配备要求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1.保洁人员数量配备不少于</w:t>
      </w:r>
      <w:r>
        <w:rPr>
          <w:rFonts w:hint="eastAsia" w:ascii="宋体" w:hAnsi="宋体" w:cs="宋体"/>
          <w:sz w:val="24"/>
          <w:szCs w:val="24"/>
          <w:highlight w:val="none"/>
          <w:lang w:val="en-US" w:eastAsia="zh-CN"/>
        </w:rPr>
        <w:t xml:space="preserve">76</w:t>
      </w:r>
      <w:r>
        <w:rPr>
          <w:rFonts w:hint="eastAsia" w:ascii="宋体" w:hAnsi="宋体" w:eastAsia="宋体" w:cs="宋体"/>
          <w:sz w:val="24"/>
          <w:szCs w:val="24"/>
          <w:highlight w:val="none"/>
        </w:rPr>
        <w:t xml:space="preserve">人，其中包含管理人员即项目经理1人，驾驶员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人，保洁员人手1辆保洁车和保洁工具。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配备的项目经理，不得同时兼任其他项目部经理或其他职务，人员的配备需向</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备案，需调整或调动必须听取</w:t>
      </w:r>
      <w:r>
        <w:rPr>
          <w:rFonts w:hint="eastAsia" w:ascii="宋体" w:hAnsi="宋体" w:eastAsia="宋体" w:cs="宋体"/>
          <w:sz w:val="24"/>
          <w:szCs w:val="24"/>
          <w:highlight w:val="none"/>
          <w:lang w:eastAsia="zh-CN"/>
        </w:rPr>
        <w:t xml:space="preserve">丰县华山镇人民政府</w:t>
      </w:r>
      <w:r>
        <w:rPr>
          <w:rFonts w:hint="eastAsia" w:ascii="宋体" w:hAnsi="宋体" w:eastAsia="宋体" w:cs="宋体"/>
          <w:sz w:val="24"/>
          <w:szCs w:val="24"/>
          <w:highlight w:val="none"/>
        </w:rPr>
        <w:t xml:space="preserve">意见方可实施。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（1）管理团队要求道德品质好，行为端正，责任心强、能吃苦</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身体健康无残疾</w:t>
      </w:r>
      <w:r>
        <w:rPr>
          <w:rFonts w:hint="eastAsia" w:ascii="宋体" w:hAnsi="宋体" w:eastAsia="宋体" w:cs="宋体"/>
          <w:sz w:val="24"/>
          <w:szCs w:val="24"/>
          <w:highlight w:val="none"/>
        </w:rPr>
        <w:t xml:space="preserve">，有开拓创新精神，有3-5年以上环卫保洁工作经验，平均年龄不超过45周岁，其他人员的配备按照合同要求进行备案。</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（2）保洁人员年龄男不得超过60周岁，女不得超过55周岁。</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（3）项目经理（或项目负责人）、班长、保洁员、垃圾清运人员实行定人、定时、定岗、定责管理。 </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（4）日常管理人员应知法，懂法，守法，依法办事，必须严格遵守从业规范及安全管理规定。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作人员应有吃苦耐劳的精神和高度的责任感，受过专门的岗前培训，要知法守法，严格遵守从业规范及安全管理规定。管理人员应严格岗位职责，善于发现各类问题，具备一定的管理经验和处理突发事件的能力。 </w:t>
      </w:r>
      <w:r/>
    </w:p>
    <w:p>
      <w:pPr>
        <w:ind w:firstLine="482"/>
        <w:spacing w:line="360" w:lineRule="auto"/>
        <w:rPr>
          <w:rFonts w:hint="eastAsia" w:ascii="宋体" w:hAnsi="宋体" w:eastAsia="宋体" w:cs="宋体"/>
          <w:sz w:val="24"/>
          <w:szCs w:val="24"/>
          <w:highlight w:val="none"/>
        </w:rPr>
      </w:pPr>
      <w:r>
        <w:rPr>
          <w:rFonts w:hint="eastAsia" w:ascii="宋体" w:hAnsi="宋体" w:eastAsia="宋体" w:cs="Times New Roman"/>
          <w:b/>
          <w:bCs/>
          <w:color w:val="000000"/>
          <w:sz w:val="24"/>
          <w:highlight w:val="none"/>
        </w:rPr>
        <w:t xml:space="preserve">（二）车辆配置要求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★1.车辆配置明细表（包括但不限于以下车辆），按需满足要求：</w:t>
      </w:r>
      <w:r/>
    </w:p>
    <w:tbl>
      <w:tblPr>
        <w:tblStyle w:val="797"/>
        <w:tblW w:w="937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trHeight w:val="619"/>
        </w:trPr>
        <w:tc>
          <w:tcPr>
            <w:gridSpan w:val="5"/>
            <w:tcW w:w="9370" w:type="dxa"/>
            <w:vAlign w:val="center"/>
            <w:textDirection w:val="lrTb"/>
            <w:noWrap/>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车辆配备明细表</w:t>
            </w:r>
            <w:r/>
          </w:p>
        </w:tc>
      </w:tr>
      <w:tr>
        <w:trPr>
          <w:trHeight w:val="626"/>
        </w:trPr>
        <w:tc>
          <w:tcPr>
            <w:tcW w:w="782" w:type="dxa"/>
            <w:vAlign w:val="center"/>
            <w:textDirection w:val="lrTb"/>
            <w:noWrap/>
          </w:tcPr>
          <w:p>
            <w:pPr>
              <w:ind w:left="0" w:firstLine="0"/>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6"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项目分类</w:t>
            </w:r>
            <w:r/>
          </w:p>
        </w:tc>
        <w:tc>
          <w:tcPr>
            <w:tcW w:w="3868"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980"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w:t>
            </w:r>
            <w:r/>
          </w:p>
        </w:tc>
      </w:tr>
      <w:tr>
        <w:trPr>
          <w:trHeight w:val="499"/>
        </w:trPr>
        <w:tc>
          <w:tcPr>
            <w:tcW w:w="782" w:type="dxa"/>
            <w:vAlign w:val="center"/>
            <w:vMerge w:val="restart"/>
            <w:textDirection w:val="lrTb"/>
            <w:noWrap w:val="false"/>
          </w:tcPr>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1516" w:type="dxa"/>
            <w:vAlign w:val="center"/>
            <w:vMerge w:val="restart"/>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w:t>
            </w:r>
            <w:r/>
          </w:p>
        </w:tc>
        <w:tc>
          <w:tcPr>
            <w:tcW w:w="386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垃圾清运车</w:t>
            </w:r>
            <w:r>
              <w:rPr>
                <w:rFonts w:hint="eastAsia" w:ascii="宋体" w:hAnsi="宋体" w:eastAsia="宋体" w:cs="宋体"/>
                <w:color w:val="auto"/>
                <w:sz w:val="24"/>
                <w:szCs w:val="24"/>
                <w:highlight w:val="none"/>
                <w:lang w:val="en-US" w:eastAsia="zh-CN"/>
              </w:rPr>
              <w:t xml:space="preserve">8m3</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r>
      <w:tr>
        <w:trPr>
          <w:trHeight w:val="499"/>
        </w:trPr>
        <w:tc>
          <w:tcPr>
            <w:tcW w:w="782"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电动清扫车</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3（其中至少一辆新能源车辆）</w:t>
            </w:r>
            <w:r/>
          </w:p>
        </w:tc>
      </w:tr>
      <w:tr>
        <w:trPr>
          <w:trHeight w:val="499"/>
        </w:trPr>
        <w:tc>
          <w:tcPr>
            <w:tcW w:w="782"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清洗车</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r>
    </w:tbl>
    <w:p>
      <w:pPr>
        <w:jc w:val="left"/>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注：1）以上车辆为供应商自有的提供的发票或权属登记证书的扫描件，为租赁的，提供租赁合同和车辆设备的发票或权属登记证书的扫描件。</w:t>
      </w:r>
      <w:r/>
    </w:p>
    <w:p>
      <w:pPr>
        <w:numPr>
          <w:ilvl w:val="0"/>
          <w:numId w:val="0"/>
        </w:numPr>
        <w:ind w:firstLine="482"/>
        <w:keepLines w:val="0"/>
        <w:keepNext w:val="0"/>
        <w:pageBreakBefore w:val="0"/>
        <w:spacing w:line="288"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en-US" w:bidi="ar-SA"/>
        </w:rPr>
        <w:t xml:space="preserve">如暂未</w:t>
      </w:r>
      <w:r>
        <w:rPr>
          <w:rFonts w:hint="eastAsia" w:ascii="宋体" w:hAnsi="宋体" w:eastAsia="宋体" w:cs="宋体"/>
          <w:b/>
          <w:bCs/>
          <w:color w:val="000000"/>
          <w:sz w:val="24"/>
          <w:szCs w:val="24"/>
          <w:highlight w:val="none"/>
          <w:lang w:val="en-US" w:eastAsia="zh-CN" w:bidi="ar-SA"/>
        </w:rPr>
        <w:t xml:space="preserve">配置</w:t>
      </w:r>
      <w:r>
        <w:rPr>
          <w:rFonts w:hint="eastAsia" w:ascii="宋体" w:hAnsi="宋体" w:eastAsia="宋体" w:cs="宋体"/>
          <w:b/>
          <w:bCs/>
          <w:color w:val="000000"/>
          <w:sz w:val="24"/>
          <w:szCs w:val="24"/>
          <w:highlight w:val="none"/>
          <w:lang w:val="en-US" w:eastAsia="en-US" w:bidi="ar-SA"/>
        </w:rPr>
        <w:t xml:space="preserve">需在投标文件中提供“作业设备（车辆）配置车辆”的承诺文件，否则按照无效投标处理。</w:t>
      </w:r>
      <w:r/>
    </w:p>
    <w:p>
      <w:pPr>
        <w:numPr>
          <w:ilvl w:val="0"/>
          <w:numId w:val="0"/>
        </w:numPr>
        <w:ind w:firstLine="482"/>
        <w:keepLines w:val="0"/>
        <w:keepNext w:val="0"/>
        <w:pageBreakBefore w:val="0"/>
        <w:spacing w:line="288"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b/>
          <w:bCs/>
          <w:color w:val="000000"/>
          <w:sz w:val="24"/>
          <w:szCs w:val="24"/>
          <w:highlight w:val="none"/>
          <w:lang w:val="en-US" w:eastAsia="en-US" w:bidi="ar-SA"/>
        </w:rPr>
        <w:t xml:space="preserve">3）</w:t>
      </w:r>
      <w:r>
        <w:rPr>
          <w:rFonts w:hint="eastAsia" w:ascii="宋体" w:hAnsi="宋体" w:eastAsia="宋体" w:cs="宋体"/>
          <w:b/>
          <w:bCs/>
          <w:color w:val="000000"/>
          <w:sz w:val="24"/>
          <w:szCs w:val="24"/>
          <w:highlight w:val="none"/>
          <w:lang w:val="en-US" w:eastAsia="zh-CN" w:bidi="ar-SA"/>
        </w:rPr>
        <w:t xml:space="preserve">本表为实质性条款，不允许负偏离。</w:t>
      </w:r>
      <w:r/>
    </w:p>
    <w:p>
      <w:pPr>
        <w:ind w:firstLine="482"/>
        <w:jc w:val="left"/>
        <w:spacing w:line="360" w:lineRule="auto"/>
        <w:rPr>
          <w:rFonts w:hint="eastAsia" w:ascii="Times New Roman" w:hAnsi="Times New Roman" w:eastAsia="宋体" w:cs="Times New Roman"/>
          <w:b/>
          <w:bCs/>
          <w:sz w:val="24"/>
          <w:szCs w:val="20"/>
          <w:highlight w:val="none"/>
          <w:lang w:val="en-US" w:eastAsia="zh-CN" w:bidi="ar-SA"/>
        </w:rPr>
        <w:suppressLineNumbers/>
      </w:pPr>
      <w:r>
        <w:rPr>
          <w:rFonts w:hint="eastAsia" w:ascii="Times New Roman" w:hAnsi="Times New Roman" w:eastAsia="宋体" w:cs="Times New Roman"/>
          <w:b/>
          <w:bCs/>
          <w:sz w:val="24"/>
          <w:szCs w:val="20"/>
          <w:highlight w:val="none"/>
          <w:lang w:val="en-US" w:eastAsia="zh-CN" w:bidi="ar-SA"/>
        </w:rPr>
        <w:t xml:space="preserve">（三）设备配置要求</w:t>
      </w:r>
      <w:r/>
    </w:p>
    <w:p>
      <w:pPr>
        <w:ind w:firstLine="480"/>
        <w:spacing w:line="360" w:lineRule="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1.垃圾桶配置：根据需求配置垃圾桶，采用240L市政专用分类式脚踏垃圾桶，每年更换一次(必要时随时更换)。</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五、作业质量标准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作业质量应达到住建部《城市环境卫生质量标准》和《</w:t>
      </w:r>
      <w:r>
        <w:rPr>
          <w:rFonts w:hint="eastAsia" w:ascii="宋体" w:hAnsi="宋体" w:eastAsia="宋体" w:cs="宋体"/>
          <w:sz w:val="24"/>
          <w:szCs w:val="24"/>
          <w:highlight w:val="none"/>
          <w:lang w:eastAsia="zh-CN"/>
        </w:rPr>
        <w:t xml:space="preserve">丰县华山镇区</w:t>
      </w:r>
      <w:r>
        <w:rPr>
          <w:rFonts w:hint="eastAsia" w:ascii="宋体" w:hAnsi="宋体" w:eastAsia="宋体" w:cs="宋体"/>
          <w:sz w:val="24"/>
          <w:szCs w:val="24"/>
          <w:highlight w:val="none"/>
        </w:rPr>
        <w:t xml:space="preserve">环境卫生检查考核实施细则》的要求。具体如下：</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（一）人工保洁(详见考核细则)</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1.人工普扫。</w:t>
      </w:r>
      <w:r>
        <w:rPr>
          <w:rFonts w:hint="eastAsia" w:ascii="宋体" w:hAnsi="宋体" w:eastAsia="宋体" w:cs="宋体"/>
          <w:sz w:val="24"/>
          <w:szCs w:val="24"/>
          <w:highlight w:val="none"/>
        </w:rPr>
        <w:t xml:space="preserve">道路及街巷人工普扫时间为早上</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至</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在普扫结束时间之前必须完成首次路面普扫和垃圾清运工作</w:t>
      </w:r>
      <w:r>
        <w:rPr>
          <w:rFonts w:hint="eastAsia" w:ascii="宋体" w:hAnsi="宋体" w:eastAsia="宋体" w:cs="宋体"/>
          <w:sz w:val="24"/>
          <w:szCs w:val="24"/>
          <w:highlight w:val="none"/>
          <w:lang w:val="en-US" w:eastAsia="zh-CN"/>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2.巡回保洁。</w:t>
      </w:r>
      <w:r>
        <w:rPr>
          <w:rFonts w:hint="eastAsia" w:ascii="宋体" w:hAnsi="宋体" w:eastAsia="宋体" w:cs="宋体"/>
          <w:sz w:val="24"/>
          <w:szCs w:val="24"/>
          <w:highlight w:val="none"/>
        </w:rPr>
        <w:t xml:space="preserve">道路普扫结束后，转入正常巡回保洁。主次干道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背街小巷道路</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：00至</w:t>
      </w: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：00至</w:t>
      </w:r>
      <w:r>
        <w:rPr>
          <w:rFonts w:hint="eastAsia" w:ascii="宋体" w:hAnsi="宋体" w:eastAsia="宋体" w:cs="宋体"/>
          <w:sz w:val="24"/>
          <w:szCs w:val="24"/>
          <w:highlight w:val="none"/>
          <w:lang w:val="en-US" w:eastAsia="zh-CN"/>
        </w:rPr>
        <w:t xml:space="preserve">17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。街巷的巡回保洁时间和相连的道路的保洁时间同步。商业街、学校周边、广场等区域原则上要求随时保洁，确保人走地面净。</w:t>
      </w:r>
      <w:r/>
    </w:p>
    <w:p>
      <w:pPr>
        <w:ind w:firstLine="482"/>
        <w:spacing w:after="12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（二）机械化作业</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机械普扫和保洁。</w:t>
      </w:r>
      <w:r>
        <w:rPr>
          <w:rFonts w:hint="eastAsia" w:ascii="宋体" w:hAnsi="宋体" w:eastAsia="宋体" w:cs="宋体"/>
          <w:sz w:val="24"/>
          <w:szCs w:val="24"/>
          <w:highlight w:val="none"/>
        </w:rPr>
        <w:t xml:space="preserve">每日对道路快慢车道机械普扫和保洁不低于2次，时间为：早上5：00至7：00，下午15：30至18：00。速度不得高于8公里/小时，要求按道路单边进行作业，来回各一次。</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bCs/>
          <w:sz w:val="24"/>
          <w:szCs w:val="24"/>
          <w:highlight w:val="none"/>
        </w:rPr>
        <w:t xml:space="preserve">道路冲刷和洒水。</w:t>
      </w:r>
      <w:r>
        <w:rPr>
          <w:rFonts w:hint="eastAsia" w:ascii="宋体" w:hAnsi="宋体" w:eastAsia="宋体" w:cs="宋体"/>
          <w:sz w:val="24"/>
          <w:szCs w:val="24"/>
          <w:highlight w:val="none"/>
        </w:rPr>
        <w:t xml:space="preserve">最低气温高于5摄氏度的天气，每天洒水降尘不低于</w:t>
      </w: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sz w:val="24"/>
          <w:szCs w:val="24"/>
          <w:highlight w:val="none"/>
        </w:rPr>
        <w:t xml:space="preserve">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bCs/>
          <w:sz w:val="24"/>
          <w:szCs w:val="24"/>
          <w:highlight w:val="none"/>
        </w:rPr>
        <w:t xml:space="preserve">果壳箱、垃圾收集容器保洁和垃圾清运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b/>
          <w:bCs/>
          <w:sz w:val="24"/>
          <w:szCs w:val="24"/>
          <w:highlight w:val="none"/>
        </w:rPr>
        <w:t xml:space="preserve">杂物清理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对快慢车道、人行道、树穴、墙根、地面空调外机周围等处的砖头、石块等杂物要及时进行清理，保证道路路面及两侧干净整齐。</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（五）野广告清理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确保每天早上8:00完成清理工作。</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（六）护栏清洗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对所有接管道路的护栏要进行冲洗或人工擦洗，保持干净整洁。安排专人巡回检查，如有损坏、倒地等影响交通的现象，须及时通知市政管理单位。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（七）公厕管理（详见</w:t>
      </w:r>
      <w:r>
        <w:rPr>
          <w:rFonts w:hint="eastAsia" w:ascii="宋体" w:hAnsi="宋体" w:eastAsia="宋体" w:cs="宋体"/>
          <w:b/>
          <w:sz w:val="24"/>
          <w:szCs w:val="24"/>
          <w:highlight w:val="none"/>
          <w:lang w:val="en-US" w:eastAsia="zh-CN"/>
        </w:rPr>
        <w:t xml:space="preserve">合同主要条款及内容</w:t>
      </w:r>
      <w:r>
        <w:rPr>
          <w:rFonts w:hint="eastAsia" w:ascii="宋体" w:hAnsi="宋体" w:eastAsia="宋体" w:cs="宋体"/>
          <w:b/>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1、公厕全天候24小时免费开放公厕，及时保洁、清理污物；水电正常。</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4、定时喷洒灭蚊蝇药物，做到随有随灭，确保无蚊蝇；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5、公厕内暴露管道外部及时擦拭，保持清洁卫生；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6、清扫保洁时应设置提示标志，冬季保洁时地面不结冰；</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7、室内地面及室外周围10米内环境整洁，无杂物杂草、无乱搭乱建；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8、每日喷洒消毒药水不少于2次，并保持通风良好，除异味方式不低于两种； </w:t>
      </w:r>
      <w:r/>
    </w:p>
    <w:p>
      <w:pPr>
        <w:ind w:firstLine="48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9、管理间物品摆放有序，干净整洁，保洁工具不得随意。</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10、服务期内公厕设施零星配件的维修，采购、更换等（不包括基础设施）。</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（八）</w:t>
      </w:r>
      <w:r>
        <w:rPr>
          <w:rFonts w:hint="eastAsia" w:ascii="宋体" w:hAnsi="宋体" w:eastAsia="宋体" w:cs="宋体"/>
          <w:b/>
          <w:sz w:val="24"/>
          <w:szCs w:val="24"/>
          <w:highlight w:val="none"/>
        </w:rPr>
        <w:t xml:space="preserve">绿化养护管理规范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养护范围内的树木、花 卉、草坪、地被植物、水生植物、竹类等养护与管理。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1、日常固定保洁及养护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按照项目要求人员标准组成养护队伍，对</w:t>
      </w:r>
      <w:r>
        <w:rPr>
          <w:rFonts w:hint="eastAsia" w:ascii="宋体" w:hAnsi="宋体" w:eastAsia="宋体" w:cs="宋体"/>
          <w:bCs/>
          <w:sz w:val="24"/>
          <w:szCs w:val="24"/>
          <w:highlight w:val="none"/>
          <w:lang w:eastAsia="zh-CN"/>
        </w:rPr>
        <w:t xml:space="preserve">范围内</w:t>
      </w:r>
      <w:r>
        <w:rPr>
          <w:rFonts w:hint="eastAsia" w:ascii="宋体" w:hAnsi="宋体" w:eastAsia="宋体" w:cs="宋体"/>
          <w:bCs/>
          <w:sz w:val="24"/>
          <w:szCs w:val="24"/>
          <w:highlight w:val="none"/>
        </w:rPr>
        <w:t xml:space="preserve">绿化进行日常养护管理，包括对植物进行修剪、施肥、浇水、除草、抹芽、病虫害防治等，做到花草繁茂、树木旺盛，花卉、苗木要无死枝、枯枝，并保证绿化区域无树枝、树叶、草屑、纸屑、塑料袋等垃圾。</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2、季节性突击养护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做好季节性突击养护临时用工计划，做好旱季防旱、雨季防涝、冬季防冻工作，保证花草树木成活。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病虫害控制</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绿地的病虫害控制和分类见表1</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表1绿地的病虫害控制和分类</w:t>
      </w:r>
      <w:r/>
    </w:p>
    <w:tbl>
      <w:tblPr>
        <w:tblStyle w:val="797"/>
        <w:tblW w:w="10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350"/>
        <w:gridCol w:w="1000"/>
        <w:gridCol w:w="1516"/>
        <w:gridCol w:w="1800"/>
        <w:gridCol w:w="1417"/>
        <w:gridCol w:w="1208"/>
      </w:tblGrid>
      <w:tr>
        <w:trPr>
          <w:cantSplit/>
          <w:jc w:val="center"/>
          <w:trHeight w:val="339"/>
        </w:trPr>
        <w:tc>
          <w:tcPr>
            <w:tcW w:w="814" w:type="dxa"/>
            <w:vAlign w:val="center"/>
            <w:vMerge w:val="restart"/>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绿地级别</w:t>
            </w:r>
            <w:r/>
          </w:p>
        </w:tc>
        <w:tc>
          <w:tcPr>
            <w:tcW w:w="2350" w:type="dxa"/>
            <w:vAlign w:val="center"/>
            <w:vMerge w:val="restart"/>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总体要求</w:t>
            </w:r>
            <w:r/>
          </w:p>
        </w:tc>
        <w:tc>
          <w:tcPr>
            <w:gridSpan w:val="5"/>
            <w:tcW w:w="6941"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类别</w:t>
            </w:r>
            <w:r/>
          </w:p>
        </w:tc>
      </w:tr>
      <w:tr>
        <w:trPr>
          <w:cantSplit/>
          <w:jc w:val="center"/>
          <w:trHeight w:val="1674"/>
        </w:trPr>
        <w:tc>
          <w:tcPr>
            <w:tcW w:w="814" w:type="dxa"/>
            <w:vAlign w:val="center"/>
            <w:vMerge w:val="continue"/>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2350" w:type="dxa"/>
            <w:vAlign w:val="center"/>
            <w:vMerge w:val="continue"/>
            <w:textDirection w:val="lrTb"/>
            <w:noWrap w:val="false"/>
          </w:tcPr>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0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蛀干</w:t>
            </w:r>
            <w:r/>
          </w:p>
        </w:tc>
        <w:tc>
          <w:tcPr>
            <w:tcW w:w="1516"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刺吸类(平均每10cm枝条上)</w:t>
            </w:r>
            <w:r/>
          </w:p>
        </w:tc>
        <w:tc>
          <w:tcPr>
            <w:tcW w:w="18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地下害虫（平均每1m2绿地内）</w:t>
            </w:r>
            <w:r/>
          </w:p>
        </w:tc>
        <w:tc>
          <w:tcPr>
            <w:tcW w:w="1417"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食叶类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（平均每50cm枝条上）</w:t>
            </w:r>
            <w:r/>
          </w:p>
        </w:tc>
        <w:tc>
          <w:tcPr>
            <w:tcW w:w="1208"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病害（所有植株）</w:t>
            </w:r>
            <w:r/>
          </w:p>
        </w:tc>
      </w:tr>
      <w:tr>
        <w:trPr>
          <w:jc w:val="center"/>
        </w:trPr>
        <w:tc>
          <w:tcPr>
            <w:tcW w:w="814"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三级</w:t>
            </w:r>
            <w:r/>
          </w:p>
        </w:tc>
        <w:tc>
          <w:tcPr>
            <w:tcW w:w="235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病虫害控制比较及时，平均每100株树木病虫危害不超过10株，100m2绿篱、草坪病虫危害不超过10%</w:t>
            </w:r>
            <w:r/>
          </w:p>
        </w:tc>
        <w:tc>
          <w:tcPr>
            <w:tcW w:w="10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无活卵、活虫</w:t>
            </w:r>
            <w:r/>
          </w:p>
        </w:tc>
        <w:tc>
          <w:tcPr>
            <w:tcW w:w="1516"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不得超过15头</w:t>
            </w:r>
            <w:r/>
          </w:p>
        </w:tc>
        <w:tc>
          <w:tcPr>
            <w:tcW w:w="1800"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不超过10头</w:t>
            </w:r>
            <w:r/>
          </w:p>
        </w:tc>
        <w:tc>
          <w:tcPr>
            <w:tcW w:w="1417"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不超过5头</w:t>
            </w:r>
            <w:r/>
          </w:p>
        </w:tc>
        <w:tc>
          <w:tcPr>
            <w:tcW w:w="1208"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10%以下</w:t>
            </w:r>
            <w:r/>
          </w:p>
        </w:tc>
      </w:tr>
    </w:tbl>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4、修剪</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绿地内枯死枝、株应及时修剪、清理；修剪清理后的枝、叶应及时清除干净。</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 灌水、排涝</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应根据当地气候特点、土壤状况、植物特性等适时适量浇水，促其正常生长。浇水前应先检查土壤含水量。</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除草</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在植物生长季节，要不间断地进行中耕除草，应除小、除早、除了。杂草要集中处理，并及时清运。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施肥</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应根据园林树木生长需要和土壤肥力情况，合理施肥，平衡土壤中各种矿质营养元素，保持土壤肥力和合理结构。园林树木的施用时要用量准确，并充分粉碎，与土壤混合后要撒施均匀，随即浇水，无肥料裸露现象。</w:t>
      </w:r>
      <w:r/>
    </w:p>
    <w:p>
      <w:pPr>
        <w:ind w:firstLine="482"/>
        <w:spacing w:line="360" w:lineRule="auto"/>
        <w:tabs>
          <w:tab w:val="left" w:pos="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、其他要求</w:t>
      </w:r>
      <w:r/>
    </w:p>
    <w:p>
      <w:pPr>
        <w:rPr>
          <w:color w:val="auto"/>
          <w:highlight w:val="none"/>
        </w:rPr>
      </w:pPr>
      <w:r>
        <w:rPr>
          <w:rFonts w:hint="eastAsia" w:ascii="宋体" w:hAnsi="宋体" w:eastAsia="宋体" w:cs="宋体"/>
          <w:b/>
          <w:sz w:val="24"/>
          <w:szCs w:val="24"/>
          <w:highlight w:val="none"/>
          <w:lang w:val="en-US" w:eastAsia="zh-CN" w:bidi="ar-SA"/>
        </w:rPr>
        <w:t xml:space="preserve">其他未尽事宜以双方实际签订合同为准，最终满足采购方要求</w:t>
      </w:r>
      <w:r>
        <w:rPr>
          <w:rFonts w:hint="eastAsia" w:ascii="宋体" w:hAnsi="宋体" w:cs="宋体"/>
          <w:b/>
          <w:sz w:val="24"/>
          <w:szCs w:val="24"/>
          <w:highlight w:val="none"/>
          <w:lang w:val="en-US" w:eastAsia="zh-CN" w:bidi="ar-SA"/>
        </w:rPr>
        <w:t xml:space="preserve">。</w:t>
      </w:r>
      <w:r/>
    </w:p>
    <w:p>
      <w:pPr>
        <w:pStyle w:val="803"/>
        <w:rPr>
          <w:color w:val="auto"/>
          <w:highlight w:val="none"/>
        </w:rPr>
      </w:pPr>
      <w:r>
        <w:rPr>
          <w:color w:val="auto"/>
          <w:highlight w:val="none"/>
        </w:rPr>
      </w:r>
      <w:r/>
    </w:p>
    <w:p>
      <w:pPr>
        <w:pStyle w:val="803"/>
        <w:rPr>
          <w:color w:val="auto"/>
          <w:highlight w:val="none"/>
        </w:rPr>
      </w:pPr>
      <w:r>
        <w:rPr>
          <w:color w:val="auto"/>
          <w:highlight w:val="none"/>
        </w:rPr>
      </w:r>
      <w:r/>
    </w:p>
    <w:p>
      <w:pPr>
        <w:pStyle w:val="803"/>
        <w:rPr>
          <w:color w:val="auto"/>
          <w:highlight w:val="none"/>
        </w:rPr>
      </w:pPr>
      <w:r>
        <w:rPr>
          <w:color w:val="auto"/>
          <w:highlight w:val="none"/>
        </w:rPr>
      </w:r>
      <w:r/>
    </w:p>
    <w:p>
      <w:pPr>
        <w:pStyle w:val="803"/>
        <w:rPr>
          <w:color w:val="auto"/>
          <w:highlight w:val="none"/>
        </w:rPr>
      </w:pPr>
      <w:r>
        <w:rPr>
          <w:color w:val="auto"/>
          <w:highlight w:val="none"/>
        </w:rPr>
      </w:r>
      <w:r/>
    </w:p>
    <w:p>
      <w:pPr>
        <w:pStyle w:val="803"/>
        <w:rPr>
          <w:color w:val="auto"/>
          <w:highlight w:val="none"/>
        </w:rPr>
      </w:pPr>
      <w:r>
        <w:rPr>
          <w:color w:val="auto"/>
          <w:highlight w:val="none"/>
        </w:rPr>
      </w:r>
      <w:r/>
    </w:p>
    <w:p>
      <w:pPr>
        <w:pStyle w:val="787"/>
        <w:rPr>
          <w:color w:val="auto"/>
          <w:highlight w:val="none"/>
        </w:rPr>
      </w:pPr>
      <w:r/>
      <w:bookmarkStart w:id="8" w:name="_Toc1056"/>
      <w:r>
        <w:rPr>
          <w:color w:val="auto"/>
          <w:highlight w:val="none"/>
        </w:rPr>
        <w:t xml:space="preserve">第七章 投标文件相关格式</w:t>
      </w:r>
      <w:bookmarkEnd w:id="8"/>
      <w:r/>
      <w:r/>
    </w:p>
    <w:p>
      <w:pPr>
        <w:pStyle w:val="788"/>
        <w:rPr>
          <w:color w:val="auto"/>
          <w:highlight w:val="none"/>
        </w:rPr>
      </w:pPr>
      <w:r>
        <w:rPr>
          <w:rFonts w:hint="eastAsia"/>
          <w:color w:val="auto"/>
          <w:highlight w:val="none"/>
        </w:rPr>
        <w:t xml:space="preserve">一、投标函</w:t>
      </w:r>
      <w:r/>
    </w:p>
    <w:p>
      <w:pPr>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徐州众信项目管理咨询有限公司</w:t>
      </w:r>
      <w:r/>
    </w:p>
    <w:p>
      <w:pPr>
        <w:ind w:firstLine="480"/>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徐州众信项目管理咨询有限公司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徐州众信项目管理咨询有限公司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lang w:val="en-US" w:eastAsia="zh-CN"/>
        </w:rPr>
        <w:t xml:space="preserve">移动</w:t>
      </w: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88"/>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color w:val="auto"/>
          <w:highlight w:val="none"/>
        </w:rPr>
      </w:pPr>
      <w:r>
        <w:rPr>
          <w:color w:val="auto"/>
          <w:highlight w:val="none"/>
        </w:rPr>
        <w:t xml:space="preserve">项目名称：</w:t>
      </w:r>
      <w:r>
        <w:rPr>
          <w:rFonts w:hint="eastAsia"/>
          <w:color w:val="auto"/>
          <w:highlight w:val="none"/>
          <w:lang w:eastAsia="zh-CN"/>
        </w:rPr>
        <w:t xml:space="preserve">丰县华山镇镇区保洁及绿化养护项目</w:t>
      </w:r>
      <w:r/>
    </w:p>
    <w:p>
      <w:pPr>
        <w:jc w:val="both"/>
        <w:rPr>
          <w:color w:val="auto"/>
          <w:highlight w:val="none"/>
        </w:rPr>
      </w:pPr>
      <w:r>
        <w:rPr>
          <w:color w:val="auto"/>
          <w:highlight w:val="none"/>
        </w:rPr>
        <w:t xml:space="preserve">项目编号</w:t>
      </w:r>
      <w:r>
        <w:rPr>
          <w:rFonts w:hint="eastAsia"/>
          <w:color w:val="auto"/>
          <w:highlight w:val="none"/>
          <w:lang w:eastAsia="zh-CN"/>
        </w:rPr>
        <w:t xml:space="preserve">JSZC-320321-XZZX-G2024-0025</w:t>
      </w:r>
      <w:r>
        <w:rPr>
          <w:rFonts w:hint="eastAsia"/>
          <w:color w:val="auto"/>
          <w:highlight w:val="none"/>
          <w:lang w:val="en-US" w:eastAsia="zh-CN"/>
        </w:rPr>
        <w:t xml:space="preserve">                  </w:t>
      </w:r>
      <w:r>
        <w:rPr>
          <w:color w:val="auto"/>
          <w:highlight w:val="none"/>
        </w:rPr>
        <w:t xml:space="preserve">货币单位：人民币元</w:t>
      </w:r>
      <w:r/>
    </w:p>
    <w:p>
      <w:pPr>
        <w:jc w:val="right"/>
        <w:rPr>
          <w:color w:val="auto"/>
          <w:highlight w:val="none"/>
        </w:rPr>
      </w:pPr>
      <w:r>
        <w:rPr>
          <w:color w:val="auto"/>
          <w:highlight w:val="none"/>
        </w:rPr>
      </w:r>
      <w:r/>
    </w:p>
    <w:tbl>
      <w:tblPr>
        <w:tblStyle w:val="797"/>
        <w:tblW w:w="84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pStyle w:val="835"/>
              <w:jc w:val="center"/>
              <w:rPr>
                <w:rFonts w:ascii="宋体" w:hAnsi="宋体"/>
                <w:color w:val="auto"/>
                <w:sz w:val="24"/>
                <w:highlight w:val="none"/>
              </w:rPr>
            </w:pPr>
            <w:r>
              <w:rPr>
                <w:rFonts w:ascii="宋体" w:hAnsi="宋体"/>
                <w:color w:val="auto"/>
                <w:sz w:val="24"/>
                <w:highlight w:val="none"/>
              </w:rPr>
              <w:t xml:space="preserve">项目名称</w:t>
            </w:r>
            <w:r/>
          </w:p>
        </w:tc>
        <w:tc>
          <w:tcPr>
            <w:tcW w:w="2702" w:type="dxa"/>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2824" w:type="dxa"/>
            <w:vAlign w:val="center"/>
            <w:textDirection w:val="lrTb"/>
            <w:noWrap w:val="false"/>
          </w:tcPr>
          <w:p>
            <w:pPr>
              <w:pStyle w:val="835"/>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（小写）</w:t>
            </w:r>
            <w:r/>
          </w:p>
        </w:tc>
      </w:tr>
      <w:tr>
        <w:trPr>
          <w:cantSplit/>
          <w:jc w:val="center"/>
          <w:trHeight w:val="2138"/>
        </w:trPr>
        <w:tc>
          <w:tcPr>
            <w:tcW w:w="2908" w:type="dxa"/>
            <w:vAlign w:val="center"/>
            <w:textDirection w:val="lrTb"/>
            <w:noWrap w:val="false"/>
          </w:tcPr>
          <w:p>
            <w:pPr>
              <w:pStyle w:val="835"/>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丰县华山镇镇区保洁及绿化养护项目</w:t>
            </w:r>
            <w:r/>
          </w:p>
        </w:tc>
        <w:tc>
          <w:tcPr>
            <w:tcBorders>
              <w:right w:val="single" w:color="auto" w:sz="4" w:space="0"/>
            </w:tcBorders>
            <w:tcW w:w="2702" w:type="dxa"/>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详见投标文件</w:t>
            </w:r>
            <w:r/>
          </w:p>
        </w:tc>
        <w:tc>
          <w:tcPr>
            <w:tcBorders>
              <w:left w:val="single" w:color="auto" w:sz="4" w:space="0"/>
            </w:tcBorders>
            <w:tcW w:w="2824" w:type="dxa"/>
            <w:vAlign w:val="center"/>
            <w:textDirection w:val="lrTb"/>
            <w:noWrap w:val="false"/>
          </w:tcPr>
          <w:p>
            <w:pPr>
              <w:pStyle w:val="835"/>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2908" w:type="dxa"/>
            <w:vAlign w:val="center"/>
            <w:textDirection w:val="lrTb"/>
            <w:noWrap w:val="false"/>
          </w:tcPr>
          <w:p>
            <w:pPr>
              <w:pStyle w:val="835"/>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（大写）：</w:t>
            </w:r>
            <w:r/>
          </w:p>
        </w:tc>
        <w:tc>
          <w:tcPr>
            <w:gridSpan w:val="2"/>
            <w:tcW w:w="5526" w:type="dxa"/>
            <w:vAlign w:val="center"/>
            <w:textDirection w:val="lrTb"/>
            <w:noWrap w:val="false"/>
          </w:tcPr>
          <w:p>
            <w:pPr>
              <w:pStyle w:val="835"/>
              <w:jc w:val="center"/>
              <w:rPr>
                <w:rFonts w:ascii="宋体" w:hAnsi="宋体"/>
                <w:color w:val="auto"/>
                <w:sz w:val="24"/>
                <w:highlight w:val="none"/>
              </w:rPr>
            </w:pPr>
            <w:r>
              <w:rPr>
                <w:rFonts w:ascii="宋体" w:hAnsi="宋体"/>
                <w:color w:val="auto"/>
                <w:sz w:val="24"/>
                <w:highlight w:val="none"/>
              </w:rPr>
            </w:r>
            <w:r/>
          </w:p>
        </w:tc>
      </w:tr>
    </w:tbl>
    <w:p>
      <w:pPr>
        <w:pStyle w:val="835"/>
        <w:rPr>
          <w:rFonts w:ascii="宋体" w:hAnsi="宋体"/>
          <w:b/>
          <w:color w:val="auto"/>
          <w:sz w:val="24"/>
          <w:highlight w:val="none"/>
        </w:rPr>
      </w:pPr>
      <w:r>
        <w:rPr>
          <w:rFonts w:ascii="宋体" w:hAnsi="宋体"/>
          <w:b/>
          <w:color w:val="auto"/>
          <w:sz w:val="24"/>
          <w:highlight w:val="none"/>
        </w:rPr>
      </w:r>
      <w:r/>
    </w:p>
    <w:p>
      <w:pPr>
        <w:pStyle w:val="835"/>
        <w:rPr>
          <w:rFonts w:ascii="宋体" w:hAnsi="宋体"/>
          <w:color w:val="auto"/>
          <w:sz w:val="24"/>
          <w:highlight w:val="none"/>
        </w:rPr>
      </w:pPr>
      <w:r>
        <w:rPr>
          <w:rFonts w:ascii="宋体" w:hAnsi="宋体"/>
          <w:color w:val="auto"/>
          <w:sz w:val="24"/>
          <w:highlight w:val="none"/>
        </w:rPr>
      </w:r>
      <w:r/>
    </w:p>
    <w:p>
      <w:pPr>
        <w:pStyle w:val="836"/>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836"/>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836"/>
        <w:jc w:val="left"/>
        <w:spacing w:line="520" w:lineRule="exact"/>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36"/>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835"/>
        <w:ind w:firstLine="2760"/>
        <w:spacing w:line="480" w:lineRule="exact"/>
        <w:rPr>
          <w:rFonts w:ascii="宋体" w:hAnsi="宋体"/>
          <w:color w:val="auto"/>
          <w:sz w:val="24"/>
          <w:highlight w:val="none"/>
        </w:rPr>
      </w:pPr>
      <w:r>
        <w:rPr>
          <w:rFonts w:ascii="宋体" w:hAnsi="宋体"/>
          <w:color w:val="auto"/>
          <w:sz w:val="24"/>
          <w:highlight w:val="none"/>
        </w:rPr>
      </w:r>
      <w:r/>
    </w:p>
    <w:p>
      <w:pPr>
        <w:pStyle w:val="835"/>
        <w:ind w:firstLine="2760"/>
        <w:spacing w:line="480" w:lineRule="exact"/>
        <w:rPr>
          <w:rFonts w:ascii="宋体" w:hAnsi="宋体"/>
          <w:color w:val="auto"/>
          <w:sz w:val="24"/>
          <w:highlight w:val="none"/>
        </w:rPr>
      </w:pPr>
      <w:r>
        <w:rPr>
          <w:rFonts w:ascii="宋体" w:hAnsi="宋体"/>
          <w:color w:val="auto"/>
          <w:sz w:val="24"/>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rPr>
          <w:color w:val="auto"/>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color w:val="auto"/>
          <w:highlight w:val="none"/>
        </w:rPr>
      </w:r>
      <w:r/>
    </w:p>
    <w:p>
      <w:pPr>
        <w:pStyle w:val="827"/>
        <w:rPr>
          <w:highlight w:val="none"/>
        </w:rPr>
      </w:pPr>
      <w:r>
        <w:rPr>
          <w:highlight w:val="none"/>
        </w:rPr>
      </w:r>
      <w:r/>
    </w:p>
    <w:p>
      <w:pPr>
        <w:pStyle w:val="788"/>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丰县华山镇镇区保洁及绿化养护项目</w:t>
      </w:r>
      <w:r>
        <w:rPr>
          <w:rFonts w:hint="eastAsia"/>
          <w:color w:val="auto"/>
          <w:highlight w:val="none"/>
        </w:rPr>
        <w:t xml:space="preserve">  </w:t>
      </w:r>
      <w:r/>
    </w:p>
    <w:p>
      <w:pPr>
        <w:jc w:val="right"/>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JSZC-320321-XZZX-G2024-0025</w:t>
      </w:r>
      <w:r>
        <w:rPr>
          <w:rFonts w:hint="eastAsia"/>
          <w:color w:val="auto"/>
          <w:highlight w:val="none"/>
        </w:rPr>
        <w:t xml:space="preserve">货币单位：人民币元</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eastAsia="宋体"/>
          <w:color w:val="auto"/>
          <w:sz w:val="36"/>
          <w:szCs w:val="24"/>
          <w:highlight w:val="none"/>
          <w:lang w:eastAsia="zh-CN"/>
        </w:rPr>
      </w:pPr>
      <w:r>
        <w:rPr>
          <w:rFonts w:hint="eastAsia"/>
          <w:color w:val="auto"/>
          <w:sz w:val="36"/>
          <w:szCs w:val="24"/>
          <w:highlight w:val="none"/>
          <w:lang w:eastAsia="zh-CN"/>
        </w:rPr>
        <w:t xml:space="preserve">（</w:t>
      </w:r>
      <w:r>
        <w:rPr>
          <w:rFonts w:hint="eastAsia"/>
          <w:color w:val="auto"/>
          <w:sz w:val="36"/>
          <w:szCs w:val="24"/>
          <w:highlight w:val="none"/>
          <w:lang w:val="en-US" w:eastAsia="zh-CN"/>
        </w:rPr>
        <w:t xml:space="preserve">格式自拟</w:t>
      </w:r>
      <w:r>
        <w:rPr>
          <w:rFonts w:hint="eastAsia"/>
          <w:color w:val="auto"/>
          <w:sz w:val="36"/>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徐州众信项目管理咨询有限公司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rFonts w:hint="eastAsia"/>
          <w:color w:val="auto"/>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color w:val="auto"/>
          <w:highlight w:val="none"/>
        </w:rPr>
      </w:r>
      <w:r/>
    </w:p>
    <w:p>
      <w:pPr>
        <w:pStyle w:val="788"/>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丰县华山镇镇区保洁及绿化养护项目</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JSZC-320321-XZZX-G2024-0025</w:t>
      </w:r>
      <w:r/>
    </w:p>
    <w:tbl>
      <w:tblPr>
        <w:tblStyle w:val="797"/>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35"/>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35"/>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ind w:left="200"/>
        <w:pageBreakBefore w:val="0"/>
        <w:spacing w:line="360" w:lineRule="auto"/>
        <w:rPr>
          <w:rFonts w:hint="default" w:ascii="宋体" w:hAnsi="宋体" w:eastAsia="宋体" w:cs="宋体"/>
          <w:b/>
          <w:bCs/>
          <w:sz w:val="24"/>
          <w:highlight w:val="none"/>
          <w:u w:val="single"/>
        </w:rPr>
      </w:pPr>
      <w:r>
        <w:rPr>
          <w:rFonts w:hint="default" w:ascii="宋体" w:hAnsi="宋体" w:eastAsia="宋体" w:cs="Times New Roman"/>
          <w:b/>
          <w:bCs/>
          <w:sz w:val="24"/>
          <w:highlight w:val="none"/>
          <w:u w:val="single"/>
        </w:rPr>
        <w:t xml:space="preserve">注：1、</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的首次</w:t>
      </w:r>
      <w:r>
        <w:rPr>
          <w:rFonts w:hint="eastAsia" w:ascii="宋体" w:hAnsi="宋体" w:eastAsia="宋体" w:cs="Times New Roman"/>
          <w:b/>
          <w:bCs/>
          <w:sz w:val="24"/>
          <w:highlight w:val="none"/>
          <w:u w:val="single"/>
          <w:lang w:eastAsia="zh-CN"/>
        </w:rPr>
        <w:t xml:space="preserve">投标文件</w:t>
      </w:r>
      <w:r>
        <w:rPr>
          <w:rFonts w:hint="default" w:ascii="宋体" w:hAnsi="宋体" w:eastAsia="宋体" w:cs="Times New Roman"/>
          <w:b/>
          <w:bCs/>
          <w:sz w:val="24"/>
          <w:highlight w:val="none"/>
          <w:u w:val="single"/>
        </w:rPr>
        <w:t xml:space="preserve">中的内容与</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（含</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的澄清或者修改，下同）的要求不同时，逐条列在偏离表中，否则将认为</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接受</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的要求。</w:t>
      </w:r>
      <w:r/>
    </w:p>
    <w:p>
      <w:pPr>
        <w:ind w:left="200"/>
        <w:pageBreakBefore w:val="0"/>
        <w:spacing w:line="360" w:lineRule="auto"/>
        <w:rPr>
          <w:rFonts w:hint="default" w:ascii="Times New Roman" w:hAnsi="Times New Roman" w:eastAsia="宋体" w:cs="Times New Roman"/>
          <w:b/>
          <w:bCs/>
          <w:sz w:val="20"/>
          <w:highlight w:val="none"/>
          <w:u w:val="single"/>
        </w:rPr>
      </w:pPr>
      <w:r>
        <w:rPr>
          <w:rFonts w:hint="default" w:ascii="宋体" w:hAnsi="宋体" w:eastAsia="宋体" w:cs="Times New Roman"/>
          <w:b/>
          <w:bCs/>
          <w:sz w:val="24"/>
          <w:highlight w:val="none"/>
          <w:u w:val="single"/>
        </w:rPr>
        <w:t xml:space="preserve">2、</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要求中凡标有“</w:t>
      </w:r>
      <w:r>
        <w:rPr>
          <w:rFonts w:hint="eastAsia" w:ascii="宋体" w:hAnsi="宋体" w:eastAsia="宋体" w:cs="宋体"/>
          <w:sz w:val="24"/>
          <w:highlight w:val="none"/>
          <w:u w:val="single"/>
          <w:lang w:eastAsia="zh-CN"/>
        </w:rPr>
        <w:t xml:space="preserve">▲</w:t>
      </w:r>
      <w:r>
        <w:rPr>
          <w:rFonts w:hint="default" w:ascii="宋体" w:hAnsi="宋体" w:eastAsia="宋体" w:cs="Times New Roman"/>
          <w:b/>
          <w:bCs/>
          <w:sz w:val="24"/>
          <w:highlight w:val="none"/>
          <w:u w:val="single"/>
        </w:rPr>
        <w:t xml:space="preserve">”的地方均被视为重要的技术指标要求或性能要求，</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要特别加以注意，应当逐条说明是否满足这些要求。</w:t>
      </w:r>
      <w:r/>
    </w:p>
    <w:p>
      <w:pPr>
        <w:jc w:val="right"/>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88"/>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丰县华山镇镇区保洁及绿化养护项目</w:t>
      </w:r>
      <w:r>
        <w:rPr>
          <w:rFonts w:hint="eastAsia"/>
          <w:color w:val="auto"/>
          <w:highlight w:val="none"/>
        </w:rPr>
        <w:t xml:space="preserve">）项目（项目编号：</w:t>
      </w:r>
      <w:r>
        <w:rPr>
          <w:rFonts w:hint="eastAsia"/>
          <w:color w:val="auto"/>
          <w:highlight w:val="none"/>
          <w:lang w:eastAsia="zh-CN"/>
        </w:rPr>
        <w:t xml:space="preserve">JSZC-320321-HXXM-G2024-0004</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88"/>
        <w:rPr>
          <w:color w:val="auto"/>
          <w:highlight w:val="none"/>
        </w:rPr>
      </w:pPr>
      <w:r>
        <w:rPr>
          <w:color w:val="auto"/>
          <w:highlight w:val="none"/>
        </w:rPr>
        <w:t xml:space="preserve">六、中小企业声明函</w:t>
      </w:r>
      <w:r/>
    </w:p>
    <w:p>
      <w:pPr>
        <w:pStyle w:val="835"/>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丰县华山镇镇区保洁及绿化养护项目</w:t>
      </w:r>
      <w:r>
        <w:rPr>
          <w:rFonts w:ascii="宋体" w:hAnsi="宋体" w:eastAsiaTheme="minorEastAsia"/>
          <w:color w:val="auto"/>
          <w:sz w:val="24"/>
          <w:highlight w:val="none"/>
        </w:rPr>
        <w:t xml:space="preserve">                           </w:t>
      </w:r>
      <w:r/>
    </w:p>
    <w:p>
      <w:pPr>
        <w:pStyle w:val="835"/>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JSZC-320321-HXXM-G2024-0004</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835"/>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丰县华山镇镇区保洁及绿化养护项目</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ind w:firstLine="560"/>
        <w:spacing w:line="480" w:lineRule="exact"/>
        <w:rPr>
          <w:rFonts w:ascii="宋体" w:hAnsi="宋体" w:cs="宋体"/>
          <w:color w:val="auto"/>
          <w:highlight w:val="none"/>
        </w:rPr>
      </w:pPr>
      <w:r>
        <w:rPr>
          <w:rFonts w:ascii="宋体" w:hAnsi="宋体" w:cs="宋体"/>
          <w:color w:val="auto"/>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eastAsia="zh-CN"/>
        </w:rPr>
        <w:t xml:space="preserve">其他未列明行业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w:t>
      </w:r>
      <w:r>
        <w:rPr>
          <w:rFonts w:ascii="宋体" w:hAnsi="宋体" w:cs="宋体"/>
          <w:b/>
          <w:color w:val="000000"/>
          <w:sz w:val="24"/>
          <w:highlight w:val="none"/>
        </w:rPr>
        <w:t xml:space="preserve">“中小企业声明函” 查询渠道用微信搜索“中小企业规模类型自测小程序”。</w:t>
      </w:r>
      <w:r/>
    </w:p>
    <w:p>
      <w:pPr>
        <w:rPr>
          <w:rFonts w:ascii="宋体" w:hAnsi="宋体" w:cs="宋体" w:eastAsiaTheme="minorEastAsia"/>
          <w:color w:val="auto"/>
          <w:highlight w:val="none"/>
        </w:rPr>
      </w:pPr>
      <w:r>
        <w:rPr>
          <w:rFonts w:hint="eastAsia" w:ascii="宋体" w:hAnsi="宋体" w:cs="宋体" w:eastAsiaTheme="minorEastAsia"/>
          <w:color w:val="auto"/>
          <w:highlight w:val="none"/>
        </w:rPr>
        <w:br w:type="page" w:clear="all"/>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827"/>
        <w:jc w:val="center"/>
        <w:rPr>
          <w:color w:val="auto"/>
          <w:highlight w:val="none"/>
        </w:rPr>
      </w:pPr>
      <w:r>
        <w:rPr>
          <w:highlight w:val="none"/>
        </w:rPr>
        <mc:AlternateContent>
          <mc:Choice Requires="wpg">
            <w:drawing>
              <wp:inline xmlns:wp="http://schemas.openxmlformats.org/drawingml/2006/wordprocessingDrawing" distT="0" distB="0" distL="0" distR="0">
                <wp:extent cx="1694815" cy="3488055"/>
                <wp:effectExtent l="0" t="0" r="635" b="17145"/>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r:embed="rId13"/>
                        <a:stretch/>
                      </pic:blipFill>
                      <pic:spPr bwMode="auto">
                        <a:xfrm>
                          <a:off x="0" y="0"/>
                          <a:ext cx="1695234" cy="34882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3.4pt;height:274.6pt;mso-wrap-distance-left:0.0pt;mso-wrap-distance-top:0.0pt;mso-wrap-distance-right:0.0pt;mso-wrap-distance-bottom:0.0pt;" stroked="false">
                <v:path textboxrect="0,0,0,0"/>
                <v:imagedata r:id="rId13" o:title=""/>
              </v:shape>
            </w:pict>
          </mc:Fallback>
        </mc:AlternateContent>
      </w:r>
      <w:r/>
    </w:p>
    <w:p>
      <w:pPr>
        <w:rPr>
          <w:color w:val="auto"/>
          <w:highlight w:val="none"/>
        </w:rPr>
      </w:pPr>
      <w:r>
        <w:rPr>
          <w:rFonts w:hint="eastAsia"/>
          <w:color w:val="auto"/>
          <w:highlight w:val="none"/>
        </w:rPr>
        <w:br w:type="page" w:clear="all"/>
      </w:r>
      <w:r/>
    </w:p>
    <w:p>
      <w:pPr>
        <w:pStyle w:val="788"/>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丰县华山镇镇区保洁及绿化养护项目</w:t>
      </w:r>
      <w:r/>
    </w:p>
    <w:p>
      <w:pPr>
        <w:ind w:firstLine="480"/>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JSZC-320321-XZZX-G2024-0025</w:t>
      </w: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88"/>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丰县华山镇镇区保洁及绿化养护项目</w:t>
      </w:r>
      <w:r>
        <w:rPr>
          <w:rFonts w:hint="eastAsia"/>
          <w:color w:val="auto"/>
          <w:highlight w:val="none"/>
        </w:rPr>
        <w:t xml:space="preserve">（项目编号：</w:t>
      </w:r>
      <w:r>
        <w:rPr>
          <w:rFonts w:hint="eastAsia"/>
          <w:color w:val="auto"/>
          <w:szCs w:val="22"/>
          <w:highlight w:val="none"/>
          <w:lang w:eastAsia="zh-CN"/>
        </w:rPr>
        <w:t xml:space="preserve">JSZC-320321-HXXM-G2024-0004</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88"/>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ind w:firstLine="480"/>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lang w:val="en-US" w:eastAsia="zh-CN"/>
        </w:rPr>
        <w:t xml:space="preserve">      </w:t>
      </w:r>
      <w:r>
        <w:rPr>
          <w:rFonts w:hint="eastAsia"/>
          <w:color w:val="auto"/>
          <w:highlight w:val="none"/>
        </w:rPr>
        <w:t xml:space="preserve">个工作日内，甲方应支付小写￥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lang w:val="en-US" w:eastAsia="zh-CN"/>
        </w:rPr>
        <w:t xml:space="preserve">          </w:t>
      </w:r>
      <w:r>
        <w:rPr>
          <w:rFonts w:hint="eastAsia"/>
          <w:color w:val="auto"/>
          <w:highlight w:val="none"/>
          <w:u w:val="single"/>
        </w:rPr>
        <w:t xml:space="preserve">  。</w:t>
      </w:r>
      <w:r/>
    </w:p>
    <w:p>
      <w:pPr>
        <w:ind w:firstLine="480"/>
        <w:rPr>
          <w:color w:val="auto"/>
          <w:highlight w:val="none"/>
        </w:rPr>
      </w:pPr>
      <w:r>
        <w:rPr>
          <w:rFonts w:hint="eastAsia"/>
          <w:color w:val="auto"/>
          <w:highlight w:val="none"/>
        </w:rPr>
        <w:t xml:space="preserve">乙方需提交的支付文件：乙方出具的正式发票。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ind w:firstLine="480"/>
        <w:rPr>
          <w:color w:val="auto"/>
          <w:highlight w:val="none"/>
        </w:rPr>
      </w:pPr>
      <w:r>
        <w:rPr>
          <w:rFonts w:hint="eastAsia"/>
          <w:color w:val="auto"/>
          <w:highlight w:val="none"/>
        </w:rPr>
        <w:t xml:space="preserve">1、付款条件一中，出具预付款保函后支付的合同款应当与保函金额一致。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845"/>
        <w:rPr>
          <w:color w:val="auto"/>
          <w:highlight w:val="none"/>
        </w:rPr>
      </w:pPr>
      <w:r>
        <w:rPr>
          <w:color w:val="auto"/>
          <w:highlight w:val="none"/>
        </w:rPr>
      </w:r>
      <w:r/>
    </w:p>
    <w:p>
      <w:pPr>
        <w:rPr>
          <w:color w:val="auto"/>
          <w:highlight w:val="none"/>
        </w:rPr>
      </w:pPr>
      <w:r>
        <w:rPr>
          <w:color w:val="auto"/>
          <w:highlight w:val="none"/>
        </w:rPr>
      </w:r>
      <w:r/>
    </w:p>
    <w:p>
      <w:pPr>
        <w:pStyle w:val="788"/>
        <w:rPr>
          <w:b/>
          <w:bCs/>
          <w:color w:val="auto"/>
          <w:szCs w:val="22"/>
          <w:highlight w:val="none"/>
        </w:rPr>
      </w:pPr>
      <w:r>
        <w:rPr>
          <w:rFonts w:hint="eastAsia"/>
          <w:color w:val="auto"/>
          <w:highlight w:val="none"/>
        </w:rPr>
        <w:t xml:space="preserve">十、具备履行合同所必需的设备和专业技术能力的书面声明</w:t>
      </w:r>
      <w:r/>
    </w:p>
    <w:p>
      <w:pPr>
        <w:rPr>
          <w:rFonts w:hint="eastAsia" w:eastAsia="宋体"/>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丰县华山镇镇区保洁及绿化养护项目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JSZC-320321-HXXM-G2024-0004</w:t>
      </w:r>
      <w:r>
        <w:rPr>
          <w:rFonts w:hint="eastAsia"/>
          <w:color w:val="auto"/>
          <w:szCs w:val="22"/>
          <w:highlight w:val="none"/>
        </w:rPr>
        <w:t xml:space="preserve"> </w:t>
      </w:r>
      <w:r/>
    </w:p>
    <w:p>
      <w:pPr>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丰县华山镇镇区保洁及绿化养护项目</w:t>
      </w:r>
      <w:r>
        <w:rPr>
          <w:rFonts w:hint="eastAsia"/>
          <w:color w:val="auto"/>
          <w:szCs w:val="22"/>
          <w:highlight w:val="none"/>
        </w:rPr>
        <w:t xml:space="preserve"> ，项目编号：</w:t>
      </w:r>
      <w:r>
        <w:rPr>
          <w:rFonts w:hint="eastAsia"/>
          <w:color w:val="auto"/>
          <w:szCs w:val="22"/>
          <w:highlight w:val="none"/>
          <w:lang w:eastAsia="zh-CN"/>
        </w:rPr>
        <w:t xml:space="preserve">JSZC-320321-HXXM-G2024-0004</w:t>
      </w:r>
      <w:r>
        <w:rPr>
          <w:rFonts w:hint="eastAsia"/>
          <w:color w:val="auto"/>
          <w:szCs w:val="22"/>
          <w:highlight w:val="none"/>
        </w:rPr>
        <w:t xml:space="preserve"> ）所必需的</w:t>
      </w:r>
      <w:r>
        <w:rPr>
          <w:rFonts w:hint="eastAsia"/>
          <w:color w:val="auto"/>
          <w:szCs w:val="22"/>
          <w:highlight w:val="none"/>
          <w:lang w:val="en-US" w:eastAsia="zh-CN"/>
        </w:rPr>
        <w:t xml:space="preserve">设备和</w:t>
      </w:r>
      <w:r>
        <w:rPr>
          <w:rFonts w:hint="eastAsia"/>
          <w:color w:val="auto"/>
          <w:szCs w:val="22"/>
          <w:highlight w:val="none"/>
        </w:rPr>
        <w:t xml:space="preserve">专业技术能力，具体为：</w:t>
      </w:r>
      <w:r/>
    </w:p>
    <w:tbl>
      <w:tblPr>
        <w:tblStyle w:val="797"/>
        <w:tblpPr w:horzAnchor="page" w:tblpX="1914" w:vertAnchor="text" w:tblpY="255" w:leftFromText="180" w:topFromText="0" w:rightFromText="180" w:bottomFromText="0"/>
        <w:tblW w:w="84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425"/>
        <w:gridCol w:w="1515"/>
        <w:gridCol w:w="1470"/>
        <w:gridCol w:w="1125"/>
        <w:gridCol w:w="1830"/>
      </w:tblGrid>
      <w:tr>
        <w:trPr>
          <w:trHeight w:val="619"/>
        </w:trPr>
        <w:tc>
          <w:tcPr>
            <w:gridSpan w:val="6"/>
            <w:tcW w:w="8410" w:type="dxa"/>
            <w:vAlign w:val="center"/>
            <w:textDirection w:val="lrTb"/>
            <w:noWrap/>
          </w:tcPr>
          <w:p>
            <w:pPr>
              <w:jc w:val="center"/>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人员配置</w:t>
            </w:r>
            <w:r>
              <w:rPr>
                <w:rFonts w:hint="eastAsia" w:ascii="宋体" w:hAnsi="宋体" w:eastAsia="宋体" w:cs="宋体"/>
                <w:b/>
                <w:bCs/>
                <w:color w:val="auto"/>
                <w:sz w:val="24"/>
                <w:szCs w:val="24"/>
                <w:highlight w:val="none"/>
              </w:rPr>
              <w:t xml:space="preserve">表</w:t>
            </w:r>
            <w:r/>
          </w:p>
        </w:tc>
      </w:tr>
      <w:tr>
        <w:trPr>
          <w:trHeight w:val="626"/>
        </w:trPr>
        <w:tc>
          <w:tcPr>
            <w:tcW w:w="1045" w:type="dxa"/>
            <w:vAlign w:val="center"/>
            <w:textDirection w:val="lrTb"/>
            <w:noWrap/>
          </w:tcPr>
          <w:p>
            <w:pPr>
              <w:ind w:left="0" w:firstLine="240"/>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人员</w:t>
            </w:r>
            <w:r/>
          </w:p>
        </w:tc>
        <w:tc>
          <w:tcPr>
            <w:tcW w:w="1425" w:type="dxa"/>
            <w:vAlign w:val="center"/>
            <w:textDirection w:val="lrTb"/>
            <w:noWrap/>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项目经理</w:t>
            </w:r>
            <w:r/>
          </w:p>
        </w:tc>
        <w:tc>
          <w:tcPr>
            <w:tcW w:w="1515" w:type="dxa"/>
            <w:vAlign w:val="center"/>
            <w:textDirection w:val="lrTb"/>
            <w:noWrap/>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驾驶员</w:t>
            </w:r>
            <w:r/>
          </w:p>
        </w:tc>
        <w:tc>
          <w:tcPr>
            <w:tcW w:w="1470" w:type="dxa"/>
            <w:vAlign w:val="center"/>
            <w:textDirection w:val="lrTb"/>
            <w:noWrap/>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保洁人员</w:t>
            </w:r>
            <w:r/>
          </w:p>
        </w:tc>
        <w:tc>
          <w:tcPr>
            <w:tcW w:w="1125" w:type="dxa"/>
            <w:vAlign w:val="center"/>
            <w:textDirection w:val="lrTb"/>
            <w:noWrap/>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保洁车</w:t>
            </w:r>
            <w:r/>
          </w:p>
        </w:tc>
        <w:tc>
          <w:tcPr>
            <w:tcW w:w="1830" w:type="dxa"/>
            <w:vAlign w:val="center"/>
            <w:textDirection w:val="lrTb"/>
            <w:noWrap/>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保洁工具</w:t>
            </w:r>
            <w:r/>
          </w:p>
        </w:tc>
      </w:tr>
      <w:tr>
        <w:trPr>
          <w:trHeight w:val="1467"/>
        </w:trPr>
        <w:tc>
          <w:tcPr>
            <w:tcW w:w="1045"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数量（人）</w:t>
            </w:r>
            <w:r/>
          </w:p>
        </w:tc>
        <w:tc>
          <w:tcPr>
            <w:tcW w:w="142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5"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470" w:type="dxa"/>
            <w:vAlign w:val="center"/>
            <w:textDirection w:val="lrTb"/>
            <w:noWrap/>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83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按需配置</w:t>
            </w:r>
            <w:r/>
          </w:p>
        </w:tc>
      </w:tr>
    </w:tbl>
    <w:p>
      <w:pPr>
        <w:spacing w:line="24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after="120"/>
        <w:widowControl w:val="off"/>
        <w:rPr>
          <w:rFonts w:ascii="Times New Roman" w:hAnsi="Times New Roman" w:eastAsia="宋体" w:cs="Times New Roman"/>
          <w:highlight w:val="none"/>
          <w:lang w:val="en-US" w:eastAsia="zh-CN" w:bidi="ar-SA"/>
        </w:rPr>
      </w:pPr>
      <w:r>
        <w:rPr>
          <w:rFonts w:ascii="Times New Roman" w:hAnsi="Times New Roman" w:eastAsia="宋体" w:cs="Times New Roman"/>
          <w:highlight w:val="none"/>
          <w:lang w:val="en-US" w:eastAsia="zh-CN" w:bidi="ar-SA"/>
        </w:rPr>
      </w:r>
      <w:r/>
    </w:p>
    <w:p>
      <w:pPr>
        <w:spacing w:line="24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after="100" w:line="259" w:lineRule="auto"/>
        <w:widowControl/>
        <w:rPr>
          <w:rFonts w:ascii="Calibri" w:hAnsi="Calibri" w:eastAsia="宋体" w:cs="Times New Roman"/>
          <w:sz w:val="22"/>
          <w:szCs w:val="22"/>
          <w:highlight w:val="none"/>
          <w:lang w:val="en-US" w:eastAsia="zh-CN" w:bidi="ar-SA"/>
        </w:rPr>
      </w:pPr>
      <w:r>
        <w:rPr>
          <w:rFonts w:ascii="Calibri" w:hAnsi="Calibri" w:eastAsia="宋体" w:cs="Times New Roman"/>
          <w:sz w:val="22"/>
          <w:szCs w:val="22"/>
          <w:highlight w:val="none"/>
          <w:lang w:val="en-US" w:eastAsia="zh-CN" w:bidi="ar-SA"/>
        </w:rPr>
      </w:r>
      <w:r/>
    </w:p>
    <w:p>
      <w:pPr>
        <w:ind w:left="360" w:firstLine="420"/>
        <w:jc w:val="left"/>
        <w:spacing w:line="360" w:lineRule="auto"/>
        <w:widowControl/>
        <w:rPr>
          <w:rFonts w:ascii="宋体" w:hAnsi="Times New Roman" w:eastAsia="宋体" w:cs="Times New Roman"/>
          <w:sz w:val="21"/>
          <w:szCs w:val="24"/>
          <w:highlight w:val="none"/>
          <w:lang w:val="en-US" w:eastAsia="zh-CN" w:bidi="ar-SA"/>
        </w:rPr>
      </w:pPr>
      <w:r>
        <w:rPr>
          <w:rFonts w:ascii="宋体" w:hAnsi="Times New Roman" w:eastAsia="宋体" w:cs="Times New Roman"/>
          <w:sz w:val="21"/>
          <w:szCs w:val="24"/>
          <w:highlight w:val="none"/>
          <w:lang w:val="en-US" w:eastAsia="zh-CN" w:bidi="ar-SA"/>
        </w:rPr>
      </w:r>
      <w:r/>
    </w:p>
    <w:p>
      <w:pPr>
        <w:jc w:val="left"/>
        <w:spacing w:after="100" w:line="259" w:lineRule="auto"/>
        <w:widowControl/>
        <w:rPr>
          <w:rFonts w:ascii="Calibri" w:hAnsi="Calibri" w:eastAsia="宋体" w:cs="Times New Roman"/>
          <w:sz w:val="22"/>
          <w:szCs w:val="22"/>
          <w:highlight w:val="none"/>
          <w:lang w:val="en-US" w:eastAsia="zh-CN" w:bidi="ar-SA"/>
        </w:rPr>
      </w:pPr>
      <w:r>
        <w:rPr>
          <w:rFonts w:ascii="Calibri" w:hAnsi="Calibri" w:eastAsia="宋体" w:cs="Times New Roman"/>
          <w:sz w:val="22"/>
          <w:szCs w:val="22"/>
          <w:highlight w:val="none"/>
          <w:lang w:val="en-US" w:eastAsia="zh-CN" w:bidi="ar-SA"/>
        </w:rPr>
      </w:r>
      <w:r/>
    </w:p>
    <w:p>
      <w:pPr>
        <w:ind w:left="360" w:firstLine="420"/>
        <w:jc w:val="left"/>
        <w:spacing w:line="360" w:lineRule="auto"/>
        <w:widowControl/>
        <w:rPr>
          <w:rFonts w:ascii="宋体" w:hAnsi="Times New Roman" w:eastAsia="宋体" w:cs="Times New Roman"/>
          <w:sz w:val="21"/>
          <w:szCs w:val="24"/>
          <w:highlight w:val="none"/>
          <w:lang w:val="en-US" w:eastAsia="zh-CN" w:bidi="ar-SA"/>
        </w:rPr>
      </w:pPr>
      <w:r>
        <w:rPr>
          <w:rFonts w:ascii="宋体" w:hAnsi="Times New Roman" w:eastAsia="宋体" w:cs="Times New Roman"/>
          <w:sz w:val="21"/>
          <w:szCs w:val="24"/>
          <w:highlight w:val="none"/>
          <w:lang w:val="en-US" w:eastAsia="zh-CN" w:bidi="ar-SA"/>
        </w:rPr>
      </w:r>
      <w:r/>
    </w:p>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bl>
      <w:tblPr>
        <w:tblStyle w:val="797"/>
        <w:tblpPr w:horzAnchor="page" w:tblpX="1382" w:vertAnchor="text" w:tblpY="273" w:leftFromText="180" w:topFromText="0" w:rightFromText="180" w:bottomFromText="0"/>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trHeight w:val="619"/>
        </w:trPr>
        <w:tc>
          <w:tcPr>
            <w:gridSpan w:val="5"/>
            <w:tcW w:w="9370" w:type="dxa"/>
            <w:vAlign w:val="center"/>
            <w:textDirection w:val="lrTb"/>
            <w:noWrap/>
          </w:tcPr>
          <w:p>
            <w:pPr>
              <w:jc w:val="center"/>
              <w:spacing w:line="24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车辆</w:t>
            </w:r>
            <w:r>
              <w:rPr>
                <w:rFonts w:hint="eastAsia" w:ascii="宋体" w:hAnsi="宋体" w:cs="宋体"/>
                <w:b/>
                <w:bCs/>
                <w:color w:val="auto"/>
                <w:sz w:val="24"/>
                <w:szCs w:val="24"/>
                <w:highlight w:val="none"/>
                <w:lang w:val="en-US" w:eastAsia="zh-CN"/>
              </w:rPr>
              <w:t xml:space="preserve">及设备配置</w:t>
            </w:r>
            <w:r>
              <w:rPr>
                <w:rFonts w:hint="eastAsia" w:ascii="宋体" w:hAnsi="宋体" w:cs="宋体"/>
                <w:b/>
                <w:bCs/>
                <w:color w:val="auto"/>
                <w:sz w:val="24"/>
                <w:szCs w:val="24"/>
                <w:highlight w:val="none"/>
              </w:rPr>
              <w:t xml:space="preserve">表</w:t>
            </w:r>
            <w:r/>
          </w:p>
        </w:tc>
      </w:tr>
      <w:tr>
        <w:trPr>
          <w:trHeight w:val="626"/>
        </w:trPr>
        <w:tc>
          <w:tcPr>
            <w:tcW w:w="782" w:type="dxa"/>
            <w:vAlign w:val="center"/>
            <w:textDirection w:val="lrTb"/>
            <w:noWrap/>
          </w:tcPr>
          <w:p>
            <w:pPr>
              <w:ind w:left="0" w:firstLine="0"/>
              <w:jc w:val="both"/>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16"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项目分类</w:t>
            </w:r>
            <w:r/>
          </w:p>
        </w:tc>
        <w:tc>
          <w:tcPr>
            <w:tcW w:w="3868"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224"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980" w:type="dxa"/>
            <w:vAlign w:val="center"/>
            <w:textDirection w:val="lrTb"/>
            <w:noWrap/>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数量</w:t>
            </w:r>
            <w:r/>
          </w:p>
        </w:tc>
      </w:tr>
      <w:tr>
        <w:trPr>
          <w:trHeight w:val="499"/>
        </w:trPr>
        <w:tc>
          <w:tcPr>
            <w:tcW w:w="782"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516" w:type="dxa"/>
            <w:vAlign w:val="center"/>
            <w:vMerge w:val="restart"/>
            <w:textDirection w:val="lrTb"/>
            <w:noWrap w:val="false"/>
          </w:tcPr>
          <w:p>
            <w:pPr>
              <w:ind w:left="0"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W w:w="386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垃圾清运车</w:t>
            </w:r>
            <w:r>
              <w:rPr>
                <w:rFonts w:hint="eastAsia" w:ascii="宋体" w:hAnsi="宋体" w:cs="宋体"/>
                <w:color w:val="auto"/>
                <w:sz w:val="24"/>
                <w:szCs w:val="24"/>
                <w:highlight w:val="none"/>
                <w:lang w:val="en-US" w:eastAsia="zh-CN"/>
              </w:rPr>
              <w:t xml:space="preserve">8m3</w:t>
            </w:r>
            <w:r/>
          </w:p>
        </w:tc>
        <w:tc>
          <w:tcPr>
            <w:tcW w:w="1224"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99"/>
        </w:trPr>
        <w:tc>
          <w:tcPr>
            <w:tcW w:w="782" w:type="dxa"/>
            <w:vAlign w:val="center"/>
            <w:vMerge w:val="continue"/>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电动清扫车</w:t>
            </w:r>
            <w:r/>
          </w:p>
        </w:tc>
        <w:tc>
          <w:tcPr>
            <w:tcW w:w="1224"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99"/>
        </w:trPr>
        <w:tc>
          <w:tcPr>
            <w:tcW w:w="782" w:type="dxa"/>
            <w:vAlign w:val="center"/>
            <w:vMerge w:val="continue"/>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16" w:type="dxa"/>
            <w:vAlign w:val="center"/>
            <w:vMerge w:val="continue"/>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86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清洗车</w:t>
            </w:r>
            <w:r/>
          </w:p>
        </w:tc>
        <w:tc>
          <w:tcPr>
            <w:tcW w:w="1224" w:type="dxa"/>
            <w:vAlign w:val="center"/>
            <w:textDirection w:val="lrTb"/>
            <w:noWrap/>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99"/>
        </w:trPr>
        <w:tc>
          <w:tcPr>
            <w:tcW w:w="782"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516"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w:t>
            </w:r>
            <w:r/>
          </w:p>
        </w:tc>
        <w:tc>
          <w:tcPr>
            <w:tcW w:w="386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240L市政专用分类式脚踏垃圾桶</w:t>
            </w:r>
            <w:r/>
          </w:p>
        </w:tc>
        <w:tc>
          <w:tcPr>
            <w:tcW w:w="1224" w:type="dxa"/>
            <w:vAlign w:val="center"/>
            <w:textDirection w:val="lrTb"/>
            <w:noWrap/>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个</w:t>
            </w:r>
            <w:r/>
          </w:p>
        </w:tc>
        <w:tc>
          <w:tcPr>
            <w:tcW w:w="198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按需配置</w:t>
            </w:r>
            <w:r/>
          </w:p>
        </w:tc>
      </w:tr>
    </w:tbl>
    <w:p>
      <w:pPr>
        <w:jc w:val="left"/>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注：1）以上车辆为供应商自有的提供的发票或权属登记证书的扫描件，为租赁的，提供租赁合同和车辆设备的发票或权属登记证书的扫描件。</w:t>
      </w:r>
      <w:r/>
    </w:p>
    <w:p>
      <w:pPr>
        <w:numPr>
          <w:ilvl w:val="0"/>
          <w:numId w:val="0"/>
        </w:numPr>
        <w:ind w:firstLine="482"/>
        <w:keepLines w:val="0"/>
        <w:keepNext w:val="0"/>
        <w:pageBreakBefore w:val="0"/>
        <w:spacing w:line="288" w:lineRule="auto"/>
        <w:widowControl/>
        <w:rPr>
          <w:rFonts w:ascii="宋体" w:hAnsi="宋体" w:eastAsia="宋体" w:cs="Times New Roman"/>
          <w:color w:val="auto"/>
          <w:sz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en-US" w:bidi="ar-SA"/>
        </w:rPr>
        <w:t xml:space="preserve">如暂未</w:t>
      </w:r>
      <w:r>
        <w:rPr>
          <w:rFonts w:hint="eastAsia" w:ascii="宋体" w:hAnsi="宋体" w:eastAsia="宋体" w:cs="宋体"/>
          <w:b/>
          <w:bCs/>
          <w:color w:val="000000"/>
          <w:sz w:val="24"/>
          <w:szCs w:val="24"/>
          <w:highlight w:val="none"/>
          <w:lang w:val="en-US" w:eastAsia="zh-CN" w:bidi="ar-SA"/>
        </w:rPr>
        <w:t xml:space="preserve">配置</w:t>
      </w:r>
      <w:r>
        <w:rPr>
          <w:rFonts w:hint="eastAsia" w:ascii="宋体" w:hAnsi="宋体" w:eastAsia="宋体" w:cs="宋体"/>
          <w:b/>
          <w:bCs/>
          <w:color w:val="000000"/>
          <w:sz w:val="24"/>
          <w:szCs w:val="24"/>
          <w:highlight w:val="none"/>
          <w:lang w:val="en-US" w:eastAsia="en-US" w:bidi="ar-SA"/>
        </w:rPr>
        <w:t xml:space="preserve">需提供“作业设备（车辆）配置车辆”的承诺文件</w:t>
      </w:r>
      <w:r>
        <w:rPr>
          <w:rFonts w:hint="eastAsia" w:ascii="宋体" w:hAnsi="宋体" w:eastAsia="宋体" w:cs="宋体"/>
          <w:b/>
          <w:bCs/>
          <w:color w:val="000000"/>
          <w:sz w:val="24"/>
          <w:szCs w:val="24"/>
          <w:highlight w:val="none"/>
          <w:lang w:val="en-US" w:eastAsia="zh-CN" w:bidi="ar-SA"/>
        </w:rPr>
        <w:t xml:space="preserve">（格式自拟）</w:t>
      </w:r>
      <w:r>
        <w:rPr>
          <w:rFonts w:hint="eastAsia" w:ascii="宋体" w:hAnsi="宋体" w:eastAsia="宋体" w:cs="宋体"/>
          <w:b/>
          <w:bCs/>
          <w:color w:val="000000"/>
          <w:sz w:val="24"/>
          <w:szCs w:val="24"/>
          <w:highlight w:val="none"/>
          <w:lang w:val="en-US" w:eastAsia="en-US" w:bidi="ar-SA"/>
        </w:rPr>
        <w:t xml:space="preserve">，否则按照无效投标处理。</w:t>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788"/>
        <w:rPr>
          <w:rFonts w:hint="eastAsia" w:eastAsia="宋体"/>
          <w:color w:val="auto"/>
          <w:highlight w:val="none"/>
          <w:lang w:val="en-US" w:eastAsia="zh-CN"/>
        </w:rPr>
      </w:pPr>
      <w:r>
        <w:rPr>
          <w:rFonts w:hint="eastAsia" w:eastAsia="宋体"/>
          <w:color w:val="auto"/>
          <w:highlight w:val="none"/>
          <w:lang w:val="en-US" w:eastAsia="zh-CN"/>
        </w:rPr>
        <w:t xml:space="preserve">十一、江苏省政府采购代理常规服务收费指导价</w:t>
      </w:r>
      <w:r/>
    </w:p>
    <w:p>
      <w:pPr>
        <w:pStyle w:val="788"/>
        <w:rPr>
          <w:rFonts w:hint="eastAsia" w:eastAsia="宋体"/>
          <w:color w:val="auto"/>
          <w:highlight w:val="none"/>
          <w:lang w:val="en-US" w:eastAsia="zh-CN"/>
        </w:rPr>
      </w:pPr>
      <w:r>
        <w:rPr>
          <w:rFonts w:hint="eastAsia" w:eastAsia="宋体"/>
          <w:color w:val="auto"/>
          <w:highlight w:val="none"/>
          <w:lang w:val="en-US" w:eastAsia="zh-CN"/>
        </w:rPr>
      </w:r>
      <w:r/>
    </w:p>
    <w:tbl>
      <w:tblPr>
        <w:tblStyle w:val="1056"/>
        <w:tblW w:w="6520"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055"/>
              <w:ind w:left="974"/>
              <w:spacing w:before="168" w:line="219" w:lineRule="auto"/>
            </w:pPr>
            <w:r>
              <w:rPr>
                <w:spacing w:val="1"/>
              </w:rPr>
              <w:t xml:space="preserve">中标或者成交金额</w:t>
            </w:r>
            <w:r/>
          </w:p>
        </w:tc>
        <w:tc>
          <w:tcPr>
            <w:tcW w:w="1992" w:type="dxa"/>
            <w:vAlign w:val="top"/>
            <w:textDirection w:val="lrTb"/>
            <w:noWrap w:val="false"/>
          </w:tcPr>
          <w:p>
            <w:pPr>
              <w:pStyle w:val="1055"/>
              <w:ind w:left="667"/>
              <w:spacing w:before="168" w:line="219" w:lineRule="auto"/>
            </w:pPr>
            <w:r>
              <w:rPr>
                <w:spacing w:val="7"/>
              </w:rPr>
              <w:t xml:space="preserve">费率</w:t>
            </w:r>
            <w:r/>
          </w:p>
        </w:tc>
      </w:tr>
      <w:tr>
        <w:trPr>
          <w:trHeight w:val="619"/>
        </w:trPr>
        <w:tc>
          <w:tcPr>
            <w:tcW w:w="4528" w:type="dxa"/>
            <w:vAlign w:val="top"/>
            <w:textDirection w:val="lrTb"/>
            <w:noWrap w:val="false"/>
          </w:tcPr>
          <w:p>
            <w:pPr>
              <w:pStyle w:val="1055"/>
              <w:ind w:left="175"/>
              <w:spacing w:before="154" w:line="219" w:lineRule="auto"/>
            </w:pPr>
            <w:r>
              <w:rPr>
                <w:spacing w:val="4"/>
              </w:rPr>
              <w:t xml:space="preserve">最低收费金额(每个委托项目)</w:t>
            </w:r>
            <w:r/>
          </w:p>
        </w:tc>
        <w:tc>
          <w:tcPr>
            <w:tcW w:w="1992" w:type="dxa"/>
            <w:vAlign w:val="top"/>
            <w:textDirection w:val="lrTb"/>
            <w:noWrap w:val="false"/>
          </w:tcPr>
          <w:p>
            <w:pPr>
              <w:pStyle w:val="1055"/>
              <w:ind w:left="507"/>
              <w:spacing w:before="155" w:line="220" w:lineRule="auto"/>
            </w:pPr>
            <w:r>
              <w:rPr>
                <w:spacing w:val="2"/>
              </w:rPr>
              <w:t xml:space="preserve">5000元</w:t>
            </w:r>
            <w:r/>
          </w:p>
        </w:tc>
      </w:tr>
      <w:tr>
        <w:trPr>
          <w:trHeight w:val="619"/>
        </w:trPr>
        <w:tc>
          <w:tcPr>
            <w:tcW w:w="4528" w:type="dxa"/>
            <w:vAlign w:val="top"/>
            <w:textDirection w:val="lrTb"/>
            <w:noWrap w:val="false"/>
          </w:tcPr>
          <w:p>
            <w:pPr>
              <w:pStyle w:val="1055"/>
              <w:ind w:left="654"/>
              <w:spacing w:before="155" w:line="219" w:lineRule="auto"/>
            </w:pPr>
            <w:r>
              <w:rPr>
                <w:spacing w:val="5"/>
              </w:rPr>
              <w:t xml:space="preserve">50万元以下(含50万元)</w:t>
            </w:r>
            <w:r/>
          </w:p>
        </w:tc>
        <w:tc>
          <w:tcPr>
            <w:tcW w:w="1992" w:type="dxa"/>
            <w:vAlign w:val="top"/>
            <w:textDirection w:val="lrTb"/>
            <w:noWrap w:val="false"/>
          </w:tcPr>
          <w:p>
            <w:pPr>
              <w:pStyle w:val="1055"/>
              <w:ind w:left="667"/>
              <w:spacing w:before="236" w:line="184" w:lineRule="auto"/>
            </w:pPr>
            <w:r>
              <w:rPr>
                <w:spacing w:val="-8"/>
              </w:rPr>
              <w:t xml:space="preserve">1.6%</w:t>
            </w:r>
            <w:r/>
          </w:p>
        </w:tc>
      </w:tr>
      <w:tr>
        <w:trPr>
          <w:trHeight w:val="619"/>
        </w:trPr>
        <w:tc>
          <w:tcPr>
            <w:tcW w:w="4528" w:type="dxa"/>
            <w:vAlign w:val="top"/>
            <w:textDirection w:val="lrTb"/>
            <w:noWrap w:val="false"/>
          </w:tcPr>
          <w:p>
            <w:pPr>
              <w:pStyle w:val="1055"/>
              <w:ind w:left="575"/>
              <w:spacing w:before="156" w:line="219" w:lineRule="auto"/>
            </w:pPr>
            <w:r>
              <w:rPr>
                <w:spacing w:val="4"/>
              </w:rPr>
              <w:t xml:space="preserve">50-400万元(含400万元)</w:t>
            </w:r>
            <w:r/>
          </w:p>
        </w:tc>
        <w:tc>
          <w:tcPr>
            <w:tcW w:w="1992" w:type="dxa"/>
            <w:vAlign w:val="top"/>
            <w:textDirection w:val="lrTb"/>
            <w:noWrap w:val="false"/>
          </w:tcPr>
          <w:p>
            <w:pPr>
              <w:pStyle w:val="1055"/>
              <w:ind w:left="667"/>
              <w:spacing w:before="237" w:line="184" w:lineRule="auto"/>
            </w:pPr>
            <w:r>
              <w:rPr>
                <w:spacing w:val="-7"/>
              </w:rPr>
              <w:t xml:space="preserve">1.5%</w:t>
            </w:r>
            <w:r/>
          </w:p>
        </w:tc>
      </w:tr>
      <w:tr>
        <w:trPr>
          <w:trHeight w:val="629"/>
        </w:trPr>
        <w:tc>
          <w:tcPr>
            <w:tcW w:w="4528" w:type="dxa"/>
            <w:vAlign w:val="top"/>
            <w:textDirection w:val="lrTb"/>
            <w:noWrap w:val="false"/>
          </w:tcPr>
          <w:p>
            <w:pPr>
              <w:pStyle w:val="1055"/>
              <w:ind w:left="334"/>
              <w:spacing w:before="167" w:line="219" w:lineRule="auto"/>
            </w:pPr>
            <w:r>
              <w:rPr>
                <w:spacing w:val="3"/>
              </w:rPr>
              <w:t xml:space="preserve">400-1000万元(含1000万元)</w:t>
            </w:r>
            <w:r/>
          </w:p>
        </w:tc>
        <w:tc>
          <w:tcPr>
            <w:tcW w:w="1992" w:type="dxa"/>
            <w:vAlign w:val="top"/>
            <w:textDirection w:val="lrTb"/>
            <w:noWrap w:val="false"/>
          </w:tcPr>
          <w:p>
            <w:pPr>
              <w:pStyle w:val="1055"/>
              <w:ind w:left="667"/>
              <w:spacing w:before="248" w:line="184" w:lineRule="auto"/>
            </w:pPr>
            <w:r>
              <w:rPr>
                <w:spacing w:val="-5"/>
              </w:rPr>
              <w:t xml:space="preserve">1.1%</w:t>
            </w:r>
            <w:r/>
          </w:p>
        </w:tc>
      </w:tr>
      <w:tr>
        <w:trPr>
          <w:trHeight w:val="619"/>
        </w:trPr>
        <w:tc>
          <w:tcPr>
            <w:tcW w:w="4528" w:type="dxa"/>
            <w:vAlign w:val="top"/>
            <w:textDirection w:val="lrTb"/>
            <w:noWrap w:val="false"/>
          </w:tcPr>
          <w:p>
            <w:pPr>
              <w:pStyle w:val="1055"/>
              <w:ind w:left="255"/>
              <w:spacing w:before="158" w:line="219" w:lineRule="auto"/>
            </w:pPr>
            <w:r>
              <w:rPr>
                <w:spacing w:val="3"/>
              </w:rPr>
              <w:t xml:space="preserve">1000-5000万元(含5000万元)</w:t>
            </w:r>
            <w:r/>
          </w:p>
        </w:tc>
        <w:tc>
          <w:tcPr>
            <w:tcW w:w="1992" w:type="dxa"/>
            <w:vAlign w:val="top"/>
            <w:textDirection w:val="lrTb"/>
            <w:noWrap w:val="false"/>
          </w:tcPr>
          <w:p>
            <w:pPr>
              <w:pStyle w:val="1055"/>
              <w:ind w:left="667"/>
              <w:spacing w:before="240" w:line="183" w:lineRule="auto"/>
            </w:pPr>
            <w:r>
              <w:rPr>
                <w:spacing w:val="-3"/>
              </w:rPr>
              <w:t xml:space="preserve">0.8%</w:t>
            </w:r>
            <w:r/>
          </w:p>
        </w:tc>
      </w:tr>
      <w:tr>
        <w:trPr>
          <w:trHeight w:val="619"/>
        </w:trPr>
        <w:tc>
          <w:tcPr>
            <w:tcW w:w="4528" w:type="dxa"/>
            <w:vAlign w:val="top"/>
            <w:textDirection w:val="lrTb"/>
            <w:noWrap w:val="false"/>
          </w:tcPr>
          <w:p>
            <w:pPr>
              <w:pStyle w:val="1055"/>
              <w:ind w:left="735"/>
              <w:spacing w:before="159" w:line="219" w:lineRule="auto"/>
            </w:pPr>
            <w:r>
              <w:rPr>
                <w:spacing w:val="5"/>
              </w:rPr>
              <w:t xml:space="preserve">5000-1亿元(含1亿元)</w:t>
            </w:r>
            <w:r/>
          </w:p>
        </w:tc>
        <w:tc>
          <w:tcPr>
            <w:tcW w:w="1992" w:type="dxa"/>
            <w:vAlign w:val="top"/>
            <w:textDirection w:val="lrTb"/>
            <w:noWrap w:val="false"/>
          </w:tcPr>
          <w:p>
            <w:pPr>
              <w:pStyle w:val="1055"/>
              <w:ind w:left="586"/>
              <w:spacing w:before="241" w:line="183" w:lineRule="auto"/>
            </w:pPr>
            <w:r>
              <w:rPr>
                <w:spacing w:val="-2"/>
              </w:rPr>
              <w:t xml:space="preserve">0.25%</w:t>
            </w:r>
            <w:r/>
          </w:p>
        </w:tc>
      </w:tr>
      <w:tr>
        <w:trPr>
          <w:trHeight w:val="628"/>
        </w:trPr>
        <w:tc>
          <w:tcPr>
            <w:tcW w:w="4528" w:type="dxa"/>
            <w:vAlign w:val="top"/>
            <w:textDirection w:val="lrTb"/>
            <w:noWrap w:val="false"/>
          </w:tcPr>
          <w:p>
            <w:pPr>
              <w:pStyle w:val="1055"/>
              <w:ind w:left="815"/>
              <w:spacing w:before="170" w:line="219" w:lineRule="auto"/>
            </w:pPr>
            <w:r>
              <w:rPr>
                <w:spacing w:val="5"/>
              </w:rPr>
              <w:t xml:space="preserve">1-10亿元(含10亿元)</w:t>
            </w:r>
            <w:r/>
          </w:p>
        </w:tc>
        <w:tc>
          <w:tcPr>
            <w:tcW w:w="1992" w:type="dxa"/>
            <w:vAlign w:val="top"/>
            <w:textDirection w:val="lrTb"/>
            <w:noWrap w:val="false"/>
          </w:tcPr>
          <w:p>
            <w:pPr>
              <w:pStyle w:val="1055"/>
              <w:ind w:left="586"/>
              <w:spacing w:before="252" w:line="183" w:lineRule="auto"/>
            </w:pPr>
            <w:r>
              <w:rPr>
                <w:spacing w:val="-3"/>
              </w:rPr>
              <w:t xml:space="preserve">0.05%</w:t>
            </w:r>
            <w:r/>
          </w:p>
        </w:tc>
      </w:tr>
      <w:tr>
        <w:trPr>
          <w:trHeight w:val="619"/>
        </w:trPr>
        <w:tc>
          <w:tcPr>
            <w:tcW w:w="4528" w:type="dxa"/>
            <w:vAlign w:val="top"/>
            <w:textDirection w:val="lrTb"/>
            <w:noWrap w:val="false"/>
          </w:tcPr>
          <w:p>
            <w:pPr>
              <w:pStyle w:val="1055"/>
              <w:ind w:left="735"/>
              <w:spacing w:before="162" w:line="219" w:lineRule="auto"/>
            </w:pPr>
            <w:r>
              <w:rPr>
                <w:spacing w:val="5"/>
              </w:rPr>
              <w:t xml:space="preserve">10-50亿元(含50亿元)</w:t>
            </w:r>
            <w:r/>
          </w:p>
        </w:tc>
        <w:tc>
          <w:tcPr>
            <w:tcW w:w="1992" w:type="dxa"/>
            <w:vAlign w:val="top"/>
            <w:textDirection w:val="lrTb"/>
            <w:noWrap w:val="false"/>
          </w:tcPr>
          <w:p>
            <w:pPr>
              <w:pStyle w:val="1055"/>
              <w:ind w:left="586"/>
              <w:spacing w:before="243" w:line="184" w:lineRule="auto"/>
            </w:pPr>
            <w:r>
              <w:rPr>
                <w:spacing w:val="-3"/>
              </w:rPr>
              <w:t xml:space="preserve">0.01%</w:t>
            </w:r>
            <w:r/>
          </w:p>
        </w:tc>
      </w:tr>
      <w:tr>
        <w:trPr>
          <w:trHeight w:val="624"/>
        </w:trPr>
        <w:tc>
          <w:tcPr>
            <w:tcW w:w="4528" w:type="dxa"/>
            <w:vAlign w:val="top"/>
            <w:textDirection w:val="lrTb"/>
            <w:noWrap w:val="false"/>
          </w:tcPr>
          <w:p>
            <w:pPr>
              <w:pStyle w:val="1055"/>
              <w:ind w:left="1455"/>
              <w:spacing w:before="164" w:line="220" w:lineRule="auto"/>
            </w:pPr>
            <w:r>
              <w:rPr>
                <w:spacing w:val="2"/>
              </w:rPr>
              <w:t xml:space="preserve">50亿元以上</w:t>
            </w:r>
            <w:r/>
          </w:p>
        </w:tc>
        <w:tc>
          <w:tcPr>
            <w:tcW w:w="1992" w:type="dxa"/>
            <w:vAlign w:val="top"/>
            <w:textDirection w:val="lrTb"/>
            <w:noWrap w:val="false"/>
          </w:tcPr>
          <w:p>
            <w:pPr>
              <w:pStyle w:val="1055"/>
              <w:ind w:left="507"/>
              <w:spacing w:before="245" w:line="183" w:lineRule="auto"/>
            </w:pPr>
            <w:r>
              <w:rPr>
                <w:spacing w:val="-2"/>
              </w:rPr>
              <w:t xml:space="preserve">0.005%</w:t>
            </w:r>
            <w:r/>
          </w:p>
        </w:tc>
      </w:tr>
    </w:tbl>
    <w:p>
      <w:pPr>
        <w:pStyle w:val="800"/>
        <w:ind w:firstLine="0"/>
        <w:rPr>
          <w:b/>
          <w:bCs/>
          <w:color w:val="auto"/>
          <w:highlight w:val="none"/>
        </w:rPr>
      </w:pPr>
      <w:r/>
      <w:bookmarkStart w:id="9" w:name="_GoBack"/>
      <w:r/>
      <w:bookmarkEnd w:id="9"/>
      <w:r/>
      <w:r/>
    </w:p>
    <w:sectPr>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微软雅黑">
    <w:panose1 w:val="020B0503020204020204"/>
  </w:font>
  <w:font w:name="Calibri">
    <w:panose1 w:val="020F0502020204030204"/>
  </w:font>
  <w:font w:name="仿宋_GB2312">
    <w:panose1 w:val="02010609060101010101"/>
  </w:font>
  <w:font w:name="黑体">
    <w:panose1 w:val="02010609060101010101"/>
  </w:font>
  <w:font w:name="Symbol">
    <w:panose1 w:val="05050102010706020507"/>
  </w:font>
  <w:font w:name="新宋体">
    <w:panose1 w:val="0201060903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lang w:val="en-US" w:eastAsia="zh-CN" w:bidi="ar-SA"/>
      </w:rPr>
    </w:pPr>
    <w:r>
      <w:rPr>
        <w:rFonts w:ascii="Times New Roman" w:hAnsi="Times New Roman" w:eastAsia="宋体" w:cs="Times New Roman"/>
        <w:sz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t xml:space="preserve">第 </w:t>
                          </w: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 PAGE  \* MERGEFORMAT </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1</w:t>
                          </w:r>
                          <w:r>
                            <w:rPr>
                              <w:rFonts w:ascii="Times New Roman" w:hAnsi="Times New Roman" w:eastAsia="宋体" w:cs="Times New Roman"/>
                              <w:lang w:val="en-US" w:eastAsia="zh-CN" w:bidi="ar-SA"/>
                            </w:rPr>
                            <w:fldChar w:fldCharType="end"/>
                          </w:r>
                          <w:r>
                            <w:rPr>
                              <w:rFonts w:ascii="Times New Roman" w:hAnsi="Times New Roman" w:eastAsia="宋体" w:cs="Times New Roman"/>
                              <w:lang w:val="en-US" w:eastAsia="zh-CN" w:bidi="ar-SA"/>
                            </w:rPr>
                            <w:t xml:space="preserve"> 页 共 </w:t>
                          </w: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 NUMPAGES  \* MERGEFORMAT </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54</w:t>
                          </w:r>
                          <w:r>
                            <w:rPr>
                              <w:rFonts w:ascii="Times New Roman" w:hAnsi="Times New Roman" w:eastAsia="宋体" w:cs="Times New Roman"/>
                              <w:lang w:val="en-US" w:eastAsia="zh-CN" w:bidi="ar-SA"/>
                            </w:rPr>
                            <w:fldChar w:fldCharType="end"/>
                          </w:r>
                          <w:r>
                            <w:rPr>
                              <w:rFonts w:ascii="Times New Roman" w:hAnsi="Times New Roman" w:eastAsia="宋体" w:cs="Times New Roman"/>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t xml:space="preserve">第 </w:t>
                    </w: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 PAGE  \* MERGEFORMAT </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1</w:t>
                    </w:r>
                    <w:r>
                      <w:rPr>
                        <w:rFonts w:ascii="Times New Roman" w:hAnsi="Times New Roman" w:eastAsia="宋体" w:cs="Times New Roman"/>
                        <w:lang w:val="en-US" w:eastAsia="zh-CN" w:bidi="ar-SA"/>
                      </w:rPr>
                      <w:fldChar w:fldCharType="end"/>
                    </w:r>
                    <w:r>
                      <w:rPr>
                        <w:rFonts w:ascii="Times New Roman" w:hAnsi="Times New Roman" w:eastAsia="宋体" w:cs="Times New Roman"/>
                        <w:lang w:val="en-US" w:eastAsia="zh-CN" w:bidi="ar-SA"/>
                      </w:rPr>
                      <w:t xml:space="preserve"> 页 共 </w:t>
                    </w:r>
                    <w:r>
                      <w:rPr>
                        <w:rFonts w:ascii="Times New Roman" w:hAnsi="Times New Roman" w:eastAsia="宋体" w:cs="Times New Roman"/>
                        <w:lang w:val="en-US" w:eastAsia="zh-CN" w:bidi="ar-SA"/>
                      </w:rPr>
                      <w:fldChar w:fldCharType="begin"/>
                    </w:r>
                    <w:r>
                      <w:rPr>
                        <w:rFonts w:ascii="Times New Roman" w:hAnsi="Times New Roman" w:eastAsia="宋体" w:cs="Times New Roman"/>
                        <w:lang w:val="en-US" w:eastAsia="zh-CN" w:bidi="ar-SA"/>
                      </w:rPr>
                      <w:instrText xml:space="preserve"> NUMPAGES  \* MERGEFORMAT </w:instrText>
                    </w:r>
                    <w:r>
                      <w:rPr>
                        <w:rFonts w:ascii="Times New Roman" w:hAnsi="Times New Roman" w:eastAsia="宋体" w:cs="Times New Roman"/>
                        <w:lang w:val="en-US" w:eastAsia="zh-CN" w:bidi="ar-SA"/>
                      </w:rPr>
                      <w:fldChar w:fldCharType="separate"/>
                    </w:r>
                    <w:r>
                      <w:rPr>
                        <w:rFonts w:ascii="Times New Roman" w:hAnsi="Times New Roman" w:eastAsia="宋体" w:cs="Times New Roman"/>
                        <w:lang w:val="en-US" w:eastAsia="zh-CN" w:bidi="ar-SA"/>
                      </w:rPr>
                      <w:t xml:space="preserve">54</w:t>
                    </w:r>
                    <w:r>
                      <w:rPr>
                        <w:rFonts w:ascii="Times New Roman" w:hAnsi="Times New Roman" w:eastAsia="宋体" w:cs="Times New Roman"/>
                        <w:lang w:val="en-US" w:eastAsia="zh-CN" w:bidi="ar-SA"/>
                      </w:rPr>
                      <w:fldChar w:fldCharType="end"/>
                    </w:r>
                    <w:r>
                      <w:rPr>
                        <w:rFonts w:ascii="Times New Roman" w:hAnsi="Times New Roman" w:eastAsia="宋体" w:cs="Times New Roman"/>
                        <w:lang w:val="en-US" w:eastAsia="zh-CN" w:bidi="ar-SA"/>
                      </w:rPr>
                      <w:t xml:space="preserve"> 页</w:t>
                    </w:r>
                    <w:r/>
                  </w:p>
                </w:txbxContent>
              </v:textbox>
            </v:shape>
          </w:pict>
        </mc:Fallback>
      </mc:AlternateContent>
    </w:r>
    <w:r/>
  </w:p>
  <w:p>
    <w:pPr>
      <w:tabs>
        <w:tab w:val="center" w:pos="4153" w:leader="none"/>
        <w:tab w:val="right" w:pos="8306" w:leader="none"/>
      </w:tabs>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第 </w:t>
                          </w:r>
                          <w:r>
                            <w:fldChar w:fldCharType="begin"/>
                          </w:r>
                          <w:r>
                            <w:instrText xml:space="preserve"> PAGE  \* MERGEFORMAT </w:instrText>
                          </w:r>
                          <w:r>
                            <w:fldChar w:fldCharType="separate"/>
                          </w:r>
                          <w:r>
                            <w:t xml:space="preserve">124</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第 </w:t>
                    </w:r>
                    <w:r>
                      <w:fldChar w:fldCharType="begin"/>
                    </w:r>
                    <w:r>
                      <w:instrText xml:space="preserve"> PAGE  \* MERGEFORMAT </w:instrText>
                    </w:r>
                    <w:r>
                      <w:fldChar w:fldCharType="separate"/>
                    </w:r>
                    <w:r>
                      <w:t xml:space="preserve">124</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6">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5">
    <w:name w:val="TOC Heading"/>
    <w:uiPriority w:val="39"/>
    <w:unhideWhenUsed/>
  </w:style>
  <w:style w:type="paragraph" w:styleId="786" w:default="1">
    <w:name w:val="Normal"/>
    <w:uiPriority w:val="0"/>
    <w:qFormat/>
    <w:pPr>
      <w:spacing w:line="312" w:lineRule="auto"/>
    </w:pPr>
    <w:rPr>
      <w:rFonts w:ascii="Times New Roman" w:hAnsi="Times New Roman" w:eastAsia="宋体" w:cs="Times New Roman"/>
      <w:sz w:val="24"/>
      <w:lang w:val="en-US" w:eastAsia="zh-CN" w:bidi="ar-SA"/>
    </w:rPr>
  </w:style>
  <w:style w:type="paragraph" w:styleId="787">
    <w:name w:val="Heading 1"/>
    <w:basedOn w:val="798"/>
    <w:next w:val="798"/>
    <w:link w:val="1018"/>
    <w:uiPriority w:val="0"/>
    <w:qFormat/>
    <w:pPr>
      <w:jc w:val="center"/>
      <w:keepLines/>
      <w:keepNext/>
      <w:spacing w:line="360" w:lineRule="auto"/>
      <w:outlineLvl w:val="0"/>
    </w:pPr>
    <w:rPr>
      <w:rFonts w:ascii="Arial" w:hAnsi="Arial" w:cs="Arial"/>
      <w:b/>
      <w:sz w:val="36"/>
      <w:szCs w:val="40"/>
    </w:rPr>
  </w:style>
  <w:style w:type="paragraph" w:styleId="788">
    <w:name w:val="Heading 2"/>
    <w:next w:val="786"/>
    <w:link w:val="1019"/>
    <w:uiPriority w:val="0"/>
    <w:unhideWhenUsed/>
    <w:qFormat/>
    <w:pPr>
      <w:jc w:val="center"/>
      <w:keepLines/>
      <w:keepNext/>
      <w:spacing w:line="360" w:lineRule="auto"/>
      <w:outlineLvl w:val="1"/>
    </w:pPr>
    <w:rPr>
      <w:rFonts w:ascii="Arial" w:hAnsi="Arial" w:eastAsia="宋体" w:cs="Arial"/>
      <w:b/>
      <w:sz w:val="30"/>
      <w:lang w:val="en-US" w:eastAsia="zh-CN" w:bidi="ar-SA"/>
    </w:rPr>
  </w:style>
  <w:style w:type="paragraph" w:styleId="789">
    <w:name w:val="Heading 3"/>
    <w:basedOn w:val="786"/>
    <w:next w:val="786"/>
    <w:link w:val="1020"/>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90">
    <w:name w:val="Heading 4"/>
    <w:next w:val="786"/>
    <w:link w:val="1021"/>
    <w:uiPriority w:val="0"/>
    <w:semiHidden/>
    <w:unhideWhenUsed/>
    <w:qFormat/>
    <w:pPr>
      <w:jc w:val="center"/>
      <w:keepLines/>
      <w:keepNext/>
      <w:spacing w:before="320" w:after="200"/>
      <w:outlineLvl w:val="3"/>
    </w:pPr>
    <w:rPr>
      <w:rFonts w:ascii="Arial" w:hAnsi="Arial" w:eastAsia="宋体" w:cs="Arial"/>
      <w:b/>
      <w:bCs/>
      <w:sz w:val="24"/>
      <w:szCs w:val="26"/>
      <w:lang w:val="en-US" w:eastAsia="zh-CN" w:bidi="ar-SA"/>
    </w:rPr>
  </w:style>
  <w:style w:type="paragraph" w:styleId="791">
    <w:name w:val="Heading 5"/>
    <w:basedOn w:val="786"/>
    <w:next w:val="786"/>
    <w:link w:val="1022"/>
    <w:uiPriority w:val="0"/>
    <w:semiHidden/>
    <w:unhideWhenUsed/>
    <w:qFormat/>
    <w:pPr>
      <w:keepLines/>
      <w:keepNext/>
      <w:spacing w:before="80" w:after="80" w:line="372" w:lineRule="auto"/>
      <w:outlineLvl w:val="4"/>
    </w:pPr>
    <w:rPr>
      <w:b/>
    </w:rPr>
  </w:style>
  <w:style w:type="paragraph" w:styleId="792">
    <w:name w:val="Heading 6"/>
    <w:basedOn w:val="786"/>
    <w:next w:val="786"/>
    <w:link w:val="89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9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97"/>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Block Text"/>
    <w:basedOn w:val="786"/>
    <w:uiPriority w:val="0"/>
    <w:qFormat/>
    <w:pPr>
      <w:ind w:left="1440"/>
      <w:spacing w:after="120"/>
    </w:pPr>
  </w:style>
  <w:style w:type="paragraph" w:styleId="799">
    <w:name w:val="toc 7"/>
    <w:basedOn w:val="786"/>
    <w:next w:val="786"/>
    <w:uiPriority w:val="39"/>
    <w:unhideWhenUsed/>
    <w:qFormat/>
    <w:pPr>
      <w:ind w:left="1701"/>
      <w:spacing w:after="57"/>
    </w:pPr>
  </w:style>
  <w:style w:type="paragraph" w:styleId="800">
    <w:name w:val="Normal Indent"/>
    <w:basedOn w:val="786"/>
    <w:uiPriority w:val="0"/>
    <w:qFormat/>
    <w:pPr>
      <w:ind w:firstLine="420"/>
    </w:pPr>
  </w:style>
  <w:style w:type="paragraph" w:styleId="801">
    <w:name w:val="Caption"/>
    <w:basedOn w:val="786"/>
    <w:next w:val="7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annotation text"/>
    <w:basedOn w:val="786"/>
    <w:link w:val="1040"/>
    <w:uiPriority w:val="99"/>
    <w:semiHidden/>
    <w:unhideWhenUsed/>
    <w:qFormat/>
  </w:style>
  <w:style w:type="paragraph" w:styleId="803">
    <w:name w:val="Body Text"/>
    <w:basedOn w:val="786"/>
    <w:uiPriority w:val="0"/>
    <w:qFormat/>
    <w:pPr>
      <w:spacing w:after="120"/>
      <w:tabs>
        <w:tab w:val="left" w:pos="420" w:leader="none"/>
      </w:tabs>
    </w:pPr>
  </w:style>
  <w:style w:type="paragraph" w:styleId="804">
    <w:name w:val="Body Text Indent"/>
    <w:basedOn w:val="786"/>
    <w:next w:val="805"/>
    <w:uiPriority w:val="99"/>
    <w:unhideWhenUsed/>
    <w:qFormat/>
    <w:pPr>
      <w:ind w:firstLine="425"/>
      <w:spacing w:line="360" w:lineRule="auto"/>
    </w:pPr>
  </w:style>
  <w:style w:type="paragraph" w:styleId="805">
    <w:name w:val="envelope return"/>
    <w:basedOn w:val="786"/>
    <w:uiPriority w:val="99"/>
    <w:unhideWhenUsed/>
    <w:qFormat/>
    <w:rPr>
      <w:rFonts w:ascii="Arial" w:hAnsi="Arial"/>
    </w:rPr>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Plain Text"/>
    <w:basedOn w:val="786"/>
    <w:uiPriority w:val="99"/>
    <w:qFormat/>
    <w:pPr>
      <w:ind w:firstLine="200"/>
      <w:spacing w:line="360" w:lineRule="auto"/>
    </w:pPr>
    <w:rPr>
      <w:rFonts w:ascii="宋体" w:hAnsi="Courier New"/>
      <w:sz w:val="21"/>
      <w:szCs w:val="21"/>
    </w:rPr>
  </w:style>
  <w:style w:type="paragraph" w:styleId="809">
    <w:name w:val="toc 8"/>
    <w:basedOn w:val="786"/>
    <w:next w:val="786"/>
    <w:uiPriority w:val="39"/>
    <w:unhideWhenUsed/>
    <w:qFormat/>
    <w:pPr>
      <w:ind w:left="1984"/>
      <w:spacing w:after="57"/>
    </w:pPr>
  </w:style>
  <w:style w:type="paragraph" w:styleId="810">
    <w:name w:val="Body Text Indent 2"/>
    <w:basedOn w:val="786"/>
    <w:uiPriority w:val="0"/>
    <w:qFormat/>
    <w:pPr>
      <w:ind w:firstLine="540"/>
      <w:spacing w:line="360" w:lineRule="auto"/>
    </w:pPr>
    <w:rPr>
      <w:rFonts w:ascii="宋体" w:hAnsi="宋体"/>
    </w:rPr>
  </w:style>
  <w:style w:type="paragraph" w:styleId="811">
    <w:name w:val="endnote text"/>
    <w:basedOn w:val="786"/>
    <w:link w:val="1016"/>
    <w:uiPriority w:val="99"/>
    <w:semiHidden/>
    <w:unhideWhenUsed/>
    <w:qFormat/>
    <w:pPr>
      <w:spacing w:line="240" w:lineRule="auto"/>
    </w:pPr>
    <w:rPr>
      <w:sz w:val="20"/>
    </w:rPr>
  </w:style>
  <w:style w:type="paragraph" w:styleId="812">
    <w:name w:val="Balloon Text"/>
    <w:basedOn w:val="786"/>
    <w:link w:val="1042"/>
    <w:uiPriority w:val="99"/>
    <w:semiHidden/>
    <w:unhideWhenUsed/>
    <w:qFormat/>
    <w:pPr>
      <w:spacing w:line="240" w:lineRule="auto"/>
    </w:pPr>
    <w:rPr>
      <w:sz w:val="18"/>
      <w:szCs w:val="18"/>
    </w:rPr>
  </w:style>
  <w:style w:type="paragraph" w:styleId="813">
    <w:name w:val="Footer"/>
    <w:basedOn w:val="786"/>
    <w:link w:val="908"/>
    <w:uiPriority w:val="99"/>
    <w:unhideWhenUsed/>
    <w:qFormat/>
    <w:pPr>
      <w:spacing w:line="240" w:lineRule="auto"/>
      <w:tabs>
        <w:tab w:val="center" w:pos="7143" w:leader="none"/>
        <w:tab w:val="right" w:pos="14287" w:leader="none"/>
      </w:tabs>
    </w:pPr>
  </w:style>
  <w:style w:type="paragraph" w:styleId="814">
    <w:name w:val="Header"/>
    <w:basedOn w:val="786"/>
    <w:link w:val="906"/>
    <w:uiPriority w:val="99"/>
    <w:unhideWhenUsed/>
    <w:qFormat/>
    <w:pPr>
      <w:spacing w:line="240" w:lineRule="auto"/>
      <w:tabs>
        <w:tab w:val="center" w:pos="7143" w:leader="none"/>
        <w:tab w:val="right" w:pos="14287" w:leader="none"/>
      </w:tabs>
    </w:pPr>
  </w:style>
  <w:style w:type="paragraph" w:styleId="815">
    <w:name w:val="toc 1"/>
    <w:basedOn w:val="786"/>
    <w:next w:val="786"/>
    <w:uiPriority w:val="0"/>
    <w:qFormat/>
  </w:style>
  <w:style w:type="paragraph" w:styleId="816">
    <w:name w:val="toc 4"/>
    <w:basedOn w:val="786"/>
    <w:next w:val="786"/>
    <w:uiPriority w:val="39"/>
    <w:unhideWhenUsed/>
    <w:qFormat/>
    <w:pPr>
      <w:ind w:left="850"/>
      <w:spacing w:after="57"/>
    </w:pPr>
  </w:style>
  <w:style w:type="paragraph" w:styleId="817">
    <w:name w:val="Subtitle"/>
    <w:basedOn w:val="786"/>
    <w:next w:val="786"/>
    <w:link w:val="901"/>
    <w:uiPriority w:val="11"/>
    <w:qFormat/>
    <w:pPr>
      <w:spacing w:before="200" w:after="200"/>
    </w:pPr>
    <w:rPr>
      <w:szCs w:val="24"/>
    </w:rPr>
  </w:style>
  <w:style w:type="paragraph" w:styleId="818">
    <w:name w:val="footnote text"/>
    <w:basedOn w:val="786"/>
    <w:uiPriority w:val="0"/>
    <w:qFormat/>
    <w:rPr>
      <w:sz w:val="18"/>
    </w:rPr>
  </w:style>
  <w:style w:type="paragraph" w:styleId="819">
    <w:name w:val="toc 6"/>
    <w:basedOn w:val="786"/>
    <w:next w:val="786"/>
    <w:uiPriority w:val="39"/>
    <w:unhideWhenUsed/>
    <w:qFormat/>
    <w:pPr>
      <w:ind w:left="1417"/>
      <w:spacing w:after="57"/>
    </w:pPr>
  </w:style>
  <w:style w:type="paragraph" w:styleId="820">
    <w:name w:val="Body Text Indent 3"/>
    <w:basedOn w:val="786"/>
    <w:uiPriority w:val="0"/>
    <w:qFormat/>
    <w:pPr>
      <w:ind w:firstLine="570"/>
      <w:spacing w:line="520" w:lineRule="exact"/>
    </w:pPr>
    <w:rPr>
      <w:rFonts w:ascii="宋体" w:hAnsi="宋体"/>
    </w:rPr>
  </w:style>
  <w:style w:type="paragraph" w:styleId="821">
    <w:name w:val="table of figures"/>
    <w:basedOn w:val="786"/>
    <w:next w:val="786"/>
    <w:uiPriority w:val="99"/>
    <w:unhideWhenUsed/>
    <w:qFormat/>
  </w:style>
  <w:style w:type="paragraph" w:styleId="822">
    <w:name w:val="toc 2"/>
    <w:basedOn w:val="786"/>
    <w:next w:val="786"/>
    <w:uiPriority w:val="39"/>
    <w:unhideWhenUsed/>
    <w:qFormat/>
    <w:pPr>
      <w:ind w:left="283"/>
      <w:spacing w:after="57"/>
    </w:pPr>
  </w:style>
  <w:style w:type="paragraph" w:styleId="823">
    <w:name w:val="toc 9"/>
    <w:basedOn w:val="786"/>
    <w:next w:val="786"/>
    <w:uiPriority w:val="39"/>
    <w:unhideWhenUsed/>
    <w:qFormat/>
    <w:pPr>
      <w:ind w:left="2268"/>
      <w:spacing w:after="57"/>
    </w:pPr>
  </w:style>
  <w:style w:type="paragraph" w:styleId="824">
    <w:name w:val="Title"/>
    <w:basedOn w:val="786"/>
    <w:next w:val="786"/>
    <w:link w:val="900"/>
    <w:uiPriority w:val="10"/>
    <w:qFormat/>
    <w:pPr>
      <w:contextualSpacing/>
      <w:spacing w:before="300" w:after="200"/>
    </w:pPr>
    <w:rPr>
      <w:sz w:val="48"/>
      <w:szCs w:val="48"/>
    </w:rPr>
  </w:style>
  <w:style w:type="paragraph" w:styleId="825">
    <w:name w:val="annotation subject"/>
    <w:basedOn w:val="802"/>
    <w:next w:val="802"/>
    <w:link w:val="1041"/>
    <w:uiPriority w:val="99"/>
    <w:semiHidden/>
    <w:unhideWhenUsed/>
    <w:qFormat/>
    <w:rPr>
      <w:b/>
      <w:bCs/>
    </w:rPr>
  </w:style>
  <w:style w:type="paragraph" w:styleId="826">
    <w:name w:val="Body Text First Indent"/>
    <w:basedOn w:val="803"/>
    <w:uiPriority w:val="0"/>
    <w:qFormat/>
    <w:pPr>
      <w:ind w:firstLine="420"/>
      <w:spacing w:after="0"/>
    </w:pPr>
    <w:rPr>
      <w:sz w:val="28"/>
      <w:szCs w:val="28"/>
    </w:rPr>
  </w:style>
  <w:style w:type="paragraph" w:styleId="827">
    <w:name w:val="Body Text First Indent 2"/>
    <w:basedOn w:val="804"/>
    <w:uiPriority w:val="0"/>
    <w:qFormat/>
    <w:pPr>
      <w:ind w:firstLine="420"/>
    </w:pPr>
    <w:rPr>
      <w:rFonts w:ascii="宋体" w:hAnsi="宋体"/>
    </w:rPr>
  </w:style>
  <w:style w:type="table" w:styleId="828">
    <w:name w:val="Table Grid"/>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basedOn w:val="796"/>
    <w:uiPriority w:val="0"/>
    <w:qFormat/>
    <w:rPr>
      <w:b/>
    </w:rPr>
  </w:style>
  <w:style w:type="character" w:styleId="830">
    <w:name w:val="endnote reference"/>
    <w:basedOn w:val="796"/>
    <w:uiPriority w:val="99"/>
    <w:semiHidden/>
    <w:unhideWhenUsed/>
    <w:qFormat/>
    <w:rPr>
      <w:vertAlign w:val="superscript"/>
    </w:rPr>
  </w:style>
  <w:style w:type="character" w:styleId="831">
    <w:name w:val="Hyperlink"/>
    <w:uiPriority w:val="99"/>
    <w:unhideWhenUsed/>
    <w:qFormat/>
    <w:rPr>
      <w:color w:val="0563c1" w:themeColor="hyperlink"/>
      <w:u w:val="single"/>
      <w14:textFill>
        <w14:solidFill>
          <w14:schemeClr w14:val="hlink"/>
        </w14:solidFill>
      </w14:textFill>
    </w:rPr>
  </w:style>
  <w:style w:type="character" w:styleId="832">
    <w:name w:val="annotation reference"/>
    <w:basedOn w:val="796"/>
    <w:uiPriority w:val="99"/>
    <w:semiHidden/>
    <w:unhideWhenUsed/>
    <w:qFormat/>
    <w:rPr>
      <w:sz w:val="21"/>
      <w:szCs w:val="21"/>
    </w:rPr>
  </w:style>
  <w:style w:type="character" w:styleId="833">
    <w:name w:val="footnote reference"/>
    <w:basedOn w:val="796"/>
    <w:uiPriority w:val="99"/>
    <w:unhideWhenUsed/>
    <w:qFormat/>
    <w:rPr>
      <w:vertAlign w:val="superscript"/>
    </w:rPr>
  </w:style>
  <w:style w:type="paragraph" w:styleId="834" w:customStyle="1">
    <w:name w:val="标题 11"/>
    <w:basedOn w:val="835"/>
    <w:next w:val="835"/>
    <w:uiPriority w:val="0"/>
    <w:qFormat/>
    <w:pPr>
      <w:jc w:val="center"/>
      <w:keepLines/>
      <w:keepNext/>
      <w:spacing w:line="578" w:lineRule="auto"/>
      <w:outlineLvl w:val="0"/>
    </w:pPr>
    <w:rPr>
      <w:rFonts w:eastAsia="新宋体"/>
      <w:b/>
      <w:bCs/>
      <w:sz w:val="30"/>
      <w:szCs w:val="44"/>
    </w:rPr>
  </w:style>
  <w:style w:type="paragraph" w:styleId="835" w:customStyle="1">
    <w:name w:val="正文1"/>
    <w:basedOn w:val="836"/>
    <w:next w:val="839"/>
    <w:uiPriority w:val="0"/>
    <w:qFormat/>
  </w:style>
  <w:style w:type="paragraph" w:styleId="836" w:customStyle="1">
    <w:name w:val="正文11"/>
    <w:next w:val="837"/>
    <w:link w:val="1037"/>
    <w:uiPriority w:val="0"/>
    <w:qFormat/>
    <w:pPr>
      <w:jc w:val="both"/>
      <w:widowControl w:val="off"/>
    </w:pPr>
    <w:rPr>
      <w:rFonts w:ascii="Times New Roman" w:hAnsi="Times New Roman" w:eastAsia="宋体" w:cs="Times New Roman"/>
      <w:sz w:val="21"/>
      <w:szCs w:val="24"/>
      <w:lang w:val="en-US" w:eastAsia="zh-CN" w:bidi="ar-SA"/>
    </w:rPr>
  </w:style>
  <w:style w:type="paragraph" w:styleId="837" w:customStyle="1">
    <w:name w:val="标题 21"/>
    <w:basedOn w:val="838"/>
    <w:next w:val="838"/>
    <w:uiPriority w:val="0"/>
    <w:qFormat/>
    <w:pPr>
      <w:ind w:firstLine="600"/>
      <w:spacing w:line="520" w:lineRule="exact"/>
      <w:outlineLvl w:val="1"/>
    </w:pPr>
    <w:rPr>
      <w:rFonts w:ascii="黑体" w:hAnsi="黑体" w:eastAsia="黑体"/>
      <w:sz w:val="30"/>
      <w:szCs w:val="30"/>
    </w:rPr>
  </w:style>
  <w:style w:type="paragraph" w:styleId="838" w:customStyle="1">
    <w:name w:val="正文12"/>
    <w:next w:val="837"/>
    <w:uiPriority w:val="0"/>
    <w:qFormat/>
    <w:pPr>
      <w:jc w:val="both"/>
      <w:widowControl w:val="off"/>
    </w:pPr>
    <w:rPr>
      <w:rFonts w:ascii="Times New Roman" w:hAnsi="Times New Roman" w:eastAsia="宋体" w:cs="Times New Roman"/>
      <w:sz w:val="21"/>
      <w:szCs w:val="24"/>
      <w:lang w:val="en-US" w:eastAsia="zh-CN" w:bidi="ar-SA"/>
    </w:rPr>
  </w:style>
  <w:style w:type="paragraph" w:styleId="839" w:customStyle="1">
    <w:name w:val="首行缩进"/>
    <w:basedOn w:val="835"/>
    <w:next w:val="786"/>
    <w:uiPriority w:val="0"/>
    <w:qFormat/>
    <w:pPr>
      <w:ind w:left="0" w:firstLine="200"/>
      <w:jc w:val="both"/>
      <w:widowControl w:val="off"/>
    </w:pPr>
    <w:rPr>
      <w:rFonts w:ascii="Times New Roman"/>
    </w:rPr>
  </w:style>
  <w:style w:type="paragraph" w:styleId="840" w:customStyle="1">
    <w:name w:val="正文111"/>
    <w:next w:val="841"/>
    <w:uiPriority w:val="0"/>
    <w:qFormat/>
    <w:pPr>
      <w:jc w:val="both"/>
      <w:widowControl w:val="off"/>
    </w:pPr>
    <w:rPr>
      <w:rFonts w:ascii="Times New Roman" w:hAnsi="Times New Roman" w:eastAsia="宋体" w:cs="Times New Roman"/>
      <w:sz w:val="21"/>
      <w:szCs w:val="24"/>
      <w:lang w:val="en-US" w:eastAsia="zh-CN" w:bidi="ar-SA"/>
    </w:rPr>
  </w:style>
  <w:style w:type="paragraph" w:styleId="841" w:customStyle="1">
    <w:name w:val="正文文本1"/>
    <w:basedOn w:val="835"/>
    <w:next w:val="840"/>
    <w:uiPriority w:val="0"/>
    <w:qFormat/>
    <w:pPr>
      <w:spacing w:after="120"/>
    </w:pPr>
  </w:style>
  <w:style w:type="paragraph" w:styleId="842" w:customStyle="1">
    <w:name w:val="正文文本缩进11"/>
    <w:basedOn w:val="843"/>
    <w:next w:val="847"/>
    <w:uiPriority w:val="0"/>
    <w:qFormat/>
    <w:pPr>
      <w:ind w:firstLine="538"/>
    </w:pPr>
    <w:rPr>
      <w:sz w:val="28"/>
    </w:rPr>
  </w:style>
  <w:style w:type="paragraph" w:styleId="843" w:customStyle="1">
    <w:name w:val="正文112"/>
    <w:next w:val="844"/>
    <w:uiPriority w:val="0"/>
    <w:qFormat/>
    <w:pPr>
      <w:jc w:val="both"/>
      <w:widowControl w:val="off"/>
    </w:pPr>
    <w:rPr>
      <w:rFonts w:ascii="Times New Roman" w:hAnsi="Times New Roman" w:eastAsia="宋体" w:cs="Times New Roman"/>
      <w:sz w:val="21"/>
      <w:szCs w:val="24"/>
      <w:lang w:val="en-US" w:eastAsia="zh-CN" w:bidi="ar-SA"/>
    </w:rPr>
  </w:style>
  <w:style w:type="paragraph" w:styleId="844" w:customStyle="1">
    <w:name w:val="正文首行缩进1"/>
    <w:basedOn w:val="845"/>
    <w:next w:val="846"/>
    <w:uiPriority w:val="0"/>
    <w:qFormat/>
    <w:pPr>
      <w:ind w:firstLine="200"/>
      <w:spacing w:line="360" w:lineRule="auto"/>
    </w:pPr>
    <w:rPr>
      <w:rFonts w:ascii="仿宋_GB2312" w:eastAsia="仿宋_GB2312"/>
      <w:sz w:val="30"/>
      <w:szCs w:val="30"/>
    </w:rPr>
  </w:style>
  <w:style w:type="paragraph" w:styleId="845" w:customStyle="1">
    <w:name w:val="正文文本11"/>
    <w:basedOn w:val="836"/>
    <w:next w:val="786"/>
    <w:uiPriority w:val="0"/>
    <w:qFormat/>
    <w:pPr>
      <w:spacing w:after="120"/>
    </w:pPr>
  </w:style>
  <w:style w:type="paragraph" w:styleId="846" w:customStyle="1">
    <w:name w:val="正文首行缩进 211"/>
    <w:basedOn w:val="842"/>
    <w:next w:val="843"/>
    <w:uiPriority w:val="0"/>
    <w:qFormat/>
    <w:pPr>
      <w:ind w:firstLine="420"/>
    </w:pPr>
    <w:rPr>
      <w:sz w:val="24"/>
    </w:rPr>
  </w:style>
  <w:style w:type="paragraph" w:styleId="847" w:customStyle="1">
    <w:name w:val="样式 正文文本缩进 + 首行缩进:  2 字符 行距: 1.5 倍行距"/>
    <w:basedOn w:val="842"/>
    <w:uiPriority w:val="0"/>
    <w:qFormat/>
    <w:pPr>
      <w:ind w:firstLine="645"/>
      <w:spacing w:before="156" w:after="120"/>
    </w:pPr>
    <w:rPr>
      <w:rFonts w:ascii="Calibri" w:hAnsi="Calibri"/>
    </w:rPr>
  </w:style>
  <w:style w:type="paragraph" w:styleId="848" w:customStyle="1">
    <w:name w:val="标题 311"/>
    <w:basedOn w:val="840"/>
    <w:next w:val="840"/>
    <w:uiPriority w:val="0"/>
    <w:qFormat/>
    <w:pPr>
      <w:keepLines/>
      <w:keepNext/>
      <w:spacing w:before="320" w:after="200"/>
      <w:outlineLvl w:val="2"/>
    </w:pPr>
    <w:rPr>
      <w:rFonts w:ascii="Arial" w:hAnsi="Arial" w:eastAsia="Arial"/>
      <w:sz w:val="30"/>
      <w:szCs w:val="30"/>
    </w:rPr>
  </w:style>
  <w:style w:type="paragraph" w:styleId="849" w:customStyle="1">
    <w:name w:val="正文文本缩进1"/>
    <w:basedOn w:val="835"/>
    <w:next w:val="850"/>
    <w:uiPriority w:val="0"/>
    <w:qFormat/>
    <w:pPr>
      <w:ind w:left="420"/>
      <w:spacing w:after="120"/>
    </w:pPr>
  </w:style>
  <w:style w:type="paragraph" w:styleId="850" w:customStyle="1">
    <w:name w:val="寄信人地址1"/>
    <w:basedOn w:val="836"/>
    <w:uiPriority w:val="0"/>
    <w:qFormat/>
    <w:rPr>
      <w:rFonts w:ascii="Arial" w:hAnsi="Arial"/>
    </w:rPr>
  </w:style>
  <w:style w:type="paragraph" w:styleId="851" w:customStyle="1">
    <w:name w:val="脚注文本1"/>
    <w:basedOn w:val="838"/>
    <w:next w:val="852"/>
    <w:uiPriority w:val="0"/>
    <w:qFormat/>
    <w:pPr>
      <w:jc w:val="left"/>
    </w:pPr>
    <w:rPr>
      <w:rFonts w:ascii="宋体" w:eastAsia="Times New Roman"/>
      <w:sz w:val="18"/>
      <w:szCs w:val="18"/>
    </w:rPr>
  </w:style>
  <w:style w:type="paragraph" w:styleId="852" w:customStyle="1">
    <w:name w:val="索引 51"/>
    <w:basedOn w:val="840"/>
    <w:next w:val="835"/>
    <w:uiPriority w:val="0"/>
    <w:qFormat/>
    <w:pPr>
      <w:ind w:left="798"/>
      <w:jc w:val="left"/>
    </w:pPr>
    <w:rPr>
      <w:rFonts w:ascii="Calibri" w:hAnsi="Calibri"/>
    </w:rPr>
  </w:style>
  <w:style w:type="paragraph" w:styleId="853" w:customStyle="1">
    <w:name w:val="正文文本111"/>
    <w:basedOn w:val="838"/>
    <w:next w:val="838"/>
    <w:uiPriority w:val="0"/>
    <w:qFormat/>
  </w:style>
  <w:style w:type="character" w:styleId="854" w:customStyle="1">
    <w:name w:val="Heading 6 Char"/>
    <w:basedOn w:val="796"/>
    <w:uiPriority w:val="9"/>
    <w:qFormat/>
    <w:rPr>
      <w:rFonts w:ascii="Arial" w:hAnsi="Arial" w:eastAsia="Arial" w:cs="Arial"/>
      <w:b/>
      <w:bCs/>
      <w:sz w:val="22"/>
      <w:szCs w:val="22"/>
    </w:rPr>
  </w:style>
  <w:style w:type="character" w:styleId="855" w:customStyle="1">
    <w:name w:val="Heading 7 Char"/>
    <w:basedOn w:val="796"/>
    <w:uiPriority w:val="9"/>
    <w:qFormat/>
    <w:rPr>
      <w:rFonts w:ascii="Arial" w:hAnsi="Arial" w:eastAsia="Arial" w:cs="Arial"/>
      <w:b/>
      <w:bCs/>
      <w:i/>
      <w:iCs/>
      <w:sz w:val="22"/>
      <w:szCs w:val="22"/>
    </w:rPr>
  </w:style>
  <w:style w:type="character" w:styleId="856" w:customStyle="1">
    <w:name w:val="Heading 8 Char"/>
    <w:basedOn w:val="796"/>
    <w:uiPriority w:val="9"/>
    <w:qFormat/>
    <w:rPr>
      <w:rFonts w:ascii="Arial" w:hAnsi="Arial" w:eastAsia="Arial" w:cs="Arial"/>
      <w:i/>
      <w:iCs/>
      <w:sz w:val="22"/>
      <w:szCs w:val="22"/>
    </w:rPr>
  </w:style>
  <w:style w:type="character" w:styleId="857" w:customStyle="1">
    <w:name w:val="Heading 9 Char"/>
    <w:basedOn w:val="796"/>
    <w:uiPriority w:val="9"/>
    <w:qFormat/>
    <w:rPr>
      <w:rFonts w:ascii="Arial" w:hAnsi="Arial" w:eastAsia="Arial" w:cs="Arial"/>
      <w:i/>
      <w:iCs/>
      <w:sz w:val="21"/>
      <w:szCs w:val="21"/>
    </w:rPr>
  </w:style>
  <w:style w:type="character" w:styleId="858" w:customStyle="1">
    <w:name w:val="Title Char"/>
    <w:basedOn w:val="796"/>
    <w:uiPriority w:val="10"/>
    <w:qFormat/>
    <w:rPr>
      <w:sz w:val="48"/>
      <w:szCs w:val="48"/>
    </w:rPr>
  </w:style>
  <w:style w:type="character" w:styleId="859" w:customStyle="1">
    <w:name w:val="Subtitle Char"/>
    <w:basedOn w:val="796"/>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96"/>
    <w:uiPriority w:val="99"/>
    <w:qFormat/>
  </w:style>
  <w:style w:type="character" w:styleId="863" w:customStyle="1">
    <w:name w:val="Caption Char"/>
    <w:uiPriority w:val="99"/>
    <w:qFormat/>
  </w:style>
  <w:style w:type="table" w:styleId="864"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3" w:customStyle="1">
    <w:name w:val="Endnote Text Char"/>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标题 211"/>
    <w:basedOn w:val="836"/>
    <w:next w:val="836"/>
    <w:uiPriority w:val="0"/>
    <w:qFormat/>
    <w:pPr>
      <w:keepLines/>
      <w:keepNext/>
      <w:spacing w:before="260" w:after="260" w:line="416" w:lineRule="auto"/>
      <w:outlineLvl w:val="1"/>
    </w:pPr>
    <w:rPr>
      <w:rFonts w:ascii="Calibri Light" w:hAnsi="Calibri Light"/>
      <w:bCs/>
      <w:sz w:val="32"/>
      <w:szCs w:val="32"/>
    </w:rPr>
  </w:style>
  <w:style w:type="paragraph" w:styleId="886" w:customStyle="1">
    <w:name w:val="目录 11"/>
    <w:basedOn w:val="838"/>
    <w:next w:val="836"/>
    <w:uiPriority w:val="0"/>
    <w:qFormat/>
    <w:pPr>
      <w:jc w:val="left"/>
      <w:spacing w:after="100" w:line="259" w:lineRule="auto"/>
      <w:widowControl/>
    </w:pPr>
    <w:rPr>
      <w:rFonts w:ascii="Calibri" w:hAnsi="Calibri"/>
      <w:sz w:val="22"/>
      <w:szCs w:val="22"/>
    </w:rPr>
  </w:style>
  <w:style w:type="paragraph" w:styleId="887" w:customStyle="1">
    <w:name w:val="正文缩进11"/>
    <w:basedOn w:val="838"/>
    <w:uiPriority w:val="0"/>
    <w:qFormat/>
    <w:pPr>
      <w:ind w:firstLine="420"/>
    </w:pPr>
  </w:style>
  <w:style w:type="paragraph" w:styleId="888" w:customStyle="1">
    <w:name w:val="文本块1"/>
    <w:basedOn w:val="836"/>
    <w:uiPriority w:val="0"/>
    <w:qFormat/>
    <w:pPr>
      <w:ind w:left="567" w:right="454" w:firstLine="498"/>
      <w:jc w:val="left"/>
      <w:widowControl/>
    </w:pPr>
    <w:rPr>
      <w:rFonts w:ascii="仿宋_GB2312" w:eastAsia="仿宋_GB2312"/>
      <w:sz w:val="30"/>
      <w:szCs w:val="20"/>
    </w:rPr>
  </w:style>
  <w:style w:type="character" w:styleId="889" w:customStyle="1">
    <w:name w:val="Heading 1 Char"/>
    <w:basedOn w:val="796"/>
    <w:uiPriority w:val="9"/>
    <w:qFormat/>
    <w:rPr>
      <w:rFonts w:ascii="Arial" w:hAnsi="Arial" w:eastAsia="Arial" w:cs="Arial"/>
      <w:sz w:val="40"/>
      <w:szCs w:val="40"/>
    </w:rPr>
  </w:style>
  <w:style w:type="character" w:styleId="890" w:customStyle="1">
    <w:name w:val="Heading 2 Char"/>
    <w:basedOn w:val="796"/>
    <w:uiPriority w:val="9"/>
    <w:qFormat/>
    <w:rPr>
      <w:rFonts w:ascii="Arial" w:hAnsi="Arial" w:eastAsia="Arial" w:cs="Arial"/>
      <w:sz w:val="34"/>
    </w:rPr>
  </w:style>
  <w:style w:type="character" w:styleId="891" w:customStyle="1">
    <w:name w:val="Heading 3 Char"/>
    <w:basedOn w:val="796"/>
    <w:uiPriority w:val="9"/>
    <w:qFormat/>
    <w:rPr>
      <w:rFonts w:ascii="Arial" w:hAnsi="Arial" w:eastAsia="Arial" w:cs="Arial"/>
      <w:sz w:val="30"/>
      <w:szCs w:val="30"/>
    </w:rPr>
  </w:style>
  <w:style w:type="character" w:styleId="892" w:customStyle="1">
    <w:name w:val="Heading 4 Char"/>
    <w:basedOn w:val="796"/>
    <w:uiPriority w:val="9"/>
    <w:qFormat/>
    <w:rPr>
      <w:rFonts w:ascii="Arial" w:hAnsi="Arial" w:eastAsia="Arial" w:cs="Arial"/>
      <w:b/>
      <w:bCs/>
      <w:sz w:val="26"/>
      <w:szCs w:val="26"/>
    </w:rPr>
  </w:style>
  <w:style w:type="character" w:styleId="893" w:customStyle="1">
    <w:name w:val="Heading 5 Char"/>
    <w:basedOn w:val="796"/>
    <w:uiPriority w:val="9"/>
    <w:qFormat/>
    <w:rPr>
      <w:rFonts w:ascii="Arial" w:hAnsi="Arial" w:eastAsia="Arial" w:cs="Arial"/>
      <w:b/>
      <w:bCs/>
      <w:sz w:val="24"/>
      <w:szCs w:val="24"/>
    </w:rPr>
  </w:style>
  <w:style w:type="character" w:styleId="894" w:customStyle="1">
    <w:name w:val="标题 6 字符"/>
    <w:basedOn w:val="796"/>
    <w:link w:val="792"/>
    <w:uiPriority w:val="9"/>
    <w:qFormat/>
    <w:rPr>
      <w:rFonts w:ascii="Arial" w:hAnsi="Arial" w:eastAsia="Arial" w:cs="Arial"/>
      <w:b/>
      <w:bCs/>
      <w:sz w:val="22"/>
      <w:szCs w:val="22"/>
    </w:rPr>
  </w:style>
  <w:style w:type="character" w:styleId="895" w:customStyle="1">
    <w:name w:val="标题 7 字符"/>
    <w:basedOn w:val="796"/>
    <w:link w:val="793"/>
    <w:uiPriority w:val="9"/>
    <w:qFormat/>
    <w:rPr>
      <w:rFonts w:ascii="Arial" w:hAnsi="Arial" w:eastAsia="Arial" w:cs="Arial"/>
      <w:b/>
      <w:bCs/>
      <w:i/>
      <w:iCs/>
      <w:sz w:val="22"/>
      <w:szCs w:val="22"/>
    </w:rPr>
  </w:style>
  <w:style w:type="character" w:styleId="896" w:customStyle="1">
    <w:name w:val="标题 8 字符"/>
    <w:basedOn w:val="796"/>
    <w:link w:val="794"/>
    <w:uiPriority w:val="9"/>
    <w:qFormat/>
    <w:rPr>
      <w:rFonts w:ascii="Arial" w:hAnsi="Arial" w:eastAsia="Arial" w:cs="Arial"/>
      <w:i/>
      <w:iCs/>
      <w:sz w:val="22"/>
      <w:szCs w:val="22"/>
    </w:rPr>
  </w:style>
  <w:style w:type="character" w:styleId="897" w:customStyle="1">
    <w:name w:val="标题 9 字符"/>
    <w:basedOn w:val="796"/>
    <w:link w:val="795"/>
    <w:uiPriority w:val="9"/>
    <w:qFormat/>
    <w:rPr>
      <w:rFonts w:ascii="Arial" w:hAnsi="Arial" w:eastAsia="Arial" w:cs="Arial"/>
      <w:i/>
      <w:iCs/>
      <w:sz w:val="21"/>
      <w:szCs w:val="21"/>
    </w:rPr>
  </w:style>
  <w:style w:type="paragraph" w:styleId="898">
    <w:name w:val="List Paragraph"/>
    <w:basedOn w:val="786"/>
    <w:next w:val="786"/>
    <w:uiPriority w:val="34"/>
    <w:qFormat/>
    <w:pPr>
      <w:contextualSpacing/>
      <w:ind w:left="720"/>
    </w:pPr>
  </w:style>
  <w:style w:type="paragraph" w:styleId="899">
    <w:name w:val="No Spacing"/>
    <w:uiPriority w:val="1"/>
    <w:qFormat/>
    <w:rPr>
      <w:rFonts w:ascii="Times New Roman" w:hAnsi="Times New Roman" w:eastAsia="宋体" w:cs="Times New Roman"/>
      <w:lang w:val="en-US" w:eastAsia="zh-CN" w:bidi="ar-SA"/>
    </w:rPr>
  </w:style>
  <w:style w:type="character" w:styleId="900" w:customStyle="1">
    <w:name w:val="标题 字符"/>
    <w:basedOn w:val="796"/>
    <w:link w:val="824"/>
    <w:uiPriority w:val="10"/>
    <w:qFormat/>
    <w:rPr>
      <w:sz w:val="48"/>
      <w:szCs w:val="48"/>
    </w:rPr>
  </w:style>
  <w:style w:type="character" w:styleId="901" w:customStyle="1">
    <w:name w:val="副标题 字符"/>
    <w:basedOn w:val="796"/>
    <w:link w:val="817"/>
    <w:uiPriority w:val="11"/>
    <w:qFormat/>
    <w:rPr>
      <w:sz w:val="24"/>
      <w:szCs w:val="24"/>
    </w:rPr>
  </w:style>
  <w:style w:type="paragraph" w:styleId="902">
    <w:name w:val="Quote"/>
    <w:basedOn w:val="786"/>
    <w:next w:val="786"/>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786"/>
    <w:next w:val="786"/>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页眉 字符"/>
    <w:basedOn w:val="796"/>
    <w:link w:val="814"/>
    <w:uiPriority w:val="99"/>
    <w:qFormat/>
  </w:style>
  <w:style w:type="character" w:styleId="907" w:customStyle="1">
    <w:name w:val="Footer Char"/>
    <w:basedOn w:val="796"/>
    <w:uiPriority w:val="99"/>
    <w:qFormat/>
  </w:style>
  <w:style w:type="character" w:styleId="908" w:customStyle="1">
    <w:name w:val="页脚 字符"/>
    <w:link w:val="813"/>
    <w:uiPriority w:val="99"/>
    <w:qFormat/>
  </w:style>
  <w:style w:type="table" w:styleId="909"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0" w:customStyle="1">
    <w:name w:val="Grid Table 1 Light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Grid Table 3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 Accent 1"/>
    <w:basedOn w:val="7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9"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0"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1"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2" w:customStyle="1">
    <w:name w:val="Grid Table 4 - Accent 5"/>
    <w:basedOn w:val="7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3"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4"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Grid Table 6 Colorful - Accent 1"/>
    <w:basedOn w:val="7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1"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2"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3"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4" w:customStyle="1">
    <w:name w:val="Grid Table 6 Colorful - Accent 5"/>
    <w:basedOn w:val="7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5"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6" w:customStyle="1">
    <w:name w:val="Grid Table 7 Colorful - Accent 1"/>
    <w:basedOn w:val="7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7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 Accent 1"/>
    <w:basedOn w:val="79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7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7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79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79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7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8" w:customStyle="1">
    <w:name w:val="List Table 2 - Accent 1"/>
    <w:basedOn w:val="7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9"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0"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1"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2" w:customStyle="1">
    <w:name w:val="List Table 2 - Accent 5"/>
    <w:basedOn w:val="7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3"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4" w:customStyle="1">
    <w:name w:val="List Table 3 - Accent 1"/>
    <w:basedOn w:val="7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7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0" w:customStyle="1">
    <w:name w:val="List Table 4 - Accent 1"/>
    <w:basedOn w:val="7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1"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2" w:customStyle="1">
    <w:name w:val="List Table 4 - Accent 3"/>
    <w:basedOn w:val="7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3"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4" w:customStyle="1">
    <w:name w:val="List Table 4 - Accent 5"/>
    <w:basedOn w:val="7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5"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6" w:customStyle="1">
    <w:name w:val="List Table 5 Dark - Accent 1"/>
    <w:basedOn w:val="7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 Accent 1"/>
    <w:basedOn w:val="79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3"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4"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5"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6" w:customStyle="1">
    <w:name w:val="List Table 6 Colorful - Accent 5"/>
    <w:basedOn w:val="79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7"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8" w:customStyle="1">
    <w:name w:val="List Table 7 Colorful - Accent 1"/>
    <w:basedOn w:val="79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9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9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9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9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9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3"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Bordered &amp; Lined - Accent 5"/>
    <w:basedOn w:val="7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7"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0"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1"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2"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3" w:customStyle="1">
    <w:name w:val="Bordered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4"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5" w:customStyle="1">
    <w:name w:val="Footnote Text Char"/>
    <w:uiPriority w:val="99"/>
    <w:qFormat/>
    <w:rPr>
      <w:sz w:val="18"/>
    </w:rPr>
  </w:style>
  <w:style w:type="character" w:styleId="1016" w:customStyle="1">
    <w:name w:val="尾注文本 字符"/>
    <w:link w:val="811"/>
    <w:uiPriority w:val="99"/>
    <w:qFormat/>
    <w:rPr>
      <w:sz w:val="20"/>
    </w:rPr>
  </w:style>
  <w:style w:type="paragraph" w:styleId="1017" w:customStyle="1">
    <w:name w:val="TOC 标题11"/>
    <w:uiPriority w:val="39"/>
    <w:unhideWhenUsed/>
    <w:qFormat/>
    <w:rPr>
      <w:rFonts w:ascii="Times New Roman" w:hAnsi="Times New Roman" w:eastAsia="宋体" w:cs="Times New Roman"/>
      <w:lang w:val="en-US" w:eastAsia="zh-CN" w:bidi="ar-SA"/>
    </w:rPr>
  </w:style>
  <w:style w:type="character" w:styleId="1018" w:customStyle="1">
    <w:name w:val="标题 1 字符"/>
    <w:link w:val="787"/>
    <w:uiPriority w:val="0"/>
    <w:qFormat/>
    <w:rPr>
      <w:rFonts w:ascii="Arial" w:hAnsi="Arial" w:eastAsia="宋体" w:cs="微软雅黑"/>
      <w:b/>
      <w:sz w:val="36"/>
      <w:szCs w:val="32"/>
      <w:lang w:bidi="ar-SA"/>
    </w:rPr>
  </w:style>
  <w:style w:type="character" w:styleId="1019" w:customStyle="1">
    <w:name w:val="标题 2 字符"/>
    <w:link w:val="788"/>
    <w:uiPriority w:val="9"/>
    <w:qFormat/>
    <w:rPr>
      <w:rFonts w:ascii="Arial" w:hAnsi="Arial" w:eastAsia="宋体" w:cs="Times New Roman"/>
      <w:b/>
      <w:bCs/>
      <w:sz w:val="21"/>
      <w:szCs w:val="21"/>
      <w:lang w:bidi="ar-SA"/>
    </w:rPr>
  </w:style>
  <w:style w:type="character" w:styleId="1020" w:customStyle="1">
    <w:name w:val="标题 3 字符"/>
    <w:link w:val="789"/>
    <w:uiPriority w:val="0"/>
    <w:qFormat/>
    <w:rPr>
      <w:rFonts w:ascii="Arial" w:hAnsi="Arial" w:eastAsia="宋体" w:cstheme="minorBidi"/>
      <w:b/>
      <w:sz w:val="28"/>
      <w:szCs w:val="22"/>
      <w:lang w:val="en-US" w:eastAsia="en-US" w:bidi="ar-SA"/>
    </w:rPr>
  </w:style>
  <w:style w:type="character" w:styleId="1021" w:customStyle="1">
    <w:name w:val="标题 4 字符"/>
    <w:link w:val="790"/>
    <w:uiPriority w:val="0"/>
    <w:qFormat/>
    <w:rPr>
      <w:rFonts w:ascii="Arial" w:hAnsi="Arial" w:eastAsia="宋体"/>
      <w:b/>
      <w:sz w:val="24"/>
      <w:szCs w:val="20"/>
      <w:lang w:val="zh-CN"/>
    </w:rPr>
  </w:style>
  <w:style w:type="character" w:styleId="1022" w:customStyle="1">
    <w:name w:val="标题 5 字符"/>
    <w:link w:val="791"/>
    <w:uiPriority w:val="0"/>
    <w:qFormat/>
    <w:rPr>
      <w:rFonts w:eastAsia="宋体"/>
      <w:b/>
      <w:sz w:val="24"/>
    </w:rPr>
  </w:style>
  <w:style w:type="paragraph" w:styleId="1023" w:customStyle="1">
    <w:name w:val="正文首行缩进 21"/>
    <w:basedOn w:val="849"/>
    <w:next w:val="840"/>
    <w:uiPriority w:val="0"/>
    <w:qFormat/>
    <w:pPr>
      <w:ind w:left="0" w:firstLine="420"/>
      <w:spacing w:after="0" w:line="360" w:lineRule="auto"/>
    </w:pPr>
    <w:rPr>
      <w:rFonts w:ascii="宋体" w:hAnsi="宋体"/>
    </w:rPr>
  </w:style>
  <w:style w:type="paragraph" w:styleId="1024" w:customStyle="1">
    <w:name w:val="一级条标题"/>
    <w:basedOn w:val="1025"/>
    <w:next w:val="1026"/>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25" w:customStyle="1">
    <w:name w:val="章标题"/>
    <w:next w:val="83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26" w:customStyle="1">
    <w:name w:val="段"/>
    <w:basedOn w:val="835"/>
    <w:next w:val="835"/>
    <w:uiPriority w:val="0"/>
    <w:qFormat/>
    <w:pPr>
      <w:ind w:firstLine="200"/>
      <w:widowControl/>
    </w:pPr>
    <w:rPr>
      <w:rFonts w:ascii="宋体"/>
      <w:sz w:val="20"/>
      <w:szCs w:val="20"/>
    </w:rPr>
  </w:style>
  <w:style w:type="paragraph" w:styleId="1027" w:customStyle="1">
    <w:name w:val="PlainText1"/>
    <w:basedOn w:val="786"/>
    <w:uiPriority w:val="0"/>
    <w:qFormat/>
    <w:rPr>
      <w:rFonts w:ascii="宋体" w:hAnsi="Courier New"/>
    </w:rPr>
  </w:style>
  <w:style w:type="paragraph" w:styleId="1028" w:customStyle="1">
    <w:name w:val="UserStyle_0"/>
    <w:next w:val="786"/>
    <w:uiPriority w:val="0"/>
    <w:qFormat/>
    <w:rPr>
      <w:rFonts w:ascii="Times New Roman" w:hAnsi="Times New Roman" w:eastAsia="宋体" w:cs="Times New Roman"/>
      <w:color w:val="000000"/>
      <w:sz w:val="24"/>
      <w:szCs w:val="24"/>
      <w:lang w:val="en-US" w:eastAsia="zh-CN" w:bidi="ar-SA"/>
    </w:rPr>
  </w:style>
  <w:style w:type="paragraph" w:styleId="1029" w:customStyle="1">
    <w:name w:val="日期1"/>
    <w:basedOn w:val="835"/>
    <w:next w:val="835"/>
    <w:uiPriority w:val="0"/>
    <w:qFormat/>
    <w:rPr>
      <w:rFonts w:eastAsia="仿宋_GB2312"/>
      <w:sz w:val="28"/>
      <w:szCs w:val="20"/>
    </w:rPr>
  </w:style>
  <w:style w:type="paragraph" w:styleId="1030" w:customStyle="1">
    <w:name w:val="普通(网站)11"/>
    <w:basedOn w:val="835"/>
    <w:uiPriority w:val="0"/>
    <w:qFormat/>
    <w:pPr>
      <w:jc w:val="left"/>
      <w:spacing w:before="100" w:beforeAutospacing="1" w:after="100" w:afterAutospacing="1"/>
      <w:widowControl/>
    </w:pPr>
    <w:rPr>
      <w:rFonts w:ascii="宋体" w:hAnsi="宋体"/>
      <w:sz w:val="24"/>
    </w:rPr>
  </w:style>
  <w:style w:type="paragraph" w:styleId="1031" w:customStyle="1">
    <w:name w:val="页眉1"/>
    <w:basedOn w:val="835"/>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页脚1"/>
    <w:basedOn w:val="835"/>
    <w:uiPriority w:val="0"/>
    <w:qFormat/>
    <w:pPr>
      <w:jc w:val="left"/>
      <w:tabs>
        <w:tab w:val="center" w:pos="4153" w:leader="none"/>
        <w:tab w:val="right" w:pos="8306" w:leader="none"/>
      </w:tabs>
    </w:pPr>
    <w:rPr>
      <w:sz w:val="18"/>
      <w:szCs w:val="18"/>
    </w:rPr>
  </w:style>
  <w:style w:type="character" w:styleId="1033" w:customStyle="1">
    <w:name w:val="页码1"/>
    <w:uiPriority w:val="0"/>
    <w:qFormat/>
  </w:style>
  <w:style w:type="paragraph" w:styleId="1034" w:customStyle="1">
    <w:name w:val="纯文本1"/>
    <w:basedOn w:val="840"/>
    <w:uiPriority w:val="0"/>
    <w:qFormat/>
    <w:rPr>
      <w:rFonts w:ascii="宋体" w:hAnsi="Courier New"/>
      <w:szCs w:val="21"/>
    </w:rPr>
  </w:style>
  <w:style w:type="character" w:styleId="1035" w:customStyle="1">
    <w:name w:val="16"/>
    <w:basedOn w:val="1036"/>
    <w:uiPriority w:val="0"/>
    <w:qFormat/>
    <w:rPr>
      <w:rFonts w:hint="default" w:ascii="Times New Roman" w:hAnsi="Times New Roman" w:eastAsia="宋体" w:cs="Times New Roman"/>
      <w:sz w:val="21"/>
      <w:szCs w:val="24"/>
      <w:lang w:val="en-US" w:eastAsia="zh-CN" w:bidi="ar-SA"/>
    </w:rPr>
  </w:style>
  <w:style w:type="character" w:styleId="1036" w:customStyle="1">
    <w:name w:val="默认段落字体1"/>
    <w:uiPriority w:val="0"/>
    <w:semiHidden/>
    <w:qFormat/>
  </w:style>
  <w:style w:type="character" w:styleId="1037" w:customStyle="1">
    <w:name w:val="15"/>
    <w:basedOn w:val="796"/>
    <w:link w:val="836"/>
    <w:uiPriority w:val="0"/>
    <w:qFormat/>
    <w:rPr>
      <w:rFonts w:ascii="仿宋" w:hAnsi="仿宋" w:eastAsia="仿宋"/>
      <w:color w:val="000000"/>
      <w:sz w:val="18"/>
      <w:szCs w:val="18"/>
    </w:rPr>
  </w:style>
  <w:style w:type="paragraph" w:styleId="1038" w:customStyle="1">
    <w:name w:val="文本块11"/>
    <w:basedOn w:val="838"/>
    <w:uiPriority w:val="0"/>
    <w:qFormat/>
    <w:pPr>
      <w:ind w:left="420" w:right="33"/>
      <w:jc w:val="left"/>
    </w:pPr>
    <w:rPr>
      <w:sz w:val="24"/>
      <w:szCs w:val="20"/>
    </w:rPr>
  </w:style>
  <w:style w:type="paragraph" w:styleId="1039" w:customStyle="1">
    <w:name w:val="p0"/>
    <w:basedOn w:val="836"/>
    <w:uiPriority w:val="0"/>
    <w:qFormat/>
    <w:pPr>
      <w:widowControl/>
    </w:pPr>
    <w:rPr>
      <w:szCs w:val="21"/>
    </w:rPr>
  </w:style>
  <w:style w:type="character" w:styleId="1040" w:customStyle="1">
    <w:name w:val="批注文字 字符"/>
    <w:basedOn w:val="796"/>
    <w:link w:val="802"/>
    <w:uiPriority w:val="99"/>
    <w:semiHidden/>
    <w:qFormat/>
    <w:rPr>
      <w:rFonts w:ascii="Times New Roman" w:hAnsi="Times New Roman" w:eastAsia="宋体" w:cs="Times New Roman"/>
      <w:sz w:val="24"/>
    </w:rPr>
  </w:style>
  <w:style w:type="character" w:styleId="1041" w:customStyle="1">
    <w:name w:val="批注主题 字符"/>
    <w:basedOn w:val="1040"/>
    <w:link w:val="825"/>
    <w:uiPriority w:val="99"/>
    <w:semiHidden/>
    <w:qFormat/>
    <w:rPr>
      <w:rFonts w:ascii="Times New Roman" w:hAnsi="Times New Roman" w:eastAsia="宋体" w:cs="Times New Roman"/>
      <w:b/>
      <w:bCs/>
      <w:sz w:val="24"/>
    </w:rPr>
  </w:style>
  <w:style w:type="character" w:styleId="1042" w:customStyle="1">
    <w:name w:val="批注框文本 字符"/>
    <w:basedOn w:val="796"/>
    <w:link w:val="812"/>
    <w:uiPriority w:val="99"/>
    <w:semiHidden/>
    <w:qFormat/>
    <w:rPr>
      <w:rFonts w:ascii="Times New Roman" w:hAnsi="Times New Roman" w:eastAsia="宋体" w:cs="Times New Roman"/>
      <w:sz w:val="18"/>
      <w:szCs w:val="18"/>
    </w:rPr>
  </w:style>
  <w:style w:type="paragraph" w:styleId="1043" w:customStyle="1">
    <w:name w:val="Table Paragraph"/>
    <w:basedOn w:val="786"/>
    <w:uiPriority w:val="1"/>
    <w:qFormat/>
    <w:rPr>
      <w:rFonts w:ascii="宋体" w:hAnsi="宋体" w:cs="宋体"/>
      <w:lang w:val="zh-CN" w:bidi="zh-CN"/>
    </w:rPr>
  </w:style>
  <w:style w:type="character" w:styleId="1044" w:customStyle="1">
    <w:name w:val="font51"/>
    <w:basedOn w:val="796"/>
    <w:uiPriority w:val="0"/>
    <w:qFormat/>
    <w:rPr>
      <w:rFonts w:hint="eastAsia" w:ascii="宋体" w:hAnsi="宋体" w:eastAsia="宋体" w:cs="宋体"/>
      <w:b/>
      <w:bCs/>
      <w:color w:val="000000"/>
      <w:sz w:val="18"/>
      <w:szCs w:val="18"/>
      <w:u w:val="none"/>
    </w:rPr>
  </w:style>
  <w:style w:type="character" w:styleId="1045" w:customStyle="1">
    <w:name w:val="font31"/>
    <w:basedOn w:val="796"/>
    <w:uiPriority w:val="0"/>
    <w:qFormat/>
    <w:rPr>
      <w:rFonts w:hint="eastAsia" w:ascii="宋体" w:hAnsi="宋体" w:eastAsia="宋体" w:cs="宋体"/>
      <w:color w:val="000000"/>
      <w:sz w:val="22"/>
      <w:szCs w:val="22"/>
      <w:u w:val="single"/>
    </w:rPr>
  </w:style>
  <w:style w:type="paragraph" w:styleId="10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7" w:customStyle="1">
    <w:name w:val="Body text|1"/>
    <w:basedOn w:val="786"/>
    <w:uiPriority w:val="0"/>
    <w:qFormat/>
    <w:pPr>
      <w:ind w:firstLine="400"/>
      <w:spacing w:after="220" w:line="408" w:lineRule="auto"/>
      <w:widowControl w:val="off"/>
    </w:pPr>
    <w:rPr>
      <w:rFonts w:ascii="宋体" w:hAnsi="宋体" w:cs="宋体"/>
      <w:sz w:val="30"/>
      <w:szCs w:val="30"/>
      <w:lang w:val="zh-TW" w:eastAsia="zh-TW" w:bidi="zh-TW"/>
    </w:rPr>
  </w:style>
  <w:style w:type="paragraph" w:styleId="1048" w:customStyle="1">
    <w:name w:val="普通正文"/>
    <w:basedOn w:val="786"/>
    <w:uiPriority w:val="0"/>
    <w:qFormat/>
    <w:pPr>
      <w:ind w:firstLine="480"/>
      <w:spacing w:before="120" w:after="120" w:line="360" w:lineRule="auto"/>
    </w:pPr>
    <w:rPr>
      <w:rFonts w:ascii="Arial" w:hAnsi="Arial"/>
      <w:szCs w:val="24"/>
    </w:rPr>
  </w:style>
  <w:style w:type="paragraph" w:styleId="1049" w:customStyle="1">
    <w:name w:val="_HT_正文"/>
    <w:basedOn w:val="786"/>
    <w:uiPriority w:val="0"/>
    <w:qFormat/>
    <w:pPr>
      <w:ind w:firstLine="200"/>
      <w:spacing w:line="360" w:lineRule="auto"/>
    </w:pPr>
  </w:style>
  <w:style w:type="paragraph" w:styleId="1050" w:customStyle="1">
    <w:name w:val="列出段落1"/>
    <w:basedOn w:val="786"/>
    <w:uiPriority w:val="0"/>
    <w:qFormat/>
    <w:pPr>
      <w:ind w:firstLine="420"/>
    </w:pPr>
    <w:rPr>
      <w:rFonts w:ascii="Calibri" w:hAnsi="Calibri"/>
      <w:szCs w:val="22"/>
    </w:rPr>
  </w:style>
  <w:style w:type="character" w:styleId="1051" w:customStyle="1">
    <w:name w:val="font11"/>
    <w:basedOn w:val="796"/>
    <w:uiPriority w:val="0"/>
    <w:qFormat/>
    <w:rPr>
      <w:rFonts w:hint="eastAsia" w:ascii="宋体" w:hAnsi="宋体" w:eastAsia="宋体" w:cs="宋体"/>
      <w:color w:val="000000"/>
      <w:sz w:val="24"/>
      <w:szCs w:val="24"/>
      <w:u w:val="none"/>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正  文"/>
    <w:basedOn w:val="786"/>
    <w:uiPriority w:val="99"/>
    <w:qFormat/>
    <w:pPr>
      <w:ind w:firstLine="200"/>
      <w:spacing w:line="360" w:lineRule="auto"/>
    </w:pPr>
    <w:rPr>
      <w:rFonts w:ascii="Calibri" w:hAnsi="Calibri"/>
    </w:rPr>
  </w:style>
  <w:style w:type="paragraph" w:styleId="1054" w:customStyle="1">
    <w:name w:val="正文1111"/>
    <w:next w:val="835"/>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Table Text"/>
    <w:basedOn w:val="786"/>
    <w:uiPriority w:val="0"/>
    <w:semiHidden/>
    <w:qFormat/>
    <w:rPr>
      <w:rFonts w:ascii="宋体" w:hAnsi="宋体" w:eastAsia="宋体" w:cs="宋体"/>
      <w:sz w:val="32"/>
      <w:szCs w:val="32"/>
      <w:lang w:val="en-US" w:eastAsia="en-US" w:bidi="ar-SA"/>
    </w:rPr>
  </w:style>
  <w:style w:type="table" w:styleId="1056" w:customStyle="1">
    <w:name w:val="Table Normal"/>
    <w:uiPriority w:val="0"/>
    <w:semiHidden/>
    <w:unhideWhenUsed/>
    <w:qFormat/>
    <w:tblPr>
      <w:tblCellMar>
        <w:left w:w="0" w:type="dxa"/>
        <w:top w:w="0" w:type="dxa"/>
        <w:right w:w="0" w:type="dxa"/>
        <w:bottom w:w="0" w:type="dxa"/>
      </w:tblCellMar>
    </w:tbl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郭志云</cp:lastModifiedBy>
  <cp:revision>5</cp:revision>
  <dcterms:created xsi:type="dcterms:W3CDTF">2024-07-16T03:08:00Z</dcterms:created>
  <dcterms:modified xsi:type="dcterms:W3CDTF">2024-12-02T05:33:16Z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EA9E6AA6053B4456B3FDE166DA08697B_13</vt:lpwstr>
  </property>
</Properties>
</file>