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E2ECF">
      <w:pPr>
        <w:keepNext w:val="0"/>
        <w:keepLines w:val="0"/>
        <w:widowControl/>
        <w:suppressLineNumbers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蒋垛村</w:t>
      </w:r>
      <w:r>
        <w:rPr>
          <w:rFonts w:hint="eastAsia" w:ascii="仿宋_GB2312" w:hAnsi="仿宋_GB2312" w:eastAsia="仿宋_GB2312" w:cs="仿宋_GB2312"/>
          <w:b/>
          <w:bCs w:val="0"/>
          <w:sz w:val="32"/>
          <w:szCs w:val="32"/>
          <w:lang w:val="en-US" w:eastAsia="zh-CN"/>
        </w:rPr>
        <w:t>村庄内部沿线环境改造提升</w:t>
      </w:r>
      <w:r>
        <w:rPr>
          <w:rFonts w:hint="eastAsia" w:ascii="仿宋_GB2312" w:hAnsi="仿宋_GB2312" w:eastAsia="仿宋_GB2312" w:cs="仿宋_GB2312"/>
          <w:b/>
          <w:bCs/>
          <w:color w:val="000000"/>
          <w:kern w:val="0"/>
          <w:sz w:val="32"/>
          <w:szCs w:val="32"/>
          <w:lang w:val="en-US" w:eastAsia="zh-CN" w:bidi="ar"/>
        </w:rPr>
        <w:t>项目</w:t>
      </w:r>
      <w:r>
        <w:rPr>
          <w:rFonts w:hint="eastAsia" w:ascii="仿宋_GB2312" w:hAnsi="仿宋_GB2312" w:eastAsia="仿宋_GB2312" w:cs="仿宋_GB2312"/>
          <w:b/>
          <w:bCs/>
          <w:sz w:val="32"/>
          <w:szCs w:val="32"/>
        </w:rPr>
        <w:t>编制说明</w:t>
      </w:r>
    </w:p>
    <w:p w14:paraId="29D6B629">
      <w:pPr>
        <w:numPr>
          <w:ilvl w:val="0"/>
          <w:numId w:val="1"/>
        </w:num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工程概况：</w:t>
      </w:r>
    </w:p>
    <w:p w14:paraId="100FBEEE">
      <w:pPr>
        <w:keepNext w:val="0"/>
        <w:keepLines w:val="0"/>
        <w:widowControl/>
        <w:suppressLineNumbers w:val="0"/>
        <w:ind w:firstLine="480" w:firstLineChars="20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蒋垛村村庄内部沿线环境改造提升</w:t>
      </w:r>
      <w:r>
        <w:rPr>
          <w:rFonts w:hint="eastAsia" w:ascii="仿宋_GB2312" w:hAnsi="仿宋_GB2312" w:eastAsia="仿宋_GB2312" w:cs="仿宋_GB2312"/>
          <w:b w:val="0"/>
          <w:bCs w:val="0"/>
          <w:color w:val="000000"/>
          <w:kern w:val="0"/>
          <w:sz w:val="24"/>
          <w:szCs w:val="24"/>
          <w:lang w:val="en-US" w:eastAsia="zh-CN" w:bidi="ar"/>
        </w:rPr>
        <w:t>项目</w:t>
      </w:r>
      <w:r>
        <w:rPr>
          <w:rFonts w:hint="eastAsia" w:ascii="仿宋_GB2312" w:hAnsi="仿宋_GB2312" w:eastAsia="仿宋_GB2312" w:cs="仿宋_GB2312"/>
          <w:b w:val="0"/>
          <w:bCs/>
          <w:sz w:val="24"/>
          <w:szCs w:val="24"/>
          <w:lang w:val="en-US" w:eastAsia="zh-CN"/>
        </w:rPr>
        <w:t>位于泰州市姜堰区蒋垛镇，建设内容主要包括1、</w:t>
      </w:r>
      <w:r>
        <w:rPr>
          <w:rFonts w:hint="eastAsia" w:ascii="仿宋_GB2312" w:hAnsi="仿宋_GB2312" w:eastAsia="仿宋_GB2312" w:cs="仿宋_GB2312"/>
          <w:color w:val="000000"/>
          <w:kern w:val="0"/>
          <w:sz w:val="24"/>
          <w:szCs w:val="24"/>
          <w:lang w:val="en-US" w:eastAsia="zh-CN" w:bidi="ar"/>
        </w:rPr>
        <w:t>村内环线环境提升项目；村庄内部约1公里沿线道路环境的提升。2、村内道路黑化提升项目；蒋垛村 2 组、6 组道路约1.2公里道路黑色化改造提升。3、蒋垛村村内道路沿线设施提升项</w:t>
      </w:r>
      <w:bookmarkStart w:id="0" w:name="_GoBack"/>
      <w:bookmarkEnd w:id="0"/>
      <w:r>
        <w:rPr>
          <w:rFonts w:hint="eastAsia" w:ascii="仿宋_GB2312" w:hAnsi="仿宋_GB2312" w:eastAsia="仿宋_GB2312" w:cs="仿宋_GB2312"/>
          <w:color w:val="000000"/>
          <w:kern w:val="0"/>
          <w:sz w:val="24"/>
          <w:szCs w:val="24"/>
          <w:lang w:val="en-US" w:eastAsia="zh-CN" w:bidi="ar"/>
        </w:rPr>
        <w:t>目；沿2组、6组环线道路新增亮化设施约50处。4、蒋垛村2 组、4 组公共服务设施提升；休憩及停车场公共服务区域、公厕等设施提升。</w:t>
      </w:r>
    </w:p>
    <w:p w14:paraId="4CCE6E6B">
      <w:pPr>
        <w:pStyle w:val="10"/>
        <w:spacing w:line="360" w:lineRule="auto"/>
        <w:ind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二、工程量清单编制依据：</w:t>
      </w:r>
      <w:r>
        <w:rPr>
          <w:rFonts w:hint="eastAsia" w:ascii="仿宋_GB2312" w:hAnsi="仿宋_GB2312" w:eastAsia="仿宋_GB2312" w:cs="仿宋_GB2312"/>
          <w:sz w:val="24"/>
          <w:szCs w:val="24"/>
        </w:rPr>
        <w:t xml:space="preserve">               </w:t>
      </w:r>
    </w:p>
    <w:p w14:paraId="343D7B9F">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1、《建设工程工程量清单计价规范》</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"http://baike.baidu.com/link?url=mTbiNY1NEEw-ugMrfevpF9lR-J_LA27nR8a6drrRWbhZVpNzEdFzIaIlVQps9Wx6iVhSOJueuaqes1z3xRGqPK" \l "3_1"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GB50500-20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13。</w:t>
      </w:r>
    </w:p>
    <w:p w14:paraId="35BC40BA">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2、《房屋建筑与装饰工程工程量计算规范》GB50854-2013。</w:t>
      </w:r>
    </w:p>
    <w:p w14:paraId="291F20F4">
      <w:pPr>
        <w:spacing w:line="360" w:lineRule="auto"/>
        <w:ind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3、《通用安装工程工程量计算规范》GB50856-2013。</w:t>
      </w:r>
    </w:p>
    <w:p w14:paraId="120C01BB">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、《江苏省建筑与装饰工程计价定额》2014年版。</w:t>
      </w:r>
    </w:p>
    <w:p w14:paraId="3F9B0E1C">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5、《江苏省安装工程计价定额》</w:t>
      </w:r>
      <w:r>
        <w:rPr>
          <w:rFonts w:hint="eastAsia" w:ascii="仿宋_GB2312" w:hAnsi="仿宋_GB2312" w:eastAsia="仿宋_GB2312" w:cs="仿宋_GB2312"/>
          <w:sz w:val="24"/>
          <w:szCs w:val="24"/>
        </w:rPr>
        <w:t>2014年版。</w:t>
      </w:r>
    </w:p>
    <w:p w14:paraId="28BE75C0">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6、《江苏省市政工程计价定额》</w:t>
      </w:r>
      <w:r>
        <w:rPr>
          <w:rFonts w:hint="eastAsia" w:ascii="仿宋_GB2312" w:hAnsi="仿宋_GB2312" w:eastAsia="仿宋_GB2312" w:cs="仿宋_GB2312"/>
          <w:sz w:val="24"/>
          <w:szCs w:val="24"/>
        </w:rPr>
        <w:t>2014年版。</w:t>
      </w:r>
    </w:p>
    <w:p w14:paraId="0A198005">
      <w:pPr>
        <w:spacing w:line="360" w:lineRule="auto"/>
        <w:ind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7、《江苏省园林定额》2007年版。</w:t>
      </w:r>
    </w:p>
    <w:p w14:paraId="76E4E928">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、《江苏省建设工程费用定额》2014版。</w:t>
      </w:r>
    </w:p>
    <w:p w14:paraId="48262E03">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rPr>
        <w:t>、《省住房城乡建设厅关于建筑业实施营改增后江苏省建设工程计价依据调整的通知》（苏建价[2016]154号）</w:t>
      </w:r>
    </w:p>
    <w:p w14:paraId="384C3208">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w:t>
      </w:r>
      <w:r>
        <w:rPr>
          <w:rFonts w:hint="eastAsia" w:ascii="仿宋_GB2312" w:hAnsi="仿宋_GB2312" w:eastAsia="仿宋_GB2312" w:cs="仿宋_GB2312"/>
          <w:b w:val="0"/>
          <w:bCs/>
          <w:sz w:val="24"/>
          <w:szCs w:val="24"/>
          <w:lang w:val="en-US" w:eastAsia="zh-CN"/>
        </w:rPr>
        <w:t>蒋垛村村庄内部沿线环境改造提升</w:t>
      </w:r>
      <w:r>
        <w:rPr>
          <w:rFonts w:hint="eastAsia" w:ascii="仿宋_GB2312" w:hAnsi="仿宋_GB2312" w:eastAsia="仿宋_GB2312" w:cs="仿宋_GB2312"/>
          <w:b w:val="0"/>
          <w:bCs w:val="0"/>
          <w:color w:val="000000"/>
          <w:kern w:val="0"/>
          <w:sz w:val="24"/>
          <w:szCs w:val="24"/>
          <w:lang w:val="en-US" w:eastAsia="zh-CN" w:bidi="ar"/>
        </w:rPr>
        <w:t>项目</w:t>
      </w:r>
      <w:r>
        <w:rPr>
          <w:rFonts w:hint="eastAsia" w:ascii="仿宋_GB2312" w:hAnsi="仿宋_GB2312" w:eastAsia="仿宋_GB2312" w:cs="仿宋_GB2312"/>
          <w:sz w:val="24"/>
          <w:szCs w:val="24"/>
        </w:rPr>
        <w:t>设计施工图纸。</w:t>
      </w:r>
    </w:p>
    <w:p w14:paraId="46D18E61">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、材料价格参照《</w:t>
      </w:r>
      <w:r>
        <w:rPr>
          <w:rFonts w:hint="eastAsia" w:ascii="仿宋_GB2312" w:hAnsi="仿宋_GB2312" w:eastAsia="仿宋_GB2312" w:cs="仿宋_GB2312"/>
          <w:sz w:val="24"/>
          <w:szCs w:val="24"/>
          <w:lang w:val="en-US" w:eastAsia="zh-CN"/>
        </w:rPr>
        <w:t>泰州市建筑安装材料信息价</w:t>
      </w:r>
      <w:r>
        <w:rPr>
          <w:rFonts w:hint="eastAsia" w:ascii="仿宋_GB2312" w:hAnsi="仿宋_GB2312" w:eastAsia="仿宋_GB2312" w:cs="仿宋_GB2312"/>
          <w:sz w:val="24"/>
          <w:szCs w:val="24"/>
        </w:rPr>
        <w:t>》2025年第</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期及同期市场价，该价格已考虑营改增的调整内容，材料按信息价中含税价格除税。</w:t>
      </w:r>
    </w:p>
    <w:p w14:paraId="4735C463">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、《省住房城乡建设厅关于发布建设工程人工工资指导价的通知》（苏建函价【2025】66号文）。</w:t>
      </w:r>
    </w:p>
    <w:p w14:paraId="2AAB135C">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、省住房城乡建设厅关于调整建设工程计价增值税税率的通知（苏建函价【2019】178号文）。</w:t>
      </w:r>
    </w:p>
    <w:p w14:paraId="2E2F0168">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三、计税方法：</w:t>
      </w:r>
    </w:p>
    <w:p w14:paraId="5931F8E1">
      <w:pPr>
        <w:spacing w:line="360" w:lineRule="auto"/>
        <w:ind w:firstLine="480"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1、本工程执行营改增一般计税方法。</w:t>
      </w:r>
      <w:r>
        <w:rPr>
          <w:rFonts w:hint="eastAsia" w:ascii="仿宋_GB2312" w:hAnsi="仿宋_GB2312" w:eastAsia="仿宋_GB2312" w:cs="仿宋_GB2312"/>
          <w:b/>
          <w:sz w:val="24"/>
          <w:szCs w:val="24"/>
          <w:lang w:val="en-US" w:eastAsia="zh-CN"/>
        </w:rPr>
        <w:t xml:space="preserve">  </w:t>
      </w:r>
    </w:p>
    <w:p w14:paraId="4D31B097">
      <w:pPr>
        <w:spacing w:line="360" w:lineRule="auto"/>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24"/>
          <w:szCs w:val="24"/>
          <w14:textFill>
            <w14:solidFill>
              <w14:schemeClr w14:val="tx1"/>
            </w14:solidFill>
          </w14:textFill>
        </w:rPr>
        <w:t>、工程费率取定情况：</w:t>
      </w:r>
    </w:p>
    <w:p w14:paraId="1C45719C">
      <w:pPr>
        <w:snapToGrid w:val="0"/>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工程招标控制价中，不</w:t>
      </w:r>
      <w:r>
        <w:rPr>
          <w:rFonts w:hint="eastAsia" w:ascii="仿宋_GB2312" w:hAnsi="仿宋_GB2312" w:eastAsia="仿宋_GB2312" w:cs="仿宋_GB2312"/>
          <w:sz w:val="24"/>
          <w:szCs w:val="24"/>
        </w:rPr>
        <w:t>可竞争费按以下规定计取：（计算基础：A、为分部分项工程</w:t>
      </w:r>
      <w:r>
        <w:rPr>
          <w:rFonts w:hint="eastAsia" w:ascii="仿宋_GB2312" w:hAnsi="仿宋_GB2312" w:eastAsia="仿宋_GB2312" w:cs="仿宋_GB2312"/>
          <w:sz w:val="24"/>
          <w:szCs w:val="24"/>
        </w:rPr>
        <w:t>费</w:t>
      </w:r>
      <w:r>
        <w:rPr>
          <w:rFonts w:hint="eastAsia" w:ascii="仿宋_GB2312" w:hAnsi="仿宋_GB2312" w:eastAsia="仿宋_GB2312" w:cs="仿宋_GB2312"/>
          <w:sz w:val="24"/>
          <w:szCs w:val="24"/>
        </w:rPr>
        <w:t>，B、为措施项目费，C、为其它项目费用，D</w:t>
      </w:r>
      <w:r>
        <w:rPr>
          <w:rFonts w:hint="eastAsia" w:ascii="仿宋_GB2312" w:hAnsi="仿宋_GB2312" w:eastAsia="仿宋_GB2312" w:cs="仿宋_GB2312"/>
          <w:sz w:val="24"/>
          <w:szCs w:val="24"/>
        </w:rPr>
        <w:t>为</w:t>
      </w:r>
      <w:r>
        <w:rPr>
          <w:rFonts w:hint="eastAsia" w:ascii="仿宋_GB2312" w:hAnsi="仿宋_GB2312" w:eastAsia="仿宋_GB2312" w:cs="仿宋_GB2312"/>
          <w:sz w:val="24"/>
          <w:szCs w:val="24"/>
        </w:rPr>
        <w:t>设备费</w:t>
      </w:r>
      <w:r>
        <w:rPr>
          <w:rFonts w:hint="eastAsia" w:ascii="仿宋_GB2312" w:hAnsi="仿宋_GB2312" w:eastAsia="仿宋_GB2312" w:cs="仿宋_GB2312"/>
          <w:sz w:val="24"/>
          <w:szCs w:val="24"/>
        </w:rPr>
        <w:t>，E为单价措施项目费</w:t>
      </w:r>
      <w:r>
        <w:rPr>
          <w:rFonts w:hint="eastAsia" w:ascii="仿宋_GB2312" w:hAnsi="仿宋_GB2312" w:eastAsia="仿宋_GB2312" w:cs="仿宋_GB2312"/>
          <w:sz w:val="24"/>
          <w:szCs w:val="24"/>
        </w:rPr>
        <w:t>）</w:t>
      </w:r>
    </w:p>
    <w:tbl>
      <w:tblPr>
        <w:tblStyle w:val="5"/>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614"/>
        <w:gridCol w:w="1731"/>
        <w:gridCol w:w="1500"/>
        <w:gridCol w:w="1685"/>
        <w:gridCol w:w="1291"/>
      </w:tblGrid>
      <w:tr w14:paraId="6673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blHeader/>
          <w:jc w:val="center"/>
        </w:trPr>
        <w:tc>
          <w:tcPr>
            <w:tcW w:w="1384" w:type="dxa"/>
            <w:tcBorders>
              <w:top w:val="single" w:color="auto" w:sz="4" w:space="0"/>
              <w:left w:val="single" w:color="auto" w:sz="4" w:space="0"/>
              <w:bottom w:val="single" w:color="auto" w:sz="4" w:space="0"/>
              <w:right w:val="single" w:color="auto" w:sz="4" w:space="0"/>
            </w:tcBorders>
            <w:vAlign w:val="center"/>
          </w:tcPr>
          <w:p w14:paraId="187D1BF4">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费用类别</w:t>
            </w:r>
          </w:p>
        </w:tc>
        <w:tc>
          <w:tcPr>
            <w:tcW w:w="1614" w:type="dxa"/>
            <w:tcBorders>
              <w:top w:val="single" w:color="auto" w:sz="4" w:space="0"/>
              <w:left w:val="single" w:color="auto" w:sz="4" w:space="0"/>
              <w:bottom w:val="single" w:color="auto" w:sz="4" w:space="0"/>
              <w:right w:val="single" w:color="auto" w:sz="4" w:space="0"/>
            </w:tcBorders>
            <w:vAlign w:val="center"/>
          </w:tcPr>
          <w:p w14:paraId="12A61BE3">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费用名称</w:t>
            </w:r>
          </w:p>
        </w:tc>
        <w:tc>
          <w:tcPr>
            <w:tcW w:w="1731" w:type="dxa"/>
            <w:tcBorders>
              <w:top w:val="single" w:color="auto" w:sz="4" w:space="0"/>
              <w:left w:val="single" w:color="auto" w:sz="4" w:space="0"/>
              <w:bottom w:val="single" w:color="auto" w:sz="4" w:space="0"/>
              <w:right w:val="single" w:color="auto" w:sz="4" w:space="0"/>
            </w:tcBorders>
            <w:vAlign w:val="center"/>
          </w:tcPr>
          <w:p w14:paraId="55E71AA3">
            <w:pPr>
              <w:spacing w:line="360" w:lineRule="auto"/>
              <w:ind w:firstLine="240" w:firstLineChars="1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计费基数</w:t>
            </w:r>
          </w:p>
        </w:tc>
        <w:tc>
          <w:tcPr>
            <w:tcW w:w="1500" w:type="dxa"/>
            <w:tcBorders>
              <w:top w:val="single" w:color="auto" w:sz="4" w:space="0"/>
              <w:left w:val="single" w:color="auto" w:sz="4" w:space="0"/>
              <w:bottom w:val="single" w:color="auto" w:sz="4" w:space="0"/>
              <w:right w:val="single" w:color="auto" w:sz="4" w:space="0"/>
            </w:tcBorders>
            <w:vAlign w:val="center"/>
          </w:tcPr>
          <w:p w14:paraId="365E4C7F">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道路、排水</w:t>
            </w:r>
            <w:r>
              <w:rPr>
                <w:rFonts w:hint="eastAsia" w:ascii="仿宋_GB2312" w:hAnsi="仿宋_GB2312" w:eastAsia="仿宋_GB2312" w:cs="仿宋_GB2312"/>
                <w:sz w:val="24"/>
                <w:szCs w:val="24"/>
              </w:rPr>
              <w:t>(％)</w:t>
            </w:r>
          </w:p>
        </w:tc>
        <w:tc>
          <w:tcPr>
            <w:tcW w:w="1685" w:type="dxa"/>
            <w:tcBorders>
              <w:top w:val="single" w:color="auto" w:sz="4" w:space="0"/>
              <w:left w:val="single" w:color="auto" w:sz="4" w:space="0"/>
              <w:bottom w:val="single" w:color="auto" w:sz="4" w:space="0"/>
              <w:right w:val="single" w:color="auto" w:sz="4" w:space="0"/>
            </w:tcBorders>
            <w:vAlign w:val="center"/>
          </w:tcPr>
          <w:p w14:paraId="75DD6A5C">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路灯及交通设施</w:t>
            </w:r>
            <w:r>
              <w:rPr>
                <w:rFonts w:hint="eastAsia" w:ascii="仿宋_GB2312" w:hAnsi="仿宋_GB2312" w:eastAsia="仿宋_GB2312" w:cs="仿宋_GB2312"/>
                <w:sz w:val="24"/>
                <w:szCs w:val="24"/>
              </w:rPr>
              <w:t>(％)</w:t>
            </w:r>
          </w:p>
        </w:tc>
        <w:tc>
          <w:tcPr>
            <w:tcW w:w="1291" w:type="dxa"/>
            <w:tcBorders>
              <w:top w:val="single" w:color="auto" w:sz="4" w:space="0"/>
              <w:left w:val="single" w:color="auto" w:sz="4" w:space="0"/>
              <w:bottom w:val="single" w:color="auto" w:sz="4" w:space="0"/>
              <w:right w:val="single" w:color="auto" w:sz="4" w:space="0"/>
            </w:tcBorders>
            <w:vAlign w:val="center"/>
          </w:tcPr>
          <w:p w14:paraId="797734F7">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景观、园林（%）</w:t>
            </w:r>
          </w:p>
        </w:tc>
      </w:tr>
      <w:tr w14:paraId="1627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4" w:type="dxa"/>
            <w:vMerge w:val="restart"/>
            <w:tcBorders>
              <w:left w:val="single" w:color="auto" w:sz="4" w:space="0"/>
              <w:right w:val="single" w:color="auto" w:sz="4" w:space="0"/>
            </w:tcBorders>
            <w:vAlign w:val="center"/>
          </w:tcPr>
          <w:p w14:paraId="04A51853">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规费</w:t>
            </w:r>
          </w:p>
        </w:tc>
        <w:tc>
          <w:tcPr>
            <w:tcW w:w="1614" w:type="dxa"/>
            <w:tcBorders>
              <w:top w:val="single" w:color="auto" w:sz="4" w:space="0"/>
              <w:left w:val="single" w:color="auto" w:sz="4" w:space="0"/>
              <w:bottom w:val="single" w:color="auto" w:sz="4" w:space="0"/>
              <w:right w:val="single" w:color="auto" w:sz="4" w:space="0"/>
            </w:tcBorders>
            <w:vAlign w:val="center"/>
          </w:tcPr>
          <w:p w14:paraId="4CA2E8BD">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社会保险</w:t>
            </w:r>
            <w:r>
              <w:rPr>
                <w:rFonts w:hint="eastAsia" w:ascii="仿宋_GB2312" w:hAnsi="仿宋_GB2312" w:eastAsia="仿宋_GB2312" w:cs="仿宋_GB2312"/>
                <w:sz w:val="24"/>
                <w:szCs w:val="24"/>
              </w:rPr>
              <w:t>费</w:t>
            </w:r>
          </w:p>
        </w:tc>
        <w:tc>
          <w:tcPr>
            <w:tcW w:w="1731" w:type="dxa"/>
            <w:tcBorders>
              <w:top w:val="single" w:color="auto" w:sz="4" w:space="0"/>
              <w:left w:val="single" w:color="auto" w:sz="4" w:space="0"/>
              <w:bottom w:val="single" w:color="auto" w:sz="4" w:space="0"/>
              <w:right w:val="single" w:color="auto" w:sz="4" w:space="0"/>
            </w:tcBorders>
            <w:vAlign w:val="center"/>
          </w:tcPr>
          <w:p w14:paraId="20C78A88">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w:t>
            </w:r>
            <w:r>
              <w:rPr>
                <w:rFonts w:hint="eastAsia" w:ascii="仿宋_GB2312" w:hAnsi="仿宋_GB2312" w:eastAsia="仿宋_GB2312" w:cs="仿宋_GB2312"/>
                <w:sz w:val="24"/>
                <w:szCs w:val="24"/>
              </w:rPr>
              <w:t>B</w:t>
            </w:r>
            <w:r>
              <w:rPr>
                <w:rFonts w:hint="eastAsia" w:ascii="仿宋_GB2312" w:hAnsi="仿宋_GB2312" w:eastAsia="仿宋_GB2312" w:cs="仿宋_GB2312"/>
                <w:sz w:val="24"/>
                <w:szCs w:val="24"/>
              </w:rPr>
              <w:t>+C</w:t>
            </w:r>
            <w:r>
              <w:rPr>
                <w:rFonts w:hint="eastAsia" w:ascii="仿宋_GB2312" w:hAnsi="仿宋_GB2312" w:eastAsia="仿宋_GB2312" w:cs="仿宋_GB2312"/>
                <w:sz w:val="24"/>
                <w:szCs w:val="24"/>
              </w:rPr>
              <w:t>-D</w:t>
            </w:r>
          </w:p>
        </w:tc>
        <w:tc>
          <w:tcPr>
            <w:tcW w:w="1500" w:type="dxa"/>
            <w:tcBorders>
              <w:top w:val="single" w:color="auto" w:sz="4" w:space="0"/>
              <w:left w:val="single" w:color="auto" w:sz="4" w:space="0"/>
              <w:bottom w:val="single" w:color="auto" w:sz="4" w:space="0"/>
              <w:right w:val="single" w:color="auto" w:sz="4" w:space="0"/>
            </w:tcBorders>
            <w:vAlign w:val="center"/>
          </w:tcPr>
          <w:p w14:paraId="304A9469">
            <w:pPr>
              <w:snapToGrid w:val="0"/>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685" w:type="dxa"/>
            <w:tcBorders>
              <w:top w:val="single" w:color="auto" w:sz="4" w:space="0"/>
              <w:left w:val="single" w:color="auto" w:sz="4" w:space="0"/>
              <w:bottom w:val="single" w:color="auto" w:sz="4" w:space="0"/>
              <w:right w:val="single" w:color="auto" w:sz="4" w:space="0"/>
            </w:tcBorders>
            <w:vAlign w:val="center"/>
          </w:tcPr>
          <w:p w14:paraId="63CF213A">
            <w:pPr>
              <w:snapToGrid w:val="0"/>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291" w:type="dxa"/>
            <w:tcBorders>
              <w:top w:val="single" w:color="auto" w:sz="4" w:space="0"/>
              <w:left w:val="single" w:color="auto" w:sz="4" w:space="0"/>
              <w:bottom w:val="single" w:color="auto" w:sz="4" w:space="0"/>
              <w:right w:val="single" w:color="auto" w:sz="4" w:space="0"/>
            </w:tcBorders>
            <w:vAlign w:val="center"/>
          </w:tcPr>
          <w:p w14:paraId="5713B12B">
            <w:pPr>
              <w:snapToGrid w:val="0"/>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r>
      <w:tr w14:paraId="19A7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84" w:type="dxa"/>
            <w:vMerge w:val="continue"/>
            <w:tcBorders>
              <w:left w:val="single" w:color="auto" w:sz="4" w:space="0"/>
              <w:bottom w:val="single" w:color="auto" w:sz="4" w:space="0"/>
              <w:right w:val="single" w:color="auto" w:sz="4" w:space="0"/>
            </w:tcBorders>
            <w:vAlign w:val="center"/>
          </w:tcPr>
          <w:p w14:paraId="0FC141B0">
            <w:pPr>
              <w:spacing w:line="360" w:lineRule="auto"/>
              <w:ind w:firstLine="200"/>
              <w:jc w:val="center"/>
              <w:rPr>
                <w:rFonts w:hint="eastAsia" w:ascii="仿宋_GB2312" w:hAnsi="仿宋_GB2312" w:eastAsia="仿宋_GB2312" w:cs="仿宋_GB2312"/>
                <w:sz w:val="24"/>
                <w:szCs w:val="24"/>
              </w:rPr>
            </w:pPr>
          </w:p>
        </w:tc>
        <w:tc>
          <w:tcPr>
            <w:tcW w:w="1614" w:type="dxa"/>
            <w:tcBorders>
              <w:top w:val="single" w:color="auto" w:sz="4" w:space="0"/>
              <w:left w:val="single" w:color="auto" w:sz="4" w:space="0"/>
              <w:bottom w:val="single" w:color="auto" w:sz="4" w:space="0"/>
              <w:right w:val="single" w:color="auto" w:sz="4" w:space="0"/>
            </w:tcBorders>
            <w:vAlign w:val="center"/>
          </w:tcPr>
          <w:p w14:paraId="0401A601">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住房公积金</w:t>
            </w:r>
          </w:p>
        </w:tc>
        <w:tc>
          <w:tcPr>
            <w:tcW w:w="1731" w:type="dxa"/>
            <w:tcBorders>
              <w:top w:val="single" w:color="auto" w:sz="4" w:space="0"/>
              <w:left w:val="single" w:color="auto" w:sz="4" w:space="0"/>
              <w:bottom w:val="single" w:color="auto" w:sz="4" w:space="0"/>
              <w:right w:val="single" w:color="auto" w:sz="4" w:space="0"/>
            </w:tcBorders>
            <w:vAlign w:val="center"/>
          </w:tcPr>
          <w:p w14:paraId="4E4A1628">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w:t>
            </w:r>
            <w:r>
              <w:rPr>
                <w:rFonts w:hint="eastAsia" w:ascii="仿宋_GB2312" w:hAnsi="仿宋_GB2312" w:eastAsia="仿宋_GB2312" w:cs="仿宋_GB2312"/>
                <w:sz w:val="24"/>
                <w:szCs w:val="24"/>
              </w:rPr>
              <w:t>B</w:t>
            </w:r>
            <w:r>
              <w:rPr>
                <w:rFonts w:hint="eastAsia" w:ascii="仿宋_GB2312" w:hAnsi="仿宋_GB2312" w:eastAsia="仿宋_GB2312" w:cs="仿宋_GB2312"/>
                <w:sz w:val="24"/>
                <w:szCs w:val="24"/>
              </w:rPr>
              <w:t>+C</w:t>
            </w:r>
            <w:r>
              <w:rPr>
                <w:rFonts w:hint="eastAsia" w:ascii="仿宋_GB2312" w:hAnsi="仿宋_GB2312" w:eastAsia="仿宋_GB2312" w:cs="仿宋_GB2312"/>
                <w:sz w:val="24"/>
                <w:szCs w:val="24"/>
              </w:rPr>
              <w:t>-D</w:t>
            </w:r>
          </w:p>
        </w:tc>
        <w:tc>
          <w:tcPr>
            <w:tcW w:w="1500" w:type="dxa"/>
            <w:tcBorders>
              <w:top w:val="single" w:color="auto" w:sz="4" w:space="0"/>
              <w:left w:val="single" w:color="auto" w:sz="4" w:space="0"/>
              <w:bottom w:val="single" w:color="auto" w:sz="4" w:space="0"/>
              <w:right w:val="single" w:color="auto" w:sz="4" w:space="0"/>
            </w:tcBorders>
            <w:vAlign w:val="center"/>
          </w:tcPr>
          <w:p w14:paraId="18796ABD">
            <w:pPr>
              <w:snapToGrid w:val="0"/>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0.34</w:t>
            </w:r>
          </w:p>
        </w:tc>
        <w:tc>
          <w:tcPr>
            <w:tcW w:w="1685" w:type="dxa"/>
            <w:tcBorders>
              <w:top w:val="single" w:color="auto" w:sz="4" w:space="0"/>
              <w:left w:val="single" w:color="auto" w:sz="4" w:space="0"/>
              <w:bottom w:val="single" w:color="auto" w:sz="4" w:space="0"/>
              <w:right w:val="single" w:color="auto" w:sz="4" w:space="0"/>
            </w:tcBorders>
            <w:vAlign w:val="center"/>
          </w:tcPr>
          <w:p w14:paraId="50F6F17C">
            <w:pPr>
              <w:snapToGrid w:val="0"/>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0.37</w:t>
            </w:r>
          </w:p>
        </w:tc>
        <w:tc>
          <w:tcPr>
            <w:tcW w:w="1291" w:type="dxa"/>
            <w:tcBorders>
              <w:top w:val="single" w:color="auto" w:sz="4" w:space="0"/>
              <w:left w:val="single" w:color="auto" w:sz="4" w:space="0"/>
              <w:bottom w:val="single" w:color="auto" w:sz="4" w:space="0"/>
              <w:right w:val="single" w:color="auto" w:sz="4" w:space="0"/>
            </w:tcBorders>
            <w:vAlign w:val="center"/>
          </w:tcPr>
          <w:p w14:paraId="174883B4">
            <w:pPr>
              <w:snapToGrid w:val="0"/>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0.55</w:t>
            </w:r>
          </w:p>
        </w:tc>
      </w:tr>
      <w:tr w14:paraId="14B9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4" w:type="dxa"/>
            <w:vMerge w:val="restart"/>
            <w:tcBorders>
              <w:top w:val="single" w:color="auto" w:sz="4" w:space="0"/>
              <w:left w:val="single" w:color="auto" w:sz="4" w:space="0"/>
              <w:right w:val="single" w:color="auto" w:sz="4" w:space="0"/>
            </w:tcBorders>
            <w:vAlign w:val="center"/>
          </w:tcPr>
          <w:p w14:paraId="52FFCB24">
            <w:pPr>
              <w:spacing w:line="360" w:lineRule="auto"/>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现场安全文明施工措施费</w:t>
            </w:r>
          </w:p>
        </w:tc>
        <w:tc>
          <w:tcPr>
            <w:tcW w:w="1614" w:type="dxa"/>
            <w:tcBorders>
              <w:top w:val="single" w:color="auto" w:sz="4" w:space="0"/>
              <w:left w:val="single" w:color="auto" w:sz="4" w:space="0"/>
              <w:right w:val="single" w:color="auto" w:sz="4" w:space="0"/>
            </w:tcBorders>
            <w:vAlign w:val="center"/>
          </w:tcPr>
          <w:p w14:paraId="3A210D21">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基本费费率</w:t>
            </w:r>
          </w:p>
        </w:tc>
        <w:tc>
          <w:tcPr>
            <w:tcW w:w="1731" w:type="dxa"/>
            <w:tcBorders>
              <w:top w:val="single" w:color="auto" w:sz="4" w:space="0"/>
              <w:left w:val="single" w:color="auto" w:sz="4" w:space="0"/>
              <w:bottom w:val="single" w:color="auto" w:sz="4" w:space="0"/>
              <w:right w:val="single" w:color="auto" w:sz="4" w:space="0"/>
            </w:tcBorders>
            <w:vAlign w:val="center"/>
          </w:tcPr>
          <w:p w14:paraId="210177CB">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A+E-D</w:t>
            </w:r>
          </w:p>
        </w:tc>
        <w:tc>
          <w:tcPr>
            <w:tcW w:w="1500" w:type="dxa"/>
            <w:tcBorders>
              <w:top w:val="single" w:color="auto" w:sz="4" w:space="0"/>
              <w:left w:val="single" w:color="auto" w:sz="4" w:space="0"/>
              <w:bottom w:val="single" w:color="auto" w:sz="4" w:space="0"/>
              <w:right w:val="single" w:color="auto" w:sz="4" w:space="0"/>
            </w:tcBorders>
            <w:vAlign w:val="center"/>
          </w:tcPr>
          <w:p w14:paraId="02DA9CB7">
            <w:pPr>
              <w:snapToGrid w:val="0"/>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685" w:type="dxa"/>
            <w:tcBorders>
              <w:top w:val="single" w:color="auto" w:sz="4" w:space="0"/>
              <w:left w:val="single" w:color="auto" w:sz="4" w:space="0"/>
              <w:bottom w:val="single" w:color="auto" w:sz="4" w:space="0"/>
              <w:right w:val="single" w:color="auto" w:sz="4" w:space="0"/>
            </w:tcBorders>
            <w:vAlign w:val="center"/>
          </w:tcPr>
          <w:p w14:paraId="2966625A">
            <w:pPr>
              <w:snapToGrid w:val="0"/>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p>
        </w:tc>
        <w:tc>
          <w:tcPr>
            <w:tcW w:w="1291" w:type="dxa"/>
            <w:tcBorders>
              <w:top w:val="single" w:color="auto" w:sz="4" w:space="0"/>
              <w:left w:val="single" w:color="auto" w:sz="4" w:space="0"/>
              <w:bottom w:val="single" w:color="auto" w:sz="4" w:space="0"/>
              <w:right w:val="single" w:color="auto" w:sz="4" w:space="0"/>
            </w:tcBorders>
            <w:vAlign w:val="center"/>
          </w:tcPr>
          <w:p w14:paraId="4D67E008">
            <w:pPr>
              <w:snapToGrid w:val="0"/>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14:paraId="3F54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84" w:type="dxa"/>
            <w:vMerge w:val="continue"/>
            <w:tcBorders>
              <w:left w:val="single" w:color="auto" w:sz="4" w:space="0"/>
              <w:right w:val="single" w:color="auto" w:sz="4" w:space="0"/>
            </w:tcBorders>
            <w:vAlign w:val="center"/>
          </w:tcPr>
          <w:p w14:paraId="1230A993">
            <w:pPr>
              <w:spacing w:line="360" w:lineRule="auto"/>
              <w:ind w:firstLine="200"/>
              <w:jc w:val="center"/>
              <w:rPr>
                <w:rFonts w:hint="eastAsia" w:ascii="仿宋_GB2312" w:hAnsi="仿宋_GB2312" w:eastAsia="仿宋_GB2312" w:cs="仿宋_GB2312"/>
                <w:sz w:val="24"/>
                <w:szCs w:val="24"/>
              </w:rPr>
            </w:pPr>
          </w:p>
        </w:tc>
        <w:tc>
          <w:tcPr>
            <w:tcW w:w="1614" w:type="dxa"/>
            <w:tcBorders>
              <w:top w:val="single" w:color="auto" w:sz="4" w:space="0"/>
              <w:left w:val="single" w:color="auto" w:sz="4" w:space="0"/>
              <w:right w:val="single" w:color="auto" w:sz="4" w:space="0"/>
            </w:tcBorders>
            <w:vAlign w:val="center"/>
          </w:tcPr>
          <w:p w14:paraId="6AEEA612">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标化增加费</w:t>
            </w:r>
          </w:p>
        </w:tc>
        <w:tc>
          <w:tcPr>
            <w:tcW w:w="1731" w:type="dxa"/>
            <w:tcBorders>
              <w:top w:val="single" w:color="auto" w:sz="4" w:space="0"/>
              <w:left w:val="single" w:color="auto" w:sz="4" w:space="0"/>
              <w:bottom w:val="single" w:color="auto" w:sz="4" w:space="0"/>
              <w:right w:val="single" w:color="auto" w:sz="4" w:space="0"/>
            </w:tcBorders>
            <w:vAlign w:val="center"/>
          </w:tcPr>
          <w:p w14:paraId="6065F640">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A+E-D</w:t>
            </w:r>
          </w:p>
        </w:tc>
        <w:tc>
          <w:tcPr>
            <w:tcW w:w="1500" w:type="dxa"/>
            <w:tcBorders>
              <w:top w:val="single" w:color="auto" w:sz="4" w:space="0"/>
              <w:left w:val="single" w:color="auto" w:sz="4" w:space="0"/>
              <w:bottom w:val="single" w:color="auto" w:sz="4" w:space="0"/>
              <w:right w:val="single" w:color="auto" w:sz="4" w:space="0"/>
            </w:tcBorders>
            <w:vAlign w:val="center"/>
          </w:tcPr>
          <w:p w14:paraId="742F47AD">
            <w:pPr>
              <w:snapToGri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685" w:type="dxa"/>
            <w:tcBorders>
              <w:top w:val="single" w:color="auto" w:sz="4" w:space="0"/>
              <w:left w:val="single" w:color="auto" w:sz="4" w:space="0"/>
              <w:bottom w:val="single" w:color="auto" w:sz="4" w:space="0"/>
              <w:right w:val="single" w:color="auto" w:sz="4" w:space="0"/>
            </w:tcBorders>
            <w:vAlign w:val="center"/>
          </w:tcPr>
          <w:p w14:paraId="49BA5F3B">
            <w:pPr>
              <w:snapToGri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1" w:type="dxa"/>
            <w:tcBorders>
              <w:top w:val="single" w:color="auto" w:sz="4" w:space="0"/>
              <w:left w:val="single" w:color="auto" w:sz="4" w:space="0"/>
              <w:bottom w:val="single" w:color="auto" w:sz="4" w:space="0"/>
              <w:right w:val="single" w:color="auto" w:sz="4" w:space="0"/>
            </w:tcBorders>
            <w:vAlign w:val="center"/>
          </w:tcPr>
          <w:p w14:paraId="0836402F">
            <w:pPr>
              <w:snapToGrid w:val="0"/>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14:paraId="3383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384" w:type="dxa"/>
            <w:vMerge w:val="continue"/>
            <w:tcBorders>
              <w:left w:val="single" w:color="auto" w:sz="4" w:space="0"/>
              <w:right w:val="single" w:color="auto" w:sz="4" w:space="0"/>
            </w:tcBorders>
            <w:vAlign w:val="center"/>
          </w:tcPr>
          <w:p w14:paraId="07FDE45D">
            <w:pPr>
              <w:spacing w:line="360" w:lineRule="auto"/>
              <w:ind w:firstLine="200"/>
              <w:jc w:val="center"/>
              <w:rPr>
                <w:rFonts w:hint="eastAsia" w:ascii="仿宋_GB2312" w:hAnsi="仿宋_GB2312" w:eastAsia="仿宋_GB2312" w:cs="仿宋_GB2312"/>
                <w:sz w:val="24"/>
                <w:szCs w:val="24"/>
              </w:rPr>
            </w:pPr>
          </w:p>
        </w:tc>
        <w:tc>
          <w:tcPr>
            <w:tcW w:w="1614" w:type="dxa"/>
            <w:tcBorders>
              <w:top w:val="single" w:color="auto" w:sz="4" w:space="0"/>
              <w:left w:val="single" w:color="auto" w:sz="4" w:space="0"/>
              <w:right w:val="single" w:color="auto" w:sz="4" w:space="0"/>
            </w:tcBorders>
            <w:vAlign w:val="center"/>
          </w:tcPr>
          <w:p w14:paraId="322E6D5F">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扬尘污染防治增加费</w:t>
            </w:r>
          </w:p>
        </w:tc>
        <w:tc>
          <w:tcPr>
            <w:tcW w:w="1731" w:type="dxa"/>
            <w:tcBorders>
              <w:top w:val="single" w:color="auto" w:sz="4" w:space="0"/>
              <w:left w:val="single" w:color="auto" w:sz="4" w:space="0"/>
              <w:bottom w:val="single" w:color="auto" w:sz="4" w:space="0"/>
              <w:right w:val="single" w:color="auto" w:sz="4" w:space="0"/>
            </w:tcBorders>
            <w:vAlign w:val="center"/>
          </w:tcPr>
          <w:p w14:paraId="3A26A815">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A+E-D</w:t>
            </w:r>
          </w:p>
        </w:tc>
        <w:tc>
          <w:tcPr>
            <w:tcW w:w="1500" w:type="dxa"/>
            <w:tcBorders>
              <w:top w:val="single" w:color="auto" w:sz="4" w:space="0"/>
              <w:left w:val="single" w:color="auto" w:sz="4" w:space="0"/>
              <w:bottom w:val="single" w:color="auto" w:sz="4" w:space="0"/>
              <w:right w:val="single" w:color="auto" w:sz="4" w:space="0"/>
            </w:tcBorders>
            <w:vAlign w:val="center"/>
          </w:tcPr>
          <w:p w14:paraId="568C17AE">
            <w:pPr>
              <w:snapToGrid w:val="0"/>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0.31</w:t>
            </w:r>
          </w:p>
        </w:tc>
        <w:tc>
          <w:tcPr>
            <w:tcW w:w="1685" w:type="dxa"/>
            <w:tcBorders>
              <w:top w:val="single" w:color="auto" w:sz="4" w:space="0"/>
              <w:left w:val="single" w:color="auto" w:sz="4" w:space="0"/>
              <w:bottom w:val="single" w:color="auto" w:sz="4" w:space="0"/>
              <w:right w:val="single" w:color="auto" w:sz="4" w:space="0"/>
            </w:tcBorders>
            <w:vAlign w:val="center"/>
          </w:tcPr>
          <w:p w14:paraId="5B218D24">
            <w:pPr>
              <w:snapToGrid w:val="0"/>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1</w:t>
            </w:r>
          </w:p>
        </w:tc>
        <w:tc>
          <w:tcPr>
            <w:tcW w:w="1291" w:type="dxa"/>
            <w:tcBorders>
              <w:top w:val="single" w:color="auto" w:sz="4" w:space="0"/>
              <w:left w:val="single" w:color="auto" w:sz="4" w:space="0"/>
              <w:bottom w:val="single" w:color="auto" w:sz="4" w:space="0"/>
              <w:right w:val="single" w:color="auto" w:sz="4" w:space="0"/>
            </w:tcBorders>
            <w:vAlign w:val="center"/>
          </w:tcPr>
          <w:p w14:paraId="619A26A0">
            <w:pPr>
              <w:snapToGrid w:val="0"/>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0.21</w:t>
            </w:r>
          </w:p>
        </w:tc>
      </w:tr>
      <w:tr w14:paraId="4A77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998" w:type="dxa"/>
            <w:gridSpan w:val="2"/>
            <w:tcBorders>
              <w:top w:val="single" w:color="auto" w:sz="4" w:space="0"/>
              <w:left w:val="single" w:color="auto" w:sz="4" w:space="0"/>
              <w:bottom w:val="single" w:color="auto" w:sz="4" w:space="0"/>
              <w:right w:val="single" w:color="auto" w:sz="4" w:space="0"/>
            </w:tcBorders>
            <w:vAlign w:val="center"/>
          </w:tcPr>
          <w:p w14:paraId="0B37C961">
            <w:pPr>
              <w:spacing w:line="360" w:lineRule="auto"/>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税</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t xml:space="preserve">  金</w:t>
            </w:r>
          </w:p>
        </w:tc>
        <w:tc>
          <w:tcPr>
            <w:tcW w:w="1731" w:type="dxa"/>
            <w:tcBorders>
              <w:top w:val="single" w:color="auto" w:sz="4" w:space="0"/>
              <w:left w:val="single" w:color="auto" w:sz="4" w:space="0"/>
              <w:bottom w:val="single" w:color="auto" w:sz="4" w:space="0"/>
              <w:right w:val="single" w:color="auto" w:sz="4" w:space="0"/>
            </w:tcBorders>
            <w:vAlign w:val="center"/>
          </w:tcPr>
          <w:p w14:paraId="7635550B">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税前造价</w:t>
            </w:r>
          </w:p>
        </w:tc>
        <w:tc>
          <w:tcPr>
            <w:tcW w:w="1500" w:type="dxa"/>
            <w:tcBorders>
              <w:top w:val="single" w:color="auto" w:sz="4" w:space="0"/>
              <w:left w:val="single" w:color="auto" w:sz="4" w:space="0"/>
              <w:bottom w:val="single" w:color="auto" w:sz="4" w:space="0"/>
              <w:right w:val="single" w:color="auto" w:sz="4" w:space="0"/>
            </w:tcBorders>
            <w:vAlign w:val="center"/>
          </w:tcPr>
          <w:p w14:paraId="4D1CE112">
            <w:pPr>
              <w:snapToGri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685" w:type="dxa"/>
            <w:tcBorders>
              <w:top w:val="single" w:color="auto" w:sz="4" w:space="0"/>
              <w:left w:val="single" w:color="auto" w:sz="4" w:space="0"/>
              <w:bottom w:val="single" w:color="auto" w:sz="4" w:space="0"/>
            </w:tcBorders>
            <w:vAlign w:val="center"/>
          </w:tcPr>
          <w:p w14:paraId="34A8F859">
            <w:pPr>
              <w:snapToGri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291" w:type="dxa"/>
            <w:tcBorders>
              <w:top w:val="single" w:color="auto" w:sz="4" w:space="0"/>
              <w:left w:val="single" w:color="auto" w:sz="4" w:space="0"/>
              <w:bottom w:val="single" w:color="auto" w:sz="4" w:space="0"/>
            </w:tcBorders>
            <w:vAlign w:val="center"/>
          </w:tcPr>
          <w:p w14:paraId="21645EF6">
            <w:pPr>
              <w:snapToGrid w:val="0"/>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r>
    </w:tbl>
    <w:p w14:paraId="3D08F901">
      <w:pPr>
        <w:spacing w:line="360" w:lineRule="auto"/>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工程招标控制价其他费用：临时设施费</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道路、排水1.1</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路灯及交通设施1.1%,景观、园林0.55%。</w:t>
      </w:r>
    </w:p>
    <w:p w14:paraId="50F62ECD">
      <w:pPr>
        <w:spacing w:line="360" w:lineRule="auto"/>
        <w:jc w:val="left"/>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五、其他说明</w:t>
      </w:r>
    </w:p>
    <w:p w14:paraId="59B95DDA">
      <w:pPr>
        <w:numPr>
          <w:ilvl w:val="0"/>
          <w:numId w:val="0"/>
        </w:numPr>
        <w:spacing w:line="360" w:lineRule="auto"/>
        <w:ind w:firstLine="480" w:firstLineChars="200"/>
        <w:jc w:val="left"/>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1、成品卫生间宽1.7*长6*高2.8米、绿化地场景布置、休息屋打造、稻花香里说丰年组合布景等</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经建设单位确认需成品定制，由市场询价计入控制价。</w:t>
      </w:r>
    </w:p>
    <w:p w14:paraId="235FA2A1">
      <w:pPr>
        <w:spacing w:line="360" w:lineRule="auto"/>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2EAC1B91">
      <w:pPr>
        <w:spacing w:line="360" w:lineRule="auto"/>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12801F39">
      <w:pPr>
        <w:spacing w:line="360" w:lineRule="auto"/>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6889B424">
      <w:pPr>
        <w:spacing w:line="360" w:lineRule="auto"/>
        <w:jc w:val="left"/>
        <w:rPr>
          <w:rFonts w:hint="eastAsia" w:ascii="仿宋_GB2312" w:hAnsi="仿宋_GB2312" w:eastAsia="仿宋_GB2312" w:cs="仿宋_GB2312"/>
          <w:b w:val="0"/>
          <w:bCs w:val="0"/>
          <w:sz w:val="24"/>
          <w:szCs w:val="24"/>
          <w:u w:val="none"/>
          <w:lang w:val="en-US" w:eastAsia="zh-CN"/>
        </w:rPr>
      </w:pPr>
    </w:p>
    <w:p w14:paraId="531D8DD5">
      <w:pPr>
        <w:spacing w:line="360" w:lineRule="auto"/>
        <w:ind w:firstLine="4080" w:firstLineChars="1700"/>
        <w:jc w:val="left"/>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江苏巨臻工程管理有限公司</w:t>
      </w:r>
    </w:p>
    <w:p w14:paraId="6BB0A540">
      <w:pPr>
        <w:spacing w:line="360" w:lineRule="auto"/>
        <w:ind w:firstLine="3840" w:firstLineChars="1600"/>
        <w:jc w:val="left"/>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u w:val="none"/>
          <w:lang w:val="en-US" w:eastAsia="zh-CN"/>
        </w:rPr>
        <w:t xml:space="preserve">  </w:t>
      </w:r>
      <w:r>
        <w:rPr>
          <w:rFonts w:hint="eastAsia" w:ascii="仿宋_GB2312" w:hAnsi="仿宋_GB2312" w:eastAsia="仿宋_GB2312" w:cs="仿宋_GB2312"/>
          <w:b w:val="0"/>
          <w:bCs w:val="0"/>
          <w:sz w:val="24"/>
          <w:szCs w:val="24"/>
          <w:highlight w:val="none"/>
          <w:u w:val="none"/>
          <w:lang w:val="en-US" w:eastAsia="zh-CN"/>
        </w:rPr>
        <w:t xml:space="preserve">    2025年8月6日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D6E15"/>
    <w:multiLevelType w:val="singleLevel"/>
    <w:tmpl w:val="BD8D6E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5ZDI4YTUyYzM3ZDQxZjQzYmQ5ZGY3MTNjNGRmMjYifQ=="/>
  </w:docVars>
  <w:rsids>
    <w:rsidRoot w:val="00E74FF8"/>
    <w:rsid w:val="000063FB"/>
    <w:rsid w:val="000177B3"/>
    <w:rsid w:val="00043F71"/>
    <w:rsid w:val="00054A5C"/>
    <w:rsid w:val="000B1AE7"/>
    <w:rsid w:val="000D1932"/>
    <w:rsid w:val="000D6BD8"/>
    <w:rsid w:val="00105473"/>
    <w:rsid w:val="001256BB"/>
    <w:rsid w:val="001817D5"/>
    <w:rsid w:val="00181886"/>
    <w:rsid w:val="001B1E5A"/>
    <w:rsid w:val="001C2278"/>
    <w:rsid w:val="001E74A1"/>
    <w:rsid w:val="001F1E21"/>
    <w:rsid w:val="001F7D0F"/>
    <w:rsid w:val="002034F0"/>
    <w:rsid w:val="002102B0"/>
    <w:rsid w:val="00213F69"/>
    <w:rsid w:val="002419EA"/>
    <w:rsid w:val="002420CE"/>
    <w:rsid w:val="002514FB"/>
    <w:rsid w:val="00261ED8"/>
    <w:rsid w:val="00274D84"/>
    <w:rsid w:val="00287B6F"/>
    <w:rsid w:val="00296EA6"/>
    <w:rsid w:val="002D5A3C"/>
    <w:rsid w:val="003055F4"/>
    <w:rsid w:val="00314B1A"/>
    <w:rsid w:val="00323012"/>
    <w:rsid w:val="00323798"/>
    <w:rsid w:val="00334140"/>
    <w:rsid w:val="003350CA"/>
    <w:rsid w:val="0034264E"/>
    <w:rsid w:val="0034720C"/>
    <w:rsid w:val="00372865"/>
    <w:rsid w:val="00385280"/>
    <w:rsid w:val="00387AD9"/>
    <w:rsid w:val="00393E92"/>
    <w:rsid w:val="003C3DCB"/>
    <w:rsid w:val="003E1457"/>
    <w:rsid w:val="003F4189"/>
    <w:rsid w:val="0040584A"/>
    <w:rsid w:val="004154FE"/>
    <w:rsid w:val="0043007C"/>
    <w:rsid w:val="00452C3F"/>
    <w:rsid w:val="00476B78"/>
    <w:rsid w:val="00495616"/>
    <w:rsid w:val="004B032A"/>
    <w:rsid w:val="004B31CC"/>
    <w:rsid w:val="004B39B1"/>
    <w:rsid w:val="004C1CF2"/>
    <w:rsid w:val="004C5561"/>
    <w:rsid w:val="004D084A"/>
    <w:rsid w:val="00532A84"/>
    <w:rsid w:val="005666ED"/>
    <w:rsid w:val="00575AF0"/>
    <w:rsid w:val="005765F5"/>
    <w:rsid w:val="00577D76"/>
    <w:rsid w:val="0059560E"/>
    <w:rsid w:val="005A494D"/>
    <w:rsid w:val="005F126E"/>
    <w:rsid w:val="005F6FDC"/>
    <w:rsid w:val="006319FE"/>
    <w:rsid w:val="006658E5"/>
    <w:rsid w:val="00684520"/>
    <w:rsid w:val="006C0380"/>
    <w:rsid w:val="006C1F9F"/>
    <w:rsid w:val="006C51D6"/>
    <w:rsid w:val="006E4219"/>
    <w:rsid w:val="006F575E"/>
    <w:rsid w:val="007159E6"/>
    <w:rsid w:val="007342A8"/>
    <w:rsid w:val="00734396"/>
    <w:rsid w:val="00773DC7"/>
    <w:rsid w:val="00792996"/>
    <w:rsid w:val="007B5A6A"/>
    <w:rsid w:val="007C13E6"/>
    <w:rsid w:val="007C6F49"/>
    <w:rsid w:val="007E083F"/>
    <w:rsid w:val="007F1429"/>
    <w:rsid w:val="00806204"/>
    <w:rsid w:val="00806788"/>
    <w:rsid w:val="00807A0F"/>
    <w:rsid w:val="00807D63"/>
    <w:rsid w:val="0082306D"/>
    <w:rsid w:val="008305FC"/>
    <w:rsid w:val="0085217A"/>
    <w:rsid w:val="0086457B"/>
    <w:rsid w:val="008874E1"/>
    <w:rsid w:val="00892201"/>
    <w:rsid w:val="008B0060"/>
    <w:rsid w:val="008B54CC"/>
    <w:rsid w:val="008D5A45"/>
    <w:rsid w:val="008E23F5"/>
    <w:rsid w:val="008F32D5"/>
    <w:rsid w:val="00903EB5"/>
    <w:rsid w:val="0091230E"/>
    <w:rsid w:val="009331BB"/>
    <w:rsid w:val="00936197"/>
    <w:rsid w:val="00952F02"/>
    <w:rsid w:val="00955A02"/>
    <w:rsid w:val="00963E24"/>
    <w:rsid w:val="009667B0"/>
    <w:rsid w:val="00971CF2"/>
    <w:rsid w:val="009765A1"/>
    <w:rsid w:val="0098469A"/>
    <w:rsid w:val="00992618"/>
    <w:rsid w:val="009A6BFD"/>
    <w:rsid w:val="009E0A8B"/>
    <w:rsid w:val="009E3958"/>
    <w:rsid w:val="009E6F96"/>
    <w:rsid w:val="009E7ABF"/>
    <w:rsid w:val="00A2705F"/>
    <w:rsid w:val="00A30A72"/>
    <w:rsid w:val="00A344D6"/>
    <w:rsid w:val="00A42C3F"/>
    <w:rsid w:val="00A44E16"/>
    <w:rsid w:val="00A548D2"/>
    <w:rsid w:val="00A55A78"/>
    <w:rsid w:val="00A96F49"/>
    <w:rsid w:val="00A97D93"/>
    <w:rsid w:val="00AA019C"/>
    <w:rsid w:val="00AA1C54"/>
    <w:rsid w:val="00AA4D1B"/>
    <w:rsid w:val="00AC660C"/>
    <w:rsid w:val="00AD4ECA"/>
    <w:rsid w:val="00AE0514"/>
    <w:rsid w:val="00AF0A62"/>
    <w:rsid w:val="00B01949"/>
    <w:rsid w:val="00B1014E"/>
    <w:rsid w:val="00B13A62"/>
    <w:rsid w:val="00B315C9"/>
    <w:rsid w:val="00B44226"/>
    <w:rsid w:val="00B658CD"/>
    <w:rsid w:val="00B72066"/>
    <w:rsid w:val="00B7661A"/>
    <w:rsid w:val="00B842B6"/>
    <w:rsid w:val="00BF0AD7"/>
    <w:rsid w:val="00BF453E"/>
    <w:rsid w:val="00C076EC"/>
    <w:rsid w:val="00C17D4F"/>
    <w:rsid w:val="00C33808"/>
    <w:rsid w:val="00C6373D"/>
    <w:rsid w:val="00C73CD0"/>
    <w:rsid w:val="00C74874"/>
    <w:rsid w:val="00CB3F79"/>
    <w:rsid w:val="00CC4CD1"/>
    <w:rsid w:val="00CD5745"/>
    <w:rsid w:val="00CE2568"/>
    <w:rsid w:val="00CF3A3A"/>
    <w:rsid w:val="00D01322"/>
    <w:rsid w:val="00D05CA0"/>
    <w:rsid w:val="00D33145"/>
    <w:rsid w:val="00D3461A"/>
    <w:rsid w:val="00D467F0"/>
    <w:rsid w:val="00D7016D"/>
    <w:rsid w:val="00D85953"/>
    <w:rsid w:val="00D862DB"/>
    <w:rsid w:val="00D873E4"/>
    <w:rsid w:val="00D92476"/>
    <w:rsid w:val="00D975AF"/>
    <w:rsid w:val="00DA0CA4"/>
    <w:rsid w:val="00DA1FDE"/>
    <w:rsid w:val="00DB3970"/>
    <w:rsid w:val="00DE2883"/>
    <w:rsid w:val="00E32267"/>
    <w:rsid w:val="00E41396"/>
    <w:rsid w:val="00E45148"/>
    <w:rsid w:val="00E55287"/>
    <w:rsid w:val="00E61F4C"/>
    <w:rsid w:val="00E74FF8"/>
    <w:rsid w:val="00E75C8F"/>
    <w:rsid w:val="00E8117C"/>
    <w:rsid w:val="00E83F78"/>
    <w:rsid w:val="00E86861"/>
    <w:rsid w:val="00EB7F72"/>
    <w:rsid w:val="00ED0167"/>
    <w:rsid w:val="00EF76F2"/>
    <w:rsid w:val="00F00117"/>
    <w:rsid w:val="00F1563E"/>
    <w:rsid w:val="00F25A0C"/>
    <w:rsid w:val="00F6786A"/>
    <w:rsid w:val="00F7057F"/>
    <w:rsid w:val="00F75A26"/>
    <w:rsid w:val="00F911CE"/>
    <w:rsid w:val="00F91F3B"/>
    <w:rsid w:val="00FB54D7"/>
    <w:rsid w:val="00FF71B4"/>
    <w:rsid w:val="020A11E5"/>
    <w:rsid w:val="04C85669"/>
    <w:rsid w:val="08145EEF"/>
    <w:rsid w:val="137A43E1"/>
    <w:rsid w:val="15CC7E09"/>
    <w:rsid w:val="1B5B34CA"/>
    <w:rsid w:val="20DF4E94"/>
    <w:rsid w:val="2446522A"/>
    <w:rsid w:val="265C0D35"/>
    <w:rsid w:val="2920429C"/>
    <w:rsid w:val="2B41674B"/>
    <w:rsid w:val="2CA451E4"/>
    <w:rsid w:val="2DFF6B75"/>
    <w:rsid w:val="3332061A"/>
    <w:rsid w:val="33822CF7"/>
    <w:rsid w:val="3A464B3D"/>
    <w:rsid w:val="3B7346FF"/>
    <w:rsid w:val="3B8B2975"/>
    <w:rsid w:val="3DAE7C70"/>
    <w:rsid w:val="3FAA26B9"/>
    <w:rsid w:val="4040537E"/>
    <w:rsid w:val="416D1BF0"/>
    <w:rsid w:val="45435B5C"/>
    <w:rsid w:val="45E306D3"/>
    <w:rsid w:val="46340F2E"/>
    <w:rsid w:val="46F17923"/>
    <w:rsid w:val="474D04FA"/>
    <w:rsid w:val="48CE2D61"/>
    <w:rsid w:val="4B0E7FA0"/>
    <w:rsid w:val="4D9A3D6D"/>
    <w:rsid w:val="4F1A188C"/>
    <w:rsid w:val="4FEC4CB2"/>
    <w:rsid w:val="50852AB2"/>
    <w:rsid w:val="55200FFC"/>
    <w:rsid w:val="59793798"/>
    <w:rsid w:val="5C311D40"/>
    <w:rsid w:val="5C9A2FB8"/>
    <w:rsid w:val="64047D3A"/>
    <w:rsid w:val="64B4350F"/>
    <w:rsid w:val="679F4C69"/>
    <w:rsid w:val="6B046E6C"/>
    <w:rsid w:val="6B453112"/>
    <w:rsid w:val="6DAF22C5"/>
    <w:rsid w:val="6EF2535F"/>
    <w:rsid w:val="70763D6E"/>
    <w:rsid w:val="71A843FB"/>
    <w:rsid w:val="72CC7113"/>
    <w:rsid w:val="73F47DE9"/>
    <w:rsid w:val="796E3945"/>
    <w:rsid w:val="7A0B5A0E"/>
    <w:rsid w:val="7AF10BC1"/>
    <w:rsid w:val="7E6E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Times New Roman"/>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字符"/>
    <w:basedOn w:val="6"/>
    <w:link w:val="2"/>
    <w:qFormat/>
    <w:uiPriority w:val="0"/>
    <w:rPr>
      <w:rFonts w:ascii="宋体" w:hAnsi="Courier New" w:eastAsia="宋体" w:cs="Times New Roman"/>
      <w:szCs w:val="20"/>
    </w:r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940</Words>
  <Characters>1084</Characters>
  <Lines>10</Lines>
  <Paragraphs>2</Paragraphs>
  <TotalTime>1</TotalTime>
  <ScaleCrop>false</ScaleCrop>
  <LinksUpToDate>false</LinksUpToDate>
  <CharactersWithSpaces>1118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2019-03-20T02:26:00Z</dcterms:created>
  <dc:creator>朱 剑林</dc:creator>
  <cp:lastModifiedBy>Grey </cp:lastModifiedBy>
  <cp:lastPrinted>2025-08-18T07:18:12Z</cp:lastPrinted>
  <dcterms:modified xsi:type="dcterms:W3CDTF">2025-08-18T07:18:15Z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12C5F954AAC8420488462A4649354BF4</vt:lpwstr>
  </property>
  <property fmtid="{D5CDD505-2E9C-101B-9397-08002B2CF9AE}" pid="4" name="KSOTemplateDocerSaveRecord">
    <vt:lpwstr>eyJoZGlkIjoiMTRmZWU4ZWM4MmU3NDk4MWQxYmM5OWQ4NjI3NjNiMWYiLCJ1c2VySWQiOiIxNTIxMTYwNjc1In0=</vt:lpwstr>
  </property>
</Properties>
</file>